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E99C" w14:textId="77777777" w:rsidR="00BF53A6" w:rsidRDefault="00BF53A6" w:rsidP="00BF53A6">
      <w:pPr>
        <w:pStyle w:val="Nadpis1"/>
      </w:pPr>
      <w:bookmarkStart w:id="0" w:name="_Toc232503734"/>
      <w:bookmarkStart w:id="1" w:name="_Toc224903148"/>
      <w:bookmarkStart w:id="2" w:name="_Toc193366677"/>
      <w:r>
        <w:t>3. Výkonnost odvětví</w:t>
      </w:r>
      <w:bookmarkEnd w:id="0"/>
    </w:p>
    <w:tbl>
      <w:tblPr>
        <w:tblW w:w="9646" w:type="dxa"/>
        <w:tblInd w:w="-2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83"/>
        <w:gridCol w:w="165"/>
        <w:gridCol w:w="7798"/>
      </w:tblGrid>
      <w:tr w:rsidR="00BF53A6" w:rsidRPr="004A0F58" w14:paraId="526DBA27" w14:textId="77777777" w:rsidTr="000E74FE">
        <w:trPr>
          <w:trHeight w:val="145"/>
        </w:trPr>
        <w:tc>
          <w:tcPr>
            <w:tcW w:w="1683" w:type="dxa"/>
          </w:tcPr>
          <w:p w14:paraId="3C44FA7C" w14:textId="77777777" w:rsidR="00BF53A6" w:rsidRPr="004A0F58" w:rsidRDefault="00BF53A6" w:rsidP="000E74FE">
            <w:pPr>
              <w:pStyle w:val="Marginlie"/>
              <w:rPr>
                <w:color w:val="0D0D0D" w:themeColor="text1" w:themeTint="F2"/>
                <w:spacing w:val="0"/>
                <w:lang w:eastAsia="en-US"/>
              </w:rPr>
            </w:pPr>
            <w:proofErr w:type="spellStart"/>
            <w:r w:rsidRPr="004A0F58">
              <w:rPr>
                <w:color w:val="0D0D0D" w:themeColor="text1" w:themeTint="F2"/>
                <w:spacing w:val="0"/>
                <w:lang w:eastAsia="en-US"/>
              </w:rPr>
              <w:t>Mezikvartální</w:t>
            </w:r>
            <w:proofErr w:type="spellEnd"/>
            <w:r w:rsidRPr="004A0F58">
              <w:rPr>
                <w:color w:val="0D0D0D" w:themeColor="text1" w:themeTint="F2"/>
                <w:spacing w:val="0"/>
                <w:lang w:eastAsia="en-US"/>
              </w:rPr>
              <w:t xml:space="preserve"> růst HPH byl nejslabší za poslední dva roky. </w:t>
            </w:r>
          </w:p>
        </w:tc>
        <w:tc>
          <w:tcPr>
            <w:tcW w:w="165" w:type="dxa"/>
          </w:tcPr>
          <w:p w14:paraId="3D4A47B4" w14:textId="77777777" w:rsidR="00BF53A6" w:rsidRPr="004A0F58" w:rsidRDefault="00BF53A6" w:rsidP="000E74FE">
            <w:pPr>
              <w:pStyle w:val="Textpoznpodarou"/>
              <w:jc w:val="both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7798" w:type="dxa"/>
          </w:tcPr>
          <w:p w14:paraId="65ADAA5E" w14:textId="77777777" w:rsidR="00BF53A6" w:rsidRPr="004A0F58" w:rsidRDefault="00BF53A6" w:rsidP="000E74FE">
            <w:pPr>
              <w:spacing w:after="220"/>
              <w:rPr>
                <w:color w:val="0D0D0D" w:themeColor="text1" w:themeTint="F2"/>
                <w:lang w:eastAsia="en-US"/>
              </w:rPr>
            </w:pPr>
            <w:r w:rsidRPr="004A0F58">
              <w:rPr>
                <w:color w:val="0D0D0D" w:themeColor="text1" w:themeTint="F2"/>
                <w:lang w:eastAsia="en-US"/>
              </w:rPr>
              <w:t>Růst výkonu všech odvětví ekonomiky, zachyceného pomocí hrubé přidané hodnoty (HPH)</w:t>
            </w:r>
            <w:r w:rsidRPr="004A0F58">
              <w:rPr>
                <w:rStyle w:val="Znakapoznpodarou"/>
                <w:color w:val="0D0D0D" w:themeColor="text1" w:themeTint="F2"/>
              </w:rPr>
              <w:footnoteReference w:id="1"/>
            </w:r>
            <w:r w:rsidRPr="004A0F58">
              <w:rPr>
                <w:color w:val="0D0D0D" w:themeColor="text1" w:themeTint="F2"/>
                <w:lang w:eastAsia="en-US"/>
              </w:rPr>
              <w:t>, na počátku letošního roku dále zvolňoval. Mezikvartálně se zvýšil o 0,2 %, což bylo nejméně za poslední dva roky. Za letošním zpomalením stál zpracovatelský průmysl, jenž byl současně společně s malým uskupením ostatních činností služeb</w:t>
            </w:r>
            <w:r w:rsidRPr="004A0F58">
              <w:rPr>
                <w:rStyle w:val="Znakapoznpodarou"/>
                <w:color w:val="0D0D0D" w:themeColor="text1" w:themeTint="F2"/>
                <w:lang w:eastAsia="en-US"/>
              </w:rPr>
              <w:footnoteReference w:id="2"/>
            </w:r>
            <w:r w:rsidRPr="004A0F58">
              <w:rPr>
                <w:color w:val="0D0D0D" w:themeColor="text1" w:themeTint="F2"/>
                <w:lang w:eastAsia="en-US"/>
              </w:rPr>
              <w:t xml:space="preserve"> jediným ze sledovaných hlavních odvětví, jehož výkon se mezikvartálně snížil. Na růstové trajektorii pak ekonomiku udrželo zejména peněžnictví a pojišťovnictví. </w:t>
            </w:r>
            <w:r w:rsidRPr="004A0F58">
              <w:rPr>
                <w:color w:val="0D0D0D" w:themeColor="text1" w:themeTint="F2"/>
              </w:rPr>
              <w:t>Celkový výkon odvětví ekonomiky se tak nacházel o 5,5 % nad vrcholem z období poslední konjunktury (4.</w:t>
            </w:r>
            <w:r>
              <w:rPr>
                <w:color w:val="0D0D0D" w:themeColor="text1" w:themeTint="F2"/>
              </w:rPr>
              <w:t> </w:t>
            </w:r>
            <w:r w:rsidRPr="004A0F58">
              <w:rPr>
                <w:color w:val="0D0D0D" w:themeColor="text1" w:themeTint="F2"/>
              </w:rPr>
              <w:t>čtvrtletí 2019), z drtivé části zásluhou služeb (zejména informačních a komunikačních činností, vyspělých služeb pro podniky a veřejných služeb)</w:t>
            </w:r>
            <w:r w:rsidRPr="004A0F58">
              <w:rPr>
                <w:rStyle w:val="Znakapoznpodarou"/>
                <w:color w:val="0D0D0D" w:themeColor="text1" w:themeTint="F2"/>
              </w:rPr>
              <w:footnoteReference w:id="3"/>
            </w:r>
            <w:r w:rsidRPr="004A0F58">
              <w:rPr>
                <w:color w:val="0D0D0D" w:themeColor="text1" w:themeTint="F2"/>
              </w:rPr>
              <w:t>.</w:t>
            </w:r>
          </w:p>
        </w:tc>
      </w:tr>
      <w:tr w:rsidR="00BF53A6" w:rsidRPr="004A0F58" w14:paraId="571B1C78" w14:textId="77777777" w:rsidTr="000E74FE">
        <w:trPr>
          <w:trHeight w:val="145"/>
        </w:trPr>
        <w:tc>
          <w:tcPr>
            <w:tcW w:w="1683" w:type="dxa"/>
            <w:tcMar>
              <w:left w:w="0" w:type="dxa"/>
            </w:tcMar>
          </w:tcPr>
          <w:p w14:paraId="568B5A7C" w14:textId="77777777" w:rsidR="00BF53A6" w:rsidRPr="004A0F58" w:rsidRDefault="00BF53A6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  <w:r w:rsidRPr="004A0F58">
              <w:rPr>
                <w:color w:val="0D0D0D" w:themeColor="text1" w:themeTint="F2"/>
                <w:spacing w:val="0"/>
                <w:lang w:eastAsia="en-US"/>
              </w:rPr>
              <w:t>Meziroční růst HPH byl nadále dominantně tažen sektorem služeb, kde se dařilo všem hlavním odvětvím.</w:t>
            </w:r>
          </w:p>
        </w:tc>
        <w:tc>
          <w:tcPr>
            <w:tcW w:w="165" w:type="dxa"/>
            <w:tcMar>
              <w:left w:w="0" w:type="dxa"/>
            </w:tcMar>
          </w:tcPr>
          <w:p w14:paraId="3B1B2B9A" w14:textId="77777777" w:rsidR="00BF53A6" w:rsidRPr="004A0F58" w:rsidRDefault="00BF53A6" w:rsidP="000E74FE">
            <w:pPr>
              <w:pStyle w:val="Textpoznpodarou"/>
              <w:spacing w:after="240"/>
              <w:jc w:val="both"/>
              <w:rPr>
                <w:color w:val="0D0D0D" w:themeColor="text1" w:themeTint="F2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1C6483A5" w14:textId="77777777" w:rsidR="00BF53A6" w:rsidRPr="004A0F58" w:rsidRDefault="00BF53A6" w:rsidP="000E74FE">
            <w:pPr>
              <w:spacing w:after="200"/>
              <w:rPr>
                <w:color w:val="0D0D0D" w:themeColor="text1" w:themeTint="F2"/>
                <w:lang w:eastAsia="en-US"/>
              </w:rPr>
            </w:pPr>
            <w:r w:rsidRPr="004A0F58">
              <w:rPr>
                <w:color w:val="0D0D0D" w:themeColor="text1" w:themeTint="F2"/>
                <w:lang w:eastAsia="en-US"/>
              </w:rPr>
              <w:t>HPH se letos v 1. čtvrtletí meziročně zvýšil</w:t>
            </w:r>
            <w:r>
              <w:rPr>
                <w:color w:val="0D0D0D" w:themeColor="text1" w:themeTint="F2"/>
                <w:lang w:eastAsia="en-US"/>
              </w:rPr>
              <w:t>a</w:t>
            </w:r>
            <w:r w:rsidRPr="004A0F58">
              <w:rPr>
                <w:color w:val="0D0D0D" w:themeColor="text1" w:themeTint="F2"/>
                <w:lang w:eastAsia="en-US"/>
              </w:rPr>
              <w:t xml:space="preserve"> o 2,1 % a rostl</w:t>
            </w:r>
            <w:r>
              <w:rPr>
                <w:color w:val="0D0D0D" w:themeColor="text1" w:themeTint="F2"/>
                <w:lang w:eastAsia="en-US"/>
              </w:rPr>
              <w:t>a</w:t>
            </w:r>
            <w:r w:rsidRPr="004A0F58">
              <w:rPr>
                <w:color w:val="0D0D0D" w:themeColor="text1" w:themeTint="F2"/>
                <w:lang w:eastAsia="en-US"/>
              </w:rPr>
              <w:t xml:space="preserve"> tak již sedmý kvartál v řadě. Ve srovnání se stabilními růstovými loňskými tempy ovšem aktuální růst mírně zvolnil. Stálo za tím především váhově významné uskupení obchod, doprava, ubytování, kde výkon vzrostl o 2,8 % (nejméně za poslední dva roky) a stavebnictví. Pozitivní však je, že alespoň mírný růst si udržela všechna hlavní odvětví (vyjma nezpracovatelských průmyslových oborů, kde HPH klesla vinou útlumu v těžbě a dobývání). Vývoj celkové HPH byl nadále dominantně ovlivňován sektorem služeb (příspěvek k růstu +1,5 p. b), je</w:t>
            </w:r>
            <w:r>
              <w:rPr>
                <w:color w:val="0D0D0D" w:themeColor="text1" w:themeTint="F2"/>
                <w:lang w:eastAsia="en-US"/>
              </w:rPr>
              <w:t>n</w:t>
            </w:r>
            <w:r w:rsidRPr="004A0F58">
              <w:rPr>
                <w:color w:val="0D0D0D" w:themeColor="text1" w:themeTint="F2"/>
                <w:lang w:eastAsia="en-US"/>
              </w:rPr>
              <w:t xml:space="preserve">ž těžil zejména ze stabilně rostoucí tuzemské poptávky. Dařilo se zde zejména informačním a komunikačním činnostem, finančnictví a také vyspělým podnikovým službám. Z tradičních výrobních odvětví pokračoval růst HPH v uskupení zemědělství, </w:t>
            </w:r>
            <w:r w:rsidRPr="004A0F58">
              <w:rPr>
                <w:color w:val="0D0D0D" w:themeColor="text1" w:themeTint="F2"/>
                <w:spacing w:val="-2"/>
                <w:lang w:eastAsia="en-US"/>
              </w:rPr>
              <w:t>lesnictví a rybářství (+3,9 %), zpracovatelského průmyslu (+1,8 %) i stavebnictví (+2,2 %).</w:t>
            </w:r>
            <w:r w:rsidRPr="004A0F58">
              <w:rPr>
                <w:color w:val="0D0D0D" w:themeColor="text1" w:themeTint="F2"/>
                <w:lang w:eastAsia="en-US"/>
              </w:rPr>
              <w:t xml:space="preserve"> </w:t>
            </w:r>
          </w:p>
        </w:tc>
      </w:tr>
      <w:tr w:rsidR="00BF53A6" w:rsidRPr="004A0F58" w14:paraId="4C918508" w14:textId="77777777" w:rsidTr="000E74FE">
        <w:trPr>
          <w:trHeight w:val="145"/>
        </w:trPr>
        <w:tc>
          <w:tcPr>
            <w:tcW w:w="1683" w:type="dxa"/>
            <w:tcMar>
              <w:left w:w="0" w:type="dxa"/>
            </w:tcMar>
          </w:tcPr>
          <w:p w14:paraId="46200507" w14:textId="77777777" w:rsidR="00BF53A6" w:rsidRPr="004A0F58" w:rsidRDefault="00BF53A6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  <w:r w:rsidRPr="004A0F58">
              <w:rPr>
                <w:color w:val="0D0D0D" w:themeColor="text1" w:themeTint="F2"/>
                <w:spacing w:val="0"/>
              </w:rPr>
              <w:t>Pokračoval mírný růst výroby mléka i masa. Ve spotřebě masa pokračoval posun od hovězího masa k jiným produktům.</w:t>
            </w:r>
          </w:p>
          <w:p w14:paraId="556DCACA" w14:textId="77777777" w:rsidR="00BF53A6" w:rsidRPr="004A0F58" w:rsidRDefault="00BF53A6" w:rsidP="000E74FE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65" w:type="dxa"/>
            <w:tcMar>
              <w:left w:w="0" w:type="dxa"/>
            </w:tcMar>
          </w:tcPr>
          <w:p w14:paraId="70097AC7" w14:textId="77777777" w:rsidR="00BF53A6" w:rsidRPr="004A0F58" w:rsidRDefault="00BF53A6" w:rsidP="000E74FE">
            <w:pPr>
              <w:pStyle w:val="Textpoznpodarou"/>
              <w:spacing w:after="240"/>
              <w:jc w:val="both"/>
              <w:rPr>
                <w:color w:val="0D0D0D" w:themeColor="text1" w:themeTint="F2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36B80480" w14:textId="77777777" w:rsidR="00BF53A6" w:rsidRPr="004A0F58" w:rsidRDefault="00BF53A6" w:rsidP="000E74FE">
            <w:pPr>
              <w:spacing w:after="200"/>
              <w:rPr>
                <w:color w:val="0D0D0D" w:themeColor="text1" w:themeTint="F2"/>
                <w:spacing w:val="-3"/>
              </w:rPr>
            </w:pPr>
            <w:r w:rsidRPr="004A0F58">
              <w:rPr>
                <w:color w:val="0D0D0D" w:themeColor="text1" w:themeTint="F2"/>
                <w:spacing w:val="-3"/>
              </w:rPr>
              <w:t>Podrobnější pohled na jednotlivá odvětví přináší podnikové statistiky. Živočišná výroba letos navázala na hlavní trendy z předchozích čtvrtletí. V 1. čtvrtletí vzrostla meziročně v</w:t>
            </w:r>
            <w:r>
              <w:rPr>
                <w:color w:val="0D0D0D" w:themeColor="text1" w:themeTint="F2"/>
                <w:spacing w:val="-3"/>
              </w:rPr>
              <w:t> </w:t>
            </w:r>
            <w:r w:rsidRPr="004A0F58">
              <w:rPr>
                <w:color w:val="0D0D0D" w:themeColor="text1" w:themeTint="F2"/>
                <w:spacing w:val="-3"/>
              </w:rPr>
              <w:t>naturálním množství výroba masa na tuzemských jatkách (+3,5 %</w:t>
            </w:r>
            <w:r w:rsidRPr="004A0F58">
              <w:rPr>
                <w:rStyle w:val="Znakapoznpodarou"/>
                <w:color w:val="0D0D0D" w:themeColor="text1" w:themeTint="F2"/>
                <w:spacing w:val="-3"/>
              </w:rPr>
              <w:footnoteReference w:id="4"/>
            </w:r>
            <w:r w:rsidRPr="004A0F58">
              <w:rPr>
                <w:color w:val="0D0D0D" w:themeColor="text1" w:themeTint="F2"/>
                <w:spacing w:val="-3"/>
              </w:rPr>
              <w:t>, podobně i v úhrnu za roky 2024 a 2025). Výroba se tak zvýšila již desátý kvartál v řadě. K jejímu růstu nejvíce přispěl segment drůbežího masa (stejně jako po většinu loňského roku), v němž se letos vyrobilo o 6,2 % více. Nadále se dařilo i produkci v dlouhodobě dominantní kategorii vepřového masa (+2,9 %), kde rychle rostly hlavně porážky prasnic</w:t>
            </w:r>
            <w:r w:rsidRPr="004A0F58">
              <w:rPr>
                <w:rStyle w:val="Znakapoznpodarou"/>
                <w:color w:val="0D0D0D" w:themeColor="text1" w:themeTint="F2"/>
                <w:spacing w:val="-3"/>
              </w:rPr>
              <w:footnoteReference w:id="5"/>
            </w:r>
            <w:r w:rsidRPr="004A0F58">
              <w:rPr>
                <w:color w:val="0D0D0D" w:themeColor="text1" w:themeTint="F2"/>
                <w:spacing w:val="-3"/>
              </w:rPr>
              <w:t>. Na jatkách se ale vyrobilo méně hovězího masa (</w:t>
            </w:r>
            <w:r>
              <w:rPr>
                <w:color w:val="0D0D0D" w:themeColor="text1" w:themeTint="F2"/>
                <w:spacing w:val="-3"/>
              </w:rPr>
              <w:t>−</w:t>
            </w:r>
            <w:r w:rsidRPr="004A0F58">
              <w:rPr>
                <w:color w:val="0D0D0D" w:themeColor="text1" w:themeTint="F2"/>
                <w:spacing w:val="-3"/>
              </w:rPr>
              <w:t>1,5 %, meziroční pokles trvá nepřetržitě od počátku roku 2024), když se snížily porážky ve všech kategoriích (nejvíce telat), současně ovšem rostla průměrná porážková hmotnost. Vysoká produktivita výroby, růst exportu i zvyšující se tuzemská poptávka po mléčných výrobcích se odrážely v pokračujícím rozvoji mlékárenství. V 1. čtvrtletí vzrostla v naturálním vyjádření výroba mléka</w:t>
            </w:r>
            <w:r>
              <w:rPr>
                <w:color w:val="0D0D0D" w:themeColor="text1" w:themeTint="F2"/>
                <w:spacing w:val="-3"/>
              </w:rPr>
              <w:t xml:space="preserve"> o</w:t>
            </w:r>
            <w:r w:rsidRPr="004A0F58">
              <w:rPr>
                <w:color w:val="0D0D0D" w:themeColor="text1" w:themeTint="F2"/>
                <w:spacing w:val="-3"/>
              </w:rPr>
              <w:t xml:space="preserve"> 4,0 % (za celý loňský rok </w:t>
            </w:r>
            <w:r>
              <w:rPr>
                <w:color w:val="0D0D0D" w:themeColor="text1" w:themeTint="F2"/>
                <w:spacing w:val="-3"/>
              </w:rPr>
              <w:br/>
            </w:r>
            <w:r w:rsidRPr="004A0F58">
              <w:rPr>
                <w:color w:val="0D0D0D" w:themeColor="text1" w:themeTint="F2"/>
                <w:spacing w:val="-3"/>
              </w:rPr>
              <w:t>o 3,2 %), z toho samotný nákup tuzemskými mlékárnami rostl stejně jako loni pomaleji, prvovýrobcům se tak dařilo nacházet alternativní prodejní kanály v</w:t>
            </w:r>
            <w:r>
              <w:rPr>
                <w:color w:val="0D0D0D" w:themeColor="text1" w:themeTint="F2"/>
                <w:spacing w:val="-3"/>
              </w:rPr>
              <w:t>č.</w:t>
            </w:r>
            <w:r w:rsidRPr="004A0F58">
              <w:rPr>
                <w:color w:val="0D0D0D" w:themeColor="text1" w:themeTint="F2"/>
                <w:spacing w:val="-3"/>
              </w:rPr>
              <w:t xml:space="preserve"> exportu. </w:t>
            </w:r>
          </w:p>
        </w:tc>
      </w:tr>
      <w:tr w:rsidR="00BF53A6" w:rsidRPr="004A0F58" w14:paraId="0B636988" w14:textId="77777777" w:rsidTr="000E74FE">
        <w:trPr>
          <w:trHeight w:val="145"/>
        </w:trPr>
        <w:tc>
          <w:tcPr>
            <w:tcW w:w="1683" w:type="dxa"/>
            <w:tcMar>
              <w:left w:w="0" w:type="dxa"/>
            </w:tcMar>
          </w:tcPr>
          <w:p w14:paraId="05A95848" w14:textId="77777777" w:rsidR="00BF53A6" w:rsidRPr="004A0F58" w:rsidRDefault="00BF53A6" w:rsidP="000E74FE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  <w:r w:rsidRPr="004A0F58">
              <w:rPr>
                <w:color w:val="0D0D0D" w:themeColor="text1" w:themeTint="F2"/>
                <w:spacing w:val="0"/>
              </w:rPr>
              <w:t xml:space="preserve">Výraznější oživení průmyslu, patrné na konci roku 2025, již </w:t>
            </w:r>
            <w:r w:rsidRPr="004A0F58">
              <w:rPr>
                <w:color w:val="0D0D0D" w:themeColor="text1" w:themeTint="F2"/>
                <w:spacing w:val="0"/>
              </w:rPr>
              <w:lastRenderedPageBreak/>
              <w:t>nepokračovalo. Produkce v řadě důležitých</w:t>
            </w:r>
            <w:r>
              <w:rPr>
                <w:color w:val="0D0D0D" w:themeColor="text1" w:themeTint="F2"/>
                <w:spacing w:val="0"/>
              </w:rPr>
              <w:t>,</w:t>
            </w:r>
            <w:r w:rsidRPr="004A0F58">
              <w:rPr>
                <w:color w:val="0D0D0D" w:themeColor="text1" w:themeTint="F2"/>
                <w:spacing w:val="0"/>
              </w:rPr>
              <w:t xml:space="preserve"> investičně zaměřených oborů mezikvartálně klesla. </w:t>
            </w:r>
          </w:p>
        </w:tc>
        <w:tc>
          <w:tcPr>
            <w:tcW w:w="165" w:type="dxa"/>
            <w:tcMar>
              <w:left w:w="0" w:type="dxa"/>
            </w:tcMar>
          </w:tcPr>
          <w:p w14:paraId="4CAC6380" w14:textId="77777777" w:rsidR="00BF53A6" w:rsidRPr="004A0F58" w:rsidRDefault="00BF53A6" w:rsidP="000E74FE">
            <w:pPr>
              <w:pStyle w:val="Textpoznpodarou"/>
              <w:spacing w:after="240"/>
              <w:jc w:val="both"/>
              <w:rPr>
                <w:color w:val="0D0D0D" w:themeColor="text1" w:themeTint="F2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0C71F8D3" w14:textId="77777777" w:rsidR="00BF53A6" w:rsidRPr="004A0F58" w:rsidRDefault="00BF53A6" w:rsidP="000E74FE">
            <w:pPr>
              <w:spacing w:after="200"/>
              <w:rPr>
                <w:color w:val="0D0D0D" w:themeColor="text1" w:themeTint="F2"/>
                <w:spacing w:val="-4"/>
              </w:rPr>
            </w:pPr>
            <w:r w:rsidRPr="004A0F58">
              <w:rPr>
                <w:color w:val="0D0D0D" w:themeColor="text1" w:themeTint="F2"/>
                <w:spacing w:val="-4"/>
              </w:rPr>
              <w:t xml:space="preserve">Po loňském roce, kdy se v tuzemském průmyslu dále stabilizovala situace v oblasti nákladových tlaků, i přes kolísavý vývoj </w:t>
            </w:r>
            <w:r>
              <w:rPr>
                <w:color w:val="0D0D0D" w:themeColor="text1" w:themeTint="F2"/>
                <w:spacing w:val="-4"/>
              </w:rPr>
              <w:t xml:space="preserve">podmínek </w:t>
            </w:r>
            <w:r w:rsidRPr="004A0F58">
              <w:rPr>
                <w:color w:val="0D0D0D" w:themeColor="text1" w:themeTint="F2"/>
                <w:spacing w:val="-4"/>
              </w:rPr>
              <w:t xml:space="preserve">(i vlivem napětí v obchodních vztazích EU </w:t>
            </w:r>
            <w:r w:rsidRPr="004A0F58">
              <w:rPr>
                <w:color w:val="0D0D0D" w:themeColor="text1" w:themeTint="F2"/>
                <w:spacing w:val="-4"/>
              </w:rPr>
              <w:lastRenderedPageBreak/>
              <w:t xml:space="preserve">a USA) rostla zahraniční poptávka i ta domácí (i díky oživení investiční aktivity), se na počátku letošního roku situace zhoršila. Zpomalení již tak poměrně slabého hospodářského růstu v EU (vč. pro Česko klíčových obchodních partnerů) umocnila březnová eskalace války na Blízkém východě. Ta vedla k prudkému růstu světových cen klíčových energetických komodit a dalších surovin, narušila křehkou podnikatelskou i spotřebitelskou důvěru (zejména v eurozóně) a zvýšila riziko širších a hlubších dopadů u tradičních výrobních odvětví </w:t>
            </w:r>
            <w:r>
              <w:rPr>
                <w:color w:val="0D0D0D" w:themeColor="text1" w:themeTint="F2"/>
                <w:spacing w:val="-4"/>
              </w:rPr>
              <w:t>vlivem</w:t>
            </w:r>
            <w:r w:rsidRPr="004A0F58">
              <w:rPr>
                <w:color w:val="0D0D0D" w:themeColor="text1" w:themeTint="F2"/>
                <w:spacing w:val="-4"/>
              </w:rPr>
              <w:t xml:space="preserve"> narušení globálních dodavatelských řetězců. Na tuto situaci reagoval i</w:t>
            </w:r>
            <w:r>
              <w:rPr>
                <w:color w:val="0D0D0D" w:themeColor="text1" w:themeTint="F2"/>
                <w:spacing w:val="-4"/>
              </w:rPr>
              <w:t> </w:t>
            </w:r>
            <w:r w:rsidRPr="004A0F58">
              <w:rPr>
                <w:color w:val="0D0D0D" w:themeColor="text1" w:themeTint="F2"/>
                <w:spacing w:val="-4"/>
              </w:rPr>
              <w:t>tuzemský průmysl – jeho produkce</w:t>
            </w:r>
            <w:r w:rsidRPr="004A0F58">
              <w:rPr>
                <w:rStyle w:val="Znakapoznpodarou"/>
                <w:color w:val="0D0D0D" w:themeColor="text1" w:themeTint="F2"/>
                <w:spacing w:val="-4"/>
              </w:rPr>
              <w:footnoteReference w:id="6"/>
            </w:r>
            <w:r w:rsidRPr="004A0F58">
              <w:rPr>
                <w:color w:val="0D0D0D" w:themeColor="text1" w:themeTint="F2"/>
                <w:spacing w:val="-4"/>
              </w:rPr>
              <w:t xml:space="preserve"> se po výraznějším oživení, jež nastalo ve 4. čtvrtletí 2025, na počátku letošního roku mezikvartálně mírně snížila (o 0,</w:t>
            </w:r>
            <w:r>
              <w:rPr>
                <w:color w:val="0D0D0D" w:themeColor="text1" w:themeTint="F2"/>
                <w:spacing w:val="-4"/>
              </w:rPr>
              <w:t>9</w:t>
            </w:r>
            <w:r w:rsidRPr="004A0F58">
              <w:rPr>
                <w:color w:val="0D0D0D" w:themeColor="text1" w:themeTint="F2"/>
                <w:spacing w:val="-4"/>
              </w:rPr>
              <w:t xml:space="preserve"> %). Na tomto poklesu se podílely investičně zaměřené obory a také relativně malý segment oborů vyrábějících produkty dlouhodobé spotřeby, který se však s útlumem poptávky potýkal i po většin</w:t>
            </w:r>
            <w:r>
              <w:rPr>
                <w:color w:val="0D0D0D" w:themeColor="text1" w:themeTint="F2"/>
                <w:spacing w:val="-4"/>
              </w:rPr>
              <w:t>u</w:t>
            </w:r>
            <w:r w:rsidRPr="004A0F58">
              <w:rPr>
                <w:color w:val="0D0D0D" w:themeColor="text1" w:themeTint="F2"/>
                <w:spacing w:val="-4"/>
              </w:rPr>
              <w:t xml:space="preserve"> loňského roku. Navzdory aktuálnímu vývoji se celková průmyslová produkce letos v 1. čtvrtletí stále nacházela velmi mírně (o 0,</w:t>
            </w:r>
            <w:r>
              <w:rPr>
                <w:color w:val="0D0D0D" w:themeColor="text1" w:themeTint="F2"/>
                <w:spacing w:val="-4"/>
              </w:rPr>
              <w:t>2</w:t>
            </w:r>
            <w:r w:rsidRPr="004A0F58">
              <w:rPr>
                <w:color w:val="0D0D0D" w:themeColor="text1" w:themeTint="F2"/>
                <w:spacing w:val="-4"/>
              </w:rPr>
              <w:t xml:space="preserve"> %) nad úrovní z vrcholu z období poslední konjunktury (2</w:t>
            </w:r>
            <w:r>
              <w:rPr>
                <w:color w:val="0D0D0D" w:themeColor="text1" w:themeTint="F2"/>
                <w:spacing w:val="-4"/>
              </w:rPr>
              <w:t>. </w:t>
            </w:r>
            <w:r w:rsidRPr="004A0F58">
              <w:rPr>
                <w:color w:val="0D0D0D" w:themeColor="text1" w:themeTint="F2"/>
                <w:spacing w:val="-4"/>
              </w:rPr>
              <w:t>čtvrtletí 2019)</w:t>
            </w:r>
            <w:r w:rsidRPr="004A0F58">
              <w:rPr>
                <w:rStyle w:val="Znakapoznpodarou"/>
                <w:color w:val="0D0D0D" w:themeColor="text1" w:themeTint="F2"/>
                <w:spacing w:val="-4"/>
              </w:rPr>
              <w:footnoteReference w:id="7"/>
            </w:r>
            <w:r>
              <w:rPr>
                <w:color w:val="0D0D0D" w:themeColor="text1" w:themeTint="F2"/>
                <w:spacing w:val="-4"/>
              </w:rPr>
              <w:t>,</w:t>
            </w:r>
            <w:r w:rsidRPr="004A0F58">
              <w:rPr>
                <w:color w:val="0D0D0D" w:themeColor="text1" w:themeTint="F2"/>
                <w:spacing w:val="-4"/>
              </w:rPr>
              <w:t xml:space="preserve"> a</w:t>
            </w:r>
            <w:r>
              <w:rPr>
                <w:color w:val="0D0D0D" w:themeColor="text1" w:themeTint="F2"/>
                <w:spacing w:val="-4"/>
              </w:rPr>
              <w:t>však</w:t>
            </w:r>
            <w:r w:rsidRPr="004A0F58">
              <w:rPr>
                <w:color w:val="0D0D0D" w:themeColor="text1" w:themeTint="F2"/>
                <w:spacing w:val="-4"/>
              </w:rPr>
              <w:t xml:space="preserve"> současně </w:t>
            </w:r>
            <w:r>
              <w:rPr>
                <w:color w:val="0D0D0D" w:themeColor="text1" w:themeTint="F2"/>
                <w:spacing w:val="-4"/>
              </w:rPr>
              <w:t xml:space="preserve">nepatrně zaostávala za </w:t>
            </w:r>
            <w:r w:rsidRPr="004A0F58">
              <w:rPr>
                <w:color w:val="0D0D0D" w:themeColor="text1" w:themeTint="F2"/>
                <w:spacing w:val="-4"/>
              </w:rPr>
              <w:t>vrchol</w:t>
            </w:r>
            <w:r>
              <w:rPr>
                <w:color w:val="0D0D0D" w:themeColor="text1" w:themeTint="F2"/>
                <w:spacing w:val="-4"/>
              </w:rPr>
              <w:t>em</w:t>
            </w:r>
            <w:r w:rsidRPr="004A0F58">
              <w:rPr>
                <w:color w:val="0D0D0D" w:themeColor="text1" w:themeTint="F2"/>
                <w:spacing w:val="-4"/>
              </w:rPr>
              <w:t xml:space="preserve"> z období post-pandemického oživení (3. čtvrtletí 2022).</w:t>
            </w:r>
          </w:p>
        </w:tc>
      </w:tr>
      <w:tr w:rsidR="00BF53A6" w:rsidRPr="004A0F58" w14:paraId="7511A87D" w14:textId="77777777" w:rsidTr="000E74FE">
        <w:trPr>
          <w:trHeight w:val="145"/>
        </w:trPr>
        <w:tc>
          <w:tcPr>
            <w:tcW w:w="1683" w:type="dxa"/>
            <w:tcMar>
              <w:left w:w="0" w:type="dxa"/>
            </w:tcMar>
          </w:tcPr>
          <w:p w14:paraId="7FD446B1" w14:textId="77777777" w:rsidR="00BF53A6" w:rsidRDefault="00BF53A6" w:rsidP="000E74FE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  <w:r w:rsidRPr="004A0F58">
              <w:rPr>
                <w:color w:val="0D0D0D" w:themeColor="text1" w:themeTint="F2"/>
                <w:spacing w:val="0"/>
              </w:rPr>
              <w:lastRenderedPageBreak/>
              <w:t xml:space="preserve">K mírnému růstu průmyslové produkce letos nejvíce přispěla výroba dopravních prostředků spolu s některými návaznými obory. </w:t>
            </w:r>
          </w:p>
          <w:p w14:paraId="0DA8EEA9" w14:textId="77777777" w:rsidR="00BF53A6" w:rsidRDefault="00BF53A6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24D894B3" w14:textId="77777777" w:rsidR="00BF53A6" w:rsidRDefault="00BF53A6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23CD5F8F" w14:textId="77777777" w:rsidR="00BF53A6" w:rsidRDefault="00BF53A6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18D7C433" w14:textId="77777777" w:rsidR="00BF53A6" w:rsidRDefault="00BF53A6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288E8470" w14:textId="77777777" w:rsidR="00BF53A6" w:rsidRDefault="00BF53A6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7E7B8118" w14:textId="77777777" w:rsidR="00BF53A6" w:rsidRDefault="00BF53A6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63146FB3" w14:textId="77777777" w:rsidR="00BF53A6" w:rsidRDefault="00BF53A6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220E1B24" w14:textId="77777777" w:rsidR="00BF53A6" w:rsidRDefault="00BF53A6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12340A40" w14:textId="77777777" w:rsidR="00BF53A6" w:rsidRDefault="00BF53A6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7179E861" w14:textId="77777777" w:rsidR="00BF53A6" w:rsidRDefault="00BF53A6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6CD4B4BE" w14:textId="77777777" w:rsidR="00BF53A6" w:rsidRDefault="00BF53A6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3726BF41" w14:textId="77777777" w:rsidR="00BF53A6" w:rsidRDefault="00BF53A6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6483FF8C" w14:textId="77777777" w:rsidR="00BF53A6" w:rsidRDefault="00BF53A6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36EF7D05" w14:textId="77777777" w:rsidR="00BF53A6" w:rsidRPr="004A0F58" w:rsidRDefault="00BF53A6" w:rsidP="000E74FE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  <w:r w:rsidRPr="004A0F58">
              <w:rPr>
                <w:color w:val="0D0D0D" w:themeColor="text1" w:themeTint="F2"/>
                <w:spacing w:val="0"/>
              </w:rPr>
              <w:t>Dařilo se i většině dalších investičně zaměřených oborů, zejména kovodělnému průmyslu, kde se projevoval svižný rozvoj segmentu zbrojní výroby.</w:t>
            </w:r>
          </w:p>
        </w:tc>
        <w:tc>
          <w:tcPr>
            <w:tcW w:w="165" w:type="dxa"/>
            <w:tcMar>
              <w:left w:w="0" w:type="dxa"/>
            </w:tcMar>
          </w:tcPr>
          <w:p w14:paraId="1C9BF685" w14:textId="77777777" w:rsidR="00BF53A6" w:rsidRPr="004A0F58" w:rsidRDefault="00BF53A6" w:rsidP="000E74FE">
            <w:pPr>
              <w:pStyle w:val="Textpoznpodarou"/>
              <w:spacing w:after="240"/>
              <w:jc w:val="both"/>
              <w:rPr>
                <w:color w:val="0D0D0D" w:themeColor="text1" w:themeTint="F2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264D0DA8" w14:textId="77777777" w:rsidR="00BF53A6" w:rsidRPr="004A0F58" w:rsidRDefault="00BF53A6" w:rsidP="000E74FE">
            <w:pPr>
              <w:spacing w:after="200"/>
              <w:rPr>
                <w:color w:val="0D0D0D" w:themeColor="text1" w:themeTint="F2"/>
                <w:spacing w:val="-4"/>
              </w:rPr>
            </w:pPr>
            <w:r w:rsidRPr="004A0F58">
              <w:rPr>
                <w:color w:val="0D0D0D" w:themeColor="text1" w:themeTint="F2"/>
                <w:spacing w:val="-4"/>
              </w:rPr>
              <w:t>V meziročním srovnání průmyslová produkce v 1. čtvrtletí 2026 mírně rostla (+1</w:t>
            </w:r>
            <w:r>
              <w:rPr>
                <w:color w:val="0D0D0D" w:themeColor="text1" w:themeTint="F2"/>
                <w:spacing w:val="-4"/>
              </w:rPr>
              <w:t>,4</w:t>
            </w:r>
            <w:r w:rsidRPr="004A0F58">
              <w:rPr>
                <w:color w:val="0D0D0D" w:themeColor="text1" w:themeTint="F2"/>
                <w:spacing w:val="-4"/>
              </w:rPr>
              <w:t xml:space="preserve"> %) a</w:t>
            </w:r>
            <w:r>
              <w:rPr>
                <w:color w:val="0D0D0D" w:themeColor="text1" w:themeTint="F2"/>
                <w:spacing w:val="-4"/>
              </w:rPr>
              <w:t> </w:t>
            </w:r>
            <w:r w:rsidRPr="004A0F58">
              <w:rPr>
                <w:color w:val="0D0D0D" w:themeColor="text1" w:themeTint="F2"/>
                <w:spacing w:val="-4"/>
              </w:rPr>
              <w:t xml:space="preserve">zvyšovala se tak pátý kvartál v řadě. Letošní vývoj byl nejvíce ovlivněn oborem výroby motorových vozidel, jehož výkon se zvýšil o </w:t>
            </w:r>
            <w:r>
              <w:rPr>
                <w:color w:val="0D0D0D" w:themeColor="text1" w:themeTint="F2"/>
                <w:spacing w:val="-4"/>
              </w:rPr>
              <w:t>4,3</w:t>
            </w:r>
            <w:r w:rsidRPr="004A0F58">
              <w:rPr>
                <w:color w:val="0D0D0D" w:themeColor="text1" w:themeTint="F2"/>
                <w:spacing w:val="-4"/>
              </w:rPr>
              <w:t xml:space="preserve"> % (nejvíce od konce roku 2023) a k růstu celého průmyslu přispěl 0,</w:t>
            </w:r>
            <w:r>
              <w:rPr>
                <w:color w:val="0D0D0D" w:themeColor="text1" w:themeTint="F2"/>
                <w:spacing w:val="-4"/>
              </w:rPr>
              <w:t>83</w:t>
            </w:r>
            <w:r w:rsidRPr="004A0F58">
              <w:rPr>
                <w:color w:val="0D0D0D" w:themeColor="text1" w:themeTint="F2"/>
                <w:spacing w:val="-4"/>
              </w:rPr>
              <w:t xml:space="preserve"> p. b. Příznivě se zde projevilo oživení zahraniční poptávky, jenž bylo zejména ve formě svižného růstu nových zakázek patrné již loni a na jeho konci se odrazilo i ve vysokém využití výrobních kapacit tuzemských automobilek. </w:t>
            </w:r>
            <w:r>
              <w:rPr>
                <w:color w:val="0D0D0D" w:themeColor="text1" w:themeTint="F2"/>
                <w:spacing w:val="-4"/>
              </w:rPr>
              <w:t>K</w:t>
            </w:r>
            <w:r w:rsidRPr="004A0F58">
              <w:rPr>
                <w:color w:val="0D0D0D" w:themeColor="text1" w:themeTint="F2"/>
                <w:spacing w:val="-4"/>
              </w:rPr>
              <w:t xml:space="preserve">romě </w:t>
            </w:r>
            <w:r w:rsidRPr="004A0F58">
              <w:rPr>
                <w:color w:val="0D0D0D" w:themeColor="text1" w:themeTint="F2"/>
                <w:spacing w:val="-3"/>
              </w:rPr>
              <w:t>finálních výrobců vozidel</w:t>
            </w:r>
            <w:r w:rsidRPr="004A0F58">
              <w:rPr>
                <w:rStyle w:val="Znakapoznpodarou"/>
                <w:color w:val="0D0D0D" w:themeColor="text1" w:themeTint="F2"/>
                <w:spacing w:val="-3"/>
              </w:rPr>
              <w:footnoteReference w:id="8"/>
            </w:r>
            <w:r w:rsidRPr="004A0F58">
              <w:rPr>
                <w:color w:val="0D0D0D" w:themeColor="text1" w:themeTint="F2"/>
                <w:spacing w:val="-3"/>
              </w:rPr>
              <w:t xml:space="preserve"> </w:t>
            </w:r>
            <w:r w:rsidRPr="004A0F58">
              <w:rPr>
                <w:color w:val="0D0D0D" w:themeColor="text1" w:themeTint="F2"/>
                <w:spacing w:val="-4"/>
              </w:rPr>
              <w:t>ovlivňují významně</w:t>
            </w:r>
            <w:r w:rsidRPr="004A0F58">
              <w:rPr>
                <w:color w:val="0D0D0D" w:themeColor="text1" w:themeTint="F2"/>
                <w:spacing w:val="-3"/>
              </w:rPr>
              <w:t xml:space="preserve"> </w:t>
            </w:r>
            <w:r>
              <w:rPr>
                <w:color w:val="0D0D0D" w:themeColor="text1" w:themeTint="F2"/>
                <w:spacing w:val="-4"/>
              </w:rPr>
              <w:t>v</w:t>
            </w:r>
            <w:r w:rsidRPr="004A0F58">
              <w:rPr>
                <w:color w:val="0D0D0D" w:themeColor="text1" w:themeTint="F2"/>
                <w:spacing w:val="-4"/>
              </w:rPr>
              <w:t xml:space="preserve">ýkon výše uvedeného oboru </w:t>
            </w:r>
            <w:r w:rsidRPr="004A0F58">
              <w:rPr>
                <w:color w:val="0D0D0D" w:themeColor="text1" w:themeTint="F2"/>
                <w:spacing w:val="-3"/>
              </w:rPr>
              <w:t>také tuzemští subdodavatelé autodílů (působící v rámci odvětví automobilového průmyslu). Rozvoj automobilového průmysl</w:t>
            </w:r>
            <w:r>
              <w:rPr>
                <w:color w:val="0D0D0D" w:themeColor="text1" w:themeTint="F2"/>
                <w:spacing w:val="-3"/>
              </w:rPr>
              <w:t>u</w:t>
            </w:r>
            <w:r w:rsidRPr="004A0F58">
              <w:rPr>
                <w:color w:val="0D0D0D" w:themeColor="text1" w:themeTint="F2"/>
                <w:spacing w:val="-3"/>
              </w:rPr>
              <w:t xml:space="preserve"> se letos promítl i do vyšší produkce </w:t>
            </w:r>
            <w:r w:rsidRPr="004A0F58">
              <w:rPr>
                <w:color w:val="0D0D0D" w:themeColor="text1" w:themeTint="F2"/>
                <w:spacing w:val="-4"/>
              </w:rPr>
              <w:t xml:space="preserve">gumárenství a </w:t>
            </w:r>
            <w:proofErr w:type="spellStart"/>
            <w:r w:rsidRPr="004A0F58">
              <w:rPr>
                <w:color w:val="0D0D0D" w:themeColor="text1" w:themeTint="F2"/>
                <w:spacing w:val="-4"/>
              </w:rPr>
              <w:t>plastikářství</w:t>
            </w:r>
            <w:proofErr w:type="spellEnd"/>
            <w:r w:rsidRPr="004A0F58">
              <w:rPr>
                <w:color w:val="0D0D0D" w:themeColor="text1" w:themeTint="F2"/>
                <w:spacing w:val="-4"/>
              </w:rPr>
              <w:t>, (+4,</w:t>
            </w:r>
            <w:r>
              <w:rPr>
                <w:color w:val="0D0D0D" w:themeColor="text1" w:themeTint="F2"/>
                <w:spacing w:val="-4"/>
              </w:rPr>
              <w:t>7</w:t>
            </w:r>
            <w:r w:rsidRPr="004A0F58">
              <w:rPr>
                <w:color w:val="0D0D0D" w:themeColor="text1" w:themeTint="F2"/>
                <w:spacing w:val="-4"/>
              </w:rPr>
              <w:t> %, příspěvek k růstu celé</w:t>
            </w:r>
            <w:r>
              <w:rPr>
                <w:color w:val="0D0D0D" w:themeColor="text1" w:themeTint="F2"/>
                <w:spacing w:val="-4"/>
              </w:rPr>
              <w:t>ho</w:t>
            </w:r>
            <w:r w:rsidRPr="004A0F58">
              <w:rPr>
                <w:color w:val="0D0D0D" w:themeColor="text1" w:themeTint="F2"/>
                <w:spacing w:val="-4"/>
              </w:rPr>
              <w:t xml:space="preserve"> průmyslu +0,</w:t>
            </w:r>
            <w:r>
              <w:rPr>
                <w:color w:val="0D0D0D" w:themeColor="text1" w:themeTint="F2"/>
                <w:spacing w:val="-4"/>
              </w:rPr>
              <w:t>30</w:t>
            </w:r>
            <w:r w:rsidRPr="004A0F58">
              <w:rPr>
                <w:color w:val="0D0D0D" w:themeColor="text1" w:themeTint="F2"/>
                <w:spacing w:val="-4"/>
              </w:rPr>
              <w:t xml:space="preserve"> p. b.). Naopak další návazný obor výroby elektrických zařízení vlivem aktuálně slabší zahraniční poptávky fakticky stagnoval. Dařilo se relativně menšímu oboru výroby ostatních (zejména kolejových) dopravních prostředků, je</w:t>
            </w:r>
            <w:r>
              <w:rPr>
                <w:color w:val="0D0D0D" w:themeColor="text1" w:themeTint="F2"/>
                <w:spacing w:val="-4"/>
              </w:rPr>
              <w:t>n</w:t>
            </w:r>
            <w:r w:rsidRPr="004A0F58">
              <w:rPr>
                <w:color w:val="0D0D0D" w:themeColor="text1" w:themeTint="F2"/>
                <w:spacing w:val="-4"/>
              </w:rPr>
              <w:t>ž profitoval z dlouhodobější preference nízkoemisní dopravy a v posledních letech také z rostoucích veřejných výdajů v oblasti obrany a bezpečnosti. Produkce v tomto oboru má nicméně v důsledku nepravidelnosti fakturace prací dosti volatilní charakter. Jeho svižný růst v 1. čtvrtletí (</w:t>
            </w:r>
            <w:r>
              <w:rPr>
                <w:color w:val="0D0D0D" w:themeColor="text1" w:themeTint="F2"/>
                <w:spacing w:val="-4"/>
              </w:rPr>
              <w:t>18</w:t>
            </w:r>
            <w:r w:rsidRPr="004A0F58">
              <w:rPr>
                <w:color w:val="0D0D0D" w:themeColor="text1" w:themeTint="F2"/>
                <w:spacing w:val="-4"/>
              </w:rPr>
              <w:t>,1 %, příspěvek k růstu celé</w:t>
            </w:r>
            <w:r>
              <w:rPr>
                <w:color w:val="0D0D0D" w:themeColor="text1" w:themeTint="F2"/>
                <w:spacing w:val="-4"/>
              </w:rPr>
              <w:t>ho</w:t>
            </w:r>
            <w:r w:rsidRPr="004A0F58">
              <w:rPr>
                <w:color w:val="0D0D0D" w:themeColor="text1" w:themeTint="F2"/>
                <w:spacing w:val="-4"/>
              </w:rPr>
              <w:t xml:space="preserve"> průmyslu +0,</w:t>
            </w:r>
            <w:r>
              <w:rPr>
                <w:color w:val="0D0D0D" w:themeColor="text1" w:themeTint="F2"/>
                <w:spacing w:val="-4"/>
              </w:rPr>
              <w:t>25</w:t>
            </w:r>
            <w:r w:rsidRPr="004A0F58">
              <w:rPr>
                <w:color w:val="0D0D0D" w:themeColor="text1" w:themeTint="F2"/>
                <w:spacing w:val="-4"/>
              </w:rPr>
              <w:t xml:space="preserve"> p. b.) i </w:t>
            </w:r>
            <w:r>
              <w:rPr>
                <w:color w:val="0D0D0D" w:themeColor="text1" w:themeTint="F2"/>
                <w:spacing w:val="-4"/>
              </w:rPr>
              <w:t xml:space="preserve">v </w:t>
            </w:r>
            <w:r w:rsidRPr="004A0F58">
              <w:rPr>
                <w:color w:val="0D0D0D" w:themeColor="text1" w:themeTint="F2"/>
                <w:spacing w:val="-4"/>
              </w:rPr>
              <w:t xml:space="preserve">předchozím kvartálu (+30,1 %), </w:t>
            </w:r>
            <w:r>
              <w:rPr>
                <w:color w:val="0D0D0D" w:themeColor="text1" w:themeTint="F2"/>
                <w:spacing w:val="-4"/>
              </w:rPr>
              <w:t>který</w:t>
            </w:r>
            <w:r w:rsidRPr="004A0F58">
              <w:rPr>
                <w:color w:val="0D0D0D" w:themeColor="text1" w:themeTint="F2"/>
                <w:spacing w:val="-4"/>
              </w:rPr>
              <w:t xml:space="preserve"> byl nejvyšší mezi všemi průmyslovými obory, tak částečně souvisel s nižší srovnávací základnou. Rozvíjely se rovněž další investičně zaměřené obory. V kovodělném průmyslu se produkce zvýšila o </w:t>
            </w:r>
            <w:r>
              <w:rPr>
                <w:color w:val="0D0D0D" w:themeColor="text1" w:themeTint="F2"/>
                <w:spacing w:val="-4"/>
              </w:rPr>
              <w:t>4</w:t>
            </w:r>
            <w:r w:rsidRPr="004A0F58">
              <w:rPr>
                <w:color w:val="0D0D0D" w:themeColor="text1" w:themeTint="F2"/>
                <w:spacing w:val="-4"/>
              </w:rPr>
              <w:t>,8 % (rostla nepřetržitě od poloviny roku 2024) a celý průmysl podpořila silou 0,</w:t>
            </w:r>
            <w:r>
              <w:rPr>
                <w:color w:val="0D0D0D" w:themeColor="text1" w:themeTint="F2"/>
                <w:spacing w:val="-4"/>
              </w:rPr>
              <w:t>4</w:t>
            </w:r>
            <w:r w:rsidRPr="004A0F58">
              <w:rPr>
                <w:color w:val="0D0D0D" w:themeColor="text1" w:themeTint="F2"/>
                <w:spacing w:val="-4"/>
              </w:rPr>
              <w:t xml:space="preserve">8 p. b. Zatímco po většinu loňského roku se zde projevovala vyšší domácí poptávka, aktuálně hraje </w:t>
            </w:r>
            <w:r>
              <w:rPr>
                <w:color w:val="0D0D0D" w:themeColor="text1" w:themeTint="F2"/>
                <w:spacing w:val="-4"/>
              </w:rPr>
              <w:t>významnější</w:t>
            </w:r>
            <w:r w:rsidRPr="004A0F58">
              <w:rPr>
                <w:color w:val="0D0D0D" w:themeColor="text1" w:themeTint="F2"/>
                <w:spacing w:val="-4"/>
              </w:rPr>
              <w:t xml:space="preserve"> roli </w:t>
            </w:r>
            <w:r>
              <w:rPr>
                <w:color w:val="0D0D0D" w:themeColor="text1" w:themeTint="F2"/>
                <w:spacing w:val="-4"/>
              </w:rPr>
              <w:t>rostoucí</w:t>
            </w:r>
            <w:r w:rsidRPr="004A0F58">
              <w:rPr>
                <w:color w:val="0D0D0D" w:themeColor="text1" w:themeTint="F2"/>
                <w:spacing w:val="-4"/>
              </w:rPr>
              <w:t xml:space="preserve"> zájem odběratelů ze zahraničí. Vyšší výroba kovových konstrukcí tak nachází uplatnění v automobilovém průmyslu a</w:t>
            </w:r>
            <w:r>
              <w:rPr>
                <w:color w:val="0D0D0D" w:themeColor="text1" w:themeTint="F2"/>
                <w:spacing w:val="-4"/>
              </w:rPr>
              <w:t> </w:t>
            </w:r>
            <w:r w:rsidRPr="004A0F58">
              <w:rPr>
                <w:color w:val="0D0D0D" w:themeColor="text1" w:themeTint="F2"/>
                <w:spacing w:val="-4"/>
              </w:rPr>
              <w:t>stavebnictví. Vedle toho se zde stále více projevuje rychlý růst v segmentu zbrojní výroby. Po loňském krátkodobém útlumu mírně ožila produkce ve výrobě počítačů, elektronických a</w:t>
            </w:r>
            <w:r>
              <w:rPr>
                <w:color w:val="0D0D0D" w:themeColor="text1" w:themeTint="F2"/>
                <w:spacing w:val="-4"/>
              </w:rPr>
              <w:t> </w:t>
            </w:r>
            <w:r w:rsidRPr="004A0F58">
              <w:rPr>
                <w:color w:val="0D0D0D" w:themeColor="text1" w:themeTint="F2"/>
                <w:spacing w:val="-4"/>
              </w:rPr>
              <w:t>optických přístrojů (+</w:t>
            </w:r>
            <w:r>
              <w:rPr>
                <w:color w:val="0D0D0D" w:themeColor="text1" w:themeTint="F2"/>
                <w:spacing w:val="-4"/>
              </w:rPr>
              <w:t>3</w:t>
            </w:r>
            <w:r w:rsidRPr="004A0F58">
              <w:rPr>
                <w:color w:val="0D0D0D" w:themeColor="text1" w:themeTint="F2"/>
                <w:spacing w:val="-4"/>
              </w:rPr>
              <w:t>,6 %) vyznačující se vysokou dovozní náročností a současně i</w:t>
            </w:r>
            <w:r>
              <w:rPr>
                <w:color w:val="0D0D0D" w:themeColor="text1" w:themeTint="F2"/>
                <w:spacing w:val="-4"/>
              </w:rPr>
              <w:t> </w:t>
            </w:r>
            <w:r w:rsidRPr="004A0F58">
              <w:rPr>
                <w:color w:val="0D0D0D" w:themeColor="text1" w:themeTint="F2"/>
                <w:spacing w:val="-4"/>
              </w:rPr>
              <w:t xml:space="preserve">výrazně proexportním zaměřením. Aktuální vývoj zaměstnanosti i zakázek v tomto oboru </w:t>
            </w:r>
            <w:r w:rsidRPr="004A0F58">
              <w:rPr>
                <w:color w:val="0D0D0D" w:themeColor="text1" w:themeTint="F2"/>
                <w:spacing w:val="-4"/>
              </w:rPr>
              <w:lastRenderedPageBreak/>
              <w:t xml:space="preserve">ovšem zatím nenaznačuje, že by nynější oživení mohlo mít stabilnější základy. Vedle slabší zahraniční poptávky zde negativně působí </w:t>
            </w:r>
            <w:r w:rsidRPr="004A0F58">
              <w:rPr>
                <w:color w:val="0D0D0D" w:themeColor="text1" w:themeTint="F2"/>
                <w:spacing w:val="-7"/>
              </w:rPr>
              <w:t>i tuzemská</w:t>
            </w:r>
            <w:r>
              <w:rPr>
                <w:color w:val="0D0D0D" w:themeColor="text1" w:themeTint="F2"/>
                <w:spacing w:val="-7"/>
              </w:rPr>
              <w:t xml:space="preserve"> poptávka</w:t>
            </w:r>
            <w:r w:rsidRPr="004A0F58">
              <w:rPr>
                <w:color w:val="0D0D0D" w:themeColor="text1" w:themeTint="F2"/>
                <w:spacing w:val="-7"/>
              </w:rPr>
              <w:t>, jež byla ještě předloni významněji podporována pokračujícím rozvojem fotovoltaiky.</w:t>
            </w:r>
          </w:p>
        </w:tc>
      </w:tr>
      <w:tr w:rsidR="00BF53A6" w:rsidRPr="004A0F58" w14:paraId="73EB058F" w14:textId="77777777" w:rsidTr="000E74FE">
        <w:trPr>
          <w:trHeight w:val="145"/>
        </w:trPr>
        <w:tc>
          <w:tcPr>
            <w:tcW w:w="1683" w:type="dxa"/>
            <w:tcMar>
              <w:left w:w="0" w:type="dxa"/>
            </w:tcMar>
          </w:tcPr>
          <w:p w14:paraId="4179C809" w14:textId="77777777" w:rsidR="00BF53A6" w:rsidRPr="004A0F58" w:rsidRDefault="00BF53A6" w:rsidP="000E74FE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  <w:r w:rsidRPr="004A0F58">
              <w:rPr>
                <w:color w:val="0D0D0D" w:themeColor="text1" w:themeTint="F2"/>
                <w:spacing w:val="0"/>
              </w:rPr>
              <w:lastRenderedPageBreak/>
              <w:t>Ve většině energeticky náročných oborů vytvářejících meziprodukty nastalo mírné oživení.</w:t>
            </w:r>
          </w:p>
        </w:tc>
        <w:tc>
          <w:tcPr>
            <w:tcW w:w="165" w:type="dxa"/>
            <w:tcMar>
              <w:left w:w="0" w:type="dxa"/>
            </w:tcMar>
          </w:tcPr>
          <w:p w14:paraId="77FBC839" w14:textId="77777777" w:rsidR="00BF53A6" w:rsidRPr="004A0F58" w:rsidRDefault="00BF53A6" w:rsidP="000E74FE">
            <w:pPr>
              <w:pStyle w:val="Textpoznpodarou"/>
              <w:spacing w:after="240"/>
              <w:jc w:val="both"/>
              <w:rPr>
                <w:color w:val="0D0D0D" w:themeColor="text1" w:themeTint="F2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113D3370" w14:textId="77777777" w:rsidR="00BF53A6" w:rsidRPr="004A0F58" w:rsidRDefault="00BF53A6" w:rsidP="000E74FE">
            <w:pPr>
              <w:spacing w:after="200"/>
              <w:rPr>
                <w:color w:val="0D0D0D" w:themeColor="text1" w:themeTint="F2"/>
                <w:spacing w:val="-4"/>
              </w:rPr>
            </w:pPr>
            <w:r w:rsidRPr="004A0F58">
              <w:rPr>
                <w:color w:val="0D0D0D" w:themeColor="text1" w:themeTint="F2"/>
                <w:spacing w:val="-4"/>
              </w:rPr>
              <w:t xml:space="preserve">Průmyslu letos pomohla také většina váhově významných energeticky náročných oborů vyrábějících meziprodukty. </w:t>
            </w:r>
            <w:r>
              <w:rPr>
                <w:color w:val="0D0D0D" w:themeColor="text1" w:themeTint="F2"/>
                <w:spacing w:val="-4"/>
              </w:rPr>
              <w:t>Především d</w:t>
            </w:r>
            <w:r w:rsidRPr="004A0F58">
              <w:rPr>
                <w:color w:val="0D0D0D" w:themeColor="text1" w:themeTint="F2"/>
                <w:spacing w:val="-4"/>
              </w:rPr>
              <w:t>íky vyšší domácí poptávce tak pokračovalo loňské oživení produkce (po hlubokém útlumu v letech 2022 až 2024,</w:t>
            </w:r>
            <w:r w:rsidRPr="004A0F58">
              <w:rPr>
                <w:color w:val="0D0D0D" w:themeColor="text1" w:themeTint="F2"/>
                <w:spacing w:val="-6"/>
              </w:rPr>
              <w:t xml:space="preserve"> nejdelším a nejhlubším v současném miléniu) v hutnictví a slévárenství (+</w:t>
            </w:r>
            <w:r>
              <w:rPr>
                <w:color w:val="0D0D0D" w:themeColor="text1" w:themeTint="F2"/>
                <w:spacing w:val="-6"/>
              </w:rPr>
              <w:t>4,6</w:t>
            </w:r>
            <w:r w:rsidRPr="004A0F58">
              <w:rPr>
                <w:color w:val="0D0D0D" w:themeColor="text1" w:themeTint="F2"/>
                <w:spacing w:val="-6"/>
              </w:rPr>
              <w:t xml:space="preserve"> %). Náznaky lehkého zotavení byly od poloviny loňského roku patrné t</w:t>
            </w:r>
            <w:r>
              <w:rPr>
                <w:color w:val="0D0D0D" w:themeColor="text1" w:themeTint="F2"/>
                <w:spacing w:val="-6"/>
              </w:rPr>
              <w:t>aké</w:t>
            </w:r>
            <w:r w:rsidRPr="004A0F58">
              <w:rPr>
                <w:color w:val="0D0D0D" w:themeColor="text1" w:themeTint="F2"/>
                <w:spacing w:val="-6"/>
              </w:rPr>
              <w:t xml:space="preserve"> v chemickém průmyslu. V 1. čtvrtletí 2026 zde produkce meziročně vzrostla o 2,</w:t>
            </w:r>
            <w:r>
              <w:rPr>
                <w:color w:val="0D0D0D" w:themeColor="text1" w:themeTint="F2"/>
                <w:spacing w:val="-6"/>
              </w:rPr>
              <w:t>8</w:t>
            </w:r>
            <w:r w:rsidRPr="004A0F58">
              <w:rPr>
                <w:color w:val="0D0D0D" w:themeColor="text1" w:themeTint="F2"/>
                <w:spacing w:val="-6"/>
              </w:rPr>
              <w:t xml:space="preserve"> %, především díky zahraniční poptávce. </w:t>
            </w:r>
            <w:r>
              <w:rPr>
                <w:color w:val="0D0D0D" w:themeColor="text1" w:themeTint="F2"/>
                <w:spacing w:val="-6"/>
              </w:rPr>
              <w:t>Růst</w:t>
            </w:r>
            <w:r w:rsidRPr="004A0F58">
              <w:rPr>
                <w:color w:val="0D0D0D" w:themeColor="text1" w:themeTint="F2"/>
                <w:spacing w:val="-6"/>
              </w:rPr>
              <w:t xml:space="preserve"> </w:t>
            </w:r>
            <w:r>
              <w:rPr>
                <w:color w:val="0D0D0D" w:themeColor="text1" w:themeTint="F2"/>
                <w:spacing w:val="-6"/>
              </w:rPr>
              <w:t xml:space="preserve">o </w:t>
            </w:r>
            <w:r w:rsidRPr="004A0F58">
              <w:rPr>
                <w:color w:val="0D0D0D" w:themeColor="text1" w:themeTint="F2"/>
                <w:spacing w:val="-6"/>
              </w:rPr>
              <w:t>m</w:t>
            </w:r>
            <w:r>
              <w:rPr>
                <w:color w:val="0D0D0D" w:themeColor="text1" w:themeTint="F2"/>
                <w:spacing w:val="-6"/>
              </w:rPr>
              <w:t>é</w:t>
            </w:r>
            <w:r w:rsidRPr="004A0F58">
              <w:rPr>
                <w:color w:val="0D0D0D" w:themeColor="text1" w:themeTint="F2"/>
                <w:spacing w:val="-6"/>
              </w:rPr>
              <w:t>ně než 2% pak letos (i v průměru za celý loňský rok) zaznamena</w:t>
            </w:r>
            <w:r>
              <w:rPr>
                <w:color w:val="0D0D0D" w:themeColor="text1" w:themeTint="F2"/>
                <w:spacing w:val="-6"/>
              </w:rPr>
              <w:t>l</w:t>
            </w:r>
            <w:r w:rsidRPr="004A0F58">
              <w:rPr>
                <w:color w:val="0D0D0D" w:themeColor="text1" w:themeTint="F2"/>
                <w:spacing w:val="-6"/>
              </w:rPr>
              <w:t xml:space="preserve"> menší obor papírenského průmyslu. </w:t>
            </w:r>
            <w:r>
              <w:rPr>
                <w:color w:val="0D0D0D" w:themeColor="text1" w:themeTint="F2"/>
                <w:spacing w:val="-6"/>
              </w:rPr>
              <w:t xml:space="preserve">Dílčí zotavení produkce nastalo v textilním průmyslu (+3,3 %), jehož klíčová část je zaměřena na výrobu netkaných textilií užitých např. ve stavebnictví. </w:t>
            </w:r>
            <w:r w:rsidRPr="004A0F58">
              <w:rPr>
                <w:color w:val="0D0D0D" w:themeColor="text1" w:themeTint="F2"/>
                <w:spacing w:val="-6"/>
              </w:rPr>
              <w:t xml:space="preserve">Všechny výše uvedené energeticky náročné obory přispěly v 1. čtvrtletí </w:t>
            </w:r>
            <w:r w:rsidRPr="004A0F58">
              <w:rPr>
                <w:color w:val="0D0D0D" w:themeColor="text1" w:themeTint="F2"/>
                <w:spacing w:val="-3"/>
              </w:rPr>
              <w:t>souhrnně</w:t>
            </w:r>
            <w:r w:rsidRPr="004A0F58">
              <w:rPr>
                <w:color w:val="0D0D0D" w:themeColor="text1" w:themeTint="F2"/>
                <w:spacing w:val="-6"/>
              </w:rPr>
              <w:t xml:space="preserve"> k růstu celého průmyslu 0,3</w:t>
            </w:r>
            <w:r>
              <w:rPr>
                <w:color w:val="0D0D0D" w:themeColor="text1" w:themeTint="F2"/>
                <w:spacing w:val="-6"/>
              </w:rPr>
              <w:t>3</w:t>
            </w:r>
            <w:r w:rsidRPr="004A0F58">
              <w:rPr>
                <w:color w:val="0D0D0D" w:themeColor="text1" w:themeTint="F2"/>
                <w:spacing w:val="-6"/>
              </w:rPr>
              <w:t xml:space="preserve"> p. b. </w:t>
            </w:r>
          </w:p>
        </w:tc>
      </w:tr>
      <w:tr w:rsidR="00BF53A6" w:rsidRPr="004A0F58" w14:paraId="6C5F8993" w14:textId="77777777" w:rsidTr="000E74FE">
        <w:trPr>
          <w:trHeight w:val="145"/>
        </w:trPr>
        <w:tc>
          <w:tcPr>
            <w:tcW w:w="1683" w:type="dxa"/>
            <w:tcMar>
              <w:left w:w="0" w:type="dxa"/>
            </w:tcMar>
          </w:tcPr>
          <w:p w14:paraId="1A412FCB" w14:textId="77777777" w:rsidR="00BF53A6" w:rsidRPr="004A0F58" w:rsidRDefault="00BF53A6" w:rsidP="000E74FE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  <w:r w:rsidRPr="004A0F58">
              <w:rPr>
                <w:color w:val="0D0D0D" w:themeColor="text1" w:themeTint="F2"/>
                <w:spacing w:val="0"/>
              </w:rPr>
              <w:t>Z oborů zaměřených na spotřební produkce se nejvíce dařilo ostatnímu zpracovatelskému průmyslu.</w:t>
            </w:r>
          </w:p>
        </w:tc>
        <w:tc>
          <w:tcPr>
            <w:tcW w:w="165" w:type="dxa"/>
            <w:tcMar>
              <w:left w:w="0" w:type="dxa"/>
            </w:tcMar>
          </w:tcPr>
          <w:p w14:paraId="51D34780" w14:textId="77777777" w:rsidR="00BF53A6" w:rsidRPr="004A0F58" w:rsidRDefault="00BF53A6" w:rsidP="000E74FE">
            <w:pPr>
              <w:pStyle w:val="Textpoznpodarou"/>
              <w:spacing w:after="240"/>
              <w:jc w:val="both"/>
              <w:rPr>
                <w:color w:val="0D0D0D" w:themeColor="text1" w:themeTint="F2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316AE1A7" w14:textId="77777777" w:rsidR="00BF53A6" w:rsidRPr="004A0F58" w:rsidRDefault="00BF53A6" w:rsidP="000E74FE">
            <w:pPr>
              <w:spacing w:after="200"/>
              <w:rPr>
                <w:color w:val="0D0D0D" w:themeColor="text1" w:themeTint="F2"/>
                <w:spacing w:val="-4"/>
              </w:rPr>
            </w:pPr>
            <w:r w:rsidRPr="004A0F58">
              <w:rPr>
                <w:color w:val="0D0D0D" w:themeColor="text1" w:themeTint="F2"/>
                <w:spacing w:val="-4"/>
              </w:rPr>
              <w:t>Z </w:t>
            </w:r>
            <w:r w:rsidRPr="002C4B5F">
              <w:rPr>
                <w:color w:val="0D0D0D" w:themeColor="text1" w:themeTint="F2"/>
                <w:spacing w:val="-4"/>
              </w:rPr>
              <w:t xml:space="preserve">oborů vyrábějících spotřební </w:t>
            </w:r>
            <w:r w:rsidRPr="004A0F58">
              <w:rPr>
                <w:color w:val="0D0D0D" w:themeColor="text1" w:themeTint="F2"/>
                <w:spacing w:val="-4"/>
              </w:rPr>
              <w:t>zboží díky rostoucí kupní síle domácností i jejich důvěře v ekonomiku profitoval obor ostatní zpracovatelský průmysl zahrnující např. výrobu sportovních potřeb, her, hraček či bižuterie. Růst produkce zde vystoupal na 8,</w:t>
            </w:r>
            <w:r>
              <w:rPr>
                <w:color w:val="0D0D0D" w:themeColor="text1" w:themeTint="F2"/>
                <w:spacing w:val="-4"/>
              </w:rPr>
              <w:t>5</w:t>
            </w:r>
            <w:r w:rsidRPr="004A0F58">
              <w:rPr>
                <w:color w:val="0D0D0D" w:themeColor="text1" w:themeTint="F2"/>
                <w:spacing w:val="-4"/>
              </w:rPr>
              <w:t xml:space="preserve"> % (nejvyšší tempo za poslední čtyři roky), </w:t>
            </w:r>
            <w:r>
              <w:rPr>
                <w:color w:val="0D0D0D" w:themeColor="text1" w:themeTint="F2"/>
                <w:spacing w:val="-4"/>
              </w:rPr>
              <w:t xml:space="preserve">a to </w:t>
            </w:r>
            <w:r w:rsidRPr="004A0F58">
              <w:rPr>
                <w:color w:val="0D0D0D" w:themeColor="text1" w:themeTint="F2"/>
                <w:spacing w:val="-4"/>
              </w:rPr>
              <w:t>především díky sílící zahraniční poptávce. Mírněji vzrostl výkon v potravinářství (+1,</w:t>
            </w:r>
            <w:r>
              <w:rPr>
                <w:color w:val="0D0D0D" w:themeColor="text1" w:themeTint="F2"/>
                <w:spacing w:val="-4"/>
              </w:rPr>
              <w:t>6</w:t>
            </w:r>
            <w:r w:rsidRPr="004A0F58">
              <w:rPr>
                <w:color w:val="0D0D0D" w:themeColor="text1" w:themeTint="F2"/>
                <w:spacing w:val="-4"/>
              </w:rPr>
              <w:t xml:space="preserve"> %) a výrobě nápojů (+3,</w:t>
            </w:r>
            <w:r>
              <w:rPr>
                <w:color w:val="0D0D0D" w:themeColor="text1" w:themeTint="F2"/>
                <w:spacing w:val="-4"/>
              </w:rPr>
              <w:t>2</w:t>
            </w:r>
            <w:r w:rsidRPr="004A0F58">
              <w:rPr>
                <w:color w:val="0D0D0D" w:themeColor="text1" w:themeTint="F2"/>
                <w:spacing w:val="-4"/>
              </w:rPr>
              <w:t xml:space="preserve"> %), pro něž je tradičně určující tuzemská poptávka. Po slabších výsledcích v letech 2023 až 2025 nastalo mírné zotavení oděvního </w:t>
            </w:r>
            <w:r w:rsidRPr="002C4B5F">
              <w:rPr>
                <w:color w:val="0D0D0D" w:themeColor="text1" w:themeTint="F2"/>
                <w:spacing w:val="-5"/>
              </w:rPr>
              <w:t xml:space="preserve">průmyslu (+1,1 %), za nímž stála výhradně vyšší domácí poptávka (podpořená </w:t>
            </w:r>
            <w:r>
              <w:rPr>
                <w:color w:val="0D0D0D" w:themeColor="text1" w:themeTint="F2"/>
                <w:spacing w:val="-5"/>
              </w:rPr>
              <w:br/>
            </w:r>
            <w:r w:rsidRPr="002C4B5F">
              <w:rPr>
                <w:color w:val="0D0D0D" w:themeColor="text1" w:themeTint="F2"/>
                <w:spacing w:val="-5"/>
              </w:rPr>
              <w:t>i objednávkami</w:t>
            </w:r>
            <w:r w:rsidRPr="004A0F58">
              <w:rPr>
                <w:color w:val="0D0D0D" w:themeColor="text1" w:themeTint="F2"/>
                <w:spacing w:val="-4"/>
              </w:rPr>
              <w:t xml:space="preserve"> pracovních oděvů v oblasti bezpečnosti státu). Naopak </w:t>
            </w:r>
            <w:r>
              <w:rPr>
                <w:color w:val="0D0D0D" w:themeColor="text1" w:themeTint="F2"/>
                <w:spacing w:val="-4"/>
              </w:rPr>
              <w:t xml:space="preserve">se dále snižoval </w:t>
            </w:r>
            <w:r w:rsidRPr="004A0F58">
              <w:rPr>
                <w:color w:val="0D0D0D" w:themeColor="text1" w:themeTint="F2"/>
                <w:spacing w:val="-4"/>
              </w:rPr>
              <w:t>odbyt v zahraničí, je</w:t>
            </w:r>
            <w:r>
              <w:rPr>
                <w:color w:val="0D0D0D" w:themeColor="text1" w:themeTint="F2"/>
                <w:spacing w:val="-4"/>
              </w:rPr>
              <w:t>n</w:t>
            </w:r>
            <w:r w:rsidRPr="004A0F58">
              <w:rPr>
                <w:color w:val="0D0D0D" w:themeColor="text1" w:themeTint="F2"/>
                <w:spacing w:val="-4"/>
              </w:rPr>
              <w:t>ž je pro tento malý obor v posledních letech významnější</w:t>
            </w:r>
            <w:r w:rsidRPr="00026B8C">
              <w:rPr>
                <w:color w:val="0D0D0D" w:themeColor="text1" w:themeTint="F2"/>
                <w:spacing w:val="-4"/>
              </w:rPr>
              <w:t xml:space="preserve">. </w:t>
            </w:r>
            <w:r w:rsidRPr="00026B8C">
              <w:rPr>
                <w:color w:val="0D0D0D" w:themeColor="text1" w:themeTint="F2"/>
                <w:spacing w:val="-2"/>
              </w:rPr>
              <w:t>V kožedělném průmyslu</w:t>
            </w:r>
            <w:r w:rsidRPr="009D2D2C">
              <w:rPr>
                <w:rStyle w:val="Znakapoznpodarou"/>
                <w:color w:val="0D0D0D" w:themeColor="text1" w:themeTint="F2"/>
                <w:spacing w:val="-2"/>
              </w:rPr>
              <w:footnoteReference w:id="9"/>
            </w:r>
            <w:r w:rsidRPr="009D2D2C">
              <w:rPr>
                <w:color w:val="0D0D0D" w:themeColor="text1" w:themeTint="F2"/>
                <w:spacing w:val="-2"/>
              </w:rPr>
              <w:t xml:space="preserve"> se po loňském propadu situace na počátku letošního </w:t>
            </w:r>
            <w:r>
              <w:rPr>
                <w:color w:val="0D0D0D" w:themeColor="text1" w:themeTint="F2"/>
                <w:spacing w:val="-2"/>
              </w:rPr>
              <w:t xml:space="preserve">roku </w:t>
            </w:r>
            <w:r w:rsidRPr="009D2D2C">
              <w:rPr>
                <w:color w:val="0D0D0D" w:themeColor="text1" w:themeTint="F2"/>
                <w:spacing w:val="-2"/>
              </w:rPr>
              <w:t>částečně stabilizovala</w:t>
            </w:r>
            <w:r>
              <w:rPr>
                <w:color w:val="0D0D0D" w:themeColor="text1" w:themeTint="F2"/>
                <w:spacing w:val="-2"/>
              </w:rPr>
              <w:t xml:space="preserve"> (+1,7 %), a to díky domácí poptávce</w:t>
            </w:r>
            <w:r w:rsidRPr="009D2D2C">
              <w:rPr>
                <w:color w:val="0D0D0D" w:themeColor="text1" w:themeTint="F2"/>
                <w:spacing w:val="-2"/>
              </w:rPr>
              <w:t xml:space="preserve"> </w:t>
            </w:r>
            <w:r>
              <w:rPr>
                <w:color w:val="0D0D0D" w:themeColor="text1" w:themeTint="F2"/>
                <w:spacing w:val="-2"/>
              </w:rPr>
              <w:t xml:space="preserve">(přetrvávala </w:t>
            </w:r>
            <w:r w:rsidRPr="009D2D2C">
              <w:rPr>
                <w:color w:val="0D0D0D" w:themeColor="text1" w:themeTint="F2"/>
                <w:spacing w:val="-2"/>
              </w:rPr>
              <w:t>slabá zahraniční poptávka, jež je pro tento obor určující</w:t>
            </w:r>
            <w:r>
              <w:rPr>
                <w:color w:val="0D0D0D" w:themeColor="text1" w:themeTint="F2"/>
                <w:spacing w:val="-2"/>
              </w:rPr>
              <w:t>)</w:t>
            </w:r>
            <w:r w:rsidRPr="009D2D2C">
              <w:rPr>
                <w:color w:val="0D0D0D" w:themeColor="text1" w:themeTint="F2"/>
                <w:spacing w:val="-2"/>
              </w:rPr>
              <w:t>.</w:t>
            </w:r>
            <w:r>
              <w:rPr>
                <w:color w:val="0D0D0D" w:themeColor="text1" w:themeTint="F2"/>
                <w:spacing w:val="-2"/>
              </w:rPr>
              <w:t xml:space="preserve"> </w:t>
            </w:r>
            <w:r w:rsidRPr="004A0F58">
              <w:rPr>
                <w:color w:val="0D0D0D" w:themeColor="text1" w:themeTint="F2"/>
                <w:spacing w:val="-4"/>
              </w:rPr>
              <w:t>Výše uvedené „spotřební obory“ přispěly letos v součtu k růstu celého průmyslu 0,3</w:t>
            </w:r>
            <w:r>
              <w:rPr>
                <w:color w:val="0D0D0D" w:themeColor="text1" w:themeTint="F2"/>
                <w:spacing w:val="-4"/>
              </w:rPr>
              <w:t>2</w:t>
            </w:r>
            <w:r w:rsidRPr="004A0F58">
              <w:rPr>
                <w:color w:val="0D0D0D" w:themeColor="text1" w:themeTint="F2"/>
                <w:spacing w:val="-4"/>
              </w:rPr>
              <w:t xml:space="preserve"> p. b.</w:t>
            </w:r>
          </w:p>
        </w:tc>
      </w:tr>
      <w:tr w:rsidR="00BF53A6" w:rsidRPr="004A0F58" w14:paraId="50E36BD4" w14:textId="77777777" w:rsidTr="000E74FE">
        <w:trPr>
          <w:trHeight w:val="145"/>
        </w:trPr>
        <w:tc>
          <w:tcPr>
            <w:tcW w:w="1683" w:type="dxa"/>
            <w:tcMar>
              <w:left w:w="0" w:type="dxa"/>
            </w:tcMar>
          </w:tcPr>
          <w:p w14:paraId="282DB84D" w14:textId="77777777" w:rsidR="00BF53A6" w:rsidRPr="004A0F58" w:rsidRDefault="00BF53A6" w:rsidP="000E74FE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  <w:r w:rsidRPr="004A0F58">
              <w:rPr>
                <w:color w:val="0D0D0D" w:themeColor="text1" w:themeTint="F2"/>
                <w:spacing w:val="0"/>
              </w:rPr>
              <w:t>Za poklesem výkonu strojírenství stála slabší zahraniční poptávka.</w:t>
            </w:r>
          </w:p>
        </w:tc>
        <w:tc>
          <w:tcPr>
            <w:tcW w:w="165" w:type="dxa"/>
            <w:tcMar>
              <w:left w:w="0" w:type="dxa"/>
            </w:tcMar>
          </w:tcPr>
          <w:p w14:paraId="7D042B06" w14:textId="77777777" w:rsidR="00BF53A6" w:rsidRPr="004A0F58" w:rsidRDefault="00BF53A6" w:rsidP="000E74FE">
            <w:pPr>
              <w:pStyle w:val="Textpoznpodarou"/>
              <w:spacing w:after="240"/>
              <w:jc w:val="both"/>
              <w:rPr>
                <w:color w:val="0D0D0D" w:themeColor="text1" w:themeTint="F2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23F38935" w14:textId="77777777" w:rsidR="00BF53A6" w:rsidRPr="002C4B5F" w:rsidRDefault="00BF53A6" w:rsidP="000E74FE">
            <w:pPr>
              <w:spacing w:after="200"/>
              <w:rPr>
                <w:color w:val="0D0D0D" w:themeColor="text1" w:themeTint="F2"/>
                <w:spacing w:val="-4"/>
              </w:rPr>
            </w:pPr>
            <w:r w:rsidRPr="002C4B5F">
              <w:rPr>
                <w:color w:val="0D0D0D" w:themeColor="text1" w:themeTint="F2"/>
                <w:spacing w:val="-4"/>
              </w:rPr>
              <w:t xml:space="preserve">Růst výkonu tuzemského průmyslu letos nejvíce tlumilo strojírenství, kde produkce nenavázala na loňské mírné oživení a meziročně klesla o 4,6 %. I přes relativně solidní domácí poptávku se projevila jako rozhodující absence silnějšího odbytu v zahraničí. Aktuálně se nedařilo ani oboru opravy strojů a zařízení zaměřenému tradičně spíše na </w:t>
            </w:r>
            <w:r w:rsidRPr="002C4B5F">
              <w:rPr>
                <w:color w:val="0D0D0D" w:themeColor="text1" w:themeTint="F2"/>
                <w:spacing w:val="-8"/>
              </w:rPr>
              <w:t>domácí trh (např. opravy jaderných zařízení). Výkon tu propadl o desetinu (nejvíce za posledních</w:t>
            </w:r>
            <w:r>
              <w:rPr>
                <w:color w:val="0D0D0D" w:themeColor="text1" w:themeTint="F2"/>
                <w:spacing w:val="-8"/>
              </w:rPr>
              <w:t xml:space="preserve"> deset</w:t>
            </w:r>
            <w:r w:rsidRPr="002C4B5F">
              <w:rPr>
                <w:color w:val="0D0D0D" w:themeColor="text1" w:themeTint="F2"/>
                <w:spacing w:val="-4"/>
              </w:rPr>
              <w:t xml:space="preserve"> let), zčásti se projevil vliv </w:t>
            </w:r>
            <w:r>
              <w:rPr>
                <w:color w:val="0D0D0D" w:themeColor="text1" w:themeTint="F2"/>
                <w:spacing w:val="-4"/>
              </w:rPr>
              <w:t xml:space="preserve">mírně </w:t>
            </w:r>
            <w:r w:rsidRPr="002C4B5F">
              <w:rPr>
                <w:color w:val="0D0D0D" w:themeColor="text1" w:themeTint="F2"/>
                <w:spacing w:val="-4"/>
              </w:rPr>
              <w:t>vyšší loňské srovnávací základny. Výše uvedené „investiční obory“ působily proti růstu celého průmyslu srovnatelnou silou, v součtu 0,</w:t>
            </w:r>
            <w:r>
              <w:rPr>
                <w:color w:val="0D0D0D" w:themeColor="text1" w:themeTint="F2"/>
                <w:spacing w:val="-4"/>
              </w:rPr>
              <w:t>63</w:t>
            </w:r>
            <w:r w:rsidRPr="002C4B5F">
              <w:rPr>
                <w:color w:val="0D0D0D" w:themeColor="text1" w:themeTint="F2"/>
                <w:spacing w:val="-4"/>
              </w:rPr>
              <w:t xml:space="preserve"> p. b.</w:t>
            </w:r>
          </w:p>
        </w:tc>
      </w:tr>
      <w:tr w:rsidR="00BF53A6" w:rsidRPr="004A0F58" w14:paraId="20DBFAB4" w14:textId="77777777" w:rsidTr="000E74FE">
        <w:trPr>
          <w:trHeight w:val="145"/>
        </w:trPr>
        <w:tc>
          <w:tcPr>
            <w:tcW w:w="1683" w:type="dxa"/>
            <w:tcMar>
              <w:left w:w="0" w:type="dxa"/>
            </w:tcMar>
          </w:tcPr>
          <w:p w14:paraId="3FAC78FC" w14:textId="77777777" w:rsidR="00BF53A6" w:rsidRPr="004A0F58" w:rsidRDefault="00BF53A6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  <w:r w:rsidRPr="004A0F58">
              <w:rPr>
                <w:color w:val="0D0D0D" w:themeColor="text1" w:themeTint="F2"/>
                <w:spacing w:val="0"/>
              </w:rPr>
              <w:t xml:space="preserve">Mírný pokles produkce energetiky souvisel s plánovanými odstávkami </w:t>
            </w:r>
            <w:r>
              <w:rPr>
                <w:color w:val="0D0D0D" w:themeColor="text1" w:themeTint="F2"/>
                <w:spacing w:val="0"/>
              </w:rPr>
              <w:t>elektráren</w:t>
            </w:r>
            <w:r w:rsidRPr="004A0F58">
              <w:rPr>
                <w:color w:val="0D0D0D" w:themeColor="text1" w:themeTint="F2"/>
                <w:spacing w:val="0"/>
              </w:rPr>
              <w:t xml:space="preserve"> </w:t>
            </w:r>
            <w:r>
              <w:rPr>
                <w:color w:val="0D0D0D" w:themeColor="text1" w:themeTint="F2"/>
                <w:spacing w:val="0"/>
              </w:rPr>
              <w:br/>
            </w:r>
            <w:r w:rsidRPr="004A0F58">
              <w:rPr>
                <w:color w:val="0D0D0D" w:themeColor="text1" w:themeTint="F2"/>
                <w:spacing w:val="0"/>
              </w:rPr>
              <w:t xml:space="preserve">i vysokou loňskou základnou spojenou s rekordní výrobou v jaderných </w:t>
            </w:r>
            <w:r>
              <w:rPr>
                <w:color w:val="0D0D0D" w:themeColor="text1" w:themeTint="F2"/>
                <w:spacing w:val="0"/>
              </w:rPr>
              <w:t>zařízeních</w:t>
            </w:r>
            <w:r w:rsidRPr="004A0F58">
              <w:rPr>
                <w:color w:val="0D0D0D" w:themeColor="text1" w:themeTint="F2"/>
                <w:spacing w:val="0"/>
              </w:rPr>
              <w:t>.</w:t>
            </w:r>
          </w:p>
          <w:p w14:paraId="56AA34A3" w14:textId="77777777" w:rsidR="00BF53A6" w:rsidRDefault="00BF53A6" w:rsidP="000E74FE">
            <w:pPr>
              <w:pStyle w:val="Marginlie"/>
              <w:spacing w:line="240" w:lineRule="auto"/>
              <w:rPr>
                <w:color w:val="0D0D0D" w:themeColor="text1" w:themeTint="F2"/>
                <w:spacing w:val="0"/>
              </w:rPr>
            </w:pPr>
          </w:p>
          <w:p w14:paraId="5AB229EE" w14:textId="77777777" w:rsidR="00BF53A6" w:rsidRDefault="00BF53A6" w:rsidP="000E74FE">
            <w:pPr>
              <w:pStyle w:val="Marginlie"/>
              <w:spacing w:line="240" w:lineRule="auto"/>
              <w:rPr>
                <w:color w:val="0D0D0D" w:themeColor="text1" w:themeTint="F2"/>
                <w:spacing w:val="0"/>
              </w:rPr>
            </w:pPr>
          </w:p>
          <w:p w14:paraId="7FFF6BB2" w14:textId="77777777" w:rsidR="00BF53A6" w:rsidRDefault="00BF53A6" w:rsidP="000E74FE">
            <w:pPr>
              <w:pStyle w:val="Marginlie"/>
              <w:spacing w:line="240" w:lineRule="auto"/>
              <w:rPr>
                <w:color w:val="0D0D0D" w:themeColor="text1" w:themeTint="F2"/>
                <w:spacing w:val="0"/>
              </w:rPr>
            </w:pPr>
          </w:p>
          <w:p w14:paraId="04D37C83" w14:textId="77777777" w:rsidR="00BF53A6" w:rsidRPr="004A0F58" w:rsidRDefault="00BF53A6" w:rsidP="000E74FE">
            <w:pPr>
              <w:pStyle w:val="Marginlie"/>
              <w:spacing w:line="240" w:lineRule="auto"/>
              <w:rPr>
                <w:color w:val="0D0D0D" w:themeColor="text1" w:themeTint="F2"/>
                <w:spacing w:val="0"/>
              </w:rPr>
            </w:pPr>
          </w:p>
          <w:p w14:paraId="405C4FFB" w14:textId="77777777" w:rsidR="00BF53A6" w:rsidRPr="004A0F58" w:rsidRDefault="00BF53A6" w:rsidP="000E74FE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  <w:r w:rsidRPr="004A0F58">
              <w:rPr>
                <w:color w:val="0D0D0D" w:themeColor="text1" w:themeTint="F2"/>
                <w:spacing w:val="0"/>
              </w:rPr>
              <w:lastRenderedPageBreak/>
              <w:t>Tuzemská spotřeba elektřiny i plynu ale</w:t>
            </w:r>
            <w:r>
              <w:rPr>
                <w:color w:val="0D0D0D" w:themeColor="text1" w:themeTint="F2"/>
                <w:spacing w:val="0"/>
              </w:rPr>
              <w:t xml:space="preserve"> </w:t>
            </w:r>
            <w:r w:rsidRPr="004A0F58">
              <w:rPr>
                <w:color w:val="0D0D0D" w:themeColor="text1" w:themeTint="F2"/>
                <w:spacing w:val="0"/>
              </w:rPr>
              <w:t>druhým rokem v řadě mírně rostla.</w:t>
            </w:r>
          </w:p>
        </w:tc>
        <w:tc>
          <w:tcPr>
            <w:tcW w:w="165" w:type="dxa"/>
            <w:tcMar>
              <w:left w:w="0" w:type="dxa"/>
            </w:tcMar>
          </w:tcPr>
          <w:p w14:paraId="30753856" w14:textId="77777777" w:rsidR="00BF53A6" w:rsidRPr="004A0F58" w:rsidRDefault="00BF53A6" w:rsidP="000E74FE">
            <w:pPr>
              <w:pStyle w:val="Textpoznpodarou"/>
              <w:spacing w:after="240"/>
              <w:jc w:val="both"/>
              <w:rPr>
                <w:color w:val="0D0D0D" w:themeColor="text1" w:themeTint="F2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1BFF0127" w14:textId="77777777" w:rsidR="00BF53A6" w:rsidRPr="004A0F58" w:rsidRDefault="00BF53A6" w:rsidP="000E74FE">
            <w:pPr>
              <w:spacing w:after="200"/>
              <w:rPr>
                <w:color w:val="0D0D0D" w:themeColor="text1" w:themeTint="F2"/>
                <w:spacing w:val="-4"/>
              </w:rPr>
            </w:pPr>
            <w:r w:rsidRPr="004A0F58">
              <w:rPr>
                <w:color w:val="0D0D0D" w:themeColor="text1" w:themeTint="F2"/>
                <w:spacing w:val="-4"/>
              </w:rPr>
              <w:t>Produkce ve váhově významném odvětví energetiky se sice letos v 1. čtvrtletí meziročně snížila jen mírně (</w:t>
            </w:r>
            <w:r w:rsidRPr="004A0F58">
              <w:rPr>
                <w:color w:val="0D0D0D" w:themeColor="text1" w:themeTint="F2"/>
                <w:spacing w:val="-4"/>
                <w:sz w:val="16"/>
                <w:szCs w:val="16"/>
              </w:rPr>
              <w:t>−</w:t>
            </w:r>
            <w:r w:rsidRPr="004A0F58">
              <w:rPr>
                <w:color w:val="0D0D0D" w:themeColor="text1" w:themeTint="F2"/>
                <w:spacing w:val="-4"/>
              </w:rPr>
              <w:t>1,3 %), avšak její vliv na vývoj celkové průmyslové produkce nebyl zcela zanedbatelný (</w:t>
            </w:r>
            <w:r w:rsidRPr="004A0F58">
              <w:rPr>
                <w:color w:val="0D0D0D" w:themeColor="text1" w:themeTint="F2"/>
                <w:spacing w:val="-4"/>
                <w:sz w:val="16"/>
                <w:szCs w:val="16"/>
              </w:rPr>
              <w:t>−</w:t>
            </w:r>
            <w:r w:rsidRPr="004A0F58">
              <w:rPr>
                <w:color w:val="0D0D0D" w:themeColor="text1" w:themeTint="F2"/>
                <w:spacing w:val="-4"/>
              </w:rPr>
              <w:t>0,14 p. b.). Výroba elektřiny meziročně klesla o 2,0 % (na 20,3 </w:t>
            </w:r>
            <w:proofErr w:type="spellStart"/>
            <w:r w:rsidRPr="004A0F58">
              <w:rPr>
                <w:color w:val="0D0D0D" w:themeColor="text1" w:themeTint="F2"/>
                <w:spacing w:val="-4"/>
              </w:rPr>
              <w:t>TWh</w:t>
            </w:r>
            <w:proofErr w:type="spellEnd"/>
            <w:r w:rsidRPr="004A0F58">
              <w:rPr>
                <w:color w:val="0D0D0D" w:themeColor="text1" w:themeTint="F2"/>
                <w:spacing w:val="-4"/>
              </w:rPr>
              <w:t>). Největší vliv zde měl pokles u parních elektráren (</w:t>
            </w:r>
            <w:r w:rsidRPr="004A0F58">
              <w:rPr>
                <w:color w:val="0D0D0D" w:themeColor="text1" w:themeTint="F2"/>
                <w:spacing w:val="-4"/>
                <w:sz w:val="16"/>
                <w:szCs w:val="16"/>
              </w:rPr>
              <w:t>−</w:t>
            </w:r>
            <w:r w:rsidRPr="004A0F58">
              <w:rPr>
                <w:color w:val="0D0D0D" w:themeColor="text1" w:themeTint="F2"/>
                <w:spacing w:val="-4"/>
              </w:rPr>
              <w:t>1,4 %) a také jaderných výroben (</w:t>
            </w:r>
            <w:r w:rsidRPr="004A0F58">
              <w:rPr>
                <w:color w:val="0D0D0D" w:themeColor="text1" w:themeTint="F2"/>
                <w:spacing w:val="-4"/>
                <w:sz w:val="16"/>
                <w:szCs w:val="16"/>
              </w:rPr>
              <w:t>−</w:t>
            </w:r>
            <w:r w:rsidRPr="004A0F58">
              <w:rPr>
                <w:color w:val="0D0D0D" w:themeColor="text1" w:themeTint="F2"/>
                <w:spacing w:val="-4"/>
              </w:rPr>
              <w:t>8,1 %), u nichž hrály roli plánované odstávky i rekordní loňská výroba. Klesla i výroba u vodních (</w:t>
            </w:r>
            <w:r w:rsidRPr="004A0F58">
              <w:rPr>
                <w:color w:val="0D0D0D" w:themeColor="text1" w:themeTint="F2"/>
                <w:spacing w:val="-4"/>
                <w:sz w:val="16"/>
                <w:szCs w:val="16"/>
              </w:rPr>
              <w:t>−</w:t>
            </w:r>
            <w:r w:rsidRPr="004A0F58">
              <w:rPr>
                <w:color w:val="0D0D0D" w:themeColor="text1" w:themeTint="F2"/>
                <w:spacing w:val="-4"/>
              </w:rPr>
              <w:t>22,4 %), větrných (</w:t>
            </w:r>
            <w:r w:rsidRPr="004A0F58">
              <w:rPr>
                <w:color w:val="0D0D0D" w:themeColor="text1" w:themeTint="F2"/>
                <w:spacing w:val="-4"/>
                <w:sz w:val="16"/>
                <w:szCs w:val="16"/>
              </w:rPr>
              <w:t>−</w:t>
            </w:r>
            <w:r w:rsidRPr="004A0F58">
              <w:rPr>
                <w:color w:val="0D0D0D" w:themeColor="text1" w:themeTint="F2"/>
                <w:spacing w:val="-4"/>
              </w:rPr>
              <w:t>3,6 %) a fotovoltaických (</w:t>
            </w:r>
            <w:r w:rsidRPr="004A0F58">
              <w:rPr>
                <w:color w:val="0D0D0D" w:themeColor="text1" w:themeTint="F2"/>
                <w:spacing w:val="-4"/>
                <w:sz w:val="16"/>
                <w:szCs w:val="16"/>
              </w:rPr>
              <w:t>−</w:t>
            </w:r>
            <w:r w:rsidRPr="004A0F58">
              <w:rPr>
                <w:color w:val="0D0D0D" w:themeColor="text1" w:themeTint="F2"/>
                <w:spacing w:val="-4"/>
              </w:rPr>
              <w:t xml:space="preserve">7,6 %) elektráren. Opačně působila </w:t>
            </w:r>
            <w:r>
              <w:rPr>
                <w:color w:val="0D0D0D" w:themeColor="text1" w:themeTint="F2"/>
                <w:spacing w:val="-4"/>
              </w:rPr>
              <w:t xml:space="preserve">zejména </w:t>
            </w:r>
            <w:r w:rsidRPr="004A0F58">
              <w:rPr>
                <w:color w:val="0D0D0D" w:themeColor="text1" w:themeTint="F2"/>
                <w:spacing w:val="-4"/>
              </w:rPr>
              <w:t>vyšší produkce paroplynových (+51,4 %) a přečerpávacích (+27,5 %) elektráren</w:t>
            </w:r>
            <w:r>
              <w:rPr>
                <w:color w:val="0D0D0D" w:themeColor="text1" w:themeTint="F2"/>
                <w:spacing w:val="-4"/>
              </w:rPr>
              <w:t>.</w:t>
            </w:r>
            <w:r w:rsidRPr="004A0F58">
              <w:rPr>
                <w:color w:val="0D0D0D" w:themeColor="text1" w:themeTint="F2"/>
                <w:spacing w:val="-4"/>
              </w:rPr>
              <w:t xml:space="preserve"> Spotřeba elektřiny naopak rostla a potvrdila tak loňskou změnu trendu. Vyšší poptávka byla patrná napříč celým segmentem trhu</w:t>
            </w:r>
            <w:r w:rsidRPr="004A0F58">
              <w:rPr>
                <w:rStyle w:val="Znakapoznpodarou"/>
                <w:color w:val="0D0D0D" w:themeColor="text1" w:themeTint="F2"/>
                <w:spacing w:val="-4"/>
              </w:rPr>
              <w:footnoteReference w:id="10"/>
            </w:r>
            <w:r w:rsidRPr="004A0F58">
              <w:rPr>
                <w:color w:val="0D0D0D" w:themeColor="text1" w:themeTint="F2"/>
                <w:spacing w:val="-4"/>
              </w:rPr>
              <w:t>. Druhý rok v řadě se mírně zvýšila i spotřeba plynu</w:t>
            </w:r>
            <w:r w:rsidRPr="004A0F58">
              <w:rPr>
                <w:rStyle w:val="Znakapoznpodarou"/>
                <w:color w:val="0D0D0D" w:themeColor="text1" w:themeTint="F2"/>
                <w:spacing w:val="-4"/>
              </w:rPr>
              <w:footnoteReference w:id="11"/>
            </w:r>
            <w:r w:rsidRPr="004A0F58">
              <w:rPr>
                <w:color w:val="0D0D0D" w:themeColor="text1" w:themeTint="F2"/>
                <w:spacing w:val="-4"/>
              </w:rPr>
              <w:t xml:space="preserve">. Nárůst spotřeby </w:t>
            </w:r>
            <w:r w:rsidRPr="004A0F58">
              <w:rPr>
                <w:color w:val="0D0D0D" w:themeColor="text1" w:themeTint="F2"/>
                <w:spacing w:val="-4"/>
              </w:rPr>
              <w:lastRenderedPageBreak/>
              <w:t>elektřiny i plynu odrážel vliv chladnějšího počasí letos v lednu</w:t>
            </w:r>
            <w:r w:rsidRPr="004A0F58">
              <w:rPr>
                <w:rStyle w:val="Znakapoznpodarou"/>
                <w:color w:val="0D0D0D" w:themeColor="text1" w:themeTint="F2"/>
                <w:spacing w:val="-4"/>
              </w:rPr>
              <w:footnoteReference w:id="12"/>
            </w:r>
            <w:r w:rsidRPr="004A0F58">
              <w:rPr>
                <w:color w:val="0D0D0D" w:themeColor="text1" w:themeTint="F2"/>
                <w:spacing w:val="-4"/>
              </w:rPr>
              <w:t>. Opačný vliv měla klesající motivace (zejména v domácnostech) k dalším úsporám ve spotřebě. Ta se snížila i vlivem stabilizace a následného zlevňování cen energií, jež bylo znatelnější hlavně u zemního plynu. Do vyšší spotřeby se navíc promítaly příznivější finanční situace domácností i postupné oživení výkonu ekonomiky doprovázené stabilizací poptávky v některých energeticky náročných průmyslových oborech.</w:t>
            </w:r>
          </w:p>
        </w:tc>
      </w:tr>
      <w:tr w:rsidR="00BF53A6" w:rsidRPr="004A0F58" w14:paraId="0B026056" w14:textId="77777777" w:rsidTr="000E74FE">
        <w:trPr>
          <w:trHeight w:val="145"/>
        </w:trPr>
        <w:tc>
          <w:tcPr>
            <w:tcW w:w="1683" w:type="dxa"/>
            <w:tcMar>
              <w:left w:w="0" w:type="dxa"/>
            </w:tcMar>
          </w:tcPr>
          <w:p w14:paraId="322D9472" w14:textId="77777777" w:rsidR="00BF53A6" w:rsidRPr="004A0F58" w:rsidRDefault="00BF53A6" w:rsidP="000E74FE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  <w:r>
              <w:rPr>
                <w:color w:val="0D0D0D" w:themeColor="text1" w:themeTint="F2"/>
                <w:spacing w:val="0"/>
              </w:rPr>
              <w:lastRenderedPageBreak/>
              <w:t>Klesal v</w:t>
            </w:r>
            <w:r w:rsidRPr="004A0F58">
              <w:rPr>
                <w:color w:val="0D0D0D" w:themeColor="text1" w:themeTint="F2"/>
                <w:spacing w:val="0"/>
              </w:rPr>
              <w:t>ýkon některých tradičních energeticky náročn</w:t>
            </w:r>
            <w:r>
              <w:rPr>
                <w:color w:val="0D0D0D" w:themeColor="text1" w:themeTint="F2"/>
                <w:spacing w:val="0"/>
              </w:rPr>
              <w:t>ých</w:t>
            </w:r>
            <w:r w:rsidRPr="004A0F58">
              <w:rPr>
                <w:color w:val="0D0D0D" w:themeColor="text1" w:themeTint="F2"/>
                <w:spacing w:val="0"/>
              </w:rPr>
              <w:t xml:space="preserve"> obor</w:t>
            </w:r>
            <w:r>
              <w:rPr>
                <w:color w:val="0D0D0D" w:themeColor="text1" w:themeTint="F2"/>
                <w:spacing w:val="0"/>
              </w:rPr>
              <w:t>ů</w:t>
            </w:r>
            <w:r w:rsidRPr="004A0F58">
              <w:rPr>
                <w:color w:val="0D0D0D" w:themeColor="text1" w:themeTint="F2"/>
                <w:spacing w:val="0"/>
              </w:rPr>
              <w:t xml:space="preserve"> zaměřen</w:t>
            </w:r>
            <w:r>
              <w:rPr>
                <w:color w:val="0D0D0D" w:themeColor="text1" w:themeTint="F2"/>
                <w:spacing w:val="0"/>
              </w:rPr>
              <w:t>ých</w:t>
            </w:r>
            <w:r w:rsidRPr="004A0F58">
              <w:rPr>
                <w:color w:val="0D0D0D" w:themeColor="text1" w:themeTint="F2"/>
                <w:spacing w:val="0"/>
              </w:rPr>
              <w:t xml:space="preserve"> na výrobu meziproduktů.</w:t>
            </w:r>
          </w:p>
        </w:tc>
        <w:tc>
          <w:tcPr>
            <w:tcW w:w="165" w:type="dxa"/>
            <w:tcMar>
              <w:left w:w="0" w:type="dxa"/>
            </w:tcMar>
          </w:tcPr>
          <w:p w14:paraId="19A4B714" w14:textId="77777777" w:rsidR="00BF53A6" w:rsidRPr="004A0F58" w:rsidRDefault="00BF53A6" w:rsidP="000E74FE">
            <w:pPr>
              <w:pStyle w:val="Textpoznpodarou"/>
              <w:spacing w:after="240"/>
              <w:jc w:val="both"/>
              <w:rPr>
                <w:color w:val="0D0D0D" w:themeColor="text1" w:themeTint="F2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5F102FB0" w14:textId="77777777" w:rsidR="00BF53A6" w:rsidRPr="004A0F58" w:rsidRDefault="00BF53A6" w:rsidP="000E74FE">
            <w:pPr>
              <w:spacing w:after="200"/>
              <w:rPr>
                <w:color w:val="0D0D0D" w:themeColor="text1" w:themeTint="F2"/>
                <w:spacing w:val="-4"/>
              </w:rPr>
            </w:pPr>
            <w:r w:rsidRPr="004A0F58">
              <w:rPr>
                <w:color w:val="0D0D0D" w:themeColor="text1" w:themeTint="F2"/>
                <w:spacing w:val="-4"/>
              </w:rPr>
              <w:t xml:space="preserve">S hlubšími problémy se stále potýkaly některé vesměs energeticky náročné obory vyrábějící meziprodukty. V těžbě a dobývání se produkce meziročně </w:t>
            </w:r>
            <w:r>
              <w:rPr>
                <w:color w:val="0D0D0D" w:themeColor="text1" w:themeTint="F2"/>
                <w:spacing w:val="-4"/>
              </w:rPr>
              <w:t>snížila</w:t>
            </w:r>
            <w:r w:rsidRPr="004A0F58">
              <w:rPr>
                <w:color w:val="0D0D0D" w:themeColor="text1" w:themeTint="F2"/>
                <w:spacing w:val="-4"/>
              </w:rPr>
              <w:t xml:space="preserve"> o 0,</w:t>
            </w:r>
            <w:r>
              <w:rPr>
                <w:color w:val="0D0D0D" w:themeColor="text1" w:themeTint="F2"/>
                <w:spacing w:val="-4"/>
              </w:rPr>
              <w:t>8</w:t>
            </w:r>
            <w:r w:rsidRPr="004A0F58">
              <w:rPr>
                <w:color w:val="0D0D0D" w:themeColor="text1" w:themeTint="F2"/>
                <w:spacing w:val="-4"/>
              </w:rPr>
              <w:t xml:space="preserve"> %. Pokračoval řízený útlum těžby uhlí (na přelomu roku 2025 a 2026 se v Česku zcela zastavila těžba černého uhlí). Řádově m</w:t>
            </w:r>
            <w:r>
              <w:rPr>
                <w:color w:val="0D0D0D" w:themeColor="text1" w:themeTint="F2"/>
                <w:spacing w:val="-4"/>
              </w:rPr>
              <w:t>éně</w:t>
            </w:r>
            <w:r w:rsidRPr="004A0F58">
              <w:rPr>
                <w:color w:val="0D0D0D" w:themeColor="text1" w:themeTint="F2"/>
                <w:spacing w:val="-4"/>
              </w:rPr>
              <w:t xml:space="preserve"> </w:t>
            </w:r>
            <w:r>
              <w:rPr>
                <w:color w:val="0D0D0D" w:themeColor="text1" w:themeTint="F2"/>
                <w:spacing w:val="-4"/>
              </w:rPr>
              <w:t>klesla</w:t>
            </w:r>
            <w:r w:rsidRPr="004A0F58">
              <w:rPr>
                <w:color w:val="0D0D0D" w:themeColor="text1" w:themeTint="F2"/>
                <w:spacing w:val="-4"/>
              </w:rPr>
              <w:t xml:space="preserve"> také těžba stavebních materiálů, avšak její pokles pokračoval již čtvrtý rok v řadě. Rostoucí tuzemská poptávka zde kromě stále </w:t>
            </w:r>
            <w:r w:rsidRPr="004A0F58">
              <w:rPr>
                <w:color w:val="0D0D0D" w:themeColor="text1" w:themeTint="F2"/>
              </w:rPr>
              <w:t xml:space="preserve">zvýšených výrobních nákladů </w:t>
            </w:r>
            <w:r w:rsidRPr="004A0F58">
              <w:rPr>
                <w:color w:val="0D0D0D" w:themeColor="text1" w:themeTint="F2"/>
                <w:spacing w:val="-4"/>
              </w:rPr>
              <w:t>stále více narážela na současné limity dané počtem povolených dobývacích prostor</w:t>
            </w:r>
            <w:r>
              <w:rPr>
                <w:rStyle w:val="Znakapoznpodarou"/>
                <w:color w:val="0D0D0D" w:themeColor="text1" w:themeTint="F2"/>
                <w:spacing w:val="-4"/>
              </w:rPr>
              <w:footnoteReference w:id="13"/>
            </w:r>
            <w:r w:rsidRPr="004A0F58">
              <w:rPr>
                <w:color w:val="0D0D0D" w:themeColor="text1" w:themeTint="F2"/>
                <w:spacing w:val="-4"/>
              </w:rPr>
              <w:t xml:space="preserve"> . Po loňském krátkodobém dílčím zotavení se opět snížil výkon ve výrobě ostatních nekovových minerálních výrobků (</w:t>
            </w:r>
            <w:r w:rsidRPr="00A64A46">
              <w:rPr>
                <w:color w:val="0D0D0D" w:themeColor="text1" w:themeTint="F2"/>
                <w:spacing w:val="-4"/>
                <w:szCs w:val="20"/>
              </w:rPr>
              <w:t>−2,3 %) zahrnující</w:t>
            </w:r>
            <w:r w:rsidRPr="004A0F58">
              <w:rPr>
                <w:color w:val="0D0D0D" w:themeColor="text1" w:themeTint="F2"/>
                <w:spacing w:val="-4"/>
              </w:rPr>
              <w:t xml:space="preserve"> zejména tradiční stavební materiály. Přestože tuzemská poptávka zde nadále rostla, odbyt v zahraničí vázl. </w:t>
            </w:r>
            <w:r>
              <w:rPr>
                <w:color w:val="0D0D0D" w:themeColor="text1" w:themeTint="F2"/>
                <w:spacing w:val="-4"/>
              </w:rPr>
              <w:t xml:space="preserve">Nepatrně se snížila i produkce dřevozpracujícího průmyslu, neboť rostoucí tuzemská poptávka zde nedokázala plně vykompenzovat slabší odbyt v zahraničí. </w:t>
            </w:r>
            <w:r w:rsidRPr="004A0F58">
              <w:rPr>
                <w:color w:val="0D0D0D" w:themeColor="text1" w:themeTint="F2"/>
                <w:spacing w:val="-4"/>
              </w:rPr>
              <w:t xml:space="preserve">Výše uvedené náročné obory </w:t>
            </w:r>
            <w:r w:rsidRPr="004A0F58">
              <w:rPr>
                <w:color w:val="0D0D0D" w:themeColor="text1" w:themeTint="F2"/>
                <w:spacing w:val="-3"/>
              </w:rPr>
              <w:t xml:space="preserve">působily </w:t>
            </w:r>
            <w:r w:rsidRPr="004A0F58">
              <w:rPr>
                <w:color w:val="0D0D0D" w:themeColor="text1" w:themeTint="F2"/>
                <w:spacing w:val="-4"/>
              </w:rPr>
              <w:t>v úhrnu</w:t>
            </w:r>
            <w:r w:rsidRPr="004A0F58">
              <w:rPr>
                <w:color w:val="0D0D0D" w:themeColor="text1" w:themeTint="F2"/>
                <w:spacing w:val="-3"/>
              </w:rPr>
              <w:t xml:space="preserve"> proti růstu celého průmyslu</w:t>
            </w:r>
            <w:r w:rsidRPr="004A0F58">
              <w:rPr>
                <w:color w:val="0D0D0D" w:themeColor="text1" w:themeTint="F2"/>
                <w:spacing w:val="-4"/>
              </w:rPr>
              <w:t xml:space="preserve"> 0,</w:t>
            </w:r>
            <w:r>
              <w:rPr>
                <w:color w:val="0D0D0D" w:themeColor="text1" w:themeTint="F2"/>
                <w:spacing w:val="-4"/>
              </w:rPr>
              <w:t>11</w:t>
            </w:r>
            <w:r w:rsidRPr="004A0F58">
              <w:rPr>
                <w:color w:val="0D0D0D" w:themeColor="text1" w:themeTint="F2"/>
                <w:spacing w:val="-4"/>
              </w:rPr>
              <w:t xml:space="preserve"> p. b.</w:t>
            </w:r>
          </w:p>
        </w:tc>
      </w:tr>
      <w:tr w:rsidR="00BF53A6" w:rsidRPr="004A0F58" w14:paraId="707A6136" w14:textId="77777777" w:rsidTr="000E74FE">
        <w:trPr>
          <w:trHeight w:val="145"/>
        </w:trPr>
        <w:tc>
          <w:tcPr>
            <w:tcW w:w="1683" w:type="dxa"/>
            <w:tcMar>
              <w:left w:w="0" w:type="dxa"/>
            </w:tcMar>
          </w:tcPr>
          <w:p w14:paraId="75367E35" w14:textId="77777777" w:rsidR="00BF53A6" w:rsidRPr="004A0F58" w:rsidRDefault="00BF53A6" w:rsidP="000E74FE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65" w:type="dxa"/>
            <w:tcMar>
              <w:left w:w="0" w:type="dxa"/>
            </w:tcMar>
          </w:tcPr>
          <w:p w14:paraId="4694B595" w14:textId="77777777" w:rsidR="00BF53A6" w:rsidRPr="004A0F58" w:rsidRDefault="00BF53A6" w:rsidP="000E74FE">
            <w:pPr>
              <w:pStyle w:val="Textpoznpodarou"/>
              <w:spacing w:after="240"/>
              <w:jc w:val="both"/>
              <w:rPr>
                <w:color w:val="0D0D0D" w:themeColor="text1" w:themeTint="F2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5206F88F" w14:textId="77777777" w:rsidR="00BF53A6" w:rsidRPr="004A0F58" w:rsidRDefault="00BF53A6" w:rsidP="000E74FE">
            <w:pPr>
              <w:spacing w:after="40"/>
              <w:rPr>
                <w:color w:val="0D0D0D" w:themeColor="text1" w:themeTint="F2"/>
              </w:rPr>
            </w:pPr>
            <w:r w:rsidRPr="004A0F58">
              <w:rPr>
                <w:b/>
                <w:color w:val="0D0D0D" w:themeColor="text1" w:themeTint="F2"/>
              </w:rPr>
              <w:t>Graf č. 4 Příspěvky dílčích odvětví k meziroční změně průmyslové produkce v ČR</w:t>
            </w:r>
            <w:r w:rsidRPr="004A0F58">
              <w:rPr>
                <w:color w:val="0D0D0D" w:themeColor="text1" w:themeTint="F2"/>
              </w:rPr>
              <w:t xml:space="preserve"> (očištěno o kalendářní vlivy, reálně, v p. b.) </w:t>
            </w:r>
            <w:r w:rsidRPr="004A0F58">
              <w:rPr>
                <w:b/>
                <w:color w:val="0D0D0D" w:themeColor="text1" w:themeTint="F2"/>
              </w:rPr>
              <w:t>a produkce v celém průmyslu v ČR, Německu a EU27</w:t>
            </w:r>
            <w:r w:rsidRPr="004A0F58">
              <w:rPr>
                <w:i/>
                <w:color w:val="0D0D0D" w:themeColor="text1" w:themeTint="F2"/>
              </w:rPr>
              <w:t xml:space="preserve"> </w:t>
            </w:r>
            <w:r w:rsidRPr="004A0F58">
              <w:rPr>
                <w:color w:val="0D0D0D" w:themeColor="text1" w:themeTint="F2"/>
              </w:rPr>
              <w:t>(sezónně očištěno, úroveň roku 2021=100, pravá osa)</w:t>
            </w:r>
          </w:p>
        </w:tc>
      </w:tr>
      <w:tr w:rsidR="00BF53A6" w:rsidRPr="004A0F58" w14:paraId="6B3D2E83" w14:textId="77777777" w:rsidTr="000E74FE">
        <w:tblPrEx>
          <w:tblCellMar>
            <w:left w:w="70" w:type="dxa"/>
            <w:right w:w="70" w:type="dxa"/>
          </w:tblCellMar>
        </w:tblPrEx>
        <w:trPr>
          <w:trHeight w:val="145"/>
        </w:trPr>
        <w:tc>
          <w:tcPr>
            <w:tcW w:w="1683" w:type="dxa"/>
          </w:tcPr>
          <w:p w14:paraId="21F0379A" w14:textId="77777777" w:rsidR="00BF53A6" w:rsidRPr="004A0F58" w:rsidRDefault="00BF53A6" w:rsidP="000E74FE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65" w:type="dxa"/>
          </w:tcPr>
          <w:p w14:paraId="1791C07A" w14:textId="77777777" w:rsidR="00BF53A6" w:rsidRPr="004A0F58" w:rsidRDefault="00BF53A6" w:rsidP="000E74FE">
            <w:pPr>
              <w:pStyle w:val="Textpoznpodarou"/>
              <w:spacing w:after="240"/>
              <w:jc w:val="both"/>
              <w:rPr>
                <w:color w:val="0D0D0D" w:themeColor="text1" w:themeTint="F2"/>
              </w:rPr>
            </w:pPr>
          </w:p>
        </w:tc>
        <w:tc>
          <w:tcPr>
            <w:tcW w:w="7798" w:type="dxa"/>
          </w:tcPr>
          <w:p w14:paraId="4D91BE45" w14:textId="77777777" w:rsidR="00BF53A6" w:rsidRPr="004A0F58" w:rsidRDefault="00BF53A6" w:rsidP="000E74FE">
            <w:pPr>
              <w:spacing w:before="40" w:after="40"/>
              <w:rPr>
                <w:color w:val="0D0D0D" w:themeColor="text1" w:themeTint="F2"/>
              </w:rPr>
            </w:pPr>
            <w:r>
              <w:rPr>
                <w:noProof/>
              </w:rPr>
              <w:drawing>
                <wp:inline distT="0" distB="0" distL="0" distR="0" wp14:anchorId="644B249B" wp14:editId="31C82F1E">
                  <wp:extent cx="4826000" cy="3759200"/>
                  <wp:effectExtent l="0" t="0" r="0" b="0"/>
                  <wp:docPr id="658227846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BF53A6" w:rsidRPr="004A0F58" w14:paraId="2CEB447D" w14:textId="77777777" w:rsidTr="000E74FE">
        <w:trPr>
          <w:trHeight w:val="145"/>
        </w:trPr>
        <w:tc>
          <w:tcPr>
            <w:tcW w:w="1683" w:type="dxa"/>
            <w:tcMar>
              <w:left w:w="0" w:type="dxa"/>
            </w:tcMar>
          </w:tcPr>
          <w:p w14:paraId="252E4271" w14:textId="77777777" w:rsidR="00BF53A6" w:rsidRPr="004A0F58" w:rsidRDefault="00BF53A6" w:rsidP="000E74FE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65" w:type="dxa"/>
            <w:tcMar>
              <w:left w:w="0" w:type="dxa"/>
            </w:tcMar>
          </w:tcPr>
          <w:p w14:paraId="7AB79D6C" w14:textId="77777777" w:rsidR="00BF53A6" w:rsidRPr="004A0F58" w:rsidRDefault="00BF53A6" w:rsidP="000E74FE">
            <w:pPr>
              <w:pStyle w:val="Textpoznpodarou"/>
              <w:spacing w:after="240"/>
              <w:jc w:val="both"/>
              <w:rPr>
                <w:color w:val="0D0D0D" w:themeColor="text1" w:themeTint="F2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711F3729" w14:textId="77777777" w:rsidR="00BF53A6" w:rsidRPr="004A0F58" w:rsidRDefault="00BF53A6" w:rsidP="000E74FE">
            <w:pPr>
              <w:spacing w:after="0"/>
              <w:rPr>
                <w:color w:val="0D0D0D" w:themeColor="text1" w:themeTint="F2"/>
                <w:sz w:val="14"/>
                <w:szCs w:val="14"/>
              </w:rPr>
            </w:pPr>
            <w:r w:rsidRPr="004A0F58">
              <w:rPr>
                <w:color w:val="0D0D0D" w:themeColor="text1" w:themeTint="F2"/>
                <w:sz w:val="14"/>
                <w:szCs w:val="14"/>
              </w:rPr>
              <w:t>*Příspěvek zbývajícího zpracovatelského průmyslu zahrnuje i vliv celkové metodické diskrepance pramenící ze změny vah.</w:t>
            </w:r>
          </w:p>
          <w:p w14:paraId="559414B5" w14:textId="77777777" w:rsidR="00BF53A6" w:rsidRPr="004A0F58" w:rsidRDefault="00BF53A6" w:rsidP="000E74FE">
            <w:pPr>
              <w:spacing w:after="200"/>
              <w:rPr>
                <w:color w:val="0D0D0D" w:themeColor="text1" w:themeTint="F2"/>
              </w:rPr>
            </w:pPr>
            <w:r w:rsidRPr="004A0F58">
              <w:rPr>
                <w:color w:val="0D0D0D" w:themeColor="text1" w:themeTint="F2"/>
                <w:sz w:val="14"/>
                <w:szCs w:val="14"/>
              </w:rPr>
              <w:t>Zdroj: ČSÚ, Eurostat</w:t>
            </w:r>
          </w:p>
        </w:tc>
      </w:tr>
      <w:tr w:rsidR="00BF53A6" w:rsidRPr="004A0F58" w14:paraId="2E6FA61E" w14:textId="77777777" w:rsidTr="000E74FE">
        <w:trPr>
          <w:trHeight w:val="145"/>
        </w:trPr>
        <w:tc>
          <w:tcPr>
            <w:tcW w:w="1683" w:type="dxa"/>
            <w:tcMar>
              <w:left w:w="0" w:type="dxa"/>
            </w:tcMar>
          </w:tcPr>
          <w:p w14:paraId="58AF35FE" w14:textId="77777777" w:rsidR="00BF53A6" w:rsidRPr="004A0F58" w:rsidRDefault="00BF53A6" w:rsidP="000E74FE">
            <w:pPr>
              <w:pStyle w:val="Marginlie"/>
              <w:spacing w:after="240"/>
              <w:rPr>
                <w:color w:val="0D0D0D" w:themeColor="text1" w:themeTint="F2"/>
                <w:spacing w:val="2"/>
              </w:rPr>
            </w:pPr>
            <w:r w:rsidRPr="004A0F58">
              <w:rPr>
                <w:color w:val="0D0D0D" w:themeColor="text1" w:themeTint="F2"/>
                <w:spacing w:val="2"/>
              </w:rPr>
              <w:t xml:space="preserve">Výpadek zahraniční poptávky omezil </w:t>
            </w:r>
            <w:r w:rsidRPr="004A0F58">
              <w:rPr>
                <w:color w:val="0D0D0D" w:themeColor="text1" w:themeTint="F2"/>
                <w:spacing w:val="-4"/>
              </w:rPr>
              <w:t>produkci v nábytkářství.</w:t>
            </w:r>
            <w:r w:rsidRPr="004A0F58">
              <w:rPr>
                <w:color w:val="0D0D0D" w:themeColor="text1" w:themeTint="F2"/>
                <w:spacing w:val="2"/>
              </w:rPr>
              <w:t xml:space="preserve"> Mírnější pokles výkonu </w:t>
            </w:r>
            <w:r w:rsidRPr="004A0F58">
              <w:rPr>
                <w:color w:val="0D0D0D" w:themeColor="text1" w:themeTint="F2"/>
                <w:spacing w:val="2"/>
              </w:rPr>
              <w:lastRenderedPageBreak/>
              <w:t xml:space="preserve">pokračoval </w:t>
            </w:r>
            <w:r>
              <w:rPr>
                <w:color w:val="0D0D0D" w:themeColor="text1" w:themeTint="F2"/>
                <w:spacing w:val="2"/>
              </w:rPr>
              <w:br/>
            </w:r>
            <w:r w:rsidRPr="004A0F58">
              <w:rPr>
                <w:color w:val="0D0D0D" w:themeColor="text1" w:themeTint="F2"/>
                <w:spacing w:val="2"/>
              </w:rPr>
              <w:t>i v</w:t>
            </w:r>
            <w:r w:rsidRPr="004A0F58">
              <w:rPr>
                <w:color w:val="0D0D0D" w:themeColor="text1" w:themeTint="F2"/>
                <w:spacing w:val="0"/>
              </w:rPr>
              <w:t> </w:t>
            </w:r>
            <w:r w:rsidRPr="004A0F58">
              <w:rPr>
                <w:color w:val="0D0D0D" w:themeColor="text1" w:themeTint="F2"/>
                <w:spacing w:val="2"/>
              </w:rPr>
              <w:t>některých dalších oborech zaměřených na výrobu spotřebního zboží.</w:t>
            </w:r>
          </w:p>
          <w:p w14:paraId="54B72F28" w14:textId="77777777" w:rsidR="00BF53A6" w:rsidRPr="004A0F58" w:rsidRDefault="00BF53A6" w:rsidP="000E74FE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65" w:type="dxa"/>
            <w:tcMar>
              <w:left w:w="0" w:type="dxa"/>
            </w:tcMar>
          </w:tcPr>
          <w:p w14:paraId="1299023A" w14:textId="77777777" w:rsidR="00BF53A6" w:rsidRPr="004A0F58" w:rsidRDefault="00BF53A6" w:rsidP="000E74FE">
            <w:pPr>
              <w:pStyle w:val="Textpoznpodarou"/>
              <w:spacing w:after="240"/>
              <w:jc w:val="both"/>
              <w:rPr>
                <w:color w:val="0D0D0D" w:themeColor="text1" w:themeTint="F2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12F725BE" w14:textId="77777777" w:rsidR="00BF53A6" w:rsidRPr="004A0F58" w:rsidRDefault="00BF53A6" w:rsidP="000E74FE">
            <w:pPr>
              <w:spacing w:after="200"/>
              <w:rPr>
                <w:color w:val="0D0D0D" w:themeColor="text1" w:themeTint="F2"/>
                <w:spacing w:val="-4"/>
              </w:rPr>
            </w:pPr>
            <w:r w:rsidRPr="004A0F58">
              <w:rPr>
                <w:color w:val="0D0D0D" w:themeColor="text1" w:themeTint="F2"/>
                <w:spacing w:val="-4"/>
              </w:rPr>
              <w:t>Produk</w:t>
            </w:r>
            <w:r w:rsidRPr="009D2D2C">
              <w:rPr>
                <w:color w:val="0D0D0D" w:themeColor="text1" w:themeTint="F2"/>
                <w:spacing w:val="-2"/>
              </w:rPr>
              <w:t xml:space="preserve">ce se letos snížila i v některých malých oborech zaměřených na tvorbu produktů krátkodobé či dlouhodobé spotřeby. Šlo v prvé řadě o nábytkářský průmysl, kde za </w:t>
            </w:r>
            <w:r w:rsidRPr="009D2D2C">
              <w:rPr>
                <w:color w:val="0D0D0D" w:themeColor="text1" w:themeTint="F2"/>
                <w:spacing w:val="-2"/>
              </w:rPr>
              <w:lastRenderedPageBreak/>
              <w:t>aktuálním útlumem (−14,3 %</w:t>
            </w:r>
            <w:r w:rsidRPr="009D2D2C">
              <w:rPr>
                <w:rStyle w:val="Znakapoznpodarou"/>
                <w:color w:val="0D0D0D" w:themeColor="text1" w:themeTint="F2"/>
                <w:spacing w:val="-2"/>
              </w:rPr>
              <w:footnoteReference w:id="14"/>
            </w:r>
            <w:r w:rsidRPr="009D2D2C">
              <w:rPr>
                <w:color w:val="0D0D0D" w:themeColor="text1" w:themeTint="F2"/>
                <w:spacing w:val="-2"/>
              </w:rPr>
              <w:t xml:space="preserve">) stál primárně citelnější výpadek zahraniční poptávky. Naopak slabší odbyt v tuzemsku vedl druhý rok v řadě k mírnějšímu poklesu produkce </w:t>
            </w:r>
            <w:r w:rsidRPr="00BA76C1">
              <w:rPr>
                <w:color w:val="0D0D0D" w:themeColor="text1" w:themeTint="F2"/>
                <w:spacing w:val="-4"/>
              </w:rPr>
              <w:t>v tiskárenství (−6,3 %). Druhý</w:t>
            </w:r>
            <w:r>
              <w:rPr>
                <w:color w:val="0D0D0D" w:themeColor="text1" w:themeTint="F2"/>
                <w:spacing w:val="-4"/>
              </w:rPr>
              <w:t>m</w:t>
            </w:r>
            <w:r w:rsidRPr="00BA76C1">
              <w:rPr>
                <w:color w:val="0D0D0D" w:themeColor="text1" w:themeTint="F2"/>
                <w:spacing w:val="-4"/>
              </w:rPr>
              <w:t xml:space="preserve"> rok</w:t>
            </w:r>
            <w:r>
              <w:rPr>
                <w:color w:val="0D0D0D" w:themeColor="text1" w:themeTint="F2"/>
                <w:spacing w:val="-4"/>
              </w:rPr>
              <w:t>em</w:t>
            </w:r>
            <w:r w:rsidRPr="00BA76C1">
              <w:rPr>
                <w:color w:val="0D0D0D" w:themeColor="text1" w:themeTint="F2"/>
                <w:spacing w:val="-4"/>
              </w:rPr>
              <w:t xml:space="preserve"> v řadě pokračoval mírný pokles výkonu v jinak dlouhodobě</w:t>
            </w:r>
            <w:r w:rsidRPr="009D2D2C">
              <w:rPr>
                <w:color w:val="0D0D0D" w:themeColor="text1" w:themeTint="F2"/>
                <w:spacing w:val="-2"/>
              </w:rPr>
              <w:t xml:space="preserve"> dynamicky se rozvíjejícím oboru farmaceutického průmyslu (−1,</w:t>
            </w:r>
            <w:r>
              <w:rPr>
                <w:color w:val="0D0D0D" w:themeColor="text1" w:themeTint="F2"/>
                <w:spacing w:val="-2"/>
              </w:rPr>
              <w:t>8</w:t>
            </w:r>
            <w:r w:rsidRPr="009D2D2C">
              <w:rPr>
                <w:color w:val="0D0D0D" w:themeColor="text1" w:themeTint="F2"/>
                <w:spacing w:val="-2"/>
              </w:rPr>
              <w:t xml:space="preserve"> %). Projevilo se oslabení v klíčové oblasti zahraniční poptávky</w:t>
            </w:r>
            <w:r>
              <w:rPr>
                <w:color w:val="0D0D0D" w:themeColor="text1" w:themeTint="F2"/>
                <w:spacing w:val="-2"/>
              </w:rPr>
              <w:t>,</w:t>
            </w:r>
            <w:r w:rsidRPr="009D2D2C">
              <w:rPr>
                <w:color w:val="0D0D0D" w:themeColor="text1" w:themeTint="F2"/>
                <w:spacing w:val="-2"/>
              </w:rPr>
              <w:t xml:space="preserve"> navíc vyprchal </w:t>
            </w:r>
            <w:r>
              <w:rPr>
                <w:color w:val="0D0D0D" w:themeColor="text1" w:themeTint="F2"/>
                <w:spacing w:val="-2"/>
              </w:rPr>
              <w:t>také</w:t>
            </w:r>
            <w:r w:rsidRPr="009D2D2C">
              <w:rPr>
                <w:color w:val="0D0D0D" w:themeColor="text1" w:themeTint="F2"/>
                <w:spacing w:val="-2"/>
              </w:rPr>
              <w:t xml:space="preserve"> růstový impuls z tuzemského trhu (související s vyšší poptávkou veřejného sektoru v oblasti bezpečnosti). Výše uvedený různorodý mix spotřebních oborů celkově působil letos souhrnně proti růstu celého průmyslu silou 0,</w:t>
            </w:r>
            <w:r>
              <w:rPr>
                <w:color w:val="0D0D0D" w:themeColor="text1" w:themeTint="F2"/>
                <w:spacing w:val="-2"/>
              </w:rPr>
              <w:t>20</w:t>
            </w:r>
            <w:r w:rsidRPr="009D2D2C">
              <w:rPr>
                <w:color w:val="0D0D0D" w:themeColor="text1" w:themeTint="F2"/>
                <w:spacing w:val="-2"/>
              </w:rPr>
              <w:t xml:space="preserve"> p. b.</w:t>
            </w:r>
          </w:p>
        </w:tc>
      </w:tr>
      <w:tr w:rsidR="00BF53A6" w:rsidRPr="004A0F58" w14:paraId="5C1323A2" w14:textId="77777777" w:rsidTr="000E74FE">
        <w:trPr>
          <w:trHeight w:val="145"/>
        </w:trPr>
        <w:tc>
          <w:tcPr>
            <w:tcW w:w="1683" w:type="dxa"/>
            <w:tcMar>
              <w:left w:w="0" w:type="dxa"/>
            </w:tcMar>
          </w:tcPr>
          <w:p w14:paraId="0C449A4E" w14:textId="77777777" w:rsidR="00BF53A6" w:rsidRPr="004A0F58" w:rsidRDefault="00BF53A6" w:rsidP="000E74FE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  <w:r w:rsidRPr="004A0F58">
              <w:rPr>
                <w:color w:val="0D0D0D" w:themeColor="text1" w:themeTint="F2"/>
                <w:spacing w:val="0"/>
              </w:rPr>
              <w:lastRenderedPageBreak/>
              <w:t xml:space="preserve">Mírný růst zakázek pokračoval, </w:t>
            </w:r>
            <w:r>
              <w:rPr>
                <w:color w:val="0D0D0D" w:themeColor="text1" w:themeTint="F2"/>
                <w:spacing w:val="0"/>
              </w:rPr>
              <w:t xml:space="preserve">a to </w:t>
            </w:r>
            <w:r w:rsidRPr="004A0F58">
              <w:rPr>
                <w:color w:val="0D0D0D" w:themeColor="text1" w:themeTint="F2"/>
                <w:spacing w:val="0"/>
              </w:rPr>
              <w:t>především díky automobilovému průmyslu.</w:t>
            </w:r>
          </w:p>
        </w:tc>
        <w:tc>
          <w:tcPr>
            <w:tcW w:w="165" w:type="dxa"/>
            <w:tcMar>
              <w:left w:w="0" w:type="dxa"/>
            </w:tcMar>
          </w:tcPr>
          <w:p w14:paraId="3EE047CD" w14:textId="77777777" w:rsidR="00BF53A6" w:rsidRPr="004A0F58" w:rsidRDefault="00BF53A6" w:rsidP="000E74FE">
            <w:pPr>
              <w:pStyle w:val="Textpoznpodarou"/>
              <w:spacing w:after="240"/>
              <w:jc w:val="both"/>
              <w:rPr>
                <w:color w:val="0D0D0D" w:themeColor="text1" w:themeTint="F2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3D2F566B" w14:textId="77777777" w:rsidR="00BF53A6" w:rsidRPr="004A0F58" w:rsidRDefault="00BF53A6" w:rsidP="000E74FE">
            <w:pPr>
              <w:spacing w:after="200"/>
              <w:rPr>
                <w:color w:val="0D0D0D" w:themeColor="text1" w:themeTint="F2"/>
                <w:spacing w:val="-4"/>
              </w:rPr>
            </w:pPr>
            <w:r>
              <w:rPr>
                <w:color w:val="0D0D0D" w:themeColor="text1" w:themeTint="F2"/>
                <w:spacing w:val="-4"/>
              </w:rPr>
              <w:t>Letos pokračoval m</w:t>
            </w:r>
            <w:r w:rsidRPr="004A0F58">
              <w:rPr>
                <w:color w:val="0D0D0D" w:themeColor="text1" w:themeTint="F2"/>
                <w:spacing w:val="-4"/>
              </w:rPr>
              <w:t>eziroční růst nominální hodnoty nových průmyslových zakázek</w:t>
            </w:r>
            <w:r w:rsidRPr="004A0F58">
              <w:rPr>
                <w:color w:val="0D0D0D" w:themeColor="text1" w:themeTint="F2"/>
                <w:spacing w:val="-4"/>
                <w:vertAlign w:val="superscript"/>
              </w:rPr>
              <w:footnoteReference w:id="15"/>
            </w:r>
            <w:r w:rsidRPr="004A0F58">
              <w:rPr>
                <w:color w:val="0D0D0D" w:themeColor="text1" w:themeTint="F2"/>
                <w:spacing w:val="-4"/>
              </w:rPr>
              <w:t>, patrný po většinu loňského roku a kulminující v jeho závěru</w:t>
            </w:r>
            <w:r>
              <w:rPr>
                <w:color w:val="0D0D0D" w:themeColor="text1" w:themeTint="F2"/>
                <w:spacing w:val="-4"/>
              </w:rPr>
              <w:t>.</w:t>
            </w:r>
            <w:r w:rsidRPr="004A0F58">
              <w:rPr>
                <w:rStyle w:val="Znakapoznpodarou"/>
                <w:color w:val="0D0D0D" w:themeColor="text1" w:themeTint="F2"/>
                <w:spacing w:val="-4"/>
              </w:rPr>
              <w:footnoteReference w:id="16"/>
            </w:r>
            <w:r w:rsidRPr="004A0F58">
              <w:rPr>
                <w:color w:val="0D0D0D" w:themeColor="text1" w:themeTint="F2"/>
                <w:spacing w:val="-4"/>
              </w:rPr>
              <w:t xml:space="preserve"> V 1. čtvrtletí dosáhl 4,0 %, když </w:t>
            </w:r>
            <w:r>
              <w:rPr>
                <w:color w:val="0D0D0D" w:themeColor="text1" w:themeTint="F2"/>
                <w:spacing w:val="-4"/>
              </w:rPr>
              <w:t xml:space="preserve">se </w:t>
            </w:r>
            <w:r w:rsidRPr="004A0F58">
              <w:rPr>
                <w:color w:val="0D0D0D" w:themeColor="text1" w:themeTint="F2"/>
                <w:spacing w:val="-4"/>
              </w:rPr>
              <w:t xml:space="preserve">mírně rychlejším tempem zvyšovala očekávaná zahraniční poptávka. K posílení celkových zakázek přispěl nejvíce automobilový průmysl </w:t>
            </w:r>
            <w:r w:rsidRPr="004A0F58">
              <w:rPr>
                <w:color w:val="0D0D0D" w:themeColor="text1" w:themeTint="F2"/>
                <w:spacing w:val="-5"/>
              </w:rPr>
              <w:t>(s růstem objemu objednávek o 12,5 %, z toho z tuzemska o 7,1 %). Pozitivní výhledy měl i navazující obor výroby elektrických zařízení (+2,1</w:t>
            </w:r>
            <w:r w:rsidRPr="004A0F58">
              <w:rPr>
                <w:color w:val="0D0D0D" w:themeColor="text1" w:themeTint="F2"/>
                <w:spacing w:val="-4"/>
              </w:rPr>
              <w:t> </w:t>
            </w:r>
            <w:r w:rsidRPr="004A0F58">
              <w:rPr>
                <w:color w:val="0D0D0D" w:themeColor="text1" w:themeTint="F2"/>
                <w:spacing w:val="-5"/>
              </w:rPr>
              <w:t xml:space="preserve">%) a kovových konstrukcí a kovodělných výrobků (2,0 %, loni ovšem s dvojcifernými růsty). Druhé čtvrtletí v řadě signalizovalo náznak oživení hutnictví a slévárenství, kde se aktuálně zvyšovaly pouze zakázky z tuzemska. </w:t>
            </w:r>
            <w:r w:rsidRPr="004A0F58">
              <w:rPr>
                <w:color w:val="0D0D0D" w:themeColor="text1" w:themeTint="F2"/>
                <w:spacing w:val="-4"/>
              </w:rPr>
              <w:t>Při zohlednění cen výrobců poskytují podobný mírný růstový impuls také zakázky v chemickém průmyslu (výhradně díky očekávanému odbytu v zahraničí). Naopak nepříznivý aktuální vývoj je patrný zejména ve váhově významném oboru strojírenství (s poklesem zakázek o 3,2 %) a také v některých menších zpracovatelských oborech (oděvnictví, farmacie).</w:t>
            </w:r>
          </w:p>
        </w:tc>
      </w:tr>
      <w:tr w:rsidR="00BF53A6" w:rsidRPr="004A0F58" w14:paraId="025C0CAE" w14:textId="77777777" w:rsidTr="000E74FE">
        <w:trPr>
          <w:trHeight w:val="145"/>
        </w:trPr>
        <w:tc>
          <w:tcPr>
            <w:tcW w:w="1683" w:type="dxa"/>
            <w:tcMar>
              <w:left w:w="0" w:type="dxa"/>
            </w:tcMar>
          </w:tcPr>
          <w:p w14:paraId="654AD2BE" w14:textId="77777777" w:rsidR="00BF53A6" w:rsidRPr="004A0F58" w:rsidRDefault="00BF53A6" w:rsidP="000E74FE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65" w:type="dxa"/>
            <w:tcMar>
              <w:left w:w="0" w:type="dxa"/>
            </w:tcMar>
          </w:tcPr>
          <w:p w14:paraId="0283BB83" w14:textId="77777777" w:rsidR="00BF53A6" w:rsidRPr="004A0F58" w:rsidRDefault="00BF53A6" w:rsidP="000E74FE">
            <w:pPr>
              <w:pStyle w:val="Textpoznpodarou"/>
              <w:spacing w:after="240"/>
              <w:jc w:val="both"/>
              <w:rPr>
                <w:color w:val="0D0D0D" w:themeColor="text1" w:themeTint="F2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12BD4711" w14:textId="77777777" w:rsidR="00BF53A6" w:rsidRPr="004A0F58" w:rsidRDefault="00BF53A6" w:rsidP="000E74FE">
            <w:pPr>
              <w:spacing w:after="40"/>
              <w:rPr>
                <w:color w:val="0D0D0D" w:themeColor="text1" w:themeTint="F2"/>
              </w:rPr>
            </w:pPr>
            <w:r w:rsidRPr="004A0F58">
              <w:rPr>
                <w:b/>
                <w:color w:val="0D0D0D" w:themeColor="text1" w:themeTint="F2"/>
              </w:rPr>
              <w:t>Graf č. 5 Nové zakázky v průmyslu</w:t>
            </w:r>
            <w:r w:rsidRPr="004A0F58">
              <w:rPr>
                <w:color w:val="0D0D0D" w:themeColor="text1" w:themeTint="F2"/>
              </w:rPr>
              <w:t xml:space="preserve"> (nominálně, meziročně, v %)</w:t>
            </w:r>
            <w:r w:rsidRPr="004A0F58">
              <w:rPr>
                <w:b/>
                <w:color w:val="0D0D0D" w:themeColor="text1" w:themeTint="F2"/>
              </w:rPr>
              <w:t>, využití výrobních kapacit v průmyslu, vybrané bariéry růstu*</w:t>
            </w:r>
            <w:r w:rsidRPr="004A0F58">
              <w:rPr>
                <w:color w:val="0D0D0D" w:themeColor="text1" w:themeTint="F2"/>
              </w:rPr>
              <w:t xml:space="preserve"> (v %, pravá osa) </w:t>
            </w:r>
            <w:r w:rsidRPr="004A0F58">
              <w:rPr>
                <w:b/>
                <w:color w:val="0D0D0D" w:themeColor="text1" w:themeTint="F2"/>
              </w:rPr>
              <w:t>a saldo důvěry podnikatelů v průmyslu*</w:t>
            </w:r>
            <w:r w:rsidRPr="004A0F58">
              <w:rPr>
                <w:color w:val="0D0D0D" w:themeColor="text1" w:themeTint="F2"/>
              </w:rPr>
              <w:t xml:space="preserve"> (v p. b., pravá osa)</w:t>
            </w:r>
          </w:p>
        </w:tc>
      </w:tr>
      <w:tr w:rsidR="00BF53A6" w:rsidRPr="004A0F58" w14:paraId="110F8FA0" w14:textId="77777777" w:rsidTr="000E74FE">
        <w:tblPrEx>
          <w:tblCellMar>
            <w:left w:w="70" w:type="dxa"/>
            <w:right w:w="70" w:type="dxa"/>
          </w:tblCellMar>
        </w:tblPrEx>
        <w:trPr>
          <w:trHeight w:val="145"/>
        </w:trPr>
        <w:tc>
          <w:tcPr>
            <w:tcW w:w="1683" w:type="dxa"/>
          </w:tcPr>
          <w:p w14:paraId="205F2DDA" w14:textId="77777777" w:rsidR="00BF53A6" w:rsidRPr="004A0F58" w:rsidRDefault="00BF53A6" w:rsidP="000E74FE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65" w:type="dxa"/>
          </w:tcPr>
          <w:p w14:paraId="7E6ED857" w14:textId="77777777" w:rsidR="00BF53A6" w:rsidRPr="004A0F58" w:rsidRDefault="00BF53A6" w:rsidP="000E74FE">
            <w:pPr>
              <w:pStyle w:val="Textpoznpodarou"/>
              <w:spacing w:after="240"/>
              <w:jc w:val="both"/>
              <w:rPr>
                <w:color w:val="0D0D0D" w:themeColor="text1" w:themeTint="F2"/>
              </w:rPr>
            </w:pPr>
          </w:p>
        </w:tc>
        <w:tc>
          <w:tcPr>
            <w:tcW w:w="7798" w:type="dxa"/>
          </w:tcPr>
          <w:p w14:paraId="7D6E71C5" w14:textId="77777777" w:rsidR="00BF53A6" w:rsidRPr="004A0F58" w:rsidRDefault="00BF53A6" w:rsidP="000E74FE">
            <w:pPr>
              <w:spacing w:before="40" w:after="40"/>
              <w:rPr>
                <w:color w:val="0D0D0D" w:themeColor="text1" w:themeTint="F2"/>
              </w:rPr>
            </w:pPr>
            <w:r w:rsidRPr="004A0F58">
              <w:rPr>
                <w:noProof/>
                <w:color w:val="0D0D0D" w:themeColor="text1" w:themeTint="F2"/>
              </w:rPr>
              <w:drawing>
                <wp:inline distT="0" distB="0" distL="0" distR="0" wp14:anchorId="67C45F72" wp14:editId="1D4AC027">
                  <wp:extent cx="4862830" cy="3276000"/>
                  <wp:effectExtent l="0" t="0" r="0" b="635"/>
                  <wp:docPr id="804235057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7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BF53A6" w:rsidRPr="004A0F58" w14:paraId="72215F4F" w14:textId="77777777" w:rsidTr="000E74FE">
        <w:trPr>
          <w:trHeight w:val="145"/>
        </w:trPr>
        <w:tc>
          <w:tcPr>
            <w:tcW w:w="1683" w:type="dxa"/>
            <w:tcMar>
              <w:left w:w="0" w:type="dxa"/>
            </w:tcMar>
          </w:tcPr>
          <w:p w14:paraId="1D05A6BF" w14:textId="77777777" w:rsidR="00BF53A6" w:rsidRPr="004A0F58" w:rsidRDefault="00BF53A6" w:rsidP="000E74FE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65" w:type="dxa"/>
            <w:tcMar>
              <w:left w:w="0" w:type="dxa"/>
            </w:tcMar>
          </w:tcPr>
          <w:p w14:paraId="7CDABB02" w14:textId="77777777" w:rsidR="00BF53A6" w:rsidRPr="004A0F58" w:rsidRDefault="00BF53A6" w:rsidP="000E74FE">
            <w:pPr>
              <w:pStyle w:val="Textpoznpodarou"/>
              <w:spacing w:after="240"/>
              <w:jc w:val="both"/>
              <w:rPr>
                <w:color w:val="0D0D0D" w:themeColor="text1" w:themeTint="F2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6E4542D2" w14:textId="77777777" w:rsidR="00BF53A6" w:rsidRPr="004A0F58" w:rsidRDefault="00BF53A6" w:rsidP="00D373EA">
            <w:pPr>
              <w:spacing w:after="0"/>
              <w:jc w:val="left"/>
              <w:rPr>
                <w:color w:val="0D0D0D" w:themeColor="text1" w:themeTint="F2"/>
                <w:sz w:val="14"/>
                <w:szCs w:val="14"/>
              </w:rPr>
            </w:pPr>
            <w:r w:rsidRPr="004A0F58">
              <w:rPr>
                <w:color w:val="0D0D0D" w:themeColor="text1" w:themeTint="F2"/>
                <w:sz w:val="14"/>
                <w:szCs w:val="14"/>
              </w:rPr>
              <w:t>*Využití průmyslových kapacit i bariéry růstu vyjadřují stav v prvním měsíci daného čtvrtletí, saldo důvěry podnikatelů je vztaženo ke druhému měsíci čtvrtletí. Zakázky jsou očištěny o kalendářní vlivy, ostatní ukazatele jsou sezónně očištěny. Podniky mohly uvést více hlavních růstových bariér současně.                                                                                                                                Zdroj: ČSÚ, Eurostat</w:t>
            </w:r>
          </w:p>
        </w:tc>
      </w:tr>
      <w:tr w:rsidR="00BF53A6" w:rsidRPr="004A0F58" w14:paraId="64364042" w14:textId="77777777" w:rsidTr="000E74FE">
        <w:trPr>
          <w:trHeight w:val="145"/>
        </w:trPr>
        <w:tc>
          <w:tcPr>
            <w:tcW w:w="1683" w:type="dxa"/>
            <w:tcMar>
              <w:left w:w="0" w:type="dxa"/>
            </w:tcMar>
          </w:tcPr>
          <w:p w14:paraId="05523EA2" w14:textId="77777777" w:rsidR="00BF53A6" w:rsidRPr="004A0F58" w:rsidRDefault="00BF53A6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  <w:r w:rsidRPr="004A0F58">
              <w:rPr>
                <w:color w:val="0D0D0D" w:themeColor="text1" w:themeTint="F2"/>
                <w:spacing w:val="0"/>
              </w:rPr>
              <w:lastRenderedPageBreak/>
              <w:t xml:space="preserve">Důvěra firem v průmyslu se během letošního jara mírně snížila a setrvala v lehce negativním pásmu. </w:t>
            </w:r>
          </w:p>
          <w:p w14:paraId="3F3973BD" w14:textId="77777777" w:rsidR="00BF53A6" w:rsidRPr="004A0F58" w:rsidRDefault="00BF53A6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1A19FDEB" w14:textId="77777777" w:rsidR="00BF53A6" w:rsidRPr="004A0F58" w:rsidRDefault="00BF53A6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722ED531" w14:textId="77777777" w:rsidR="00BF53A6" w:rsidRPr="004A0F58" w:rsidRDefault="00BF53A6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09B5BB2E" w14:textId="77777777" w:rsidR="00BF53A6" w:rsidRPr="004A0F58" w:rsidRDefault="00BF53A6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1BDA894A" w14:textId="77777777" w:rsidR="00BF53A6" w:rsidRPr="004A0F58" w:rsidRDefault="00BF53A6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29D18A7D" w14:textId="77777777" w:rsidR="00BF53A6" w:rsidRPr="004A0F58" w:rsidRDefault="00BF53A6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66BAB67F" w14:textId="77777777" w:rsidR="00BF53A6" w:rsidRPr="004A0F58" w:rsidRDefault="00BF53A6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23F82538" w14:textId="77777777" w:rsidR="00BF53A6" w:rsidRPr="004A0F58" w:rsidRDefault="00BF53A6" w:rsidP="000E74FE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  <w:r w:rsidRPr="004A0F58">
              <w:rPr>
                <w:color w:val="0D0D0D" w:themeColor="text1" w:themeTint="F2"/>
                <w:spacing w:val="0"/>
              </w:rPr>
              <w:t>Více než polovinu firem sužovala nedostatečná poptávka. Využití výrobních kapacit se snížilo.</w:t>
            </w:r>
          </w:p>
        </w:tc>
        <w:tc>
          <w:tcPr>
            <w:tcW w:w="165" w:type="dxa"/>
            <w:tcMar>
              <w:left w:w="0" w:type="dxa"/>
            </w:tcMar>
          </w:tcPr>
          <w:p w14:paraId="01B88B39" w14:textId="77777777" w:rsidR="00BF53A6" w:rsidRPr="004A0F58" w:rsidRDefault="00BF53A6" w:rsidP="000E74FE">
            <w:pPr>
              <w:pStyle w:val="Textpoznpodarou"/>
              <w:spacing w:after="240"/>
              <w:jc w:val="both"/>
              <w:rPr>
                <w:color w:val="0D0D0D" w:themeColor="text1" w:themeTint="F2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1FC1ADD3" w14:textId="77777777" w:rsidR="00BF53A6" w:rsidRPr="004A0F58" w:rsidRDefault="00BF53A6" w:rsidP="000E74FE">
            <w:pPr>
              <w:spacing w:after="200"/>
              <w:rPr>
                <w:bCs/>
                <w:color w:val="0D0D0D" w:themeColor="text1" w:themeTint="F2"/>
              </w:rPr>
            </w:pPr>
            <w:r w:rsidRPr="004A0F58">
              <w:rPr>
                <w:color w:val="0D0D0D" w:themeColor="text1" w:themeTint="F2"/>
                <w:spacing w:val="-2"/>
              </w:rPr>
              <w:t>Důvěra podnikatelů v průmyslu se na počátku roku 2026</w:t>
            </w:r>
            <w:r>
              <w:rPr>
                <w:color w:val="0D0D0D" w:themeColor="text1" w:themeTint="F2"/>
                <w:spacing w:val="-2"/>
              </w:rPr>
              <w:t xml:space="preserve"> zvyšovala</w:t>
            </w:r>
            <w:r w:rsidRPr="004A0F58">
              <w:rPr>
                <w:color w:val="0D0D0D" w:themeColor="text1" w:themeTint="F2"/>
                <w:spacing w:val="-2"/>
              </w:rPr>
              <w:t xml:space="preserve"> i díky příznivému vývoji nových zakázek a v březnu dosáhla na téměř tříleté maximum. Následně se však projevily negativní dopady eskalace konfliktu na Blízkém východě. Zhoršila se krátkodobá očekávání výroby i hodnocení aktuální (zejména zahraniční) poptávky. Letošní jarní pokles celkové důvěry v průmyslu v Česku (podobně jako ve většině zemí EU) však nebyl razantní a výše důvěry v květnu 2026 tak nebyla horší než ve shodném období loni. Zhoršení vlastní ekonomické situace aktuálně v půlročním výhledu předpokládal</w:t>
            </w:r>
            <w:r>
              <w:rPr>
                <w:color w:val="0D0D0D" w:themeColor="text1" w:themeTint="F2"/>
                <w:spacing w:val="-2"/>
              </w:rPr>
              <w:t>a</w:t>
            </w:r>
            <w:r w:rsidRPr="004A0F58">
              <w:rPr>
                <w:color w:val="0D0D0D" w:themeColor="text1" w:themeTint="F2"/>
                <w:spacing w:val="-2"/>
              </w:rPr>
              <w:t xml:space="preserve"> jen 4 % pr</w:t>
            </w:r>
            <w:r>
              <w:rPr>
                <w:color w:val="0D0D0D" w:themeColor="text1" w:themeTint="F2"/>
                <w:spacing w:val="-2"/>
              </w:rPr>
              <w:t>ů</w:t>
            </w:r>
            <w:r w:rsidRPr="004A0F58">
              <w:rPr>
                <w:color w:val="0D0D0D" w:themeColor="text1" w:themeTint="F2"/>
                <w:spacing w:val="-2"/>
              </w:rPr>
              <w:t>myslových podniků, zlepšení však již 13 %. Očekávání vývoje vlastní zaměstnanosti sice zůstala mírně negativní, avšak drtivá většina firem (82 %) předpokládala v nejbližším kvartálu stabilní vývoj. Na druhou stranu narůstala celková nejistota firem (ohledně schopnosti odhadovat vlastní ekonomický vývoj) a narůstal</w:t>
            </w:r>
            <w:r>
              <w:rPr>
                <w:color w:val="0D0D0D" w:themeColor="text1" w:themeTint="F2"/>
                <w:spacing w:val="-2"/>
              </w:rPr>
              <w:t>o</w:t>
            </w:r>
            <w:r w:rsidRPr="004A0F58">
              <w:rPr>
                <w:color w:val="0D0D0D" w:themeColor="text1" w:themeTint="F2"/>
                <w:spacing w:val="-2"/>
              </w:rPr>
              <w:t xml:space="preserve"> inflační očekávání v oblasti výroby</w:t>
            </w:r>
            <w:r w:rsidRPr="004A0F58">
              <w:rPr>
                <w:rStyle w:val="Znakapoznpodarou"/>
                <w:color w:val="0D0D0D" w:themeColor="text1" w:themeTint="F2"/>
                <w:spacing w:val="-2"/>
              </w:rPr>
              <w:footnoteReference w:id="17"/>
            </w:r>
            <w:r w:rsidRPr="004A0F58">
              <w:rPr>
                <w:color w:val="0D0D0D" w:themeColor="text1" w:themeTint="F2"/>
                <w:spacing w:val="-2"/>
              </w:rPr>
              <w:t>. Čtvrtý rok v řadě zůstává klíčovou růstovou bariérou v průmyslu nedostatečná poptávka</w:t>
            </w:r>
            <w:r w:rsidRPr="004A0F58">
              <w:rPr>
                <w:rStyle w:val="Znakapoznpodarou"/>
                <w:rFonts w:eastAsia="MS Gothic"/>
                <w:color w:val="0D0D0D" w:themeColor="text1" w:themeTint="F2"/>
                <w:spacing w:val="-2"/>
                <w:szCs w:val="20"/>
              </w:rPr>
              <w:footnoteReference w:id="18"/>
            </w:r>
            <w:r w:rsidRPr="004A0F58">
              <w:rPr>
                <w:color w:val="0D0D0D" w:themeColor="text1" w:themeTint="F2"/>
                <w:spacing w:val="-2"/>
              </w:rPr>
              <w:t xml:space="preserve">. Tu letos v dubnu uvedlo </w:t>
            </w:r>
            <w:r w:rsidRPr="004A0F58">
              <w:rPr>
                <w:rStyle w:val="normaltextrun"/>
                <w:rFonts w:eastAsia="MS Gothic" w:cs="Arial"/>
                <w:color w:val="0D0D0D" w:themeColor="text1" w:themeTint="F2"/>
                <w:spacing w:val="-2"/>
                <w:szCs w:val="20"/>
              </w:rPr>
              <w:t>59</w:t>
            </w:r>
            <w:r w:rsidRPr="004A0F58">
              <w:rPr>
                <w:color w:val="0D0D0D" w:themeColor="text1" w:themeTint="F2"/>
                <w:spacing w:val="-2"/>
              </w:rPr>
              <w:t> </w:t>
            </w:r>
            <w:r w:rsidRPr="004A0F58">
              <w:rPr>
                <w:rStyle w:val="normaltextrun"/>
                <w:rFonts w:eastAsia="MS Gothic" w:cs="Arial"/>
                <w:color w:val="0D0D0D" w:themeColor="text1" w:themeTint="F2"/>
                <w:spacing w:val="-2"/>
                <w:szCs w:val="20"/>
              </w:rPr>
              <w:t>% podniků, meziročně o 7 p. b. více. Mírně vzrostl i podíl podniků limitovaných nedostatkem pracovníků (na 14 %), k pozitivnímu vývoji však došlo v oblasti dostupnosti materiálů či zařízení. Využití výrobních kapacit v průmyslu s</w:t>
            </w:r>
            <w:r w:rsidRPr="004A0F58">
              <w:rPr>
                <w:rStyle w:val="normaltextrun"/>
                <w:rFonts w:eastAsia="MS Gothic" w:cs="Arial"/>
                <w:color w:val="0D0D0D" w:themeColor="text1" w:themeTint="F2"/>
              </w:rPr>
              <w:t xml:space="preserve">e letos od začátku roku snižovalo. Na počátku 2.čtvrtletí </w:t>
            </w:r>
            <w:r w:rsidRPr="004A0F58">
              <w:rPr>
                <w:rStyle w:val="normaltextrun"/>
                <w:rFonts w:eastAsia="MS Gothic" w:cs="Arial"/>
                <w:color w:val="0D0D0D" w:themeColor="text1" w:themeTint="F2"/>
                <w:spacing w:val="-2"/>
                <w:szCs w:val="20"/>
              </w:rPr>
              <w:t xml:space="preserve">dosáhlo 80,6 % a proti konci loňského roku bylo nižší </w:t>
            </w:r>
            <w:r>
              <w:rPr>
                <w:rStyle w:val="normaltextrun"/>
                <w:rFonts w:eastAsia="MS Gothic" w:cs="Arial"/>
                <w:color w:val="0D0D0D" w:themeColor="text1" w:themeTint="F2"/>
                <w:spacing w:val="-2"/>
                <w:szCs w:val="20"/>
              </w:rPr>
              <w:br/>
            </w:r>
            <w:r w:rsidRPr="004A0F58">
              <w:rPr>
                <w:rStyle w:val="normaltextrun"/>
                <w:rFonts w:eastAsia="MS Gothic" w:cs="Arial"/>
                <w:color w:val="0D0D0D" w:themeColor="text1" w:themeTint="F2"/>
                <w:spacing w:val="-2"/>
                <w:szCs w:val="20"/>
              </w:rPr>
              <w:t>o 3,6 p. b. (podobně ve srovnání s dlouhodobým průměrem).</w:t>
            </w:r>
          </w:p>
        </w:tc>
      </w:tr>
      <w:tr w:rsidR="00BF53A6" w:rsidRPr="004A0F58" w14:paraId="50241874" w14:textId="77777777" w:rsidTr="000E74FE">
        <w:trPr>
          <w:trHeight w:val="145"/>
        </w:trPr>
        <w:tc>
          <w:tcPr>
            <w:tcW w:w="1683" w:type="dxa"/>
            <w:tcMar>
              <w:left w:w="0" w:type="dxa"/>
            </w:tcMar>
          </w:tcPr>
          <w:p w14:paraId="104C1532" w14:textId="77777777" w:rsidR="00BF53A6" w:rsidRPr="004A0F58" w:rsidRDefault="00BF53A6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  <w:r w:rsidRPr="004A0F58">
              <w:rPr>
                <w:color w:val="0D0D0D" w:themeColor="text1" w:themeTint="F2"/>
                <w:spacing w:val="0"/>
              </w:rPr>
              <w:t xml:space="preserve">Rozvoj stavebnictví pokračoval. Byl ovšem limitován řadou významných nákladových tlaků. </w:t>
            </w:r>
          </w:p>
          <w:p w14:paraId="51D5E43F" w14:textId="77777777" w:rsidR="00BF53A6" w:rsidRPr="004A0F58" w:rsidRDefault="00BF53A6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65" w:type="dxa"/>
            <w:tcMar>
              <w:left w:w="0" w:type="dxa"/>
            </w:tcMar>
          </w:tcPr>
          <w:p w14:paraId="15A230DC" w14:textId="77777777" w:rsidR="00BF53A6" w:rsidRPr="004A0F58" w:rsidRDefault="00BF53A6" w:rsidP="000E74FE">
            <w:pPr>
              <w:pStyle w:val="Textpoznpodarou"/>
              <w:spacing w:after="240"/>
              <w:jc w:val="both"/>
              <w:rPr>
                <w:color w:val="0D0D0D" w:themeColor="text1" w:themeTint="F2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0A3937F3" w14:textId="77777777" w:rsidR="00BF53A6" w:rsidRPr="004A0F58" w:rsidRDefault="00BF53A6" w:rsidP="000E74FE">
            <w:pPr>
              <w:spacing w:after="220"/>
              <w:rPr>
                <w:color w:val="0D0D0D" w:themeColor="text1" w:themeTint="F2"/>
                <w:spacing w:val="-2"/>
              </w:rPr>
            </w:pPr>
            <w:r w:rsidRPr="004A0F58">
              <w:rPr>
                <w:color w:val="0D0D0D" w:themeColor="text1" w:themeTint="F2"/>
                <w:spacing w:val="-2"/>
              </w:rPr>
              <w:t xml:space="preserve">Stavebnictví se i na počátku letošního roku dále rozvíjelo. Pokračující mírný růst výkonu tuzemské ekonomiky byl totiž v posledních čtvrtletích spojen s významnějším oživením investiční aktivity domácností, firem i státu. Na druhou stranu rychlejšímu rozvoji stavebnictví dlouhodobě bránily významné růstové bariéry (zejména </w:t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>nedostatek pracovníků, bez ohledu na kvalifikaci) a také přetrvávající nákladové tlaky pramenící z růstu cen stavebních materiálů i n</w:t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</w:rPr>
              <w:t>adále zvýšené cenové úrovně některých energi</w:t>
            </w:r>
            <w:r>
              <w:rPr>
                <w:rStyle w:val="normaltextrun"/>
                <w:rFonts w:eastAsiaTheme="majorEastAsia" w:cs="Arial"/>
                <w:color w:val="0D0D0D" w:themeColor="text1" w:themeTint="F2"/>
              </w:rPr>
              <w:t>í</w:t>
            </w:r>
            <w:r w:rsidRPr="004A0F58">
              <w:rPr>
                <w:rStyle w:val="Znakapoznpodarou"/>
                <w:rFonts w:eastAsiaTheme="majorEastAsia"/>
                <w:color w:val="0D0D0D" w:themeColor="text1" w:themeTint="F2"/>
              </w:rPr>
              <w:footnoteReference w:id="19"/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 xml:space="preserve">. </w:t>
            </w:r>
            <w:r w:rsidRPr="004A0F58">
              <w:rPr>
                <w:rStyle w:val="normaltextrun"/>
                <w:rFonts w:cs="Arial"/>
                <w:color w:val="0D0D0D" w:themeColor="text1" w:themeTint="F2"/>
                <w:spacing w:val="-2"/>
              </w:rPr>
              <w:t>S</w:t>
            </w:r>
            <w:r w:rsidRPr="004A0F58">
              <w:rPr>
                <w:color w:val="0D0D0D" w:themeColor="text1" w:themeTint="F2"/>
                <w:spacing w:val="-2"/>
              </w:rPr>
              <w:t>tavební produkce</w:t>
            </w:r>
            <w:r w:rsidRPr="004A0F58">
              <w:rPr>
                <w:rStyle w:val="Znakapoznpodarou"/>
                <w:color w:val="0D0D0D" w:themeColor="text1" w:themeTint="F2"/>
                <w:spacing w:val="-2"/>
              </w:rPr>
              <w:footnoteReference w:id="20"/>
            </w:r>
            <w:r w:rsidRPr="004A0F58">
              <w:rPr>
                <w:color w:val="0D0D0D" w:themeColor="text1" w:themeTint="F2"/>
                <w:spacing w:val="-2"/>
              </w:rPr>
              <w:t xml:space="preserve"> se v 1. čtvrtletí 2026 mezikvartálně zvýšila o 1,4 % a kompenzovala tak dočasný mírný výpadek z konce loňského roku. Nynější růst byl tažen výstavbou budov a také specializovanými stavebními činnostmi, </w:t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</w:rPr>
              <w:t>jež jsou doménou zpravidla menších podniků a</w:t>
            </w:r>
            <w:r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</w:rPr>
              <w:t> </w:t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</w:rPr>
              <w:t>drobných podnikatelů.</w:t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</w:rPr>
              <w:t xml:space="preserve"> Naopak </w:t>
            </w:r>
            <w:r w:rsidRPr="004A0F58">
              <w:rPr>
                <w:rStyle w:val="normaltextrun"/>
                <w:rFonts w:cs="Arial"/>
                <w:color w:val="0D0D0D" w:themeColor="text1" w:themeTint="F2"/>
              </w:rPr>
              <w:t>i</w:t>
            </w:r>
            <w:r w:rsidRPr="004A0F58">
              <w:rPr>
                <w:color w:val="0D0D0D" w:themeColor="text1" w:themeTint="F2"/>
                <w:spacing w:val="-2"/>
              </w:rPr>
              <w:t xml:space="preserve">nženýrské stavitelství na </w:t>
            </w:r>
            <w:r w:rsidRPr="004A0F58">
              <w:rPr>
                <w:color w:val="0D0D0D" w:themeColor="text1" w:themeTint="F2"/>
                <w:spacing w:val="-6"/>
              </w:rPr>
              <w:t>dynamický růst z většiny loňského roku nenavázalo a jeho výkon fakticky stagnoval.</w:t>
            </w:r>
          </w:p>
        </w:tc>
      </w:tr>
      <w:tr w:rsidR="00BF53A6" w:rsidRPr="004A0F58" w14:paraId="09DECDCB" w14:textId="77777777" w:rsidTr="000E74FE">
        <w:trPr>
          <w:trHeight w:val="145"/>
        </w:trPr>
        <w:tc>
          <w:tcPr>
            <w:tcW w:w="1683" w:type="dxa"/>
            <w:tcMar>
              <w:left w:w="0" w:type="dxa"/>
            </w:tcMar>
          </w:tcPr>
          <w:p w14:paraId="13CAF64E" w14:textId="77777777" w:rsidR="00BF53A6" w:rsidRPr="004A0F58" w:rsidRDefault="00BF53A6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  <w:r w:rsidRPr="004A0F58">
              <w:rPr>
                <w:color w:val="0D0D0D" w:themeColor="text1" w:themeTint="F2"/>
                <w:spacing w:val="0"/>
              </w:rPr>
              <w:t xml:space="preserve">Meziroční růst stavební produkce opět znatelně zvolnil. Efekt vysoké srovnávací základny se nejvíce projevil v inženýrském stavitelství. </w:t>
            </w:r>
          </w:p>
        </w:tc>
        <w:tc>
          <w:tcPr>
            <w:tcW w:w="165" w:type="dxa"/>
            <w:tcMar>
              <w:left w:w="0" w:type="dxa"/>
            </w:tcMar>
          </w:tcPr>
          <w:p w14:paraId="6C57D1D8" w14:textId="77777777" w:rsidR="00BF53A6" w:rsidRPr="004A0F58" w:rsidRDefault="00BF53A6" w:rsidP="000E74FE">
            <w:pPr>
              <w:pStyle w:val="Textpoznpodarou"/>
              <w:spacing w:after="240"/>
              <w:jc w:val="both"/>
              <w:rPr>
                <w:color w:val="0D0D0D" w:themeColor="text1" w:themeTint="F2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001A3E90" w14:textId="77777777" w:rsidR="00BF53A6" w:rsidRPr="004A0F58" w:rsidRDefault="00BF53A6" w:rsidP="000E74FE">
            <w:pPr>
              <w:spacing w:after="200"/>
              <w:rPr>
                <w:rFonts w:eastAsiaTheme="majorEastAsia" w:cs="Arial"/>
                <w:color w:val="0D0D0D" w:themeColor="text1" w:themeTint="F2"/>
                <w:spacing w:val="-4"/>
                <w:szCs w:val="20"/>
              </w:rPr>
            </w:pPr>
            <w:r w:rsidRPr="004A0F58">
              <w:rPr>
                <w:bCs/>
                <w:color w:val="0D0D0D" w:themeColor="text1" w:themeTint="F2"/>
                <w:spacing w:val="-4"/>
              </w:rPr>
              <w:t>V meziročním pohledu se v 1. čtvrtletí 2026 stavební produkce zvýšila o 3,7 %, výkon odvětví se zvyšoval šestý kvartál v řadě. Současně ale již růst podruhé znatelně zpomalil</w:t>
            </w:r>
            <w:r w:rsidRPr="004A0F58">
              <w:rPr>
                <w:rStyle w:val="Znakapoznpodarou"/>
                <w:bCs/>
                <w:color w:val="0D0D0D" w:themeColor="text1" w:themeTint="F2"/>
                <w:spacing w:val="-4"/>
              </w:rPr>
              <w:footnoteReference w:id="21"/>
            </w:r>
            <w:r w:rsidRPr="004A0F58">
              <w:rPr>
                <w:bCs/>
                <w:color w:val="0D0D0D" w:themeColor="text1" w:themeTint="F2"/>
                <w:spacing w:val="-4"/>
              </w:rPr>
              <w:t>, což bylo patrné ve všech hlavních segmentech tohoto odvětví. K letošnímu růstu přispívalo výhradně pozemní stavitelství (+5,6 %, příspěvek k růst</w:t>
            </w:r>
            <w:r>
              <w:rPr>
                <w:bCs/>
                <w:color w:val="0D0D0D" w:themeColor="text1" w:themeTint="F2"/>
                <w:spacing w:val="-4"/>
              </w:rPr>
              <w:t>u</w:t>
            </w:r>
            <w:r w:rsidRPr="004A0F58">
              <w:rPr>
                <w:bCs/>
                <w:color w:val="0D0D0D" w:themeColor="text1" w:themeTint="F2"/>
                <w:spacing w:val="-4"/>
              </w:rPr>
              <w:t xml:space="preserve"> +4,0 p. b.), kde poptávka rostla svižně zejména ve specializovaných </w:t>
            </w:r>
            <w:r w:rsidRPr="004A0F58">
              <w:rPr>
                <w:color w:val="0D0D0D" w:themeColor="text1" w:themeTint="F2"/>
                <w:spacing w:val="-4"/>
              </w:rPr>
              <w:t>stavebních činnostech. Naproti tomu v inženýrském stavitelství se navzdory přetrvávajícímu posilování veřejných investic do dopravní infrastruktury růst produkce po bezmála dvou letech zastavil (</w:t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>−</w:t>
            </w:r>
            <w:r w:rsidRPr="004A0F58">
              <w:rPr>
                <w:rStyle w:val="normaltextrun"/>
                <w:rFonts w:cs="Arial"/>
                <w:color w:val="0D0D0D" w:themeColor="text1" w:themeTint="F2"/>
                <w:spacing w:val="-2"/>
              </w:rPr>
              <w:t>1</w:t>
            </w:r>
            <w:r w:rsidRPr="004A0F58">
              <w:rPr>
                <w:color w:val="0D0D0D" w:themeColor="text1" w:themeTint="F2"/>
                <w:spacing w:val="-4"/>
              </w:rPr>
              <w:t>,0 %).</w:t>
            </w:r>
          </w:p>
        </w:tc>
      </w:tr>
      <w:tr w:rsidR="00BF53A6" w:rsidRPr="004A0F58" w14:paraId="094C206F" w14:textId="77777777" w:rsidTr="000E74FE">
        <w:trPr>
          <w:trHeight w:val="145"/>
        </w:trPr>
        <w:tc>
          <w:tcPr>
            <w:tcW w:w="1683" w:type="dxa"/>
            <w:tcMar>
              <w:left w:w="0" w:type="dxa"/>
            </w:tcMar>
          </w:tcPr>
          <w:p w14:paraId="4389900E" w14:textId="77777777" w:rsidR="00BF53A6" w:rsidRPr="004A0F58" w:rsidRDefault="00BF53A6" w:rsidP="000E74FE">
            <w:pPr>
              <w:pStyle w:val="Marginlie"/>
              <w:rPr>
                <w:color w:val="0D0D0D" w:themeColor="text1" w:themeTint="F2"/>
                <w:spacing w:val="0"/>
              </w:rPr>
            </w:pPr>
            <w:r w:rsidRPr="004A0F58">
              <w:rPr>
                <w:color w:val="0D0D0D" w:themeColor="text1" w:themeTint="F2"/>
                <w:spacing w:val="0"/>
              </w:rPr>
              <w:t>Rozsah zahajované bytové výstavby se zvýšil. Dokončených bytů však mírně ubylo, neboť dál</w:t>
            </w:r>
            <w:r>
              <w:rPr>
                <w:color w:val="0D0D0D" w:themeColor="text1" w:themeTint="F2"/>
                <w:spacing w:val="0"/>
              </w:rPr>
              <w:t>e</w:t>
            </w:r>
            <w:r w:rsidRPr="004A0F58">
              <w:rPr>
                <w:color w:val="0D0D0D" w:themeColor="text1" w:themeTint="F2"/>
                <w:spacing w:val="0"/>
              </w:rPr>
              <w:t xml:space="preserve"> vázla finalizace </w:t>
            </w:r>
            <w:r>
              <w:rPr>
                <w:color w:val="0D0D0D" w:themeColor="text1" w:themeTint="F2"/>
                <w:spacing w:val="0"/>
              </w:rPr>
              <w:t>rodinných domů</w:t>
            </w:r>
            <w:r w:rsidRPr="004A0F58">
              <w:rPr>
                <w:color w:val="0D0D0D" w:themeColor="text1" w:themeTint="F2"/>
                <w:spacing w:val="0"/>
              </w:rPr>
              <w:t xml:space="preserve">. </w:t>
            </w:r>
          </w:p>
        </w:tc>
        <w:tc>
          <w:tcPr>
            <w:tcW w:w="165" w:type="dxa"/>
            <w:tcMar>
              <w:left w:w="0" w:type="dxa"/>
            </w:tcMar>
          </w:tcPr>
          <w:p w14:paraId="0F6850DB" w14:textId="77777777" w:rsidR="00BF53A6" w:rsidRPr="004A0F58" w:rsidRDefault="00BF53A6" w:rsidP="000E74FE">
            <w:pPr>
              <w:pStyle w:val="Textpoznpodarou"/>
              <w:spacing w:after="240"/>
              <w:jc w:val="both"/>
              <w:rPr>
                <w:color w:val="0D0D0D" w:themeColor="text1" w:themeTint="F2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2FF29BB4" w14:textId="77777777" w:rsidR="00BF53A6" w:rsidRPr="004A0F58" w:rsidRDefault="00BF53A6" w:rsidP="000E74FE">
            <w:pPr>
              <w:spacing w:after="200"/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</w:pPr>
            <w:r w:rsidRPr="004A0F58">
              <w:rPr>
                <w:rStyle w:val="normaltextrun"/>
                <w:rFonts w:eastAsiaTheme="majorEastAsia"/>
                <w:color w:val="0D0D0D" w:themeColor="text1" w:themeTint="F2"/>
                <w:spacing w:val="-2"/>
              </w:rPr>
              <w:t xml:space="preserve">Rozvoji pozemního stavitelství částečně pomohl segment bytové výstavby. </w:t>
            </w:r>
            <w:r w:rsidRPr="004A0F58">
              <w:rPr>
                <w:rStyle w:val="normaltextrun"/>
                <w:color w:val="0D0D0D" w:themeColor="text1" w:themeTint="F2"/>
                <w:spacing w:val="-2"/>
              </w:rPr>
              <w:t>V 1. čtvrtletí 2026 byl patrný náznak oživení zahajované bytové výstavby – „nastartovalo“ se 9,7 tis. bytů (ve stejném období roku nejvíce za poslední čtyři roky), meziročně o 16,8 % více (šlo v zásadě o plošný růst z hlediska forem výstavby)</w:t>
            </w:r>
            <w:r w:rsidRPr="004A0F58">
              <w:rPr>
                <w:rStyle w:val="Znakapoznpodarou"/>
                <w:color w:val="0D0D0D" w:themeColor="text1" w:themeTint="F2"/>
                <w:spacing w:val="-2"/>
              </w:rPr>
              <w:footnoteReference w:id="22"/>
            </w:r>
            <w:r w:rsidRPr="004A0F58">
              <w:rPr>
                <w:rStyle w:val="normaltextrun"/>
                <w:color w:val="0D0D0D" w:themeColor="text1" w:themeTint="F2"/>
                <w:spacing w:val="-2"/>
              </w:rPr>
              <w:t>. U dokončených bytů (8,2 tis.) nastal ovšem letos celkový k </w:t>
            </w:r>
            <w:r w:rsidRPr="004A0F58">
              <w:rPr>
                <w:rStyle w:val="normaltextrun"/>
                <w:color w:val="0D0D0D" w:themeColor="text1" w:themeTint="F2"/>
                <w:spacing w:val="-2"/>
                <w:szCs w:val="20"/>
              </w:rPr>
              <w:t>pokles (</w:t>
            </w:r>
            <w:r w:rsidRPr="004A0F58">
              <w:rPr>
                <w:color w:val="0D0D0D" w:themeColor="text1" w:themeTint="F2"/>
                <w:spacing w:val="-2"/>
                <w:szCs w:val="20"/>
              </w:rPr>
              <w:t>−2</w:t>
            </w:r>
            <w:r w:rsidRPr="004A0F58">
              <w:rPr>
                <w:rStyle w:val="normaltextrun"/>
                <w:color w:val="0D0D0D" w:themeColor="text1" w:themeTint="F2"/>
                <w:spacing w:val="-2"/>
                <w:szCs w:val="20"/>
              </w:rPr>
              <w:t>,4</w:t>
            </w:r>
            <w:r w:rsidRPr="004A0F58">
              <w:rPr>
                <w:rStyle w:val="normaltextrun"/>
                <w:color w:val="0D0D0D" w:themeColor="text1" w:themeTint="F2"/>
                <w:spacing w:val="-2"/>
              </w:rPr>
              <w:t xml:space="preserve"> %), zejména kvůli mimořádně slabé aktivitě v oblasti rodinných domů (počet v nich postavených bytů činil jen 2,9 tis. – v rámci 1. čtvrtletí nejméně po roce 2004). V kontrastu s tím se dále zvyšoval </w:t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 xml:space="preserve">počet bytů dokončených </w:t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4"/>
                <w:szCs w:val="20"/>
              </w:rPr>
              <w:t>úpravou stávajících bytových domů. To může souviset s relativně jednodušší administrativní</w:t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 xml:space="preserve"> </w:t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lastRenderedPageBreak/>
              <w:t>náročností realizací těchto staveb. C</w:t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</w:rPr>
              <w:t>elkový počet dokončených bytů se meziročně snížil zejména vlivem vývoje ve Středočeském kraji. Více než čtvrtina letos v Česku dokončených bytů připadal</w:t>
            </w:r>
            <w:r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</w:rPr>
              <w:t>a</w:t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</w:rPr>
              <w:t xml:space="preserve"> na Prahu (za celý loňský rok jen šestina). U zahájených bytů byl meziroční růst podpořen hlavně Jihomoravským krajem, ve kterém se letos v 1. čtvrtletí soustředila bezmála pětina jejich celorepublikové výstavby.</w:t>
            </w:r>
          </w:p>
        </w:tc>
      </w:tr>
      <w:tr w:rsidR="00BF53A6" w:rsidRPr="004A0F58" w14:paraId="222DF6E6" w14:textId="77777777" w:rsidTr="000E74FE">
        <w:trPr>
          <w:trHeight w:val="145"/>
        </w:trPr>
        <w:tc>
          <w:tcPr>
            <w:tcW w:w="1683" w:type="dxa"/>
            <w:tcMar>
              <w:left w:w="0" w:type="dxa"/>
            </w:tcMar>
          </w:tcPr>
          <w:p w14:paraId="72F1BFC2" w14:textId="77777777" w:rsidR="00BF53A6" w:rsidRPr="004A0F58" w:rsidRDefault="00BF53A6" w:rsidP="000E74FE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65" w:type="dxa"/>
            <w:tcMar>
              <w:left w:w="0" w:type="dxa"/>
            </w:tcMar>
          </w:tcPr>
          <w:p w14:paraId="3F56796D" w14:textId="77777777" w:rsidR="00BF53A6" w:rsidRPr="004A0F58" w:rsidRDefault="00BF53A6" w:rsidP="000E74FE">
            <w:pPr>
              <w:pStyle w:val="Textpoznpodarou"/>
              <w:spacing w:after="240"/>
              <w:jc w:val="both"/>
              <w:rPr>
                <w:color w:val="0D0D0D" w:themeColor="text1" w:themeTint="F2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737D1F7D" w14:textId="77777777" w:rsidR="00BF53A6" w:rsidRPr="004A0F58" w:rsidRDefault="00BF53A6" w:rsidP="000E74FE">
            <w:pPr>
              <w:spacing w:after="40"/>
              <w:rPr>
                <w:color w:val="0D0D0D" w:themeColor="text1" w:themeTint="F2"/>
              </w:rPr>
            </w:pPr>
            <w:r w:rsidRPr="004A0F58">
              <w:rPr>
                <w:b/>
                <w:color w:val="0D0D0D" w:themeColor="text1" w:themeTint="F2"/>
              </w:rPr>
              <w:t>Graf č. 6 Příspěvky odvětví k meziroční změně stavební produkce (reálně, v p. b.),</w:t>
            </w:r>
            <w:r w:rsidRPr="004A0F58">
              <w:rPr>
                <w:b/>
                <w:color w:val="0D0D0D" w:themeColor="text1" w:themeTint="F2"/>
              </w:rPr>
              <w:br/>
              <w:t>nové stavební zakázky</w:t>
            </w:r>
            <w:r w:rsidRPr="004A0F58">
              <w:rPr>
                <w:color w:val="0D0D0D" w:themeColor="text1" w:themeTint="F2"/>
              </w:rPr>
              <w:t xml:space="preserve"> (nominálně, meziročně, v %), </w:t>
            </w:r>
            <w:r w:rsidRPr="004A0F58">
              <w:rPr>
                <w:b/>
                <w:color w:val="0D0D0D" w:themeColor="text1" w:themeTint="F2"/>
              </w:rPr>
              <w:t>saldo důvěry podnikatelů ve stavebnictví*</w:t>
            </w:r>
            <w:r w:rsidRPr="004A0F58">
              <w:rPr>
                <w:color w:val="0D0D0D" w:themeColor="text1" w:themeTint="F2"/>
              </w:rPr>
              <w:t xml:space="preserve"> (v p. b., pravá osa) </w:t>
            </w:r>
            <w:r w:rsidRPr="004A0F58">
              <w:rPr>
                <w:b/>
                <w:color w:val="0D0D0D" w:themeColor="text1" w:themeTint="F2"/>
              </w:rPr>
              <w:t>a vybrané bariéry růstu*</w:t>
            </w:r>
            <w:r w:rsidRPr="004A0F58">
              <w:rPr>
                <w:color w:val="0D0D0D" w:themeColor="text1" w:themeTint="F2"/>
              </w:rPr>
              <w:t xml:space="preserve"> (v %, pravá osa)</w:t>
            </w:r>
          </w:p>
        </w:tc>
      </w:tr>
      <w:tr w:rsidR="00BF53A6" w:rsidRPr="004A0F58" w14:paraId="38BBB0DE" w14:textId="77777777" w:rsidTr="000E74FE">
        <w:tblPrEx>
          <w:tblCellMar>
            <w:left w:w="70" w:type="dxa"/>
            <w:right w:w="70" w:type="dxa"/>
          </w:tblCellMar>
        </w:tblPrEx>
        <w:trPr>
          <w:trHeight w:val="145"/>
        </w:trPr>
        <w:tc>
          <w:tcPr>
            <w:tcW w:w="1683" w:type="dxa"/>
          </w:tcPr>
          <w:p w14:paraId="58658C07" w14:textId="77777777" w:rsidR="00BF53A6" w:rsidRPr="004A0F58" w:rsidRDefault="00BF53A6" w:rsidP="000E74FE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65" w:type="dxa"/>
          </w:tcPr>
          <w:p w14:paraId="4AB9C468" w14:textId="77777777" w:rsidR="00BF53A6" w:rsidRPr="004A0F58" w:rsidRDefault="00BF53A6" w:rsidP="000E74FE">
            <w:pPr>
              <w:pStyle w:val="Textpoznpodarou"/>
              <w:spacing w:after="240"/>
              <w:jc w:val="both"/>
              <w:rPr>
                <w:color w:val="0D0D0D" w:themeColor="text1" w:themeTint="F2"/>
              </w:rPr>
            </w:pPr>
          </w:p>
        </w:tc>
        <w:tc>
          <w:tcPr>
            <w:tcW w:w="7798" w:type="dxa"/>
          </w:tcPr>
          <w:p w14:paraId="53B097C8" w14:textId="77777777" w:rsidR="00BF53A6" w:rsidRPr="004A0F58" w:rsidRDefault="00BF53A6" w:rsidP="000E74FE">
            <w:pPr>
              <w:spacing w:before="40" w:after="40"/>
              <w:rPr>
                <w:color w:val="0D0D0D" w:themeColor="text1" w:themeTint="F2"/>
              </w:rPr>
            </w:pPr>
            <w:r w:rsidRPr="004A0F58">
              <w:rPr>
                <w:noProof/>
                <w:color w:val="0D0D0D" w:themeColor="text1" w:themeTint="F2"/>
              </w:rPr>
              <w:drawing>
                <wp:inline distT="0" distB="0" distL="0" distR="0" wp14:anchorId="407ED733" wp14:editId="5D129D1D">
                  <wp:extent cx="4832350" cy="3219450"/>
                  <wp:effectExtent l="0" t="0" r="6350" b="0"/>
                  <wp:docPr id="1307156592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E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BF53A6" w:rsidRPr="004A0F58" w14:paraId="2CBEF0AD" w14:textId="77777777" w:rsidTr="000E74FE">
        <w:trPr>
          <w:trHeight w:val="145"/>
        </w:trPr>
        <w:tc>
          <w:tcPr>
            <w:tcW w:w="1683" w:type="dxa"/>
            <w:tcMar>
              <w:left w:w="0" w:type="dxa"/>
            </w:tcMar>
          </w:tcPr>
          <w:p w14:paraId="137D0CFE" w14:textId="77777777" w:rsidR="00BF53A6" w:rsidRPr="004A0F58" w:rsidRDefault="00BF53A6" w:rsidP="000E74FE">
            <w:pPr>
              <w:pStyle w:val="Marginlie"/>
              <w:spacing w:after="240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65" w:type="dxa"/>
            <w:tcMar>
              <w:left w:w="0" w:type="dxa"/>
            </w:tcMar>
          </w:tcPr>
          <w:p w14:paraId="3F6825AB" w14:textId="77777777" w:rsidR="00BF53A6" w:rsidRPr="004A0F58" w:rsidRDefault="00BF53A6" w:rsidP="000E74FE">
            <w:pPr>
              <w:pStyle w:val="Textpoznpodarou"/>
              <w:spacing w:after="240"/>
              <w:jc w:val="both"/>
              <w:rPr>
                <w:color w:val="0D0D0D" w:themeColor="text1" w:themeTint="F2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1979F035" w14:textId="77777777" w:rsidR="00BF53A6" w:rsidRPr="004A0F58" w:rsidRDefault="00BF53A6" w:rsidP="000E74FE">
            <w:pPr>
              <w:spacing w:after="0"/>
              <w:rPr>
                <w:color w:val="0D0D0D" w:themeColor="text1" w:themeTint="F2"/>
                <w:sz w:val="14"/>
                <w:szCs w:val="14"/>
              </w:rPr>
            </w:pPr>
            <w:r w:rsidRPr="004A0F58">
              <w:rPr>
                <w:color w:val="0D0D0D" w:themeColor="text1" w:themeTint="F2"/>
                <w:sz w:val="14"/>
                <w:szCs w:val="14"/>
              </w:rPr>
              <w:t>Poznámka: Údaje o stavební produkci jsou očištěny o kalendářní vlivy.</w:t>
            </w:r>
          </w:p>
          <w:p w14:paraId="7600E7FC" w14:textId="77777777" w:rsidR="00BF53A6" w:rsidRPr="004A0F58" w:rsidRDefault="00BF53A6" w:rsidP="000E74FE">
            <w:pPr>
              <w:spacing w:after="0"/>
              <w:rPr>
                <w:color w:val="0D0D0D" w:themeColor="text1" w:themeTint="F2"/>
                <w:sz w:val="14"/>
                <w:szCs w:val="14"/>
              </w:rPr>
            </w:pPr>
            <w:r w:rsidRPr="004A0F58">
              <w:rPr>
                <w:color w:val="0D0D0D" w:themeColor="text1" w:themeTint="F2"/>
                <w:sz w:val="14"/>
                <w:szCs w:val="14"/>
              </w:rPr>
              <w:t>*Saldo důvěry podnikatelů i bariéry růstu jsou sezónně očištěny a vyjadřují stav ve druhém měsíci daného čtvrtletí. Podniky mohly uvést více hlavních bariér současně.</w:t>
            </w:r>
          </w:p>
          <w:p w14:paraId="1BD09A5F" w14:textId="77777777" w:rsidR="00BF53A6" w:rsidRPr="004A0F58" w:rsidRDefault="00BF53A6" w:rsidP="000E74FE">
            <w:pPr>
              <w:spacing w:after="0"/>
              <w:rPr>
                <w:color w:val="0D0D0D" w:themeColor="text1" w:themeTint="F2"/>
                <w:sz w:val="16"/>
                <w:szCs w:val="16"/>
              </w:rPr>
            </w:pPr>
            <w:r w:rsidRPr="004A0F58">
              <w:rPr>
                <w:color w:val="0D0D0D" w:themeColor="text1" w:themeTint="F2"/>
                <w:sz w:val="14"/>
                <w:szCs w:val="14"/>
              </w:rPr>
              <w:t>Zdroj: ČSÚ, Eurostat</w:t>
            </w:r>
          </w:p>
        </w:tc>
      </w:tr>
      <w:tr w:rsidR="006E6B4C" w:rsidRPr="004A0F58" w14:paraId="3551BD2C" w14:textId="77777777" w:rsidTr="000E74FE">
        <w:trPr>
          <w:trHeight w:val="170"/>
        </w:trPr>
        <w:tc>
          <w:tcPr>
            <w:tcW w:w="1683" w:type="dxa"/>
            <w:tcMar>
              <w:left w:w="0" w:type="dxa"/>
            </w:tcMar>
          </w:tcPr>
          <w:p w14:paraId="6318A6E6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  <w:spacing w:val="0"/>
              </w:rPr>
            </w:pPr>
            <w:r w:rsidRPr="004A0F58">
              <w:rPr>
                <w:color w:val="0D0D0D" w:themeColor="text1" w:themeTint="F2"/>
                <w:spacing w:val="0"/>
              </w:rPr>
              <w:t xml:space="preserve">Hodnota nových stavebních zakázek </w:t>
            </w:r>
            <w:r w:rsidRPr="004A0F58">
              <w:rPr>
                <w:color w:val="0D0D0D" w:themeColor="text1" w:themeTint="F2"/>
              </w:rPr>
              <w:t>se druhý kvartál v řadě meziročně snížila. Celková zásoba práce však nadále svižně rostla.</w:t>
            </w:r>
          </w:p>
          <w:p w14:paraId="43C7AC22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</w:rPr>
            </w:pPr>
          </w:p>
          <w:p w14:paraId="5E236160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</w:rPr>
            </w:pPr>
          </w:p>
          <w:p w14:paraId="0E5B9597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</w:rPr>
            </w:pPr>
          </w:p>
          <w:p w14:paraId="6A86830A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</w:rPr>
            </w:pPr>
          </w:p>
          <w:p w14:paraId="455E17E2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</w:rPr>
            </w:pPr>
          </w:p>
          <w:p w14:paraId="45C71F9A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</w:rPr>
            </w:pPr>
          </w:p>
          <w:p w14:paraId="0314435F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</w:rPr>
            </w:pPr>
          </w:p>
          <w:p w14:paraId="3B69409F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</w:rPr>
            </w:pPr>
          </w:p>
          <w:p w14:paraId="4FE0D494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</w:rPr>
            </w:pPr>
          </w:p>
          <w:p w14:paraId="7F4800D0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</w:rPr>
            </w:pPr>
          </w:p>
          <w:p w14:paraId="08541D9B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  <w:spacing w:val="0"/>
              </w:rPr>
            </w:pPr>
            <w:r w:rsidRPr="004A0F58">
              <w:rPr>
                <w:color w:val="0D0D0D" w:themeColor="text1" w:themeTint="F2"/>
                <w:spacing w:val="0"/>
              </w:rPr>
              <w:t>Podlahová plocha v nově povolených bytových budovách se zvýšila.</w:t>
            </w:r>
          </w:p>
          <w:p w14:paraId="3B21E7FC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65" w:type="dxa"/>
            <w:tcMar>
              <w:left w:w="0" w:type="dxa"/>
            </w:tcMar>
          </w:tcPr>
          <w:p w14:paraId="1ECD7163" w14:textId="77777777" w:rsidR="006E6B4C" w:rsidRPr="004A0F58" w:rsidRDefault="006E6B4C" w:rsidP="006E6B4C">
            <w:pPr>
              <w:pStyle w:val="Textpoznpodarou"/>
              <w:jc w:val="both"/>
              <w:rPr>
                <w:color w:val="0D0D0D" w:themeColor="text1" w:themeTint="F2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4A839757" w14:textId="1E008878" w:rsidR="006E6B4C" w:rsidRPr="004A0F58" w:rsidRDefault="006E6B4C" w:rsidP="006E6B4C">
            <w:pPr>
              <w:spacing w:after="200"/>
              <w:rPr>
                <w:color w:val="0D0D0D" w:themeColor="text1" w:themeTint="F2"/>
                <w:spacing w:val="-2"/>
              </w:rPr>
            </w:pP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>Počet nově uzavřených stavebních zakázek v Česku</w:t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  <w:vertAlign w:val="superscript"/>
              </w:rPr>
              <w:footnoteReference w:id="23"/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 xml:space="preserve"> se v 1. čtvrtletí 2026 meziročně zvýšil o 4,7 %. Hodnota těchto zakázek (92 mld. </w:t>
            </w:r>
            <w:r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>korun, v</w:t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 xml:space="preserve"> běžných cen</w:t>
            </w:r>
            <w:r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>ách</w:t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>) se ale</w:t>
            </w:r>
            <w:r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 xml:space="preserve"> </w:t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>meziročně</w:t>
            </w:r>
            <w:r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 xml:space="preserve"> </w:t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>snížila o 7,5 % a klesla druhý kvartál v řadě. Projevila se vyšší loňská základna, zejména u</w:t>
            </w:r>
            <w:r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> </w:t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>inženýrských staveb. Hodnota zakázek v pozemním stavitelství (44 mld. korun) ovšem dále rostla (+4,7 %). Úbytek objemu zakázek v inženýrském stavitelství (kde jde často o</w:t>
            </w:r>
            <w:r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> </w:t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>velké stavby) vedl k tomu, že průměrná celková hodnota nově uzavřené zakázky v 1.</w:t>
            </w:r>
            <w:r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> </w:t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 xml:space="preserve">čtvrtletí 2026 meziročně o osminu klesla (na 7,1 mil. korun). Díky vysokému přílivu zakázek z přechozích kvartálů i dlouhodobějšímu horizontu jejich realizace zůstávala celková zásoba práce tuzemských stavebních firem stále vysoká. Na konci března 2026 disponovaly stavební firmy v zásobě zakázkami za 446 mld. korun, meziročně o 18,4 % více (tempo však od poloviny loňského roku lehce zvolňovalo). Z toho skoro 70 % tvořily veřejné tuzemské zakázky. Zásoba veřejných i soukromých domácích zakázek rostla podobným tempem, úbytek nastal jen u zakázek v zahraničí (−20 %), kde měly tuzemské firmy aktuálně nasmlouvány práce za necelých 9 mld. korun. I podle dalšího předstihového ukazatele zůstávají vyhlídky stavebnictví poměrně příznivé. Podlahová plocha u nové výstavby budov, na něž bylo letos od ledna do dubna vydáno stavební povolení, se meziročně </w:t>
            </w:r>
            <w:r w:rsidRPr="004A0F58">
              <w:rPr>
                <w:rStyle w:val="normaltextrun"/>
                <w:rFonts w:eastAsiaTheme="majorEastAsia"/>
                <w:color w:val="0D0D0D" w:themeColor="text1" w:themeTint="F2"/>
                <w:spacing w:val="-2"/>
              </w:rPr>
              <w:t>zvýšila o 15 %</w:t>
            </w:r>
            <w:r w:rsidRPr="004A0F58">
              <w:rPr>
                <w:rStyle w:val="Znakapoznpodarou"/>
                <w:rFonts w:eastAsiaTheme="majorEastAsia"/>
                <w:color w:val="0D0D0D" w:themeColor="text1" w:themeTint="F2"/>
                <w:spacing w:val="-2"/>
              </w:rPr>
              <w:footnoteReference w:id="24"/>
            </w:r>
            <w:r w:rsidRPr="004A0F58">
              <w:rPr>
                <w:rStyle w:val="normaltextrun"/>
                <w:rFonts w:eastAsiaTheme="majorEastAsia"/>
                <w:color w:val="0D0D0D" w:themeColor="text1" w:themeTint="F2"/>
                <w:spacing w:val="-2"/>
              </w:rPr>
              <w:t>, z toho u bytových budov o 43 %, u nebytových však nastal pokles (</w:t>
            </w:r>
            <w:r>
              <w:rPr>
                <w:rStyle w:val="normaltextrun"/>
                <w:rFonts w:eastAsiaTheme="majorEastAsia"/>
                <w:color w:val="0D0D0D" w:themeColor="text1" w:themeTint="F2"/>
                <w:spacing w:val="-2"/>
              </w:rPr>
              <w:t>−</w:t>
            </w:r>
            <w:r w:rsidRPr="004A0F58">
              <w:rPr>
                <w:rStyle w:val="normaltextrun"/>
                <w:rFonts w:eastAsiaTheme="majorEastAsia"/>
                <w:color w:val="0D0D0D" w:themeColor="text1" w:themeTint="F2"/>
                <w:spacing w:val="-2"/>
              </w:rPr>
              <w:t>9 %). Po většinu loňského roku přitom tato plocha v obou kategoriích klesla.</w:t>
            </w:r>
          </w:p>
        </w:tc>
      </w:tr>
      <w:tr w:rsidR="006E6B4C" w:rsidRPr="004A0F58" w14:paraId="6D6C0701" w14:textId="77777777" w:rsidTr="000E74FE">
        <w:trPr>
          <w:trHeight w:val="170"/>
        </w:trPr>
        <w:tc>
          <w:tcPr>
            <w:tcW w:w="1683" w:type="dxa"/>
            <w:tcMar>
              <w:left w:w="0" w:type="dxa"/>
            </w:tcMar>
          </w:tcPr>
          <w:p w14:paraId="3423DF3C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  <w:spacing w:val="0"/>
              </w:rPr>
            </w:pPr>
            <w:r w:rsidRPr="004A0F58">
              <w:rPr>
                <w:color w:val="0D0D0D" w:themeColor="text1" w:themeTint="F2"/>
                <w:spacing w:val="0"/>
              </w:rPr>
              <w:lastRenderedPageBreak/>
              <w:t xml:space="preserve">Saldo důvěry ve stavebnictví setrvávalo v mírně negativním pásmu. Očekávání vyšší výroby se promítlo i v růstu zaměstnanosti. </w:t>
            </w:r>
          </w:p>
          <w:p w14:paraId="5F37D816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7C69B548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7E5C7D91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  <w:spacing w:val="0"/>
              </w:rPr>
            </w:pPr>
          </w:p>
          <w:p w14:paraId="3D4A31F7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  <w:spacing w:val="0"/>
              </w:rPr>
            </w:pPr>
            <w:r w:rsidRPr="004A0F58">
              <w:rPr>
                <w:color w:val="0D0D0D" w:themeColor="text1" w:themeTint="F2"/>
                <w:spacing w:val="0"/>
              </w:rPr>
              <w:t xml:space="preserve">Hlavní růstovou bariérou zůstává nedostatek zaměstnanců, roste role ostatních vlivů ve vazbě na konflikt na Blízkém východě. </w:t>
            </w:r>
          </w:p>
        </w:tc>
        <w:tc>
          <w:tcPr>
            <w:tcW w:w="165" w:type="dxa"/>
            <w:tcMar>
              <w:left w:w="0" w:type="dxa"/>
            </w:tcMar>
          </w:tcPr>
          <w:p w14:paraId="626BA82C" w14:textId="77777777" w:rsidR="006E6B4C" w:rsidRPr="004A0F58" w:rsidRDefault="006E6B4C" w:rsidP="006E6B4C">
            <w:pPr>
              <w:pStyle w:val="Textpoznpodarou"/>
              <w:jc w:val="both"/>
              <w:rPr>
                <w:color w:val="0D0D0D" w:themeColor="text1" w:themeTint="F2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571F78D9" w14:textId="77777777" w:rsidR="006E6B4C" w:rsidRPr="004A0F58" w:rsidRDefault="006E6B4C" w:rsidP="006E6B4C">
            <w:pPr>
              <w:spacing w:after="200"/>
              <w:rPr>
                <w:rStyle w:val="normaltextrun"/>
                <w:rFonts w:eastAsia="MS Gothic"/>
                <w:color w:val="0D0D0D" w:themeColor="text1" w:themeTint="F2"/>
              </w:rPr>
            </w:pPr>
            <w:r w:rsidRPr="004A0F58">
              <w:rPr>
                <w:color w:val="0D0D0D" w:themeColor="text1" w:themeTint="F2"/>
                <w:spacing w:val="-2"/>
              </w:rPr>
              <w:t>Důvěra podnikatelů</w:t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 xml:space="preserve"> ve stavebnictví </w:t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</w:rPr>
              <w:t xml:space="preserve">za poslední rok mírně kolísala bez náznaku zřetelného trendu. Letos v květnu se pohybovala v mírně negativním pásmu (saldo: </w:t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>−</w:t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</w:rPr>
              <w:t xml:space="preserve">0,5 bodu), ve srovnání s dlouhodobým průměrem (období 2003 až 2025) však byla výrazně příznivější (+18 %). </w:t>
            </w:r>
            <w:r w:rsidRPr="004A0F58">
              <w:rPr>
                <w:rStyle w:val="normaltextrun"/>
                <w:rFonts w:eastAsia="MS Gothic" w:cs="Arial"/>
                <w:color w:val="0D0D0D" w:themeColor="text1" w:themeTint="F2"/>
                <w:spacing w:val="-2"/>
                <w:szCs w:val="20"/>
              </w:rPr>
              <w:t>Mírně pozitivní očekávání nejbližšího vývoje stavební činnosti (s výhledem na letošní letní měsíce) se odrazila v plánech na nábor pracovníků</w:t>
            </w:r>
            <w:r w:rsidRPr="004A0F58">
              <w:rPr>
                <w:rStyle w:val="Znakapoznpodarou"/>
                <w:rFonts w:eastAsia="MS Gothic"/>
                <w:color w:val="0D0D0D" w:themeColor="text1" w:themeTint="F2"/>
                <w:spacing w:val="-2"/>
                <w:szCs w:val="20"/>
              </w:rPr>
              <w:footnoteReference w:id="25"/>
            </w:r>
            <w:r w:rsidRPr="004A0F58">
              <w:rPr>
                <w:rStyle w:val="normaltextrun"/>
                <w:rFonts w:eastAsia="MS Gothic" w:cs="Arial"/>
                <w:color w:val="0D0D0D" w:themeColor="text1" w:themeTint="F2"/>
                <w:spacing w:val="-2"/>
                <w:szCs w:val="20"/>
              </w:rPr>
              <w:t>. Příznivě hodnotil</w:t>
            </w:r>
            <w:r>
              <w:rPr>
                <w:rStyle w:val="normaltextrun"/>
                <w:rFonts w:eastAsia="MS Gothic" w:cs="Arial"/>
                <w:color w:val="0D0D0D" w:themeColor="text1" w:themeTint="F2"/>
                <w:spacing w:val="-2"/>
                <w:szCs w:val="20"/>
              </w:rPr>
              <w:t>a</w:t>
            </w:r>
            <w:r>
              <w:rPr>
                <w:rStyle w:val="normaltextrun"/>
                <w:rFonts w:eastAsia="MS Gothic" w:cs="Arial"/>
                <w:color w:val="0D0D0D" w:themeColor="text1" w:themeTint="F2"/>
                <w:spacing w:val="-2"/>
              </w:rPr>
              <w:t xml:space="preserve"> </w:t>
            </w:r>
            <w:r w:rsidRPr="004A0F58">
              <w:rPr>
                <w:rStyle w:val="normaltextrun"/>
                <w:rFonts w:eastAsia="MS Gothic" w:cs="Arial"/>
                <w:color w:val="0D0D0D" w:themeColor="text1" w:themeTint="F2"/>
                <w:spacing w:val="-2"/>
                <w:szCs w:val="20"/>
              </w:rPr>
              <w:t xml:space="preserve">aktuálně svou finanční situaci třetina firem (nepříznivě jen 4 %), v půlročním výhledu zde očekává zlepšení každý čtvrtý podnik (zhoršení jen každý třináctý). Současnou poptávku ovšem stále nepříznivě vnímá pětina firem. </w:t>
            </w:r>
            <w:r w:rsidRPr="004A0F58">
              <w:rPr>
                <w:rStyle w:val="normaltextrun"/>
                <w:rFonts w:eastAsia="MS Gothic"/>
                <w:color w:val="0D0D0D" w:themeColor="text1" w:themeTint="F2"/>
                <w:spacing w:val="-2"/>
              </w:rPr>
              <w:t>Výkon celého odvětví limitují chronické růstové bariéry</w:t>
            </w:r>
            <w:r w:rsidRPr="004A0F58">
              <w:rPr>
                <w:rStyle w:val="Znakapoznpodarou"/>
                <w:rFonts w:eastAsia="MS Gothic"/>
                <w:color w:val="0D0D0D" w:themeColor="text1" w:themeTint="F2"/>
                <w:spacing w:val="-2"/>
              </w:rPr>
              <w:footnoteReference w:id="26"/>
            </w:r>
            <w:r w:rsidRPr="004A0F58">
              <w:rPr>
                <w:rStyle w:val="normaltextrun"/>
                <w:rFonts w:eastAsia="MS Gothic"/>
                <w:color w:val="0D0D0D" w:themeColor="text1" w:themeTint="F2"/>
                <w:spacing w:val="-2"/>
              </w:rPr>
              <w:t>. Fakticky již více než sedm let v řadě je tou nejvýznamnější nedostatek (zejména kvalifikovaných) zaměstnanců. J</w:t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>ako jednu z bariér ji uvedlo okolo 43 % firem (meziročně o</w:t>
            </w:r>
            <w:r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> </w:t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>6 p. b. méně)</w:t>
            </w:r>
            <w:r w:rsidRPr="004A0F58">
              <w:rPr>
                <w:rStyle w:val="normaltextrun"/>
                <w:rFonts w:eastAsia="MS Gothic"/>
                <w:color w:val="0D0D0D" w:themeColor="text1" w:themeTint="F2"/>
                <w:spacing w:val="-2"/>
              </w:rPr>
              <w:t>. Nedostatečná poptávka sužovala 30 % firem</w:t>
            </w:r>
            <w:r w:rsidRPr="004A0F58">
              <w:rPr>
                <w:rStyle w:val="Znakapoznpodarou"/>
                <w:rFonts w:eastAsia="MS Gothic"/>
                <w:color w:val="0D0D0D" w:themeColor="text1" w:themeTint="F2"/>
                <w:spacing w:val="-2"/>
              </w:rPr>
              <w:footnoteReference w:id="27"/>
            </w:r>
            <w:r w:rsidRPr="004A0F58">
              <w:rPr>
                <w:rStyle w:val="normaltextrun"/>
                <w:rFonts w:eastAsia="MS Gothic"/>
                <w:color w:val="0D0D0D" w:themeColor="text1" w:themeTint="F2"/>
                <w:spacing w:val="-2"/>
              </w:rPr>
              <w:t xml:space="preserve"> a i tento podíl se meziročně mírně snížil. Během jara ovšem značn</w:t>
            </w:r>
            <w:r w:rsidRPr="004A0F58">
              <w:rPr>
                <w:rFonts w:eastAsia="MS Gothic"/>
                <w:color w:val="0D0D0D" w:themeColor="text1" w:themeTint="F2"/>
                <w:spacing w:val="-2"/>
              </w:rPr>
              <w:t>ě stoupl počet respondentů uvádějících jiné bariéry (až na 20 % všech firem). Ty souvisí převážně s aktuální geopolitickou situací vedoucí k</w:t>
            </w:r>
            <w:r>
              <w:rPr>
                <w:rFonts w:eastAsia="MS Gothic"/>
                <w:color w:val="0D0D0D" w:themeColor="text1" w:themeTint="F2"/>
                <w:spacing w:val="-2"/>
              </w:rPr>
              <w:t> </w:t>
            </w:r>
            <w:r w:rsidRPr="004A0F58">
              <w:rPr>
                <w:rFonts w:eastAsia="MS Gothic"/>
                <w:color w:val="0D0D0D" w:themeColor="text1" w:themeTint="F2"/>
                <w:spacing w:val="-2"/>
              </w:rPr>
              <w:t>prudce rostoucím cenám vstupů vč. pohonných hmot</w:t>
            </w:r>
            <w:r w:rsidRPr="004A0F58">
              <w:rPr>
                <w:rFonts w:eastAsia="MS Gothic"/>
                <w:color w:val="0D0D0D" w:themeColor="text1" w:themeTint="F2"/>
              </w:rPr>
              <w:t>.</w:t>
            </w:r>
          </w:p>
        </w:tc>
      </w:tr>
      <w:tr w:rsidR="006E6B4C" w:rsidRPr="004A0F58" w14:paraId="562F4B8F" w14:textId="77777777" w:rsidTr="000E74FE">
        <w:trPr>
          <w:trHeight w:val="170"/>
        </w:trPr>
        <w:tc>
          <w:tcPr>
            <w:tcW w:w="1683" w:type="dxa"/>
            <w:tcMar>
              <w:left w:w="0" w:type="dxa"/>
            </w:tcMar>
          </w:tcPr>
          <w:p w14:paraId="645599F6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  <w:spacing w:val="0"/>
              </w:rPr>
            </w:pPr>
            <w:r w:rsidRPr="004A0F58">
              <w:rPr>
                <w:color w:val="0D0D0D" w:themeColor="text1" w:themeTint="F2"/>
                <w:spacing w:val="0"/>
              </w:rPr>
              <w:t xml:space="preserve">Rozvoj služeb nadále podporovala vyšší poptávka domácností </w:t>
            </w:r>
            <w:r>
              <w:rPr>
                <w:color w:val="0D0D0D" w:themeColor="text1" w:themeTint="F2"/>
                <w:spacing w:val="0"/>
              </w:rPr>
              <w:br/>
            </w:r>
            <w:r w:rsidRPr="004A0F58">
              <w:rPr>
                <w:color w:val="0D0D0D" w:themeColor="text1" w:themeTint="F2"/>
                <w:spacing w:val="0"/>
              </w:rPr>
              <w:t>i firem.</w:t>
            </w:r>
          </w:p>
        </w:tc>
        <w:tc>
          <w:tcPr>
            <w:tcW w:w="165" w:type="dxa"/>
            <w:tcMar>
              <w:left w:w="0" w:type="dxa"/>
            </w:tcMar>
          </w:tcPr>
          <w:p w14:paraId="43006216" w14:textId="77777777" w:rsidR="006E6B4C" w:rsidRPr="004A0F58" w:rsidRDefault="006E6B4C" w:rsidP="006E6B4C">
            <w:pPr>
              <w:pStyle w:val="Textpoznpodarou"/>
              <w:jc w:val="both"/>
              <w:rPr>
                <w:color w:val="0D0D0D" w:themeColor="text1" w:themeTint="F2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00BFB92B" w14:textId="77777777" w:rsidR="006E6B4C" w:rsidRPr="004A0F58" w:rsidRDefault="006E6B4C" w:rsidP="006E6B4C">
            <w:pPr>
              <w:spacing w:after="200"/>
              <w:rPr>
                <w:rStyle w:val="normaltextrun"/>
                <w:rFonts w:cs="Arial"/>
                <w:color w:val="0D0D0D" w:themeColor="text1" w:themeTint="F2"/>
                <w:spacing w:val="-6"/>
              </w:rPr>
            </w:pPr>
            <w:r w:rsidRPr="004A0F58">
              <w:rPr>
                <w:rStyle w:val="normaltextrun"/>
                <w:rFonts w:eastAsiaTheme="majorEastAsia"/>
                <w:color w:val="0D0D0D" w:themeColor="text1" w:themeTint="F2"/>
                <w:spacing w:val="-2"/>
              </w:rPr>
              <w:t>Rozvoj služeb pokračoval i na počátku letošního roku. Zlepšená finanční situace domácností se projevoval</w:t>
            </w:r>
            <w:r>
              <w:rPr>
                <w:rStyle w:val="normaltextrun"/>
                <w:rFonts w:eastAsiaTheme="majorEastAsia"/>
                <w:color w:val="0D0D0D" w:themeColor="text1" w:themeTint="F2"/>
                <w:spacing w:val="-2"/>
              </w:rPr>
              <w:t>a</w:t>
            </w:r>
            <w:r w:rsidRPr="004A0F58">
              <w:rPr>
                <w:rStyle w:val="normaltextrun"/>
                <w:rFonts w:eastAsiaTheme="majorEastAsia"/>
                <w:color w:val="0D0D0D" w:themeColor="text1" w:themeTint="F2"/>
                <w:spacing w:val="-2"/>
              </w:rPr>
              <w:t xml:space="preserve"> ve stabilním růstu jejich spotřebních výdajů. Významnou roli hrála i zvyšující se firemní poptávka, zejména </w:t>
            </w:r>
            <w:r>
              <w:rPr>
                <w:rStyle w:val="normaltextrun"/>
                <w:rFonts w:eastAsiaTheme="majorEastAsia"/>
                <w:color w:val="0D0D0D" w:themeColor="text1" w:themeTint="F2"/>
                <w:spacing w:val="-2"/>
              </w:rPr>
              <w:t xml:space="preserve">po </w:t>
            </w:r>
            <w:r w:rsidRPr="004A0F58">
              <w:rPr>
                <w:rStyle w:val="normaltextrun"/>
                <w:rFonts w:eastAsiaTheme="majorEastAsia"/>
                <w:color w:val="0D0D0D" w:themeColor="text1" w:themeTint="F2"/>
                <w:spacing w:val="-2"/>
              </w:rPr>
              <w:t xml:space="preserve">vyspělých službách vyžadujících práci specialistů. </w:t>
            </w:r>
            <w:r w:rsidRPr="004A0F58">
              <w:rPr>
                <w:color w:val="0D0D0D" w:themeColor="text1" w:themeTint="F2"/>
                <w:spacing w:val="-4"/>
              </w:rPr>
              <w:t xml:space="preserve">Mírný </w:t>
            </w:r>
            <w:proofErr w:type="spellStart"/>
            <w:r w:rsidRPr="004A0F58">
              <w:rPr>
                <w:color w:val="0D0D0D" w:themeColor="text1" w:themeTint="F2"/>
                <w:spacing w:val="-4"/>
              </w:rPr>
              <w:t>mezikvartální</w:t>
            </w:r>
            <w:proofErr w:type="spellEnd"/>
            <w:r w:rsidRPr="004A0F58">
              <w:rPr>
                <w:color w:val="0D0D0D" w:themeColor="text1" w:themeTint="F2"/>
                <w:spacing w:val="-4"/>
              </w:rPr>
              <w:t xml:space="preserve"> růst </w:t>
            </w:r>
            <w:r w:rsidRPr="004A0F58">
              <w:rPr>
                <w:rFonts w:cs="Arial"/>
                <w:color w:val="0D0D0D" w:themeColor="text1" w:themeTint="F2"/>
                <w:spacing w:val="-6"/>
              </w:rPr>
              <w:t>tržeb ve službách</w:t>
            </w:r>
            <w:r w:rsidRPr="004A0F58">
              <w:rPr>
                <w:color w:val="0D0D0D" w:themeColor="text1" w:themeTint="F2"/>
                <w:spacing w:val="-6"/>
                <w:vertAlign w:val="superscript"/>
              </w:rPr>
              <w:footnoteReference w:id="28"/>
            </w:r>
            <w:r w:rsidRPr="004A0F58">
              <w:rPr>
                <w:rFonts w:cs="Arial"/>
                <w:color w:val="0D0D0D" w:themeColor="text1" w:themeTint="F2"/>
                <w:spacing w:val="-6"/>
              </w:rPr>
              <w:t xml:space="preserve"> proto pokračoval. V 1. čtvrtletí 2026 dosáhl 0,9 % a obdobně jako na sklonku minulého roku byl podpořen drtivou většinou hlavních odvětví. Největší vliv zde měly profesní, vědecké a technické činnosti. Dařilo se i</w:t>
            </w:r>
            <w:r>
              <w:rPr>
                <w:rFonts w:cs="Arial"/>
                <w:color w:val="0D0D0D" w:themeColor="text1" w:themeTint="F2"/>
                <w:spacing w:val="-6"/>
              </w:rPr>
              <w:t xml:space="preserve"> dopravě</w:t>
            </w:r>
            <w:r w:rsidRPr="004A0F58">
              <w:rPr>
                <w:rFonts w:cs="Arial"/>
                <w:color w:val="0D0D0D" w:themeColor="text1" w:themeTint="F2"/>
                <w:spacing w:val="-6"/>
              </w:rPr>
              <w:t xml:space="preserve"> </w:t>
            </w:r>
            <w:r>
              <w:rPr>
                <w:rFonts w:cs="Arial"/>
                <w:color w:val="0D0D0D" w:themeColor="text1" w:themeTint="F2"/>
                <w:spacing w:val="-6"/>
              </w:rPr>
              <w:br/>
            </w:r>
            <w:r w:rsidRPr="004A0F58">
              <w:rPr>
                <w:rFonts w:cs="Arial"/>
                <w:color w:val="0D0D0D" w:themeColor="text1" w:themeTint="F2"/>
                <w:spacing w:val="-6"/>
              </w:rPr>
              <w:t>a skladování, které těžilo ze zrychlení investiční aktivity v ekonomice, k němuž došlo již na konci loňského roku. Celkové tržby ve službách se i proto nacházely mírně nad úrovní z vrcholu předpandemické konju</w:t>
            </w:r>
            <w:r>
              <w:rPr>
                <w:rFonts w:cs="Arial"/>
                <w:color w:val="0D0D0D" w:themeColor="text1" w:themeTint="F2"/>
                <w:spacing w:val="-6"/>
              </w:rPr>
              <w:t>n</w:t>
            </w:r>
            <w:r w:rsidRPr="004A0F58">
              <w:rPr>
                <w:rFonts w:cs="Arial"/>
                <w:color w:val="0D0D0D" w:themeColor="text1" w:themeTint="F2"/>
                <w:spacing w:val="-6"/>
              </w:rPr>
              <w:t>ktury</w:t>
            </w:r>
            <w:r w:rsidRPr="004A0F58">
              <w:rPr>
                <w:rStyle w:val="Znakapoznpodarou"/>
                <w:color w:val="0D0D0D" w:themeColor="text1" w:themeTint="F2"/>
                <w:spacing w:val="-6"/>
              </w:rPr>
              <w:footnoteReference w:id="29"/>
            </w:r>
            <w:r w:rsidRPr="004A0F58">
              <w:rPr>
                <w:rFonts w:cs="Arial"/>
                <w:color w:val="0D0D0D" w:themeColor="text1" w:themeTint="F2"/>
                <w:spacing w:val="-6"/>
              </w:rPr>
              <w:t>.</w:t>
            </w:r>
          </w:p>
        </w:tc>
      </w:tr>
      <w:tr w:rsidR="006E6B4C" w:rsidRPr="004A0F58" w14:paraId="140EFFCC" w14:textId="77777777" w:rsidTr="000E74FE">
        <w:trPr>
          <w:trHeight w:val="170"/>
        </w:trPr>
        <w:tc>
          <w:tcPr>
            <w:tcW w:w="1683" w:type="dxa"/>
            <w:tcMar>
              <w:left w:w="0" w:type="dxa"/>
            </w:tcMar>
          </w:tcPr>
          <w:p w14:paraId="6F729BD7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  <w:spacing w:val="0"/>
              </w:rPr>
            </w:pPr>
            <w:r w:rsidRPr="004A0F58">
              <w:rPr>
                <w:color w:val="0D0D0D" w:themeColor="text1" w:themeTint="F2"/>
              </w:rPr>
              <w:t xml:space="preserve">K meziročnímu růstu tržeb ve službách přispívaly nejvíce vyspělé podnikové služby tažené zejména vyšší poptávkou po činnostech v řízení podniků. </w:t>
            </w:r>
          </w:p>
        </w:tc>
        <w:tc>
          <w:tcPr>
            <w:tcW w:w="165" w:type="dxa"/>
            <w:tcMar>
              <w:left w:w="0" w:type="dxa"/>
            </w:tcMar>
          </w:tcPr>
          <w:p w14:paraId="1AD18C2E" w14:textId="77777777" w:rsidR="006E6B4C" w:rsidRPr="004A0F58" w:rsidRDefault="006E6B4C" w:rsidP="006E6B4C">
            <w:pPr>
              <w:pStyle w:val="Textpoznpodarou"/>
              <w:jc w:val="both"/>
              <w:rPr>
                <w:color w:val="0D0D0D" w:themeColor="text1" w:themeTint="F2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73FB8AF6" w14:textId="77777777" w:rsidR="006E6B4C" w:rsidRPr="004A0F58" w:rsidRDefault="006E6B4C" w:rsidP="006E6B4C">
            <w:pPr>
              <w:spacing w:after="200"/>
              <w:rPr>
                <w:rStyle w:val="normaltextrun"/>
                <w:color w:val="0D0D0D" w:themeColor="text1" w:themeTint="F2"/>
                <w:spacing w:val="-6"/>
              </w:rPr>
            </w:pPr>
            <w:r w:rsidRPr="004A0F58">
              <w:rPr>
                <w:color w:val="0D0D0D" w:themeColor="text1" w:themeTint="F2"/>
                <w:spacing w:val="-6"/>
              </w:rPr>
              <w:t xml:space="preserve">Tržby </w:t>
            </w:r>
            <w:r w:rsidRPr="004A0F58">
              <w:rPr>
                <w:color w:val="0D0D0D" w:themeColor="text1" w:themeTint="F2"/>
                <w:spacing w:val="-4"/>
              </w:rPr>
              <w:t xml:space="preserve">ve službách se letos v 1. čtvrtletí zvýšily meziročně o 2,3 % (srovnatelně jako v průměru za roky 2024 i 2025). Přispěly k tomu nejvíce, stejně jako vloni, profesní, vědecké a technické činnosti (+1,1 p. b., při růstu tohoto odvětví o 5,1 %), kde se dařilo všem dílčím oborům. </w:t>
            </w:r>
            <w:r w:rsidRPr="004A0F58">
              <w:rPr>
                <w:rFonts w:cs="Arial"/>
                <w:color w:val="0D0D0D" w:themeColor="text1" w:themeTint="F2"/>
                <w:spacing w:val="-4"/>
                <w:szCs w:val="20"/>
              </w:rPr>
              <w:t>Rozvoj celého odvětví byl tažen činnostmi vedení podniků a poradenstvím v oblasti řízení, kde se tržby zvýšily bezmála o desetinu a patřily k nejrychleji rostoucí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>m</w:t>
            </w:r>
            <w:r w:rsidRPr="004A0F58"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 oborům služeb i loni. Poptávka rostla svižně i v právnických a účetnických činnostech (+6,0 %, bezmála tříleté maximum), stejně jako v diverzifikovaném oboru ostatní profesní, vědecké a technické č</w:t>
            </w:r>
            <w:r w:rsidRPr="004A0F58">
              <w:rPr>
                <w:rFonts w:cs="Arial"/>
                <w:color w:val="0D0D0D" w:themeColor="text1" w:themeTint="F2"/>
                <w:spacing w:val="-6"/>
                <w:szCs w:val="20"/>
              </w:rPr>
              <w:t>innosti</w:t>
            </w:r>
            <w:r w:rsidRPr="004A0F58">
              <w:rPr>
                <w:rStyle w:val="Znakapoznpodarou"/>
                <w:color w:val="0D0D0D" w:themeColor="text1" w:themeTint="F2"/>
                <w:spacing w:val="-6"/>
              </w:rPr>
              <w:footnoteReference w:id="30"/>
            </w:r>
            <w:r w:rsidRPr="004A0F58">
              <w:rPr>
                <w:rFonts w:cs="Arial"/>
                <w:color w:val="0D0D0D" w:themeColor="text1" w:themeTint="F2"/>
                <w:spacing w:val="-6"/>
                <w:szCs w:val="20"/>
              </w:rPr>
              <w:t>. Svižně se rozvíjející stavebnictví se odrazilo i v růstu tržeb za architektonické a</w:t>
            </w:r>
            <w:r>
              <w:rPr>
                <w:rFonts w:cs="Arial"/>
                <w:color w:val="0D0D0D" w:themeColor="text1" w:themeTint="F2"/>
                <w:spacing w:val="-6"/>
                <w:szCs w:val="20"/>
              </w:rPr>
              <w:t> </w:t>
            </w:r>
            <w:r w:rsidRPr="004A0F58">
              <w:rPr>
                <w:rFonts w:cs="Arial"/>
                <w:color w:val="0D0D0D" w:themeColor="text1" w:themeTint="F2"/>
                <w:spacing w:val="-8"/>
                <w:szCs w:val="20"/>
              </w:rPr>
              <w:t>inženýrské činnosti (+4,9 %). Poptávka po reklamě a průzkumu trhu nepatrně ožila (na +0,7 %),</w:t>
            </w:r>
            <w:r w:rsidRPr="004A0F58"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 avšak v samotném segmentu reklamy dosud nedosáhla úrovně z roku 2019.</w:t>
            </w:r>
          </w:p>
        </w:tc>
      </w:tr>
      <w:tr w:rsidR="006E6B4C" w:rsidRPr="004A0F58" w14:paraId="0F21D97C" w14:textId="77777777" w:rsidTr="000E74FE">
        <w:trPr>
          <w:trHeight w:val="170"/>
        </w:trPr>
        <w:tc>
          <w:tcPr>
            <w:tcW w:w="1683" w:type="dxa"/>
            <w:tcMar>
              <w:left w:w="0" w:type="dxa"/>
            </w:tcMar>
          </w:tcPr>
          <w:p w14:paraId="1E77F57A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  <w:spacing w:val="0"/>
              </w:rPr>
            </w:pPr>
            <w:r w:rsidRPr="004A0F58">
              <w:rPr>
                <w:color w:val="0D0D0D" w:themeColor="text1" w:themeTint="F2"/>
                <w:spacing w:val="-4"/>
              </w:rPr>
              <w:t xml:space="preserve">Růst tržeb v oblasti ICT zvolnil. Nadále se dařilo telekomunikacím </w:t>
            </w:r>
            <w:r>
              <w:rPr>
                <w:color w:val="0D0D0D" w:themeColor="text1" w:themeTint="F2"/>
                <w:spacing w:val="-4"/>
              </w:rPr>
              <w:br/>
            </w:r>
            <w:r w:rsidRPr="004A0F58">
              <w:rPr>
                <w:color w:val="0D0D0D" w:themeColor="text1" w:themeTint="F2"/>
                <w:spacing w:val="-4"/>
              </w:rPr>
              <w:t xml:space="preserve">i programování. Oživení </w:t>
            </w:r>
            <w:r w:rsidRPr="004A0F58">
              <w:rPr>
                <w:color w:val="0D0D0D" w:themeColor="text1" w:themeTint="F2"/>
                <w:spacing w:val="-4"/>
              </w:rPr>
              <w:lastRenderedPageBreak/>
              <w:t xml:space="preserve">nastalo ve filmovém </w:t>
            </w:r>
            <w:r>
              <w:rPr>
                <w:color w:val="0D0D0D" w:themeColor="text1" w:themeTint="F2"/>
                <w:spacing w:val="-4"/>
              </w:rPr>
              <w:br/>
            </w:r>
            <w:r w:rsidRPr="004A0F58">
              <w:rPr>
                <w:color w:val="0D0D0D" w:themeColor="text1" w:themeTint="F2"/>
                <w:spacing w:val="-4"/>
              </w:rPr>
              <w:t>a hudebním průmyslu.</w:t>
            </w:r>
          </w:p>
        </w:tc>
        <w:tc>
          <w:tcPr>
            <w:tcW w:w="165" w:type="dxa"/>
            <w:tcMar>
              <w:left w:w="0" w:type="dxa"/>
            </w:tcMar>
          </w:tcPr>
          <w:p w14:paraId="7B10FDEB" w14:textId="77777777" w:rsidR="006E6B4C" w:rsidRPr="004A0F58" w:rsidRDefault="006E6B4C" w:rsidP="006E6B4C">
            <w:pPr>
              <w:pStyle w:val="Textpoznpodarou"/>
              <w:jc w:val="both"/>
              <w:rPr>
                <w:color w:val="0D0D0D" w:themeColor="text1" w:themeTint="F2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55EA0DD7" w14:textId="77777777" w:rsidR="006E6B4C" w:rsidRPr="004A0F58" w:rsidRDefault="006E6B4C" w:rsidP="006E6B4C">
            <w:pPr>
              <w:spacing w:after="200"/>
              <w:rPr>
                <w:rStyle w:val="normaltextrun"/>
                <w:rFonts w:cs="Arial"/>
                <w:color w:val="0D0D0D" w:themeColor="text1" w:themeTint="F2"/>
                <w:spacing w:val="-4"/>
                <w:szCs w:val="20"/>
              </w:rPr>
            </w:pPr>
            <w:r w:rsidRPr="004A0F58">
              <w:rPr>
                <w:color w:val="0D0D0D" w:themeColor="text1" w:themeTint="F2"/>
                <w:spacing w:val="-4"/>
              </w:rPr>
              <w:t xml:space="preserve">V informačních a komunikačních činnostech (ICT) meziroční růst tržeb letos zvolnil (na 2,4 %, příspěvek k růstu služeb +0,6 p. b.). Oblast ICT těžila hlavně </w:t>
            </w:r>
            <w:r>
              <w:rPr>
                <w:color w:val="0D0D0D" w:themeColor="text1" w:themeTint="F2"/>
                <w:spacing w:val="-4"/>
              </w:rPr>
              <w:t xml:space="preserve">z </w:t>
            </w:r>
            <w:r w:rsidRPr="004A0F58">
              <w:rPr>
                <w:color w:val="0D0D0D" w:themeColor="text1" w:themeTint="F2"/>
                <w:spacing w:val="-4"/>
              </w:rPr>
              <w:t xml:space="preserve">dlouhodobě </w:t>
            </w:r>
            <w:r>
              <w:rPr>
                <w:color w:val="0D0D0D" w:themeColor="text1" w:themeTint="F2"/>
                <w:spacing w:val="-4"/>
              </w:rPr>
              <w:t xml:space="preserve">se </w:t>
            </w:r>
            <w:r w:rsidRPr="004A0F58">
              <w:rPr>
                <w:rFonts w:cs="Arial"/>
                <w:color w:val="0D0D0D" w:themeColor="text1" w:themeTint="F2"/>
                <w:spacing w:val="-4"/>
              </w:rPr>
              <w:t>rozvíjejících činnost</w:t>
            </w:r>
            <w:r>
              <w:rPr>
                <w:rFonts w:cs="Arial"/>
                <w:color w:val="0D0D0D" w:themeColor="text1" w:themeTint="F2"/>
                <w:spacing w:val="-4"/>
              </w:rPr>
              <w:t>í</w:t>
            </w:r>
            <w:r w:rsidRPr="004A0F58">
              <w:rPr>
                <w:rFonts w:cs="Arial"/>
                <w:color w:val="0D0D0D" w:themeColor="text1" w:themeTint="F2"/>
                <w:spacing w:val="-4"/>
              </w:rPr>
              <w:t xml:space="preserve"> v oblasti IT</w:t>
            </w:r>
            <w:r w:rsidRPr="004A0F58">
              <w:rPr>
                <w:rStyle w:val="Znakapoznpodarou"/>
                <w:color w:val="0D0D0D" w:themeColor="text1" w:themeTint="F2"/>
                <w:spacing w:val="-4"/>
              </w:rPr>
              <w:footnoteReference w:id="31"/>
            </w:r>
            <w:r w:rsidRPr="004A0F58">
              <w:rPr>
                <w:rFonts w:cs="Arial"/>
                <w:color w:val="0D0D0D" w:themeColor="text1" w:themeTint="F2"/>
                <w:spacing w:val="-4"/>
              </w:rPr>
              <w:t>, v n</w:t>
            </w:r>
            <w:r>
              <w:rPr>
                <w:rFonts w:cs="Arial"/>
                <w:color w:val="0D0D0D" w:themeColor="text1" w:themeTint="F2"/>
                <w:spacing w:val="-4"/>
              </w:rPr>
              <w:t>ichž</w:t>
            </w:r>
            <w:r w:rsidRPr="004A0F58">
              <w:rPr>
                <w:rFonts w:cs="Arial"/>
                <w:color w:val="0D0D0D" w:themeColor="text1" w:themeTint="F2"/>
                <w:spacing w:val="-4"/>
              </w:rPr>
              <w:t xml:space="preserve"> letos tržby posílily o 3,5 %. Jen mírně nižším tempem </w:t>
            </w:r>
            <w:r w:rsidRPr="004A0F58">
              <w:rPr>
                <w:rFonts w:cs="Arial"/>
                <w:color w:val="0D0D0D" w:themeColor="text1" w:themeTint="F2"/>
                <w:spacing w:val="-4"/>
              </w:rPr>
              <w:lastRenderedPageBreak/>
              <w:t>rostla</w:t>
            </w:r>
            <w:r>
              <w:rPr>
                <w:rFonts w:cs="Arial"/>
                <w:color w:val="0D0D0D" w:themeColor="text1" w:themeTint="F2"/>
                <w:spacing w:val="-4"/>
              </w:rPr>
              <w:t> </w:t>
            </w:r>
            <w:r w:rsidRPr="004A0F58">
              <w:rPr>
                <w:rFonts w:cs="Arial"/>
                <w:color w:val="0D0D0D" w:themeColor="text1" w:themeTint="F2"/>
                <w:spacing w:val="-4"/>
              </w:rPr>
              <w:t xml:space="preserve">poptávka v oblasti telekomunikací, jež tak navázaly </w:t>
            </w:r>
            <w:r>
              <w:rPr>
                <w:rFonts w:cs="Arial"/>
                <w:color w:val="0D0D0D" w:themeColor="text1" w:themeTint="F2"/>
                <w:spacing w:val="-4"/>
              </w:rPr>
              <w:t xml:space="preserve">na </w:t>
            </w:r>
            <w:r w:rsidRPr="004A0F58">
              <w:rPr>
                <w:rFonts w:cs="Arial"/>
                <w:color w:val="0D0D0D" w:themeColor="text1" w:themeTint="F2"/>
                <w:spacing w:val="-4"/>
              </w:rPr>
              <w:t>velmi úspěšný loňsk</w:t>
            </w:r>
            <w:r>
              <w:rPr>
                <w:rFonts w:cs="Arial"/>
                <w:color w:val="0D0D0D" w:themeColor="text1" w:themeTint="F2"/>
                <w:spacing w:val="-4"/>
              </w:rPr>
              <w:t>ý</w:t>
            </w:r>
            <w:r w:rsidRPr="004A0F58">
              <w:rPr>
                <w:rFonts w:cs="Arial"/>
                <w:color w:val="0D0D0D" w:themeColor="text1" w:themeTint="F2"/>
                <w:spacing w:val="-4"/>
              </w:rPr>
              <w:t xml:space="preserve"> rok</w:t>
            </w:r>
            <w:r w:rsidRPr="004A0F58">
              <w:rPr>
                <w:rStyle w:val="Znakapoznpodarou"/>
                <w:color w:val="0D0D0D" w:themeColor="text1" w:themeTint="F2"/>
                <w:spacing w:val="-4"/>
              </w:rPr>
              <w:footnoteReference w:id="32"/>
            </w:r>
            <w:r w:rsidRPr="004A0F58">
              <w:rPr>
                <w:rFonts w:cs="Arial"/>
                <w:color w:val="0D0D0D" w:themeColor="text1" w:themeTint="F2"/>
                <w:spacing w:val="-4"/>
              </w:rPr>
              <w:t>. V malém oboru ICT – filmovém a hudebním průmyslu – poptávka výrazně ožila a tržby se zvýšily o</w:t>
            </w:r>
            <w:r>
              <w:rPr>
                <w:rFonts w:cs="Arial"/>
                <w:color w:val="0D0D0D" w:themeColor="text1" w:themeTint="F2"/>
                <w:spacing w:val="-4"/>
              </w:rPr>
              <w:t> </w:t>
            </w:r>
            <w:r w:rsidRPr="004A0F58">
              <w:rPr>
                <w:rFonts w:cs="Arial"/>
                <w:color w:val="0D0D0D" w:themeColor="text1" w:themeTint="F2"/>
                <w:spacing w:val="-4"/>
              </w:rPr>
              <w:t>24,2</w:t>
            </w:r>
            <w:r>
              <w:rPr>
                <w:rFonts w:cs="Arial"/>
                <w:color w:val="0D0D0D" w:themeColor="text1" w:themeTint="F2"/>
                <w:spacing w:val="-4"/>
              </w:rPr>
              <w:t> </w:t>
            </w:r>
            <w:r w:rsidRPr="004A0F58">
              <w:rPr>
                <w:rFonts w:cs="Arial"/>
                <w:color w:val="0D0D0D" w:themeColor="text1" w:themeTint="F2"/>
                <w:spacing w:val="-4"/>
              </w:rPr>
              <w:t>%, tedy nejvíce za poslední čtyři roky (proti roku 2019 byly však stále o více než čtvrtinu slabší). Mohl se projevit dopad vyššího počtu zahraničních projektů realizovaných v Česku</w:t>
            </w:r>
            <w:r w:rsidRPr="004A0F58">
              <w:rPr>
                <w:rStyle w:val="Znakapoznpodarou"/>
                <w:color w:val="0D0D0D" w:themeColor="text1" w:themeTint="F2"/>
                <w:spacing w:val="-4"/>
              </w:rPr>
              <w:footnoteReference w:id="33"/>
            </w:r>
            <w:r w:rsidRPr="004A0F58">
              <w:rPr>
                <w:rFonts w:cs="Arial"/>
                <w:color w:val="0D0D0D" w:themeColor="text1" w:themeTint="F2"/>
                <w:spacing w:val="-4"/>
              </w:rPr>
              <w:t xml:space="preserve">, ovšem vývoj tohoto oboru </w:t>
            </w:r>
            <w:r>
              <w:rPr>
                <w:rFonts w:cs="Arial"/>
                <w:color w:val="0D0D0D" w:themeColor="text1" w:themeTint="F2"/>
                <w:spacing w:val="-4"/>
              </w:rPr>
              <w:t xml:space="preserve">byl </w:t>
            </w:r>
            <w:r w:rsidRPr="004A0F58">
              <w:rPr>
                <w:rFonts w:cs="Arial"/>
                <w:color w:val="0D0D0D" w:themeColor="text1" w:themeTint="F2"/>
                <w:spacing w:val="-4"/>
              </w:rPr>
              <w:t>obecně dosti rozkolísaný, což úzce souvisí s nepravidelnými fakturacemi. Samotný segment filmové distribuce rostl letos patrně pomaleji</w:t>
            </w:r>
            <w:r w:rsidRPr="004A0F58">
              <w:rPr>
                <w:rStyle w:val="Znakapoznpodarou"/>
                <w:color w:val="0D0D0D" w:themeColor="text1" w:themeTint="F2"/>
                <w:spacing w:val="-4"/>
              </w:rPr>
              <w:footnoteReference w:id="34"/>
            </w:r>
            <w:r w:rsidRPr="004A0F58">
              <w:rPr>
                <w:rFonts w:cs="Arial"/>
                <w:color w:val="0D0D0D" w:themeColor="text1" w:themeTint="F2"/>
                <w:spacing w:val="-4"/>
              </w:rPr>
              <w:t xml:space="preserve">. Další převážně menší obory letos růst odvětví ICT naopak brzdily. Tržby ve vydavatelských činnostech klesly o 5,1 %, neboť na rozdíl od předchozích tří let, kdy </w:t>
            </w:r>
            <w:r w:rsidRPr="004A0F58">
              <w:rPr>
                <w:rFonts w:cs="Arial"/>
                <w:color w:val="0D0D0D" w:themeColor="text1" w:themeTint="F2"/>
                <w:spacing w:val="-5"/>
              </w:rPr>
              <w:t xml:space="preserve">tento obor celkově stagnoval, došlo </w:t>
            </w:r>
            <w:r>
              <w:rPr>
                <w:rFonts w:cs="Arial"/>
                <w:color w:val="0D0D0D" w:themeColor="text1" w:themeTint="F2"/>
                <w:spacing w:val="-5"/>
              </w:rPr>
              <w:t>k</w:t>
            </w:r>
            <w:r w:rsidRPr="004A0F58">
              <w:rPr>
                <w:rFonts w:cs="Arial"/>
                <w:color w:val="0D0D0D" w:themeColor="text1" w:themeTint="F2"/>
                <w:spacing w:val="-5"/>
              </w:rPr>
              <w:t> poklesu i v segmentu vydávání</w:t>
            </w:r>
            <w:r>
              <w:rPr>
                <w:rFonts w:cs="Arial"/>
                <w:color w:val="0D0D0D" w:themeColor="text1" w:themeTint="F2"/>
                <w:spacing w:val="-5"/>
              </w:rPr>
              <w:t xml:space="preserve"> software</w:t>
            </w:r>
            <w:r w:rsidRPr="004A0F58">
              <w:rPr>
                <w:rFonts w:cs="Arial"/>
                <w:color w:val="0D0D0D" w:themeColor="text1" w:themeTint="F2"/>
                <w:spacing w:val="-5"/>
              </w:rPr>
              <w:t>. V tvorbě televizních</w:t>
            </w:r>
            <w:r w:rsidRPr="004A0F58">
              <w:rPr>
                <w:rFonts w:cs="Arial"/>
                <w:color w:val="0D0D0D" w:themeColor="text1" w:themeTint="F2"/>
                <w:spacing w:val="-4"/>
              </w:rPr>
              <w:t xml:space="preserve"> </w:t>
            </w:r>
            <w:r>
              <w:rPr>
                <w:rFonts w:cs="Arial"/>
                <w:color w:val="0D0D0D" w:themeColor="text1" w:themeTint="F2"/>
                <w:spacing w:val="-4"/>
              </w:rPr>
              <w:br/>
            </w:r>
            <w:r w:rsidRPr="004A0F58">
              <w:rPr>
                <w:rFonts w:cs="Arial"/>
                <w:color w:val="0D0D0D" w:themeColor="text1" w:themeTint="F2"/>
                <w:spacing w:val="-4"/>
              </w:rPr>
              <w:t xml:space="preserve">a rozhlasových programů, ve které jako </w:t>
            </w:r>
            <w:r>
              <w:rPr>
                <w:rFonts w:cs="Arial"/>
                <w:color w:val="0D0D0D" w:themeColor="text1" w:themeTint="F2"/>
                <w:spacing w:val="-4"/>
              </w:rPr>
              <w:t xml:space="preserve">v </w:t>
            </w:r>
            <w:r w:rsidRPr="004A0F58">
              <w:rPr>
                <w:rFonts w:cs="Arial"/>
                <w:color w:val="0D0D0D" w:themeColor="text1" w:themeTint="F2"/>
                <w:spacing w:val="-4"/>
              </w:rPr>
              <w:t>jednom z mála dílčích odvětví služeb výrazněji neklesla poptávka během „pandemického roku“ 2020, se letos tržby snížily o 1,0 %</w:t>
            </w:r>
            <w:r w:rsidRPr="004A0F58">
              <w:rPr>
                <w:rStyle w:val="Znakapoznpodarou"/>
                <w:color w:val="0D0D0D" w:themeColor="text1" w:themeTint="F2"/>
                <w:spacing w:val="-4"/>
              </w:rPr>
              <w:footnoteReference w:id="35"/>
            </w:r>
            <w:r w:rsidRPr="004A0F58">
              <w:rPr>
                <w:rFonts w:cs="Arial"/>
                <w:color w:val="0D0D0D" w:themeColor="text1" w:themeTint="F2"/>
                <w:spacing w:val="-4"/>
              </w:rPr>
              <w:t>. Mírný pokles poptávky postihl dříve dynamick</w:t>
            </w:r>
            <w:r>
              <w:rPr>
                <w:rFonts w:cs="Arial"/>
                <w:color w:val="0D0D0D" w:themeColor="text1" w:themeTint="F2"/>
                <w:spacing w:val="-4"/>
              </w:rPr>
              <w:t>ý</w:t>
            </w:r>
            <w:r w:rsidRPr="004A0F58">
              <w:rPr>
                <w:rFonts w:cs="Arial"/>
                <w:color w:val="0D0D0D" w:themeColor="text1" w:themeTint="F2"/>
                <w:spacing w:val="-4"/>
              </w:rPr>
              <w:t xml:space="preserve"> obor informační</w:t>
            </w:r>
            <w:r>
              <w:rPr>
                <w:rFonts w:cs="Arial"/>
                <w:color w:val="0D0D0D" w:themeColor="text1" w:themeTint="F2"/>
                <w:spacing w:val="-4"/>
              </w:rPr>
              <w:t>ch</w:t>
            </w:r>
            <w:r w:rsidRPr="004A0F58">
              <w:rPr>
                <w:rFonts w:cs="Arial"/>
                <w:color w:val="0D0D0D" w:themeColor="text1" w:themeTint="F2"/>
                <w:spacing w:val="-4"/>
              </w:rPr>
              <w:t xml:space="preserve"> činností (–0,7 %)</w:t>
            </w:r>
            <w:r w:rsidRPr="004A0F58">
              <w:rPr>
                <w:rStyle w:val="Znakapoznpodarou"/>
                <w:color w:val="0D0D0D" w:themeColor="text1" w:themeTint="F2"/>
                <w:spacing w:val="-4"/>
              </w:rPr>
              <w:footnoteReference w:id="36"/>
            </w:r>
            <w:r w:rsidRPr="004A0F58">
              <w:rPr>
                <w:rFonts w:cs="Arial"/>
                <w:color w:val="0D0D0D" w:themeColor="text1" w:themeTint="F2"/>
                <w:spacing w:val="-4"/>
              </w:rPr>
              <w:t>.</w:t>
            </w:r>
          </w:p>
        </w:tc>
      </w:tr>
      <w:tr w:rsidR="006E6B4C" w:rsidRPr="004A0F58" w14:paraId="20B591DB" w14:textId="77777777" w:rsidTr="000E74FE">
        <w:trPr>
          <w:trHeight w:val="170"/>
        </w:trPr>
        <w:tc>
          <w:tcPr>
            <w:tcW w:w="1683" w:type="dxa"/>
            <w:tcMar>
              <w:left w:w="0" w:type="dxa"/>
            </w:tcMar>
          </w:tcPr>
          <w:p w14:paraId="20A11E80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  <w:spacing w:val="0"/>
              </w:rPr>
            </w:pPr>
            <w:r w:rsidRPr="004A0F58">
              <w:rPr>
                <w:color w:val="0D0D0D" w:themeColor="text1" w:themeTint="F2"/>
              </w:rPr>
              <w:lastRenderedPageBreak/>
              <w:t xml:space="preserve">V mírném růstu tržeb v dopravě a skladování se projevovaly rostoucí přepravní výkony v osobní i nákladní dopravě související s rozvojem průmyslu </w:t>
            </w:r>
            <w:r>
              <w:rPr>
                <w:color w:val="0D0D0D" w:themeColor="text1" w:themeTint="F2"/>
              </w:rPr>
              <w:br/>
            </w:r>
            <w:r w:rsidRPr="004A0F58">
              <w:rPr>
                <w:color w:val="0D0D0D" w:themeColor="text1" w:themeTint="F2"/>
              </w:rPr>
              <w:t>i obchodu.</w:t>
            </w:r>
          </w:p>
        </w:tc>
        <w:tc>
          <w:tcPr>
            <w:tcW w:w="165" w:type="dxa"/>
            <w:tcMar>
              <w:left w:w="0" w:type="dxa"/>
            </w:tcMar>
          </w:tcPr>
          <w:p w14:paraId="601BCDAB" w14:textId="77777777" w:rsidR="006E6B4C" w:rsidRPr="004A0F58" w:rsidRDefault="006E6B4C" w:rsidP="006E6B4C">
            <w:pPr>
              <w:pStyle w:val="Textpoznpodarou"/>
              <w:jc w:val="both"/>
              <w:rPr>
                <w:color w:val="0D0D0D" w:themeColor="text1" w:themeTint="F2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25AE09AA" w14:textId="77777777" w:rsidR="006E6B4C" w:rsidRPr="004A0F58" w:rsidRDefault="006E6B4C" w:rsidP="006E6B4C">
            <w:pPr>
              <w:spacing w:after="200"/>
              <w:rPr>
                <w:rStyle w:val="normaltextrun"/>
                <w:rFonts w:cs="Arial"/>
                <w:color w:val="0D0D0D" w:themeColor="text1" w:themeTint="F2"/>
                <w:spacing w:val="-4"/>
                <w:szCs w:val="20"/>
              </w:rPr>
            </w:pPr>
            <w:r w:rsidRPr="004A0F58">
              <w:rPr>
                <w:rFonts w:cs="Arial"/>
                <w:color w:val="0D0D0D" w:themeColor="text1" w:themeTint="F2"/>
                <w:spacing w:val="-4"/>
                <w:szCs w:val="20"/>
              </w:rPr>
              <w:t>Ke zmírnění růstového tempa tržeb došlo letos také ve váhově významném odvětví dopravy (na +1,2 %). Za zpomalením stála slabší poptávka ve skladování (vč. vedlejších činností v dopravě</w:t>
            </w:r>
            <w:r w:rsidRPr="004A0F58">
              <w:rPr>
                <w:rStyle w:val="Znakapoznpodarou"/>
                <w:color w:val="0D0D0D" w:themeColor="text1" w:themeTint="F2"/>
                <w:spacing w:val="-4"/>
                <w:szCs w:val="20"/>
              </w:rPr>
              <w:footnoteReference w:id="37"/>
            </w:r>
            <w:r w:rsidRPr="004A0F58">
              <w:rPr>
                <w:rFonts w:cs="Arial"/>
                <w:color w:val="0D0D0D" w:themeColor="text1" w:themeTint="F2"/>
                <w:spacing w:val="-4"/>
                <w:szCs w:val="20"/>
              </w:rPr>
              <w:t>), jež zčásti souvisela s vysokou srovnávací základnou z počátku loňského roku (mj. i vlivem předzásobení kvůli rostoucímu napětí v obchodních vztazích mezi USA a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> </w:t>
            </w:r>
            <w:r w:rsidRPr="004A0F58">
              <w:rPr>
                <w:rFonts w:cs="Arial"/>
                <w:color w:val="0D0D0D" w:themeColor="text1" w:themeTint="F2"/>
                <w:spacing w:val="-4"/>
                <w:szCs w:val="20"/>
              </w:rPr>
              <w:t>ostatními státy světa). K růstu celého odvětví letos pomáhala zejména pozemní doprava, kde mírný růst tržeb (+2,2 %) odrážel vyšší přepravní výkony v osobní dopravě i nákladní silniční dopravě. Navzdory přetrvávajícímu dynamickému růstu internetového obchodu se tržby v poštovních a kurýrních činnostech snížily (</w:t>
            </w:r>
            <w:r w:rsidRPr="004A0F58">
              <w:rPr>
                <w:rFonts w:cs="Arial"/>
                <w:color w:val="0D0D0D" w:themeColor="text1" w:themeTint="F2"/>
                <w:spacing w:val="-4"/>
              </w:rPr>
              <w:t>–1,9</w:t>
            </w:r>
            <w:r w:rsidRPr="004A0F58"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 %). To v tomto dlouhodobě poměrně dynamickém, avšak vnitřně různorodém oboru představovalo nejslabší výsledek za poslední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>ch</w:t>
            </w:r>
            <w:r w:rsidRPr="004A0F58"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 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>deset čtvrtletí</w:t>
            </w:r>
            <w:r w:rsidRPr="004A0F58">
              <w:rPr>
                <w:rFonts w:cs="Arial"/>
                <w:color w:val="0D0D0D" w:themeColor="text1" w:themeTint="F2"/>
                <w:spacing w:val="-4"/>
                <w:szCs w:val="20"/>
              </w:rPr>
              <w:t>. Ve váhově okrajových oborech vodní a letecké dopravy aktuální poptávka stále nedosáhla úrovně z předkrizového roku 2019. V meziročním srovnání ovšem letos tržby tuzemských leteckých přepravců lehce vzrostly (+2,5 %), zatímco subjekty působící ve vodní dopravě registrovaly téměř 7% pokles poptávky.</w:t>
            </w:r>
          </w:p>
        </w:tc>
      </w:tr>
      <w:tr w:rsidR="006E6B4C" w:rsidRPr="004A0F58" w14:paraId="665FAE83" w14:textId="77777777" w:rsidTr="000E74FE">
        <w:trPr>
          <w:trHeight w:val="170"/>
        </w:trPr>
        <w:tc>
          <w:tcPr>
            <w:tcW w:w="1683" w:type="dxa"/>
            <w:tcMar>
              <w:left w:w="0" w:type="dxa"/>
            </w:tcMar>
          </w:tcPr>
          <w:p w14:paraId="70A942E4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</w:rPr>
            </w:pPr>
            <w:r w:rsidRPr="004A0F58">
              <w:rPr>
                <w:color w:val="0D0D0D" w:themeColor="text1" w:themeTint="F2"/>
                <w:spacing w:val="0"/>
              </w:rPr>
              <w:t>Tržby v odvětví ubytování</w:t>
            </w:r>
            <w:r w:rsidRPr="004A0F58">
              <w:rPr>
                <w:color w:val="0D0D0D" w:themeColor="text1" w:themeTint="F2"/>
              </w:rPr>
              <w:t xml:space="preserve"> fakticky stagnovaly</w:t>
            </w:r>
            <w:r>
              <w:rPr>
                <w:color w:val="0D0D0D" w:themeColor="text1" w:themeTint="F2"/>
              </w:rPr>
              <w:t>.</w:t>
            </w:r>
          </w:p>
          <w:p w14:paraId="287817D8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</w:rPr>
            </w:pPr>
          </w:p>
          <w:p w14:paraId="22378C6B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</w:rPr>
            </w:pPr>
          </w:p>
          <w:p w14:paraId="48129B45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</w:rPr>
            </w:pPr>
          </w:p>
          <w:p w14:paraId="0CDB7AF7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</w:rPr>
            </w:pPr>
          </w:p>
          <w:p w14:paraId="5B09017D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</w:rPr>
            </w:pPr>
          </w:p>
          <w:p w14:paraId="038AF540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</w:rPr>
            </w:pPr>
          </w:p>
          <w:p w14:paraId="04EF4DC1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</w:rPr>
            </w:pPr>
            <w:r w:rsidRPr="004A0F58">
              <w:rPr>
                <w:color w:val="0D0D0D" w:themeColor="text1" w:themeTint="F2"/>
              </w:rPr>
              <w:t xml:space="preserve">Počet ubytovaných hostů v HUZ však dále mírně rostl – letos vesměs plošně napříč kategoriemi ubytování </w:t>
            </w:r>
            <w:r>
              <w:rPr>
                <w:color w:val="0D0D0D" w:themeColor="text1" w:themeTint="F2"/>
              </w:rPr>
              <w:br/>
            </w:r>
            <w:r w:rsidRPr="004A0F58">
              <w:rPr>
                <w:color w:val="0D0D0D" w:themeColor="text1" w:themeTint="F2"/>
              </w:rPr>
              <w:t>i kraji.</w:t>
            </w:r>
          </w:p>
          <w:p w14:paraId="6B868CBF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65" w:type="dxa"/>
            <w:tcMar>
              <w:left w:w="0" w:type="dxa"/>
            </w:tcMar>
          </w:tcPr>
          <w:p w14:paraId="23D27EF6" w14:textId="77777777" w:rsidR="006E6B4C" w:rsidRPr="004A0F58" w:rsidRDefault="006E6B4C" w:rsidP="006E6B4C">
            <w:pPr>
              <w:pStyle w:val="Textpoznpodarou"/>
              <w:jc w:val="both"/>
              <w:rPr>
                <w:color w:val="0D0D0D" w:themeColor="text1" w:themeTint="F2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5D5D7BB5" w14:textId="620917D4" w:rsidR="006E6B4C" w:rsidRPr="004A0F58" w:rsidRDefault="006E6B4C" w:rsidP="006E6B4C">
            <w:pPr>
              <w:spacing w:after="200"/>
              <w:rPr>
                <w:rStyle w:val="normaltextrun"/>
                <w:b/>
                <w:bCs/>
                <w:color w:val="0D0D0D" w:themeColor="text1" w:themeTint="F2"/>
                <w:spacing w:val="-2"/>
              </w:rPr>
            </w:pPr>
            <w:r w:rsidRPr="004A0F58">
              <w:rPr>
                <w:bCs/>
                <w:color w:val="0D0D0D" w:themeColor="text1" w:themeTint="F2"/>
                <w:spacing w:val="-2"/>
              </w:rPr>
              <w:t xml:space="preserve">V ubytování, stravování a pohostinství se letos tržby meziročně zvýšily o 1,1 % a pokračoval tak jejich mírný růst (ten byl v úhrnu patrný i v předchozích třech letech). Z toho v samotném segmentu ubytování však došlo k nepatrnému poklesu, podobnému jako na počátku loňského roku. Stalo se tak i přes relativně svižně rostoucí kupní sílu tuzemských </w:t>
            </w:r>
            <w:r w:rsidRPr="004A0F58">
              <w:rPr>
                <w:bCs/>
                <w:color w:val="0D0D0D" w:themeColor="text1" w:themeTint="F2"/>
                <w:spacing w:val="-5"/>
              </w:rPr>
              <w:t>domácností i pokračující rozvoj příjezdového cestovního ruchu. Mohl se zde projevovat dopad</w:t>
            </w:r>
            <w:r w:rsidRPr="004A0F58">
              <w:rPr>
                <w:bCs/>
                <w:color w:val="0D0D0D" w:themeColor="text1" w:themeTint="F2"/>
                <w:spacing w:val="-2"/>
              </w:rPr>
              <w:t xml:space="preserve"> rychlého růstu cen souvisejících služeb</w:t>
            </w:r>
            <w:r w:rsidRPr="004A0F58">
              <w:rPr>
                <w:rStyle w:val="Znakapoznpodarou"/>
                <w:color w:val="0D0D0D" w:themeColor="text1" w:themeTint="F2"/>
                <w:spacing w:val="-2"/>
              </w:rPr>
              <w:footnoteReference w:id="38"/>
            </w:r>
            <w:r w:rsidRPr="004A0F58">
              <w:rPr>
                <w:bCs/>
                <w:color w:val="0D0D0D" w:themeColor="text1" w:themeTint="F2"/>
                <w:spacing w:val="-2"/>
              </w:rPr>
              <w:t xml:space="preserve">. </w:t>
            </w:r>
            <w:r w:rsidRPr="004A0F58">
              <w:rPr>
                <w:rFonts w:cs="Arial"/>
                <w:color w:val="0D0D0D" w:themeColor="text1" w:themeTint="F2"/>
                <w:spacing w:val="-2"/>
              </w:rPr>
              <w:t xml:space="preserve">Naturální ukazatele v oblasti příjezdového cestovního ruchu naznačují oproti reálným tržbám mírně lepší výsledky. </w:t>
            </w:r>
            <w:r w:rsidRPr="004A0F58">
              <w:rPr>
                <w:rFonts w:eastAsia="Arial" w:cs="Arial"/>
                <w:color w:val="0D0D0D" w:themeColor="text1" w:themeTint="F2"/>
                <w:spacing w:val="-2"/>
                <w:szCs w:val="20"/>
              </w:rPr>
              <w:t>Tuzemští poskytovatelé hromadného ubytov</w:t>
            </w:r>
            <w:r>
              <w:rPr>
                <w:rFonts w:eastAsia="Arial" w:cs="Arial"/>
                <w:color w:val="0D0D0D" w:themeColor="text1" w:themeTint="F2"/>
                <w:spacing w:val="-2"/>
                <w:szCs w:val="20"/>
              </w:rPr>
              <w:t>á</w:t>
            </w:r>
            <w:r w:rsidRPr="004A0F58">
              <w:rPr>
                <w:rFonts w:eastAsia="Arial" w:cs="Arial"/>
                <w:color w:val="0D0D0D" w:themeColor="text1" w:themeTint="F2"/>
                <w:spacing w:val="-2"/>
                <w:szCs w:val="20"/>
              </w:rPr>
              <w:t xml:space="preserve">ní (HUZ) registrovali </w:t>
            </w:r>
            <w:r w:rsidRPr="004A0F58">
              <w:rPr>
                <w:rStyle w:val="normaltextrun"/>
                <w:rFonts w:eastAsiaTheme="majorEastAsia"/>
                <w:color w:val="0D0D0D" w:themeColor="text1" w:themeTint="F2"/>
                <w:spacing w:val="-2"/>
              </w:rPr>
              <w:t xml:space="preserve">v 1. čtvrtletí 4,35 mil. hostů (z toho 2,09 mil. ze zahraničí), kteří zde celkem strávili 11,09 mil. nocí. Meziročně přibylo hostů </w:t>
            </w:r>
            <w:r w:rsidRPr="004A0F58">
              <w:rPr>
                <w:rStyle w:val="normaltextrun"/>
                <w:rFonts w:eastAsiaTheme="majorEastAsia"/>
                <w:color w:val="0D0D0D" w:themeColor="text1" w:themeTint="F2"/>
                <w:spacing w:val="-4"/>
              </w:rPr>
              <w:t>(+5,2 %) i jejich přenocování (5,6 %). V obou kategoriích měli mírně vyšší růst nerezidenti</w:t>
            </w:r>
            <w:r w:rsidRPr="004A0F58">
              <w:rPr>
                <w:rStyle w:val="Znakapoznpodarou"/>
                <w:rFonts w:eastAsiaTheme="majorEastAsia"/>
                <w:color w:val="0D0D0D" w:themeColor="text1" w:themeTint="F2"/>
                <w:spacing w:val="-4"/>
              </w:rPr>
              <w:footnoteReference w:id="39"/>
            </w:r>
            <w:r w:rsidRPr="004A0F58">
              <w:rPr>
                <w:rStyle w:val="normaltextrun"/>
                <w:rFonts w:eastAsiaTheme="majorEastAsia"/>
                <w:color w:val="0D0D0D" w:themeColor="text1" w:themeTint="F2"/>
                <w:spacing w:val="-2"/>
              </w:rPr>
              <w:t xml:space="preserve"> (což platilo i po většinu loňského roku), avšak i u domácí</w:t>
            </w:r>
            <w:r>
              <w:rPr>
                <w:rStyle w:val="normaltextrun"/>
                <w:rFonts w:eastAsiaTheme="majorEastAsia"/>
                <w:color w:val="0D0D0D" w:themeColor="text1" w:themeTint="F2"/>
                <w:spacing w:val="-2"/>
              </w:rPr>
              <w:t>ch</w:t>
            </w:r>
            <w:r w:rsidRPr="004A0F58">
              <w:rPr>
                <w:rStyle w:val="normaltextrun"/>
                <w:rFonts w:eastAsiaTheme="majorEastAsia"/>
                <w:color w:val="0D0D0D" w:themeColor="text1" w:themeTint="F2"/>
                <w:spacing w:val="-2"/>
              </w:rPr>
              <w:t xml:space="preserve"> </w:t>
            </w:r>
            <w:r>
              <w:rPr>
                <w:rStyle w:val="normaltextrun"/>
                <w:rFonts w:eastAsiaTheme="majorEastAsia"/>
                <w:color w:val="0D0D0D" w:themeColor="text1" w:themeTint="F2"/>
                <w:spacing w:val="-2"/>
              </w:rPr>
              <w:t>hostů</w:t>
            </w:r>
            <w:r w:rsidRPr="004A0F58">
              <w:rPr>
                <w:rStyle w:val="normaltextrun"/>
                <w:rFonts w:eastAsiaTheme="majorEastAsia"/>
                <w:color w:val="0D0D0D" w:themeColor="text1" w:themeTint="F2"/>
                <w:spacing w:val="-2"/>
              </w:rPr>
              <w:t xml:space="preserve"> přesáhl aktuálně růst jejich počtu i přenocování 4 % (u přenocování tuzemských hostů šlo v rámci 1.</w:t>
            </w:r>
            <w:r>
              <w:rPr>
                <w:rStyle w:val="normaltextrun"/>
                <w:rFonts w:eastAsiaTheme="majorEastAsia"/>
                <w:color w:val="0D0D0D" w:themeColor="text1" w:themeTint="F2"/>
                <w:spacing w:val="-2"/>
              </w:rPr>
              <w:t xml:space="preserve"> </w:t>
            </w:r>
            <w:r w:rsidRPr="004A0F58">
              <w:rPr>
                <w:rStyle w:val="normaltextrun"/>
                <w:rFonts w:eastAsiaTheme="majorEastAsia"/>
                <w:color w:val="0D0D0D" w:themeColor="text1" w:themeTint="F2"/>
                <w:spacing w:val="-2"/>
              </w:rPr>
              <w:t xml:space="preserve">čtvrtletí </w:t>
            </w:r>
            <w:r w:rsidRPr="004A0F58">
              <w:rPr>
                <w:rStyle w:val="normaltextrun"/>
                <w:rFonts w:eastAsiaTheme="majorEastAsia"/>
                <w:color w:val="0D0D0D" w:themeColor="text1" w:themeTint="F2"/>
                <w:spacing w:val="-2"/>
              </w:rPr>
              <w:lastRenderedPageBreak/>
              <w:t>o</w:t>
            </w:r>
            <w:r>
              <w:rPr>
                <w:rStyle w:val="normaltextrun"/>
                <w:rFonts w:eastAsiaTheme="majorEastAsia"/>
                <w:color w:val="0D0D0D" w:themeColor="text1" w:themeTint="F2"/>
                <w:spacing w:val="-2"/>
              </w:rPr>
              <w:t> </w:t>
            </w:r>
            <w:r w:rsidRPr="004A0F58">
              <w:rPr>
                <w:rStyle w:val="normaltextrun"/>
                <w:rFonts w:eastAsiaTheme="majorEastAsia"/>
                <w:color w:val="0D0D0D" w:themeColor="text1" w:themeTint="F2"/>
                <w:spacing w:val="-2"/>
              </w:rPr>
              <w:t>nejvyšší růst za poslední čtyři roky). Zimním střediskům přálo počasí</w:t>
            </w:r>
            <w:r w:rsidRPr="004A0F58">
              <w:rPr>
                <w:rStyle w:val="Znakapoznpodarou"/>
                <w:rFonts w:eastAsiaTheme="majorEastAsia"/>
                <w:color w:val="0D0D0D" w:themeColor="text1" w:themeTint="F2"/>
                <w:spacing w:val="-2"/>
              </w:rPr>
              <w:footnoteReference w:id="40"/>
            </w:r>
            <w:r w:rsidRPr="004A0F58">
              <w:rPr>
                <w:rStyle w:val="normaltextrun"/>
                <w:rFonts w:eastAsiaTheme="majorEastAsia"/>
                <w:color w:val="0D0D0D" w:themeColor="text1" w:themeTint="F2"/>
                <w:spacing w:val="-2"/>
              </w:rPr>
              <w:t>. P</w:t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 xml:space="preserve">optávka vzrostla ve všech </w:t>
            </w:r>
            <w:r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>v</w:t>
            </w:r>
            <w:r>
              <w:rPr>
                <w:rStyle w:val="normaltextrun"/>
                <w:rFonts w:eastAsiaTheme="majorEastAsia" w:cs="Arial"/>
                <w:spacing w:val="-2"/>
              </w:rPr>
              <w:t>áhově významnějších</w:t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 xml:space="preserve"> kategori</w:t>
            </w:r>
            <w:r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>í</w:t>
            </w:r>
            <w:r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</w:rPr>
              <w:t>ch</w:t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 xml:space="preserve"> ubytování – nejvíce v hotelech nejvyšší kategorie: 5* (+12,2 %)</w:t>
            </w:r>
            <w:r w:rsidRPr="004A0F58">
              <w:rPr>
                <w:rStyle w:val="Znakapoznpodarou"/>
                <w:rFonts w:eastAsiaTheme="majorEastAsia"/>
                <w:color w:val="0D0D0D" w:themeColor="text1" w:themeTint="F2"/>
                <w:spacing w:val="-2"/>
                <w:szCs w:val="20"/>
              </w:rPr>
              <w:footnoteReference w:id="41"/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 xml:space="preserve">. K jejímu růstu ale přispěly především 4* hotely (i přes lehce podprůměrný růst tohoto segmentu, +4,5 %), neboť ty soustřeďovaly skoro polovinu všech přenocování zahraničních hostů a čtvrtinu u domácí klientely (v rámci všech HUZ). Jak počet hostů, tak jejich přenocování rostl letos meziročně ve všech krajích Česka. V obou těchto ukazatelích se nejvíce dařilo Jihočeskému kraji (přenocování zde přibylo </w:t>
            </w:r>
            <w:r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br/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>o pětinu, hlavně díky hostům z Česka)</w:t>
            </w:r>
            <w:r w:rsidRPr="004A0F58">
              <w:rPr>
                <w:rStyle w:val="Znakapoznpodarou"/>
                <w:rFonts w:eastAsiaTheme="majorEastAsia"/>
                <w:color w:val="0D0D0D" w:themeColor="text1" w:themeTint="F2"/>
                <w:spacing w:val="-2"/>
                <w:szCs w:val="20"/>
              </w:rPr>
              <w:footnoteReference w:id="42"/>
            </w:r>
            <w:r w:rsidRPr="004A0F58">
              <w:rPr>
                <w:rStyle w:val="normaltextrun"/>
                <w:rFonts w:eastAsiaTheme="majorEastAsia" w:cs="Arial"/>
                <w:color w:val="0D0D0D" w:themeColor="text1" w:themeTint="F2"/>
                <w:spacing w:val="-2"/>
                <w:szCs w:val="20"/>
              </w:rPr>
              <w:t>. Svižný růst počtu přenocování hlásil také Ústecký kraj (+9,9 %), Střední Čechy (+7,9 %) a Praha (7,0 %). Naopak méně než 2% růst registroval kvůli stagnaci tuzemské poptávky Olomoucký a Zlínský kraj.</w:t>
            </w:r>
            <w:r w:rsidRPr="004A0F58">
              <w:rPr>
                <w:rStyle w:val="normaltextrun"/>
                <w:rFonts w:cs="Arial"/>
                <w:color w:val="0D0D0D" w:themeColor="text1" w:themeTint="F2"/>
                <w:spacing w:val="-2"/>
              </w:rPr>
              <w:t xml:space="preserve"> </w:t>
            </w:r>
            <w:r w:rsidRPr="004A0F58">
              <w:rPr>
                <w:rFonts w:eastAsia="Arial" w:cs="Arial"/>
                <w:color w:val="0D0D0D" w:themeColor="text1" w:themeTint="F2"/>
                <w:spacing w:val="-2"/>
                <w:szCs w:val="20"/>
              </w:rPr>
              <w:t>Celková návštěvnost v HUZ v Česku se letos nacházela nad úrovní předkrizového roku 2019, a to jak v počtech ubytovaných hostů (+9,2 %)</w:t>
            </w:r>
            <w:r>
              <w:rPr>
                <w:rFonts w:eastAsia="Arial" w:cs="Arial"/>
                <w:color w:val="0D0D0D" w:themeColor="text1" w:themeTint="F2"/>
                <w:spacing w:val="-2"/>
                <w:szCs w:val="20"/>
              </w:rPr>
              <w:t>,</w:t>
            </w:r>
            <w:r w:rsidRPr="004A0F58">
              <w:rPr>
                <w:rFonts w:eastAsia="Arial" w:cs="Arial"/>
                <w:color w:val="0D0D0D" w:themeColor="text1" w:themeTint="F2"/>
                <w:spacing w:val="-2"/>
                <w:szCs w:val="20"/>
              </w:rPr>
              <w:t xml:space="preserve"> tak v přenocováních (+3,5 %)</w:t>
            </w:r>
            <w:r w:rsidRPr="004A0F58">
              <w:rPr>
                <w:rStyle w:val="Znakapoznpodarou"/>
                <w:rFonts w:eastAsia="Arial"/>
                <w:color w:val="0D0D0D" w:themeColor="text1" w:themeTint="F2"/>
                <w:spacing w:val="-2"/>
                <w:szCs w:val="20"/>
              </w:rPr>
              <w:footnoteReference w:id="43"/>
            </w:r>
            <w:r w:rsidRPr="004A0F58">
              <w:rPr>
                <w:rFonts w:eastAsia="Arial" w:cs="Arial"/>
                <w:color w:val="0D0D0D" w:themeColor="text1" w:themeTint="F2"/>
                <w:spacing w:val="-2"/>
                <w:szCs w:val="20"/>
              </w:rPr>
              <w:t xml:space="preserve">. </w:t>
            </w:r>
          </w:p>
        </w:tc>
      </w:tr>
      <w:tr w:rsidR="006E6B4C" w:rsidRPr="004A0F58" w14:paraId="5BE490F1" w14:textId="77777777" w:rsidTr="000E74FE">
        <w:trPr>
          <w:trHeight w:val="170"/>
        </w:trPr>
        <w:tc>
          <w:tcPr>
            <w:tcW w:w="1683" w:type="dxa"/>
            <w:tcMar>
              <w:left w:w="0" w:type="dxa"/>
            </w:tcMar>
          </w:tcPr>
          <w:p w14:paraId="7FB6B6AC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  <w:spacing w:val="0"/>
              </w:rPr>
            </w:pPr>
          </w:p>
        </w:tc>
        <w:tc>
          <w:tcPr>
            <w:tcW w:w="165" w:type="dxa"/>
            <w:tcMar>
              <w:left w:w="0" w:type="dxa"/>
            </w:tcMar>
          </w:tcPr>
          <w:p w14:paraId="1F8AD195" w14:textId="77777777" w:rsidR="006E6B4C" w:rsidRPr="004A0F58" w:rsidRDefault="006E6B4C" w:rsidP="006E6B4C">
            <w:pPr>
              <w:pStyle w:val="Textpoznpodarou"/>
              <w:jc w:val="both"/>
              <w:rPr>
                <w:color w:val="0D0D0D" w:themeColor="text1" w:themeTint="F2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2B970697" w14:textId="77777777" w:rsidR="006E6B4C" w:rsidRPr="004A0F58" w:rsidRDefault="006E6B4C" w:rsidP="006E6B4C">
            <w:pPr>
              <w:spacing w:after="0"/>
              <w:rPr>
                <w:bCs/>
                <w:color w:val="0D0D0D" w:themeColor="text1" w:themeTint="F2"/>
                <w:spacing w:val="-2"/>
              </w:rPr>
            </w:pPr>
            <w:r w:rsidRPr="004A0F58">
              <w:rPr>
                <w:b/>
                <w:color w:val="0D0D0D" w:themeColor="text1" w:themeTint="F2"/>
                <w:spacing w:val="-4"/>
              </w:rPr>
              <w:t xml:space="preserve">Graf č. 7 </w:t>
            </w:r>
            <w:r w:rsidRPr="004A0F58">
              <w:rPr>
                <w:b/>
                <w:bCs/>
                <w:color w:val="0D0D0D" w:themeColor="text1" w:themeTint="F2"/>
                <w:spacing w:val="-4"/>
              </w:rPr>
              <w:t>Příspěvky dílčích odvětví k meziroční změně tržeb ve službách*</w:t>
            </w:r>
            <w:r w:rsidRPr="004A0F58">
              <w:rPr>
                <w:b/>
                <w:color w:val="0D0D0D" w:themeColor="text1" w:themeTint="F2"/>
                <w:spacing w:val="-4"/>
              </w:rPr>
              <w:br/>
            </w:r>
            <w:r w:rsidRPr="004A0F58">
              <w:rPr>
                <w:color w:val="0D0D0D" w:themeColor="text1" w:themeTint="F2"/>
                <w:spacing w:val="-4"/>
              </w:rPr>
              <w:t>(reálně, v p. b),</w:t>
            </w:r>
            <w:r w:rsidRPr="004A0F58">
              <w:rPr>
                <w:b/>
                <w:color w:val="0D0D0D" w:themeColor="text1" w:themeTint="F2"/>
                <w:spacing w:val="-4"/>
              </w:rPr>
              <w:t xml:space="preserve"> </w:t>
            </w:r>
            <w:r w:rsidRPr="004A0F58">
              <w:rPr>
                <w:b/>
                <w:bCs/>
                <w:color w:val="0D0D0D" w:themeColor="text1" w:themeTint="F2"/>
                <w:spacing w:val="-4"/>
              </w:rPr>
              <w:t xml:space="preserve">celkové tržby ve službách* </w:t>
            </w:r>
            <w:r w:rsidRPr="004A0F58">
              <w:rPr>
                <w:color w:val="0D0D0D" w:themeColor="text1" w:themeTint="F2"/>
                <w:spacing w:val="-4"/>
              </w:rPr>
              <w:t>(báze 2021=100, pravá osa),</w:t>
            </w:r>
            <w:r w:rsidRPr="004A0F58">
              <w:rPr>
                <w:b/>
                <w:color w:val="0D0D0D" w:themeColor="text1" w:themeTint="F2"/>
                <w:spacing w:val="-4"/>
              </w:rPr>
              <w:t xml:space="preserve"> </w:t>
            </w:r>
            <w:r w:rsidRPr="004A0F58">
              <w:rPr>
                <w:b/>
                <w:bCs/>
                <w:color w:val="0D0D0D" w:themeColor="text1" w:themeTint="F2"/>
                <w:spacing w:val="-4"/>
              </w:rPr>
              <w:t>saldo důvěry podnikatelů ve službách**</w:t>
            </w:r>
            <w:r w:rsidRPr="004A0F58">
              <w:rPr>
                <w:b/>
                <w:color w:val="0D0D0D" w:themeColor="text1" w:themeTint="F2"/>
                <w:spacing w:val="-4"/>
              </w:rPr>
              <w:t xml:space="preserve"> </w:t>
            </w:r>
            <w:r w:rsidRPr="004A0F58">
              <w:rPr>
                <w:color w:val="0D0D0D" w:themeColor="text1" w:themeTint="F2"/>
                <w:spacing w:val="-4"/>
              </w:rPr>
              <w:t>(v p. b., pravá osa)</w:t>
            </w:r>
            <w:r w:rsidRPr="004A0F58">
              <w:rPr>
                <w:b/>
                <w:bCs/>
                <w:color w:val="0D0D0D" w:themeColor="text1" w:themeTint="F2"/>
                <w:spacing w:val="-4"/>
              </w:rPr>
              <w:t xml:space="preserve"> a bariéry růstu**</w:t>
            </w:r>
            <w:r w:rsidRPr="004A0F58">
              <w:rPr>
                <w:b/>
                <w:color w:val="0D0D0D" w:themeColor="text1" w:themeTint="F2"/>
                <w:spacing w:val="-4"/>
              </w:rPr>
              <w:t xml:space="preserve"> </w:t>
            </w:r>
            <w:r w:rsidRPr="004A0F58">
              <w:rPr>
                <w:color w:val="0D0D0D" w:themeColor="text1" w:themeTint="F2"/>
                <w:spacing w:val="-4"/>
              </w:rPr>
              <w:t xml:space="preserve">(v %, pravá osa) </w:t>
            </w:r>
          </w:p>
        </w:tc>
      </w:tr>
      <w:tr w:rsidR="006E6B4C" w:rsidRPr="004A0F58" w14:paraId="0FF6F60D" w14:textId="77777777" w:rsidTr="000E74F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1683" w:type="dxa"/>
          </w:tcPr>
          <w:p w14:paraId="6A994F54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</w:rPr>
            </w:pPr>
          </w:p>
        </w:tc>
        <w:tc>
          <w:tcPr>
            <w:tcW w:w="165" w:type="dxa"/>
          </w:tcPr>
          <w:p w14:paraId="16854B4B" w14:textId="77777777" w:rsidR="006E6B4C" w:rsidRPr="004A0F58" w:rsidRDefault="006E6B4C" w:rsidP="006E6B4C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98" w:type="dxa"/>
          </w:tcPr>
          <w:p w14:paraId="12A646CE" w14:textId="77777777" w:rsidR="006E6B4C" w:rsidRPr="004A0F58" w:rsidRDefault="006E6B4C" w:rsidP="006E6B4C">
            <w:pPr>
              <w:spacing w:before="20" w:after="40"/>
              <w:rPr>
                <w:b/>
                <w:color w:val="0D0D0D" w:themeColor="text1" w:themeTint="F2"/>
                <w:spacing w:val="-4"/>
              </w:rPr>
            </w:pPr>
            <w:r w:rsidRPr="004A0F58">
              <w:rPr>
                <w:noProof/>
                <w:color w:val="0D0D0D" w:themeColor="text1" w:themeTint="F2"/>
              </w:rPr>
              <w:drawing>
                <wp:inline distT="0" distB="0" distL="0" distR="0" wp14:anchorId="2E22365B" wp14:editId="718C0C35">
                  <wp:extent cx="4732935" cy="3622675"/>
                  <wp:effectExtent l="0" t="0" r="0" b="0"/>
                  <wp:docPr id="1758760576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80320E-451A-4FD4-B128-C587F6B59DC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6E6B4C" w:rsidRPr="004A0F58" w14:paraId="6D5955EF" w14:textId="77777777" w:rsidTr="000E74FE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1683" w:type="dxa"/>
          </w:tcPr>
          <w:p w14:paraId="104A0075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</w:rPr>
            </w:pPr>
          </w:p>
        </w:tc>
        <w:tc>
          <w:tcPr>
            <w:tcW w:w="165" w:type="dxa"/>
          </w:tcPr>
          <w:p w14:paraId="020030AB" w14:textId="77777777" w:rsidR="006E6B4C" w:rsidRPr="004A0F58" w:rsidRDefault="006E6B4C" w:rsidP="006E6B4C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98" w:type="dxa"/>
          </w:tcPr>
          <w:p w14:paraId="5C57D162" w14:textId="77777777" w:rsidR="006E6B4C" w:rsidRPr="004A0F58" w:rsidRDefault="006E6B4C" w:rsidP="006E6B4C">
            <w:pPr>
              <w:spacing w:after="0" w:line="240" w:lineRule="auto"/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</w:pPr>
            <w:r w:rsidRPr="004A0F58"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>Poznámka: všechny údaje jsou sezónně očištěny, pouze příspěvky dílčích odvětví k růstu tržeb jsou očištěny jen o kalendářní vlivy.</w:t>
            </w:r>
          </w:p>
          <w:p w14:paraId="30087E76" w14:textId="77777777" w:rsidR="006E6B4C" w:rsidRPr="004A0F58" w:rsidRDefault="006E6B4C" w:rsidP="006E6B4C">
            <w:pPr>
              <w:spacing w:after="0" w:line="240" w:lineRule="auto"/>
              <w:rPr>
                <w:rFonts w:cs="Arial"/>
                <w:color w:val="0D0D0D" w:themeColor="text1" w:themeTint="F2"/>
                <w:sz w:val="14"/>
                <w:szCs w:val="14"/>
              </w:rPr>
            </w:pPr>
            <w:r w:rsidRPr="004A0F58">
              <w:rPr>
                <w:rFonts w:cs="Arial"/>
                <w:color w:val="0D0D0D" w:themeColor="text1" w:themeTint="F2"/>
                <w:sz w:val="14"/>
                <w:szCs w:val="14"/>
              </w:rPr>
              <w:t>*Bez odvětví obchodu, peněžnictví, pojišťovnictví, vědy, výzkumu a veřejných služeb.</w:t>
            </w:r>
          </w:p>
          <w:p w14:paraId="50E847E3" w14:textId="77777777" w:rsidR="006E6B4C" w:rsidRPr="004A0F58" w:rsidRDefault="006E6B4C" w:rsidP="006E6B4C">
            <w:pPr>
              <w:spacing w:after="0" w:line="240" w:lineRule="auto"/>
              <w:rPr>
                <w:rFonts w:cs="Arial"/>
                <w:color w:val="0D0D0D" w:themeColor="text1" w:themeTint="F2"/>
                <w:sz w:val="14"/>
                <w:szCs w:val="14"/>
              </w:rPr>
            </w:pPr>
            <w:r w:rsidRPr="004A0F58">
              <w:rPr>
                <w:rFonts w:cs="Arial"/>
                <w:color w:val="0D0D0D" w:themeColor="text1" w:themeTint="F2"/>
                <w:sz w:val="14"/>
                <w:szCs w:val="14"/>
              </w:rPr>
              <w:t>**</w:t>
            </w:r>
            <w:r w:rsidRPr="004A0F58">
              <w:rPr>
                <w:rFonts w:cs="Arial"/>
                <w:color w:val="0D0D0D" w:themeColor="text1" w:themeTint="F2"/>
                <w:spacing w:val="-2"/>
                <w:sz w:val="14"/>
                <w:szCs w:val="14"/>
              </w:rPr>
              <w:t xml:space="preserve">Zahrnuje i finanční sektor. Bariéry růstu vyjadřují stav k prvnímu měsíci daného čtvrtletí, saldo důvěry podnikatelů pak ke druhému měsíci. </w:t>
            </w:r>
            <w:r w:rsidRPr="004A0F58">
              <w:rPr>
                <w:rFonts w:cs="Arial"/>
                <w:color w:val="0D0D0D" w:themeColor="text1" w:themeTint="F2"/>
                <w:sz w:val="14"/>
                <w:szCs w:val="14"/>
              </w:rPr>
              <w:t xml:space="preserve">Podniky mohly uvést více hlavních bariér současně.                                                   </w:t>
            </w:r>
          </w:p>
          <w:p w14:paraId="7A1AB331" w14:textId="77777777" w:rsidR="006E6B4C" w:rsidRPr="004A0F58" w:rsidRDefault="006E6B4C" w:rsidP="006E6B4C">
            <w:pPr>
              <w:spacing w:after="220" w:line="240" w:lineRule="auto"/>
              <w:rPr>
                <w:rFonts w:cs="Arial"/>
                <w:color w:val="0D0D0D" w:themeColor="text1" w:themeTint="F2"/>
                <w:sz w:val="14"/>
                <w:szCs w:val="14"/>
              </w:rPr>
            </w:pPr>
            <w:r w:rsidRPr="004A0F58">
              <w:rPr>
                <w:rFonts w:cs="Arial"/>
                <w:color w:val="0D0D0D" w:themeColor="text1" w:themeTint="F2"/>
                <w:sz w:val="14"/>
                <w:szCs w:val="14"/>
              </w:rPr>
              <w:t>Zdroj: ČSÚ, Eurostat</w:t>
            </w:r>
          </w:p>
        </w:tc>
      </w:tr>
      <w:tr w:rsidR="006E6B4C" w:rsidRPr="004A0F58" w14:paraId="66C9C402" w14:textId="77777777" w:rsidTr="000E74FE">
        <w:trPr>
          <w:trHeight w:val="170"/>
        </w:trPr>
        <w:tc>
          <w:tcPr>
            <w:tcW w:w="1683" w:type="dxa"/>
            <w:tcMar>
              <w:left w:w="0" w:type="dxa"/>
            </w:tcMar>
          </w:tcPr>
          <w:p w14:paraId="1742AAD6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</w:rPr>
            </w:pPr>
            <w:r w:rsidRPr="004A0F58">
              <w:rPr>
                <w:color w:val="0D0D0D" w:themeColor="text1" w:themeTint="F2"/>
              </w:rPr>
              <w:t xml:space="preserve">Vývoj v jednotlivých </w:t>
            </w:r>
            <w:r w:rsidRPr="004A0F58">
              <w:rPr>
                <w:color w:val="0D0D0D" w:themeColor="text1" w:themeTint="F2"/>
                <w:spacing w:val="-4"/>
              </w:rPr>
              <w:t>oborech administrativních</w:t>
            </w:r>
            <w:r w:rsidRPr="004A0F58">
              <w:rPr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</w:rPr>
              <w:br/>
            </w:r>
            <w:r w:rsidRPr="004A0F58">
              <w:rPr>
                <w:color w:val="0D0D0D" w:themeColor="text1" w:themeTint="F2"/>
              </w:rPr>
              <w:t xml:space="preserve">a podpůrných činností byl protichůdný. V části z nich rostla vlivem </w:t>
            </w:r>
            <w:proofErr w:type="spellStart"/>
            <w:r w:rsidRPr="004A0F58">
              <w:rPr>
                <w:color w:val="0D0D0D" w:themeColor="text1" w:themeTint="F2"/>
              </w:rPr>
              <w:t>procyklického</w:t>
            </w:r>
            <w:proofErr w:type="spellEnd"/>
            <w:r w:rsidRPr="004A0F58">
              <w:rPr>
                <w:color w:val="0D0D0D" w:themeColor="text1" w:themeTint="F2"/>
              </w:rPr>
              <w:t xml:space="preserve"> oživení </w:t>
            </w:r>
            <w:r w:rsidRPr="004A0F58">
              <w:rPr>
                <w:color w:val="0D0D0D" w:themeColor="text1" w:themeTint="F2"/>
              </w:rPr>
              <w:lastRenderedPageBreak/>
              <w:t xml:space="preserve">firemní poptávka, jinde se projevil útlum způsobený postupující digitalizací. </w:t>
            </w:r>
          </w:p>
          <w:p w14:paraId="73A094B4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</w:rPr>
            </w:pPr>
          </w:p>
        </w:tc>
        <w:tc>
          <w:tcPr>
            <w:tcW w:w="165" w:type="dxa"/>
            <w:tcMar>
              <w:left w:w="0" w:type="dxa"/>
            </w:tcMar>
          </w:tcPr>
          <w:p w14:paraId="7275A9BC" w14:textId="77777777" w:rsidR="006E6B4C" w:rsidRPr="004A0F58" w:rsidRDefault="006E6B4C" w:rsidP="006E6B4C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26FD8450" w14:textId="77777777" w:rsidR="006E6B4C" w:rsidRPr="004A0F58" w:rsidRDefault="006E6B4C" w:rsidP="006E6B4C">
            <w:pPr>
              <w:spacing w:after="200"/>
              <w:rPr>
                <w:rFonts w:cs="Arial"/>
                <w:color w:val="0D0D0D" w:themeColor="text1" w:themeTint="F2"/>
                <w:sz w:val="14"/>
                <w:szCs w:val="14"/>
              </w:rPr>
            </w:pPr>
            <w:r w:rsidRPr="004A0F58">
              <w:rPr>
                <w:bCs/>
                <w:color w:val="0D0D0D" w:themeColor="text1" w:themeTint="F2"/>
                <w:spacing w:val="-3"/>
              </w:rPr>
              <w:t>Mírně se letos zvýšily tržby i odvětví administrativních a podpůrných činností (+1,5 %)</w:t>
            </w:r>
            <w:r>
              <w:rPr>
                <w:bCs/>
                <w:color w:val="0D0D0D" w:themeColor="text1" w:themeTint="F2"/>
                <w:spacing w:val="-3"/>
              </w:rPr>
              <w:t xml:space="preserve"> </w:t>
            </w:r>
            <w:r w:rsidRPr="004A0F58">
              <w:rPr>
                <w:bCs/>
                <w:color w:val="0D0D0D" w:themeColor="text1" w:themeTint="F2"/>
                <w:spacing w:val="-3"/>
              </w:rPr>
              <w:t xml:space="preserve">poskytující především podnikům zpravidla služby s nižší přidanou hodnotou. Obdobně jako po většinu loňského roku zde k růstu nejvíce přispěl různorodý obor </w:t>
            </w:r>
            <w:r w:rsidRPr="004A0F58">
              <w:rPr>
                <w:color w:val="0D0D0D" w:themeColor="text1" w:themeTint="F2"/>
                <w:spacing w:val="-3"/>
              </w:rPr>
              <w:t>administrativní, kancelářské a jiné podpůrn</w:t>
            </w:r>
            <w:r>
              <w:rPr>
                <w:color w:val="0D0D0D" w:themeColor="text1" w:themeTint="F2"/>
                <w:spacing w:val="-3"/>
              </w:rPr>
              <w:t>é</w:t>
            </w:r>
            <w:r w:rsidRPr="004A0F58">
              <w:rPr>
                <w:color w:val="0D0D0D" w:themeColor="text1" w:themeTint="F2"/>
                <w:spacing w:val="-3"/>
              </w:rPr>
              <w:t xml:space="preserve"> činnost</w:t>
            </w:r>
            <w:r>
              <w:rPr>
                <w:color w:val="0D0D0D" w:themeColor="text1" w:themeTint="F2"/>
                <w:spacing w:val="-3"/>
              </w:rPr>
              <w:t>i</w:t>
            </w:r>
            <w:r w:rsidRPr="004A0F58">
              <w:rPr>
                <w:color w:val="0D0D0D" w:themeColor="text1" w:themeTint="F2"/>
                <w:spacing w:val="-3"/>
              </w:rPr>
              <w:t xml:space="preserve"> pro podnikání (+4,4 %)</w:t>
            </w:r>
            <w:r w:rsidRPr="004A0F58">
              <w:rPr>
                <w:rStyle w:val="Znakapoznpodarou"/>
                <w:color w:val="0D0D0D" w:themeColor="text1" w:themeTint="F2"/>
                <w:spacing w:val="-3"/>
              </w:rPr>
              <w:footnoteReference w:id="44"/>
            </w:r>
            <w:r w:rsidRPr="004A0F58">
              <w:rPr>
                <w:color w:val="0D0D0D" w:themeColor="text1" w:themeTint="F2"/>
                <w:spacing w:val="-3"/>
              </w:rPr>
              <w:t xml:space="preserve">.V prvé řadě </w:t>
            </w:r>
            <w:r>
              <w:rPr>
                <w:color w:val="0D0D0D" w:themeColor="text1" w:themeTint="F2"/>
                <w:spacing w:val="-3"/>
              </w:rPr>
              <w:t xml:space="preserve">se </w:t>
            </w:r>
            <w:r w:rsidRPr="004A0F58">
              <w:rPr>
                <w:color w:val="0D0D0D" w:themeColor="text1" w:themeTint="F2"/>
                <w:spacing w:val="-3"/>
              </w:rPr>
              <w:t xml:space="preserve">firemní poptávka promítla do pokračujícího růstu tržeb za pronájem a operativní leasing, kde tržby </w:t>
            </w:r>
            <w:r w:rsidRPr="004A0F58">
              <w:rPr>
                <w:color w:val="0D0D0D" w:themeColor="text1" w:themeTint="F2"/>
                <w:spacing w:val="-3"/>
              </w:rPr>
              <w:lastRenderedPageBreak/>
              <w:t>vzrostly (+2,3 %</w:t>
            </w:r>
            <w:r w:rsidRPr="004A0F58">
              <w:rPr>
                <w:rStyle w:val="Znakapoznpodarou"/>
                <w:color w:val="0D0D0D" w:themeColor="text1" w:themeTint="F2"/>
                <w:spacing w:val="-3"/>
              </w:rPr>
              <w:footnoteReference w:id="45"/>
            </w:r>
            <w:r w:rsidRPr="004A0F58">
              <w:rPr>
                <w:color w:val="0D0D0D" w:themeColor="text1" w:themeTint="F2"/>
                <w:spacing w:val="-3"/>
              </w:rPr>
              <w:t>), avšak pomaleji než v předchozích dvou letech. Přetrvával velmi mírný růst poptávky po činnostech souvisejících se stavbami a úpravou krajiny</w:t>
            </w:r>
            <w:r w:rsidRPr="004A0F58">
              <w:rPr>
                <w:rStyle w:val="Znakapoznpodarou"/>
                <w:color w:val="0D0D0D" w:themeColor="text1" w:themeTint="F2"/>
                <w:spacing w:val="-3"/>
              </w:rPr>
              <w:footnoteReference w:id="46"/>
            </w:r>
            <w:r w:rsidRPr="004A0F58">
              <w:rPr>
                <w:color w:val="0D0D0D" w:themeColor="text1" w:themeTint="F2"/>
                <w:spacing w:val="-3"/>
              </w:rPr>
              <w:t>. Poptávka po službách cestovních agentur a kanceláří stejně jako v úhrnu za loňský rok letos spíše stagnovala. Pokles tržeb pracovních agentur pokračoval pátý rok v řadě, letos nicméně zmírnil (na 1,3 %)</w:t>
            </w:r>
            <w:r w:rsidRPr="004A0F58">
              <w:rPr>
                <w:rStyle w:val="Znakapoznpodarou"/>
                <w:color w:val="0D0D0D" w:themeColor="text1" w:themeTint="F2"/>
                <w:spacing w:val="-3"/>
              </w:rPr>
              <w:footnoteReference w:id="47"/>
            </w:r>
            <w:r w:rsidRPr="004A0F58">
              <w:rPr>
                <w:color w:val="0D0D0D" w:themeColor="text1" w:themeTint="F2"/>
                <w:spacing w:val="-3"/>
              </w:rPr>
              <w:t>. Podobně klesla poptávka i po bezpečnostních a pátracích činnostech, jejíž nepříznivý vývoj (související s rozvojem digitalizace) má rovněž dlouhodobější povahu.</w:t>
            </w:r>
          </w:p>
        </w:tc>
      </w:tr>
      <w:tr w:rsidR="006E6B4C" w:rsidRPr="004A0F58" w14:paraId="42706578" w14:textId="77777777" w:rsidTr="000E74FE">
        <w:trPr>
          <w:trHeight w:val="155"/>
        </w:trPr>
        <w:tc>
          <w:tcPr>
            <w:tcW w:w="1683" w:type="dxa"/>
            <w:tcMar>
              <w:left w:w="0" w:type="dxa"/>
            </w:tcMar>
          </w:tcPr>
          <w:p w14:paraId="65715D7C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</w:rPr>
            </w:pPr>
            <w:r w:rsidRPr="004A0F58">
              <w:rPr>
                <w:color w:val="0D0D0D" w:themeColor="text1" w:themeTint="F2"/>
              </w:rPr>
              <w:lastRenderedPageBreak/>
              <w:t xml:space="preserve">Rozvoj maloobchodu </w:t>
            </w:r>
            <w:r w:rsidRPr="004A0F58">
              <w:rPr>
                <w:color w:val="0D0D0D" w:themeColor="text1" w:themeTint="F2"/>
                <w:spacing w:val="-4"/>
              </w:rPr>
              <w:t xml:space="preserve">pokračoval. </w:t>
            </w:r>
            <w:proofErr w:type="spellStart"/>
            <w:r w:rsidRPr="004A0F58">
              <w:rPr>
                <w:color w:val="0D0D0D" w:themeColor="text1" w:themeTint="F2"/>
                <w:spacing w:val="-4"/>
              </w:rPr>
              <w:t>Mezikvartální</w:t>
            </w:r>
            <w:proofErr w:type="spellEnd"/>
            <w:r w:rsidRPr="004A0F58">
              <w:rPr>
                <w:color w:val="0D0D0D" w:themeColor="text1" w:themeTint="F2"/>
              </w:rPr>
              <w:t xml:space="preserve"> </w:t>
            </w:r>
            <w:r w:rsidRPr="004A0F58">
              <w:rPr>
                <w:color w:val="0D0D0D" w:themeColor="text1" w:themeTint="F2"/>
                <w:spacing w:val="0"/>
              </w:rPr>
              <w:t>růst tržeb díky posílení všech klíčových segmentů v odvětví zrychlil.</w:t>
            </w:r>
          </w:p>
          <w:p w14:paraId="491C594E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</w:rPr>
            </w:pPr>
          </w:p>
        </w:tc>
        <w:tc>
          <w:tcPr>
            <w:tcW w:w="165" w:type="dxa"/>
            <w:tcMar>
              <w:left w:w="0" w:type="dxa"/>
            </w:tcMar>
          </w:tcPr>
          <w:p w14:paraId="5F9AD775" w14:textId="77777777" w:rsidR="006E6B4C" w:rsidRPr="004A0F58" w:rsidRDefault="006E6B4C" w:rsidP="006E6B4C">
            <w:pPr>
              <w:pStyle w:val="Textpoznpodarou"/>
              <w:jc w:val="both"/>
              <w:rPr>
                <w:bCs/>
                <w:color w:val="0D0D0D" w:themeColor="text1" w:themeTint="F2"/>
                <w:spacing w:val="-4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52488057" w14:textId="77777777" w:rsidR="006E6B4C" w:rsidRPr="004A0F58" w:rsidRDefault="006E6B4C" w:rsidP="006E6B4C">
            <w:pPr>
              <w:spacing w:after="200"/>
              <w:rPr>
                <w:rFonts w:cs="Arial"/>
                <w:color w:val="0D0D0D" w:themeColor="text1" w:themeTint="F2"/>
                <w:spacing w:val="-4"/>
                <w:szCs w:val="20"/>
              </w:rPr>
            </w:pPr>
            <w:r w:rsidRPr="00912306"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Maloobchodu 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se </w:t>
            </w:r>
            <w:r w:rsidRPr="00912306"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na počátku letošního 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roku </w:t>
            </w:r>
            <w:r w:rsidRPr="00912306">
              <w:rPr>
                <w:rFonts w:cs="Arial"/>
                <w:color w:val="0D0D0D" w:themeColor="text1" w:themeTint="F2"/>
                <w:spacing w:val="-4"/>
                <w:szCs w:val="20"/>
              </w:rPr>
              <w:t>dařilo, neboť těžil z rostoucí důvěry domácností v ekonomiku</w:t>
            </w:r>
            <w:r w:rsidRPr="00912306">
              <w:rPr>
                <w:rStyle w:val="Znakapoznpodarou"/>
                <w:color w:val="0D0D0D" w:themeColor="text1" w:themeTint="F2"/>
                <w:spacing w:val="-4"/>
                <w:szCs w:val="20"/>
              </w:rPr>
              <w:footnoteReference w:id="48"/>
            </w:r>
            <w:r w:rsidRPr="004A0F58">
              <w:rPr>
                <w:rFonts w:cs="Arial"/>
                <w:color w:val="0D0D0D" w:themeColor="text1" w:themeTint="F2"/>
                <w:spacing w:val="-2"/>
                <w:szCs w:val="20"/>
              </w:rPr>
              <w:t xml:space="preserve"> podpořenou příznivým vývojem na trhu práce odrážejícím </w:t>
            </w:r>
            <w:r>
              <w:rPr>
                <w:rFonts w:cs="Arial"/>
                <w:color w:val="0D0D0D" w:themeColor="text1" w:themeTint="F2"/>
                <w:spacing w:val="-2"/>
                <w:szCs w:val="20"/>
              </w:rPr>
              <w:t>s</w:t>
            </w:r>
            <w:r>
              <w:t xml:space="preserve">e </w:t>
            </w:r>
            <w:r w:rsidRPr="004A0F58">
              <w:rPr>
                <w:rFonts w:cs="Arial"/>
                <w:color w:val="0D0D0D" w:themeColor="text1" w:themeTint="F2"/>
                <w:spacing w:val="-2"/>
                <w:szCs w:val="20"/>
              </w:rPr>
              <w:t>ve stabilně rostoucí zaměstnanosti i svižn</w:t>
            </w:r>
            <w:r>
              <w:rPr>
                <w:rFonts w:cs="Arial"/>
                <w:color w:val="0D0D0D" w:themeColor="text1" w:themeTint="F2"/>
                <w:spacing w:val="-2"/>
                <w:szCs w:val="20"/>
              </w:rPr>
              <w:t>ém</w:t>
            </w:r>
            <w:r w:rsidRPr="004A0F58">
              <w:rPr>
                <w:rFonts w:cs="Arial"/>
                <w:color w:val="0D0D0D" w:themeColor="text1" w:themeTint="F2"/>
                <w:spacing w:val="-2"/>
                <w:szCs w:val="20"/>
              </w:rPr>
              <w:t xml:space="preserve"> mzdo</w:t>
            </w:r>
            <w:r>
              <w:rPr>
                <w:rFonts w:cs="Arial"/>
                <w:color w:val="0D0D0D" w:themeColor="text1" w:themeTint="F2"/>
                <w:spacing w:val="-2"/>
                <w:szCs w:val="20"/>
              </w:rPr>
              <w:t>vém</w:t>
            </w:r>
            <w:r w:rsidRPr="004A0F58">
              <w:rPr>
                <w:rFonts w:cs="Arial"/>
                <w:color w:val="0D0D0D" w:themeColor="text1" w:themeTint="F2"/>
                <w:spacing w:val="-2"/>
                <w:szCs w:val="20"/>
              </w:rPr>
              <w:t xml:space="preserve"> růstu.</w:t>
            </w:r>
            <w:r w:rsidRPr="004A0F58"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 </w:t>
            </w:r>
            <w:proofErr w:type="spellStart"/>
            <w:r w:rsidRPr="004A0F58">
              <w:rPr>
                <w:rFonts w:cs="Arial"/>
                <w:color w:val="0D0D0D" w:themeColor="text1" w:themeTint="F2"/>
                <w:spacing w:val="-4"/>
                <w:szCs w:val="20"/>
              </w:rPr>
              <w:t>Mezikvartální</w:t>
            </w:r>
            <w:proofErr w:type="spellEnd"/>
            <w:r w:rsidRPr="004A0F58"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 </w:t>
            </w:r>
            <w:r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růst </w:t>
            </w:r>
            <w:r w:rsidRPr="004A0F58">
              <w:rPr>
                <w:rFonts w:cs="Arial"/>
                <w:color w:val="0D0D0D" w:themeColor="text1" w:themeTint="F2"/>
                <w:spacing w:val="-4"/>
                <w:szCs w:val="20"/>
              </w:rPr>
              <w:t>tržeb v maloobchodu</w:t>
            </w:r>
            <w:r w:rsidRPr="004A0F58">
              <w:rPr>
                <w:rStyle w:val="Znakapoznpodarou"/>
                <w:color w:val="0D0D0D" w:themeColor="text1" w:themeTint="F2"/>
                <w:spacing w:val="-4"/>
              </w:rPr>
              <w:footnoteReference w:id="49"/>
            </w:r>
            <w:r w:rsidRPr="004A0F58"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 tak v 1. čtvrtletí zrychlil na 1,7 % (nejvíce za poslední dva roky) a na tomto vývoji se podílely všechny jeho klíčové segmenty. Nelze vyloučit i dopad vyšších nákupů vlivem předzásobení domácností i firem v důsledku očekávání růstu cen některých významných komodit v souvislosti s konfliktem na Blízkém východě</w:t>
            </w:r>
            <w:r w:rsidRPr="004A0F58">
              <w:rPr>
                <w:rStyle w:val="Znakapoznpodarou"/>
                <w:color w:val="0D0D0D" w:themeColor="text1" w:themeTint="F2"/>
                <w:spacing w:val="-4"/>
                <w:szCs w:val="20"/>
              </w:rPr>
              <w:footnoteReference w:id="50"/>
            </w:r>
            <w:r w:rsidRPr="004A0F58">
              <w:rPr>
                <w:rFonts w:cs="Arial"/>
                <w:color w:val="0D0D0D" w:themeColor="text1" w:themeTint="F2"/>
                <w:spacing w:val="-4"/>
                <w:szCs w:val="20"/>
              </w:rPr>
              <w:t xml:space="preserve">. </w:t>
            </w:r>
            <w:r w:rsidRPr="004A0F58">
              <w:rPr>
                <w:rFonts w:cs="Arial"/>
                <w:color w:val="0D0D0D" w:themeColor="text1" w:themeTint="F2"/>
                <w:spacing w:val="-5"/>
                <w:szCs w:val="20"/>
              </w:rPr>
              <w:t>Výkon maloobchodu se v 1. čtvrtletí nacházel mírně nad vrcholem předpandemické konjunktury (+3,3 %</w:t>
            </w:r>
            <w:r w:rsidRPr="004A0F58">
              <w:rPr>
                <w:rStyle w:val="Znakapoznpodarou"/>
                <w:color w:val="0D0D0D" w:themeColor="text1" w:themeTint="F2"/>
                <w:spacing w:val="-5"/>
                <w:szCs w:val="20"/>
              </w:rPr>
              <w:footnoteReference w:id="51"/>
            </w:r>
            <w:r w:rsidRPr="004A0F58">
              <w:rPr>
                <w:rFonts w:cs="Arial"/>
                <w:color w:val="0D0D0D" w:themeColor="text1" w:themeTint="F2"/>
                <w:spacing w:val="-5"/>
                <w:szCs w:val="20"/>
              </w:rPr>
              <w:t>) a současně se poprvé dorovnal rekordní úrovni z období těsně po ústupu protipandemických opatření (3. čtvrtletí 2021).</w:t>
            </w:r>
          </w:p>
        </w:tc>
      </w:tr>
      <w:tr w:rsidR="006E6B4C" w:rsidRPr="004A0F58" w14:paraId="08AE901D" w14:textId="77777777" w:rsidTr="000E74FE">
        <w:trPr>
          <w:trHeight w:val="155"/>
        </w:trPr>
        <w:tc>
          <w:tcPr>
            <w:tcW w:w="1683" w:type="dxa"/>
            <w:tcMar>
              <w:left w:w="0" w:type="dxa"/>
            </w:tcMar>
          </w:tcPr>
          <w:p w14:paraId="6CF17A97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</w:rPr>
            </w:pPr>
            <w:r w:rsidRPr="004A0F58">
              <w:rPr>
                <w:color w:val="0D0D0D" w:themeColor="text1" w:themeTint="F2"/>
              </w:rPr>
              <w:t>Polovinu meziročního růstu maloobchodu letos zajistily internetové prodeje, u nichž růst poptávky dále sílil.</w:t>
            </w:r>
          </w:p>
          <w:p w14:paraId="06F8F66F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  <w:spacing w:val="-4"/>
              </w:rPr>
            </w:pPr>
          </w:p>
          <w:p w14:paraId="1812B24E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  <w:spacing w:val="-4"/>
              </w:rPr>
            </w:pPr>
          </w:p>
          <w:p w14:paraId="204F13BC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  <w:spacing w:val="-4"/>
              </w:rPr>
            </w:pPr>
          </w:p>
          <w:p w14:paraId="14B4CC05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  <w:spacing w:val="-4"/>
              </w:rPr>
            </w:pPr>
            <w:r w:rsidRPr="004A0F58">
              <w:rPr>
                <w:color w:val="0D0D0D" w:themeColor="text1" w:themeTint="F2"/>
                <w:spacing w:val="-4"/>
              </w:rPr>
              <w:t xml:space="preserve">Většině specializovaným prodejnám tržby rostly, nejvíce se zvyšovala poptávka po kosmetických </w:t>
            </w:r>
            <w:r>
              <w:rPr>
                <w:color w:val="0D0D0D" w:themeColor="text1" w:themeTint="F2"/>
                <w:spacing w:val="-4"/>
              </w:rPr>
              <w:br/>
            </w:r>
            <w:r w:rsidRPr="004A0F58">
              <w:rPr>
                <w:color w:val="0D0D0D" w:themeColor="text1" w:themeTint="F2"/>
                <w:spacing w:val="-4"/>
              </w:rPr>
              <w:t xml:space="preserve">a toaletních výrobcích. </w:t>
            </w:r>
          </w:p>
          <w:p w14:paraId="7703A28C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  <w:spacing w:val="-4"/>
              </w:rPr>
            </w:pPr>
          </w:p>
          <w:p w14:paraId="617FC0AE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  <w:spacing w:val="-4"/>
              </w:rPr>
            </w:pPr>
          </w:p>
          <w:p w14:paraId="7D0FBBBC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  <w:spacing w:val="-4"/>
              </w:rPr>
            </w:pPr>
          </w:p>
          <w:p w14:paraId="5FA2040C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  <w:spacing w:val="-4"/>
              </w:rPr>
            </w:pPr>
            <w:r w:rsidRPr="004A0F58">
              <w:rPr>
                <w:color w:val="0D0D0D" w:themeColor="text1" w:themeTint="F2"/>
                <w:spacing w:val="-4"/>
              </w:rPr>
              <w:t xml:space="preserve">Růst tržeb za prodej potravin zrychlil, </w:t>
            </w:r>
            <w:r w:rsidRPr="004A0F58">
              <w:rPr>
                <w:color w:val="0D0D0D" w:themeColor="text1" w:themeTint="F2"/>
                <w:spacing w:val="-4"/>
              </w:rPr>
              <w:lastRenderedPageBreak/>
              <w:t>poptávka v segmentu malých specializovaných prodejen ale dále klesala.</w:t>
            </w:r>
          </w:p>
          <w:p w14:paraId="658217CC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</w:rPr>
            </w:pPr>
            <w:r w:rsidRPr="004A0F58">
              <w:rPr>
                <w:color w:val="0D0D0D" w:themeColor="text1" w:themeTint="F2"/>
              </w:rPr>
              <w:t xml:space="preserve">Poptávka po PHM byla od počátku roku zásadně ovlivněna výraznými cenovými vlivy.  </w:t>
            </w:r>
          </w:p>
        </w:tc>
        <w:tc>
          <w:tcPr>
            <w:tcW w:w="165" w:type="dxa"/>
            <w:tcMar>
              <w:left w:w="0" w:type="dxa"/>
            </w:tcMar>
          </w:tcPr>
          <w:p w14:paraId="4AD7EC56" w14:textId="77777777" w:rsidR="006E6B4C" w:rsidRPr="004A0F58" w:rsidRDefault="006E6B4C" w:rsidP="006E6B4C">
            <w:pPr>
              <w:pStyle w:val="Textpoznpodarou"/>
              <w:jc w:val="both"/>
              <w:rPr>
                <w:bCs/>
                <w:color w:val="0D0D0D" w:themeColor="text1" w:themeTint="F2"/>
                <w:spacing w:val="-4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5892896A" w14:textId="768CC355" w:rsidR="006E6B4C" w:rsidRPr="004A0F58" w:rsidRDefault="006E6B4C" w:rsidP="006E6B4C">
            <w:pPr>
              <w:spacing w:after="200"/>
              <w:rPr>
                <w:rFonts w:cs="Arial"/>
                <w:color w:val="0D0D0D" w:themeColor="text1" w:themeTint="F2"/>
                <w:spacing w:val="-3"/>
                <w:szCs w:val="20"/>
              </w:rPr>
            </w:pPr>
            <w:r w:rsidRPr="004A0F58">
              <w:rPr>
                <w:rFonts w:cs="Arial"/>
                <w:color w:val="0D0D0D" w:themeColor="text1" w:themeTint="F2"/>
                <w:spacing w:val="-3"/>
                <w:szCs w:val="20"/>
              </w:rPr>
              <w:t>Rovněž meziroční růst maloobchodních tržeb v 1. čtvrtletí zrychlil (na rovných 5 %). Ten se nadále opíra</w:t>
            </w:r>
            <w:r>
              <w:rPr>
                <w:rFonts w:cs="Arial"/>
                <w:color w:val="0D0D0D" w:themeColor="text1" w:themeTint="F2"/>
                <w:spacing w:val="-3"/>
                <w:szCs w:val="20"/>
              </w:rPr>
              <w:t>l</w:t>
            </w:r>
            <w:r w:rsidRPr="004A0F58">
              <w:rPr>
                <w:rFonts w:cs="Arial"/>
                <w:color w:val="0D0D0D" w:themeColor="text1" w:themeTint="F2"/>
                <w:spacing w:val="-3"/>
                <w:szCs w:val="20"/>
              </w:rPr>
              <w:t xml:space="preserve"> především o dynamicky se rozvíjející obchod prostřednictvím internetu nebo zásilkové služby, v němž se tržby zvýšily o 17,1 % a k růstu celého maloobchodu přispěly 2,5 p. b. Dlouhodobý svižný růst tohoto segmentu obchodu, je</w:t>
            </w:r>
            <w:r>
              <w:rPr>
                <w:rFonts w:cs="Arial"/>
                <w:color w:val="0D0D0D" w:themeColor="text1" w:themeTint="F2"/>
                <w:spacing w:val="-3"/>
                <w:szCs w:val="20"/>
              </w:rPr>
              <w:t>n</w:t>
            </w:r>
            <w:r w:rsidRPr="004A0F58">
              <w:rPr>
                <w:rFonts w:cs="Arial"/>
                <w:color w:val="0D0D0D" w:themeColor="text1" w:themeTint="F2"/>
                <w:spacing w:val="-3"/>
                <w:szCs w:val="20"/>
              </w:rPr>
              <w:t xml:space="preserve">ž v posledních letech představuje nejdynamičtější segment celého maloobchodu, souvisí s postupnou změnou nákupního chování domácností, technologickým pokrokem, </w:t>
            </w:r>
            <w:r>
              <w:rPr>
                <w:rFonts w:cs="Arial"/>
                <w:color w:val="0D0D0D" w:themeColor="text1" w:themeTint="F2"/>
                <w:spacing w:val="-3"/>
                <w:szCs w:val="20"/>
              </w:rPr>
              <w:t xml:space="preserve">s </w:t>
            </w:r>
            <w:r w:rsidRPr="004A0F58">
              <w:rPr>
                <w:rFonts w:cs="Arial"/>
                <w:color w:val="0D0D0D" w:themeColor="text1" w:themeTint="F2"/>
                <w:spacing w:val="-3"/>
                <w:szCs w:val="20"/>
              </w:rPr>
              <w:t>inovac</w:t>
            </w:r>
            <w:r>
              <w:rPr>
                <w:rFonts w:cs="Arial"/>
                <w:color w:val="0D0D0D" w:themeColor="text1" w:themeTint="F2"/>
                <w:spacing w:val="-3"/>
                <w:szCs w:val="20"/>
              </w:rPr>
              <w:t>emi</w:t>
            </w:r>
            <w:r w:rsidRPr="004A0F58">
              <w:rPr>
                <w:rFonts w:cs="Arial"/>
                <w:color w:val="0D0D0D" w:themeColor="text1" w:themeTint="F2"/>
                <w:spacing w:val="-3"/>
                <w:szCs w:val="20"/>
              </w:rPr>
              <w:t xml:space="preserve"> v marketingu i</w:t>
            </w:r>
            <w:r>
              <w:rPr>
                <w:rFonts w:cs="Arial"/>
                <w:color w:val="0D0D0D" w:themeColor="text1" w:themeTint="F2"/>
                <w:spacing w:val="-3"/>
                <w:szCs w:val="20"/>
              </w:rPr>
              <w:t> </w:t>
            </w:r>
            <w:r w:rsidRPr="004A0F58">
              <w:rPr>
                <w:rFonts w:cs="Arial"/>
                <w:color w:val="0D0D0D" w:themeColor="text1" w:themeTint="F2"/>
                <w:spacing w:val="-3"/>
                <w:szCs w:val="20"/>
              </w:rPr>
              <w:t xml:space="preserve">logistice a také </w:t>
            </w:r>
            <w:r>
              <w:rPr>
                <w:rFonts w:cs="Arial"/>
                <w:color w:val="0D0D0D" w:themeColor="text1" w:themeTint="F2"/>
                <w:spacing w:val="-3"/>
                <w:szCs w:val="20"/>
              </w:rPr>
              <w:t xml:space="preserve">s </w:t>
            </w:r>
            <w:r w:rsidRPr="004A0F58">
              <w:rPr>
                <w:rFonts w:cs="Arial"/>
                <w:color w:val="0D0D0D" w:themeColor="text1" w:themeTint="F2"/>
                <w:spacing w:val="-3"/>
                <w:szCs w:val="20"/>
              </w:rPr>
              <w:t>globálním dosah</w:t>
            </w:r>
            <w:r>
              <w:rPr>
                <w:rFonts w:cs="Arial"/>
                <w:color w:val="0D0D0D" w:themeColor="text1" w:themeTint="F2"/>
                <w:spacing w:val="-3"/>
                <w:szCs w:val="20"/>
              </w:rPr>
              <w:t>em</w:t>
            </w:r>
            <w:r w:rsidRPr="004A0F58">
              <w:rPr>
                <w:rFonts w:cs="Arial"/>
                <w:color w:val="0D0D0D" w:themeColor="text1" w:themeTint="F2"/>
                <w:spacing w:val="-3"/>
                <w:szCs w:val="20"/>
              </w:rPr>
              <w:t xml:space="preserve"> řad</w:t>
            </w:r>
            <w:r>
              <w:rPr>
                <w:rFonts w:cs="Arial"/>
                <w:color w:val="0D0D0D" w:themeColor="text1" w:themeTint="F2"/>
                <w:spacing w:val="-3"/>
                <w:szCs w:val="20"/>
              </w:rPr>
              <w:t>y</w:t>
            </w:r>
            <w:r w:rsidRPr="004A0F58">
              <w:rPr>
                <w:rFonts w:cs="Arial"/>
                <w:color w:val="0D0D0D" w:themeColor="text1" w:themeTint="F2"/>
                <w:spacing w:val="-3"/>
                <w:szCs w:val="20"/>
              </w:rPr>
              <w:t xml:space="preserve"> významných prodejců v Česku. Slabším, ale vcelku stabilním tempem pokračoval růst většiny specializovaných prodejen s nepotravinářským </w:t>
            </w:r>
            <w:r w:rsidRPr="004A0F58">
              <w:rPr>
                <w:rFonts w:cs="Arial"/>
                <w:color w:val="0D0D0D" w:themeColor="text1" w:themeTint="F2"/>
                <w:spacing w:val="-8"/>
                <w:szCs w:val="20"/>
              </w:rPr>
              <w:t>zbožím</w:t>
            </w:r>
            <w:r w:rsidRPr="004A0F58">
              <w:rPr>
                <w:rStyle w:val="Znakapoznpodarou"/>
                <w:color w:val="0D0D0D" w:themeColor="text1" w:themeTint="F2"/>
                <w:spacing w:val="-8"/>
                <w:szCs w:val="20"/>
              </w:rPr>
              <w:footnoteReference w:id="52"/>
            </w:r>
            <w:r w:rsidRPr="004A0F58">
              <w:rPr>
                <w:rFonts w:cs="Arial"/>
                <w:color w:val="0D0D0D" w:themeColor="text1" w:themeTint="F2"/>
                <w:spacing w:val="-8"/>
                <w:szCs w:val="20"/>
              </w:rPr>
              <w:t xml:space="preserve">. Dařilo se hlavně prodeji kosmetických a toaletních výrobků </w:t>
            </w:r>
            <w:r>
              <w:rPr>
                <w:rFonts w:cs="Arial"/>
                <w:color w:val="0D0D0D" w:themeColor="text1" w:themeTint="F2"/>
                <w:spacing w:val="-8"/>
                <w:szCs w:val="20"/>
              </w:rPr>
              <w:br/>
            </w:r>
            <w:r w:rsidRPr="004A0F58">
              <w:rPr>
                <w:rFonts w:cs="Arial"/>
                <w:color w:val="0D0D0D" w:themeColor="text1" w:themeTint="F2"/>
                <w:spacing w:val="-8"/>
                <w:szCs w:val="20"/>
              </w:rPr>
              <w:t>(+7,6 %), farmaceutickému</w:t>
            </w:r>
            <w:r w:rsidRPr="004A0F58">
              <w:rPr>
                <w:rFonts w:cs="Arial"/>
                <w:color w:val="0D0D0D" w:themeColor="text1" w:themeTint="F2"/>
                <w:spacing w:val="-3"/>
                <w:szCs w:val="20"/>
              </w:rPr>
              <w:t xml:space="preserve"> a zdravotnickému zboží (+4,7 %) a výrobkům pro kulturu </w:t>
            </w:r>
            <w:r>
              <w:rPr>
                <w:rFonts w:cs="Arial"/>
                <w:color w:val="0D0D0D" w:themeColor="text1" w:themeTint="F2"/>
                <w:spacing w:val="-3"/>
                <w:szCs w:val="20"/>
              </w:rPr>
              <w:br/>
            </w:r>
            <w:r w:rsidRPr="004A0F58">
              <w:rPr>
                <w:rFonts w:cs="Arial"/>
                <w:color w:val="0D0D0D" w:themeColor="text1" w:themeTint="F2"/>
                <w:spacing w:val="-3"/>
                <w:szCs w:val="20"/>
              </w:rPr>
              <w:t>a rekreaci</w:t>
            </w:r>
            <w:r w:rsidRPr="004A0F58">
              <w:rPr>
                <w:rStyle w:val="Znakapoznpodarou"/>
                <w:color w:val="0D0D0D" w:themeColor="text1" w:themeTint="F2"/>
                <w:spacing w:val="-3"/>
                <w:szCs w:val="20"/>
              </w:rPr>
              <w:footnoteReference w:id="53"/>
            </w:r>
            <w:r w:rsidRPr="004A0F58">
              <w:rPr>
                <w:rFonts w:cs="Arial"/>
                <w:color w:val="0D0D0D" w:themeColor="text1" w:themeTint="F2"/>
                <w:spacing w:val="-3"/>
                <w:szCs w:val="20"/>
              </w:rPr>
              <w:t xml:space="preserve"> (+5,0 %). Poptávka po oděvech, obuvi a koženém zboží se nadále zvyšovala jen velmi mírně</w:t>
            </w:r>
            <w:r w:rsidRPr="004A0F58">
              <w:rPr>
                <w:rStyle w:val="Znakapoznpodarou"/>
                <w:color w:val="0D0D0D" w:themeColor="text1" w:themeTint="F2"/>
                <w:spacing w:val="-3"/>
                <w:szCs w:val="20"/>
              </w:rPr>
              <w:footnoteReference w:id="54"/>
            </w:r>
            <w:r w:rsidRPr="004A0F58">
              <w:rPr>
                <w:rFonts w:cs="Arial"/>
                <w:color w:val="0D0D0D" w:themeColor="text1" w:themeTint="F2"/>
                <w:spacing w:val="-3"/>
                <w:szCs w:val="20"/>
              </w:rPr>
              <w:t xml:space="preserve">, </w:t>
            </w:r>
            <w:r>
              <w:rPr>
                <w:rFonts w:cs="Arial"/>
                <w:color w:val="0D0D0D" w:themeColor="text1" w:themeTint="F2"/>
                <w:spacing w:val="-3"/>
                <w:szCs w:val="20"/>
              </w:rPr>
              <w:t xml:space="preserve">a to </w:t>
            </w:r>
            <w:r w:rsidRPr="004A0F58">
              <w:rPr>
                <w:rFonts w:cs="Arial"/>
                <w:color w:val="0D0D0D" w:themeColor="text1" w:themeTint="F2"/>
                <w:spacing w:val="-3"/>
                <w:szCs w:val="20"/>
              </w:rPr>
              <w:t xml:space="preserve">navzdory relativně příznivému cenovému vývoji. Tržby prodejen </w:t>
            </w:r>
            <w:r>
              <w:rPr>
                <w:rFonts w:cs="Arial"/>
                <w:color w:val="0D0D0D" w:themeColor="text1" w:themeTint="F2"/>
                <w:spacing w:val="-3"/>
                <w:szCs w:val="20"/>
              </w:rPr>
              <w:br/>
            </w:r>
            <w:r w:rsidRPr="004A0F58">
              <w:rPr>
                <w:rFonts w:cs="Arial"/>
                <w:color w:val="0D0D0D" w:themeColor="text1" w:themeTint="F2"/>
                <w:spacing w:val="-3"/>
                <w:szCs w:val="20"/>
              </w:rPr>
              <w:t>s počítačovým a komunikačním zařízením pouze stagnovaly, i to však znamenalo mírné zlepšení v kontextu předchozího vývoje</w:t>
            </w:r>
            <w:r w:rsidRPr="004A0F58">
              <w:rPr>
                <w:rStyle w:val="Znakapoznpodarou"/>
                <w:color w:val="0D0D0D" w:themeColor="text1" w:themeTint="F2"/>
                <w:spacing w:val="-3"/>
                <w:szCs w:val="20"/>
              </w:rPr>
              <w:footnoteReference w:id="55"/>
            </w:r>
            <w:r w:rsidRPr="004A0F58">
              <w:rPr>
                <w:rFonts w:cs="Arial"/>
                <w:color w:val="0D0D0D" w:themeColor="text1" w:themeTint="F2"/>
                <w:spacing w:val="-3"/>
                <w:szCs w:val="20"/>
              </w:rPr>
              <w:t>. Sestupnou tendenc</w:t>
            </w:r>
            <w:r>
              <w:rPr>
                <w:rFonts w:cs="Arial"/>
                <w:color w:val="0D0D0D" w:themeColor="text1" w:themeTint="F2"/>
                <w:spacing w:val="-3"/>
                <w:szCs w:val="20"/>
              </w:rPr>
              <w:t>i</w:t>
            </w:r>
            <w:r w:rsidRPr="004A0F58">
              <w:rPr>
                <w:rFonts w:cs="Arial"/>
                <w:color w:val="0D0D0D" w:themeColor="text1" w:themeTint="F2"/>
                <w:spacing w:val="-3"/>
                <w:szCs w:val="20"/>
              </w:rPr>
              <w:t xml:space="preserve"> mají v období po ústupu pandemie covid</w:t>
            </w:r>
            <w:r>
              <w:rPr>
                <w:rFonts w:cs="Arial"/>
                <w:color w:val="0D0D0D" w:themeColor="text1" w:themeTint="F2"/>
                <w:spacing w:val="-3"/>
                <w:szCs w:val="20"/>
              </w:rPr>
              <w:t>u</w:t>
            </w:r>
            <w:r w:rsidRPr="004A0F58">
              <w:rPr>
                <w:rFonts w:cs="Arial"/>
                <w:color w:val="0D0D0D" w:themeColor="text1" w:themeTint="F2"/>
                <w:spacing w:val="-3"/>
                <w:szCs w:val="20"/>
              </w:rPr>
              <w:t>-19 také tržby za výrobky převážně pro domácnost</w:t>
            </w:r>
            <w:r w:rsidRPr="004A0F58">
              <w:rPr>
                <w:rStyle w:val="Znakapoznpodarou"/>
                <w:color w:val="0D0D0D" w:themeColor="text1" w:themeTint="F2"/>
                <w:spacing w:val="-3"/>
                <w:szCs w:val="20"/>
              </w:rPr>
              <w:footnoteReference w:id="56"/>
            </w:r>
            <w:r w:rsidRPr="004A0F58">
              <w:rPr>
                <w:rFonts w:cs="Arial"/>
                <w:color w:val="0D0D0D" w:themeColor="text1" w:themeTint="F2"/>
                <w:spacing w:val="-3"/>
                <w:szCs w:val="20"/>
              </w:rPr>
              <w:t xml:space="preserve">, v 1. čtvrtletí se snížily </w:t>
            </w:r>
            <w:r w:rsidRPr="004A0F58">
              <w:rPr>
                <w:rFonts w:cs="Arial"/>
                <w:color w:val="0D0D0D" w:themeColor="text1" w:themeTint="F2"/>
                <w:spacing w:val="-3"/>
                <w:szCs w:val="20"/>
              </w:rPr>
              <w:lastRenderedPageBreak/>
              <w:t>o 0,7 %. Tržby v maloobchodu s potravinami se letos meziročně zvýšily o 2,3 % a k růstu celého maloobchodu přispěly 0,9 p. b. (nejvíce za posledních sedm čtvrtletí). I přes toto oživení podporoval růst poptávky jen dominantní segment velkých řetězců, neboť v malých specializovaných prodejnách</w:t>
            </w:r>
            <w:r w:rsidRPr="004A0F58">
              <w:rPr>
                <w:rStyle w:val="Znakapoznpodarou"/>
                <w:color w:val="0D0D0D" w:themeColor="text1" w:themeTint="F2"/>
                <w:spacing w:val="-3"/>
                <w:szCs w:val="20"/>
              </w:rPr>
              <w:footnoteReference w:id="57"/>
            </w:r>
            <w:r w:rsidRPr="004A0F58">
              <w:rPr>
                <w:rFonts w:cs="Arial"/>
                <w:color w:val="0D0D0D" w:themeColor="text1" w:themeTint="F2"/>
                <w:spacing w:val="-3"/>
                <w:szCs w:val="20"/>
              </w:rPr>
              <w:t xml:space="preserve"> se tržby mírně snížily (0,4 %) a za 4. </w:t>
            </w:r>
            <w:r>
              <w:rPr>
                <w:rFonts w:cs="Arial"/>
                <w:color w:val="0D0D0D" w:themeColor="text1" w:themeTint="F2"/>
                <w:spacing w:val="-3"/>
                <w:szCs w:val="20"/>
              </w:rPr>
              <w:t>čtvrtletím roku</w:t>
            </w:r>
            <w:r w:rsidRPr="004A0F58">
              <w:rPr>
                <w:rFonts w:cs="Arial"/>
                <w:color w:val="0D0D0D" w:themeColor="text1" w:themeTint="F2"/>
                <w:spacing w:val="-3"/>
                <w:szCs w:val="20"/>
              </w:rPr>
              <w:t xml:space="preserve"> 2019 zaostaly </w:t>
            </w:r>
            <w:r>
              <w:rPr>
                <w:rFonts w:cs="Arial"/>
                <w:color w:val="0D0D0D" w:themeColor="text1" w:themeTint="F2"/>
                <w:spacing w:val="-3"/>
                <w:szCs w:val="20"/>
              </w:rPr>
              <w:t>téměř o</w:t>
            </w:r>
            <w:r w:rsidRPr="004A0F58">
              <w:rPr>
                <w:rFonts w:cs="Arial"/>
                <w:color w:val="0D0D0D" w:themeColor="text1" w:themeTint="F2"/>
                <w:spacing w:val="-3"/>
                <w:szCs w:val="20"/>
              </w:rPr>
              <w:t xml:space="preserve"> čtvrtinu. Letos v 1. čtvrtletí ještě pokračovala silná poptávka po pohonných hmotách (PHM), </w:t>
            </w:r>
            <w:r>
              <w:rPr>
                <w:rFonts w:cs="Arial"/>
                <w:color w:val="0D0D0D" w:themeColor="text1" w:themeTint="F2"/>
                <w:spacing w:val="-3"/>
                <w:szCs w:val="20"/>
              </w:rPr>
              <w:t>která</w:t>
            </w:r>
            <w:r w:rsidRPr="004A0F58">
              <w:rPr>
                <w:rFonts w:cs="Arial"/>
                <w:color w:val="0D0D0D" w:themeColor="text1" w:themeTint="F2"/>
                <w:spacing w:val="-3"/>
                <w:szCs w:val="20"/>
              </w:rPr>
              <w:t xml:space="preserve"> pramenila hlavně z jejich příznivého cenového vývoje po většinu tohoto období</w:t>
            </w:r>
            <w:r w:rsidRPr="004A0F58">
              <w:rPr>
                <w:rStyle w:val="Znakapoznpodarou"/>
                <w:color w:val="0D0D0D" w:themeColor="text1" w:themeTint="F2"/>
                <w:spacing w:val="-3"/>
                <w:szCs w:val="20"/>
              </w:rPr>
              <w:footnoteReference w:id="58"/>
            </w:r>
            <w:r w:rsidRPr="004A0F58">
              <w:rPr>
                <w:rFonts w:cs="Arial"/>
                <w:color w:val="0D0D0D" w:themeColor="text1" w:themeTint="F2"/>
                <w:spacing w:val="-3"/>
                <w:szCs w:val="20"/>
              </w:rPr>
              <w:t xml:space="preserve">, ale částečně rovněž z efektu předzásobení vlivem očekávaného dopadu geopolitických událostí. Meziroční růst tržeb za jejich prodej PHM dosáhl 6,2 % (jen nepatrně vyšší byl v běžných cenách). V dubnu ovšem </w:t>
            </w:r>
            <w:r>
              <w:rPr>
                <w:rFonts w:cs="Arial"/>
                <w:color w:val="0D0D0D" w:themeColor="text1" w:themeTint="F2"/>
                <w:spacing w:val="-3"/>
                <w:szCs w:val="20"/>
              </w:rPr>
              <w:t xml:space="preserve">zastavil </w:t>
            </w:r>
            <w:r w:rsidRPr="00912306">
              <w:rPr>
                <w:rFonts w:cs="Arial"/>
                <w:color w:val="0D0D0D" w:themeColor="text1" w:themeTint="F2"/>
                <w:spacing w:val="-6"/>
                <w:szCs w:val="20"/>
              </w:rPr>
              <w:t>meziroční růst poptávky po PHM (</w:t>
            </w:r>
            <w:r w:rsidRPr="00912306">
              <w:rPr>
                <w:rFonts w:cs="Arial"/>
                <w:color w:val="0D0D0D" w:themeColor="text1" w:themeTint="F2"/>
                <w:spacing w:val="-6"/>
              </w:rPr>
              <w:t>–</w:t>
            </w:r>
            <w:r w:rsidRPr="00912306">
              <w:rPr>
                <w:rFonts w:cs="Arial"/>
                <w:color w:val="0D0D0D" w:themeColor="text1" w:themeTint="F2"/>
                <w:spacing w:val="-6"/>
                <w:szCs w:val="20"/>
              </w:rPr>
              <w:t>3,1</w:t>
            </w:r>
            <w:r>
              <w:rPr>
                <w:rFonts w:cs="Arial"/>
                <w:color w:val="0D0D0D" w:themeColor="text1" w:themeTint="F2"/>
                <w:spacing w:val="-6"/>
                <w:szCs w:val="20"/>
              </w:rPr>
              <w:t> </w:t>
            </w:r>
            <w:r w:rsidRPr="00912306">
              <w:rPr>
                <w:rFonts w:cs="Arial"/>
                <w:color w:val="0D0D0D" w:themeColor="text1" w:themeTint="F2"/>
                <w:spacing w:val="-6"/>
                <w:szCs w:val="20"/>
              </w:rPr>
              <w:t>%)</w:t>
            </w:r>
            <w:r>
              <w:rPr>
                <w:rFonts w:cs="Arial"/>
                <w:color w:val="0D0D0D" w:themeColor="text1" w:themeTint="F2"/>
                <w:spacing w:val="-6"/>
                <w:szCs w:val="20"/>
              </w:rPr>
              <w:t xml:space="preserve"> </w:t>
            </w:r>
            <w:r w:rsidRPr="00912306">
              <w:rPr>
                <w:rFonts w:cs="Arial"/>
                <w:color w:val="0D0D0D" w:themeColor="text1" w:themeTint="F2"/>
                <w:spacing w:val="-6"/>
                <w:szCs w:val="20"/>
              </w:rPr>
              <w:t>trvající nepřetržitě předchozích 22 měsíců.</w:t>
            </w:r>
          </w:p>
        </w:tc>
      </w:tr>
      <w:tr w:rsidR="006E6B4C" w:rsidRPr="004A0F58" w14:paraId="363C730D" w14:textId="77777777" w:rsidTr="000E74FE">
        <w:trPr>
          <w:trHeight w:val="155"/>
        </w:trPr>
        <w:tc>
          <w:tcPr>
            <w:tcW w:w="1683" w:type="dxa"/>
            <w:tcMar>
              <w:left w:w="0" w:type="dxa"/>
            </w:tcMar>
          </w:tcPr>
          <w:p w14:paraId="2BDB4B87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pacing w:val="-4"/>
              </w:rPr>
              <w:lastRenderedPageBreak/>
              <w:t>Udržoval se m</w:t>
            </w:r>
            <w:r w:rsidRPr="004A0F58">
              <w:rPr>
                <w:color w:val="0D0D0D" w:themeColor="text1" w:themeTint="F2"/>
                <w:spacing w:val="-4"/>
              </w:rPr>
              <w:t xml:space="preserve">írný růst tržeb za prodej motorových vozidel. Poptávka po dílech </w:t>
            </w:r>
            <w:r>
              <w:rPr>
                <w:color w:val="0D0D0D" w:themeColor="text1" w:themeTint="F2"/>
                <w:spacing w:val="-4"/>
              </w:rPr>
              <w:br/>
            </w:r>
            <w:r w:rsidRPr="004A0F58">
              <w:rPr>
                <w:color w:val="0D0D0D" w:themeColor="text1" w:themeTint="F2"/>
                <w:spacing w:val="-4"/>
              </w:rPr>
              <w:t>a příslušenství pro vozidla ale dále klesala.</w:t>
            </w:r>
          </w:p>
        </w:tc>
        <w:tc>
          <w:tcPr>
            <w:tcW w:w="165" w:type="dxa"/>
            <w:tcMar>
              <w:left w:w="0" w:type="dxa"/>
            </w:tcMar>
          </w:tcPr>
          <w:p w14:paraId="16ED4D37" w14:textId="77777777" w:rsidR="006E6B4C" w:rsidRPr="004A0F58" w:rsidRDefault="006E6B4C" w:rsidP="006E6B4C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28B80249" w14:textId="77777777" w:rsidR="006E6B4C" w:rsidRPr="004A0F58" w:rsidRDefault="006E6B4C" w:rsidP="006E6B4C">
            <w:pPr>
              <w:spacing w:after="200"/>
              <w:rPr>
                <w:rFonts w:cs="Arial"/>
                <w:color w:val="0D0D0D" w:themeColor="text1" w:themeTint="F2"/>
                <w:spacing w:val="-2"/>
                <w:szCs w:val="20"/>
              </w:rPr>
            </w:pPr>
            <w:r w:rsidRPr="004A0F58">
              <w:rPr>
                <w:rFonts w:cs="Arial"/>
                <w:color w:val="0D0D0D" w:themeColor="text1" w:themeTint="F2"/>
                <w:spacing w:val="-2"/>
                <w:szCs w:val="20"/>
              </w:rPr>
              <w:t>V motoristickém segmentu obchodu, jenž tradičně odráží zejména firemní poptávku</w:t>
            </w:r>
            <w:r>
              <w:rPr>
                <w:rFonts w:cs="Arial"/>
                <w:color w:val="0D0D0D" w:themeColor="text1" w:themeTint="F2"/>
                <w:spacing w:val="-2"/>
                <w:szCs w:val="20"/>
              </w:rPr>
              <w:t>,</w:t>
            </w:r>
            <w:r w:rsidRPr="004A0F58">
              <w:rPr>
                <w:rFonts w:cs="Arial"/>
                <w:color w:val="0D0D0D" w:themeColor="text1" w:themeTint="F2"/>
                <w:spacing w:val="-2"/>
                <w:szCs w:val="20"/>
              </w:rPr>
              <w:t xml:space="preserve"> se projevoval přetrvávající mírný růst tržeb. Jejich meziročn</w:t>
            </w:r>
            <w:r>
              <w:rPr>
                <w:rFonts w:cs="Arial"/>
                <w:color w:val="0D0D0D" w:themeColor="text1" w:themeTint="F2"/>
                <w:spacing w:val="-2"/>
                <w:szCs w:val="20"/>
              </w:rPr>
              <w:t>í</w:t>
            </w:r>
            <w:r w:rsidRPr="004A0F58">
              <w:rPr>
                <w:rFonts w:cs="Arial"/>
                <w:color w:val="0D0D0D" w:themeColor="text1" w:themeTint="F2"/>
                <w:spacing w:val="-2"/>
                <w:szCs w:val="20"/>
              </w:rPr>
              <w:t xml:space="preserve"> tempo ovšem v 1. čtvrtletí 2026 lehce oslabilo (na +0,7 %). Poptávka se zvyšovala ve všech segmentech obchodu s vozidly, přičemž dynamičtěji rostl</w:t>
            </w:r>
            <w:r>
              <w:rPr>
                <w:rFonts w:cs="Arial"/>
                <w:color w:val="0D0D0D" w:themeColor="text1" w:themeTint="F2"/>
                <w:spacing w:val="-2"/>
                <w:szCs w:val="20"/>
              </w:rPr>
              <w:t>a</w:t>
            </w:r>
            <w:r w:rsidRPr="004A0F58">
              <w:rPr>
                <w:rFonts w:cs="Arial"/>
                <w:color w:val="0D0D0D" w:themeColor="text1" w:themeTint="F2"/>
                <w:spacing w:val="-2"/>
                <w:szCs w:val="20"/>
              </w:rPr>
              <w:t xml:space="preserve"> váhově méně významn</w:t>
            </w:r>
            <w:r>
              <w:rPr>
                <w:rFonts w:cs="Arial"/>
                <w:color w:val="0D0D0D" w:themeColor="text1" w:themeTint="F2"/>
                <w:spacing w:val="-2"/>
                <w:szCs w:val="20"/>
              </w:rPr>
              <w:t>á</w:t>
            </w:r>
            <w:r w:rsidRPr="004A0F58">
              <w:rPr>
                <w:rFonts w:cs="Arial"/>
                <w:color w:val="0D0D0D" w:themeColor="text1" w:themeTint="F2"/>
                <w:spacing w:val="-2"/>
                <w:szCs w:val="20"/>
              </w:rPr>
              <w:t xml:space="preserve"> oblast prodej</w:t>
            </w:r>
            <w:r>
              <w:rPr>
                <w:rFonts w:cs="Arial"/>
                <w:color w:val="0D0D0D" w:themeColor="text1" w:themeTint="F2"/>
                <w:spacing w:val="-2"/>
                <w:szCs w:val="20"/>
              </w:rPr>
              <w:t>e</w:t>
            </w:r>
            <w:r w:rsidRPr="004A0F58">
              <w:rPr>
                <w:rFonts w:cs="Arial"/>
                <w:color w:val="0D0D0D" w:themeColor="text1" w:themeTint="F2"/>
                <w:spacing w:val="-2"/>
                <w:szCs w:val="20"/>
              </w:rPr>
              <w:t xml:space="preserve"> s motocykly</w:t>
            </w:r>
            <w:r w:rsidRPr="004A0F58">
              <w:rPr>
                <w:rStyle w:val="Znakapoznpodarou"/>
                <w:color w:val="0D0D0D" w:themeColor="text1" w:themeTint="F2"/>
                <w:spacing w:val="-2"/>
                <w:szCs w:val="20"/>
              </w:rPr>
              <w:footnoteReference w:id="59"/>
            </w:r>
            <w:r w:rsidRPr="004A0F58">
              <w:rPr>
                <w:rFonts w:cs="Arial"/>
                <w:color w:val="0D0D0D" w:themeColor="text1" w:themeTint="F2"/>
                <w:spacing w:val="-2"/>
                <w:szCs w:val="20"/>
              </w:rPr>
              <w:t>. Velmi mírný, ale stabilnější růst poptávky se udržoval v oblasti oprav a údržby motorových vozidel. Naopak v obchodu s díly a příslušenstvím pro motorová vozidla (kromě motocyklů) se tržby nadále mírně snižovaly (o 2,6 %, podobně jako na počátku loňského roku) a ve srovnání s koncem roku 2019 byly slabší o šestinu.</w:t>
            </w:r>
          </w:p>
        </w:tc>
      </w:tr>
      <w:tr w:rsidR="006E6B4C" w:rsidRPr="004A0F58" w14:paraId="1F5B0B92" w14:textId="77777777" w:rsidTr="000E74FE">
        <w:trPr>
          <w:trHeight w:val="155"/>
        </w:trPr>
        <w:tc>
          <w:tcPr>
            <w:tcW w:w="1683" w:type="dxa"/>
            <w:tcMar>
              <w:left w:w="0" w:type="dxa"/>
            </w:tcMar>
          </w:tcPr>
          <w:p w14:paraId="48168CF8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165" w:type="dxa"/>
            <w:tcMar>
              <w:left w:w="0" w:type="dxa"/>
            </w:tcMar>
          </w:tcPr>
          <w:p w14:paraId="242AD85E" w14:textId="77777777" w:rsidR="006E6B4C" w:rsidRPr="004A0F58" w:rsidRDefault="006E6B4C" w:rsidP="006E6B4C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1ABB5290" w14:textId="77777777" w:rsidR="006E6B4C" w:rsidRPr="004A0F58" w:rsidRDefault="006E6B4C" w:rsidP="006E6B4C">
            <w:pPr>
              <w:spacing w:after="0"/>
              <w:rPr>
                <w:rFonts w:cs="Arial"/>
                <w:color w:val="0D0D0D" w:themeColor="text1" w:themeTint="F2"/>
                <w:spacing w:val="-4"/>
                <w:szCs w:val="20"/>
              </w:rPr>
            </w:pPr>
            <w:r w:rsidRPr="004A0F58">
              <w:rPr>
                <w:b/>
                <w:color w:val="0D0D0D" w:themeColor="text1" w:themeTint="F2"/>
                <w:spacing w:val="-2"/>
              </w:rPr>
              <w:t xml:space="preserve">Graf č. 8 </w:t>
            </w:r>
            <w:r w:rsidRPr="004A0F58">
              <w:rPr>
                <w:rFonts w:cs="Arial"/>
                <w:b/>
                <w:bCs/>
                <w:color w:val="0D0D0D" w:themeColor="text1" w:themeTint="F2"/>
                <w:spacing w:val="-2"/>
              </w:rPr>
              <w:t xml:space="preserve">Příspěvky dílčích odvětví k meziroční změně tržeb v maloobchodu* </w:t>
            </w:r>
            <w:r w:rsidRPr="004A0F58">
              <w:rPr>
                <w:rFonts w:cs="Arial"/>
                <w:color w:val="0D0D0D" w:themeColor="text1" w:themeTint="F2"/>
                <w:spacing w:val="-2"/>
              </w:rPr>
              <w:t>(reálně, v p. b.),</w:t>
            </w:r>
            <w:r w:rsidRPr="004A0F58">
              <w:rPr>
                <w:rFonts w:cs="Arial"/>
                <w:color w:val="0D0D0D" w:themeColor="text1" w:themeTint="F2"/>
                <w:spacing w:val="-6"/>
              </w:rPr>
              <w:t xml:space="preserve"> </w:t>
            </w:r>
            <w:r w:rsidRPr="004A0F58">
              <w:rPr>
                <w:rFonts w:cs="Arial"/>
                <w:b/>
                <w:bCs/>
                <w:color w:val="0D0D0D" w:themeColor="text1" w:themeTint="F2"/>
                <w:spacing w:val="-6"/>
              </w:rPr>
              <w:t xml:space="preserve">tržby v maloobchodu a v motoristickém segmentu obchodu** </w:t>
            </w:r>
            <w:r w:rsidRPr="004A0F58">
              <w:rPr>
                <w:rFonts w:cs="Arial"/>
                <w:color w:val="0D0D0D" w:themeColor="text1" w:themeTint="F2"/>
                <w:spacing w:val="-6"/>
              </w:rPr>
              <w:t xml:space="preserve">(reálně, úroveň roku </w:t>
            </w:r>
            <w:r w:rsidRPr="004A0F58">
              <w:rPr>
                <w:rFonts w:cs="Arial"/>
                <w:color w:val="0D0D0D" w:themeColor="text1" w:themeTint="F2"/>
                <w:spacing w:val="-2"/>
              </w:rPr>
              <w:t xml:space="preserve">2021=100, pravá osa), </w:t>
            </w:r>
            <w:r w:rsidRPr="004A0F58">
              <w:rPr>
                <w:rFonts w:cs="Arial"/>
                <w:b/>
                <w:bCs/>
                <w:color w:val="0D0D0D" w:themeColor="text1" w:themeTint="F2"/>
                <w:spacing w:val="-2"/>
              </w:rPr>
              <w:t xml:space="preserve">saldo důvěry spotřebitelů i obchodníků*** </w:t>
            </w:r>
            <w:r w:rsidRPr="004A0F58">
              <w:rPr>
                <w:rFonts w:cs="Arial"/>
                <w:color w:val="0D0D0D" w:themeColor="text1" w:themeTint="F2"/>
                <w:spacing w:val="-2"/>
              </w:rPr>
              <w:t xml:space="preserve">(v p. b., </w:t>
            </w:r>
            <w:proofErr w:type="spellStart"/>
            <w:r w:rsidRPr="004A0F58">
              <w:rPr>
                <w:rFonts w:cs="Arial"/>
                <w:color w:val="0D0D0D" w:themeColor="text1" w:themeTint="F2"/>
                <w:spacing w:val="-2"/>
              </w:rPr>
              <w:t>pr</w:t>
            </w:r>
            <w:proofErr w:type="spellEnd"/>
            <w:r w:rsidRPr="004A0F58">
              <w:rPr>
                <w:rFonts w:cs="Arial"/>
                <w:color w:val="0D0D0D" w:themeColor="text1" w:themeTint="F2"/>
                <w:spacing w:val="-2"/>
              </w:rPr>
              <w:t>. osa)</w:t>
            </w:r>
          </w:p>
        </w:tc>
      </w:tr>
      <w:tr w:rsidR="006E6B4C" w:rsidRPr="004A0F58" w14:paraId="45F05DFD" w14:textId="77777777" w:rsidTr="000E74FE">
        <w:tblPrEx>
          <w:tblCellMar>
            <w:left w:w="70" w:type="dxa"/>
            <w:right w:w="70" w:type="dxa"/>
          </w:tblCellMar>
        </w:tblPrEx>
        <w:trPr>
          <w:trHeight w:val="155"/>
        </w:trPr>
        <w:tc>
          <w:tcPr>
            <w:tcW w:w="1683" w:type="dxa"/>
          </w:tcPr>
          <w:p w14:paraId="02D7AECB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</w:rPr>
            </w:pPr>
          </w:p>
        </w:tc>
        <w:tc>
          <w:tcPr>
            <w:tcW w:w="165" w:type="dxa"/>
          </w:tcPr>
          <w:p w14:paraId="2759518D" w14:textId="77777777" w:rsidR="006E6B4C" w:rsidRPr="004A0F58" w:rsidRDefault="006E6B4C" w:rsidP="006E6B4C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98" w:type="dxa"/>
          </w:tcPr>
          <w:p w14:paraId="289A63B8" w14:textId="77777777" w:rsidR="006E6B4C" w:rsidRPr="004A0F58" w:rsidRDefault="006E6B4C" w:rsidP="006E6B4C">
            <w:pPr>
              <w:spacing w:before="20" w:after="20"/>
              <w:rPr>
                <w:rFonts w:cs="Arial"/>
                <w:color w:val="0D0D0D" w:themeColor="text1" w:themeTint="F2"/>
                <w:spacing w:val="-2"/>
                <w:szCs w:val="20"/>
              </w:rPr>
            </w:pPr>
            <w:r w:rsidRPr="004A0F58">
              <w:rPr>
                <w:noProof/>
                <w:color w:val="0D0D0D" w:themeColor="text1" w:themeTint="F2"/>
              </w:rPr>
              <w:drawing>
                <wp:inline distT="0" distB="0" distL="0" distR="0" wp14:anchorId="24BD5494" wp14:editId="0E62670B">
                  <wp:extent cx="4776470" cy="3549650"/>
                  <wp:effectExtent l="0" t="0" r="5080" b="0"/>
                  <wp:docPr id="1403913025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15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6E6B4C" w:rsidRPr="004A0F58" w14:paraId="57B2E520" w14:textId="77777777" w:rsidTr="000E74FE">
        <w:trPr>
          <w:trHeight w:val="155"/>
        </w:trPr>
        <w:tc>
          <w:tcPr>
            <w:tcW w:w="1683" w:type="dxa"/>
            <w:tcMar>
              <w:left w:w="0" w:type="dxa"/>
            </w:tcMar>
          </w:tcPr>
          <w:p w14:paraId="31528C13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</w:rPr>
            </w:pPr>
          </w:p>
        </w:tc>
        <w:tc>
          <w:tcPr>
            <w:tcW w:w="165" w:type="dxa"/>
            <w:tcMar>
              <w:left w:w="0" w:type="dxa"/>
            </w:tcMar>
          </w:tcPr>
          <w:p w14:paraId="46D49496" w14:textId="77777777" w:rsidR="006E6B4C" w:rsidRPr="004A0F58" w:rsidRDefault="006E6B4C" w:rsidP="006E6B4C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6455169B" w14:textId="77777777" w:rsidR="006E6B4C" w:rsidRPr="004A0F58" w:rsidRDefault="006E6B4C" w:rsidP="006E6B4C">
            <w:pPr>
              <w:spacing w:after="0" w:line="240" w:lineRule="auto"/>
              <w:rPr>
                <w:rFonts w:cs="Arial"/>
                <w:color w:val="0D0D0D" w:themeColor="text1" w:themeTint="F2"/>
                <w:sz w:val="14"/>
                <w:szCs w:val="14"/>
              </w:rPr>
            </w:pPr>
            <w:r w:rsidRPr="004A0F58">
              <w:rPr>
                <w:rFonts w:cs="Arial"/>
                <w:color w:val="0D0D0D" w:themeColor="text1" w:themeTint="F2"/>
                <w:spacing w:val="-6"/>
              </w:rPr>
              <w:t>*</w:t>
            </w:r>
            <w:r w:rsidRPr="004A0F58">
              <w:rPr>
                <w:rFonts w:cs="Arial"/>
                <w:color w:val="0D0D0D" w:themeColor="text1" w:themeTint="F2"/>
                <w:sz w:val="14"/>
                <w:szCs w:val="14"/>
              </w:rPr>
              <w:t xml:space="preserve"> Tržby jsou očištěny o kalendářní vlivy.       ** Tržby jsou sezónně i kalendářně očištěny.</w:t>
            </w:r>
          </w:p>
          <w:p w14:paraId="2F512987" w14:textId="77777777" w:rsidR="006E6B4C" w:rsidRPr="0096090D" w:rsidRDefault="006E6B4C" w:rsidP="006E6B4C">
            <w:pPr>
              <w:spacing w:after="200"/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</w:pPr>
            <w:r w:rsidRPr="004A0F58"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>*** Salda důvěry jsou sezónně očištěna a vyjadřují stav ve druhém měsíci daného čtvrtletí.</w:t>
            </w:r>
            <w:r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 xml:space="preserve">                                                     </w:t>
            </w:r>
            <w:r w:rsidRPr="004A0F58">
              <w:rPr>
                <w:rFonts w:cs="Arial"/>
                <w:color w:val="0D0D0D" w:themeColor="text1" w:themeTint="F2"/>
                <w:spacing w:val="-4"/>
                <w:sz w:val="14"/>
                <w:szCs w:val="14"/>
              </w:rPr>
              <w:t>Zdroj: ČSÚ</w:t>
            </w:r>
          </w:p>
        </w:tc>
      </w:tr>
      <w:tr w:rsidR="006E6B4C" w:rsidRPr="004A0F58" w14:paraId="6D3334FE" w14:textId="77777777" w:rsidTr="000E74FE">
        <w:trPr>
          <w:trHeight w:val="155"/>
        </w:trPr>
        <w:tc>
          <w:tcPr>
            <w:tcW w:w="1683" w:type="dxa"/>
            <w:tcMar>
              <w:left w:w="0" w:type="dxa"/>
            </w:tcMar>
          </w:tcPr>
          <w:p w14:paraId="050CE89A" w14:textId="77777777" w:rsidR="006E6B4C" w:rsidRPr="004A0F58" w:rsidRDefault="006E6B4C" w:rsidP="006E6B4C">
            <w:pPr>
              <w:pStyle w:val="Marginlie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>Růst maloobchodu v EU v 1. čtvrtletí zvolnil. V Česku se tržby zvyšovaly svižněji než v EU.</w:t>
            </w:r>
          </w:p>
        </w:tc>
        <w:tc>
          <w:tcPr>
            <w:tcW w:w="165" w:type="dxa"/>
            <w:tcMar>
              <w:left w:w="0" w:type="dxa"/>
            </w:tcMar>
          </w:tcPr>
          <w:p w14:paraId="5B44059B" w14:textId="77777777" w:rsidR="006E6B4C" w:rsidRPr="004A0F58" w:rsidRDefault="006E6B4C" w:rsidP="006E6B4C">
            <w:pPr>
              <w:pStyle w:val="Textpoznpodarou"/>
              <w:jc w:val="both"/>
              <w:rPr>
                <w:color w:val="0D0D0D" w:themeColor="text1" w:themeTint="F2"/>
                <w:spacing w:val="-4"/>
              </w:rPr>
            </w:pPr>
          </w:p>
        </w:tc>
        <w:tc>
          <w:tcPr>
            <w:tcW w:w="7798" w:type="dxa"/>
            <w:tcMar>
              <w:left w:w="0" w:type="dxa"/>
            </w:tcMar>
          </w:tcPr>
          <w:p w14:paraId="5B97E4D9" w14:textId="77777777" w:rsidR="006E6B4C" w:rsidRPr="004A0F58" w:rsidRDefault="006E6B4C" w:rsidP="006E6B4C">
            <w:pPr>
              <w:spacing w:after="0"/>
              <w:rPr>
                <w:rFonts w:cs="Arial"/>
                <w:color w:val="0D0D0D" w:themeColor="text1" w:themeTint="F2"/>
                <w:spacing w:val="-6"/>
              </w:rPr>
            </w:pPr>
            <w:r>
              <w:rPr>
                <w:rFonts w:cs="Arial"/>
                <w:color w:val="0D0D0D" w:themeColor="text1" w:themeTint="F2"/>
                <w:spacing w:val="-6"/>
              </w:rPr>
              <w:t>Meziroční růst maloobchodních tržeb v EU v 1. čtvrtletí zvolnil na 2,0 % (</w:t>
            </w:r>
            <w:proofErr w:type="spellStart"/>
            <w:r>
              <w:rPr>
                <w:rFonts w:cs="Arial"/>
                <w:color w:val="0D0D0D" w:themeColor="text1" w:themeTint="F2"/>
                <w:spacing w:val="-6"/>
              </w:rPr>
              <w:t>mezikvartální</w:t>
            </w:r>
            <w:proofErr w:type="spellEnd"/>
            <w:r>
              <w:rPr>
                <w:rFonts w:cs="Arial"/>
                <w:color w:val="0D0D0D" w:themeColor="text1" w:themeTint="F2"/>
                <w:spacing w:val="-6"/>
              </w:rPr>
              <w:t xml:space="preserve"> tempo činilo jen 0,1 %) a byl nejslabší za poslední dvě čtvrtletí. Ke zpomalení došlo ve všech hlavních segmentech maloobchodu. Česko patřilo do desítky zemí s nejvyšším růstem tržeb. </w:t>
            </w:r>
            <w:r w:rsidRPr="0096090D">
              <w:rPr>
                <w:rFonts w:cs="Arial"/>
                <w:color w:val="0D0D0D" w:themeColor="text1" w:themeTint="F2"/>
                <w:spacing w:val="-8"/>
              </w:rPr>
              <w:t>Ty se nejvíce zvyšovaly v Lucembursku (+11,9 %) a Bulharsku (8,0 %), z významných ekonomik</w:t>
            </w:r>
            <w:r>
              <w:rPr>
                <w:rFonts w:cs="Arial"/>
                <w:color w:val="0D0D0D" w:themeColor="text1" w:themeTint="F2"/>
                <w:spacing w:val="-6"/>
              </w:rPr>
              <w:t xml:space="preserve"> v Polsku (4,1 %) a Španělsku (+3,4 %). Pouze slabý (méně než 1%) růst nastal v Belgii, Nizozemsku, Německu, Rakousku i na Slovensku. V Rumunsku tržby propadly o 4,9 %.</w:t>
            </w:r>
          </w:p>
        </w:tc>
      </w:tr>
    </w:tbl>
    <w:p w14:paraId="6084DE25" w14:textId="77777777" w:rsidR="00BF53A6" w:rsidRPr="004A0F58" w:rsidRDefault="00BF53A6" w:rsidP="00BF53A6">
      <w:pPr>
        <w:spacing w:after="0" w:line="240" w:lineRule="auto"/>
        <w:jc w:val="left"/>
        <w:rPr>
          <w:rFonts w:eastAsia="MS Gothic"/>
          <w:b/>
          <w:bCs/>
          <w:color w:val="0D0D0D" w:themeColor="text1" w:themeTint="F2"/>
          <w:sz w:val="6"/>
          <w:szCs w:val="6"/>
        </w:rPr>
      </w:pPr>
    </w:p>
    <w:bookmarkEnd w:id="1"/>
    <w:bookmarkEnd w:id="2"/>
    <w:p w14:paraId="26A88988" w14:textId="77777777" w:rsidR="006A3832" w:rsidRPr="004A0F58" w:rsidRDefault="006A3832" w:rsidP="006A3832">
      <w:pPr>
        <w:spacing w:after="0" w:line="240" w:lineRule="auto"/>
        <w:jc w:val="left"/>
        <w:rPr>
          <w:rFonts w:eastAsia="MS Gothic"/>
          <w:b/>
          <w:bCs/>
          <w:color w:val="0D0D0D" w:themeColor="text1" w:themeTint="F2"/>
          <w:sz w:val="6"/>
          <w:szCs w:val="6"/>
        </w:rPr>
      </w:pPr>
    </w:p>
    <w:sectPr w:rsidR="006A3832" w:rsidRPr="004A0F58" w:rsidSect="003B1CB3">
      <w:headerReference w:type="even" r:id="rId16"/>
      <w:headerReference w:type="default" r:id="rId17"/>
      <w:footerReference w:type="even" r:id="rId18"/>
      <w:footerReference w:type="default" r:id="rId19"/>
      <w:pgSz w:w="11906" w:h="16838" w:code="9"/>
      <w:pgMar w:top="1134" w:right="1134" w:bottom="1418" w:left="1134" w:header="680" w:footer="680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59F60" w14:textId="77777777" w:rsidR="002C49A0" w:rsidRDefault="002C49A0" w:rsidP="00E71A58">
      <w:r>
        <w:separator/>
      </w:r>
    </w:p>
  </w:endnote>
  <w:endnote w:type="continuationSeparator" w:id="0">
    <w:p w14:paraId="39710981" w14:textId="77777777" w:rsidR="002C49A0" w:rsidRDefault="002C49A0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62E7" w14:textId="2E38F52B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1" behindDoc="0" locked="0" layoutInCell="1" allowOverlap="1" wp14:anchorId="2143298A" wp14:editId="2143298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21" name="Picture 15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233D05">
      <w:rPr>
        <w:szCs w:val="16"/>
      </w:rPr>
      <w:t>50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 w:rsidR="00D53EAD">
      <w:rPr>
        <w:szCs w:val="16"/>
      </w:rPr>
      <w:t xml:space="preserve">1. čtvrtletí </w:t>
    </w:r>
    <w:r w:rsidR="00C5418A">
      <w:rPr>
        <w:szCs w:val="16"/>
      </w:rPr>
      <w:t>202</w:t>
    </w:r>
    <w:r w:rsidR="00D53EAD">
      <w:rPr>
        <w:szCs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9" w14:textId="38290478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2143298C" wp14:editId="2143298D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22" name="Picture 16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 w:rsidR="00D53EAD">
      <w:rPr>
        <w:szCs w:val="16"/>
      </w:rPr>
      <w:t>1. čtvrtletí</w:t>
    </w:r>
    <w:r>
      <w:rPr>
        <w:szCs w:val="16"/>
      </w:rPr>
      <w:t xml:space="preserve"> 202</w:t>
    </w:r>
    <w:r w:rsidR="00D53EAD">
      <w:rPr>
        <w:szCs w:val="16"/>
      </w:rPr>
      <w:t>6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233D05">
      <w:rPr>
        <w:rStyle w:val="ZpatChar"/>
        <w:szCs w:val="16"/>
      </w:rPr>
      <w:t>49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DDB79" w14:textId="77777777" w:rsidR="002C49A0" w:rsidRDefault="002C49A0" w:rsidP="00EA4302">
      <w:pPr>
        <w:spacing w:after="0"/>
      </w:pPr>
      <w:r>
        <w:separator/>
      </w:r>
    </w:p>
  </w:footnote>
  <w:footnote w:type="continuationSeparator" w:id="0">
    <w:p w14:paraId="2561FCFD" w14:textId="77777777" w:rsidR="002C49A0" w:rsidRDefault="002C49A0" w:rsidP="00E71A58">
      <w:r>
        <w:continuationSeparator/>
      </w:r>
    </w:p>
  </w:footnote>
  <w:footnote w:id="1">
    <w:p w14:paraId="7017CA17" w14:textId="77777777" w:rsidR="00BF53A6" w:rsidRPr="004A0F58" w:rsidRDefault="00BF53A6" w:rsidP="00860007">
      <w:pPr>
        <w:pStyle w:val="Textpoznpodarou"/>
        <w:rPr>
          <w:rFonts w:cs="Arial"/>
          <w:color w:val="0D0D0D" w:themeColor="text1" w:themeTint="F2"/>
          <w:spacing w:val="-2"/>
          <w:sz w:val="16"/>
          <w:szCs w:val="16"/>
        </w:rPr>
      </w:pPr>
      <w:r w:rsidRPr="004A0F58">
        <w:rPr>
          <w:rStyle w:val="Znakapoznpodarou"/>
          <w:rFonts w:cs="Arial"/>
          <w:color w:val="0D0D0D" w:themeColor="text1" w:themeTint="F2"/>
          <w:spacing w:val="-2"/>
          <w:sz w:val="16"/>
          <w:szCs w:val="16"/>
        </w:rPr>
        <w:footnoteRef/>
      </w:r>
      <w:r w:rsidRPr="004A0F58">
        <w:rPr>
          <w:rFonts w:cs="Arial"/>
          <w:color w:val="0D0D0D" w:themeColor="text1" w:themeTint="F2"/>
          <w:spacing w:val="-2"/>
          <w:sz w:val="16"/>
          <w:szCs w:val="16"/>
        </w:rPr>
        <w:t xml:space="preserve"> Údaje o HPH jsou vyjádřeny ve stálých cenách a v očištění o sezónní a kalendářní vlivy.</w:t>
      </w:r>
    </w:p>
  </w:footnote>
  <w:footnote w:id="2">
    <w:p w14:paraId="5BB0BDEE" w14:textId="77777777" w:rsidR="00BF53A6" w:rsidRPr="004A0F58" w:rsidRDefault="00BF53A6" w:rsidP="00860007">
      <w:pPr>
        <w:pStyle w:val="Textpoznpodarou"/>
        <w:rPr>
          <w:color w:val="0D0D0D" w:themeColor="text1" w:themeTint="F2"/>
          <w:sz w:val="16"/>
          <w:szCs w:val="16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</w:t>
      </w:r>
      <w:r w:rsidRPr="004A0F58">
        <w:rPr>
          <w:color w:val="0D0D0D" w:themeColor="text1" w:themeTint="F2"/>
          <w:spacing w:val="-2"/>
          <w:sz w:val="16"/>
          <w:szCs w:val="16"/>
        </w:rPr>
        <w:t>To zahrnuje kulturní, zábavní a rekreační činnosti, aktivity domácností jako zaměstnavatelů domácího personálu a dále také ostatní činnosti služeb (obsahující různorodý mix aktivit, např. opravy počítačů a výrobků pro osobní potřebu a převážně pro domácnost, kadeřnické, kosmetické činnosti, pohřebnictví, činnosti podnikatelských, zaměstnavatelských a profesních organizací či odborových svazů).</w:t>
      </w:r>
    </w:p>
  </w:footnote>
  <w:footnote w:id="3">
    <w:p w14:paraId="26732AC1" w14:textId="77777777" w:rsidR="00BF53A6" w:rsidRPr="008D2DFF" w:rsidRDefault="00BF53A6" w:rsidP="00860007">
      <w:pPr>
        <w:pStyle w:val="Textpoznpodarou"/>
        <w:rPr>
          <w:color w:val="0D0D0D" w:themeColor="text1" w:themeTint="F2"/>
          <w:spacing w:val="-2"/>
          <w:sz w:val="16"/>
          <w:szCs w:val="16"/>
        </w:rPr>
      </w:pPr>
      <w:r w:rsidRPr="004A0F58">
        <w:rPr>
          <w:rStyle w:val="Znakapoznpodarou"/>
          <w:color w:val="0D0D0D" w:themeColor="text1" w:themeTint="F2"/>
          <w:spacing w:val="-2"/>
          <w:sz w:val="16"/>
          <w:szCs w:val="16"/>
        </w:rPr>
        <w:footnoteRef/>
      </w:r>
      <w:r w:rsidRPr="004A0F58">
        <w:rPr>
          <w:color w:val="0D0D0D" w:themeColor="text1" w:themeTint="F2"/>
          <w:spacing w:val="-2"/>
          <w:sz w:val="16"/>
          <w:szCs w:val="16"/>
        </w:rPr>
        <w:t xml:space="preserve"> V informačních a komunikačních činnostech převýšila HPH předkrizovou úroveň již o 47 %, v peněžnictví a pojišťovnictví o 25 % v podnikových službách (profesní, vědecké, technické a administrativní činnosti) o 18 % a v uskupení</w:t>
      </w:r>
      <w:r w:rsidRPr="004A0F58">
        <w:rPr>
          <w:color w:val="0D0D0D" w:themeColor="text1" w:themeTint="F2"/>
          <w:spacing w:val="-2"/>
        </w:rPr>
        <w:t xml:space="preserve"> </w:t>
      </w:r>
      <w:r w:rsidRPr="004A0F58">
        <w:rPr>
          <w:color w:val="0D0D0D" w:themeColor="text1" w:themeTint="F2"/>
          <w:spacing w:val="-2"/>
          <w:sz w:val="16"/>
          <w:szCs w:val="16"/>
        </w:rPr>
        <w:t>veřejná správa a obrana, vzdělávání, zdravotní a sociální péče o 10 %. Příznivě na tom bylo zemědělství a lesnictví (+16 %), naopak výkon ve stavebnictví za 4</w:t>
      </w:r>
      <w:r w:rsidRPr="008D2DFF">
        <w:rPr>
          <w:color w:val="0D0D0D" w:themeColor="text1" w:themeTint="F2"/>
          <w:spacing w:val="-2"/>
          <w:sz w:val="16"/>
          <w:szCs w:val="16"/>
        </w:rPr>
        <w:t>.</w:t>
      </w:r>
      <w:r w:rsidRPr="008D2DFF">
        <w:rPr>
          <w:rFonts w:cs="Arial"/>
          <w:color w:val="0D0D0D" w:themeColor="text1" w:themeTint="F2"/>
          <w:spacing w:val="-2"/>
          <w:sz w:val="16"/>
          <w:szCs w:val="16"/>
        </w:rPr>
        <w:t> </w:t>
      </w:r>
      <w:r w:rsidRPr="008D2DFF">
        <w:rPr>
          <w:color w:val="0D0D0D" w:themeColor="text1" w:themeTint="F2"/>
          <w:spacing w:val="-2"/>
          <w:sz w:val="16"/>
          <w:szCs w:val="16"/>
        </w:rPr>
        <w:t>čtvrtletím 2019 zaostal o 8 % a v průmyslu o 4 % (v jeho zpracovatelské části se však nad předkrizovou úroveň, po dvouleté odmlce, opět vrátil (+0,1 %)).</w:t>
      </w:r>
    </w:p>
  </w:footnote>
  <w:footnote w:id="4">
    <w:p w14:paraId="2B3BF90B" w14:textId="77777777" w:rsidR="00BF53A6" w:rsidRPr="008D4FC7" w:rsidRDefault="00BF53A6" w:rsidP="00860007">
      <w:pPr>
        <w:spacing w:after="0" w:line="240" w:lineRule="auto"/>
        <w:jc w:val="left"/>
        <w:rPr>
          <w:rFonts w:eastAsia="Arial" w:cs="Arial"/>
          <w:spacing w:val="-2"/>
          <w:sz w:val="16"/>
          <w:szCs w:val="16"/>
        </w:rPr>
      </w:pPr>
      <w:r w:rsidRPr="008D2DFF">
        <w:rPr>
          <w:rStyle w:val="Znakapoznpodarou"/>
          <w:color w:val="0D0D0D" w:themeColor="text1" w:themeTint="F2"/>
          <w:spacing w:val="-2"/>
          <w:sz w:val="16"/>
          <w:szCs w:val="16"/>
        </w:rPr>
        <w:footnoteRef/>
      </w:r>
      <w:r w:rsidRPr="008D2DFF">
        <w:rPr>
          <w:color w:val="0D0D0D" w:themeColor="text1" w:themeTint="F2"/>
          <w:spacing w:val="-2"/>
          <w:sz w:val="16"/>
          <w:szCs w:val="16"/>
        </w:rPr>
        <w:t xml:space="preserve"> </w:t>
      </w:r>
      <w:r w:rsidRPr="008D2DFF">
        <w:rPr>
          <w:rFonts w:eastAsia="Arial" w:cs="Arial"/>
          <w:color w:val="0D0D0D" w:themeColor="text1" w:themeTint="F2"/>
          <w:spacing w:val="-2"/>
          <w:sz w:val="16"/>
          <w:szCs w:val="16"/>
        </w:rPr>
        <w:t>Hrubá tuzemské produkce, vyjadřující v naturálním množství dodávky z českých chovů na domácí i zahraniční jatka, se v 1. čtvrtletí zvýšila díky nárůstu u drůbežího masa (+7,2 %) a vepřového (+5,6 %); naopak dodávky hovězího znatelně poklesly (</w:t>
      </w:r>
      <w:r>
        <w:rPr>
          <w:rFonts w:eastAsia="Arial" w:cs="Arial"/>
          <w:color w:val="0D0D0D" w:themeColor="text1" w:themeTint="F2"/>
          <w:spacing w:val="-2"/>
          <w:sz w:val="16"/>
          <w:szCs w:val="16"/>
        </w:rPr>
        <w:t>−</w:t>
      </w:r>
      <w:r w:rsidRPr="008D2DFF">
        <w:rPr>
          <w:rFonts w:eastAsia="Arial" w:cs="Arial"/>
          <w:color w:val="0D0D0D" w:themeColor="text1" w:themeTint="F2"/>
          <w:spacing w:val="-2"/>
          <w:sz w:val="16"/>
          <w:szCs w:val="16"/>
        </w:rPr>
        <w:t xml:space="preserve">4,2 %). Rychle rostoucí </w:t>
      </w:r>
      <w:r w:rsidRPr="008D4FC7">
        <w:rPr>
          <w:rFonts w:eastAsia="Arial" w:cs="Arial"/>
          <w:spacing w:val="-2"/>
          <w:sz w:val="16"/>
          <w:szCs w:val="16"/>
        </w:rPr>
        <w:t>spotřebitelská cena hovězího masa vedla ke klesající konečné spotřebě této komodity. S tím souvisí i meziroční pokles vývozu i dovozu v naturálním vyjádření – jak živého skotu, tak hovězího masa. Naopak obě strany zahraničního obchodu posilovaly u vepřového či drůbežího masa, stejně tak jako u živých prasat i drůbeže. Pokračoval trend přetrvávání dlouhodobého deficitu Česka v zahraničním obchodu s masem – u vepřového se prohloubil na 70,8 tis. tun, u drůbežího na 30,2 tis. tun (byť v obou případech rostl procentuálně export mírně více než import) a u hovězího se naopak velmi lehce zmírnil na 5,2 tis. tun.</w:t>
      </w:r>
    </w:p>
  </w:footnote>
  <w:footnote w:id="5">
    <w:p w14:paraId="36CDE70D" w14:textId="77777777" w:rsidR="00BF53A6" w:rsidRPr="008D4FC7" w:rsidRDefault="00BF53A6" w:rsidP="00860007">
      <w:pPr>
        <w:pStyle w:val="Textpoznpodarou"/>
        <w:rPr>
          <w:spacing w:val="-2"/>
          <w:sz w:val="16"/>
          <w:szCs w:val="16"/>
        </w:rPr>
      </w:pPr>
      <w:r w:rsidRPr="008D4FC7">
        <w:rPr>
          <w:rStyle w:val="Znakapoznpodarou"/>
          <w:spacing w:val="-2"/>
          <w:sz w:val="16"/>
          <w:szCs w:val="16"/>
        </w:rPr>
        <w:footnoteRef/>
      </w:r>
      <w:r w:rsidRPr="008D4FC7">
        <w:rPr>
          <w:spacing w:val="-2"/>
          <w:sz w:val="16"/>
          <w:szCs w:val="16"/>
        </w:rPr>
        <w:t xml:space="preserve"> Rostoucí poptávka po vepřovém mase vedla v letech 2024 i 2025 v Česku k mírnému nárůstu počtu chovaných prasat (v úhrnu o 6,5 %, v roce 2023 byly ovšem jejich stavy nejnižší v dostupné řadě od roku 1921).</w:t>
      </w:r>
    </w:p>
  </w:footnote>
  <w:footnote w:id="6">
    <w:p w14:paraId="14259F37" w14:textId="77777777" w:rsidR="00BF53A6" w:rsidRPr="008D4FC7" w:rsidRDefault="00BF53A6" w:rsidP="00860007">
      <w:pPr>
        <w:spacing w:after="0" w:line="240" w:lineRule="auto"/>
        <w:jc w:val="left"/>
        <w:rPr>
          <w:rFonts w:cs="Arial"/>
          <w:color w:val="0D0D0D" w:themeColor="text1" w:themeTint="F2"/>
          <w:spacing w:val="-2"/>
          <w:sz w:val="16"/>
          <w:szCs w:val="16"/>
        </w:rPr>
      </w:pPr>
      <w:r w:rsidRPr="008D4FC7">
        <w:rPr>
          <w:rStyle w:val="Znakapoznpodarou"/>
          <w:spacing w:val="-2"/>
          <w:sz w:val="16"/>
          <w:szCs w:val="16"/>
        </w:rPr>
        <w:footnoteRef/>
      </w:r>
      <w:r w:rsidRPr="008D4FC7">
        <w:rPr>
          <w:spacing w:val="-2"/>
          <w:sz w:val="16"/>
          <w:szCs w:val="16"/>
        </w:rPr>
        <w:t xml:space="preserve"> </w:t>
      </w:r>
      <w:r w:rsidRPr="008D4FC7">
        <w:rPr>
          <w:rFonts w:cs="Arial"/>
          <w:color w:val="0D0D0D" w:themeColor="text1" w:themeTint="F2"/>
          <w:spacing w:val="-6"/>
          <w:sz w:val="16"/>
          <w:szCs w:val="16"/>
        </w:rPr>
        <w:t>Zahrnuje odvětví Těžba a dobývání, Zpracovatelský průmysl a též Energetika (zde pojímaná jako odvětví výroby a rozvodu elektřiny, plynu, tepla</w:t>
      </w:r>
      <w:r w:rsidRPr="008D4FC7">
        <w:rPr>
          <w:rFonts w:cs="Arial"/>
          <w:color w:val="0D0D0D" w:themeColor="text1" w:themeTint="F2"/>
          <w:spacing w:val="-2"/>
          <w:sz w:val="16"/>
          <w:szCs w:val="16"/>
        </w:rPr>
        <w:t xml:space="preserve"> a klimatizovaného vzduchu). Všechna meziroční tempa produkce jsou očištěna o kalendářní vlivy, mezičtvrtletní tempa i o vliv sezónnosti.</w:t>
      </w:r>
    </w:p>
  </w:footnote>
  <w:footnote w:id="7">
    <w:p w14:paraId="0259AB05" w14:textId="77777777" w:rsidR="00BF53A6" w:rsidRPr="00D9058D" w:rsidRDefault="00BF53A6" w:rsidP="00860007">
      <w:pPr>
        <w:pStyle w:val="Textpoznpodarou"/>
        <w:rPr>
          <w:color w:val="0D0D0D" w:themeColor="text1" w:themeTint="F2"/>
          <w:spacing w:val="-2"/>
          <w:sz w:val="16"/>
          <w:szCs w:val="16"/>
        </w:rPr>
      </w:pPr>
      <w:r w:rsidRPr="00D9058D">
        <w:rPr>
          <w:rStyle w:val="Znakapoznpodarou"/>
          <w:color w:val="0D0D0D" w:themeColor="text1" w:themeTint="F2"/>
          <w:spacing w:val="-2"/>
          <w:sz w:val="16"/>
          <w:szCs w:val="16"/>
        </w:rPr>
        <w:footnoteRef/>
      </w:r>
      <w:r w:rsidRPr="00D9058D">
        <w:rPr>
          <w:color w:val="0D0D0D" w:themeColor="text1" w:themeTint="F2"/>
          <w:spacing w:val="-2"/>
          <w:sz w:val="16"/>
          <w:szCs w:val="16"/>
        </w:rPr>
        <w:t xml:space="preserve"> Za svým vrcholem z období let 2015 až 2019 letos ve 1. čtvrtletí však stále zaostaly dvě třetiny hlavních průmyslových oborů. Šlo v prvé ř</w:t>
      </w:r>
      <w:r w:rsidRPr="00D9058D">
        <w:rPr>
          <w:color w:val="0D0D0D" w:themeColor="text1" w:themeTint="F2"/>
          <w:spacing w:val="-3"/>
          <w:sz w:val="16"/>
          <w:szCs w:val="16"/>
        </w:rPr>
        <w:t>adě o těžbu uhlí (</w:t>
      </w:r>
      <w:r w:rsidRPr="00D9058D">
        <w:rPr>
          <w:rFonts w:cs="Arial"/>
          <w:color w:val="0D0D0D" w:themeColor="text1" w:themeTint="F2"/>
          <w:spacing w:val="-3"/>
          <w:sz w:val="16"/>
          <w:szCs w:val="16"/>
        </w:rPr>
        <w:t>o </w:t>
      </w:r>
      <w:r w:rsidRPr="00D9058D">
        <w:rPr>
          <w:color w:val="0D0D0D" w:themeColor="text1" w:themeTint="F2"/>
          <w:spacing w:val="-3"/>
          <w:sz w:val="16"/>
          <w:szCs w:val="16"/>
        </w:rPr>
        <w:t>60</w:t>
      </w:r>
      <w:r w:rsidRPr="00D9058D">
        <w:rPr>
          <w:rFonts w:cs="Arial"/>
          <w:color w:val="0D0D0D" w:themeColor="text1" w:themeTint="F2"/>
          <w:spacing w:val="-3"/>
          <w:sz w:val="16"/>
          <w:szCs w:val="16"/>
        </w:rPr>
        <w:t> </w:t>
      </w:r>
      <w:r w:rsidRPr="00D9058D">
        <w:rPr>
          <w:color w:val="0D0D0D" w:themeColor="text1" w:themeTint="F2"/>
          <w:spacing w:val="-3"/>
          <w:sz w:val="16"/>
          <w:szCs w:val="16"/>
        </w:rPr>
        <w:t>%) a dále o kožedělný a obuvnický průmysl (−26 %), výrobu kovů, hutnictví a slévárenství (−26 %), tiskárenství (−26 %),</w:t>
      </w:r>
      <w:r w:rsidRPr="00D9058D">
        <w:rPr>
          <w:color w:val="0D0D0D" w:themeColor="text1" w:themeTint="F2"/>
          <w:spacing w:val="-2"/>
          <w:sz w:val="16"/>
          <w:szCs w:val="16"/>
        </w:rPr>
        <w:t xml:space="preserve"> těžbu stavebních materiálů (−24 %), textilní průmysl (−2</w:t>
      </w:r>
      <w:r>
        <w:rPr>
          <w:color w:val="0D0D0D" w:themeColor="text1" w:themeTint="F2"/>
          <w:spacing w:val="-2"/>
          <w:sz w:val="16"/>
          <w:szCs w:val="16"/>
        </w:rPr>
        <w:t>2</w:t>
      </w:r>
      <w:r w:rsidRPr="00D9058D">
        <w:rPr>
          <w:color w:val="0D0D0D" w:themeColor="text1" w:themeTint="F2"/>
          <w:spacing w:val="-2"/>
          <w:sz w:val="16"/>
          <w:szCs w:val="16"/>
        </w:rPr>
        <w:t> %) a výrobu nábytku (−19 %). Z větších oborů šlo potom o energetiku (−15</w:t>
      </w:r>
      <w:r w:rsidRPr="00D9058D">
        <w:rPr>
          <w:rFonts w:cs="Arial"/>
          <w:color w:val="0D0D0D" w:themeColor="text1" w:themeTint="F2"/>
          <w:spacing w:val="-2"/>
          <w:sz w:val="16"/>
          <w:szCs w:val="16"/>
        </w:rPr>
        <w:t> </w:t>
      </w:r>
      <w:r w:rsidRPr="00D9058D">
        <w:rPr>
          <w:color w:val="0D0D0D" w:themeColor="text1" w:themeTint="F2"/>
          <w:spacing w:val="-2"/>
          <w:sz w:val="16"/>
          <w:szCs w:val="16"/>
        </w:rPr>
        <w:t>%), strojírenství (−1</w:t>
      </w:r>
      <w:r>
        <w:rPr>
          <w:color w:val="0D0D0D" w:themeColor="text1" w:themeTint="F2"/>
          <w:spacing w:val="-2"/>
          <w:sz w:val="16"/>
          <w:szCs w:val="16"/>
        </w:rPr>
        <w:t>4</w:t>
      </w:r>
      <w:r w:rsidRPr="00D9058D">
        <w:rPr>
          <w:color w:val="0D0D0D" w:themeColor="text1" w:themeTint="F2"/>
          <w:spacing w:val="-2"/>
          <w:sz w:val="16"/>
          <w:szCs w:val="16"/>
        </w:rPr>
        <w:t xml:space="preserve"> %), chemii (−1</w:t>
      </w:r>
      <w:r>
        <w:rPr>
          <w:color w:val="0D0D0D" w:themeColor="text1" w:themeTint="F2"/>
          <w:spacing w:val="-2"/>
          <w:sz w:val="16"/>
          <w:szCs w:val="16"/>
        </w:rPr>
        <w:t>1</w:t>
      </w:r>
      <w:r w:rsidRPr="00D9058D">
        <w:rPr>
          <w:color w:val="0D0D0D" w:themeColor="text1" w:themeTint="F2"/>
          <w:spacing w:val="-2"/>
          <w:sz w:val="16"/>
          <w:szCs w:val="16"/>
        </w:rPr>
        <w:t xml:space="preserve"> %), výrobu stavebních materiálů (−10</w:t>
      </w:r>
      <w:r w:rsidRPr="00D9058D">
        <w:rPr>
          <w:rFonts w:cs="Arial"/>
          <w:color w:val="0D0D0D" w:themeColor="text1" w:themeTint="F2"/>
          <w:spacing w:val="-2"/>
          <w:sz w:val="16"/>
          <w:szCs w:val="16"/>
        </w:rPr>
        <w:t> </w:t>
      </w:r>
      <w:r w:rsidRPr="00D9058D">
        <w:rPr>
          <w:color w:val="0D0D0D" w:themeColor="text1" w:themeTint="F2"/>
          <w:spacing w:val="-2"/>
          <w:sz w:val="16"/>
          <w:szCs w:val="16"/>
        </w:rPr>
        <w:t>%) elektronický průmysl (−</w:t>
      </w:r>
      <w:r>
        <w:rPr>
          <w:color w:val="0D0D0D" w:themeColor="text1" w:themeTint="F2"/>
          <w:spacing w:val="-2"/>
          <w:sz w:val="16"/>
          <w:szCs w:val="16"/>
        </w:rPr>
        <w:t>4</w:t>
      </w:r>
      <w:r w:rsidRPr="00D9058D">
        <w:rPr>
          <w:color w:val="0D0D0D" w:themeColor="text1" w:themeTint="F2"/>
          <w:spacing w:val="-2"/>
          <w:sz w:val="16"/>
          <w:szCs w:val="16"/>
        </w:rPr>
        <w:t xml:space="preserve"> %) a gumárenství a </w:t>
      </w:r>
      <w:proofErr w:type="spellStart"/>
      <w:r w:rsidRPr="00D9058D">
        <w:rPr>
          <w:color w:val="0D0D0D" w:themeColor="text1" w:themeTint="F2"/>
          <w:spacing w:val="-2"/>
          <w:sz w:val="16"/>
          <w:szCs w:val="16"/>
        </w:rPr>
        <w:t>plastikářství</w:t>
      </w:r>
      <w:proofErr w:type="spellEnd"/>
      <w:r w:rsidRPr="00D9058D">
        <w:rPr>
          <w:color w:val="0D0D0D" w:themeColor="text1" w:themeTint="F2"/>
          <w:spacing w:val="-2"/>
          <w:sz w:val="16"/>
          <w:szCs w:val="16"/>
        </w:rPr>
        <w:t xml:space="preserve"> (−2 %). </w:t>
      </w:r>
      <w:r w:rsidRPr="00D9058D">
        <w:rPr>
          <w:color w:val="0D0D0D" w:themeColor="text1" w:themeTint="F2"/>
          <w:spacing w:val="-3"/>
          <w:sz w:val="16"/>
          <w:szCs w:val="16"/>
        </w:rPr>
        <w:t>Naopak nad předkrizovou úrovní produkce se nacházely obory vyrábějící investiční produkty (+9,</w:t>
      </w:r>
      <w:r>
        <w:rPr>
          <w:color w:val="0D0D0D" w:themeColor="text1" w:themeTint="F2"/>
          <w:spacing w:val="-3"/>
          <w:sz w:val="16"/>
          <w:szCs w:val="16"/>
        </w:rPr>
        <w:t>8</w:t>
      </w:r>
      <w:r w:rsidRPr="00D9058D">
        <w:rPr>
          <w:color w:val="0D0D0D" w:themeColor="text1" w:themeTint="F2"/>
          <w:spacing w:val="-3"/>
          <w:sz w:val="16"/>
          <w:szCs w:val="16"/>
        </w:rPr>
        <w:t xml:space="preserve"> %) a produkty krátkodobé spotřeby (+</w:t>
      </w:r>
      <w:r>
        <w:rPr>
          <w:color w:val="0D0D0D" w:themeColor="text1" w:themeTint="F2"/>
          <w:spacing w:val="-3"/>
          <w:sz w:val="16"/>
          <w:szCs w:val="16"/>
        </w:rPr>
        <w:t>6,9</w:t>
      </w:r>
      <w:r w:rsidRPr="00D9058D">
        <w:rPr>
          <w:rFonts w:eastAsia="Arial" w:cs="Arial"/>
          <w:spacing w:val="-3"/>
          <w:sz w:val="16"/>
          <w:szCs w:val="16"/>
        </w:rPr>
        <w:t> </w:t>
      </w:r>
      <w:r w:rsidRPr="00D9058D">
        <w:rPr>
          <w:color w:val="0D0D0D" w:themeColor="text1" w:themeTint="F2"/>
          <w:spacing w:val="-3"/>
          <w:sz w:val="16"/>
          <w:szCs w:val="16"/>
        </w:rPr>
        <w:t>%). Z dílčích oborů konkrétně výroba ostatních dopravních prostředků (+25 %), ostatní zpracovatelský průmysl (+21 %), výroba motorových vozidel (+19 %), farmacie (+15 %), papírenství (+15 %), elektrotechnika (+11 %), potravinářství (+9 %) a kovodělný průmysl (+2 %).</w:t>
      </w:r>
    </w:p>
  </w:footnote>
  <w:footnote w:id="8">
    <w:p w14:paraId="45028E79" w14:textId="77777777" w:rsidR="00BF53A6" w:rsidRPr="00CE68BC" w:rsidRDefault="00BF53A6" w:rsidP="00860007">
      <w:pPr>
        <w:pStyle w:val="Textpoznpodarou"/>
        <w:rPr>
          <w:color w:val="0D0D0D" w:themeColor="text1" w:themeTint="F2"/>
          <w:sz w:val="16"/>
          <w:szCs w:val="16"/>
        </w:rPr>
      </w:pPr>
      <w:r w:rsidRPr="004E2B2A">
        <w:rPr>
          <w:rStyle w:val="Znakapoznpodarou"/>
          <w:sz w:val="16"/>
          <w:szCs w:val="16"/>
        </w:rPr>
        <w:footnoteRef/>
      </w:r>
      <w:r w:rsidRPr="004E2B2A">
        <w:rPr>
          <w:sz w:val="16"/>
          <w:szCs w:val="16"/>
        </w:rPr>
        <w:t xml:space="preserve"> </w:t>
      </w:r>
      <w:r w:rsidRPr="00CE68BC">
        <w:rPr>
          <w:color w:val="0D0D0D" w:themeColor="text1" w:themeTint="F2"/>
          <w:spacing w:val="-2"/>
          <w:sz w:val="16"/>
          <w:szCs w:val="16"/>
        </w:rPr>
        <w:t xml:space="preserve">Dle údajů Sdružení automobilového průmyslu se od ledna do dubna 2026 v tuzemsku vyrobilo </w:t>
      </w:r>
      <w:r>
        <w:rPr>
          <w:color w:val="0D0D0D" w:themeColor="text1" w:themeTint="F2"/>
          <w:spacing w:val="-2"/>
          <w:sz w:val="16"/>
          <w:szCs w:val="16"/>
        </w:rPr>
        <w:t>525</w:t>
      </w:r>
      <w:r w:rsidRPr="00CE68BC">
        <w:rPr>
          <w:color w:val="0D0D0D" w:themeColor="text1" w:themeTint="F2"/>
          <w:spacing w:val="-2"/>
          <w:sz w:val="16"/>
          <w:szCs w:val="16"/>
        </w:rPr>
        <w:t xml:space="preserve"> tis. osobních automobilů, což bylo ve srovnání s rekordním výsledkem ze shodného období předloňského roku o </w:t>
      </w:r>
      <w:r>
        <w:rPr>
          <w:color w:val="0D0D0D" w:themeColor="text1" w:themeTint="F2"/>
          <w:spacing w:val="-2"/>
          <w:sz w:val="16"/>
          <w:szCs w:val="16"/>
        </w:rPr>
        <w:t>1</w:t>
      </w:r>
      <w:r w:rsidRPr="00CE68BC">
        <w:rPr>
          <w:color w:val="0D0D0D" w:themeColor="text1" w:themeTint="F2"/>
          <w:spacing w:val="-2"/>
          <w:sz w:val="16"/>
          <w:szCs w:val="16"/>
        </w:rPr>
        <w:t>,</w:t>
      </w:r>
      <w:r>
        <w:rPr>
          <w:color w:val="0D0D0D" w:themeColor="text1" w:themeTint="F2"/>
          <w:spacing w:val="-2"/>
          <w:sz w:val="16"/>
          <w:szCs w:val="16"/>
        </w:rPr>
        <w:t>1</w:t>
      </w:r>
      <w:r w:rsidRPr="00CE68BC">
        <w:rPr>
          <w:color w:val="0D0D0D" w:themeColor="text1" w:themeTint="F2"/>
          <w:spacing w:val="-2"/>
          <w:sz w:val="16"/>
          <w:szCs w:val="16"/>
        </w:rPr>
        <w:t xml:space="preserve"> % méně. Meziročně ovšem letos výroba rostla (+7,0 %), a to ve všech dosavadních měsících. Výrobu stejně jak</w:t>
      </w:r>
      <w:r>
        <w:rPr>
          <w:color w:val="0D0D0D" w:themeColor="text1" w:themeTint="F2"/>
          <w:spacing w:val="-2"/>
          <w:sz w:val="16"/>
          <w:szCs w:val="16"/>
        </w:rPr>
        <w:t>o</w:t>
      </w:r>
      <w:r w:rsidRPr="00CE68BC">
        <w:rPr>
          <w:color w:val="0D0D0D" w:themeColor="text1" w:themeTint="F2"/>
          <w:spacing w:val="-2"/>
          <w:sz w:val="16"/>
          <w:szCs w:val="16"/>
        </w:rPr>
        <w:t xml:space="preserve"> loni táhl především rychle se rozvíjející segment elektrifikovaných osobních vozidel </w:t>
      </w:r>
      <w:r>
        <w:rPr>
          <w:color w:val="0D0D0D" w:themeColor="text1" w:themeTint="F2"/>
          <w:spacing w:val="-2"/>
          <w:sz w:val="16"/>
          <w:szCs w:val="16"/>
        </w:rPr>
        <w:br/>
      </w:r>
      <w:r w:rsidRPr="00CE68BC">
        <w:rPr>
          <w:color w:val="0D0D0D" w:themeColor="text1" w:themeTint="F2"/>
          <w:spacing w:val="-2"/>
          <w:sz w:val="16"/>
          <w:szCs w:val="16"/>
        </w:rPr>
        <w:t>(vč. vozů s</w:t>
      </w:r>
      <w:r w:rsidRPr="00CE68BC">
        <w:rPr>
          <w:spacing w:val="-2"/>
          <w:sz w:val="16"/>
          <w:szCs w:val="16"/>
        </w:rPr>
        <w:t> </w:t>
      </w:r>
      <w:r w:rsidRPr="00CE68BC">
        <w:rPr>
          <w:color w:val="0D0D0D" w:themeColor="text1" w:themeTint="F2"/>
          <w:spacing w:val="-2"/>
          <w:sz w:val="16"/>
          <w:szCs w:val="16"/>
        </w:rPr>
        <w:t xml:space="preserve">hybridním pohonem). Těch bylo zatím letos zkompletováno celkem 216 tis. kusů (v tom 87 tis. bateriových, 18 </w:t>
      </w:r>
      <w:r>
        <w:rPr>
          <w:color w:val="0D0D0D" w:themeColor="text1" w:themeTint="F2"/>
          <w:spacing w:val="-2"/>
          <w:sz w:val="16"/>
          <w:szCs w:val="16"/>
        </w:rPr>
        <w:t xml:space="preserve">tis. </w:t>
      </w:r>
      <w:r w:rsidRPr="00CE68BC">
        <w:rPr>
          <w:color w:val="0D0D0D" w:themeColor="text1" w:themeTint="F2"/>
          <w:spacing w:val="-2"/>
          <w:sz w:val="16"/>
          <w:szCs w:val="16"/>
        </w:rPr>
        <w:t xml:space="preserve">plug-in hybridních a 111 </w:t>
      </w:r>
      <w:r>
        <w:rPr>
          <w:color w:val="0D0D0D" w:themeColor="text1" w:themeTint="F2"/>
          <w:spacing w:val="-2"/>
          <w:sz w:val="16"/>
          <w:szCs w:val="16"/>
        </w:rPr>
        <w:t xml:space="preserve">tis. </w:t>
      </w:r>
      <w:r w:rsidRPr="00CE68BC">
        <w:rPr>
          <w:color w:val="0D0D0D" w:themeColor="text1" w:themeTint="F2"/>
          <w:spacing w:val="-2"/>
          <w:sz w:val="16"/>
          <w:szCs w:val="16"/>
        </w:rPr>
        <w:t>hybridních vozidel) a jejich podíl na tuzemské produkci automobilů dosahoval 41 %. Vedle osobních aut zaznamenala letos</w:t>
      </w:r>
      <w:r>
        <w:rPr>
          <w:color w:val="0D0D0D" w:themeColor="text1" w:themeTint="F2"/>
          <w:spacing w:val="-2"/>
          <w:sz w:val="16"/>
          <w:szCs w:val="16"/>
        </w:rPr>
        <w:t xml:space="preserve">, </w:t>
      </w:r>
      <w:r w:rsidRPr="00CE68BC">
        <w:rPr>
          <w:color w:val="0D0D0D" w:themeColor="text1" w:themeTint="F2"/>
          <w:spacing w:val="-2"/>
          <w:sz w:val="16"/>
          <w:szCs w:val="16"/>
        </w:rPr>
        <w:t xml:space="preserve">na rozdíl </w:t>
      </w:r>
      <w:r>
        <w:rPr>
          <w:color w:val="0D0D0D" w:themeColor="text1" w:themeTint="F2"/>
          <w:spacing w:val="-2"/>
          <w:sz w:val="16"/>
          <w:szCs w:val="16"/>
        </w:rPr>
        <w:t xml:space="preserve">celkově </w:t>
      </w:r>
      <w:r w:rsidRPr="00CE68BC">
        <w:rPr>
          <w:color w:val="0D0D0D" w:themeColor="text1" w:themeTint="F2"/>
          <w:spacing w:val="-2"/>
          <w:sz w:val="16"/>
          <w:szCs w:val="16"/>
        </w:rPr>
        <w:t>od loňského roku</w:t>
      </w:r>
      <w:r>
        <w:rPr>
          <w:color w:val="0D0D0D" w:themeColor="text1" w:themeTint="F2"/>
          <w:spacing w:val="-2"/>
          <w:sz w:val="16"/>
          <w:szCs w:val="16"/>
        </w:rPr>
        <w:t xml:space="preserve">, </w:t>
      </w:r>
      <w:r w:rsidRPr="00CE68BC">
        <w:rPr>
          <w:color w:val="0D0D0D" w:themeColor="text1" w:themeTint="F2"/>
          <w:spacing w:val="-2"/>
          <w:sz w:val="16"/>
          <w:szCs w:val="16"/>
        </w:rPr>
        <w:t>růst výroby i většina producentů ostatních druhů motorových vozidel.</w:t>
      </w:r>
      <w:r>
        <w:rPr>
          <w:color w:val="0D0D0D" w:themeColor="text1" w:themeTint="F2"/>
          <w:spacing w:val="-3"/>
          <w:sz w:val="16"/>
          <w:szCs w:val="16"/>
        </w:rPr>
        <w:t xml:space="preserve"> </w:t>
      </w:r>
    </w:p>
  </w:footnote>
  <w:footnote w:id="9">
    <w:p w14:paraId="0E207F85" w14:textId="77777777" w:rsidR="00BF53A6" w:rsidRPr="00C045CA" w:rsidRDefault="00BF53A6" w:rsidP="00860007">
      <w:pPr>
        <w:pStyle w:val="Textpoznpodarou"/>
        <w:rPr>
          <w:sz w:val="16"/>
          <w:szCs w:val="16"/>
        </w:rPr>
      </w:pPr>
      <w:r w:rsidRPr="00AE478D">
        <w:rPr>
          <w:rStyle w:val="Znakapoznpodarou"/>
          <w:spacing w:val="-2"/>
          <w:sz w:val="16"/>
          <w:szCs w:val="16"/>
        </w:rPr>
        <w:footnoteRef/>
      </w:r>
      <w:r w:rsidRPr="00AE478D">
        <w:rPr>
          <w:spacing w:val="-2"/>
          <w:sz w:val="16"/>
          <w:szCs w:val="16"/>
        </w:rPr>
        <w:t xml:space="preserve"> Ten zahrnuje v posledních letech již velmi okrajový segment výroby obuvi. Celý obor zároveň dlouhodobě patří v rámci zpracovatelského průmyslu </w:t>
      </w:r>
      <w:r>
        <w:rPr>
          <w:spacing w:val="-2"/>
          <w:sz w:val="16"/>
          <w:szCs w:val="16"/>
        </w:rPr>
        <w:t xml:space="preserve">k </w:t>
      </w:r>
      <w:r w:rsidRPr="00AE478D">
        <w:rPr>
          <w:spacing w:val="-2"/>
          <w:sz w:val="16"/>
          <w:szCs w:val="16"/>
        </w:rPr>
        <w:t>vůbec nejmenším (z po</w:t>
      </w:r>
      <w:r>
        <w:rPr>
          <w:spacing w:val="-2"/>
          <w:sz w:val="16"/>
          <w:szCs w:val="16"/>
        </w:rPr>
        <w:t>hledu</w:t>
      </w:r>
      <w:r w:rsidRPr="00AE478D">
        <w:rPr>
          <w:spacing w:val="-2"/>
          <w:sz w:val="16"/>
          <w:szCs w:val="16"/>
        </w:rPr>
        <w:t xml:space="preserve"> produkce i zaměstnanosti).</w:t>
      </w:r>
    </w:p>
  </w:footnote>
  <w:footnote w:id="10">
    <w:p w14:paraId="0FC8C758" w14:textId="77777777" w:rsidR="00BF53A6" w:rsidRPr="00AF55E0" w:rsidRDefault="00BF53A6" w:rsidP="00860007">
      <w:pPr>
        <w:pStyle w:val="Textpoznpodarou"/>
        <w:rPr>
          <w:sz w:val="16"/>
          <w:szCs w:val="16"/>
        </w:rPr>
      </w:pPr>
      <w:r w:rsidRPr="00AF55E0">
        <w:rPr>
          <w:rStyle w:val="Znakapoznpodarou"/>
          <w:sz w:val="16"/>
          <w:szCs w:val="16"/>
        </w:rPr>
        <w:footnoteRef/>
      </w:r>
      <w:r w:rsidRPr="00AF55E0">
        <w:rPr>
          <w:sz w:val="16"/>
          <w:szCs w:val="16"/>
        </w:rPr>
        <w:t xml:space="preserve"> </w:t>
      </w:r>
      <w:r w:rsidRPr="00AF55E0">
        <w:rPr>
          <w:spacing w:val="-2"/>
          <w:sz w:val="16"/>
          <w:szCs w:val="16"/>
        </w:rPr>
        <w:t>Tuzemská čistá spotřeba elektřiny</w:t>
      </w:r>
      <w:r>
        <w:rPr>
          <w:spacing w:val="-2"/>
          <w:sz w:val="16"/>
          <w:szCs w:val="16"/>
        </w:rPr>
        <w:t>,</w:t>
      </w:r>
      <w:r w:rsidRPr="00AF55E0">
        <w:rPr>
          <w:spacing w:val="-2"/>
          <w:sz w:val="16"/>
          <w:szCs w:val="16"/>
        </w:rPr>
        <w:t xml:space="preserve"> </w:t>
      </w:r>
      <w:r w:rsidRPr="00AF55E0">
        <w:rPr>
          <w:color w:val="0D0D0D" w:themeColor="text1" w:themeTint="F2"/>
          <w:spacing w:val="-2"/>
          <w:sz w:val="16"/>
          <w:szCs w:val="16"/>
        </w:rPr>
        <w:t xml:space="preserve">tj. bez </w:t>
      </w:r>
      <w:proofErr w:type="spellStart"/>
      <w:r w:rsidRPr="00AF55E0">
        <w:rPr>
          <w:color w:val="0D0D0D" w:themeColor="text1" w:themeTint="F2"/>
          <w:spacing w:val="-2"/>
          <w:sz w:val="16"/>
          <w:szCs w:val="16"/>
        </w:rPr>
        <w:t>mezispotřeby</w:t>
      </w:r>
      <w:proofErr w:type="spellEnd"/>
      <w:r w:rsidRPr="00AF55E0">
        <w:rPr>
          <w:color w:val="0D0D0D" w:themeColor="text1" w:themeTint="F2"/>
          <w:spacing w:val="-2"/>
          <w:sz w:val="16"/>
          <w:szCs w:val="16"/>
        </w:rPr>
        <w:t>, vč. ztrát při výrobě</w:t>
      </w:r>
      <w:r>
        <w:rPr>
          <w:color w:val="0D0D0D" w:themeColor="text1" w:themeTint="F2"/>
          <w:spacing w:val="-2"/>
          <w:sz w:val="16"/>
          <w:szCs w:val="16"/>
        </w:rPr>
        <w:t>,</w:t>
      </w:r>
      <w:r w:rsidRPr="00AF55E0">
        <w:rPr>
          <w:color w:val="0D0D0D" w:themeColor="text1" w:themeTint="F2"/>
          <w:spacing w:val="-2"/>
          <w:sz w:val="16"/>
          <w:szCs w:val="16"/>
        </w:rPr>
        <w:t xml:space="preserve"> </w:t>
      </w:r>
      <w:r w:rsidRPr="00AF55E0">
        <w:rPr>
          <w:spacing w:val="-2"/>
          <w:sz w:val="16"/>
          <w:szCs w:val="16"/>
        </w:rPr>
        <w:t xml:space="preserve">činila </w:t>
      </w:r>
      <w:r w:rsidRPr="00AF55E0">
        <w:rPr>
          <w:color w:val="0D0D0D" w:themeColor="text1" w:themeTint="F2"/>
          <w:spacing w:val="-2"/>
          <w:sz w:val="16"/>
          <w:szCs w:val="16"/>
        </w:rPr>
        <w:t>dle předběžných údajů Energetického regulačního úřadu</w:t>
      </w:r>
      <w:r w:rsidRPr="00AF55E0">
        <w:rPr>
          <w:spacing w:val="-2"/>
          <w:sz w:val="16"/>
          <w:szCs w:val="16"/>
        </w:rPr>
        <w:t xml:space="preserve"> letos v 1. čtvrtletí 16,9 </w:t>
      </w:r>
      <w:proofErr w:type="spellStart"/>
      <w:r w:rsidRPr="00AF55E0">
        <w:rPr>
          <w:spacing w:val="-2"/>
          <w:sz w:val="16"/>
          <w:szCs w:val="16"/>
        </w:rPr>
        <w:t>TWh</w:t>
      </w:r>
      <w:proofErr w:type="spellEnd"/>
      <w:r w:rsidRPr="00AF55E0">
        <w:rPr>
          <w:spacing w:val="-2"/>
          <w:sz w:val="16"/>
          <w:szCs w:val="16"/>
        </w:rPr>
        <w:t xml:space="preserve"> (meziročně +3,2 %). Nejv</w:t>
      </w:r>
      <w:r>
        <w:rPr>
          <w:spacing w:val="-2"/>
          <w:sz w:val="16"/>
          <w:szCs w:val="16"/>
        </w:rPr>
        <w:t>íce</w:t>
      </w:r>
      <w:r w:rsidRPr="00AF55E0">
        <w:rPr>
          <w:spacing w:val="-2"/>
          <w:sz w:val="16"/>
          <w:szCs w:val="16"/>
        </w:rPr>
        <w:t xml:space="preserve"> vzrostla spotřeba u domácností (+ 6 %), u </w:t>
      </w:r>
      <w:r>
        <w:rPr>
          <w:spacing w:val="-2"/>
          <w:sz w:val="16"/>
          <w:szCs w:val="16"/>
        </w:rPr>
        <w:t xml:space="preserve">drobných </w:t>
      </w:r>
      <w:r w:rsidRPr="00AF55E0">
        <w:rPr>
          <w:spacing w:val="-2"/>
          <w:sz w:val="16"/>
          <w:szCs w:val="16"/>
        </w:rPr>
        <w:t xml:space="preserve">podnikatelů se zvýšila o 3,1 %, u velkoodběratelů </w:t>
      </w:r>
      <w:r>
        <w:rPr>
          <w:spacing w:val="-2"/>
          <w:sz w:val="16"/>
          <w:szCs w:val="16"/>
        </w:rPr>
        <w:t>pak celkově</w:t>
      </w:r>
      <w:r w:rsidRPr="00AF55E0">
        <w:rPr>
          <w:spacing w:val="-2"/>
          <w:sz w:val="16"/>
          <w:szCs w:val="16"/>
        </w:rPr>
        <w:t xml:space="preserve"> o </w:t>
      </w:r>
      <w:r>
        <w:rPr>
          <w:spacing w:val="-2"/>
          <w:sz w:val="16"/>
          <w:szCs w:val="16"/>
        </w:rPr>
        <w:t>2,2</w:t>
      </w:r>
      <w:r w:rsidRPr="00AF55E0">
        <w:rPr>
          <w:spacing w:val="-2"/>
          <w:sz w:val="16"/>
          <w:szCs w:val="16"/>
        </w:rPr>
        <w:t xml:space="preserve"> %.</w:t>
      </w:r>
      <w:r>
        <w:rPr>
          <w:spacing w:val="-2"/>
          <w:sz w:val="16"/>
          <w:szCs w:val="16"/>
        </w:rPr>
        <w:t xml:space="preserve"> Navzdory</w:t>
      </w:r>
      <w:r w:rsidRPr="00AF55E0">
        <w:rPr>
          <w:spacing w:val="-2"/>
          <w:sz w:val="16"/>
          <w:szCs w:val="16"/>
        </w:rPr>
        <w:t xml:space="preserve"> disproporci mezi spotřebou a výrobou Česko v</w:t>
      </w:r>
      <w:r>
        <w:rPr>
          <w:spacing w:val="-2"/>
          <w:sz w:val="16"/>
          <w:szCs w:val="16"/>
        </w:rPr>
        <w:t> 1.</w:t>
      </w:r>
      <w:r w:rsidRPr="00AF55E0">
        <w:rPr>
          <w:spacing w:val="-2"/>
          <w:sz w:val="16"/>
          <w:szCs w:val="16"/>
        </w:rPr>
        <w:t xml:space="preserve"> čtvrtletí </w:t>
      </w:r>
      <w:r>
        <w:rPr>
          <w:spacing w:val="-2"/>
          <w:sz w:val="16"/>
          <w:szCs w:val="16"/>
        </w:rPr>
        <w:t xml:space="preserve">2026 </w:t>
      </w:r>
      <w:r w:rsidRPr="00AF55E0">
        <w:rPr>
          <w:spacing w:val="-2"/>
          <w:sz w:val="16"/>
          <w:szCs w:val="16"/>
        </w:rPr>
        <w:t>zůstalo čistým exportérem</w:t>
      </w:r>
      <w:r>
        <w:rPr>
          <w:spacing w:val="-2"/>
          <w:sz w:val="16"/>
          <w:szCs w:val="16"/>
        </w:rPr>
        <w:t xml:space="preserve"> (</w:t>
      </w:r>
      <w:r w:rsidRPr="00AF55E0">
        <w:rPr>
          <w:spacing w:val="-2"/>
          <w:sz w:val="16"/>
          <w:szCs w:val="16"/>
        </w:rPr>
        <w:t xml:space="preserve">rozdíl mezi vývozem a dovozem se </w:t>
      </w:r>
      <w:r>
        <w:rPr>
          <w:spacing w:val="-2"/>
          <w:sz w:val="16"/>
          <w:szCs w:val="16"/>
        </w:rPr>
        <w:t>meziročně snížil o třetinu</w:t>
      </w:r>
      <w:r w:rsidRPr="00AF55E0">
        <w:rPr>
          <w:spacing w:val="-2"/>
          <w:sz w:val="16"/>
          <w:szCs w:val="16"/>
        </w:rPr>
        <w:t xml:space="preserve">, přeshraniční saldo </w:t>
      </w:r>
      <w:r>
        <w:rPr>
          <w:spacing w:val="-2"/>
          <w:sz w:val="16"/>
          <w:szCs w:val="16"/>
        </w:rPr>
        <w:t>činilo</w:t>
      </w:r>
      <w:r w:rsidRPr="00AF55E0">
        <w:rPr>
          <w:spacing w:val="-2"/>
          <w:sz w:val="16"/>
          <w:szCs w:val="16"/>
        </w:rPr>
        <w:t xml:space="preserve"> 2 </w:t>
      </w:r>
      <w:proofErr w:type="spellStart"/>
      <w:r w:rsidRPr="00AF55E0">
        <w:rPr>
          <w:spacing w:val="-2"/>
          <w:sz w:val="16"/>
          <w:szCs w:val="16"/>
        </w:rPr>
        <w:t>TWh</w:t>
      </w:r>
      <w:proofErr w:type="spellEnd"/>
      <w:r>
        <w:rPr>
          <w:spacing w:val="-2"/>
          <w:sz w:val="16"/>
          <w:szCs w:val="16"/>
        </w:rPr>
        <w:t>)</w:t>
      </w:r>
      <w:r w:rsidRPr="00AF55E0">
        <w:rPr>
          <w:spacing w:val="-2"/>
          <w:sz w:val="16"/>
          <w:szCs w:val="16"/>
        </w:rPr>
        <w:t>.</w:t>
      </w:r>
    </w:p>
  </w:footnote>
  <w:footnote w:id="11">
    <w:p w14:paraId="24942D06" w14:textId="77777777" w:rsidR="00BF53A6" w:rsidRPr="009845CC" w:rsidRDefault="00BF53A6" w:rsidP="00860007">
      <w:pPr>
        <w:pStyle w:val="Bezmezer"/>
        <w:jc w:val="left"/>
        <w:rPr>
          <w:color w:val="0D0D0D" w:themeColor="text1" w:themeTint="F2"/>
          <w:spacing w:val="-4"/>
          <w:sz w:val="16"/>
          <w:szCs w:val="16"/>
        </w:rPr>
      </w:pPr>
      <w:r w:rsidRPr="004D5215">
        <w:rPr>
          <w:rStyle w:val="Znakapoznpodarou"/>
          <w:color w:val="0D0D0D" w:themeColor="text1" w:themeTint="F2"/>
          <w:spacing w:val="-4"/>
          <w:sz w:val="16"/>
          <w:szCs w:val="16"/>
        </w:rPr>
        <w:footnoteRef/>
      </w:r>
      <w:r w:rsidRPr="004D5215">
        <w:rPr>
          <w:rStyle w:val="Znakapoznpodarou"/>
          <w:color w:val="0D0D0D" w:themeColor="text1" w:themeTint="F2"/>
          <w:spacing w:val="-4"/>
          <w:sz w:val="16"/>
          <w:szCs w:val="16"/>
        </w:rPr>
        <w:t xml:space="preserve"> </w:t>
      </w:r>
      <w:r>
        <w:rPr>
          <w:color w:val="0D0D0D" w:themeColor="text1" w:themeTint="F2"/>
          <w:spacing w:val="-4"/>
          <w:sz w:val="16"/>
          <w:szCs w:val="16"/>
        </w:rPr>
        <w:t xml:space="preserve">Ta letos činila </w:t>
      </w:r>
      <w:r w:rsidRPr="00AF55E0">
        <w:rPr>
          <w:color w:val="0D0D0D" w:themeColor="text1" w:themeTint="F2"/>
          <w:spacing w:val="-4"/>
          <w:sz w:val="16"/>
          <w:szCs w:val="16"/>
        </w:rPr>
        <w:t xml:space="preserve">31,5 </w:t>
      </w:r>
      <w:proofErr w:type="spellStart"/>
      <w:r w:rsidRPr="00AF55E0">
        <w:rPr>
          <w:color w:val="0D0D0D" w:themeColor="text1" w:themeTint="F2"/>
          <w:spacing w:val="-4"/>
          <w:sz w:val="16"/>
          <w:szCs w:val="16"/>
        </w:rPr>
        <w:t>TWh</w:t>
      </w:r>
      <w:proofErr w:type="spellEnd"/>
      <w:r>
        <w:rPr>
          <w:color w:val="0D0D0D" w:themeColor="text1" w:themeTint="F2"/>
          <w:spacing w:val="-4"/>
          <w:sz w:val="16"/>
          <w:szCs w:val="16"/>
        </w:rPr>
        <w:t>, meziročně vzrostla o 4,4 % (po</w:t>
      </w:r>
      <w:r w:rsidRPr="00AF55E0">
        <w:rPr>
          <w:color w:val="0D0D0D" w:themeColor="text1" w:themeTint="F2"/>
          <w:spacing w:val="-4"/>
          <w:sz w:val="16"/>
          <w:szCs w:val="16"/>
        </w:rPr>
        <w:t xml:space="preserve"> přepočtení na dlouhodobý teplotní normál p</w:t>
      </w:r>
      <w:r>
        <w:rPr>
          <w:color w:val="0D0D0D" w:themeColor="text1" w:themeTint="F2"/>
          <w:spacing w:val="-4"/>
          <w:sz w:val="16"/>
          <w:szCs w:val="16"/>
        </w:rPr>
        <w:t>ak</w:t>
      </w:r>
      <w:r w:rsidRPr="00AF55E0">
        <w:rPr>
          <w:color w:val="0D0D0D" w:themeColor="text1" w:themeTint="F2"/>
          <w:spacing w:val="-4"/>
          <w:sz w:val="16"/>
          <w:szCs w:val="16"/>
        </w:rPr>
        <w:t xml:space="preserve"> o 2,3 %</w:t>
      </w:r>
      <w:r>
        <w:rPr>
          <w:color w:val="0D0D0D" w:themeColor="text1" w:themeTint="F2"/>
          <w:spacing w:val="-4"/>
          <w:sz w:val="16"/>
          <w:szCs w:val="16"/>
        </w:rPr>
        <w:t xml:space="preserve">). </w:t>
      </w:r>
      <w:r w:rsidRPr="004D5215">
        <w:rPr>
          <w:color w:val="0D0D0D" w:themeColor="text1" w:themeTint="F2"/>
          <w:spacing w:val="-4"/>
          <w:sz w:val="16"/>
          <w:szCs w:val="16"/>
        </w:rPr>
        <w:t xml:space="preserve">Skutečná spotřeba </w:t>
      </w:r>
      <w:r>
        <w:rPr>
          <w:color w:val="0D0D0D" w:themeColor="text1" w:themeTint="F2"/>
          <w:spacing w:val="-4"/>
          <w:sz w:val="16"/>
          <w:szCs w:val="16"/>
        </w:rPr>
        <w:t xml:space="preserve">se </w:t>
      </w:r>
      <w:r w:rsidRPr="004D5215">
        <w:rPr>
          <w:color w:val="0D0D0D" w:themeColor="text1" w:themeTint="F2"/>
          <w:spacing w:val="-4"/>
          <w:sz w:val="16"/>
          <w:szCs w:val="16"/>
        </w:rPr>
        <w:t xml:space="preserve">loni </w:t>
      </w:r>
      <w:r>
        <w:rPr>
          <w:color w:val="0D0D0D" w:themeColor="text1" w:themeTint="F2"/>
          <w:spacing w:val="-4"/>
          <w:sz w:val="16"/>
          <w:szCs w:val="16"/>
        </w:rPr>
        <w:t>zvýšil</w:t>
      </w:r>
      <w:r w:rsidRPr="004D5215">
        <w:rPr>
          <w:color w:val="0D0D0D" w:themeColor="text1" w:themeTint="F2"/>
          <w:spacing w:val="-4"/>
          <w:sz w:val="16"/>
          <w:szCs w:val="16"/>
        </w:rPr>
        <w:t xml:space="preserve">a u všech </w:t>
      </w:r>
      <w:r>
        <w:rPr>
          <w:color w:val="0D0D0D" w:themeColor="text1" w:themeTint="F2"/>
          <w:spacing w:val="-4"/>
          <w:sz w:val="16"/>
          <w:szCs w:val="16"/>
        </w:rPr>
        <w:t>hlavních segmentů trhu</w:t>
      </w:r>
      <w:r w:rsidRPr="004D5215">
        <w:rPr>
          <w:color w:val="0D0D0D" w:themeColor="text1" w:themeTint="F2"/>
          <w:spacing w:val="-4"/>
          <w:sz w:val="16"/>
          <w:szCs w:val="16"/>
        </w:rPr>
        <w:t xml:space="preserve"> – </w:t>
      </w:r>
      <w:r>
        <w:rPr>
          <w:color w:val="0D0D0D" w:themeColor="text1" w:themeTint="F2"/>
          <w:spacing w:val="-4"/>
          <w:sz w:val="16"/>
          <w:szCs w:val="16"/>
        </w:rPr>
        <w:t>n</w:t>
      </w:r>
      <w:r w:rsidRPr="00156A33">
        <w:rPr>
          <w:color w:val="0D0D0D" w:themeColor="text1" w:themeTint="F2"/>
          <w:spacing w:val="-4"/>
          <w:sz w:val="16"/>
          <w:szCs w:val="16"/>
        </w:rPr>
        <w:t>ejvíce</w:t>
      </w:r>
      <w:r>
        <w:rPr>
          <w:color w:val="0D0D0D" w:themeColor="text1" w:themeTint="F2"/>
          <w:spacing w:val="-4"/>
          <w:sz w:val="16"/>
          <w:szCs w:val="16"/>
        </w:rPr>
        <w:t xml:space="preserve"> u velkoodběratelů </w:t>
      </w:r>
      <w:r w:rsidRPr="00156A33">
        <w:rPr>
          <w:color w:val="0D0D0D" w:themeColor="text1" w:themeTint="F2"/>
          <w:spacing w:val="-4"/>
          <w:sz w:val="16"/>
          <w:szCs w:val="16"/>
        </w:rPr>
        <w:t>(+6,7 %)</w:t>
      </w:r>
      <w:r>
        <w:rPr>
          <w:color w:val="0D0D0D" w:themeColor="text1" w:themeTint="F2"/>
          <w:spacing w:val="-4"/>
          <w:sz w:val="16"/>
          <w:szCs w:val="16"/>
        </w:rPr>
        <w:t xml:space="preserve"> a </w:t>
      </w:r>
      <w:r w:rsidRPr="00156A33">
        <w:rPr>
          <w:color w:val="0D0D0D" w:themeColor="text1" w:themeTint="F2"/>
          <w:spacing w:val="-4"/>
          <w:sz w:val="16"/>
          <w:szCs w:val="16"/>
        </w:rPr>
        <w:t xml:space="preserve">domácnosti (+ 4,6 %), </w:t>
      </w:r>
      <w:r>
        <w:rPr>
          <w:color w:val="0D0D0D" w:themeColor="text1" w:themeTint="F2"/>
          <w:spacing w:val="-4"/>
          <w:sz w:val="16"/>
          <w:szCs w:val="16"/>
        </w:rPr>
        <w:t xml:space="preserve">dále u drobných </w:t>
      </w:r>
      <w:r w:rsidRPr="00156A33">
        <w:rPr>
          <w:color w:val="0D0D0D" w:themeColor="text1" w:themeTint="F2"/>
          <w:spacing w:val="-4"/>
          <w:sz w:val="16"/>
          <w:szCs w:val="16"/>
        </w:rPr>
        <w:t>podnikatel</w:t>
      </w:r>
      <w:r>
        <w:rPr>
          <w:color w:val="0D0D0D" w:themeColor="text1" w:themeTint="F2"/>
          <w:spacing w:val="-4"/>
          <w:sz w:val="16"/>
          <w:szCs w:val="16"/>
        </w:rPr>
        <w:t>ů</w:t>
      </w:r>
      <w:r w:rsidRPr="00156A33">
        <w:rPr>
          <w:color w:val="0D0D0D" w:themeColor="text1" w:themeTint="F2"/>
          <w:spacing w:val="-4"/>
          <w:sz w:val="16"/>
          <w:szCs w:val="16"/>
        </w:rPr>
        <w:t xml:space="preserve"> (+3.6 %) </w:t>
      </w:r>
      <w:r>
        <w:rPr>
          <w:color w:val="0D0D0D" w:themeColor="text1" w:themeTint="F2"/>
          <w:spacing w:val="-4"/>
          <w:sz w:val="16"/>
          <w:szCs w:val="16"/>
        </w:rPr>
        <w:br/>
      </w:r>
      <w:r w:rsidRPr="00156A33">
        <w:rPr>
          <w:color w:val="0D0D0D" w:themeColor="text1" w:themeTint="F2"/>
          <w:spacing w:val="-4"/>
          <w:sz w:val="16"/>
          <w:szCs w:val="16"/>
        </w:rPr>
        <w:t xml:space="preserve">a </w:t>
      </w:r>
      <w:r>
        <w:rPr>
          <w:color w:val="0D0D0D" w:themeColor="text1" w:themeTint="F2"/>
          <w:spacing w:val="-4"/>
          <w:sz w:val="16"/>
          <w:szCs w:val="16"/>
        </w:rPr>
        <w:t xml:space="preserve">nejméně u </w:t>
      </w:r>
      <w:r w:rsidRPr="00156A33">
        <w:rPr>
          <w:color w:val="0D0D0D" w:themeColor="text1" w:themeTint="F2"/>
          <w:spacing w:val="-4"/>
          <w:sz w:val="16"/>
          <w:szCs w:val="16"/>
        </w:rPr>
        <w:t>střední</w:t>
      </w:r>
      <w:r>
        <w:rPr>
          <w:color w:val="0D0D0D" w:themeColor="text1" w:themeTint="F2"/>
          <w:spacing w:val="-4"/>
          <w:sz w:val="16"/>
          <w:szCs w:val="16"/>
        </w:rPr>
        <w:t>ch</w:t>
      </w:r>
      <w:r w:rsidRPr="00156A33">
        <w:rPr>
          <w:color w:val="0D0D0D" w:themeColor="text1" w:themeTint="F2"/>
          <w:spacing w:val="-4"/>
          <w:sz w:val="16"/>
          <w:szCs w:val="16"/>
        </w:rPr>
        <w:t xml:space="preserve"> odběratel</w:t>
      </w:r>
      <w:r>
        <w:rPr>
          <w:color w:val="0D0D0D" w:themeColor="text1" w:themeTint="F2"/>
          <w:spacing w:val="-4"/>
          <w:sz w:val="16"/>
          <w:szCs w:val="16"/>
        </w:rPr>
        <w:t>ů</w:t>
      </w:r>
      <w:r w:rsidRPr="00156A33">
        <w:rPr>
          <w:color w:val="0D0D0D" w:themeColor="text1" w:themeTint="F2"/>
          <w:spacing w:val="-4"/>
          <w:sz w:val="16"/>
          <w:szCs w:val="16"/>
        </w:rPr>
        <w:t xml:space="preserve"> (+0,9 %).</w:t>
      </w:r>
    </w:p>
  </w:footnote>
  <w:footnote w:id="12">
    <w:p w14:paraId="638FFF8B" w14:textId="77777777" w:rsidR="00BF53A6" w:rsidRPr="008803B7" w:rsidRDefault="00BF53A6" w:rsidP="00860007">
      <w:pPr>
        <w:pStyle w:val="Textpoznpodarou"/>
        <w:rPr>
          <w:spacing w:val="-4"/>
          <w:sz w:val="16"/>
          <w:szCs w:val="16"/>
        </w:rPr>
      </w:pPr>
      <w:r w:rsidRPr="008803B7">
        <w:rPr>
          <w:rStyle w:val="Znakapoznpodarou"/>
          <w:spacing w:val="-4"/>
          <w:sz w:val="16"/>
          <w:szCs w:val="16"/>
        </w:rPr>
        <w:footnoteRef/>
      </w:r>
      <w:r w:rsidRPr="008803B7">
        <w:rPr>
          <w:spacing w:val="-4"/>
          <w:sz w:val="16"/>
          <w:szCs w:val="16"/>
        </w:rPr>
        <w:t xml:space="preserve"> Průměrná teplota ovzduší činila v lednu 2026 </w:t>
      </w:r>
      <w:r w:rsidRPr="008803B7">
        <w:rPr>
          <w:color w:val="0D0D0D" w:themeColor="text1" w:themeTint="F2"/>
          <w:spacing w:val="-4"/>
          <w:sz w:val="16"/>
          <w:szCs w:val="16"/>
        </w:rPr>
        <w:t>−</w:t>
      </w:r>
      <w:r w:rsidRPr="008803B7">
        <w:rPr>
          <w:spacing w:val="-4"/>
          <w:sz w:val="16"/>
          <w:szCs w:val="16"/>
        </w:rPr>
        <w:t xml:space="preserve">2,8 stupně Celsia, o rok dříve +0,5 stupně (dlouhodobý lednový teplotní normál pak </w:t>
      </w:r>
      <w:r w:rsidRPr="008803B7">
        <w:rPr>
          <w:color w:val="0D0D0D" w:themeColor="text1" w:themeTint="F2"/>
          <w:spacing w:val="-4"/>
          <w:sz w:val="16"/>
          <w:szCs w:val="16"/>
        </w:rPr>
        <w:t>−</w:t>
      </w:r>
      <w:r w:rsidRPr="008803B7">
        <w:rPr>
          <w:spacing w:val="-4"/>
          <w:sz w:val="16"/>
          <w:szCs w:val="16"/>
        </w:rPr>
        <w:t>1,2 stupně).</w:t>
      </w:r>
    </w:p>
  </w:footnote>
  <w:footnote w:id="13">
    <w:p w14:paraId="264B5276" w14:textId="77777777" w:rsidR="00BF53A6" w:rsidRPr="00A64A46" w:rsidRDefault="00BF53A6" w:rsidP="00860007">
      <w:pPr>
        <w:pStyle w:val="Textpoznpodarou"/>
        <w:rPr>
          <w:sz w:val="16"/>
          <w:szCs w:val="16"/>
        </w:rPr>
      </w:pPr>
      <w:r w:rsidRPr="00A64A46">
        <w:rPr>
          <w:rStyle w:val="Znakapoznpodarou"/>
          <w:sz w:val="16"/>
          <w:szCs w:val="16"/>
        </w:rPr>
        <w:footnoteRef/>
      </w:r>
      <w:r w:rsidRPr="00A64A46">
        <w:rPr>
          <w:sz w:val="16"/>
          <w:szCs w:val="16"/>
        </w:rPr>
        <w:t xml:space="preserve"> </w:t>
      </w:r>
      <w:r w:rsidRPr="00A64A46">
        <w:rPr>
          <w:color w:val="0D0D0D" w:themeColor="text1" w:themeTint="F2"/>
          <w:spacing w:val="-4"/>
          <w:sz w:val="16"/>
          <w:szCs w:val="16"/>
        </w:rPr>
        <w:t>Častěji tak patrně docházelo k dovozu materiálů, např. z Polska.</w:t>
      </w:r>
    </w:p>
  </w:footnote>
  <w:footnote w:id="14">
    <w:p w14:paraId="32A73FFA" w14:textId="77777777" w:rsidR="00BF53A6" w:rsidRPr="00AE478D" w:rsidRDefault="00BF53A6" w:rsidP="00860007">
      <w:pPr>
        <w:pStyle w:val="Textpoznpodarou"/>
        <w:rPr>
          <w:spacing w:val="-2"/>
          <w:sz w:val="16"/>
          <w:szCs w:val="16"/>
        </w:rPr>
      </w:pPr>
      <w:r w:rsidRPr="00B715D0">
        <w:rPr>
          <w:rStyle w:val="Znakapoznpodarou"/>
          <w:sz w:val="16"/>
          <w:szCs w:val="16"/>
        </w:rPr>
        <w:footnoteRef/>
      </w:r>
      <w:r w:rsidRPr="00B715D0">
        <w:rPr>
          <w:sz w:val="16"/>
          <w:szCs w:val="16"/>
        </w:rPr>
        <w:t xml:space="preserve"> </w:t>
      </w:r>
      <w:r w:rsidRPr="004B2677">
        <w:rPr>
          <w:spacing w:val="-4"/>
          <w:sz w:val="16"/>
          <w:szCs w:val="16"/>
        </w:rPr>
        <w:t>Po roce 20</w:t>
      </w:r>
      <w:r>
        <w:rPr>
          <w:spacing w:val="-4"/>
          <w:sz w:val="16"/>
          <w:szCs w:val="16"/>
        </w:rPr>
        <w:t>09</w:t>
      </w:r>
      <w:r w:rsidRPr="004B2677">
        <w:rPr>
          <w:spacing w:val="-4"/>
          <w:sz w:val="16"/>
          <w:szCs w:val="16"/>
        </w:rPr>
        <w:t xml:space="preserve"> klesla v tomto oboru produkce hlouběji pouze během dočasných odstávek výrobních zařízení při první vlně pandemie covid</w:t>
      </w:r>
      <w:r>
        <w:rPr>
          <w:spacing w:val="-4"/>
          <w:sz w:val="16"/>
          <w:szCs w:val="16"/>
        </w:rPr>
        <w:t>u</w:t>
      </w:r>
      <w:r w:rsidRPr="004B2677">
        <w:rPr>
          <w:spacing w:val="-4"/>
          <w:sz w:val="16"/>
          <w:szCs w:val="16"/>
        </w:rPr>
        <w:t>-19</w:t>
      </w:r>
      <w:r w:rsidRPr="00AE478D">
        <w:rPr>
          <w:spacing w:val="-2"/>
          <w:sz w:val="16"/>
          <w:szCs w:val="16"/>
        </w:rPr>
        <w:t xml:space="preserve"> (2. čtvrtletí 2020). </w:t>
      </w:r>
    </w:p>
  </w:footnote>
  <w:footnote w:id="15">
    <w:p w14:paraId="554E1BC2" w14:textId="77777777" w:rsidR="00BF53A6" w:rsidRDefault="00BF53A6" w:rsidP="00860007">
      <w:pPr>
        <w:pStyle w:val="Textpoznpodarou"/>
        <w:rPr>
          <w:rFonts w:cs="Arial"/>
          <w:color w:val="0D0D0D" w:themeColor="text1" w:themeTint="F2"/>
          <w:spacing w:val="-2"/>
          <w:sz w:val="16"/>
          <w:szCs w:val="16"/>
        </w:rPr>
      </w:pPr>
      <w:r>
        <w:rPr>
          <w:rStyle w:val="Znakapoznpodarou"/>
          <w:rFonts w:cs="Arial"/>
          <w:color w:val="0D0D0D" w:themeColor="text1" w:themeTint="F2"/>
          <w:spacing w:val="-2"/>
          <w:sz w:val="16"/>
          <w:szCs w:val="16"/>
        </w:rPr>
        <w:footnoteRef/>
      </w:r>
      <w:r>
        <w:rPr>
          <w:rFonts w:cs="Arial"/>
          <w:color w:val="0D0D0D" w:themeColor="text1" w:themeTint="F2"/>
          <w:spacing w:val="-2"/>
          <w:sz w:val="16"/>
          <w:szCs w:val="16"/>
        </w:rPr>
        <w:t xml:space="preserve"> Zjišťování zakázek probíhá ve 12 zpracovatelských odvětvích vyrábějících převážně na zakázku, s dlouhodobějším výrobním cyklem a s většími zásobami zakázek. Meziroční tempa zakázek jsou očištěna o kalendářní vlivy, </w:t>
      </w:r>
      <w:proofErr w:type="spellStart"/>
      <w:r>
        <w:rPr>
          <w:rFonts w:cs="Arial"/>
          <w:color w:val="0D0D0D" w:themeColor="text1" w:themeTint="F2"/>
          <w:spacing w:val="-2"/>
          <w:sz w:val="16"/>
          <w:szCs w:val="16"/>
        </w:rPr>
        <w:t>mezikvartální</w:t>
      </w:r>
      <w:proofErr w:type="spellEnd"/>
      <w:r>
        <w:rPr>
          <w:rFonts w:cs="Arial"/>
          <w:color w:val="0D0D0D" w:themeColor="text1" w:themeTint="F2"/>
          <w:spacing w:val="-2"/>
          <w:sz w:val="16"/>
          <w:szCs w:val="16"/>
        </w:rPr>
        <w:t xml:space="preserve"> tempa také o vliv sezónnosti.</w:t>
      </w:r>
    </w:p>
  </w:footnote>
  <w:footnote w:id="16">
    <w:p w14:paraId="308BB553" w14:textId="0B57FF58" w:rsidR="00BF53A6" w:rsidRPr="0073209B" w:rsidRDefault="00BF53A6" w:rsidP="00860007">
      <w:pPr>
        <w:spacing w:after="0" w:line="240" w:lineRule="auto"/>
        <w:jc w:val="left"/>
        <w:rPr>
          <w:color w:val="000000" w:themeColor="text1"/>
          <w:spacing w:val="-4"/>
          <w:sz w:val="16"/>
          <w:szCs w:val="16"/>
        </w:rPr>
      </w:pPr>
      <w:r w:rsidRPr="0073209B">
        <w:rPr>
          <w:rStyle w:val="Znakapoznpodarou"/>
          <w:sz w:val="16"/>
          <w:szCs w:val="16"/>
        </w:rPr>
        <w:footnoteRef/>
      </w:r>
      <w:r w:rsidRPr="0073209B">
        <w:rPr>
          <w:sz w:val="16"/>
          <w:szCs w:val="16"/>
        </w:rPr>
        <w:t xml:space="preserve"> </w:t>
      </w:r>
      <w:r w:rsidRPr="0073209B">
        <w:rPr>
          <w:color w:val="000000" w:themeColor="text1"/>
          <w:spacing w:val="-4"/>
          <w:sz w:val="16"/>
          <w:szCs w:val="16"/>
        </w:rPr>
        <w:t>Ve 4. čtvrtletí 2025 objem zakázek posílil o desetinu (nejvíce za poslední tři roky). Přispěla k němu ovšem fakticky pouze zahraniční poptávka</w:t>
      </w:r>
      <w:r>
        <w:rPr>
          <w:color w:val="000000" w:themeColor="text1"/>
          <w:spacing w:val="-4"/>
          <w:sz w:val="16"/>
          <w:szCs w:val="16"/>
        </w:rPr>
        <w:t xml:space="preserve">, a to </w:t>
      </w:r>
      <w:r w:rsidRPr="0073209B">
        <w:rPr>
          <w:color w:val="000000" w:themeColor="text1"/>
          <w:spacing w:val="-4"/>
          <w:sz w:val="16"/>
          <w:szCs w:val="16"/>
        </w:rPr>
        <w:t>především ve výrobě ostatních dopravních prostředků (s</w:t>
      </w:r>
      <w:r w:rsidRPr="0073209B">
        <w:rPr>
          <w:color w:val="0D0D0D" w:themeColor="text1" w:themeTint="F2"/>
          <w:sz w:val="16"/>
          <w:szCs w:val="16"/>
        </w:rPr>
        <w:t>ilný růstový impuls se týkal hlavně modernizace veřejné dopravy a armády)</w:t>
      </w:r>
      <w:r w:rsidRPr="0073209B">
        <w:rPr>
          <w:color w:val="000000" w:themeColor="text1"/>
          <w:spacing w:val="-4"/>
          <w:sz w:val="16"/>
          <w:szCs w:val="16"/>
        </w:rPr>
        <w:t xml:space="preserve"> a</w:t>
      </w:r>
      <w:r>
        <w:rPr>
          <w:color w:val="000000" w:themeColor="text1"/>
          <w:spacing w:val="-4"/>
          <w:sz w:val="16"/>
          <w:szCs w:val="16"/>
        </w:rPr>
        <w:t xml:space="preserve"> dále</w:t>
      </w:r>
      <w:r w:rsidRPr="0073209B">
        <w:rPr>
          <w:color w:val="000000" w:themeColor="text1"/>
          <w:spacing w:val="-4"/>
          <w:sz w:val="16"/>
          <w:szCs w:val="16"/>
        </w:rPr>
        <w:t xml:space="preserve"> v elektrotechnice </w:t>
      </w:r>
      <w:r>
        <w:rPr>
          <w:color w:val="000000" w:themeColor="text1"/>
          <w:spacing w:val="-4"/>
          <w:sz w:val="16"/>
          <w:szCs w:val="16"/>
        </w:rPr>
        <w:t>a</w:t>
      </w:r>
      <w:r w:rsidRPr="0073209B">
        <w:rPr>
          <w:color w:val="000000" w:themeColor="text1"/>
          <w:spacing w:val="-4"/>
          <w:sz w:val="16"/>
          <w:szCs w:val="16"/>
        </w:rPr>
        <w:t xml:space="preserve"> kovodělném průmyslu.</w:t>
      </w:r>
    </w:p>
  </w:footnote>
  <w:footnote w:id="17">
    <w:p w14:paraId="7AB7EE71" w14:textId="77777777" w:rsidR="00BF53A6" w:rsidRPr="004A0F58" w:rsidRDefault="00BF53A6" w:rsidP="00860007">
      <w:pPr>
        <w:pStyle w:val="Textpoznpodarou"/>
        <w:rPr>
          <w:color w:val="0D0D0D" w:themeColor="text1" w:themeTint="F2"/>
          <w:sz w:val="16"/>
          <w:szCs w:val="16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V dubnu 2026 předpokládalo (v tříměsíčním výhledu) růst cen vlastní produkce 28 % průmyslových firem (v květnu 21 %, toto snížení mohlo souviset s vládními opatřeními regulujícími spotřebitelské ceny PHM). Tlaky pramenící z očekáváné „výrobní inflace“ však zatím letos zdaleka nedosáhly úrovně z let 2021 a 2022, kdy v období ústupu pandemických restrikcí docházelo k výraznějším opakovaným narušením globálních dodavatelských řetězců.</w:t>
      </w:r>
    </w:p>
  </w:footnote>
  <w:footnote w:id="18">
    <w:p w14:paraId="7D435537" w14:textId="77777777" w:rsidR="00BF53A6" w:rsidRPr="004A0F58" w:rsidRDefault="00BF53A6" w:rsidP="00860007">
      <w:pPr>
        <w:pStyle w:val="Textpoznpodarou"/>
        <w:rPr>
          <w:color w:val="0D0D0D" w:themeColor="text1" w:themeTint="F2"/>
          <w:sz w:val="16"/>
          <w:szCs w:val="16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Podniky mohly uvést více bariér současně.</w:t>
      </w:r>
    </w:p>
  </w:footnote>
  <w:footnote w:id="19">
    <w:p w14:paraId="1B291C0A" w14:textId="77777777" w:rsidR="00BF53A6" w:rsidRPr="004A0F58" w:rsidRDefault="00BF53A6" w:rsidP="00860007">
      <w:pPr>
        <w:pStyle w:val="Textpoznpodarou"/>
        <w:rPr>
          <w:color w:val="0D0D0D" w:themeColor="text1" w:themeTint="F2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Kombinace výše uvedených faktorů mohla v některých případech vyústit až v rozhodnutí firem o dočasném odkladu některých investičních projektů v oblasti pozemního stavitelství.</w:t>
      </w:r>
    </w:p>
  </w:footnote>
  <w:footnote w:id="20">
    <w:p w14:paraId="13256541" w14:textId="77777777" w:rsidR="00BF53A6" w:rsidRPr="004A0F58" w:rsidRDefault="00BF53A6" w:rsidP="00860007">
      <w:pPr>
        <w:pStyle w:val="Textpoznpodarou"/>
        <w:rPr>
          <w:color w:val="0D0D0D" w:themeColor="text1" w:themeTint="F2"/>
          <w:spacing w:val="-2"/>
          <w:sz w:val="16"/>
          <w:szCs w:val="16"/>
        </w:rPr>
      </w:pPr>
      <w:r w:rsidRPr="004A0F58">
        <w:rPr>
          <w:rStyle w:val="Znakapoznpodarou"/>
          <w:rFonts w:cs="Arial"/>
          <w:color w:val="0D0D0D" w:themeColor="text1" w:themeTint="F2"/>
          <w:spacing w:val="-2"/>
          <w:sz w:val="16"/>
          <w:szCs w:val="16"/>
        </w:rPr>
        <w:footnoteRef/>
      </w:r>
      <w:r w:rsidRPr="004A0F58">
        <w:rPr>
          <w:rFonts w:cs="Arial"/>
          <w:color w:val="0D0D0D" w:themeColor="text1" w:themeTint="F2"/>
          <w:spacing w:val="-2"/>
          <w:sz w:val="16"/>
          <w:szCs w:val="16"/>
        </w:rPr>
        <w:t xml:space="preserve"> Údaje o stavební produkci jsou ve stálých cenách, meziroční tempa jsou očištěna o kalendářní vlivy, mezičtvrtletní též o vliv sezónnosti.</w:t>
      </w:r>
    </w:p>
  </w:footnote>
  <w:footnote w:id="21">
    <w:p w14:paraId="1CAA3C3E" w14:textId="77777777" w:rsidR="00BF53A6" w:rsidRPr="004A0F58" w:rsidRDefault="00BF53A6" w:rsidP="00860007">
      <w:pPr>
        <w:pStyle w:val="Textpoznpodarou"/>
        <w:rPr>
          <w:color w:val="0D0D0D" w:themeColor="text1" w:themeTint="F2"/>
          <w:sz w:val="16"/>
          <w:szCs w:val="16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</w:t>
      </w:r>
      <w:r w:rsidRPr="004A0F58">
        <w:rPr>
          <w:color w:val="0D0D0D" w:themeColor="text1" w:themeTint="F2"/>
          <w:spacing w:val="-4"/>
          <w:sz w:val="16"/>
          <w:szCs w:val="16"/>
        </w:rPr>
        <w:t>To souvisí s mimořádnou dynamikou stavebnictví v roce 2025, kdy jeho produkce vzrostla o 10,9 % (nejvíce v dostupné řadě po roce 2000).</w:t>
      </w:r>
    </w:p>
  </w:footnote>
  <w:footnote w:id="22">
    <w:p w14:paraId="49D5D0E4" w14:textId="77777777" w:rsidR="00BF53A6" w:rsidRPr="0025254B" w:rsidRDefault="00BF53A6" w:rsidP="00860007">
      <w:pPr>
        <w:pStyle w:val="Textpoznpodarou"/>
        <w:rPr>
          <w:sz w:val="16"/>
          <w:szCs w:val="16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Letos v dubnu výstavba dále ožila – započalo se 5,1 tis. nových bytů (nejvíce od května 2022), intenzivnější výstavba byla patrná zejména v Praze a jejím širším zázemí.</w:t>
      </w:r>
    </w:p>
  </w:footnote>
  <w:footnote w:id="23">
    <w:p w14:paraId="1580302C" w14:textId="77777777" w:rsidR="006E6B4C" w:rsidRPr="004A0F58" w:rsidRDefault="006E6B4C" w:rsidP="00860007">
      <w:pPr>
        <w:pStyle w:val="Textpoznpodarou"/>
        <w:rPr>
          <w:color w:val="0D0D0D" w:themeColor="text1" w:themeTint="F2"/>
          <w:sz w:val="16"/>
          <w:szCs w:val="16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Zakázky jsou uvedeny </w:t>
      </w:r>
      <w:r w:rsidRPr="004A0F58">
        <w:rPr>
          <w:rStyle w:val="normaltextrun"/>
          <w:rFonts w:eastAsiaTheme="majorEastAsia"/>
          <w:color w:val="0D0D0D" w:themeColor="text1" w:themeTint="F2"/>
          <w:sz w:val="16"/>
          <w:szCs w:val="16"/>
        </w:rPr>
        <w:t>v běžných cenách a pokrývají pouze podniky nad 50 zaměstnanců.</w:t>
      </w:r>
    </w:p>
  </w:footnote>
  <w:footnote w:id="24">
    <w:p w14:paraId="71C4D3E2" w14:textId="77777777" w:rsidR="006E6B4C" w:rsidRPr="003B0E98" w:rsidRDefault="006E6B4C" w:rsidP="00860007">
      <w:pPr>
        <w:pStyle w:val="Textpoznpodarou"/>
        <w:rPr>
          <w:sz w:val="16"/>
          <w:szCs w:val="16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</w:t>
      </w:r>
      <w:r w:rsidRPr="004A0F58">
        <w:rPr>
          <w:rStyle w:val="normaltextrun"/>
          <w:rFonts w:eastAsiaTheme="majorEastAsia"/>
          <w:color w:val="0D0D0D" w:themeColor="text1" w:themeTint="F2"/>
          <w:spacing w:val="-2"/>
          <w:sz w:val="16"/>
          <w:szCs w:val="16"/>
        </w:rPr>
        <w:t>Údaje o podlahové ploše povolené nové výstavby budov však pokrývají hodnotově pouze zhruba 40 % až 50 % všech dříve (do prosince 2025) publikovaných povolení. Mírně nadpoloviční většina (53 %) orientačních hodnot staveb povolených v roce 2025 tak připadala na jiné účely. Šlo o rekonstrukce a modernizace stávajících budov (22 %), inženýrské dopravní stavby (20 %) a ostatní inženýrské stavby (11 %), např. v oblasti energetiky. Od ledna 2026 jsou dostupné údaje o počtu, nikoliv hodnotě povolených staveb. Celkově se počet těchto povolení od ledna do dubna meziročně zvýšil o 9 %, z toho v nové výstavbě budov o 21 %, dále rostl za inženýrské dopravní stavby (+18 %) a ostatní dopravní stavby (+10 %), klesl naopak za rekonstrukce a modernizace stávajících budov (</w:t>
      </w:r>
      <w:r w:rsidRPr="004A0F58">
        <w:rPr>
          <w:rStyle w:val="normaltextrun"/>
          <w:rFonts w:eastAsiaTheme="majorEastAsia" w:cs="Arial"/>
          <w:color w:val="0D0D0D" w:themeColor="text1" w:themeTint="F2"/>
          <w:spacing w:val="-2"/>
          <w:sz w:val="16"/>
          <w:szCs w:val="16"/>
        </w:rPr>
        <w:t>−</w:t>
      </w:r>
      <w:r w:rsidRPr="004A0F58">
        <w:rPr>
          <w:rStyle w:val="normaltextrun"/>
          <w:rFonts w:eastAsiaTheme="majorEastAsia"/>
          <w:color w:val="0D0D0D" w:themeColor="text1" w:themeTint="F2"/>
          <w:spacing w:val="-2"/>
          <w:sz w:val="16"/>
          <w:szCs w:val="16"/>
        </w:rPr>
        <w:t>4 %)</w:t>
      </w:r>
      <w:r>
        <w:rPr>
          <w:rStyle w:val="normaltextrun"/>
          <w:rFonts w:eastAsiaTheme="majorEastAsia"/>
          <w:color w:val="0D0D0D" w:themeColor="text1" w:themeTint="F2"/>
          <w:spacing w:val="-2"/>
          <w:sz w:val="16"/>
          <w:szCs w:val="16"/>
        </w:rPr>
        <w:t>.</w:t>
      </w:r>
    </w:p>
  </w:footnote>
  <w:footnote w:id="25">
    <w:p w14:paraId="7A970040" w14:textId="77777777" w:rsidR="006E6B4C" w:rsidRPr="004A0F58" w:rsidRDefault="006E6B4C" w:rsidP="00860007">
      <w:pPr>
        <w:pStyle w:val="Textpoznpodarou"/>
        <w:rPr>
          <w:color w:val="0D0D0D" w:themeColor="text1" w:themeTint="F2"/>
          <w:spacing w:val="-2"/>
          <w:sz w:val="16"/>
          <w:szCs w:val="16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</w:t>
      </w:r>
      <w:r w:rsidRPr="004A0F58">
        <w:rPr>
          <w:color w:val="0D0D0D" w:themeColor="text1" w:themeTint="F2"/>
          <w:spacing w:val="-2"/>
          <w:sz w:val="16"/>
          <w:szCs w:val="16"/>
        </w:rPr>
        <w:t xml:space="preserve">Evidenční počet zaměstnanců (ve stavebních podnicích nad 50 pracovníků) se letos v dubnu meziročně zvýšil již o 2,1 %. Z čtvrtletních údajů pokrývajících celé odvětví plyne, že se zaměstnanost zvyšovala i v menších podnicích.  </w:t>
      </w:r>
    </w:p>
  </w:footnote>
  <w:footnote w:id="26">
    <w:p w14:paraId="0DF19EA6" w14:textId="77777777" w:rsidR="006E6B4C" w:rsidRPr="004A0F58" w:rsidRDefault="006E6B4C" w:rsidP="00860007">
      <w:pPr>
        <w:pStyle w:val="Textpoznpodarou"/>
        <w:rPr>
          <w:color w:val="0D0D0D" w:themeColor="text1" w:themeTint="F2"/>
          <w:spacing w:val="-2"/>
          <w:sz w:val="16"/>
          <w:szCs w:val="16"/>
        </w:rPr>
      </w:pPr>
      <w:r w:rsidRPr="004A0F58">
        <w:rPr>
          <w:rStyle w:val="Znakapoznpodarou"/>
          <w:color w:val="0D0D0D" w:themeColor="text1" w:themeTint="F2"/>
          <w:spacing w:val="-2"/>
          <w:sz w:val="16"/>
          <w:szCs w:val="16"/>
        </w:rPr>
        <w:footnoteRef/>
      </w:r>
      <w:r w:rsidRPr="004A0F58">
        <w:rPr>
          <w:color w:val="0D0D0D" w:themeColor="text1" w:themeTint="F2"/>
          <w:spacing w:val="-2"/>
          <w:sz w:val="16"/>
          <w:szCs w:val="16"/>
        </w:rPr>
        <w:t xml:space="preserve"> Pouze pětina stavebních firem letos v květnu žádnou z možných růstových bariér neuvedla. Tento podíl, který je o polovinu nižší než v EU či eurozóně, zůstává v Česku v posledních osmi letech v zásadě neměnný.</w:t>
      </w:r>
    </w:p>
  </w:footnote>
  <w:footnote w:id="27">
    <w:p w14:paraId="0960027A" w14:textId="77777777" w:rsidR="006E6B4C" w:rsidRPr="004A0F58" w:rsidRDefault="006E6B4C" w:rsidP="00860007">
      <w:pPr>
        <w:pStyle w:val="Textpoznpodarou"/>
        <w:rPr>
          <w:color w:val="0D0D0D" w:themeColor="text1" w:themeTint="F2"/>
          <w:spacing w:val="-2"/>
          <w:sz w:val="16"/>
          <w:szCs w:val="16"/>
        </w:rPr>
      </w:pPr>
      <w:r w:rsidRPr="004A0F58">
        <w:rPr>
          <w:rStyle w:val="Znakapoznpodarou"/>
          <w:color w:val="0D0D0D" w:themeColor="text1" w:themeTint="F2"/>
          <w:spacing w:val="-2"/>
          <w:sz w:val="16"/>
          <w:szCs w:val="16"/>
        </w:rPr>
        <w:footnoteRef/>
      </w:r>
      <w:r w:rsidRPr="004A0F58">
        <w:rPr>
          <w:color w:val="0D0D0D" w:themeColor="text1" w:themeTint="F2"/>
          <w:spacing w:val="-2"/>
          <w:sz w:val="16"/>
          <w:szCs w:val="16"/>
        </w:rPr>
        <w:t xml:space="preserve"> </w:t>
      </w:r>
      <w:r w:rsidRPr="004A0F58">
        <w:rPr>
          <w:rStyle w:val="normaltextrun"/>
          <w:rFonts w:eastAsiaTheme="majorEastAsia" w:cs="Arial"/>
          <w:color w:val="0D0D0D" w:themeColor="text1" w:themeTint="F2"/>
          <w:spacing w:val="-2"/>
          <w:sz w:val="16"/>
          <w:szCs w:val="16"/>
        </w:rPr>
        <w:t xml:space="preserve">Nedostatečná poptávka nadále nejvíce sužovala podniky v segmentu výstavby budov a aktuálně zde dokonce představovala nejvýznamnější bariéru. Nedostatek pracovníků omezoval s podobnou intenzitou podniky </w:t>
      </w:r>
      <w:r>
        <w:rPr>
          <w:rStyle w:val="normaltextrun"/>
          <w:rFonts w:eastAsiaTheme="majorEastAsia" w:cs="Arial"/>
          <w:color w:val="0D0D0D" w:themeColor="text1" w:themeTint="F2"/>
          <w:spacing w:val="-2"/>
          <w:sz w:val="16"/>
          <w:szCs w:val="16"/>
        </w:rPr>
        <w:t xml:space="preserve">ve </w:t>
      </w:r>
      <w:r w:rsidRPr="004A0F58">
        <w:rPr>
          <w:rStyle w:val="normaltextrun"/>
          <w:rFonts w:eastAsiaTheme="majorEastAsia" w:cs="Arial"/>
          <w:color w:val="0D0D0D" w:themeColor="text1" w:themeTint="F2"/>
          <w:spacing w:val="-2"/>
          <w:sz w:val="16"/>
          <w:szCs w:val="16"/>
        </w:rPr>
        <w:t>všech třech hlavních segmentech stavebnictví.</w:t>
      </w:r>
    </w:p>
  </w:footnote>
  <w:footnote w:id="28">
    <w:p w14:paraId="434BB054" w14:textId="77777777" w:rsidR="006E6B4C" w:rsidRPr="004A0F58" w:rsidRDefault="006E6B4C" w:rsidP="00860007">
      <w:pPr>
        <w:spacing w:after="0" w:line="240" w:lineRule="auto"/>
        <w:jc w:val="left"/>
        <w:rPr>
          <w:color w:val="0D0D0D" w:themeColor="text1" w:themeTint="F2"/>
          <w:spacing w:val="-2"/>
        </w:rPr>
      </w:pPr>
      <w:r w:rsidRPr="004A0F58">
        <w:rPr>
          <w:rStyle w:val="Znakapoznpodarou"/>
          <w:color w:val="0D0D0D" w:themeColor="text1" w:themeTint="F2"/>
          <w:spacing w:val="-2"/>
          <w:sz w:val="16"/>
          <w:szCs w:val="16"/>
        </w:rPr>
        <w:footnoteRef/>
      </w:r>
      <w:r w:rsidRPr="004A0F58">
        <w:rPr>
          <w:color w:val="0D0D0D" w:themeColor="text1" w:themeTint="F2"/>
          <w:spacing w:val="-2"/>
          <w:sz w:val="16"/>
          <w:szCs w:val="16"/>
        </w:rPr>
        <w:t xml:space="preserve"> Bez obchodu, peněžnictví, pojišťovnictví, vědy, výzkumu a veřejných služeb. Všechny údaje za tržby ve službách jsou ve stálých cenách, meziroční data jsou očištěna o kalendářní vlivy, mezičtvrtletní jsou očištěna o sezónní vlivy (včetně vlivu počtu pracovních dnů).</w:t>
      </w:r>
    </w:p>
  </w:footnote>
  <w:footnote w:id="29">
    <w:p w14:paraId="49B84E39" w14:textId="77777777" w:rsidR="006E6B4C" w:rsidRPr="004A0F58" w:rsidRDefault="006E6B4C" w:rsidP="00860007">
      <w:pPr>
        <w:pStyle w:val="Textpoznpodarou"/>
        <w:rPr>
          <w:color w:val="0D0D0D" w:themeColor="text1" w:themeTint="F2"/>
          <w:spacing w:val="-2"/>
          <w:sz w:val="16"/>
          <w:szCs w:val="16"/>
        </w:rPr>
      </w:pPr>
      <w:r w:rsidRPr="004A0F58">
        <w:rPr>
          <w:rStyle w:val="Znakapoznpodarou"/>
          <w:color w:val="0D0D0D" w:themeColor="text1" w:themeTint="F2"/>
          <w:spacing w:val="-2"/>
          <w:sz w:val="16"/>
          <w:szCs w:val="16"/>
        </w:rPr>
        <w:footnoteRef/>
      </w:r>
      <w:r w:rsidRPr="004A0F58">
        <w:rPr>
          <w:color w:val="0D0D0D" w:themeColor="text1" w:themeTint="F2"/>
          <w:spacing w:val="-2"/>
          <w:sz w:val="16"/>
          <w:szCs w:val="16"/>
        </w:rPr>
        <w:t xml:space="preserve"> Oproti 2. čtvrtletí 2019 byly celkové tržby (po sezónním očištění) v 1. čtvrtletí 2026 vyšší o 5,8 %. Z hlavních odvětví služeb tuto úroveň překonaly zejména informační a komunikační činnosti (+16,8 %) a profesní, vědecké a technické činnosti (+10,3 %), doprava a skladování (+5,8 %) a činnosti v oblasti nemovitostí (+5,5 %). Naopak tržby stále nejvíce zaostávaly </w:t>
      </w:r>
      <w:r>
        <w:rPr>
          <w:color w:val="0D0D0D" w:themeColor="text1" w:themeTint="F2"/>
          <w:spacing w:val="-2"/>
          <w:sz w:val="16"/>
          <w:szCs w:val="16"/>
        </w:rPr>
        <w:t>v </w:t>
      </w:r>
      <w:r w:rsidRPr="004A0F58">
        <w:rPr>
          <w:color w:val="0D0D0D" w:themeColor="text1" w:themeTint="F2"/>
          <w:spacing w:val="-2"/>
          <w:sz w:val="16"/>
          <w:szCs w:val="16"/>
        </w:rPr>
        <w:t xml:space="preserve">ubytování, stravování a pohostinství (−13,9 %) </w:t>
      </w:r>
      <w:r>
        <w:rPr>
          <w:color w:val="0D0D0D" w:themeColor="text1" w:themeTint="F2"/>
          <w:spacing w:val="-2"/>
          <w:sz w:val="16"/>
          <w:szCs w:val="16"/>
        </w:rPr>
        <w:br/>
      </w:r>
      <w:r w:rsidRPr="004A0F58">
        <w:rPr>
          <w:color w:val="0D0D0D" w:themeColor="text1" w:themeTint="F2"/>
          <w:spacing w:val="-2"/>
          <w:sz w:val="16"/>
          <w:szCs w:val="16"/>
        </w:rPr>
        <w:t>a rovněž v administrativních a podpůrných činnostech (−5,9 %)</w:t>
      </w:r>
      <w:r>
        <w:rPr>
          <w:color w:val="0D0D0D" w:themeColor="text1" w:themeTint="F2"/>
          <w:spacing w:val="-2"/>
          <w:sz w:val="16"/>
          <w:szCs w:val="16"/>
        </w:rPr>
        <w:t>.</w:t>
      </w:r>
    </w:p>
  </w:footnote>
  <w:footnote w:id="30">
    <w:p w14:paraId="3E9DB407" w14:textId="77777777" w:rsidR="006E6B4C" w:rsidRPr="004A0F58" w:rsidRDefault="006E6B4C" w:rsidP="00860007">
      <w:pPr>
        <w:pStyle w:val="Textpoznpodarou"/>
        <w:rPr>
          <w:color w:val="0D0D0D" w:themeColor="text1" w:themeTint="F2"/>
          <w:sz w:val="16"/>
          <w:szCs w:val="16"/>
        </w:rPr>
      </w:pPr>
      <w:r w:rsidRPr="004A0F58">
        <w:rPr>
          <w:rStyle w:val="Znakapoznpodarou"/>
          <w:color w:val="0D0D0D" w:themeColor="text1" w:themeTint="F2"/>
          <w:spacing w:val="-2"/>
          <w:sz w:val="16"/>
          <w:szCs w:val="16"/>
        </w:rPr>
        <w:footnoteRef/>
      </w:r>
      <w:r w:rsidRPr="004A0F58">
        <w:rPr>
          <w:color w:val="0D0D0D" w:themeColor="text1" w:themeTint="F2"/>
          <w:spacing w:val="-2"/>
          <w:sz w:val="16"/>
          <w:szCs w:val="16"/>
        </w:rPr>
        <w:t xml:space="preserve"> Toto dílčí odvětví, v němž hrají významnou roli drobní podnikatelé a jež byl</w:t>
      </w:r>
      <w:r>
        <w:rPr>
          <w:color w:val="0D0D0D" w:themeColor="text1" w:themeTint="F2"/>
          <w:spacing w:val="-2"/>
          <w:sz w:val="16"/>
          <w:szCs w:val="16"/>
        </w:rPr>
        <w:t>o</w:t>
      </w:r>
      <w:r w:rsidRPr="004A0F58">
        <w:rPr>
          <w:color w:val="0D0D0D" w:themeColor="text1" w:themeTint="F2"/>
          <w:spacing w:val="-2"/>
          <w:sz w:val="16"/>
          <w:szCs w:val="16"/>
        </w:rPr>
        <w:t xml:space="preserve"> výrazně zasažen</w:t>
      </w:r>
      <w:r>
        <w:rPr>
          <w:color w:val="0D0D0D" w:themeColor="text1" w:themeTint="F2"/>
          <w:spacing w:val="-2"/>
          <w:sz w:val="16"/>
          <w:szCs w:val="16"/>
        </w:rPr>
        <w:t>o</w:t>
      </w:r>
      <w:r w:rsidRPr="004A0F58">
        <w:rPr>
          <w:color w:val="0D0D0D" w:themeColor="text1" w:themeTint="F2"/>
          <w:spacing w:val="-2"/>
          <w:sz w:val="16"/>
          <w:szCs w:val="16"/>
        </w:rPr>
        <w:t xml:space="preserve"> propadem poptávky během období pandemie, zahrnuje zejména zprostředkovatelské činnosti, návrhářské, překladatelské a fotografické služby, ale např. také činnosti stavebního dozoru.</w:t>
      </w:r>
    </w:p>
  </w:footnote>
  <w:footnote w:id="31">
    <w:p w14:paraId="431049C8" w14:textId="77777777" w:rsidR="006E6B4C" w:rsidRPr="004A0F58" w:rsidRDefault="006E6B4C" w:rsidP="00860007">
      <w:pPr>
        <w:pStyle w:val="Textpoznpodarou"/>
        <w:rPr>
          <w:color w:val="0D0D0D" w:themeColor="text1" w:themeTint="F2"/>
          <w:sz w:val="16"/>
          <w:szCs w:val="16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Ty </w:t>
      </w:r>
      <w:r w:rsidRPr="004A0F58">
        <w:rPr>
          <w:color w:val="0D0D0D" w:themeColor="text1" w:themeTint="F2"/>
          <w:spacing w:val="-6"/>
          <w:sz w:val="16"/>
          <w:szCs w:val="16"/>
        </w:rPr>
        <w:t>zahrnují zejména programování, poradenství v oblasti informačních technologií či správu počítačového vybavení.</w:t>
      </w:r>
    </w:p>
  </w:footnote>
  <w:footnote w:id="32">
    <w:p w14:paraId="62EB644E" w14:textId="77777777" w:rsidR="006E6B4C" w:rsidRPr="001934E5" w:rsidRDefault="006E6B4C" w:rsidP="00860007">
      <w:pPr>
        <w:pStyle w:val="Textpoznpodarou"/>
        <w:rPr>
          <w:sz w:val="16"/>
          <w:szCs w:val="16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</w:t>
      </w:r>
      <w:r w:rsidRPr="004A0F58">
        <w:rPr>
          <w:color w:val="0D0D0D" w:themeColor="text1" w:themeTint="F2"/>
          <w:spacing w:val="-4"/>
          <w:sz w:val="16"/>
          <w:szCs w:val="16"/>
        </w:rPr>
        <w:t>Tržby v roce 2025 zde vzrostly o 5,8 %, tedy nejvyšším tempem po roce 2007.</w:t>
      </w:r>
    </w:p>
  </w:footnote>
  <w:footnote w:id="33">
    <w:p w14:paraId="7B73FEB1" w14:textId="77777777" w:rsidR="006E6B4C" w:rsidRPr="004A0F58" w:rsidRDefault="006E6B4C" w:rsidP="00860007">
      <w:pPr>
        <w:pStyle w:val="Textpoznpodarou"/>
        <w:rPr>
          <w:color w:val="0D0D0D" w:themeColor="text1" w:themeTint="F2"/>
          <w:sz w:val="16"/>
          <w:szCs w:val="16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V letech 2023 i 2024 byl obecně filmový trh v útlumu, neboť v Česku se nepřímo projevovaly dopady </w:t>
      </w:r>
      <w:r w:rsidRPr="004A0F58">
        <w:rPr>
          <w:rFonts w:cs="Arial"/>
          <w:color w:val="0D0D0D" w:themeColor="text1" w:themeTint="F2"/>
          <w:sz w:val="16"/>
          <w:szCs w:val="16"/>
        </w:rPr>
        <w:t>delší stávky v Hollywoodu, která probíhala ve druhé polovině roku 2023.</w:t>
      </w:r>
      <w:r w:rsidRPr="004A0F58">
        <w:rPr>
          <w:rFonts w:cs="Arial"/>
          <w:color w:val="0D0D0D" w:themeColor="text1" w:themeTint="F2"/>
          <w:spacing w:val="-6"/>
          <w:sz w:val="16"/>
          <w:szCs w:val="16"/>
        </w:rPr>
        <w:t xml:space="preserve"> </w:t>
      </w:r>
    </w:p>
  </w:footnote>
  <w:footnote w:id="34">
    <w:p w14:paraId="2BFEBDE5" w14:textId="77777777" w:rsidR="006E6B4C" w:rsidRPr="004A0F58" w:rsidRDefault="006E6B4C" w:rsidP="00860007">
      <w:pPr>
        <w:pStyle w:val="Textpoznpodarou"/>
        <w:rPr>
          <w:color w:val="0D0D0D" w:themeColor="text1" w:themeTint="F2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</w:t>
      </w:r>
      <w:r w:rsidRPr="004A0F58">
        <w:rPr>
          <w:rFonts w:cs="Arial"/>
          <w:color w:val="0D0D0D" w:themeColor="text1" w:themeTint="F2"/>
          <w:sz w:val="16"/>
          <w:szCs w:val="16"/>
        </w:rPr>
        <w:t xml:space="preserve">Dle údajů </w:t>
      </w:r>
      <w:r w:rsidRPr="004A0F58">
        <w:rPr>
          <w:color w:val="0D0D0D" w:themeColor="text1" w:themeTint="F2"/>
          <w:sz w:val="16"/>
          <w:szCs w:val="16"/>
        </w:rPr>
        <w:t xml:space="preserve">Unie filmových distributorů vzrostly v 1. čtvrtletí 2026 hrubé nominální tržby provozovatelů kin v Česku meziročně o 4,5 %, </w:t>
      </w:r>
      <w:r>
        <w:rPr>
          <w:color w:val="0D0D0D" w:themeColor="text1" w:themeTint="F2"/>
          <w:sz w:val="16"/>
          <w:szCs w:val="16"/>
        </w:rPr>
        <w:br/>
      </w:r>
      <w:r w:rsidRPr="004A0F58">
        <w:rPr>
          <w:color w:val="0D0D0D" w:themeColor="text1" w:themeTint="F2"/>
          <w:sz w:val="16"/>
          <w:szCs w:val="16"/>
        </w:rPr>
        <w:t>a to při stagnaci celkové návštěvnosti (na 2,9 mil. osob) i počtu odehraných představení. Oproti roku 2019, kdy většina výkonových ukazatelů dosáhla maxima, byla aktuální návštěvnost kin (při 2% redukci počtu odehraných představení) nižší o 43 % a tržeb o 28 %.</w:t>
      </w:r>
    </w:p>
  </w:footnote>
  <w:footnote w:id="35">
    <w:p w14:paraId="66C7BBC0" w14:textId="77777777" w:rsidR="006E6B4C" w:rsidRPr="004A0F58" w:rsidRDefault="006E6B4C" w:rsidP="00860007">
      <w:pPr>
        <w:pStyle w:val="Textpoznpodarou"/>
        <w:rPr>
          <w:color w:val="0D0D0D" w:themeColor="text1" w:themeTint="F2"/>
          <w:sz w:val="16"/>
          <w:szCs w:val="16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</w:t>
      </w:r>
      <w:r w:rsidRPr="004A0F58">
        <w:rPr>
          <w:color w:val="0D0D0D" w:themeColor="text1" w:themeTint="F2"/>
          <w:spacing w:val="-4"/>
          <w:sz w:val="16"/>
          <w:szCs w:val="16"/>
        </w:rPr>
        <w:t xml:space="preserve">Do aktuálního (i loňského) vývoje promlouvaly svižně rostoucí ceny za tvorbu programů a vysílání. Tržby v běžných cenách totiž v 1. čtvrtletí 2026 rostly o 11,9 %. </w:t>
      </w:r>
    </w:p>
  </w:footnote>
  <w:footnote w:id="36">
    <w:p w14:paraId="177AB27C" w14:textId="77777777" w:rsidR="006E6B4C" w:rsidRPr="004A0F58" w:rsidRDefault="006E6B4C" w:rsidP="00860007">
      <w:pPr>
        <w:pStyle w:val="Textpoznpodarou"/>
        <w:rPr>
          <w:color w:val="0D0D0D" w:themeColor="text1" w:themeTint="F2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Jde především o činnosti webových portálů, zpravodajských tiskových kanceláří a agentur či zpracování dat a hosting. Ve druhé polovině minulé dekády, ale i během „pandemického období“ patřil přitom růst poptávky v tomto oboru v rámci služeb k nejvyšším. V letech 2022 až 2024 zde ovšem tržby celkově spíše stagnovaly a loni nastalo jen dílčí oživení. </w:t>
      </w:r>
    </w:p>
  </w:footnote>
  <w:footnote w:id="37">
    <w:p w14:paraId="591DEA94" w14:textId="77777777" w:rsidR="006E6B4C" w:rsidRPr="004A0F58" w:rsidRDefault="006E6B4C" w:rsidP="00860007">
      <w:pPr>
        <w:pStyle w:val="Textpoznpodarou"/>
        <w:rPr>
          <w:color w:val="0D0D0D" w:themeColor="text1" w:themeTint="F2"/>
          <w:sz w:val="16"/>
          <w:szCs w:val="16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Ty zahrnutí různorodé aktivity vč. manipulace s nákladem.</w:t>
      </w:r>
    </w:p>
  </w:footnote>
  <w:footnote w:id="38">
    <w:p w14:paraId="6BBD1E0F" w14:textId="77777777" w:rsidR="006E6B4C" w:rsidRPr="004A0F58" w:rsidRDefault="006E6B4C" w:rsidP="00860007">
      <w:pPr>
        <w:pStyle w:val="Textpoznpodarou"/>
        <w:rPr>
          <w:color w:val="0D0D0D" w:themeColor="text1" w:themeTint="F2"/>
          <w:spacing w:val="-2"/>
          <w:sz w:val="16"/>
          <w:szCs w:val="16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</w:t>
      </w:r>
      <w:r w:rsidRPr="004A0F58">
        <w:rPr>
          <w:color w:val="0D0D0D" w:themeColor="text1" w:themeTint="F2"/>
          <w:spacing w:val="-2"/>
          <w:sz w:val="16"/>
          <w:szCs w:val="16"/>
        </w:rPr>
        <w:t>V 1. čtvrtletí 2026 se zvýšily ceny ubytovacích služeb meziročně o 6,7 % a stravovacích služeb o 4,2 %. Proti roku 2015 byly v úhrnu za oba segmenty vyšší o 102 %, kdežto ceny v celém spotřebitelském koši se za stejné období navýšily „pouze“ o 57 %.</w:t>
      </w:r>
    </w:p>
  </w:footnote>
  <w:footnote w:id="39">
    <w:p w14:paraId="51370DAC" w14:textId="77777777" w:rsidR="006E6B4C" w:rsidRPr="004A0F58" w:rsidRDefault="006E6B4C" w:rsidP="00860007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color w:val="0D0D0D" w:themeColor="text1" w:themeTint="F2"/>
          <w:sz w:val="16"/>
          <w:szCs w:val="16"/>
        </w:rPr>
      </w:pPr>
      <w:r w:rsidRPr="004A0F58">
        <w:rPr>
          <w:rStyle w:val="Znakapoznpodarou"/>
          <w:rFonts w:ascii="Arial" w:hAnsi="Arial" w:cs="Arial"/>
          <w:color w:val="0D0D0D" w:themeColor="text1" w:themeTint="F2"/>
          <w:sz w:val="16"/>
          <w:szCs w:val="16"/>
        </w:rPr>
        <w:footnoteRef/>
      </w:r>
      <w:r w:rsidRPr="004A0F58">
        <w:rPr>
          <w:rFonts w:ascii="Arial" w:hAnsi="Arial" w:cs="Arial"/>
          <w:color w:val="0D0D0D" w:themeColor="text1" w:themeTint="F2"/>
          <w:sz w:val="16"/>
          <w:szCs w:val="16"/>
        </w:rPr>
        <w:t xml:space="preserve"> </w:t>
      </w:r>
      <w:r w:rsidRPr="004A0F58">
        <w:rPr>
          <w:rStyle w:val="normaltextrun"/>
          <w:rFonts w:ascii="Arial" w:eastAsiaTheme="majorEastAsia" w:hAnsi="Arial" w:cs="Arial"/>
          <w:color w:val="0D0D0D" w:themeColor="text1" w:themeTint="F2"/>
          <w:sz w:val="16"/>
          <w:szCs w:val="16"/>
        </w:rPr>
        <w:t>Nejvíce turistů přijelo do HUZ v Česku v 1. čtvrtletí 2026 z Německa (474 tis</w:t>
      </w:r>
      <w:r>
        <w:rPr>
          <w:rStyle w:val="normaltextrun"/>
          <w:rFonts w:ascii="Arial" w:eastAsiaTheme="majorEastAsia" w:hAnsi="Arial" w:cs="Arial"/>
          <w:color w:val="0D0D0D" w:themeColor="text1" w:themeTint="F2"/>
          <w:sz w:val="16"/>
          <w:szCs w:val="16"/>
        </w:rPr>
        <w:t>.</w:t>
      </w:r>
      <w:r w:rsidRPr="004A0F58">
        <w:rPr>
          <w:rStyle w:val="normaltextrun"/>
          <w:rFonts w:ascii="Arial" w:eastAsiaTheme="majorEastAsia" w:hAnsi="Arial" w:cs="Arial"/>
          <w:color w:val="0D0D0D" w:themeColor="text1" w:themeTint="F2"/>
          <w:sz w:val="16"/>
          <w:szCs w:val="16"/>
        </w:rPr>
        <w:t xml:space="preserve">), Polska (188 tis.), Slovenska (172 tis.) a více než 100 tisíc nerezidentů dorazilo i </w:t>
      </w:r>
      <w:r>
        <w:rPr>
          <w:rStyle w:val="normaltextrun"/>
          <w:rFonts w:ascii="Arial" w:eastAsiaTheme="majorEastAsia" w:hAnsi="Arial" w:cs="Arial"/>
          <w:color w:val="0D0D0D" w:themeColor="text1" w:themeTint="F2"/>
          <w:sz w:val="16"/>
          <w:szCs w:val="16"/>
        </w:rPr>
        <w:t xml:space="preserve">z </w:t>
      </w:r>
      <w:r w:rsidRPr="004A0F58">
        <w:rPr>
          <w:rStyle w:val="normaltextrun"/>
          <w:rFonts w:ascii="Arial" w:eastAsiaTheme="majorEastAsia" w:hAnsi="Arial" w:cs="Arial"/>
          <w:color w:val="0D0D0D" w:themeColor="text1" w:themeTint="F2"/>
          <w:sz w:val="16"/>
          <w:szCs w:val="16"/>
        </w:rPr>
        <w:t>Velké Británie (vč. Severního Irska) a z Itálie. Přenocování všech nerezidentů se meziročně zvýšilo o 7,3 %, zejména díky Němcům (jichž přibylo o 6,3 %), Polákům (+8,1 %), Slovákům (+10,2 %) a občanům USA (+13,6 %). V rámci váhově nejvýznamnějších skupin klientely stagnovala poptávka Britů a klesla zejména u Izraelců (o 28 %). Prudce zhoršená geopolitická situace na Blízkém východě se patrně promítla i do slabší poptávky dalších skupin hostů z této oblasti a negativně tak mohla ovlivnit některá lázeňská zařízení. Větší dopad lze při pokračujícím konfliktu čekat ovšem až v následujících čtvrtletích.</w:t>
      </w:r>
    </w:p>
  </w:footnote>
  <w:footnote w:id="40">
    <w:p w14:paraId="481472CD" w14:textId="77777777" w:rsidR="006E6B4C" w:rsidRPr="004A0F58" w:rsidRDefault="006E6B4C" w:rsidP="00860007">
      <w:pPr>
        <w:pStyle w:val="Textpoznpodarou"/>
        <w:rPr>
          <w:color w:val="0D0D0D" w:themeColor="text1" w:themeTint="F2"/>
          <w:sz w:val="16"/>
          <w:szCs w:val="16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</w:t>
      </w:r>
      <w:r w:rsidRPr="004A0F58">
        <w:rPr>
          <w:rStyle w:val="normaltextrun"/>
          <w:rFonts w:eastAsiaTheme="majorEastAsia"/>
          <w:color w:val="0D0D0D" w:themeColor="text1" w:themeTint="F2"/>
          <w:sz w:val="16"/>
          <w:szCs w:val="16"/>
        </w:rPr>
        <w:t>Přestože přírodního sněhu bylo i na horách obecně málo, příznivý vliv na jejich provoz měl relativně chladnější leden a také absence výraznějších období oblevy v následující části zimy.</w:t>
      </w:r>
    </w:p>
  </w:footnote>
  <w:footnote w:id="41">
    <w:p w14:paraId="5384EADA" w14:textId="77777777" w:rsidR="006E6B4C" w:rsidRPr="001A4EAE" w:rsidRDefault="006E6B4C" w:rsidP="00860007">
      <w:pPr>
        <w:pStyle w:val="Textpoznpodarou"/>
        <w:rPr>
          <w:sz w:val="16"/>
          <w:szCs w:val="16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Počet přenocování zde rostl</w:t>
      </w:r>
      <w:r w:rsidRPr="004A0F58">
        <w:rPr>
          <w:rStyle w:val="normaltextrun"/>
          <w:rFonts w:eastAsiaTheme="majorEastAsia" w:cs="Arial"/>
          <w:color w:val="0D0D0D" w:themeColor="text1" w:themeTint="F2"/>
          <w:sz w:val="16"/>
          <w:szCs w:val="16"/>
        </w:rPr>
        <w:t xml:space="preserve"> dvojciferným tempem nejen u cizinců, ale také </w:t>
      </w:r>
      <w:r>
        <w:rPr>
          <w:rStyle w:val="normaltextrun"/>
          <w:rFonts w:eastAsiaTheme="majorEastAsia" w:cs="Arial"/>
          <w:color w:val="0D0D0D" w:themeColor="text1" w:themeTint="F2"/>
          <w:sz w:val="16"/>
          <w:szCs w:val="16"/>
        </w:rPr>
        <w:t xml:space="preserve">u </w:t>
      </w:r>
      <w:r w:rsidRPr="004A0F58">
        <w:rPr>
          <w:rStyle w:val="normaltextrun"/>
          <w:rFonts w:eastAsiaTheme="majorEastAsia" w:cs="Arial"/>
          <w:color w:val="0D0D0D" w:themeColor="text1" w:themeTint="F2"/>
          <w:sz w:val="16"/>
          <w:szCs w:val="16"/>
        </w:rPr>
        <w:t>domácích hostů.</w:t>
      </w:r>
    </w:p>
  </w:footnote>
  <w:footnote w:id="42">
    <w:p w14:paraId="2D3298DE" w14:textId="77777777" w:rsidR="006E6B4C" w:rsidRPr="004A0F58" w:rsidRDefault="006E6B4C" w:rsidP="00860007">
      <w:pPr>
        <w:pStyle w:val="Textpoznpodarou"/>
        <w:rPr>
          <w:color w:val="0D0D0D" w:themeColor="text1" w:themeTint="F2"/>
          <w:sz w:val="16"/>
          <w:szCs w:val="16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</w:t>
      </w:r>
      <w:r w:rsidRPr="004A0F58">
        <w:rPr>
          <w:rStyle w:val="normaltextrun"/>
          <w:rFonts w:eastAsiaTheme="majorEastAsia" w:cs="Arial"/>
          <w:color w:val="0D0D0D" w:themeColor="text1" w:themeTint="F2"/>
          <w:sz w:val="16"/>
          <w:szCs w:val="16"/>
        </w:rPr>
        <w:t>Atraktivitu tohoto regionu patně zvýraznilo pořádání zhruba dvoutýdenního únorového Olympijského festivalu na českobudějovickém výstavišti, kam dle údajů organizátorů dorazilo 112 tis. hostů (část z nich pocházela i z jiných regionů a využila služeb místních HUZ).</w:t>
      </w:r>
    </w:p>
  </w:footnote>
  <w:footnote w:id="43">
    <w:p w14:paraId="091F572A" w14:textId="77777777" w:rsidR="006E6B4C" w:rsidRPr="004A0F58" w:rsidRDefault="006E6B4C" w:rsidP="00860007">
      <w:pPr>
        <w:pStyle w:val="Textpoznpodarou"/>
        <w:rPr>
          <w:color w:val="0D0D0D" w:themeColor="text1" w:themeTint="F2"/>
          <w:sz w:val="16"/>
          <w:szCs w:val="16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Počet přenocování se zvýšil i díky vyšší poptávce nerezidentů (+1,6 %). T</w:t>
      </w:r>
      <w:r>
        <w:rPr>
          <w:color w:val="0D0D0D" w:themeColor="text1" w:themeTint="F2"/>
          <w:sz w:val="16"/>
          <w:szCs w:val="16"/>
        </w:rPr>
        <w:t>o</w:t>
      </w:r>
      <w:r w:rsidRPr="004A0F58">
        <w:rPr>
          <w:color w:val="0D0D0D" w:themeColor="text1" w:themeTint="F2"/>
          <w:sz w:val="16"/>
          <w:szCs w:val="16"/>
        </w:rPr>
        <w:t xml:space="preserve"> překonal</w:t>
      </w:r>
      <w:r>
        <w:rPr>
          <w:color w:val="0D0D0D" w:themeColor="text1" w:themeTint="F2"/>
          <w:sz w:val="16"/>
          <w:szCs w:val="16"/>
        </w:rPr>
        <w:t>o</w:t>
      </w:r>
      <w:r w:rsidRPr="004A0F58">
        <w:rPr>
          <w:color w:val="0D0D0D" w:themeColor="text1" w:themeTint="F2"/>
          <w:sz w:val="16"/>
          <w:szCs w:val="16"/>
        </w:rPr>
        <w:t xml:space="preserve"> předkrizovou úroveň poprvé v</w:t>
      </w:r>
      <w:r>
        <w:rPr>
          <w:color w:val="0D0D0D" w:themeColor="text1" w:themeTint="F2"/>
          <w:sz w:val="16"/>
          <w:szCs w:val="16"/>
        </w:rPr>
        <w:t>e</w:t>
      </w:r>
      <w:r w:rsidRPr="004A0F58">
        <w:rPr>
          <w:color w:val="0D0D0D" w:themeColor="text1" w:themeTint="F2"/>
          <w:sz w:val="16"/>
          <w:szCs w:val="16"/>
        </w:rPr>
        <w:t> 4. čtvrtletí 2025.</w:t>
      </w:r>
    </w:p>
  </w:footnote>
  <w:footnote w:id="44">
    <w:p w14:paraId="125FA9EC" w14:textId="77777777" w:rsidR="006E6B4C" w:rsidRPr="004A0F58" w:rsidRDefault="006E6B4C" w:rsidP="00860007">
      <w:pPr>
        <w:pStyle w:val="Textpoznpodarou"/>
        <w:rPr>
          <w:color w:val="0D0D0D" w:themeColor="text1" w:themeTint="F2"/>
          <w:sz w:val="16"/>
          <w:szCs w:val="16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Ty zahrnují např. pořádání konferencí a výstav, inkasní činnosti, ověřování solventnosti zákazníka, ale také např. činnosti call-center. </w:t>
      </w:r>
    </w:p>
  </w:footnote>
  <w:footnote w:id="45">
    <w:p w14:paraId="7B067708" w14:textId="77777777" w:rsidR="006E6B4C" w:rsidRPr="004A0F58" w:rsidRDefault="006E6B4C" w:rsidP="00860007">
      <w:pPr>
        <w:pStyle w:val="Textpoznpodarou"/>
        <w:rPr>
          <w:color w:val="0D0D0D" w:themeColor="text1" w:themeTint="F2"/>
          <w:sz w:val="16"/>
          <w:szCs w:val="16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Meziročně se nadále nejvíce zvyšovaly tržby (bez očištění o kalendářní vlivy) za pronájem a leasing ostatních strojů (např. stavebních či zemědělských), zařízení a nákladních automobilů (+4,0 %), slabší růst nastal u pronájmu a leasingu osobních automobilů (a jiných lehkých motorových vozidel). Pronájem a leasing výrobků pro osobní potřebu a převážně pro domácnost (zahrnují např. rekreační </w:t>
      </w:r>
      <w:r>
        <w:rPr>
          <w:color w:val="0D0D0D" w:themeColor="text1" w:themeTint="F2"/>
          <w:sz w:val="16"/>
          <w:szCs w:val="16"/>
        </w:rPr>
        <w:br/>
      </w:r>
      <w:r w:rsidRPr="004A0F58">
        <w:rPr>
          <w:color w:val="0D0D0D" w:themeColor="text1" w:themeTint="F2"/>
          <w:sz w:val="16"/>
          <w:szCs w:val="16"/>
        </w:rPr>
        <w:t>a sportovní potřeby) se mírně snížil, zčásti vlivem zvýšené loňské základny.</w:t>
      </w:r>
    </w:p>
  </w:footnote>
  <w:footnote w:id="46">
    <w:p w14:paraId="421165DE" w14:textId="77777777" w:rsidR="006E6B4C" w:rsidRPr="008D2DFF" w:rsidRDefault="006E6B4C" w:rsidP="00860007">
      <w:pPr>
        <w:spacing w:after="0" w:line="240" w:lineRule="auto"/>
        <w:jc w:val="left"/>
        <w:rPr>
          <w:bCs/>
          <w:color w:val="0D0D0D" w:themeColor="text1" w:themeTint="F2"/>
          <w:spacing w:val="-4"/>
          <w:sz w:val="16"/>
          <w:szCs w:val="16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</w:t>
      </w:r>
      <w:r w:rsidRPr="004A0F58">
        <w:rPr>
          <w:bCs/>
          <w:color w:val="0D0D0D" w:themeColor="text1" w:themeTint="F2"/>
          <w:spacing w:val="-4"/>
          <w:sz w:val="16"/>
          <w:szCs w:val="16"/>
        </w:rPr>
        <w:t xml:space="preserve">Ty zahrnují především čištění a úklid budov a </w:t>
      </w:r>
      <w:r w:rsidRPr="008D2DFF">
        <w:rPr>
          <w:bCs/>
          <w:color w:val="0D0D0D" w:themeColor="text1" w:themeTint="F2"/>
          <w:spacing w:val="-4"/>
          <w:sz w:val="16"/>
          <w:szCs w:val="16"/>
        </w:rPr>
        <w:t>průmyslových zařízení.</w:t>
      </w:r>
    </w:p>
  </w:footnote>
  <w:footnote w:id="47">
    <w:p w14:paraId="307DC825" w14:textId="77777777" w:rsidR="006E6B4C" w:rsidRPr="004A0F58" w:rsidRDefault="006E6B4C" w:rsidP="00860007">
      <w:pPr>
        <w:pStyle w:val="Textpoznpodarou"/>
        <w:rPr>
          <w:color w:val="0D0D0D" w:themeColor="text1" w:themeTint="F2"/>
          <w:sz w:val="16"/>
          <w:szCs w:val="16"/>
        </w:rPr>
      </w:pPr>
      <w:r w:rsidRPr="008D2DFF">
        <w:rPr>
          <w:rStyle w:val="Znakapoznpodarou"/>
          <w:color w:val="0D0D0D" w:themeColor="text1" w:themeTint="F2"/>
          <w:sz w:val="16"/>
          <w:szCs w:val="16"/>
        </w:rPr>
        <w:footnoteRef/>
      </w:r>
      <w:r w:rsidRPr="008D2DFF">
        <w:rPr>
          <w:color w:val="0D0D0D" w:themeColor="text1" w:themeTint="F2"/>
          <w:sz w:val="16"/>
          <w:szCs w:val="16"/>
        </w:rPr>
        <w:t xml:space="preserve"> </w:t>
      </w:r>
      <w:r w:rsidRPr="007A2224">
        <w:rPr>
          <w:color w:val="0D0D0D" w:themeColor="text1" w:themeTint="F2"/>
          <w:spacing w:val="-4"/>
          <w:sz w:val="16"/>
          <w:szCs w:val="16"/>
        </w:rPr>
        <w:t>K poklesu tržeb zde došlo i při vysokém růstu počtu pracujících cizinců v ČR. Na něm se v posledních čtyřech letech významně podíleli uprchlíci z Ukrajiny. Vzhledem ke statutu dočasné ochrany, který byl těmto osobám přiznán, je jejich zaměstnávání v tuzemsku administrativně jednodušší (oproti ostatním skupinám migrantů z tzv. třetích zemí) a ti tak mohou snáze nalézt práci „napřímo“ (bez zprostředkovatele). Kromě výše uvedeného se na poklesu tržeb může podílet i snížená poptávka pracovních agentur ze strany některých klíčových výrobních oborů průmyslu.</w:t>
      </w:r>
    </w:p>
  </w:footnote>
  <w:footnote w:id="48">
    <w:p w14:paraId="64740CC1" w14:textId="77777777" w:rsidR="006E6B4C" w:rsidRPr="004A0F58" w:rsidRDefault="006E6B4C" w:rsidP="00860007">
      <w:pPr>
        <w:pStyle w:val="Textpoznpodarou"/>
        <w:rPr>
          <w:color w:val="0D0D0D" w:themeColor="text1" w:themeTint="F2"/>
          <w:sz w:val="16"/>
          <w:szCs w:val="16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Ta letos v březnu patřila (spolu s důvěru na samém konci roku 2025) k nejvyšším za posledních šest let (resp. od doby nástupu pandemie covid</w:t>
      </w:r>
      <w:r>
        <w:rPr>
          <w:color w:val="0D0D0D" w:themeColor="text1" w:themeTint="F2"/>
          <w:sz w:val="16"/>
          <w:szCs w:val="16"/>
        </w:rPr>
        <w:t>u</w:t>
      </w:r>
      <w:r w:rsidRPr="004A0F58">
        <w:rPr>
          <w:color w:val="0D0D0D" w:themeColor="text1" w:themeTint="F2"/>
          <w:sz w:val="16"/>
          <w:szCs w:val="16"/>
        </w:rPr>
        <w:t>-19).</w:t>
      </w:r>
    </w:p>
  </w:footnote>
  <w:footnote w:id="49">
    <w:p w14:paraId="531A35BC" w14:textId="77777777" w:rsidR="006E6B4C" w:rsidRPr="004A0F58" w:rsidRDefault="006E6B4C" w:rsidP="00860007">
      <w:pPr>
        <w:spacing w:after="0" w:line="240" w:lineRule="auto"/>
        <w:jc w:val="left"/>
        <w:rPr>
          <w:color w:val="0D0D0D" w:themeColor="text1" w:themeTint="F2"/>
          <w:spacing w:val="-2"/>
        </w:rPr>
      </w:pPr>
      <w:r w:rsidRPr="004A0F58">
        <w:rPr>
          <w:rStyle w:val="Znakapoznpodarou"/>
          <w:color w:val="0D0D0D" w:themeColor="text1" w:themeTint="F2"/>
          <w:spacing w:val="-2"/>
          <w:sz w:val="16"/>
          <w:szCs w:val="16"/>
        </w:rPr>
        <w:footnoteRef/>
      </w:r>
      <w:r w:rsidRPr="004A0F58">
        <w:rPr>
          <w:color w:val="0D0D0D" w:themeColor="text1" w:themeTint="F2"/>
          <w:spacing w:val="-2"/>
          <w:sz w:val="16"/>
          <w:szCs w:val="16"/>
        </w:rPr>
        <w:t xml:space="preserve"> Všechna meziroční tempa tržeb za maloobchod jsou uvedena ve stálých cenách a očištěna o kalendářní vlivy, mezičtvrtletní tempa jsou očištěna o sezónní vlivy (včetně vlivu počtu pracovních dnů). Maloobchod zahrnuje pouze odvětví CZ-NACE 47.</w:t>
      </w:r>
    </w:p>
  </w:footnote>
  <w:footnote w:id="50">
    <w:p w14:paraId="2F8C3D2C" w14:textId="77777777" w:rsidR="006E6B4C" w:rsidRPr="004A0F58" w:rsidRDefault="006E6B4C" w:rsidP="00860007">
      <w:pPr>
        <w:pStyle w:val="Textpoznpodarou"/>
        <w:rPr>
          <w:color w:val="0D0D0D" w:themeColor="text1" w:themeTint="F2"/>
          <w:sz w:val="16"/>
          <w:szCs w:val="16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Již během března mírně navýšil podíl domácností, jež se obávaly růstu cen. Významnější n</w:t>
      </w:r>
      <w:r>
        <w:rPr>
          <w:color w:val="0D0D0D" w:themeColor="text1" w:themeTint="F2"/>
          <w:sz w:val="16"/>
          <w:szCs w:val="16"/>
        </w:rPr>
        <w:t>á</w:t>
      </w:r>
      <w:r w:rsidRPr="004A0F58">
        <w:rPr>
          <w:color w:val="0D0D0D" w:themeColor="text1" w:themeTint="F2"/>
          <w:sz w:val="16"/>
          <w:szCs w:val="16"/>
        </w:rPr>
        <w:t xml:space="preserve">růst však nastal letos </w:t>
      </w:r>
      <w:r>
        <w:rPr>
          <w:color w:val="0D0D0D" w:themeColor="text1" w:themeTint="F2"/>
          <w:sz w:val="16"/>
          <w:szCs w:val="16"/>
        </w:rPr>
        <w:t xml:space="preserve">v </w:t>
      </w:r>
      <w:r w:rsidRPr="004A0F58">
        <w:rPr>
          <w:color w:val="0D0D0D" w:themeColor="text1" w:themeTint="F2"/>
          <w:sz w:val="16"/>
          <w:szCs w:val="16"/>
        </w:rPr>
        <w:t>dubnu, ani tehdy ovšem výrazně nepřekročil dlouhodobý průměr.</w:t>
      </w:r>
    </w:p>
  </w:footnote>
  <w:footnote w:id="51">
    <w:p w14:paraId="32138C97" w14:textId="77777777" w:rsidR="006E6B4C" w:rsidRPr="004A0F58" w:rsidRDefault="006E6B4C" w:rsidP="00860007">
      <w:pPr>
        <w:pStyle w:val="Textpoznpodarou"/>
        <w:rPr>
          <w:color w:val="0D0D0D" w:themeColor="text1" w:themeTint="F2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Úroveň tržeb ze 4. čtvrtletí </w:t>
      </w:r>
      <w:r>
        <w:rPr>
          <w:color w:val="0D0D0D" w:themeColor="text1" w:themeTint="F2"/>
          <w:sz w:val="16"/>
          <w:szCs w:val="16"/>
        </w:rPr>
        <w:t xml:space="preserve">2019 </w:t>
      </w:r>
      <w:r w:rsidRPr="004A0F58">
        <w:rPr>
          <w:color w:val="0D0D0D" w:themeColor="text1" w:themeTint="F2"/>
          <w:sz w:val="16"/>
          <w:szCs w:val="16"/>
        </w:rPr>
        <w:t>tak aktuálně překonával zejména segment nepotravinářského zboží (+9,6 %), a to především díky internetovému prodeji (+71,1 %). Znatelně nad předkrizovou úrovní se nacházel také prodej PHM (+14,9 %), naopak segment potravinářské</w:t>
      </w:r>
      <w:r>
        <w:rPr>
          <w:color w:val="0D0D0D" w:themeColor="text1" w:themeTint="F2"/>
          <w:sz w:val="16"/>
          <w:szCs w:val="16"/>
        </w:rPr>
        <w:t>ho</w:t>
      </w:r>
      <w:r w:rsidRPr="004A0F58">
        <w:rPr>
          <w:color w:val="0D0D0D" w:themeColor="text1" w:themeTint="F2"/>
          <w:sz w:val="16"/>
          <w:szCs w:val="16"/>
        </w:rPr>
        <w:t xml:space="preserve"> zboží</w:t>
      </w:r>
      <w:r>
        <w:rPr>
          <w:color w:val="0D0D0D" w:themeColor="text1" w:themeTint="F2"/>
          <w:sz w:val="16"/>
          <w:szCs w:val="16"/>
        </w:rPr>
        <w:t xml:space="preserve"> zaostával</w:t>
      </w:r>
      <w:r w:rsidRPr="004A0F58">
        <w:rPr>
          <w:color w:val="0D0D0D" w:themeColor="text1" w:themeTint="F2"/>
          <w:sz w:val="16"/>
          <w:szCs w:val="16"/>
        </w:rPr>
        <w:t xml:space="preserve"> (</w:t>
      </w:r>
      <w:r w:rsidRPr="004A0F58">
        <w:rPr>
          <w:color w:val="0D0D0D" w:themeColor="text1" w:themeTint="F2"/>
          <w:spacing w:val="-2"/>
          <w:sz w:val="16"/>
          <w:szCs w:val="16"/>
        </w:rPr>
        <w:t>−</w:t>
      </w:r>
      <w:r w:rsidRPr="004A0F58">
        <w:rPr>
          <w:color w:val="0D0D0D" w:themeColor="text1" w:themeTint="F2"/>
          <w:sz w:val="16"/>
          <w:szCs w:val="16"/>
        </w:rPr>
        <w:t xml:space="preserve">7,9 %) a </w:t>
      </w:r>
      <w:r>
        <w:rPr>
          <w:color w:val="0D0D0D" w:themeColor="text1" w:themeTint="F2"/>
          <w:sz w:val="16"/>
          <w:szCs w:val="16"/>
        </w:rPr>
        <w:t>stejně tak i</w:t>
      </w:r>
      <w:r w:rsidRPr="004A0F58">
        <w:rPr>
          <w:color w:val="0D0D0D" w:themeColor="text1" w:themeTint="F2"/>
          <w:sz w:val="16"/>
          <w:szCs w:val="16"/>
        </w:rPr>
        <w:t xml:space="preserve"> řad</w:t>
      </w:r>
      <w:r>
        <w:rPr>
          <w:color w:val="0D0D0D" w:themeColor="text1" w:themeTint="F2"/>
          <w:sz w:val="16"/>
          <w:szCs w:val="16"/>
        </w:rPr>
        <w:t>a</w:t>
      </w:r>
      <w:r w:rsidRPr="004A0F58">
        <w:rPr>
          <w:color w:val="0D0D0D" w:themeColor="text1" w:themeTint="F2"/>
          <w:sz w:val="16"/>
          <w:szCs w:val="16"/>
        </w:rPr>
        <w:t xml:space="preserve"> specializovaných (většinou menších) prodejen s nepotravinářským zbožím.</w:t>
      </w:r>
      <w:r w:rsidRPr="004A0F58">
        <w:rPr>
          <w:color w:val="0D0D0D" w:themeColor="text1" w:themeTint="F2"/>
        </w:rPr>
        <w:t xml:space="preserve"> </w:t>
      </w:r>
    </w:p>
  </w:footnote>
  <w:footnote w:id="52">
    <w:p w14:paraId="33053AE6" w14:textId="77777777" w:rsidR="006E6B4C" w:rsidRPr="004A0F58" w:rsidRDefault="006E6B4C" w:rsidP="00860007">
      <w:pPr>
        <w:pStyle w:val="Textpoznpodarou"/>
        <w:rPr>
          <w:color w:val="0D0D0D" w:themeColor="text1" w:themeTint="F2"/>
          <w:spacing w:val="-2"/>
          <w:sz w:val="16"/>
          <w:szCs w:val="16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</w:t>
      </w:r>
      <w:r w:rsidRPr="004A0F58">
        <w:rPr>
          <w:color w:val="0D0D0D" w:themeColor="text1" w:themeTint="F2"/>
          <w:spacing w:val="-2"/>
          <w:sz w:val="16"/>
          <w:szCs w:val="16"/>
        </w:rPr>
        <w:t xml:space="preserve">Vedle toho pokračoval pátý rok v řadě růst tržeb v okrajovém segmentu </w:t>
      </w:r>
      <w:r w:rsidRPr="004A0F58">
        <w:rPr>
          <w:rFonts w:cs="Arial"/>
          <w:color w:val="0D0D0D" w:themeColor="text1" w:themeTint="F2"/>
          <w:spacing w:val="-2"/>
          <w:sz w:val="16"/>
          <w:szCs w:val="16"/>
        </w:rPr>
        <w:t>nespecializovaných prodejen s převahou nepotravinářského zboží (aktuálně o 6,5 %). Ten se zaměřuje na nabídku různorodého</w:t>
      </w:r>
      <w:r>
        <w:rPr>
          <w:rFonts w:cs="Arial"/>
          <w:color w:val="0D0D0D" w:themeColor="text1" w:themeTint="F2"/>
          <w:spacing w:val="-2"/>
          <w:sz w:val="16"/>
          <w:szCs w:val="16"/>
        </w:rPr>
        <w:t>,</w:t>
      </w:r>
      <w:r w:rsidRPr="004A0F58">
        <w:rPr>
          <w:rFonts w:cs="Arial"/>
          <w:color w:val="0D0D0D" w:themeColor="text1" w:themeTint="F2"/>
          <w:spacing w:val="-2"/>
          <w:sz w:val="16"/>
          <w:szCs w:val="16"/>
        </w:rPr>
        <w:t xml:space="preserve"> spíše drobnějšího zboží za diskontní ceny a v posledních letech postupně v Česku rozšiřoval svou obchodní sítˇ.</w:t>
      </w:r>
    </w:p>
  </w:footnote>
  <w:footnote w:id="53">
    <w:p w14:paraId="6AB14C50" w14:textId="77777777" w:rsidR="006E6B4C" w:rsidRPr="004A0F58" w:rsidRDefault="006E6B4C" w:rsidP="00860007">
      <w:pPr>
        <w:pStyle w:val="Textpoznpodarou"/>
        <w:rPr>
          <w:color w:val="0D0D0D" w:themeColor="text1" w:themeTint="F2"/>
          <w:sz w:val="16"/>
          <w:szCs w:val="16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V něm tradičně dominují prodejny se sportovními potřebami. Patří sem ale také provozovny s hrami a hračkami, knihami, noviny, časopisy a papírenským zbožím.</w:t>
      </w:r>
    </w:p>
  </w:footnote>
  <w:footnote w:id="54">
    <w:p w14:paraId="2EC99332" w14:textId="77777777" w:rsidR="006E6B4C" w:rsidRPr="004A0F58" w:rsidRDefault="006E6B4C" w:rsidP="00860007">
      <w:pPr>
        <w:pStyle w:val="Textpoznpodarou"/>
        <w:rPr>
          <w:color w:val="0D0D0D" w:themeColor="text1" w:themeTint="F2"/>
          <w:sz w:val="16"/>
          <w:szCs w:val="16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Tržby zde tak stále citelně zaostávaly na výši z konce roku 2019 (</w:t>
      </w:r>
      <w:r w:rsidRPr="004A0F58">
        <w:rPr>
          <w:color w:val="0D0D0D" w:themeColor="text1" w:themeTint="F2"/>
          <w:spacing w:val="-2"/>
          <w:sz w:val="16"/>
          <w:szCs w:val="16"/>
        </w:rPr>
        <w:t>−</w:t>
      </w:r>
      <w:r w:rsidRPr="004A0F58">
        <w:rPr>
          <w:color w:val="0D0D0D" w:themeColor="text1" w:themeTint="F2"/>
          <w:sz w:val="16"/>
          <w:szCs w:val="16"/>
        </w:rPr>
        <w:t>23 %).</w:t>
      </w:r>
    </w:p>
  </w:footnote>
  <w:footnote w:id="55">
    <w:p w14:paraId="0620C1DB" w14:textId="77777777" w:rsidR="006E6B4C" w:rsidRPr="004A0F58" w:rsidRDefault="006E6B4C" w:rsidP="00860007">
      <w:pPr>
        <w:pStyle w:val="Textpoznpodarou"/>
        <w:rPr>
          <w:color w:val="0D0D0D" w:themeColor="text1" w:themeTint="F2"/>
          <w:sz w:val="16"/>
          <w:szCs w:val="16"/>
        </w:rPr>
      </w:pPr>
      <w:r w:rsidRPr="004A0F58">
        <w:rPr>
          <w:rStyle w:val="Znakapoznpodarou"/>
          <w:color w:val="0D0D0D" w:themeColor="text1" w:themeTint="F2"/>
          <w:spacing w:val="-2"/>
          <w:sz w:val="16"/>
          <w:szCs w:val="16"/>
        </w:rPr>
        <w:footnoteRef/>
      </w:r>
      <w:r w:rsidRPr="004A0F58">
        <w:rPr>
          <w:color w:val="0D0D0D" w:themeColor="text1" w:themeTint="F2"/>
          <w:spacing w:val="-2"/>
          <w:sz w:val="16"/>
          <w:szCs w:val="16"/>
        </w:rPr>
        <w:t xml:space="preserve"> V letech 2022 až 2025 zde tržby v celoročním pohledu klesaly (průměrným ročním tempem okolo 3 %). Lze předpokládat, že stále významnější část poptávky po počítačových a komunikačních zařízeních je realizována zpravidla ve větších provozovnách náležících (dle své převažující činnosti) do internetového prodeje.</w:t>
      </w:r>
      <w:r w:rsidRPr="004A0F58">
        <w:rPr>
          <w:color w:val="0D0D0D" w:themeColor="text1" w:themeTint="F2"/>
          <w:sz w:val="16"/>
          <w:szCs w:val="16"/>
        </w:rPr>
        <w:t xml:space="preserve"> </w:t>
      </w:r>
    </w:p>
  </w:footnote>
  <w:footnote w:id="56">
    <w:p w14:paraId="31B9961F" w14:textId="77777777" w:rsidR="006E6B4C" w:rsidRPr="004A0F58" w:rsidRDefault="006E6B4C" w:rsidP="00860007">
      <w:pPr>
        <w:pStyle w:val="Textpoznpodarou"/>
        <w:rPr>
          <w:color w:val="0D0D0D" w:themeColor="text1" w:themeTint="F2"/>
          <w:sz w:val="16"/>
          <w:szCs w:val="16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</w:t>
      </w:r>
      <w:r w:rsidRPr="004A0F58">
        <w:rPr>
          <w:color w:val="0D0D0D" w:themeColor="text1" w:themeTint="F2"/>
          <w:spacing w:val="-6"/>
          <w:sz w:val="16"/>
          <w:szCs w:val="16"/>
        </w:rPr>
        <w:t xml:space="preserve">Zahrnují hlavně </w:t>
      </w:r>
      <w:r w:rsidRPr="004A0F58">
        <w:rPr>
          <w:rStyle w:val="normaltextrun"/>
          <w:rFonts w:eastAsia="MS Gothic" w:cs="Arial"/>
          <w:color w:val="0D0D0D" w:themeColor="text1" w:themeTint="F2"/>
          <w:spacing w:val="-6"/>
          <w:sz w:val="16"/>
          <w:szCs w:val="16"/>
        </w:rPr>
        <w:t>železářské zboží, stavebniny, barvy, sklo, potřeby pro kutily, elektrospotřebiče, elektronik</w:t>
      </w:r>
      <w:r>
        <w:rPr>
          <w:rStyle w:val="normaltextrun"/>
          <w:rFonts w:eastAsia="MS Gothic" w:cs="Arial"/>
          <w:color w:val="0D0D0D" w:themeColor="text1" w:themeTint="F2"/>
          <w:spacing w:val="-6"/>
          <w:sz w:val="16"/>
          <w:szCs w:val="16"/>
        </w:rPr>
        <w:t>u</w:t>
      </w:r>
      <w:r w:rsidRPr="004A0F58">
        <w:rPr>
          <w:rStyle w:val="normaltextrun"/>
          <w:rFonts w:eastAsia="MS Gothic" w:cs="Arial"/>
          <w:color w:val="0D0D0D" w:themeColor="text1" w:themeTint="F2"/>
          <w:spacing w:val="-6"/>
          <w:sz w:val="16"/>
          <w:szCs w:val="16"/>
        </w:rPr>
        <w:t>, nábytek,</w:t>
      </w:r>
      <w:r w:rsidRPr="004A0F58">
        <w:rPr>
          <w:rFonts w:cs="Arial"/>
          <w:color w:val="0D0D0D" w:themeColor="text1" w:themeTint="F2"/>
          <w:spacing w:val="-6"/>
          <w:sz w:val="16"/>
          <w:szCs w:val="16"/>
        </w:rPr>
        <w:t xml:space="preserve"> </w:t>
      </w:r>
      <w:r w:rsidRPr="004A0F58">
        <w:rPr>
          <w:rStyle w:val="normaltextrun"/>
          <w:rFonts w:eastAsia="MS Gothic" w:cs="Arial"/>
          <w:color w:val="0D0D0D" w:themeColor="text1" w:themeTint="F2"/>
          <w:spacing w:val="-6"/>
          <w:sz w:val="16"/>
          <w:szCs w:val="16"/>
        </w:rPr>
        <w:t xml:space="preserve">svítidla, </w:t>
      </w:r>
      <w:r w:rsidRPr="004A0F58">
        <w:rPr>
          <w:rFonts w:cs="Arial"/>
          <w:color w:val="0D0D0D" w:themeColor="text1" w:themeTint="F2"/>
          <w:spacing w:val="-6"/>
          <w:sz w:val="16"/>
          <w:szCs w:val="16"/>
        </w:rPr>
        <w:t>koberce či bytový textil.</w:t>
      </w:r>
    </w:p>
  </w:footnote>
  <w:footnote w:id="57">
    <w:p w14:paraId="37C0F981" w14:textId="77777777" w:rsidR="006E6B4C" w:rsidRPr="00495FE3" w:rsidRDefault="006E6B4C" w:rsidP="00860007">
      <w:pPr>
        <w:pStyle w:val="Textpoznpodarou"/>
        <w:rPr>
          <w:spacing w:val="-2"/>
        </w:rPr>
      </w:pPr>
      <w:r w:rsidRPr="004A0F58">
        <w:rPr>
          <w:rStyle w:val="Znakapoznpodarou"/>
          <w:color w:val="0D0D0D" w:themeColor="text1" w:themeTint="F2"/>
          <w:spacing w:val="-2"/>
          <w:sz w:val="16"/>
          <w:szCs w:val="16"/>
        </w:rPr>
        <w:footnoteRef/>
      </w:r>
      <w:r w:rsidRPr="004A0F58">
        <w:rPr>
          <w:color w:val="0D0D0D" w:themeColor="text1" w:themeTint="F2"/>
          <w:spacing w:val="-2"/>
          <w:sz w:val="16"/>
          <w:szCs w:val="16"/>
        </w:rPr>
        <w:t xml:space="preserve"> Ty zahrnují např. masné výrobky, pečivo, cukrářské výrobky, nápoje či ov</w:t>
      </w:r>
      <w:r>
        <w:rPr>
          <w:color w:val="0D0D0D" w:themeColor="text1" w:themeTint="F2"/>
          <w:spacing w:val="-2"/>
          <w:sz w:val="16"/>
          <w:szCs w:val="16"/>
        </w:rPr>
        <w:t>o</w:t>
      </w:r>
      <w:r w:rsidRPr="004A0F58">
        <w:rPr>
          <w:color w:val="0D0D0D" w:themeColor="text1" w:themeTint="F2"/>
          <w:spacing w:val="-2"/>
          <w:sz w:val="16"/>
          <w:szCs w:val="16"/>
        </w:rPr>
        <w:t>ce a zeleninu. Největší váhu zde však v posledních letech mají prodejny s tabákovými výrobky, jejichž role roste zejména na úkor prodejen s masem.</w:t>
      </w:r>
    </w:p>
  </w:footnote>
  <w:footnote w:id="58">
    <w:p w14:paraId="0130A654" w14:textId="77777777" w:rsidR="006E6B4C" w:rsidRPr="004A0F58" w:rsidRDefault="006E6B4C" w:rsidP="00860007">
      <w:pPr>
        <w:pStyle w:val="Textpoznpodarou"/>
        <w:rPr>
          <w:iCs/>
          <w:color w:val="0D0D0D" w:themeColor="text1" w:themeTint="F2"/>
          <w:spacing w:val="-2"/>
          <w:sz w:val="16"/>
          <w:szCs w:val="16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</w:t>
      </w:r>
      <w:r w:rsidRPr="004A0F58">
        <w:rPr>
          <w:rFonts w:cs="Arial"/>
          <w:color w:val="0D0D0D" w:themeColor="text1" w:themeTint="F2"/>
          <w:spacing w:val="-2"/>
          <w:sz w:val="16"/>
          <w:szCs w:val="16"/>
        </w:rPr>
        <w:t xml:space="preserve">Spotřebitelská cena nafty dosahovala letos v únoru </w:t>
      </w:r>
      <w:r w:rsidRPr="004A0F58">
        <w:rPr>
          <w:iCs/>
          <w:color w:val="0D0D0D" w:themeColor="text1" w:themeTint="F2"/>
          <w:spacing w:val="-2"/>
          <w:sz w:val="16"/>
          <w:szCs w:val="16"/>
        </w:rPr>
        <w:t>v průměru 32,9 korun/l a benzín Natural 95 se na čerpacích stanicích prodával za 33,2 korun/l, v obou případech šlo o významný meziroční pokles (o 8,6 %, resp. 9,0 %). V březnu následně ceny těchto komodit prudce vzrostly</w:t>
      </w:r>
      <w:r>
        <w:rPr>
          <w:iCs/>
          <w:color w:val="0D0D0D" w:themeColor="text1" w:themeTint="F2"/>
          <w:spacing w:val="-2"/>
          <w:sz w:val="16"/>
          <w:szCs w:val="16"/>
        </w:rPr>
        <w:t>. V</w:t>
      </w:r>
      <w:r w:rsidRPr="004A0F58">
        <w:rPr>
          <w:iCs/>
          <w:color w:val="0D0D0D" w:themeColor="text1" w:themeTint="F2"/>
          <w:spacing w:val="-2"/>
          <w:sz w:val="16"/>
          <w:szCs w:val="16"/>
        </w:rPr>
        <w:t> mírnějším tempu tento vývoj pokračoval i v dubnu, kdy se již do cen částečně promítl efekt vládních regulačních opatření (snížení spotřební daně z nafty a stanovení maximální marže obchodníků a zavedení cenového stropu na prodej PHM). V dubn</w:t>
      </w:r>
      <w:r>
        <w:rPr>
          <w:iCs/>
          <w:color w:val="0D0D0D" w:themeColor="text1" w:themeTint="F2"/>
          <w:spacing w:val="-2"/>
          <w:sz w:val="16"/>
          <w:szCs w:val="16"/>
        </w:rPr>
        <w:t>u</w:t>
      </w:r>
      <w:r w:rsidRPr="004A0F58">
        <w:rPr>
          <w:iCs/>
          <w:color w:val="0D0D0D" w:themeColor="text1" w:themeTint="F2"/>
          <w:spacing w:val="-2"/>
          <w:sz w:val="16"/>
          <w:szCs w:val="16"/>
        </w:rPr>
        <w:t xml:space="preserve"> tak činila cena nafty 44,5 korun/l a cena benzínu Natural 95 pak 41,1 korun/l. To představovalo u obou komodit maxima za poslední tři a půl roku.</w:t>
      </w:r>
    </w:p>
  </w:footnote>
  <w:footnote w:id="59">
    <w:p w14:paraId="42699D89" w14:textId="77777777" w:rsidR="006E6B4C" w:rsidRPr="00D4179C" w:rsidRDefault="006E6B4C" w:rsidP="00860007">
      <w:pPr>
        <w:pStyle w:val="Textpoznpodarou"/>
        <w:rPr>
          <w:sz w:val="16"/>
          <w:szCs w:val="16"/>
        </w:rPr>
      </w:pPr>
      <w:r w:rsidRPr="004A0F58">
        <w:rPr>
          <w:rStyle w:val="Znakapoznpodarou"/>
          <w:color w:val="0D0D0D" w:themeColor="text1" w:themeTint="F2"/>
          <w:sz w:val="16"/>
          <w:szCs w:val="16"/>
        </w:rPr>
        <w:footnoteRef/>
      </w:r>
      <w:r w:rsidRPr="004A0F58">
        <w:rPr>
          <w:color w:val="0D0D0D" w:themeColor="text1" w:themeTint="F2"/>
          <w:sz w:val="16"/>
          <w:szCs w:val="16"/>
        </w:rPr>
        <w:t xml:space="preserve"> To nepřímo vyplývá i z počtu nových registrací vozidel v Česku.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6" w14:textId="3C11EE3B" w:rsidR="004C456F" w:rsidRPr="00C27E4F" w:rsidRDefault="004C456F" w:rsidP="00C27E4F">
    <w:pPr>
      <w:pStyle w:val="Zhlav"/>
    </w:pPr>
    <w:r>
      <w:t>Vývoj ekonomiky České republiky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7" w14:textId="4F78F164" w:rsidR="004C456F" w:rsidRPr="006F5416" w:rsidRDefault="004C456F" w:rsidP="00937AE2">
    <w:pPr>
      <w:pStyle w:val="Zhlav"/>
    </w:pPr>
    <w:r>
      <w:t>Vývoj ekonomiky České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C5946"/>
    <w:multiLevelType w:val="hybridMultilevel"/>
    <w:tmpl w:val="4C1C2D78"/>
    <w:lvl w:ilvl="0" w:tplc="B01A5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5764B"/>
    <w:multiLevelType w:val="hybridMultilevel"/>
    <w:tmpl w:val="84788BC8"/>
    <w:lvl w:ilvl="0" w:tplc="1B96A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55121"/>
    <w:multiLevelType w:val="hybridMultilevel"/>
    <w:tmpl w:val="338E27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361065"/>
    <w:multiLevelType w:val="hybridMultilevel"/>
    <w:tmpl w:val="991072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145AAD"/>
    <w:multiLevelType w:val="hybridMultilevel"/>
    <w:tmpl w:val="96304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35353"/>
    <w:multiLevelType w:val="multilevel"/>
    <w:tmpl w:val="1C0E9EAE"/>
    <w:name w:val="Analyz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462C8E"/>
    <w:multiLevelType w:val="hybridMultilevel"/>
    <w:tmpl w:val="84B46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64F20"/>
    <w:multiLevelType w:val="hybridMultilevel"/>
    <w:tmpl w:val="ADE25A6C"/>
    <w:lvl w:ilvl="0" w:tplc="04050001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52333"/>
    <w:multiLevelType w:val="multilevel"/>
    <w:tmpl w:val="D0ACF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8DA62F8"/>
    <w:multiLevelType w:val="hybridMultilevel"/>
    <w:tmpl w:val="419C8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A7A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2420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D106E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11355C0"/>
    <w:multiLevelType w:val="multilevel"/>
    <w:tmpl w:val="697E8B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9914012"/>
    <w:multiLevelType w:val="multilevel"/>
    <w:tmpl w:val="F380F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C1667"/>
    <w:multiLevelType w:val="hybridMultilevel"/>
    <w:tmpl w:val="735E7570"/>
    <w:lvl w:ilvl="0" w:tplc="5588AF8E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20" w:hanging="360"/>
      </w:pPr>
    </w:lvl>
    <w:lvl w:ilvl="2" w:tplc="0405001B" w:tentative="1">
      <w:start w:val="1"/>
      <w:numFmt w:val="lowerRoman"/>
      <w:lvlText w:val="%3."/>
      <w:lvlJc w:val="right"/>
      <w:pPr>
        <w:ind w:left="6240" w:hanging="180"/>
      </w:pPr>
    </w:lvl>
    <w:lvl w:ilvl="3" w:tplc="0405000F" w:tentative="1">
      <w:start w:val="1"/>
      <w:numFmt w:val="decimal"/>
      <w:lvlText w:val="%4."/>
      <w:lvlJc w:val="left"/>
      <w:pPr>
        <w:ind w:left="6960" w:hanging="360"/>
      </w:pPr>
    </w:lvl>
    <w:lvl w:ilvl="4" w:tplc="04050019" w:tentative="1">
      <w:start w:val="1"/>
      <w:numFmt w:val="lowerLetter"/>
      <w:lvlText w:val="%5."/>
      <w:lvlJc w:val="left"/>
      <w:pPr>
        <w:ind w:left="7680" w:hanging="360"/>
      </w:pPr>
    </w:lvl>
    <w:lvl w:ilvl="5" w:tplc="0405001B" w:tentative="1">
      <w:start w:val="1"/>
      <w:numFmt w:val="lowerRoman"/>
      <w:lvlText w:val="%6."/>
      <w:lvlJc w:val="right"/>
      <w:pPr>
        <w:ind w:left="8400" w:hanging="180"/>
      </w:pPr>
    </w:lvl>
    <w:lvl w:ilvl="6" w:tplc="0405000F" w:tentative="1">
      <w:start w:val="1"/>
      <w:numFmt w:val="decimal"/>
      <w:lvlText w:val="%7."/>
      <w:lvlJc w:val="left"/>
      <w:pPr>
        <w:ind w:left="9120" w:hanging="360"/>
      </w:pPr>
    </w:lvl>
    <w:lvl w:ilvl="7" w:tplc="04050019" w:tentative="1">
      <w:start w:val="1"/>
      <w:numFmt w:val="lowerLetter"/>
      <w:lvlText w:val="%8."/>
      <w:lvlJc w:val="left"/>
      <w:pPr>
        <w:ind w:left="9840" w:hanging="360"/>
      </w:pPr>
    </w:lvl>
    <w:lvl w:ilvl="8" w:tplc="0405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27" w15:restartNumberingAfterBreak="0">
    <w:nsid w:val="3D4D0562"/>
    <w:multiLevelType w:val="hybridMultilevel"/>
    <w:tmpl w:val="E8A8F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B1D16"/>
    <w:multiLevelType w:val="hybridMultilevel"/>
    <w:tmpl w:val="CA440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558D6"/>
    <w:multiLevelType w:val="hybridMultilevel"/>
    <w:tmpl w:val="1B90B8E0"/>
    <w:lvl w:ilvl="0" w:tplc="4B66ED1E">
      <w:start w:val="1"/>
      <w:numFmt w:val="decimal"/>
      <w:lvlText w:val="%1."/>
      <w:lvlJc w:val="left"/>
      <w:pPr>
        <w:ind w:left="4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25" w:hanging="360"/>
      </w:pPr>
    </w:lvl>
    <w:lvl w:ilvl="2" w:tplc="0405001B" w:tentative="1">
      <w:start w:val="1"/>
      <w:numFmt w:val="lowerRoman"/>
      <w:lvlText w:val="%3."/>
      <w:lvlJc w:val="right"/>
      <w:pPr>
        <w:ind w:left="6345" w:hanging="180"/>
      </w:pPr>
    </w:lvl>
    <w:lvl w:ilvl="3" w:tplc="0405000F" w:tentative="1">
      <w:start w:val="1"/>
      <w:numFmt w:val="decimal"/>
      <w:lvlText w:val="%4."/>
      <w:lvlJc w:val="left"/>
      <w:pPr>
        <w:ind w:left="7065" w:hanging="360"/>
      </w:pPr>
    </w:lvl>
    <w:lvl w:ilvl="4" w:tplc="04050019" w:tentative="1">
      <w:start w:val="1"/>
      <w:numFmt w:val="lowerLetter"/>
      <w:lvlText w:val="%5."/>
      <w:lvlJc w:val="left"/>
      <w:pPr>
        <w:ind w:left="7785" w:hanging="360"/>
      </w:pPr>
    </w:lvl>
    <w:lvl w:ilvl="5" w:tplc="0405001B" w:tentative="1">
      <w:start w:val="1"/>
      <w:numFmt w:val="lowerRoman"/>
      <w:lvlText w:val="%6."/>
      <w:lvlJc w:val="right"/>
      <w:pPr>
        <w:ind w:left="8505" w:hanging="180"/>
      </w:pPr>
    </w:lvl>
    <w:lvl w:ilvl="6" w:tplc="0405000F" w:tentative="1">
      <w:start w:val="1"/>
      <w:numFmt w:val="decimal"/>
      <w:lvlText w:val="%7."/>
      <w:lvlJc w:val="left"/>
      <w:pPr>
        <w:ind w:left="9225" w:hanging="360"/>
      </w:pPr>
    </w:lvl>
    <w:lvl w:ilvl="7" w:tplc="04050019" w:tentative="1">
      <w:start w:val="1"/>
      <w:numFmt w:val="lowerLetter"/>
      <w:lvlText w:val="%8."/>
      <w:lvlJc w:val="left"/>
      <w:pPr>
        <w:ind w:left="9945" w:hanging="360"/>
      </w:pPr>
    </w:lvl>
    <w:lvl w:ilvl="8" w:tplc="0405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30" w15:restartNumberingAfterBreak="0">
    <w:nsid w:val="479678F7"/>
    <w:multiLevelType w:val="hybridMultilevel"/>
    <w:tmpl w:val="A4DE7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5051A8"/>
    <w:multiLevelType w:val="hybridMultilevel"/>
    <w:tmpl w:val="DEACE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DA4287"/>
    <w:multiLevelType w:val="multilevel"/>
    <w:tmpl w:val="1C0E9EAE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90F3B"/>
    <w:multiLevelType w:val="hybridMultilevel"/>
    <w:tmpl w:val="D64CB604"/>
    <w:lvl w:ilvl="0" w:tplc="67AC8A1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655F88"/>
    <w:multiLevelType w:val="hybridMultilevel"/>
    <w:tmpl w:val="7028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567A6"/>
    <w:multiLevelType w:val="hybridMultilevel"/>
    <w:tmpl w:val="50E0F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CB210F"/>
    <w:multiLevelType w:val="multilevel"/>
    <w:tmpl w:val="D64CB60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D405E1"/>
    <w:multiLevelType w:val="multilevel"/>
    <w:tmpl w:val="5FC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EF3AA7"/>
    <w:multiLevelType w:val="multilevel"/>
    <w:tmpl w:val="909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B048D2"/>
    <w:multiLevelType w:val="hybridMultilevel"/>
    <w:tmpl w:val="D2A0F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235D04"/>
    <w:multiLevelType w:val="hybridMultilevel"/>
    <w:tmpl w:val="26840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747AF"/>
    <w:multiLevelType w:val="hybridMultilevel"/>
    <w:tmpl w:val="76204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51B2D"/>
    <w:multiLevelType w:val="hybridMultilevel"/>
    <w:tmpl w:val="858498FC"/>
    <w:lvl w:ilvl="0" w:tplc="B4A838D0">
      <w:start w:val="1"/>
      <w:numFmt w:val="bullet"/>
      <w:pStyle w:val="Normalodrka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DA7946"/>
    <w:multiLevelType w:val="multilevel"/>
    <w:tmpl w:val="6F3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8E301A"/>
    <w:multiLevelType w:val="hybridMultilevel"/>
    <w:tmpl w:val="1A92D7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4960533">
    <w:abstractNumId w:val="31"/>
  </w:num>
  <w:num w:numId="2" w16cid:durableId="997685702">
    <w:abstractNumId w:val="8"/>
  </w:num>
  <w:num w:numId="3" w16cid:durableId="2038313518">
    <w:abstractNumId w:val="3"/>
  </w:num>
  <w:num w:numId="4" w16cid:durableId="331031531">
    <w:abstractNumId w:val="2"/>
  </w:num>
  <w:num w:numId="5" w16cid:durableId="1757743337">
    <w:abstractNumId w:val="1"/>
  </w:num>
  <w:num w:numId="6" w16cid:durableId="409816451">
    <w:abstractNumId w:val="0"/>
  </w:num>
  <w:num w:numId="7" w16cid:durableId="1318534121">
    <w:abstractNumId w:val="9"/>
  </w:num>
  <w:num w:numId="8" w16cid:durableId="262305282">
    <w:abstractNumId w:val="7"/>
  </w:num>
  <w:num w:numId="9" w16cid:durableId="136917715">
    <w:abstractNumId w:val="6"/>
  </w:num>
  <w:num w:numId="10" w16cid:durableId="2045862263">
    <w:abstractNumId w:val="5"/>
  </w:num>
  <w:num w:numId="11" w16cid:durableId="191305307">
    <w:abstractNumId w:val="4"/>
  </w:num>
  <w:num w:numId="12" w16cid:durableId="333654438">
    <w:abstractNumId w:val="18"/>
  </w:num>
  <w:num w:numId="13" w16cid:durableId="969557016">
    <w:abstractNumId w:val="34"/>
  </w:num>
  <w:num w:numId="14" w16cid:durableId="607392429">
    <w:abstractNumId w:val="15"/>
  </w:num>
  <w:num w:numId="15" w16cid:durableId="1953782534">
    <w:abstractNumId w:val="24"/>
  </w:num>
  <w:num w:numId="16" w16cid:durableId="2048219208">
    <w:abstractNumId w:val="19"/>
  </w:num>
  <w:num w:numId="17" w16cid:durableId="684745295">
    <w:abstractNumId w:val="35"/>
  </w:num>
  <w:num w:numId="18" w16cid:durableId="1764376373">
    <w:abstractNumId w:val="25"/>
  </w:num>
  <w:num w:numId="19" w16cid:durableId="807280038">
    <w:abstractNumId w:val="38"/>
  </w:num>
  <w:num w:numId="20" w16cid:durableId="1692685976">
    <w:abstractNumId w:val="44"/>
  </w:num>
  <w:num w:numId="21" w16cid:durableId="1978029892">
    <w:abstractNumId w:val="33"/>
  </w:num>
  <w:num w:numId="22" w16cid:durableId="718896653">
    <w:abstractNumId w:val="23"/>
  </w:num>
  <w:num w:numId="23" w16cid:durableId="159078720">
    <w:abstractNumId w:val="21"/>
  </w:num>
  <w:num w:numId="24" w16cid:durableId="1135441192">
    <w:abstractNumId w:val="22"/>
  </w:num>
  <w:num w:numId="25" w16cid:durableId="1815366340">
    <w:abstractNumId w:val="41"/>
  </w:num>
  <w:num w:numId="26" w16cid:durableId="1577863405">
    <w:abstractNumId w:val="43"/>
  </w:num>
  <w:num w:numId="27" w16cid:durableId="223610688">
    <w:abstractNumId w:val="44"/>
  </w:num>
  <w:num w:numId="28" w16cid:durableId="1207061094">
    <w:abstractNumId w:val="13"/>
  </w:num>
  <w:num w:numId="29" w16cid:durableId="1693920833">
    <w:abstractNumId w:val="27"/>
  </w:num>
  <w:num w:numId="30" w16cid:durableId="1876775477">
    <w:abstractNumId w:val="26"/>
  </w:num>
  <w:num w:numId="31" w16cid:durableId="179972127">
    <w:abstractNumId w:val="10"/>
  </w:num>
  <w:num w:numId="32" w16cid:durableId="970136012">
    <w:abstractNumId w:val="28"/>
  </w:num>
  <w:num w:numId="33" w16cid:durableId="1617836376">
    <w:abstractNumId w:val="12"/>
  </w:num>
  <w:num w:numId="34" w16cid:durableId="357007340">
    <w:abstractNumId w:val="46"/>
  </w:num>
  <w:num w:numId="35" w16cid:durableId="2131776467">
    <w:abstractNumId w:val="11"/>
  </w:num>
  <w:num w:numId="36" w16cid:durableId="1776095800">
    <w:abstractNumId w:val="37"/>
  </w:num>
  <w:num w:numId="37" w16cid:durableId="862209000">
    <w:abstractNumId w:val="30"/>
  </w:num>
  <w:num w:numId="38" w16cid:durableId="322010878">
    <w:abstractNumId w:val="29"/>
  </w:num>
  <w:num w:numId="39" w16cid:durableId="1458373311">
    <w:abstractNumId w:val="39"/>
  </w:num>
  <w:num w:numId="40" w16cid:durableId="288441997">
    <w:abstractNumId w:val="45"/>
  </w:num>
  <w:num w:numId="41" w16cid:durableId="952595072">
    <w:abstractNumId w:val="40"/>
  </w:num>
  <w:num w:numId="42" w16cid:durableId="1427652868">
    <w:abstractNumId w:val="32"/>
  </w:num>
  <w:num w:numId="43" w16cid:durableId="1024401835">
    <w:abstractNumId w:val="20"/>
  </w:num>
  <w:num w:numId="44" w16cid:durableId="428089243">
    <w:abstractNumId w:val="14"/>
  </w:num>
  <w:num w:numId="45" w16cid:durableId="82647767">
    <w:abstractNumId w:val="36"/>
  </w:num>
  <w:num w:numId="46" w16cid:durableId="215163427">
    <w:abstractNumId w:val="16"/>
  </w:num>
  <w:num w:numId="47" w16cid:durableId="222064403">
    <w:abstractNumId w:val="44"/>
  </w:num>
  <w:num w:numId="48" w16cid:durableId="1639922006">
    <w:abstractNumId w:val="44"/>
    <w:lvlOverride w:ilvl="0">
      <w:startOverride w:val="1"/>
    </w:lvlOverride>
  </w:num>
  <w:num w:numId="49" w16cid:durableId="1509101590">
    <w:abstractNumId w:val="17"/>
  </w:num>
  <w:num w:numId="50" w16cid:durableId="14816520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62"/>
    <w:rsid w:val="0000209D"/>
    <w:rsid w:val="00004D5A"/>
    <w:rsid w:val="000056D5"/>
    <w:rsid w:val="00006ABD"/>
    <w:rsid w:val="0000767A"/>
    <w:rsid w:val="00010256"/>
    <w:rsid w:val="00010702"/>
    <w:rsid w:val="00011912"/>
    <w:rsid w:val="00011F39"/>
    <w:rsid w:val="00017058"/>
    <w:rsid w:val="0001750B"/>
    <w:rsid w:val="0002195D"/>
    <w:rsid w:val="000234D6"/>
    <w:rsid w:val="00023D29"/>
    <w:rsid w:val="00026389"/>
    <w:rsid w:val="00031AE0"/>
    <w:rsid w:val="000322EF"/>
    <w:rsid w:val="00033FCD"/>
    <w:rsid w:val="000347D3"/>
    <w:rsid w:val="00040D10"/>
    <w:rsid w:val="00041CEC"/>
    <w:rsid w:val="0004694F"/>
    <w:rsid w:val="000522E4"/>
    <w:rsid w:val="00054EA4"/>
    <w:rsid w:val="00055507"/>
    <w:rsid w:val="000610E1"/>
    <w:rsid w:val="00062EC5"/>
    <w:rsid w:val="00062F22"/>
    <w:rsid w:val="000673C2"/>
    <w:rsid w:val="000712B3"/>
    <w:rsid w:val="00073A4E"/>
    <w:rsid w:val="0008263E"/>
    <w:rsid w:val="000829B1"/>
    <w:rsid w:val="00082C19"/>
    <w:rsid w:val="00085395"/>
    <w:rsid w:val="00086CFB"/>
    <w:rsid w:val="00087634"/>
    <w:rsid w:val="00087F2B"/>
    <w:rsid w:val="00090C0E"/>
    <w:rsid w:val="000912CC"/>
    <w:rsid w:val="00092201"/>
    <w:rsid w:val="00095135"/>
    <w:rsid w:val="000974D1"/>
    <w:rsid w:val="0009799E"/>
    <w:rsid w:val="000A1183"/>
    <w:rsid w:val="000A256D"/>
    <w:rsid w:val="000A395A"/>
    <w:rsid w:val="000A3A2C"/>
    <w:rsid w:val="000A5265"/>
    <w:rsid w:val="000A57D4"/>
    <w:rsid w:val="000B1202"/>
    <w:rsid w:val="000B3CE2"/>
    <w:rsid w:val="000B7C8D"/>
    <w:rsid w:val="000C004E"/>
    <w:rsid w:val="000C2CF1"/>
    <w:rsid w:val="000C3408"/>
    <w:rsid w:val="000C6AFD"/>
    <w:rsid w:val="000C7C6F"/>
    <w:rsid w:val="000D1B52"/>
    <w:rsid w:val="000D3CE8"/>
    <w:rsid w:val="000D5637"/>
    <w:rsid w:val="000E15EA"/>
    <w:rsid w:val="000E22F0"/>
    <w:rsid w:val="000E6FBD"/>
    <w:rsid w:val="000F18D0"/>
    <w:rsid w:val="000F49A9"/>
    <w:rsid w:val="00100F5C"/>
    <w:rsid w:val="00101CDA"/>
    <w:rsid w:val="00102C41"/>
    <w:rsid w:val="00104C4C"/>
    <w:rsid w:val="00107F50"/>
    <w:rsid w:val="00117623"/>
    <w:rsid w:val="0012096D"/>
    <w:rsid w:val="0012192F"/>
    <w:rsid w:val="00122098"/>
    <w:rsid w:val="001224E5"/>
    <w:rsid w:val="00124443"/>
    <w:rsid w:val="00124940"/>
    <w:rsid w:val="00125D69"/>
    <w:rsid w:val="001302D9"/>
    <w:rsid w:val="001403D0"/>
    <w:rsid w:val="001405FA"/>
    <w:rsid w:val="00142254"/>
    <w:rsid w:val="001425C3"/>
    <w:rsid w:val="001476BD"/>
    <w:rsid w:val="001477BA"/>
    <w:rsid w:val="00151983"/>
    <w:rsid w:val="00153D91"/>
    <w:rsid w:val="001612F4"/>
    <w:rsid w:val="00161AB8"/>
    <w:rsid w:val="0016256B"/>
    <w:rsid w:val="001625B5"/>
    <w:rsid w:val="00163793"/>
    <w:rsid w:val="0016649F"/>
    <w:rsid w:val="00170621"/>
    <w:rsid w:val="001706D6"/>
    <w:rsid w:val="001714F2"/>
    <w:rsid w:val="00175B9F"/>
    <w:rsid w:val="00175C9E"/>
    <w:rsid w:val="00181BBC"/>
    <w:rsid w:val="00184B08"/>
    <w:rsid w:val="00185010"/>
    <w:rsid w:val="0019143B"/>
    <w:rsid w:val="00193777"/>
    <w:rsid w:val="001A0487"/>
    <w:rsid w:val="001A108E"/>
    <w:rsid w:val="001A4CA3"/>
    <w:rsid w:val="001A552F"/>
    <w:rsid w:val="001A5B6F"/>
    <w:rsid w:val="001A6170"/>
    <w:rsid w:val="001A7280"/>
    <w:rsid w:val="001B2CA9"/>
    <w:rsid w:val="001B3110"/>
    <w:rsid w:val="001B4729"/>
    <w:rsid w:val="001B4738"/>
    <w:rsid w:val="001B6310"/>
    <w:rsid w:val="001B6C09"/>
    <w:rsid w:val="001B73E6"/>
    <w:rsid w:val="001C05CD"/>
    <w:rsid w:val="001C2AA7"/>
    <w:rsid w:val="001C3924"/>
    <w:rsid w:val="001C6020"/>
    <w:rsid w:val="001D1815"/>
    <w:rsid w:val="001D40D7"/>
    <w:rsid w:val="001D48D4"/>
    <w:rsid w:val="001D68B2"/>
    <w:rsid w:val="001E1C2E"/>
    <w:rsid w:val="001E504C"/>
    <w:rsid w:val="001E5850"/>
    <w:rsid w:val="001E6062"/>
    <w:rsid w:val="001E6753"/>
    <w:rsid w:val="001F4597"/>
    <w:rsid w:val="00203DA4"/>
    <w:rsid w:val="00207871"/>
    <w:rsid w:val="002118B9"/>
    <w:rsid w:val="00213E46"/>
    <w:rsid w:val="00214CF7"/>
    <w:rsid w:val="002152E4"/>
    <w:rsid w:val="00216286"/>
    <w:rsid w:val="00216A01"/>
    <w:rsid w:val="002175EA"/>
    <w:rsid w:val="00217C5B"/>
    <w:rsid w:val="0022139E"/>
    <w:rsid w:val="00222729"/>
    <w:rsid w:val="00222833"/>
    <w:rsid w:val="002252E0"/>
    <w:rsid w:val="002255F6"/>
    <w:rsid w:val="00227850"/>
    <w:rsid w:val="00227A53"/>
    <w:rsid w:val="00230682"/>
    <w:rsid w:val="00230C6E"/>
    <w:rsid w:val="00233546"/>
    <w:rsid w:val="00233CD7"/>
    <w:rsid w:val="00233D05"/>
    <w:rsid w:val="00236443"/>
    <w:rsid w:val="00237B95"/>
    <w:rsid w:val="00241B06"/>
    <w:rsid w:val="00242119"/>
    <w:rsid w:val="002421C4"/>
    <w:rsid w:val="00242C10"/>
    <w:rsid w:val="002436BA"/>
    <w:rsid w:val="00243A3C"/>
    <w:rsid w:val="00244A15"/>
    <w:rsid w:val="0024661A"/>
    <w:rsid w:val="00247319"/>
    <w:rsid w:val="0024741D"/>
    <w:rsid w:val="002475AC"/>
    <w:rsid w:val="0024799E"/>
    <w:rsid w:val="00247EE7"/>
    <w:rsid w:val="0025271C"/>
    <w:rsid w:val="00252D48"/>
    <w:rsid w:val="00253C0F"/>
    <w:rsid w:val="002558C1"/>
    <w:rsid w:val="00255B30"/>
    <w:rsid w:val="00261A17"/>
    <w:rsid w:val="0027099B"/>
    <w:rsid w:val="00271465"/>
    <w:rsid w:val="00275385"/>
    <w:rsid w:val="00281666"/>
    <w:rsid w:val="0028207A"/>
    <w:rsid w:val="00282918"/>
    <w:rsid w:val="00285412"/>
    <w:rsid w:val="00290725"/>
    <w:rsid w:val="00291407"/>
    <w:rsid w:val="00291640"/>
    <w:rsid w:val="0029568F"/>
    <w:rsid w:val="00295A5D"/>
    <w:rsid w:val="002A1407"/>
    <w:rsid w:val="002A16D4"/>
    <w:rsid w:val="002A230C"/>
    <w:rsid w:val="002A66B0"/>
    <w:rsid w:val="002B2299"/>
    <w:rsid w:val="002B264B"/>
    <w:rsid w:val="002B4845"/>
    <w:rsid w:val="002B48B4"/>
    <w:rsid w:val="002C2FE9"/>
    <w:rsid w:val="002C3E17"/>
    <w:rsid w:val="002C43BD"/>
    <w:rsid w:val="002C49A0"/>
    <w:rsid w:val="002C5568"/>
    <w:rsid w:val="002D0E59"/>
    <w:rsid w:val="002E02A1"/>
    <w:rsid w:val="002E42AC"/>
    <w:rsid w:val="002E4E4C"/>
    <w:rsid w:val="002F2057"/>
    <w:rsid w:val="002F3E4F"/>
    <w:rsid w:val="002F40D1"/>
    <w:rsid w:val="00302ADD"/>
    <w:rsid w:val="00304771"/>
    <w:rsid w:val="0030495D"/>
    <w:rsid w:val="003052D4"/>
    <w:rsid w:val="00306C5B"/>
    <w:rsid w:val="00307B34"/>
    <w:rsid w:val="003103E0"/>
    <w:rsid w:val="0031173F"/>
    <w:rsid w:val="00314F9F"/>
    <w:rsid w:val="003209D6"/>
    <w:rsid w:val="00321205"/>
    <w:rsid w:val="00321924"/>
    <w:rsid w:val="00324442"/>
    <w:rsid w:val="0032656E"/>
    <w:rsid w:val="00327D4E"/>
    <w:rsid w:val="00332190"/>
    <w:rsid w:val="00333130"/>
    <w:rsid w:val="00340188"/>
    <w:rsid w:val="003421E1"/>
    <w:rsid w:val="0034226A"/>
    <w:rsid w:val="00343182"/>
    <w:rsid w:val="0034335E"/>
    <w:rsid w:val="00343701"/>
    <w:rsid w:val="00344668"/>
    <w:rsid w:val="003462D9"/>
    <w:rsid w:val="00352109"/>
    <w:rsid w:val="00360C86"/>
    <w:rsid w:val="00360FBC"/>
    <w:rsid w:val="00362E90"/>
    <w:rsid w:val="00364FA0"/>
    <w:rsid w:val="003657F3"/>
    <w:rsid w:val="00366591"/>
    <w:rsid w:val="00366647"/>
    <w:rsid w:val="00371826"/>
    <w:rsid w:val="00373504"/>
    <w:rsid w:val="00374FEF"/>
    <w:rsid w:val="0038123E"/>
    <w:rsid w:val="003818DC"/>
    <w:rsid w:val="00382C5B"/>
    <w:rsid w:val="00384327"/>
    <w:rsid w:val="00385D98"/>
    <w:rsid w:val="003A15ED"/>
    <w:rsid w:val="003A1A03"/>
    <w:rsid w:val="003A2B4D"/>
    <w:rsid w:val="003A2B5E"/>
    <w:rsid w:val="003A2D12"/>
    <w:rsid w:val="003A478C"/>
    <w:rsid w:val="003A5525"/>
    <w:rsid w:val="003A6B38"/>
    <w:rsid w:val="003B1CB3"/>
    <w:rsid w:val="003B461F"/>
    <w:rsid w:val="003B5A32"/>
    <w:rsid w:val="003B6B31"/>
    <w:rsid w:val="003B6BF6"/>
    <w:rsid w:val="003B7AFA"/>
    <w:rsid w:val="003C1099"/>
    <w:rsid w:val="003C16D0"/>
    <w:rsid w:val="003C3490"/>
    <w:rsid w:val="003C6550"/>
    <w:rsid w:val="003C79A6"/>
    <w:rsid w:val="003C7E62"/>
    <w:rsid w:val="003D5B4E"/>
    <w:rsid w:val="003D6920"/>
    <w:rsid w:val="003E3F1E"/>
    <w:rsid w:val="003E48F2"/>
    <w:rsid w:val="003E4C91"/>
    <w:rsid w:val="003E5DB7"/>
    <w:rsid w:val="003E62A5"/>
    <w:rsid w:val="003F313C"/>
    <w:rsid w:val="003F37FC"/>
    <w:rsid w:val="003F4B2C"/>
    <w:rsid w:val="003F551C"/>
    <w:rsid w:val="003F62B0"/>
    <w:rsid w:val="003F72ED"/>
    <w:rsid w:val="003F7D23"/>
    <w:rsid w:val="00400DF4"/>
    <w:rsid w:val="0040550D"/>
    <w:rsid w:val="004069FF"/>
    <w:rsid w:val="00407510"/>
    <w:rsid w:val="00407C13"/>
    <w:rsid w:val="0041041D"/>
    <w:rsid w:val="00410638"/>
    <w:rsid w:val="00410694"/>
    <w:rsid w:val="0041501E"/>
    <w:rsid w:val="004159C3"/>
    <w:rsid w:val="0041695B"/>
    <w:rsid w:val="00416EB7"/>
    <w:rsid w:val="00420136"/>
    <w:rsid w:val="00421773"/>
    <w:rsid w:val="00432A58"/>
    <w:rsid w:val="00434617"/>
    <w:rsid w:val="00440900"/>
    <w:rsid w:val="00441BF6"/>
    <w:rsid w:val="00443556"/>
    <w:rsid w:val="004441A0"/>
    <w:rsid w:val="004455BA"/>
    <w:rsid w:val="00446D77"/>
    <w:rsid w:val="0045010F"/>
    <w:rsid w:val="0045078A"/>
    <w:rsid w:val="0045086D"/>
    <w:rsid w:val="00451504"/>
    <w:rsid w:val="004557A9"/>
    <w:rsid w:val="00456339"/>
    <w:rsid w:val="004607BF"/>
    <w:rsid w:val="00460FB3"/>
    <w:rsid w:val="00465F26"/>
    <w:rsid w:val="0046627E"/>
    <w:rsid w:val="00476240"/>
    <w:rsid w:val="00476439"/>
    <w:rsid w:val="0047735C"/>
    <w:rsid w:val="004776BC"/>
    <w:rsid w:val="0048139F"/>
    <w:rsid w:val="00481E40"/>
    <w:rsid w:val="00484ECE"/>
    <w:rsid w:val="00485567"/>
    <w:rsid w:val="00487F47"/>
    <w:rsid w:val="004915CB"/>
    <w:rsid w:val="004924DC"/>
    <w:rsid w:val="004942CC"/>
    <w:rsid w:val="004963C7"/>
    <w:rsid w:val="004976EF"/>
    <w:rsid w:val="004A14E4"/>
    <w:rsid w:val="004A3212"/>
    <w:rsid w:val="004A5494"/>
    <w:rsid w:val="004A61C5"/>
    <w:rsid w:val="004A77DF"/>
    <w:rsid w:val="004B1417"/>
    <w:rsid w:val="004B55B7"/>
    <w:rsid w:val="004B5A60"/>
    <w:rsid w:val="004B6468"/>
    <w:rsid w:val="004B7125"/>
    <w:rsid w:val="004C180F"/>
    <w:rsid w:val="004C384C"/>
    <w:rsid w:val="004C3867"/>
    <w:rsid w:val="004C456F"/>
    <w:rsid w:val="004C4CD0"/>
    <w:rsid w:val="004C5B81"/>
    <w:rsid w:val="004C6092"/>
    <w:rsid w:val="004C70DC"/>
    <w:rsid w:val="004D0211"/>
    <w:rsid w:val="004D0794"/>
    <w:rsid w:val="004D5C93"/>
    <w:rsid w:val="004E1288"/>
    <w:rsid w:val="004E7C0C"/>
    <w:rsid w:val="004E7C6B"/>
    <w:rsid w:val="004F06F5"/>
    <w:rsid w:val="004F16B2"/>
    <w:rsid w:val="004F2C1B"/>
    <w:rsid w:val="004F33A0"/>
    <w:rsid w:val="004F3A59"/>
    <w:rsid w:val="00501EBC"/>
    <w:rsid w:val="005040A8"/>
    <w:rsid w:val="00504EE1"/>
    <w:rsid w:val="0050689D"/>
    <w:rsid w:val="00510205"/>
    <w:rsid w:val="005108C0"/>
    <w:rsid w:val="00511873"/>
    <w:rsid w:val="00511DE3"/>
    <w:rsid w:val="00512A2F"/>
    <w:rsid w:val="00513B7E"/>
    <w:rsid w:val="00515684"/>
    <w:rsid w:val="00515C74"/>
    <w:rsid w:val="00516086"/>
    <w:rsid w:val="0051713B"/>
    <w:rsid w:val="0052007E"/>
    <w:rsid w:val="0052337A"/>
    <w:rsid w:val="00525137"/>
    <w:rsid w:val="005251DD"/>
    <w:rsid w:val="00532CE7"/>
    <w:rsid w:val="00532E62"/>
    <w:rsid w:val="0053324C"/>
    <w:rsid w:val="00533DAC"/>
    <w:rsid w:val="00534A28"/>
    <w:rsid w:val="005353A2"/>
    <w:rsid w:val="005402E9"/>
    <w:rsid w:val="00541508"/>
    <w:rsid w:val="00543498"/>
    <w:rsid w:val="00545512"/>
    <w:rsid w:val="00553016"/>
    <w:rsid w:val="0055599F"/>
    <w:rsid w:val="00556995"/>
    <w:rsid w:val="00556D68"/>
    <w:rsid w:val="005602C0"/>
    <w:rsid w:val="00563EB8"/>
    <w:rsid w:val="005647BF"/>
    <w:rsid w:val="0056486D"/>
    <w:rsid w:val="00564AF1"/>
    <w:rsid w:val="0056601A"/>
    <w:rsid w:val="005722EB"/>
    <w:rsid w:val="0057364B"/>
    <w:rsid w:val="0057452C"/>
    <w:rsid w:val="00574773"/>
    <w:rsid w:val="0058050D"/>
    <w:rsid w:val="0058308D"/>
    <w:rsid w:val="00583FFD"/>
    <w:rsid w:val="00591099"/>
    <w:rsid w:val="005911BE"/>
    <w:rsid w:val="00591330"/>
    <w:rsid w:val="00593152"/>
    <w:rsid w:val="00596010"/>
    <w:rsid w:val="005A10F2"/>
    <w:rsid w:val="005A14E8"/>
    <w:rsid w:val="005A21E0"/>
    <w:rsid w:val="005A28FF"/>
    <w:rsid w:val="005A3DF8"/>
    <w:rsid w:val="005A5113"/>
    <w:rsid w:val="005A5549"/>
    <w:rsid w:val="005A7038"/>
    <w:rsid w:val="005A7128"/>
    <w:rsid w:val="005B121D"/>
    <w:rsid w:val="005B1BD0"/>
    <w:rsid w:val="005B3361"/>
    <w:rsid w:val="005C06ED"/>
    <w:rsid w:val="005C2609"/>
    <w:rsid w:val="005C3522"/>
    <w:rsid w:val="005C50BD"/>
    <w:rsid w:val="005C6CF0"/>
    <w:rsid w:val="005D0D46"/>
    <w:rsid w:val="005D2A72"/>
    <w:rsid w:val="005D4DDC"/>
    <w:rsid w:val="005D5802"/>
    <w:rsid w:val="005D7119"/>
    <w:rsid w:val="005D7241"/>
    <w:rsid w:val="005D7890"/>
    <w:rsid w:val="005E705E"/>
    <w:rsid w:val="005E7903"/>
    <w:rsid w:val="005E7C78"/>
    <w:rsid w:val="005F082A"/>
    <w:rsid w:val="005F18C5"/>
    <w:rsid w:val="005F3374"/>
    <w:rsid w:val="005F3491"/>
    <w:rsid w:val="005F3EB1"/>
    <w:rsid w:val="005F46D8"/>
    <w:rsid w:val="005F5469"/>
    <w:rsid w:val="0060201D"/>
    <w:rsid w:val="00603FF5"/>
    <w:rsid w:val="00604307"/>
    <w:rsid w:val="0060487F"/>
    <w:rsid w:val="00604EAD"/>
    <w:rsid w:val="00605D96"/>
    <w:rsid w:val="006104FB"/>
    <w:rsid w:val="00612A2F"/>
    <w:rsid w:val="0061390C"/>
    <w:rsid w:val="0061546D"/>
    <w:rsid w:val="006165E5"/>
    <w:rsid w:val="00616E05"/>
    <w:rsid w:val="00622275"/>
    <w:rsid w:val="00624093"/>
    <w:rsid w:val="00625F8F"/>
    <w:rsid w:val="00632F89"/>
    <w:rsid w:val="006350D5"/>
    <w:rsid w:val="006404A7"/>
    <w:rsid w:val="006451E4"/>
    <w:rsid w:val="00645B33"/>
    <w:rsid w:val="006516CB"/>
    <w:rsid w:val="00656FC8"/>
    <w:rsid w:val="00657E87"/>
    <w:rsid w:val="00660072"/>
    <w:rsid w:val="00664803"/>
    <w:rsid w:val="0066504F"/>
    <w:rsid w:val="00665BA4"/>
    <w:rsid w:val="00667AF2"/>
    <w:rsid w:val="006710C9"/>
    <w:rsid w:val="006712EC"/>
    <w:rsid w:val="0067229E"/>
    <w:rsid w:val="006741AC"/>
    <w:rsid w:val="00674D89"/>
    <w:rsid w:val="00675BD1"/>
    <w:rsid w:val="00675E37"/>
    <w:rsid w:val="006760C8"/>
    <w:rsid w:val="0068174E"/>
    <w:rsid w:val="00681DCE"/>
    <w:rsid w:val="0068260E"/>
    <w:rsid w:val="0068697A"/>
    <w:rsid w:val="00693594"/>
    <w:rsid w:val="00693FEC"/>
    <w:rsid w:val="0069490A"/>
    <w:rsid w:val="00695BEF"/>
    <w:rsid w:val="006977F6"/>
    <w:rsid w:val="00697A13"/>
    <w:rsid w:val="006A109C"/>
    <w:rsid w:val="006A2056"/>
    <w:rsid w:val="006A31AB"/>
    <w:rsid w:val="006A3832"/>
    <w:rsid w:val="006B0F92"/>
    <w:rsid w:val="006B173A"/>
    <w:rsid w:val="006B344A"/>
    <w:rsid w:val="006B6C74"/>
    <w:rsid w:val="006B759B"/>
    <w:rsid w:val="006B78D8"/>
    <w:rsid w:val="006C113F"/>
    <w:rsid w:val="006C123E"/>
    <w:rsid w:val="006C1752"/>
    <w:rsid w:val="006C4460"/>
    <w:rsid w:val="006C4ED6"/>
    <w:rsid w:val="006C56D4"/>
    <w:rsid w:val="006C66EC"/>
    <w:rsid w:val="006C6924"/>
    <w:rsid w:val="006C70EB"/>
    <w:rsid w:val="006C7CA6"/>
    <w:rsid w:val="006D3E8A"/>
    <w:rsid w:val="006D61F6"/>
    <w:rsid w:val="006E279A"/>
    <w:rsid w:val="006E313B"/>
    <w:rsid w:val="006E41EC"/>
    <w:rsid w:val="006E4254"/>
    <w:rsid w:val="006E50F8"/>
    <w:rsid w:val="006E6B4C"/>
    <w:rsid w:val="006E7227"/>
    <w:rsid w:val="006F438E"/>
    <w:rsid w:val="006F4AB0"/>
    <w:rsid w:val="006F5416"/>
    <w:rsid w:val="006F7076"/>
    <w:rsid w:val="00702448"/>
    <w:rsid w:val="007037C0"/>
    <w:rsid w:val="00705242"/>
    <w:rsid w:val="00706AD4"/>
    <w:rsid w:val="00707150"/>
    <w:rsid w:val="00710078"/>
    <w:rsid w:val="00710229"/>
    <w:rsid w:val="00710CD2"/>
    <w:rsid w:val="0071217E"/>
    <w:rsid w:val="00712600"/>
    <w:rsid w:val="0071340F"/>
    <w:rsid w:val="007140BE"/>
    <w:rsid w:val="007143B4"/>
    <w:rsid w:val="007211F5"/>
    <w:rsid w:val="0072213B"/>
    <w:rsid w:val="00723946"/>
    <w:rsid w:val="007240E2"/>
    <w:rsid w:val="00725BB5"/>
    <w:rsid w:val="00730517"/>
    <w:rsid w:val="00730AE8"/>
    <w:rsid w:val="00730F1B"/>
    <w:rsid w:val="00733628"/>
    <w:rsid w:val="007342AC"/>
    <w:rsid w:val="00735AD8"/>
    <w:rsid w:val="00741493"/>
    <w:rsid w:val="00743C34"/>
    <w:rsid w:val="007446ED"/>
    <w:rsid w:val="007457F6"/>
    <w:rsid w:val="00752180"/>
    <w:rsid w:val="00753CAB"/>
    <w:rsid w:val="00755202"/>
    <w:rsid w:val="00755D3A"/>
    <w:rsid w:val="007578D3"/>
    <w:rsid w:val="007609C6"/>
    <w:rsid w:val="00760EA4"/>
    <w:rsid w:val="0076175D"/>
    <w:rsid w:val="00763B85"/>
    <w:rsid w:val="00764744"/>
    <w:rsid w:val="00764BEB"/>
    <w:rsid w:val="0076521E"/>
    <w:rsid w:val="00765C12"/>
    <w:rsid w:val="007661E9"/>
    <w:rsid w:val="00770784"/>
    <w:rsid w:val="00773220"/>
    <w:rsid w:val="00776169"/>
    <w:rsid w:val="00776527"/>
    <w:rsid w:val="00776EAB"/>
    <w:rsid w:val="00780EF1"/>
    <w:rsid w:val="00782AD8"/>
    <w:rsid w:val="007835CD"/>
    <w:rsid w:val="00790711"/>
    <w:rsid w:val="00790764"/>
    <w:rsid w:val="0079124F"/>
    <w:rsid w:val="0079453C"/>
    <w:rsid w:val="00794677"/>
    <w:rsid w:val="007951E8"/>
    <w:rsid w:val="00795928"/>
    <w:rsid w:val="00797445"/>
    <w:rsid w:val="007A0CEC"/>
    <w:rsid w:val="007A37D6"/>
    <w:rsid w:val="007A3861"/>
    <w:rsid w:val="007A4577"/>
    <w:rsid w:val="007A516D"/>
    <w:rsid w:val="007B3597"/>
    <w:rsid w:val="007B5EB6"/>
    <w:rsid w:val="007B6203"/>
    <w:rsid w:val="007B6689"/>
    <w:rsid w:val="007C6BBD"/>
    <w:rsid w:val="007D293C"/>
    <w:rsid w:val="007D40DF"/>
    <w:rsid w:val="007E29B4"/>
    <w:rsid w:val="007E2BA5"/>
    <w:rsid w:val="007E435A"/>
    <w:rsid w:val="007E4A88"/>
    <w:rsid w:val="007E76C3"/>
    <w:rsid w:val="007E7E61"/>
    <w:rsid w:val="007E7FCE"/>
    <w:rsid w:val="007F0076"/>
    <w:rsid w:val="007F0845"/>
    <w:rsid w:val="007F708D"/>
    <w:rsid w:val="00800216"/>
    <w:rsid w:val="00801E13"/>
    <w:rsid w:val="00807365"/>
    <w:rsid w:val="00807C82"/>
    <w:rsid w:val="00810C82"/>
    <w:rsid w:val="00811E1D"/>
    <w:rsid w:val="00814B15"/>
    <w:rsid w:val="00816905"/>
    <w:rsid w:val="00821777"/>
    <w:rsid w:val="00821C44"/>
    <w:rsid w:val="00821FF6"/>
    <w:rsid w:val="00822574"/>
    <w:rsid w:val="00825C4D"/>
    <w:rsid w:val="008304D1"/>
    <w:rsid w:val="00830D03"/>
    <w:rsid w:val="0083143E"/>
    <w:rsid w:val="00831CDE"/>
    <w:rsid w:val="0083316C"/>
    <w:rsid w:val="00834304"/>
    <w:rsid w:val="00834FAA"/>
    <w:rsid w:val="0083516C"/>
    <w:rsid w:val="00836086"/>
    <w:rsid w:val="00843A14"/>
    <w:rsid w:val="00846121"/>
    <w:rsid w:val="008462A8"/>
    <w:rsid w:val="0084708F"/>
    <w:rsid w:val="008477C8"/>
    <w:rsid w:val="00847963"/>
    <w:rsid w:val="00850815"/>
    <w:rsid w:val="0085114D"/>
    <w:rsid w:val="00852217"/>
    <w:rsid w:val="00853B8D"/>
    <w:rsid w:val="00853CC6"/>
    <w:rsid w:val="00854F24"/>
    <w:rsid w:val="00855408"/>
    <w:rsid w:val="00855712"/>
    <w:rsid w:val="00856D65"/>
    <w:rsid w:val="0085781D"/>
    <w:rsid w:val="00860007"/>
    <w:rsid w:val="00861B41"/>
    <w:rsid w:val="00861BE3"/>
    <w:rsid w:val="00863434"/>
    <w:rsid w:val="00865E4C"/>
    <w:rsid w:val="008701E4"/>
    <w:rsid w:val="0087052A"/>
    <w:rsid w:val="00871069"/>
    <w:rsid w:val="00875A32"/>
    <w:rsid w:val="00875B99"/>
    <w:rsid w:val="00876086"/>
    <w:rsid w:val="008766AC"/>
    <w:rsid w:val="00881EAF"/>
    <w:rsid w:val="008825B0"/>
    <w:rsid w:val="00884AD6"/>
    <w:rsid w:val="008873D4"/>
    <w:rsid w:val="00890D6D"/>
    <w:rsid w:val="0089126C"/>
    <w:rsid w:val="0089296D"/>
    <w:rsid w:val="00893E85"/>
    <w:rsid w:val="00894031"/>
    <w:rsid w:val="00895508"/>
    <w:rsid w:val="008A6CB4"/>
    <w:rsid w:val="008A7135"/>
    <w:rsid w:val="008B542E"/>
    <w:rsid w:val="008B5CF6"/>
    <w:rsid w:val="008B76AB"/>
    <w:rsid w:val="008B7C02"/>
    <w:rsid w:val="008B7D2B"/>
    <w:rsid w:val="008C0049"/>
    <w:rsid w:val="008C0E88"/>
    <w:rsid w:val="008C1968"/>
    <w:rsid w:val="008C4F74"/>
    <w:rsid w:val="008C53CB"/>
    <w:rsid w:val="008C6FD4"/>
    <w:rsid w:val="008D1BA1"/>
    <w:rsid w:val="008D1E6A"/>
    <w:rsid w:val="008D2A16"/>
    <w:rsid w:val="008D632C"/>
    <w:rsid w:val="008D6B35"/>
    <w:rsid w:val="008D75D9"/>
    <w:rsid w:val="008E163D"/>
    <w:rsid w:val="008E2C57"/>
    <w:rsid w:val="008E31FF"/>
    <w:rsid w:val="008E6F06"/>
    <w:rsid w:val="008E7FC9"/>
    <w:rsid w:val="008F029B"/>
    <w:rsid w:val="008F3FC9"/>
    <w:rsid w:val="008F585B"/>
    <w:rsid w:val="009003A8"/>
    <w:rsid w:val="00901518"/>
    <w:rsid w:val="00902500"/>
    <w:rsid w:val="00902EFF"/>
    <w:rsid w:val="00906401"/>
    <w:rsid w:val="0091155E"/>
    <w:rsid w:val="00912A92"/>
    <w:rsid w:val="0091728D"/>
    <w:rsid w:val="0092180B"/>
    <w:rsid w:val="00921F14"/>
    <w:rsid w:val="009231A3"/>
    <w:rsid w:val="00924AC8"/>
    <w:rsid w:val="0092597A"/>
    <w:rsid w:val="00925E75"/>
    <w:rsid w:val="00930FB1"/>
    <w:rsid w:val="0093139F"/>
    <w:rsid w:val="00932443"/>
    <w:rsid w:val="00934279"/>
    <w:rsid w:val="00934464"/>
    <w:rsid w:val="00937AE2"/>
    <w:rsid w:val="00943853"/>
    <w:rsid w:val="0094427A"/>
    <w:rsid w:val="00945245"/>
    <w:rsid w:val="009452D0"/>
    <w:rsid w:val="00952289"/>
    <w:rsid w:val="00954BC5"/>
    <w:rsid w:val="00956572"/>
    <w:rsid w:val="00957309"/>
    <w:rsid w:val="0095759C"/>
    <w:rsid w:val="009607C5"/>
    <w:rsid w:val="00960A29"/>
    <w:rsid w:val="00961532"/>
    <w:rsid w:val="0096774F"/>
    <w:rsid w:val="00967E76"/>
    <w:rsid w:val="009721DB"/>
    <w:rsid w:val="0097239B"/>
    <w:rsid w:val="00974071"/>
    <w:rsid w:val="00974923"/>
    <w:rsid w:val="009808F7"/>
    <w:rsid w:val="00980D3D"/>
    <w:rsid w:val="00981FFA"/>
    <w:rsid w:val="009855E1"/>
    <w:rsid w:val="00986D06"/>
    <w:rsid w:val="00987A30"/>
    <w:rsid w:val="00991731"/>
    <w:rsid w:val="00992CF3"/>
    <w:rsid w:val="00994868"/>
    <w:rsid w:val="0099574A"/>
    <w:rsid w:val="009968D6"/>
    <w:rsid w:val="009A1136"/>
    <w:rsid w:val="009A1CAB"/>
    <w:rsid w:val="009A60D1"/>
    <w:rsid w:val="009A7063"/>
    <w:rsid w:val="009B6FD3"/>
    <w:rsid w:val="009B8F42"/>
    <w:rsid w:val="009C02C3"/>
    <w:rsid w:val="009C1750"/>
    <w:rsid w:val="009C2E29"/>
    <w:rsid w:val="009C3F5D"/>
    <w:rsid w:val="009C554B"/>
    <w:rsid w:val="009C719E"/>
    <w:rsid w:val="009C7A10"/>
    <w:rsid w:val="009D1120"/>
    <w:rsid w:val="009D3ACD"/>
    <w:rsid w:val="009D4785"/>
    <w:rsid w:val="009E1988"/>
    <w:rsid w:val="009E5273"/>
    <w:rsid w:val="009E5DDB"/>
    <w:rsid w:val="009E7F05"/>
    <w:rsid w:val="009F46B7"/>
    <w:rsid w:val="009F4CA7"/>
    <w:rsid w:val="009F7558"/>
    <w:rsid w:val="009F791A"/>
    <w:rsid w:val="00A04CEF"/>
    <w:rsid w:val="00A10D66"/>
    <w:rsid w:val="00A14114"/>
    <w:rsid w:val="00A14995"/>
    <w:rsid w:val="00A1537C"/>
    <w:rsid w:val="00A16413"/>
    <w:rsid w:val="00A16E1D"/>
    <w:rsid w:val="00A17D5B"/>
    <w:rsid w:val="00A17EB2"/>
    <w:rsid w:val="00A206E5"/>
    <w:rsid w:val="00A20CC0"/>
    <w:rsid w:val="00A23447"/>
    <w:rsid w:val="00A23E43"/>
    <w:rsid w:val="00A25216"/>
    <w:rsid w:val="00A30F65"/>
    <w:rsid w:val="00A32BF2"/>
    <w:rsid w:val="00A33549"/>
    <w:rsid w:val="00A33A89"/>
    <w:rsid w:val="00A34D27"/>
    <w:rsid w:val="00A404C0"/>
    <w:rsid w:val="00A40EAC"/>
    <w:rsid w:val="00A40EDD"/>
    <w:rsid w:val="00A418BC"/>
    <w:rsid w:val="00A41A20"/>
    <w:rsid w:val="00A41D7E"/>
    <w:rsid w:val="00A4206C"/>
    <w:rsid w:val="00A4632B"/>
    <w:rsid w:val="00A46DE0"/>
    <w:rsid w:val="00A472EB"/>
    <w:rsid w:val="00A47FCA"/>
    <w:rsid w:val="00A50D73"/>
    <w:rsid w:val="00A52CAD"/>
    <w:rsid w:val="00A53FC7"/>
    <w:rsid w:val="00A60799"/>
    <w:rsid w:val="00A62CE1"/>
    <w:rsid w:val="00A668A3"/>
    <w:rsid w:val="00A6741E"/>
    <w:rsid w:val="00A7453F"/>
    <w:rsid w:val="00A754EA"/>
    <w:rsid w:val="00A75E40"/>
    <w:rsid w:val="00A770F4"/>
    <w:rsid w:val="00A77D1D"/>
    <w:rsid w:val="00A84A6A"/>
    <w:rsid w:val="00A857C0"/>
    <w:rsid w:val="00A85A4E"/>
    <w:rsid w:val="00A875AD"/>
    <w:rsid w:val="00A90FED"/>
    <w:rsid w:val="00AA2996"/>
    <w:rsid w:val="00AA2A70"/>
    <w:rsid w:val="00AA2DA1"/>
    <w:rsid w:val="00AA4B30"/>
    <w:rsid w:val="00AA52BF"/>
    <w:rsid w:val="00AA559A"/>
    <w:rsid w:val="00AB11E0"/>
    <w:rsid w:val="00AB2AF1"/>
    <w:rsid w:val="00AB4BB8"/>
    <w:rsid w:val="00AB535B"/>
    <w:rsid w:val="00AC45BD"/>
    <w:rsid w:val="00AC5791"/>
    <w:rsid w:val="00AD168E"/>
    <w:rsid w:val="00AD306C"/>
    <w:rsid w:val="00AD4F16"/>
    <w:rsid w:val="00AD5323"/>
    <w:rsid w:val="00AD68C4"/>
    <w:rsid w:val="00AE09B3"/>
    <w:rsid w:val="00AE0ED3"/>
    <w:rsid w:val="00AE153F"/>
    <w:rsid w:val="00AE1A2E"/>
    <w:rsid w:val="00AE1A83"/>
    <w:rsid w:val="00AE31A7"/>
    <w:rsid w:val="00AF1DE9"/>
    <w:rsid w:val="00AF6128"/>
    <w:rsid w:val="00B00913"/>
    <w:rsid w:val="00B01593"/>
    <w:rsid w:val="00B01CF3"/>
    <w:rsid w:val="00B023F2"/>
    <w:rsid w:val="00B04705"/>
    <w:rsid w:val="00B04E70"/>
    <w:rsid w:val="00B07959"/>
    <w:rsid w:val="00B07BBB"/>
    <w:rsid w:val="00B10325"/>
    <w:rsid w:val="00B10A4D"/>
    <w:rsid w:val="00B14BC1"/>
    <w:rsid w:val="00B17E71"/>
    <w:rsid w:val="00B17FDE"/>
    <w:rsid w:val="00B2379C"/>
    <w:rsid w:val="00B25189"/>
    <w:rsid w:val="00B2648A"/>
    <w:rsid w:val="00B2687D"/>
    <w:rsid w:val="00B26897"/>
    <w:rsid w:val="00B32DDB"/>
    <w:rsid w:val="00B34528"/>
    <w:rsid w:val="00B34CC9"/>
    <w:rsid w:val="00B402FC"/>
    <w:rsid w:val="00B42C45"/>
    <w:rsid w:val="00B439DA"/>
    <w:rsid w:val="00B46604"/>
    <w:rsid w:val="00B50624"/>
    <w:rsid w:val="00B530CD"/>
    <w:rsid w:val="00B55F5E"/>
    <w:rsid w:val="00B5752E"/>
    <w:rsid w:val="00B615F8"/>
    <w:rsid w:val="00B63A11"/>
    <w:rsid w:val="00B63B6A"/>
    <w:rsid w:val="00B64C24"/>
    <w:rsid w:val="00B65232"/>
    <w:rsid w:val="00B6584F"/>
    <w:rsid w:val="00B6608F"/>
    <w:rsid w:val="00B67768"/>
    <w:rsid w:val="00B679FB"/>
    <w:rsid w:val="00B71EF7"/>
    <w:rsid w:val="00B7665A"/>
    <w:rsid w:val="00B76D1E"/>
    <w:rsid w:val="00B8028A"/>
    <w:rsid w:val="00B80B8B"/>
    <w:rsid w:val="00B80EC6"/>
    <w:rsid w:val="00B81396"/>
    <w:rsid w:val="00B84CF6"/>
    <w:rsid w:val="00B857A1"/>
    <w:rsid w:val="00B87623"/>
    <w:rsid w:val="00B927F6"/>
    <w:rsid w:val="00B92D1D"/>
    <w:rsid w:val="00B938C5"/>
    <w:rsid w:val="00B95940"/>
    <w:rsid w:val="00BA37EA"/>
    <w:rsid w:val="00BA5256"/>
    <w:rsid w:val="00BA6C2B"/>
    <w:rsid w:val="00BB22F6"/>
    <w:rsid w:val="00BB46F3"/>
    <w:rsid w:val="00BB4CB1"/>
    <w:rsid w:val="00BB4F98"/>
    <w:rsid w:val="00BB73ED"/>
    <w:rsid w:val="00BC5C12"/>
    <w:rsid w:val="00BC7154"/>
    <w:rsid w:val="00BC731E"/>
    <w:rsid w:val="00BD366B"/>
    <w:rsid w:val="00BD6D50"/>
    <w:rsid w:val="00BE18B9"/>
    <w:rsid w:val="00BE2495"/>
    <w:rsid w:val="00BF155F"/>
    <w:rsid w:val="00BF1578"/>
    <w:rsid w:val="00BF3B1D"/>
    <w:rsid w:val="00BF53A6"/>
    <w:rsid w:val="00BF6D32"/>
    <w:rsid w:val="00BF71A0"/>
    <w:rsid w:val="00BF723F"/>
    <w:rsid w:val="00BF7ED6"/>
    <w:rsid w:val="00C02943"/>
    <w:rsid w:val="00C145CE"/>
    <w:rsid w:val="00C16FB0"/>
    <w:rsid w:val="00C21F94"/>
    <w:rsid w:val="00C27913"/>
    <w:rsid w:val="00C27E4F"/>
    <w:rsid w:val="00C325AE"/>
    <w:rsid w:val="00C32964"/>
    <w:rsid w:val="00C33B68"/>
    <w:rsid w:val="00C36A79"/>
    <w:rsid w:val="00C36F5A"/>
    <w:rsid w:val="00C401D2"/>
    <w:rsid w:val="00C405D4"/>
    <w:rsid w:val="00C41A20"/>
    <w:rsid w:val="00C41D07"/>
    <w:rsid w:val="00C4431F"/>
    <w:rsid w:val="00C4513B"/>
    <w:rsid w:val="00C5390B"/>
    <w:rsid w:val="00C53E5D"/>
    <w:rsid w:val="00C54141"/>
    <w:rsid w:val="00C5418A"/>
    <w:rsid w:val="00C54697"/>
    <w:rsid w:val="00C65535"/>
    <w:rsid w:val="00C65C22"/>
    <w:rsid w:val="00C66B0D"/>
    <w:rsid w:val="00C70427"/>
    <w:rsid w:val="00C71E85"/>
    <w:rsid w:val="00C72884"/>
    <w:rsid w:val="00C73885"/>
    <w:rsid w:val="00C73BA9"/>
    <w:rsid w:val="00C747B1"/>
    <w:rsid w:val="00C82191"/>
    <w:rsid w:val="00C83134"/>
    <w:rsid w:val="00C85545"/>
    <w:rsid w:val="00C9003C"/>
    <w:rsid w:val="00C9082C"/>
    <w:rsid w:val="00C90CF4"/>
    <w:rsid w:val="00C92EB6"/>
    <w:rsid w:val="00C93389"/>
    <w:rsid w:val="00C96040"/>
    <w:rsid w:val="00C97237"/>
    <w:rsid w:val="00C9769E"/>
    <w:rsid w:val="00CA0914"/>
    <w:rsid w:val="00CA6AB4"/>
    <w:rsid w:val="00CA7BE7"/>
    <w:rsid w:val="00CB15D6"/>
    <w:rsid w:val="00CB2F3F"/>
    <w:rsid w:val="00CB4930"/>
    <w:rsid w:val="00CC0E87"/>
    <w:rsid w:val="00CC2E7D"/>
    <w:rsid w:val="00CC6B42"/>
    <w:rsid w:val="00CD10A5"/>
    <w:rsid w:val="00CD1F6B"/>
    <w:rsid w:val="00CD2076"/>
    <w:rsid w:val="00CD29B5"/>
    <w:rsid w:val="00CD6331"/>
    <w:rsid w:val="00CD7704"/>
    <w:rsid w:val="00CD7AFB"/>
    <w:rsid w:val="00CE3E57"/>
    <w:rsid w:val="00CE670B"/>
    <w:rsid w:val="00CF04C7"/>
    <w:rsid w:val="00CF19CB"/>
    <w:rsid w:val="00CF262D"/>
    <w:rsid w:val="00CF322D"/>
    <w:rsid w:val="00CF39C9"/>
    <w:rsid w:val="00CF4908"/>
    <w:rsid w:val="00CF51EC"/>
    <w:rsid w:val="00CF59E5"/>
    <w:rsid w:val="00CF73AE"/>
    <w:rsid w:val="00D040DD"/>
    <w:rsid w:val="00D075BE"/>
    <w:rsid w:val="00D13986"/>
    <w:rsid w:val="00D21D83"/>
    <w:rsid w:val="00D235B7"/>
    <w:rsid w:val="00D238DC"/>
    <w:rsid w:val="00D23C02"/>
    <w:rsid w:val="00D23F97"/>
    <w:rsid w:val="00D25F28"/>
    <w:rsid w:val="00D26071"/>
    <w:rsid w:val="00D27973"/>
    <w:rsid w:val="00D35E1A"/>
    <w:rsid w:val="00D373EA"/>
    <w:rsid w:val="00D37C1E"/>
    <w:rsid w:val="00D40B2B"/>
    <w:rsid w:val="00D40F7C"/>
    <w:rsid w:val="00D417B7"/>
    <w:rsid w:val="00D42211"/>
    <w:rsid w:val="00D42756"/>
    <w:rsid w:val="00D50F46"/>
    <w:rsid w:val="00D53EAD"/>
    <w:rsid w:val="00D567C6"/>
    <w:rsid w:val="00D57677"/>
    <w:rsid w:val="00D61DF8"/>
    <w:rsid w:val="00D66223"/>
    <w:rsid w:val="00D674D7"/>
    <w:rsid w:val="00D71625"/>
    <w:rsid w:val="00D73A8D"/>
    <w:rsid w:val="00D751DA"/>
    <w:rsid w:val="00D75205"/>
    <w:rsid w:val="00D8084C"/>
    <w:rsid w:val="00D915EA"/>
    <w:rsid w:val="00D95B68"/>
    <w:rsid w:val="00D96855"/>
    <w:rsid w:val="00DA47A8"/>
    <w:rsid w:val="00DA48C1"/>
    <w:rsid w:val="00DA7C0C"/>
    <w:rsid w:val="00DB08A9"/>
    <w:rsid w:val="00DB2EC8"/>
    <w:rsid w:val="00DB5AF8"/>
    <w:rsid w:val="00DB5FC0"/>
    <w:rsid w:val="00DB6566"/>
    <w:rsid w:val="00DC1B9B"/>
    <w:rsid w:val="00DC1E84"/>
    <w:rsid w:val="00DC40D2"/>
    <w:rsid w:val="00DC48F1"/>
    <w:rsid w:val="00DC4EDE"/>
    <w:rsid w:val="00DC5B3B"/>
    <w:rsid w:val="00DC6743"/>
    <w:rsid w:val="00DD129F"/>
    <w:rsid w:val="00DD4EFE"/>
    <w:rsid w:val="00DE02BD"/>
    <w:rsid w:val="00DE5DBA"/>
    <w:rsid w:val="00DF42FF"/>
    <w:rsid w:val="00DF5908"/>
    <w:rsid w:val="00E01C0E"/>
    <w:rsid w:val="00E03F9A"/>
    <w:rsid w:val="00E0465E"/>
    <w:rsid w:val="00E04694"/>
    <w:rsid w:val="00E063CE"/>
    <w:rsid w:val="00E1017C"/>
    <w:rsid w:val="00E12B1E"/>
    <w:rsid w:val="00E12F7C"/>
    <w:rsid w:val="00E15B76"/>
    <w:rsid w:val="00E17262"/>
    <w:rsid w:val="00E20B53"/>
    <w:rsid w:val="00E253A2"/>
    <w:rsid w:val="00E314B9"/>
    <w:rsid w:val="00E329EF"/>
    <w:rsid w:val="00E3309D"/>
    <w:rsid w:val="00E374F4"/>
    <w:rsid w:val="00E409C2"/>
    <w:rsid w:val="00E43C1C"/>
    <w:rsid w:val="00E45931"/>
    <w:rsid w:val="00E47EBA"/>
    <w:rsid w:val="00E50156"/>
    <w:rsid w:val="00E51643"/>
    <w:rsid w:val="00E53470"/>
    <w:rsid w:val="00E53874"/>
    <w:rsid w:val="00E539F6"/>
    <w:rsid w:val="00E54E39"/>
    <w:rsid w:val="00E55091"/>
    <w:rsid w:val="00E551D2"/>
    <w:rsid w:val="00E6519D"/>
    <w:rsid w:val="00E67696"/>
    <w:rsid w:val="00E678BC"/>
    <w:rsid w:val="00E71654"/>
    <w:rsid w:val="00E71A58"/>
    <w:rsid w:val="00E72A7A"/>
    <w:rsid w:val="00E75C94"/>
    <w:rsid w:val="00E7677B"/>
    <w:rsid w:val="00E776FD"/>
    <w:rsid w:val="00E77A6B"/>
    <w:rsid w:val="00E8073E"/>
    <w:rsid w:val="00E849A6"/>
    <w:rsid w:val="00E91024"/>
    <w:rsid w:val="00E920F4"/>
    <w:rsid w:val="00E93820"/>
    <w:rsid w:val="00E944EF"/>
    <w:rsid w:val="00E94A86"/>
    <w:rsid w:val="00E96143"/>
    <w:rsid w:val="00EA038B"/>
    <w:rsid w:val="00EA0987"/>
    <w:rsid w:val="00EA0C68"/>
    <w:rsid w:val="00EA32BC"/>
    <w:rsid w:val="00EA4302"/>
    <w:rsid w:val="00EA6C97"/>
    <w:rsid w:val="00EA7407"/>
    <w:rsid w:val="00EB24BB"/>
    <w:rsid w:val="00EB39C7"/>
    <w:rsid w:val="00EB3D8F"/>
    <w:rsid w:val="00EB4511"/>
    <w:rsid w:val="00EB4A12"/>
    <w:rsid w:val="00EC03D7"/>
    <w:rsid w:val="00EC15CC"/>
    <w:rsid w:val="00EC313D"/>
    <w:rsid w:val="00ED62C6"/>
    <w:rsid w:val="00ED64C1"/>
    <w:rsid w:val="00EE0E68"/>
    <w:rsid w:val="00EE3446"/>
    <w:rsid w:val="00EE3E78"/>
    <w:rsid w:val="00EE4B1B"/>
    <w:rsid w:val="00EE5B59"/>
    <w:rsid w:val="00EE7F19"/>
    <w:rsid w:val="00EF150D"/>
    <w:rsid w:val="00EF1F5A"/>
    <w:rsid w:val="00EF371C"/>
    <w:rsid w:val="00EF47BF"/>
    <w:rsid w:val="00EF6DB3"/>
    <w:rsid w:val="00F04811"/>
    <w:rsid w:val="00F0488C"/>
    <w:rsid w:val="00F066CF"/>
    <w:rsid w:val="00F06C9E"/>
    <w:rsid w:val="00F10F11"/>
    <w:rsid w:val="00F15AAA"/>
    <w:rsid w:val="00F15BEF"/>
    <w:rsid w:val="00F17E83"/>
    <w:rsid w:val="00F20B71"/>
    <w:rsid w:val="00F21780"/>
    <w:rsid w:val="00F24407"/>
    <w:rsid w:val="00F24931"/>
    <w:rsid w:val="00F24FAA"/>
    <w:rsid w:val="00F252A0"/>
    <w:rsid w:val="00F25B4A"/>
    <w:rsid w:val="00F25DEE"/>
    <w:rsid w:val="00F3364D"/>
    <w:rsid w:val="00F4081A"/>
    <w:rsid w:val="00F437CC"/>
    <w:rsid w:val="00F43E29"/>
    <w:rsid w:val="00F44537"/>
    <w:rsid w:val="00F44B6A"/>
    <w:rsid w:val="00F4587B"/>
    <w:rsid w:val="00F47067"/>
    <w:rsid w:val="00F50FC3"/>
    <w:rsid w:val="00F51087"/>
    <w:rsid w:val="00F5188A"/>
    <w:rsid w:val="00F52106"/>
    <w:rsid w:val="00F525EB"/>
    <w:rsid w:val="00F52AFF"/>
    <w:rsid w:val="00F545ED"/>
    <w:rsid w:val="00F63DDE"/>
    <w:rsid w:val="00F63FB7"/>
    <w:rsid w:val="00F6421B"/>
    <w:rsid w:val="00F649D2"/>
    <w:rsid w:val="00F6602B"/>
    <w:rsid w:val="00F66643"/>
    <w:rsid w:val="00F66E76"/>
    <w:rsid w:val="00F66FD9"/>
    <w:rsid w:val="00F67C4E"/>
    <w:rsid w:val="00F70D20"/>
    <w:rsid w:val="00F72275"/>
    <w:rsid w:val="00F73990"/>
    <w:rsid w:val="00F73A0C"/>
    <w:rsid w:val="00F756DB"/>
    <w:rsid w:val="00F76A1A"/>
    <w:rsid w:val="00F84E7D"/>
    <w:rsid w:val="00F85066"/>
    <w:rsid w:val="00F87A4D"/>
    <w:rsid w:val="00F90035"/>
    <w:rsid w:val="00F9212A"/>
    <w:rsid w:val="00F92283"/>
    <w:rsid w:val="00F9785E"/>
    <w:rsid w:val="00FA1E9B"/>
    <w:rsid w:val="00FA3B1E"/>
    <w:rsid w:val="00FA5D4D"/>
    <w:rsid w:val="00FA60AD"/>
    <w:rsid w:val="00FA7115"/>
    <w:rsid w:val="00FB0EE2"/>
    <w:rsid w:val="00FB4423"/>
    <w:rsid w:val="00FB542E"/>
    <w:rsid w:val="00FB6631"/>
    <w:rsid w:val="00FC0E5F"/>
    <w:rsid w:val="00FC1A95"/>
    <w:rsid w:val="00FC56DE"/>
    <w:rsid w:val="00FC6700"/>
    <w:rsid w:val="00FC684B"/>
    <w:rsid w:val="00FD1A5F"/>
    <w:rsid w:val="00FD23FA"/>
    <w:rsid w:val="00FD3265"/>
    <w:rsid w:val="00FD5F92"/>
    <w:rsid w:val="00FD66F9"/>
    <w:rsid w:val="00FD78F8"/>
    <w:rsid w:val="00FE2F78"/>
    <w:rsid w:val="00FE402C"/>
    <w:rsid w:val="00FE470B"/>
    <w:rsid w:val="00FF4082"/>
    <w:rsid w:val="00FF7090"/>
    <w:rsid w:val="00FF7B96"/>
    <w:rsid w:val="010E6CF6"/>
    <w:rsid w:val="01C12A79"/>
    <w:rsid w:val="0274CEEB"/>
    <w:rsid w:val="068FDE2D"/>
    <w:rsid w:val="0715AD2B"/>
    <w:rsid w:val="07E2429D"/>
    <w:rsid w:val="08A8D553"/>
    <w:rsid w:val="0B987C70"/>
    <w:rsid w:val="0C4F5932"/>
    <w:rsid w:val="0CDADA5A"/>
    <w:rsid w:val="0D60D9AA"/>
    <w:rsid w:val="0F9A6A16"/>
    <w:rsid w:val="11D0C0D9"/>
    <w:rsid w:val="13CB842F"/>
    <w:rsid w:val="13F45D65"/>
    <w:rsid w:val="17193E37"/>
    <w:rsid w:val="1873E3C4"/>
    <w:rsid w:val="1941F3F6"/>
    <w:rsid w:val="1A33BA0B"/>
    <w:rsid w:val="1B2689A5"/>
    <w:rsid w:val="1C7F89FF"/>
    <w:rsid w:val="1F63A775"/>
    <w:rsid w:val="1FF29EC8"/>
    <w:rsid w:val="24E94C0C"/>
    <w:rsid w:val="26B06DF0"/>
    <w:rsid w:val="26E021B7"/>
    <w:rsid w:val="292D1013"/>
    <w:rsid w:val="2A7920C3"/>
    <w:rsid w:val="2A79D812"/>
    <w:rsid w:val="2C90AA00"/>
    <w:rsid w:val="2DB28FFA"/>
    <w:rsid w:val="304DB734"/>
    <w:rsid w:val="30D0B3BE"/>
    <w:rsid w:val="331BE13C"/>
    <w:rsid w:val="332C5513"/>
    <w:rsid w:val="34AC24B1"/>
    <w:rsid w:val="3547C370"/>
    <w:rsid w:val="36710FB5"/>
    <w:rsid w:val="36C06199"/>
    <w:rsid w:val="3A09C7D4"/>
    <w:rsid w:val="3A10C190"/>
    <w:rsid w:val="3D1A961D"/>
    <w:rsid w:val="40199337"/>
    <w:rsid w:val="40B601A1"/>
    <w:rsid w:val="416A2A6C"/>
    <w:rsid w:val="4237DD18"/>
    <w:rsid w:val="442C5944"/>
    <w:rsid w:val="4C532880"/>
    <w:rsid w:val="4D58776A"/>
    <w:rsid w:val="52985A95"/>
    <w:rsid w:val="52CC52E2"/>
    <w:rsid w:val="54C43EB7"/>
    <w:rsid w:val="55C2456F"/>
    <w:rsid w:val="5D089BC5"/>
    <w:rsid w:val="5DC219FF"/>
    <w:rsid w:val="5E9E82EF"/>
    <w:rsid w:val="614CA75B"/>
    <w:rsid w:val="620EDB10"/>
    <w:rsid w:val="62DFE06B"/>
    <w:rsid w:val="6526004C"/>
    <w:rsid w:val="66D2B563"/>
    <w:rsid w:val="6766E9C4"/>
    <w:rsid w:val="68A6219C"/>
    <w:rsid w:val="69AF073E"/>
    <w:rsid w:val="6AD8AC9F"/>
    <w:rsid w:val="6B2670A5"/>
    <w:rsid w:val="6D02C387"/>
    <w:rsid w:val="6E1EAC99"/>
    <w:rsid w:val="7365B279"/>
    <w:rsid w:val="78254C23"/>
    <w:rsid w:val="7934B909"/>
    <w:rsid w:val="7A8E97F6"/>
    <w:rsid w:val="7A9DC929"/>
    <w:rsid w:val="7AD10CA0"/>
    <w:rsid w:val="7B277DC5"/>
    <w:rsid w:val="7BDB84E4"/>
    <w:rsid w:val="7DB22EB4"/>
    <w:rsid w:val="7E11BEDC"/>
    <w:rsid w:val="7E305D59"/>
    <w:rsid w:val="7EFAE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1432897"/>
  <w15:docId w15:val="{6F256F2C-AFCA-4565-B6C6-99433E46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4FA0"/>
    <w:p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A0987"/>
    <w:pPr>
      <w:keepNext/>
      <w:keepLines/>
      <w:spacing w:after="100" w:line="276" w:lineRule="auto"/>
      <w:contextualSpacing/>
      <w:outlineLvl w:val="0"/>
    </w:pPr>
    <w:rPr>
      <w:rFonts w:ascii="Arial" w:eastAsia="MS Gothic" w:hAnsi="Arial"/>
      <w:b/>
      <w:bCs/>
      <w:color w:val="86BF5E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EA0987"/>
    <w:pPr>
      <w:keepNext/>
      <w:keepLines/>
      <w:spacing w:line="276" w:lineRule="auto"/>
      <w:outlineLvl w:val="1"/>
    </w:pPr>
    <w:rPr>
      <w:rFonts w:ascii="Arial" w:eastAsia="MS Gothic" w:hAnsi="Arial"/>
      <w:b/>
      <w:bCs/>
      <w:color w:val="86BF5E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EA0987"/>
    <w:pPr>
      <w:keepNext/>
      <w:keepLines/>
      <w:spacing w:line="276" w:lineRule="auto"/>
      <w:outlineLvl w:val="2"/>
    </w:pPr>
    <w:rPr>
      <w:rFonts w:ascii="Arial" w:eastAsia="MS Gothic" w:hAnsi="Arial"/>
      <w:b/>
      <w:bCs/>
      <w:color w:val="86BF5E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41041D"/>
    <w:pPr>
      <w:keepNext/>
      <w:keepLines/>
      <w:spacing w:line="276" w:lineRule="auto"/>
      <w:outlineLvl w:val="3"/>
    </w:pPr>
    <w:rPr>
      <w:rFonts w:ascii="Arial" w:eastAsia="MS Gothic" w:hAnsi="Arial"/>
      <w:b/>
      <w:bCs/>
      <w:iCs/>
      <w:color w:val="86BF5E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A516D"/>
    <w:pPr>
      <w:keepNext/>
      <w:keepLines/>
      <w:numPr>
        <w:ilvl w:val="4"/>
        <w:numId w:val="14"/>
      </w:numPr>
      <w:tabs>
        <w:tab w:val="num" w:pos="360"/>
      </w:tabs>
      <w:spacing w:before="200" w:after="0"/>
      <w:ind w:left="0" w:firstLine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516D"/>
    <w:pPr>
      <w:keepNext/>
      <w:keepLines/>
      <w:numPr>
        <w:ilvl w:val="5"/>
        <w:numId w:val="14"/>
      </w:numPr>
      <w:tabs>
        <w:tab w:val="num" w:pos="360"/>
      </w:tabs>
      <w:spacing w:before="200" w:after="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516D"/>
    <w:pPr>
      <w:keepNext/>
      <w:keepLines/>
      <w:numPr>
        <w:ilvl w:val="6"/>
        <w:numId w:val="14"/>
      </w:numPr>
      <w:tabs>
        <w:tab w:val="num" w:pos="360"/>
      </w:tabs>
      <w:spacing w:before="20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516D"/>
    <w:pPr>
      <w:keepNext/>
      <w:keepLines/>
      <w:numPr>
        <w:ilvl w:val="7"/>
        <w:numId w:val="14"/>
      </w:numPr>
      <w:tabs>
        <w:tab w:val="num" w:pos="360"/>
      </w:tabs>
      <w:spacing w:before="200" w:after="0"/>
      <w:ind w:left="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516D"/>
    <w:pPr>
      <w:numPr>
        <w:ilvl w:val="8"/>
        <w:numId w:val="14"/>
      </w:numPr>
      <w:tabs>
        <w:tab w:val="num" w:pos="360"/>
      </w:tabs>
      <w:spacing w:before="240" w:after="60"/>
      <w:ind w:left="0" w:firstLine="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EA0987"/>
    <w:rPr>
      <w:rFonts w:ascii="Arial" w:eastAsia="MS Gothic" w:hAnsi="Arial"/>
      <w:b/>
      <w:bCs/>
      <w:color w:val="86BF5E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EA0987"/>
    <w:rPr>
      <w:rFonts w:ascii="Arial" w:eastAsia="MS Gothic" w:hAnsi="Arial"/>
      <w:b/>
      <w:bCs/>
      <w:color w:val="86BF5E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EA0987"/>
    <w:rPr>
      <w:rFonts w:ascii="Arial" w:eastAsia="MS Gothic" w:hAnsi="Arial"/>
      <w:b/>
      <w:bCs/>
      <w:color w:val="86BF5E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41041D"/>
    <w:rPr>
      <w:rFonts w:ascii="Arial" w:eastAsia="MS Gothic" w:hAnsi="Arial"/>
      <w:b/>
      <w:bCs/>
      <w:iCs/>
      <w:color w:val="86BF5E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7A516D"/>
    <w:rPr>
      <w:rFonts w:ascii="Cambria" w:eastAsia="Times New Roman" w:hAnsi="Cambria"/>
      <w:sz w:val="22"/>
      <w:szCs w:val="22"/>
      <w:lang w:eastAsia="cs-CZ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0A57D4"/>
    <w:pPr>
      <w:spacing w:after="80" w:line="288" w:lineRule="auto"/>
    </w:pPr>
    <w:rPr>
      <w:rFonts w:ascii="Arial" w:eastAsia="Times New Roman" w:hAnsi="Arial"/>
      <w:b/>
      <w:color w:val="86BF5E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A-Box1">
    <w:name w:val="A-Box 1"/>
    <w:next w:val="Normln"/>
    <w:qFormat/>
    <w:rsid w:val="00EA0987"/>
    <w:pPr>
      <w:shd w:val="clear" w:color="auto" w:fill="F0F6E9"/>
      <w:spacing w:before="240" w:after="240" w:line="276" w:lineRule="auto"/>
      <w:contextualSpacing/>
      <w:jc w:val="both"/>
    </w:pPr>
    <w:rPr>
      <w:rFonts w:ascii="Arial" w:hAnsi="Arial" w:cs="Arial"/>
      <w:lang w:eastAsia="cs-CZ"/>
    </w:rPr>
  </w:style>
  <w:style w:type="paragraph" w:customStyle="1" w:styleId="A-Box2">
    <w:name w:val="A-Box 2"/>
    <w:next w:val="Normln"/>
    <w:qFormat/>
    <w:rsid w:val="00EA0987"/>
    <w:pPr>
      <w:spacing w:before="240" w:after="240" w:line="276" w:lineRule="auto"/>
      <w:contextualSpacing/>
      <w:jc w:val="both"/>
    </w:pPr>
    <w:rPr>
      <w:rFonts w:ascii="Arial" w:hAnsi="Arial" w:cs="Arial"/>
      <w:color w:val="86BF5E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0A57D4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0A57D4"/>
    <w:pPr>
      <w:spacing w:after="160" w:line="259" w:lineRule="auto"/>
      <w:contextualSpacing/>
    </w:pPr>
    <w:rPr>
      <w:rFonts w:ascii="Arial" w:eastAsia="Times New Roman" w:hAnsi="Arial"/>
      <w:b/>
      <w:color w:val="86BF5E"/>
      <w:lang w:eastAsia="cs-CZ"/>
    </w:rPr>
  </w:style>
  <w:style w:type="paragraph" w:styleId="Nzev">
    <w:name w:val="Title"/>
    <w:link w:val="NzevChar"/>
    <w:uiPriority w:val="10"/>
    <w:qFormat/>
    <w:rsid w:val="001E6062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1E6062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1E6062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E6062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A516D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516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516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516D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8E7FC9"/>
    <w:pPr>
      <w:spacing w:after="0" w:line="240" w:lineRule="auto"/>
      <w:jc w:val="left"/>
    </w:pPr>
    <w:rPr>
      <w:rFonts w:eastAsia="Calibri"/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8E7FC9"/>
    <w:rPr>
      <w:rFonts w:ascii="Arial" w:hAnsi="Arial"/>
      <w:lang w:eastAsia="cs-CZ"/>
    </w:rPr>
  </w:style>
  <w:style w:type="paragraph" w:styleId="Bezmezer">
    <w:name w:val="No Spacing"/>
    <w:uiPriority w:val="1"/>
    <w:qFormat/>
    <w:rsid w:val="00AD68C4"/>
    <w:pPr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Marginlie">
    <w:name w:val="Marginálie"/>
    <w:basedOn w:val="Normln"/>
    <w:qFormat/>
    <w:rsid w:val="0089296D"/>
    <w:pPr>
      <w:spacing w:after="0"/>
      <w:jc w:val="left"/>
    </w:pPr>
    <w:rPr>
      <w:spacing w:val="-2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6B0F92"/>
    <w:pPr>
      <w:ind w:left="720"/>
      <w:contextualSpacing/>
    </w:pPr>
  </w:style>
  <w:style w:type="paragraph" w:customStyle="1" w:styleId="Normalodrka">
    <w:name w:val="Normal odrážka"/>
    <w:qFormat/>
    <w:rsid w:val="006B0F92"/>
    <w:pPr>
      <w:numPr>
        <w:numId w:val="20"/>
      </w:num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EA0987"/>
    <w:pPr>
      <w:shd w:val="clear" w:color="auto" w:fill="F0F6E9"/>
      <w:spacing w:before="240" w:after="240" w:line="276" w:lineRule="auto"/>
      <w:ind w:left="709"/>
      <w:contextualSpacing/>
      <w:jc w:val="both"/>
    </w:pPr>
    <w:rPr>
      <w:rFonts w:ascii="Arial" w:hAnsi="Arial" w:cs="Arial"/>
      <w:lang w:eastAsia="cs-CZ"/>
    </w:rPr>
  </w:style>
  <w:style w:type="paragraph" w:customStyle="1" w:styleId="Box2">
    <w:name w:val="Box 2"/>
    <w:next w:val="Normln"/>
    <w:qFormat/>
    <w:rsid w:val="00EA0987"/>
    <w:pPr>
      <w:spacing w:before="240" w:after="240" w:line="276" w:lineRule="auto"/>
      <w:ind w:left="709"/>
      <w:contextualSpacing/>
      <w:jc w:val="both"/>
    </w:pPr>
    <w:rPr>
      <w:rFonts w:ascii="Arial" w:hAnsi="Arial" w:cs="Arial"/>
      <w:b/>
      <w:color w:val="86BF5E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1E6062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1E6062"/>
    <w:rPr>
      <w:b/>
      <w:bCs/>
      <w:smallCaps/>
      <w:color w:val="000000" w:themeColor="text1"/>
      <w:spacing w:val="5"/>
    </w:rPr>
  </w:style>
  <w:style w:type="character" w:styleId="Znakapoznpodarou">
    <w:name w:val="footnote reference"/>
    <w:basedOn w:val="Standardnpsmoodstavce"/>
    <w:rsid w:val="00E063CE"/>
    <w:rPr>
      <w:rFonts w:cs="Times New Roman"/>
      <w:vertAlign w:val="superscript"/>
    </w:rPr>
  </w:style>
  <w:style w:type="paragraph" w:customStyle="1" w:styleId="Nadpis11">
    <w:name w:val="Nadpis 11"/>
    <w:basedOn w:val="Normln"/>
    <w:uiPriority w:val="9"/>
    <w:qFormat/>
    <w:rsid w:val="008A6CB4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paragraph" w:customStyle="1" w:styleId="Textpoznpodarou1">
    <w:name w:val="Text pozn. pod čarou1"/>
    <w:basedOn w:val="Normln"/>
    <w:qFormat/>
    <w:rsid w:val="008A6CB4"/>
    <w:pPr>
      <w:spacing w:after="0" w:line="240" w:lineRule="auto"/>
      <w:jc w:val="left"/>
    </w:pPr>
    <w:rPr>
      <w:rFonts w:eastAsia="Calibri"/>
      <w:szCs w:val="20"/>
    </w:rPr>
  </w:style>
  <w:style w:type="character" w:styleId="Zdraznn">
    <w:name w:val="Emphasis"/>
    <w:basedOn w:val="Standardnpsmoodstavce"/>
    <w:uiPriority w:val="20"/>
    <w:qFormat/>
    <w:rsid w:val="00C4431F"/>
    <w:rPr>
      <w:i/>
      <w:iCs/>
    </w:rPr>
  </w:style>
  <w:style w:type="character" w:customStyle="1" w:styleId="normaltextrun">
    <w:name w:val="normaltextrun"/>
    <w:basedOn w:val="Standardnpsmoodstavce"/>
    <w:rsid w:val="00C4431F"/>
  </w:style>
  <w:style w:type="paragraph" w:customStyle="1" w:styleId="paragraph">
    <w:name w:val="paragraph"/>
    <w:basedOn w:val="Normln"/>
    <w:rsid w:val="00C4431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C4431F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03FF5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455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551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5512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5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512"/>
    <w:rPr>
      <w:rFonts w:ascii="Arial" w:eastAsia="Times New Roman" w:hAnsi="Arial"/>
      <w:b/>
      <w:bCs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45512"/>
    <w:pPr>
      <w:spacing w:after="0" w:line="288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45512"/>
    <w:rPr>
      <w:rFonts w:ascii="Tahoma" w:hAnsi="Tahoma" w:cs="Tahoma"/>
      <w:sz w:val="16"/>
      <w:szCs w:val="16"/>
      <w:lang w:eastAsia="cs-CZ"/>
    </w:rPr>
  </w:style>
  <w:style w:type="paragraph" w:customStyle="1" w:styleId="Nadpis12">
    <w:name w:val="Nadpis 12"/>
    <w:basedOn w:val="Normln"/>
    <w:uiPriority w:val="9"/>
    <w:qFormat/>
    <w:rsid w:val="00545512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character" w:customStyle="1" w:styleId="spelle">
    <w:name w:val="spelle"/>
    <w:basedOn w:val="Standardnpsmoodstavce"/>
    <w:rsid w:val="00545512"/>
  </w:style>
  <w:style w:type="paragraph" w:styleId="Revize">
    <w:name w:val="Revision"/>
    <w:hidden/>
    <w:uiPriority w:val="99"/>
    <w:semiHidden/>
    <w:rsid w:val="00545512"/>
    <w:rPr>
      <w:rFonts w:ascii="Arial" w:eastAsia="Times New Roman" w:hAnsi="Arial"/>
      <w:szCs w:val="24"/>
      <w:lang w:eastAsia="cs-CZ"/>
    </w:rPr>
  </w:style>
  <w:style w:type="character" w:customStyle="1" w:styleId="odkaz-style-wrapper">
    <w:name w:val="odkaz-style-wrapper"/>
    <w:basedOn w:val="Standardnpsmoodstavce"/>
    <w:rsid w:val="00545512"/>
  </w:style>
  <w:style w:type="character" w:customStyle="1" w:styleId="tabulka">
    <w:name w:val="tabulka"/>
    <w:basedOn w:val="Standardnpsmoodstavce"/>
    <w:rsid w:val="00545512"/>
  </w:style>
  <w:style w:type="paragraph" w:customStyle="1" w:styleId="Default">
    <w:name w:val="Default"/>
    <w:rsid w:val="0054551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5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5512"/>
    <w:rPr>
      <w:rFonts w:ascii="Courier New" w:eastAsia="Times New Roman" w:hAnsi="Courier New" w:cs="Courier New"/>
      <w:lang w:eastAsia="cs-CZ"/>
    </w:rPr>
  </w:style>
  <w:style w:type="paragraph" w:customStyle="1" w:styleId="cay">
    <w:name w:val="c_ay"/>
    <w:basedOn w:val="Normln"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cew">
    <w:name w:val="c_ew"/>
    <w:basedOn w:val="Standardnpsmoodstavce"/>
    <w:rsid w:val="00545512"/>
  </w:style>
  <w:style w:type="character" w:styleId="Sledovanodkaz">
    <w:name w:val="FollowedHyperlink"/>
    <w:basedOn w:val="Standardnpsmoodstavce"/>
    <w:uiPriority w:val="99"/>
    <w:semiHidden/>
    <w:unhideWhenUsed/>
    <w:rsid w:val="00545512"/>
    <w:rPr>
      <w:color w:val="800080" w:themeColor="followedHyperlink"/>
      <w:u w:val="single"/>
    </w:rPr>
  </w:style>
  <w:style w:type="character" w:customStyle="1" w:styleId="cfu">
    <w:name w:val="c_fu"/>
    <w:basedOn w:val="Standardnpsmoodstavce"/>
    <w:rsid w:val="00BF3B1D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F59E5"/>
    <w:rPr>
      <w:rFonts w:ascii="Arial" w:eastAsia="Times New Roman" w:hAnsi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Qmakro-2026\Odv&#283;tv&#237;\ODV&#282;TV&#205;_grafy_1q-2026-ak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Qmakro-2026\Odv&#283;tv&#237;\ODV&#282;TV&#205;_grafy_1q-2026-akt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Qmakro-2026\Odv&#283;tv&#237;\ODV&#282;TV&#205;_grafy_1q-2026-akt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Qmakro-2026\Odv&#283;tv&#237;\ODV&#282;TV&#205;_grafy_1q-2026-akt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Qmakro-2026\Odv&#283;tv&#237;\ODV&#282;TV&#205;_grafy_1q-2026-ak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610992424025054E-2"/>
          <c:y val="1.5804777005479873E-2"/>
          <c:w val="0.84144249386957193"/>
          <c:h val="0.7003473354211771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'GRAF příspěvky IPP'!$A$27</c:f>
              <c:strCache>
                <c:ptCount val="1"/>
                <c:pt idx="0">
                  <c:v>Výroba dopravních prostředků (29, 30)</c:v>
                </c:pt>
              </c:strCache>
            </c:strRef>
          </c:tx>
          <c:spPr>
            <a:solidFill>
              <a:srgbClr val="D8A7B7"/>
            </a:solidFill>
          </c:spPr>
          <c:invertIfNegative val="0"/>
          <c:cat>
            <c:multiLvlStrRef>
              <c:f>'GRAF příspěvky IPP'!$AD$25:$BJ$26</c:f>
              <c:multiLvlStrCache>
                <c:ptCount val="3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'GRAF příspěvky IPP'!$AD$27:$BJ$27</c:f>
              <c:numCache>
                <c:formatCode>0.0</c:formatCode>
                <c:ptCount val="33"/>
                <c:pt idx="0">
                  <c:v>0.75268647024158142</c:v>
                </c:pt>
                <c:pt idx="1">
                  <c:v>0.54211789515047693</c:v>
                </c:pt>
                <c:pt idx="2">
                  <c:v>0.24127576647979335</c:v>
                </c:pt>
                <c:pt idx="3">
                  <c:v>0.97863378627142206</c:v>
                </c:pt>
                <c:pt idx="4">
                  <c:v>-0.2260516552234422</c:v>
                </c:pt>
                <c:pt idx="5">
                  <c:v>0.44759183220264459</c:v>
                </c:pt>
                <c:pt idx="6">
                  <c:v>0.76878503294695455</c:v>
                </c:pt>
                <c:pt idx="7">
                  <c:v>-1.0091759236462883</c:v>
                </c:pt>
                <c:pt idx="8">
                  <c:v>-1.5334709251303915</c:v>
                </c:pt>
                <c:pt idx="9">
                  <c:v>-9.3844961095672232</c:v>
                </c:pt>
                <c:pt idx="10">
                  <c:v>-0.1831246423410012</c:v>
                </c:pt>
                <c:pt idx="11">
                  <c:v>2.0633116605855042</c:v>
                </c:pt>
                <c:pt idx="12">
                  <c:v>1.9009220582212656</c:v>
                </c:pt>
                <c:pt idx="13">
                  <c:v>10.962436300546839</c:v>
                </c:pt>
                <c:pt idx="14">
                  <c:v>-3.7816826515966451</c:v>
                </c:pt>
                <c:pt idx="15">
                  <c:v>-3.2415310878086325</c:v>
                </c:pt>
                <c:pt idx="16">
                  <c:v>-1.9006279034039761</c:v>
                </c:pt>
                <c:pt idx="17">
                  <c:v>9.8882021278874688E-2</c:v>
                </c:pt>
                <c:pt idx="18">
                  <c:v>5.6047148528941628</c:v>
                </c:pt>
                <c:pt idx="19">
                  <c:v>3.9970459414903723</c:v>
                </c:pt>
                <c:pt idx="20">
                  <c:v>5.2762979416848301</c:v>
                </c:pt>
                <c:pt idx="21">
                  <c:v>5.0691801030618473</c:v>
                </c:pt>
                <c:pt idx="22">
                  <c:v>1.3395150948118291</c:v>
                </c:pt>
                <c:pt idx="23">
                  <c:v>3.1934880866006852</c:v>
                </c:pt>
                <c:pt idx="24">
                  <c:v>0.44683712045987689</c:v>
                </c:pt>
                <c:pt idx="25">
                  <c:v>-1.084777099067793</c:v>
                </c:pt>
                <c:pt idx="26">
                  <c:v>0.66912123314032446</c:v>
                </c:pt>
                <c:pt idx="27">
                  <c:v>-1.4432630187184605</c:v>
                </c:pt>
                <c:pt idx="28">
                  <c:v>-0.54240091765398424</c:v>
                </c:pt>
                <c:pt idx="29">
                  <c:v>0.51859084237716646</c:v>
                </c:pt>
                <c:pt idx="30">
                  <c:v>4.5665139379404571E-2</c:v>
                </c:pt>
                <c:pt idx="31">
                  <c:v>0.91267682458047084</c:v>
                </c:pt>
                <c:pt idx="32">
                  <c:v>1.0752594238827413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3B-4C3D-B315-68FCCB3485AA}"/>
            </c:ext>
          </c:extLst>
        </c:ser>
        <c:ser>
          <c:idx val="1"/>
          <c:order val="1"/>
          <c:tx>
            <c:strRef>
              <c:f>'GRAF příspěvky IPP'!$A$28</c:f>
              <c:strCache>
                <c:ptCount val="1"/>
                <c:pt idx="0">
                  <c:v>Gumárenství, elektrotechnický pr. (22, 27)</c:v>
                </c:pt>
              </c:strCache>
            </c:strRef>
          </c:tx>
          <c:spPr>
            <a:solidFill>
              <a:srgbClr val="BC5B80"/>
            </a:solidFill>
          </c:spPr>
          <c:invertIfNegative val="0"/>
          <c:cat>
            <c:multiLvlStrRef>
              <c:f>'GRAF příspěvky IPP'!$AD$25:$BJ$26</c:f>
              <c:multiLvlStrCache>
                <c:ptCount val="3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'GRAF příspěvky IPP'!$AD$28:$BJ$28</c:f>
              <c:numCache>
                <c:formatCode>0.0</c:formatCode>
                <c:ptCount val="33"/>
                <c:pt idx="0">
                  <c:v>1.0040337375607471</c:v>
                </c:pt>
                <c:pt idx="1">
                  <c:v>0.3253925650201499</c:v>
                </c:pt>
                <c:pt idx="2">
                  <c:v>0.43133954445298106</c:v>
                </c:pt>
                <c:pt idx="3">
                  <c:v>-5.9899261699036116E-2</c:v>
                </c:pt>
                <c:pt idx="4">
                  <c:v>0.52608733581744893</c:v>
                </c:pt>
                <c:pt idx="5">
                  <c:v>0.44070570288166666</c:v>
                </c:pt>
                <c:pt idx="6">
                  <c:v>0.16703875787161085</c:v>
                </c:pt>
                <c:pt idx="7">
                  <c:v>0.41508771908448316</c:v>
                </c:pt>
                <c:pt idx="8">
                  <c:v>-0.55255281731107375</c:v>
                </c:pt>
                <c:pt idx="9">
                  <c:v>-4.0630399723550301</c:v>
                </c:pt>
                <c:pt idx="10">
                  <c:v>-0.43874587338548932</c:v>
                </c:pt>
                <c:pt idx="11">
                  <c:v>0.53060699318837878</c:v>
                </c:pt>
                <c:pt idx="12">
                  <c:v>0.71105377730316599</c:v>
                </c:pt>
                <c:pt idx="13">
                  <c:v>5.4813528736391373</c:v>
                </c:pt>
                <c:pt idx="14">
                  <c:v>0.6216905337035239</c:v>
                </c:pt>
                <c:pt idx="15">
                  <c:v>-0.4237146866197381</c:v>
                </c:pt>
                <c:pt idx="16">
                  <c:v>8.5432905047654106E-2</c:v>
                </c:pt>
                <c:pt idx="17">
                  <c:v>0.14017080136165114</c:v>
                </c:pt>
                <c:pt idx="18">
                  <c:v>0.54140847185477736</c:v>
                </c:pt>
                <c:pt idx="19">
                  <c:v>0.61586793753317559</c:v>
                </c:pt>
                <c:pt idx="20">
                  <c:v>0.24643729008607473</c:v>
                </c:pt>
                <c:pt idx="21">
                  <c:v>0.13297387060287902</c:v>
                </c:pt>
                <c:pt idx="22">
                  <c:v>-0.41954906744716108</c:v>
                </c:pt>
                <c:pt idx="23">
                  <c:v>1.8029268216841199E-2</c:v>
                </c:pt>
                <c:pt idx="24">
                  <c:v>3.5719762074797032E-2</c:v>
                </c:pt>
                <c:pt idx="25">
                  <c:v>-0.18845737493805909</c:v>
                </c:pt>
                <c:pt idx="26">
                  <c:v>0.14813881914088348</c:v>
                </c:pt>
                <c:pt idx="27">
                  <c:v>-0.54230725025084103</c:v>
                </c:pt>
                <c:pt idx="28">
                  <c:v>1.9841564989931101E-2</c:v>
                </c:pt>
                <c:pt idx="29">
                  <c:v>0.45360802630904795</c:v>
                </c:pt>
                <c:pt idx="30">
                  <c:v>0.31951292417359611</c:v>
                </c:pt>
                <c:pt idx="31">
                  <c:v>0.66980993527071697</c:v>
                </c:pt>
                <c:pt idx="32">
                  <c:v>0.30377598786180515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63B-4C3D-B315-68FCCB3485AA}"/>
            </c:ext>
          </c:extLst>
        </c:ser>
        <c:ser>
          <c:idx val="2"/>
          <c:order val="2"/>
          <c:tx>
            <c:strRef>
              <c:f>'GRAF příspěvky IPP'!$A$29</c:f>
              <c:strCache>
                <c:ptCount val="1"/>
                <c:pt idx="0">
                  <c:v>Strojírenství (28)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cat>
            <c:multiLvlStrRef>
              <c:f>'GRAF příspěvky IPP'!$AD$25:$BJ$26</c:f>
              <c:multiLvlStrCache>
                <c:ptCount val="3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'GRAF příspěvky IPP'!$AD$29:$BJ$29</c:f>
              <c:numCache>
                <c:formatCode>0.0</c:formatCode>
                <c:ptCount val="33"/>
                <c:pt idx="0">
                  <c:v>0.48868169907415326</c:v>
                </c:pt>
                <c:pt idx="1">
                  <c:v>0.13868742792561028</c:v>
                </c:pt>
                <c:pt idx="2">
                  <c:v>0.18638853797251198</c:v>
                </c:pt>
                <c:pt idx="3">
                  <c:v>-0.20071677551985512</c:v>
                </c:pt>
                <c:pt idx="4">
                  <c:v>0.20262845642032346</c:v>
                </c:pt>
                <c:pt idx="5">
                  <c:v>-9.1482438382696971E-3</c:v>
                </c:pt>
                <c:pt idx="6">
                  <c:v>-0.3267936607108648</c:v>
                </c:pt>
                <c:pt idx="7">
                  <c:v>-0.14957125605699437</c:v>
                </c:pt>
                <c:pt idx="8">
                  <c:v>-0.7072452096320988</c:v>
                </c:pt>
                <c:pt idx="9">
                  <c:v>-2.1308377913469609</c:v>
                </c:pt>
                <c:pt idx="10">
                  <c:v>-0.8017096029334061</c:v>
                </c:pt>
                <c:pt idx="11">
                  <c:v>-0.54797142039304825</c:v>
                </c:pt>
                <c:pt idx="12">
                  <c:v>6.9523816193354571E-2</c:v>
                </c:pt>
                <c:pt idx="13">
                  <c:v>2.0537889224076182</c:v>
                </c:pt>
                <c:pt idx="14">
                  <c:v>0.54998998649274944</c:v>
                </c:pt>
                <c:pt idx="15">
                  <c:v>0.27824368190942744</c:v>
                </c:pt>
                <c:pt idx="16">
                  <c:v>0.35474059805720581</c:v>
                </c:pt>
                <c:pt idx="17">
                  <c:v>9.159353246407527E-2</c:v>
                </c:pt>
                <c:pt idx="18">
                  <c:v>0.48985672658594026</c:v>
                </c:pt>
                <c:pt idx="19">
                  <c:v>0.65848483899880683</c:v>
                </c:pt>
                <c:pt idx="20">
                  <c:v>0.47009044095931496</c:v>
                </c:pt>
                <c:pt idx="21">
                  <c:v>0.4006172401103964</c:v>
                </c:pt>
                <c:pt idx="22">
                  <c:v>-0.57578518680795432</c:v>
                </c:pt>
                <c:pt idx="23">
                  <c:v>-0.75578874449495581</c:v>
                </c:pt>
                <c:pt idx="24">
                  <c:v>-0.9625142240233997</c:v>
                </c:pt>
                <c:pt idx="25">
                  <c:v>-0.80168828655754398</c:v>
                </c:pt>
                <c:pt idx="26">
                  <c:v>-0.39977018694536648</c:v>
                </c:pt>
                <c:pt idx="27">
                  <c:v>-0.52594869917284226</c:v>
                </c:pt>
                <c:pt idx="28">
                  <c:v>9.3043953965084594E-2</c:v>
                </c:pt>
                <c:pt idx="29">
                  <c:v>-0.14554659159843011</c:v>
                </c:pt>
                <c:pt idx="30">
                  <c:v>0.12349543492602813</c:v>
                </c:pt>
                <c:pt idx="31">
                  <c:v>0.49619228577641566</c:v>
                </c:pt>
                <c:pt idx="32">
                  <c:v>-0.33012899992938527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63B-4C3D-B315-68FCCB3485AA}"/>
            </c:ext>
          </c:extLst>
        </c:ser>
        <c:ser>
          <c:idx val="3"/>
          <c:order val="3"/>
          <c:tx>
            <c:strRef>
              <c:f>'GRAF příspěvky IPP'!$A$30</c:f>
              <c:strCache>
                <c:ptCount val="1"/>
                <c:pt idx="0">
                  <c:v>Kovodělný průmysl (25)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cat>
            <c:multiLvlStrRef>
              <c:f>'GRAF příspěvky IPP'!$AD$25:$BJ$26</c:f>
              <c:multiLvlStrCache>
                <c:ptCount val="3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'GRAF příspěvky IPP'!$AD$30:$BJ$30</c:f>
              <c:numCache>
                <c:formatCode>0.0</c:formatCode>
                <c:ptCount val="33"/>
                <c:pt idx="0">
                  <c:v>0.67147421279246411</c:v>
                </c:pt>
                <c:pt idx="1">
                  <c:v>0.46338675111775501</c:v>
                </c:pt>
                <c:pt idx="2">
                  <c:v>0.40465307945227347</c:v>
                </c:pt>
                <c:pt idx="3">
                  <c:v>0.13991647838864771</c:v>
                </c:pt>
                <c:pt idx="4">
                  <c:v>0.23284119938910905</c:v>
                </c:pt>
                <c:pt idx="5">
                  <c:v>-2.3018109664658163E-3</c:v>
                </c:pt>
                <c:pt idx="6">
                  <c:v>-0.27902616348258918</c:v>
                </c:pt>
                <c:pt idx="7">
                  <c:v>-0.28921256974210446</c:v>
                </c:pt>
                <c:pt idx="8">
                  <c:v>-0.59705730498174525</c:v>
                </c:pt>
                <c:pt idx="9">
                  <c:v>-2.0768472147616719</c:v>
                </c:pt>
                <c:pt idx="10">
                  <c:v>-0.62165835195312102</c:v>
                </c:pt>
                <c:pt idx="11">
                  <c:v>4.661253810289321E-2</c:v>
                </c:pt>
                <c:pt idx="12">
                  <c:v>0.43211394669446129</c:v>
                </c:pt>
                <c:pt idx="13">
                  <c:v>2.9905594307699275</c:v>
                </c:pt>
                <c:pt idx="14">
                  <c:v>0.80057174840018464</c:v>
                </c:pt>
                <c:pt idx="15">
                  <c:v>1.7842744066281405E-2</c:v>
                </c:pt>
                <c:pt idx="16">
                  <c:v>0.2270419422273395</c:v>
                </c:pt>
                <c:pt idx="17">
                  <c:v>-0.40390149701119177</c:v>
                </c:pt>
                <c:pt idx="18">
                  <c:v>-0.31522655000635558</c:v>
                </c:pt>
                <c:pt idx="19">
                  <c:v>-0.2158460789696578</c:v>
                </c:pt>
                <c:pt idx="20">
                  <c:v>-0.35304158862001117</c:v>
                </c:pt>
                <c:pt idx="21">
                  <c:v>-9.898514727148211E-2</c:v>
                </c:pt>
                <c:pt idx="22">
                  <c:v>-0.21045961248750156</c:v>
                </c:pt>
                <c:pt idx="23">
                  <c:v>-0.27573885577866986</c:v>
                </c:pt>
                <c:pt idx="24">
                  <c:v>-0.20005962705948793</c:v>
                </c:pt>
                <c:pt idx="25">
                  <c:v>-3.6999886884328842E-2</c:v>
                </c:pt>
                <c:pt idx="26">
                  <c:v>0.34489368177621904</c:v>
                </c:pt>
                <c:pt idx="27">
                  <c:v>0.21350994299050982</c:v>
                </c:pt>
                <c:pt idx="28">
                  <c:v>0.24827787635955434</c:v>
                </c:pt>
                <c:pt idx="29">
                  <c:v>0.55926957397260735</c:v>
                </c:pt>
                <c:pt idx="30">
                  <c:v>0.65322130754166841</c:v>
                </c:pt>
                <c:pt idx="31">
                  <c:v>1.3015974142663862</c:v>
                </c:pt>
                <c:pt idx="32">
                  <c:v>0.47719910658396703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63B-4C3D-B315-68FCCB3485AA}"/>
            </c:ext>
          </c:extLst>
        </c:ser>
        <c:ser>
          <c:idx val="4"/>
          <c:order val="4"/>
          <c:tx>
            <c:strRef>
              <c:f>'GRAF příspěvky IPP'!$A$31</c:f>
              <c:strCache>
                <c:ptCount val="1"/>
                <c:pt idx="0">
                  <c:v>Výroba PC, elektronic. a optic. přístr. (26)</c:v>
                </c:pt>
              </c:strCache>
            </c:strRef>
          </c:tx>
          <c:spPr>
            <a:solidFill>
              <a:srgbClr val="E6C483"/>
            </a:solidFill>
          </c:spPr>
          <c:invertIfNegative val="0"/>
          <c:cat>
            <c:multiLvlStrRef>
              <c:f>'GRAF příspěvky IPP'!$AD$25:$BJ$26</c:f>
              <c:multiLvlStrCache>
                <c:ptCount val="3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'GRAF příspěvky IPP'!$AD$31:$BJ$31</c:f>
              <c:numCache>
                <c:formatCode>0.0</c:formatCode>
                <c:ptCount val="33"/>
                <c:pt idx="0">
                  <c:v>0.38575845909308681</c:v>
                </c:pt>
                <c:pt idx="1">
                  <c:v>0.1585479563430445</c:v>
                </c:pt>
                <c:pt idx="2">
                  <c:v>0.63604123808561219</c:v>
                </c:pt>
                <c:pt idx="3">
                  <c:v>0.3169722012936107</c:v>
                </c:pt>
                <c:pt idx="4">
                  <c:v>-0.10335857004416719</c:v>
                </c:pt>
                <c:pt idx="5">
                  <c:v>-3.5698176267711781E-2</c:v>
                </c:pt>
                <c:pt idx="6">
                  <c:v>-0.60934912550064046</c:v>
                </c:pt>
                <c:pt idx="7">
                  <c:v>-0.3641176829939205</c:v>
                </c:pt>
                <c:pt idx="8">
                  <c:v>-0.1013700779981392</c:v>
                </c:pt>
                <c:pt idx="9">
                  <c:v>-0.31920945262277456</c:v>
                </c:pt>
                <c:pt idx="10">
                  <c:v>3.1049160053994794E-2</c:v>
                </c:pt>
                <c:pt idx="11">
                  <c:v>2.2349038466741165E-2</c:v>
                </c:pt>
                <c:pt idx="12">
                  <c:v>0.12975355540314282</c:v>
                </c:pt>
                <c:pt idx="13">
                  <c:v>0.21201733992680374</c:v>
                </c:pt>
                <c:pt idx="14">
                  <c:v>0.1941841019992544</c:v>
                </c:pt>
                <c:pt idx="15">
                  <c:v>-0.23843126852101912</c:v>
                </c:pt>
                <c:pt idx="16">
                  <c:v>2.2375778653478211E-2</c:v>
                </c:pt>
                <c:pt idx="17">
                  <c:v>-1.8664914809135777E-2</c:v>
                </c:pt>
                <c:pt idx="18">
                  <c:v>5.983720902341521E-2</c:v>
                </c:pt>
                <c:pt idx="19">
                  <c:v>0.43552217534069498</c:v>
                </c:pt>
                <c:pt idx="20">
                  <c:v>0.14470334752654473</c:v>
                </c:pt>
                <c:pt idx="21">
                  <c:v>8.8197188447825356E-2</c:v>
                </c:pt>
                <c:pt idx="22">
                  <c:v>-6.9028846604599223E-2</c:v>
                </c:pt>
                <c:pt idx="23">
                  <c:v>-6.5570020882029928E-2</c:v>
                </c:pt>
                <c:pt idx="24">
                  <c:v>-7.7915888293924231E-3</c:v>
                </c:pt>
                <c:pt idx="25">
                  <c:v>0.21997586638815811</c:v>
                </c:pt>
                <c:pt idx="26">
                  <c:v>0.28884635576240486</c:v>
                </c:pt>
                <c:pt idx="27">
                  <c:v>9.551918740327324E-2</c:v>
                </c:pt>
                <c:pt idx="28">
                  <c:v>5.9992683361345016E-3</c:v>
                </c:pt>
                <c:pt idx="29">
                  <c:v>-0.1123065842307529</c:v>
                </c:pt>
                <c:pt idx="30">
                  <c:v>-0.20924737566523802</c:v>
                </c:pt>
                <c:pt idx="31">
                  <c:v>3.4515177598828037E-2</c:v>
                </c:pt>
                <c:pt idx="32">
                  <c:v>0.11563081775908206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63B-4C3D-B315-68FCCB3485AA}"/>
            </c:ext>
          </c:extLst>
        </c:ser>
        <c:ser>
          <c:idx val="5"/>
          <c:order val="5"/>
          <c:tx>
            <c:strRef>
              <c:f>'GRAF příspěvky IPP'!$A$32</c:f>
              <c:strCache>
                <c:ptCount val="1"/>
                <c:pt idx="0">
                  <c:v>Chemický a farmaceutický pr. (20, 21)</c:v>
                </c:pt>
              </c:strCache>
            </c:strRef>
          </c:tx>
          <c:spPr>
            <a:solidFill>
              <a:srgbClr val="CC9610"/>
            </a:solidFill>
            <a:ln>
              <a:noFill/>
            </a:ln>
          </c:spPr>
          <c:invertIfNegative val="0"/>
          <c:cat>
            <c:multiLvlStrRef>
              <c:f>'GRAF příspěvky IPP'!$AD$25:$BJ$26</c:f>
              <c:multiLvlStrCache>
                <c:ptCount val="3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'GRAF příspěvky IPP'!$AD$32:$BJ$32</c:f>
              <c:numCache>
                <c:formatCode>0.0</c:formatCode>
                <c:ptCount val="33"/>
                <c:pt idx="0">
                  <c:v>0.40911320927322647</c:v>
                </c:pt>
                <c:pt idx="1">
                  <c:v>7.7633111380155301E-2</c:v>
                </c:pt>
                <c:pt idx="2">
                  <c:v>-5.3190732776962651E-2</c:v>
                </c:pt>
                <c:pt idx="3">
                  <c:v>-7.1103221110709838E-2</c:v>
                </c:pt>
                <c:pt idx="4">
                  <c:v>9.3101613350728932E-2</c:v>
                </c:pt>
                <c:pt idx="5">
                  <c:v>6.1474211824515262E-2</c:v>
                </c:pt>
                <c:pt idx="6">
                  <c:v>0.2229684142187896</c:v>
                </c:pt>
                <c:pt idx="7">
                  <c:v>3.2130190492489386E-2</c:v>
                </c:pt>
                <c:pt idx="8">
                  <c:v>-3.6216479616950112E-2</c:v>
                </c:pt>
                <c:pt idx="9">
                  <c:v>-0.57135666895590331</c:v>
                </c:pt>
                <c:pt idx="10">
                  <c:v>-0.22076865898667289</c:v>
                </c:pt>
                <c:pt idx="11">
                  <c:v>0.42176753383241716</c:v>
                </c:pt>
                <c:pt idx="12">
                  <c:v>0.28426277083090246</c:v>
                </c:pt>
                <c:pt idx="13">
                  <c:v>0.82325325428168006</c:v>
                </c:pt>
                <c:pt idx="14">
                  <c:v>0.31991054650479339</c:v>
                </c:pt>
                <c:pt idx="15">
                  <c:v>8.7688985546260853E-2</c:v>
                </c:pt>
                <c:pt idx="16">
                  <c:v>0.24863963230574521</c:v>
                </c:pt>
                <c:pt idx="17">
                  <c:v>0.15905411527097743</c:v>
                </c:pt>
                <c:pt idx="18">
                  <c:v>-9.9192658046001692E-2</c:v>
                </c:pt>
                <c:pt idx="19">
                  <c:v>-0.29076993899169623</c:v>
                </c:pt>
                <c:pt idx="20">
                  <c:v>-0.60054284095284183</c:v>
                </c:pt>
                <c:pt idx="21">
                  <c:v>-0.17710340225216925</c:v>
                </c:pt>
                <c:pt idx="22">
                  <c:v>-7.3516958752537429E-2</c:v>
                </c:pt>
                <c:pt idx="23">
                  <c:v>-0.12575787999845109</c:v>
                </c:pt>
                <c:pt idx="24">
                  <c:v>0.26823896721095042</c:v>
                </c:pt>
                <c:pt idx="25">
                  <c:v>0.14459515409260676</c:v>
                </c:pt>
                <c:pt idx="26">
                  <c:v>-7.3019869232471224E-2</c:v>
                </c:pt>
                <c:pt idx="27">
                  <c:v>-7.0266611213317939E-2</c:v>
                </c:pt>
                <c:pt idx="28">
                  <c:v>-0.11473054611690403</c:v>
                </c:pt>
                <c:pt idx="29">
                  <c:v>-0.15124708140176971</c:v>
                </c:pt>
                <c:pt idx="30">
                  <c:v>0.1819138694259059</c:v>
                </c:pt>
                <c:pt idx="31">
                  <c:v>0.2045931133528113</c:v>
                </c:pt>
                <c:pt idx="32">
                  <c:v>9.0730341716153753E-2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63B-4C3D-B315-68FCCB3485AA}"/>
            </c:ext>
          </c:extLst>
        </c:ser>
        <c:ser>
          <c:idx val="6"/>
          <c:order val="6"/>
          <c:tx>
            <c:strRef>
              <c:f>'GRAF příspěvky IPP'!$A$33</c:f>
              <c:strCache>
                <c:ptCount val="1"/>
                <c:pt idx="0">
                  <c:v>Zbývající zpracovatelský průmysl*</c:v>
                </c:pt>
              </c:strCache>
            </c:strRef>
          </c:tx>
          <c:spPr>
            <a:solidFill>
              <a:srgbClr val="C3DDAC"/>
            </a:solidFill>
          </c:spPr>
          <c:invertIfNegative val="0"/>
          <c:cat>
            <c:multiLvlStrRef>
              <c:f>'GRAF příspěvky IPP'!$AD$25:$BJ$26</c:f>
              <c:multiLvlStrCache>
                <c:ptCount val="3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'GRAF příspěvky IPP'!$AD$33:$BJ$33</c:f>
              <c:numCache>
                <c:formatCode>0.0</c:formatCode>
                <c:ptCount val="33"/>
                <c:pt idx="0">
                  <c:v>1.1768838940724016</c:v>
                </c:pt>
                <c:pt idx="1">
                  <c:v>0.73260991135089881</c:v>
                </c:pt>
                <c:pt idx="2">
                  <c:v>1.1309843102453647</c:v>
                </c:pt>
                <c:pt idx="3">
                  <c:v>0.15993804771029091</c:v>
                </c:pt>
                <c:pt idx="4">
                  <c:v>-0.32185268974320136</c:v>
                </c:pt>
                <c:pt idx="5">
                  <c:v>-0.30512916964802844</c:v>
                </c:pt>
                <c:pt idx="6">
                  <c:v>-0.97407463154620033</c:v>
                </c:pt>
                <c:pt idx="7">
                  <c:v>-3.9701171551173531E-2</c:v>
                </c:pt>
                <c:pt idx="8">
                  <c:v>0.31377104389497573</c:v>
                </c:pt>
                <c:pt idx="9">
                  <c:v>-1.6010940767108721</c:v>
                </c:pt>
                <c:pt idx="10">
                  <c:v>-5.0886354263985356E-3</c:v>
                </c:pt>
                <c:pt idx="11">
                  <c:v>-0.12175513984550231</c:v>
                </c:pt>
                <c:pt idx="12">
                  <c:v>-2.1128761312970146E-3</c:v>
                </c:pt>
                <c:pt idx="13">
                  <c:v>3.2182826185149889</c:v>
                </c:pt>
                <c:pt idx="14">
                  <c:v>1.5227369240206821</c:v>
                </c:pt>
                <c:pt idx="15">
                  <c:v>1.1735580757843487</c:v>
                </c:pt>
                <c:pt idx="16">
                  <c:v>1.6949563990634429</c:v>
                </c:pt>
                <c:pt idx="17">
                  <c:v>0.27470000381588033</c:v>
                </c:pt>
                <c:pt idx="18">
                  <c:v>-1.6667213846762752</c:v>
                </c:pt>
                <c:pt idx="19">
                  <c:v>-1.5269932606404839</c:v>
                </c:pt>
                <c:pt idx="20">
                  <c:v>-3.3261450575018028</c:v>
                </c:pt>
                <c:pt idx="21">
                  <c:v>-3.5878313003538334</c:v>
                </c:pt>
                <c:pt idx="22">
                  <c:v>-1.8071756863987505</c:v>
                </c:pt>
                <c:pt idx="23">
                  <c:v>-1.6144210415769553</c:v>
                </c:pt>
                <c:pt idx="24">
                  <c:v>0.13077401211331544</c:v>
                </c:pt>
                <c:pt idx="25">
                  <c:v>0.27796430392454941</c:v>
                </c:pt>
                <c:pt idx="26">
                  <c:v>-0.19589531851693803</c:v>
                </c:pt>
                <c:pt idx="27">
                  <c:v>0.25803068209411495</c:v>
                </c:pt>
                <c:pt idx="28">
                  <c:v>0.39218706834499417</c:v>
                </c:pt>
                <c:pt idx="29">
                  <c:v>0.68187785973882531</c:v>
                </c:pt>
                <c:pt idx="30">
                  <c:v>0.24157709889443785</c:v>
                </c:pt>
                <c:pt idx="31">
                  <c:v>0.6635577314478216</c:v>
                </c:pt>
                <c:pt idx="32">
                  <c:v>-0.19791624467179833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63B-4C3D-B315-68FCCB3485AA}"/>
            </c:ext>
          </c:extLst>
        </c:ser>
        <c:ser>
          <c:idx val="7"/>
          <c:order val="7"/>
          <c:tx>
            <c:strRef>
              <c:f>'GRAF příspěvky IPP'!$A$34</c:f>
              <c:strCache>
                <c:ptCount val="1"/>
                <c:pt idx="0">
                  <c:v>Těžba a energetika (B, D)</c:v>
                </c:pt>
              </c:strCache>
            </c:strRef>
          </c:tx>
          <c:spPr>
            <a:solidFill>
              <a:srgbClr val="86BF5E"/>
            </a:solidFill>
          </c:spPr>
          <c:invertIfNegative val="0"/>
          <c:cat>
            <c:multiLvlStrRef>
              <c:f>'GRAF příspěvky IPP'!$AD$25:$BJ$26</c:f>
              <c:multiLvlStrCache>
                <c:ptCount val="3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'GRAF příspěvky IPP'!$AD$34:$BJ$34</c:f>
              <c:numCache>
                <c:formatCode>0.0</c:formatCode>
                <c:ptCount val="33"/>
                <c:pt idx="0">
                  <c:v>-0.54241645010765449</c:v>
                </c:pt>
                <c:pt idx="1">
                  <c:v>-1.8631527880888649E-3</c:v>
                </c:pt>
                <c:pt idx="2">
                  <c:v>0.78670127678843149</c:v>
                </c:pt>
                <c:pt idx="3">
                  <c:v>0.32960713526562863</c:v>
                </c:pt>
                <c:pt idx="4">
                  <c:v>6.8904910133199077E-2</c:v>
                </c:pt>
                <c:pt idx="5">
                  <c:v>0.12170682001164354</c:v>
                </c:pt>
                <c:pt idx="6">
                  <c:v>-0.5109816723970585</c:v>
                </c:pt>
                <c:pt idx="7">
                  <c:v>-0.36784640528649537</c:v>
                </c:pt>
                <c:pt idx="8">
                  <c:v>-1.0379724863245821</c:v>
                </c:pt>
                <c:pt idx="9">
                  <c:v>-1.638329285379571</c:v>
                </c:pt>
                <c:pt idx="10">
                  <c:v>-0.82494325172790062</c:v>
                </c:pt>
                <c:pt idx="11">
                  <c:v>-0.74239007583737793</c:v>
                </c:pt>
                <c:pt idx="12">
                  <c:v>0.59189490518500398</c:v>
                </c:pt>
                <c:pt idx="13">
                  <c:v>0.52656327821300353</c:v>
                </c:pt>
                <c:pt idx="14">
                  <c:v>0.31374008907545176</c:v>
                </c:pt>
                <c:pt idx="15">
                  <c:v>0.81659894104306607</c:v>
                </c:pt>
                <c:pt idx="16">
                  <c:v>-0.20894060705088399</c:v>
                </c:pt>
                <c:pt idx="17">
                  <c:v>0.24268235052886977</c:v>
                </c:pt>
                <c:pt idx="18">
                  <c:v>0.41441971307033448</c:v>
                </c:pt>
                <c:pt idx="19">
                  <c:v>-1.2878566765612138</c:v>
                </c:pt>
                <c:pt idx="20">
                  <c:v>-1.3045936982821111</c:v>
                </c:pt>
                <c:pt idx="21">
                  <c:v>-1.5790684974454656</c:v>
                </c:pt>
                <c:pt idx="22">
                  <c:v>-1.6278225134133213</c:v>
                </c:pt>
                <c:pt idx="23">
                  <c:v>-1.1076317448864703</c:v>
                </c:pt>
                <c:pt idx="24">
                  <c:v>-0.77646516844666147</c:v>
                </c:pt>
                <c:pt idx="25">
                  <c:v>-8.0819445457593481E-2</c:v>
                </c:pt>
                <c:pt idx="26">
                  <c:v>4.8663335749503378E-3</c:v>
                </c:pt>
                <c:pt idx="27">
                  <c:v>-0.18709046803243062</c:v>
                </c:pt>
                <c:pt idx="28">
                  <c:v>0.97128306287519417</c:v>
                </c:pt>
                <c:pt idx="29">
                  <c:v>0.41779064863331256</c:v>
                </c:pt>
                <c:pt idx="30">
                  <c:v>-0.21688938377580066</c:v>
                </c:pt>
                <c:pt idx="31">
                  <c:v>-6.8429938893444536E-2</c:v>
                </c:pt>
                <c:pt idx="32">
                  <c:v>-0.15284439630256716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63B-4C3D-B315-68FCCB3485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"/>
        <c:overlap val="100"/>
        <c:axId val="112768128"/>
        <c:axId val="112769664"/>
      </c:barChart>
      <c:lineChart>
        <c:grouping val="standard"/>
        <c:varyColors val="0"/>
        <c:ser>
          <c:idx val="8"/>
          <c:order val="8"/>
          <c:tx>
            <c:strRef>
              <c:f>'GRAF příspěvky IPP'!$A$35</c:f>
              <c:strCache>
                <c:ptCount val="1"/>
                <c:pt idx="0">
                  <c:v>Průmysl celkem (NACE B až D)</c:v>
                </c:pt>
              </c:strCache>
            </c:strRef>
          </c:tx>
          <c:spPr>
            <a:ln w="19050">
              <a:noFill/>
            </a:ln>
          </c:spPr>
          <c:marker>
            <c:symbol val="circle"/>
            <c:size val="4"/>
            <c:spPr>
              <a:solidFill>
                <a:schemeClr val="bg1"/>
              </a:solidFill>
              <a:ln>
                <a:solidFill>
                  <a:schemeClr val="tx1">
                    <a:lumMod val="95000"/>
                    <a:lumOff val="5000"/>
                  </a:schemeClr>
                </a:solidFill>
              </a:ln>
            </c:spPr>
          </c:marker>
          <c:cat>
            <c:multiLvlStrRef>
              <c:f>'GRAF příspěvky IPP'!$AD$25:$BJ$26</c:f>
              <c:multiLvlStrCache>
                <c:ptCount val="3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'GRAF příspěvky IPP'!$AD$35:$BJ$35</c:f>
              <c:numCache>
                <c:formatCode>0.0</c:formatCode>
                <c:ptCount val="33"/>
                <c:pt idx="0">
                  <c:v>4.3462152320000058</c:v>
                </c:pt>
                <c:pt idx="1">
                  <c:v>2.4365124655000017</c:v>
                </c:pt>
                <c:pt idx="2">
                  <c:v>3.7641930207000058</c:v>
                </c:pt>
                <c:pt idx="3">
                  <c:v>1.5933483905999992</c:v>
                </c:pt>
                <c:pt idx="4">
                  <c:v>0.47230060009999875</c:v>
                </c:pt>
                <c:pt idx="5">
                  <c:v>0.71920116619999419</c:v>
                </c:pt>
                <c:pt idx="6">
                  <c:v>-1.5414330485999983</c:v>
                </c:pt>
                <c:pt idx="7">
                  <c:v>-1.7724070997000041</c:v>
                </c:pt>
                <c:pt idx="8">
                  <c:v>-4.2521142571000041</c:v>
                </c:pt>
                <c:pt idx="9">
                  <c:v>-21.785210571700006</c:v>
                </c:pt>
                <c:pt idx="10">
                  <c:v>-3.0649898566999951</c:v>
                </c:pt>
                <c:pt idx="11">
                  <c:v>1.6725311281000046</c:v>
                </c:pt>
                <c:pt idx="12">
                  <c:v>4.117312585199997</c:v>
                </c:pt>
                <c:pt idx="13">
                  <c:v>26.267838045299996</c:v>
                </c:pt>
                <c:pt idx="14">
                  <c:v>0.54140033580000591</c:v>
                </c:pt>
                <c:pt idx="15">
                  <c:v>-1.5291935701999932</c:v>
                </c:pt>
                <c:pt idx="16">
                  <c:v>0.52341770149999434</c:v>
                </c:pt>
                <c:pt idx="17">
                  <c:v>0.5844255109000045</c:v>
                </c:pt>
                <c:pt idx="18">
                  <c:v>5.0290806466999953</c:v>
                </c:pt>
                <c:pt idx="19">
                  <c:v>2.3853606896000059</c:v>
                </c:pt>
                <c:pt idx="20">
                  <c:v>0.55314554410000483</c:v>
                </c:pt>
                <c:pt idx="21">
                  <c:v>0.2487765501000041</c:v>
                </c:pt>
                <c:pt idx="22">
                  <c:v>-3.443622998500004</c:v>
                </c:pt>
                <c:pt idx="23">
                  <c:v>-0.73429700510000373</c:v>
                </c:pt>
                <c:pt idx="24">
                  <c:v>-1.0648658952000005</c:v>
                </c:pt>
                <c:pt idx="25">
                  <c:v>-1.5505505166999995</c:v>
                </c:pt>
                <c:pt idx="26">
                  <c:v>0.78642750359999525</c:v>
                </c:pt>
                <c:pt idx="27">
                  <c:v>-2.2018988917999991</c:v>
                </c:pt>
                <c:pt idx="28">
                  <c:v>1.073477877000002</c:v>
                </c:pt>
                <c:pt idx="29">
                  <c:v>2.2223889562999943</c:v>
                </c:pt>
                <c:pt idx="30">
                  <c:v>1.1391095809999996</c:v>
                </c:pt>
                <c:pt idx="31">
                  <c:v>4.215230488900005</c:v>
                </c:pt>
                <c:pt idx="32">
                  <c:v>1.3817060368999989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863B-4C3D-B315-68FCCB3485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768128"/>
        <c:axId val="112769664"/>
      </c:lineChart>
      <c:lineChart>
        <c:grouping val="standard"/>
        <c:varyColors val="0"/>
        <c:ser>
          <c:idx val="9"/>
          <c:order val="9"/>
          <c:tx>
            <c:strRef>
              <c:f>'GRAF příspěvky IPP'!$A$36</c:f>
              <c:strCache>
                <c:ptCount val="1"/>
              </c:strCache>
            </c:strRef>
          </c:tx>
          <c:spPr>
            <a:ln w="15875">
              <a:noFill/>
              <a:prstDash val="sysDot"/>
            </a:ln>
          </c:spPr>
          <c:marker>
            <c:symbol val="none"/>
          </c:marker>
          <c:cat>
            <c:multiLvlStrRef>
              <c:f>'GRAF příspěvky IPP'!$AD$25:$BJ$26</c:f>
              <c:multiLvlStrCache>
                <c:ptCount val="3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'GRAF příspěvky IPP'!$AD$36:$BJ$36</c:f>
              <c:numCache>
                <c:formatCode>General</c:formatCode>
                <c:ptCount val="3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863B-4C3D-B315-68FCCB3485AA}"/>
            </c:ext>
          </c:extLst>
        </c:ser>
        <c:ser>
          <c:idx val="10"/>
          <c:order val="10"/>
          <c:tx>
            <c:strRef>
              <c:f>'GRAF příspěvky IPP'!$A$37</c:f>
              <c:strCache>
                <c:ptCount val="1"/>
                <c:pt idx="0">
                  <c:v>Produkce, prům. v ČR celkem (2021=100)</c:v>
                </c:pt>
              </c:strCache>
            </c:strRef>
          </c:tx>
          <c:spPr>
            <a:ln w="15875">
              <a:solidFill>
                <a:srgbClr val="174F70"/>
              </a:solidFill>
            </a:ln>
          </c:spPr>
          <c:marker>
            <c:symbol val="none"/>
          </c:marker>
          <c:cat>
            <c:multiLvlStrRef>
              <c:f>'GRAF příspěvky IPP'!$AD$25:$BJ$26</c:f>
              <c:multiLvlStrCache>
                <c:ptCount val="3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'GRAF příspěvky IPP'!$AD$37:$BJ$37</c:f>
              <c:numCache>
                <c:formatCode>#\ ##0.#</c:formatCode>
                <c:ptCount val="33"/>
                <c:pt idx="0">
                  <c:v>100.1</c:v>
                </c:pt>
                <c:pt idx="1">
                  <c:v>101.1</c:v>
                </c:pt>
                <c:pt idx="2">
                  <c:v>102</c:v>
                </c:pt>
                <c:pt idx="3">
                  <c:v>101.3</c:v>
                </c:pt>
                <c:pt idx="4">
                  <c:v>100.6</c:v>
                </c:pt>
                <c:pt idx="5">
                  <c:v>102.2</c:v>
                </c:pt>
                <c:pt idx="6">
                  <c:v>100.1</c:v>
                </c:pt>
                <c:pt idx="7">
                  <c:v>99.4</c:v>
                </c:pt>
                <c:pt idx="8">
                  <c:v>96.7</c:v>
                </c:pt>
                <c:pt idx="9">
                  <c:v>80.2</c:v>
                </c:pt>
                <c:pt idx="10">
                  <c:v>97</c:v>
                </c:pt>
                <c:pt idx="11">
                  <c:v>101.1</c:v>
                </c:pt>
                <c:pt idx="12">
                  <c:v>99.6</c:v>
                </c:pt>
                <c:pt idx="13">
                  <c:v>100.6</c:v>
                </c:pt>
                <c:pt idx="14">
                  <c:v>98.6</c:v>
                </c:pt>
                <c:pt idx="15">
                  <c:v>99.3</c:v>
                </c:pt>
                <c:pt idx="16">
                  <c:v>100.7</c:v>
                </c:pt>
                <c:pt idx="17">
                  <c:v>101.3</c:v>
                </c:pt>
                <c:pt idx="18">
                  <c:v>103</c:v>
                </c:pt>
                <c:pt idx="19">
                  <c:v>101.8</c:v>
                </c:pt>
                <c:pt idx="20">
                  <c:v>101.3</c:v>
                </c:pt>
                <c:pt idx="21">
                  <c:v>101.3</c:v>
                </c:pt>
                <c:pt idx="22">
                  <c:v>99.4</c:v>
                </c:pt>
                <c:pt idx="23">
                  <c:v>101.4</c:v>
                </c:pt>
                <c:pt idx="24">
                  <c:v>100.3</c:v>
                </c:pt>
                <c:pt idx="25">
                  <c:v>99.8</c:v>
                </c:pt>
                <c:pt idx="26">
                  <c:v>100.1</c:v>
                </c:pt>
                <c:pt idx="27">
                  <c:v>99.1</c:v>
                </c:pt>
                <c:pt idx="28">
                  <c:v>101.2</c:v>
                </c:pt>
                <c:pt idx="29">
                  <c:v>101.9</c:v>
                </c:pt>
                <c:pt idx="30" formatCode="#\ ##0.##########">
                  <c:v>101.2</c:v>
                </c:pt>
                <c:pt idx="31" formatCode="#\ ##0.##########">
                  <c:v>103.4</c:v>
                </c:pt>
                <c:pt idx="32" formatCode="General">
                  <c:v>102.4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863B-4C3D-B315-68FCCB3485AA}"/>
            </c:ext>
          </c:extLst>
        </c:ser>
        <c:ser>
          <c:idx val="11"/>
          <c:order val="11"/>
          <c:tx>
            <c:strRef>
              <c:f>'GRAF příspěvky IPP'!$A$38</c:f>
              <c:strCache>
                <c:ptCount val="1"/>
                <c:pt idx="0">
                  <c:v>Produkce, prům. v EU27 celkem (2021=100)</c:v>
                </c:pt>
              </c:strCache>
            </c:strRef>
          </c:tx>
          <c:spPr>
            <a:ln w="15875">
              <a:solidFill>
                <a:srgbClr val="85938E"/>
              </a:solidFill>
              <a:prstDash val="sysDash"/>
            </a:ln>
          </c:spPr>
          <c:marker>
            <c:symbol val="none"/>
          </c:marker>
          <c:cat>
            <c:multiLvlStrRef>
              <c:f>'GRAF příspěvky IPP'!$AD$25:$BJ$26</c:f>
              <c:multiLvlStrCache>
                <c:ptCount val="3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'GRAF příspěvky IPP'!$AD$38:$BJ$38</c:f>
              <c:numCache>
                <c:formatCode>#\ ##0.##########</c:formatCode>
                <c:ptCount val="33"/>
                <c:pt idx="0">
                  <c:v>99.1</c:v>
                </c:pt>
                <c:pt idx="1">
                  <c:v>99.6</c:v>
                </c:pt>
                <c:pt idx="2">
                  <c:v>99.3</c:v>
                </c:pt>
                <c:pt idx="3">
                  <c:v>99</c:v>
                </c:pt>
                <c:pt idx="4">
                  <c:v>99.3</c:v>
                </c:pt>
                <c:pt idx="5">
                  <c:v>99.2</c:v>
                </c:pt>
                <c:pt idx="6">
                  <c:v>98.6</c:v>
                </c:pt>
                <c:pt idx="7" formatCode="#\ ##0.0">
                  <c:v>97.9</c:v>
                </c:pt>
                <c:pt idx="8" formatCode="#\ ##0.0">
                  <c:v>94.9</c:v>
                </c:pt>
                <c:pt idx="9">
                  <c:v>80.3</c:v>
                </c:pt>
                <c:pt idx="10">
                  <c:v>93.4</c:v>
                </c:pt>
                <c:pt idx="11" formatCode="#\ ##0.0">
                  <c:v>98</c:v>
                </c:pt>
                <c:pt idx="12">
                  <c:v>99.4</c:v>
                </c:pt>
                <c:pt idx="13">
                  <c:v>100</c:v>
                </c:pt>
                <c:pt idx="14">
                  <c:v>99.8</c:v>
                </c:pt>
                <c:pt idx="15">
                  <c:v>100.8</c:v>
                </c:pt>
                <c:pt idx="16">
                  <c:v>101.8</c:v>
                </c:pt>
                <c:pt idx="17">
                  <c:v>102.4</c:v>
                </c:pt>
                <c:pt idx="18">
                  <c:v>103</c:v>
                </c:pt>
                <c:pt idx="19">
                  <c:v>102.8</c:v>
                </c:pt>
                <c:pt idx="20">
                  <c:v>102.9</c:v>
                </c:pt>
                <c:pt idx="21">
                  <c:v>102</c:v>
                </c:pt>
                <c:pt idx="22">
                  <c:v>99.7</c:v>
                </c:pt>
                <c:pt idx="23">
                  <c:v>99.7</c:v>
                </c:pt>
                <c:pt idx="24">
                  <c:v>99</c:v>
                </c:pt>
                <c:pt idx="25">
                  <c:v>98.7</c:v>
                </c:pt>
                <c:pt idx="26">
                  <c:v>98.5</c:v>
                </c:pt>
                <c:pt idx="27">
                  <c:v>98.4</c:v>
                </c:pt>
                <c:pt idx="28">
                  <c:v>100.2</c:v>
                </c:pt>
                <c:pt idx="29">
                  <c:v>100</c:v>
                </c:pt>
                <c:pt idx="30">
                  <c:v>100.2</c:v>
                </c:pt>
                <c:pt idx="31">
                  <c:v>100.4</c:v>
                </c:pt>
                <c:pt idx="32" formatCode="General">
                  <c:v>99.7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863B-4C3D-B315-68FCCB3485AA}"/>
            </c:ext>
          </c:extLst>
        </c:ser>
        <c:ser>
          <c:idx val="12"/>
          <c:order val="12"/>
          <c:tx>
            <c:strRef>
              <c:f>'GRAF příspěvky IPP'!$A$39</c:f>
              <c:strCache>
                <c:ptCount val="1"/>
                <c:pt idx="0">
                  <c:v>Produkce, prům. v Německu (2021=100)</c:v>
                </c:pt>
              </c:strCache>
            </c:strRef>
          </c:tx>
          <c:spPr>
            <a:ln w="15875">
              <a:solidFill>
                <a:srgbClr val="B8BBC0"/>
              </a:solidFill>
              <a:prstDash val="dash"/>
            </a:ln>
          </c:spPr>
          <c:marker>
            <c:symbol val="none"/>
          </c:marker>
          <c:cat>
            <c:multiLvlStrRef>
              <c:f>'GRAF příspěvky IPP'!$AD$25:$BJ$26</c:f>
              <c:multiLvlStrCache>
                <c:ptCount val="33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'GRAF příspěvky IPP'!$AD$39:$BJ$39</c:f>
              <c:numCache>
                <c:formatCode>#\ ##0.##########</c:formatCode>
                <c:ptCount val="33"/>
                <c:pt idx="0" formatCode="#\ ##0.0">
                  <c:v>109</c:v>
                </c:pt>
                <c:pt idx="1">
                  <c:v>109.8</c:v>
                </c:pt>
                <c:pt idx="2">
                  <c:v>108.8</c:v>
                </c:pt>
                <c:pt idx="3">
                  <c:v>107.2</c:v>
                </c:pt>
                <c:pt idx="4" formatCode="#\ ##0.0">
                  <c:v>107</c:v>
                </c:pt>
                <c:pt idx="5">
                  <c:v>105.8</c:v>
                </c:pt>
                <c:pt idx="6">
                  <c:v>104.6</c:v>
                </c:pt>
                <c:pt idx="7">
                  <c:v>102.9</c:v>
                </c:pt>
                <c:pt idx="8">
                  <c:v>101.3</c:v>
                </c:pt>
                <c:pt idx="9">
                  <c:v>82.9</c:v>
                </c:pt>
                <c:pt idx="10">
                  <c:v>94.8</c:v>
                </c:pt>
                <c:pt idx="11">
                  <c:v>100.9</c:v>
                </c:pt>
                <c:pt idx="12">
                  <c:v>100.6</c:v>
                </c:pt>
                <c:pt idx="13">
                  <c:v>99.8</c:v>
                </c:pt>
                <c:pt idx="14" formatCode="#\ ##0.0">
                  <c:v>97.1</c:v>
                </c:pt>
                <c:pt idx="15" formatCode="#\ ##0.0">
                  <c:v>99.9</c:v>
                </c:pt>
                <c:pt idx="16">
                  <c:v>99.2</c:v>
                </c:pt>
                <c:pt idx="17">
                  <c:v>98.7</c:v>
                </c:pt>
                <c:pt idx="18">
                  <c:v>99.6</c:v>
                </c:pt>
                <c:pt idx="19" formatCode="#\ ##0.0">
                  <c:v>99</c:v>
                </c:pt>
                <c:pt idx="20">
                  <c:v>99.8</c:v>
                </c:pt>
                <c:pt idx="21">
                  <c:v>98.2</c:v>
                </c:pt>
                <c:pt idx="22" formatCode="#\ ##0.0">
                  <c:v>96.2</c:v>
                </c:pt>
                <c:pt idx="23">
                  <c:v>94.6</c:v>
                </c:pt>
                <c:pt idx="24">
                  <c:v>94.3</c:v>
                </c:pt>
                <c:pt idx="25">
                  <c:v>93.1</c:v>
                </c:pt>
                <c:pt idx="26" formatCode="#\ ##0.0">
                  <c:v>92.2</c:v>
                </c:pt>
                <c:pt idx="27">
                  <c:v>91.5</c:v>
                </c:pt>
                <c:pt idx="28">
                  <c:v>93.2</c:v>
                </c:pt>
                <c:pt idx="29">
                  <c:v>92.3</c:v>
                </c:pt>
                <c:pt idx="30">
                  <c:v>91.4</c:v>
                </c:pt>
                <c:pt idx="31">
                  <c:v>92</c:v>
                </c:pt>
                <c:pt idx="32" formatCode="General">
                  <c:v>91.4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863B-4C3D-B315-68FCCB3485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3731104"/>
        <c:axId val="1513729024"/>
      </c:lineChart>
      <c:catAx>
        <c:axId val="112768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cs-CZ"/>
          </a:p>
        </c:txPr>
        <c:crossAx val="112769664"/>
        <c:crosses val="autoZero"/>
        <c:auto val="1"/>
        <c:lblAlgn val="ctr"/>
        <c:lblOffset val="0"/>
        <c:noMultiLvlLbl val="0"/>
      </c:catAx>
      <c:valAx>
        <c:axId val="112769664"/>
        <c:scaling>
          <c:orientation val="minMax"/>
          <c:max val="28"/>
          <c:min val="-24"/>
        </c:scaling>
        <c:delete val="0"/>
        <c:axPos val="l"/>
        <c:majorGridlines>
          <c:spPr>
            <a:ln>
              <a:solidFill>
                <a:srgbClr val="BEBEBE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700" b="0" i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cs-CZ" sz="700" b="0" i="1" u="none" strike="noStrike" baseline="0">
                    <a:effectLst/>
                  </a:rPr>
                  <a:t>Prům. produkce (příspěvky  k meziroč. změně)</a:t>
                </a:r>
                <a:endParaRPr lang="cs-CZ" sz="700" b="0" i="1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0"/>
              <c:y val="0.1165198004318692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cs-CZ"/>
          </a:p>
        </c:txPr>
        <c:crossAx val="112768128"/>
        <c:crosses val="autoZero"/>
        <c:crossBetween val="between"/>
        <c:majorUnit val="4"/>
      </c:valAx>
      <c:valAx>
        <c:axId val="1513729024"/>
        <c:scaling>
          <c:orientation val="minMax"/>
          <c:max val="115"/>
          <c:min val="50"/>
        </c:scaling>
        <c:delete val="0"/>
        <c:axPos val="r"/>
        <c:title>
          <c:tx>
            <c:rich>
              <a:bodyPr/>
              <a:lstStyle/>
              <a:p>
                <a:pPr>
                  <a:defRPr sz="700" b="0" i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cs-CZ" sz="700" b="0" i="1">
                    <a:latin typeface="Arial" panose="020B0604020202020204" pitchFamily="34" charset="0"/>
                    <a:cs typeface="Arial" panose="020B0604020202020204" pitchFamily="34" charset="0"/>
                  </a:rPr>
                  <a:t>Produkce</a:t>
                </a:r>
                <a:r>
                  <a:rPr lang="cs-CZ" sz="700" b="0" i="1" baseline="0">
                    <a:latin typeface="Arial" panose="020B0604020202020204" pitchFamily="34" charset="0"/>
                    <a:cs typeface="Arial" panose="020B0604020202020204" pitchFamily="34" charset="0"/>
                  </a:rPr>
                  <a:t> </a:t>
                </a:r>
                <a:r>
                  <a:rPr lang="cs-CZ" sz="700" b="0" i="1">
                    <a:latin typeface="Arial" panose="020B0604020202020204" pitchFamily="34" charset="0"/>
                    <a:cs typeface="Arial" panose="020B0604020202020204" pitchFamily="34" charset="0"/>
                  </a:rPr>
                  <a:t>v průmyslu (báze 2021=100)</a:t>
                </a:r>
              </a:p>
            </c:rich>
          </c:tx>
          <c:layout>
            <c:manualLayout>
              <c:xMode val="edge"/>
              <c:yMode val="edge"/>
              <c:x val="0.97040158454025283"/>
              <c:y val="0.16649922312229412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cs-CZ"/>
          </a:p>
        </c:txPr>
        <c:crossAx val="1513731104"/>
        <c:crosses val="max"/>
        <c:crossBetween val="between"/>
        <c:majorUnit val="5"/>
      </c:valAx>
      <c:catAx>
        <c:axId val="15137311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513729024"/>
        <c:crosses val="autoZero"/>
        <c:auto val="1"/>
        <c:lblAlgn val="ctr"/>
        <c:lblOffset val="100"/>
        <c:noMultiLvlLbl val="0"/>
      </c:catAx>
      <c:spPr>
        <a:noFill/>
        <a:ln w="6350">
          <a:solidFill>
            <a:prstClr val="black">
              <a:lumMod val="95000"/>
              <a:lumOff val="5000"/>
            </a:prstClr>
          </a:solidFill>
        </a:ln>
      </c:spPr>
    </c:plotArea>
    <c:legend>
      <c:legendPos val="r"/>
      <c:layout>
        <c:manualLayout>
          <c:xMode val="edge"/>
          <c:yMode val="edge"/>
          <c:x val="2.5422495495726866E-2"/>
          <c:y val="0.7932567443166475"/>
          <c:w val="0.95335913646574755"/>
          <c:h val="0.20355147830569023"/>
        </c:manualLayout>
      </c:layout>
      <c:overlay val="0"/>
      <c:spPr>
        <a:ln w="6350">
          <a:solidFill>
            <a:prstClr val="black">
              <a:lumMod val="95000"/>
              <a:lumOff val="5000"/>
            </a:prstClr>
          </a:solidFill>
        </a:ln>
      </c:spPr>
      <c:txPr>
        <a:bodyPr/>
        <a:lstStyle/>
        <a:p>
          <a:pPr>
            <a:defRPr sz="720">
              <a:latin typeface="Arial" pitchFamily="34" charset="0"/>
              <a:cs typeface="Arial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688042665536843E-2"/>
          <c:y val="1.5647041011259352E-2"/>
          <c:w val="0.84974974879787502"/>
          <c:h val="0.7506360221430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'výkonnost odvětví 2'!$A$36</c:f>
              <c:strCache>
                <c:ptCount val="1"/>
                <c:pt idx="0">
                  <c:v>Průmyslové zakázky celkem</c:v>
                </c:pt>
              </c:strCache>
            </c:strRef>
          </c:tx>
          <c:spPr>
            <a:solidFill>
              <a:srgbClr val="86BF5E"/>
            </a:solidFill>
            <a:ln>
              <a:noFill/>
            </a:ln>
          </c:spPr>
          <c:invertIfNegative val="0"/>
          <c:cat>
            <c:multiLvlStrRef>
              <c:f>'výkonnost odvětví 2'!$AD$34:$BK$35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'výkonnost odvětví 2'!$AD$36:$BK$36</c:f>
              <c:numCache>
                <c:formatCode>##0.0</c:formatCode>
                <c:ptCount val="34"/>
                <c:pt idx="0">
                  <c:v>3.2993551214999997</c:v>
                </c:pt>
                <c:pt idx="1">
                  <c:v>2.9773571834000023</c:v>
                </c:pt>
                <c:pt idx="2">
                  <c:v>3.5300064828000046</c:v>
                </c:pt>
                <c:pt idx="3">
                  <c:v>2.4324207204000032</c:v>
                </c:pt>
                <c:pt idx="4">
                  <c:v>3.2234606388999936</c:v>
                </c:pt>
                <c:pt idx="5">
                  <c:v>2.1291359181000047</c:v>
                </c:pt>
                <c:pt idx="6">
                  <c:v>-1.1496242270000039</c:v>
                </c:pt>
                <c:pt idx="7">
                  <c:v>-2.8233445845000062</c:v>
                </c:pt>
                <c:pt idx="8">
                  <c:v>-4.1421474552000035</c:v>
                </c:pt>
                <c:pt idx="9">
                  <c:v>-27.261303375300002</c:v>
                </c:pt>
                <c:pt idx="10">
                  <c:v>-0.61408028729999842</c:v>
                </c:pt>
                <c:pt idx="11">
                  <c:v>6.5219093458999993</c:v>
                </c:pt>
                <c:pt idx="12">
                  <c:v>10.604235177800007</c:v>
                </c:pt>
                <c:pt idx="13">
                  <c:v>46.728308701499998</c:v>
                </c:pt>
                <c:pt idx="14">
                  <c:v>7.4466496054999993</c:v>
                </c:pt>
                <c:pt idx="15">
                  <c:v>4.0119161703999993</c:v>
                </c:pt>
                <c:pt idx="16">
                  <c:v>6.356727203600002</c:v>
                </c:pt>
                <c:pt idx="17">
                  <c:v>10.097314984299999</c:v>
                </c:pt>
                <c:pt idx="18">
                  <c:v>15.276770302299994</c:v>
                </c:pt>
                <c:pt idx="19">
                  <c:v>12.582418127599993</c:v>
                </c:pt>
                <c:pt idx="20">
                  <c:v>3.1280309439000007</c:v>
                </c:pt>
                <c:pt idx="21">
                  <c:v>-2.2493627854999971</c:v>
                </c:pt>
                <c:pt idx="22">
                  <c:v>-3.8342366656000024</c:v>
                </c:pt>
                <c:pt idx="23">
                  <c:v>-0.94176836840000533</c:v>
                </c:pt>
                <c:pt idx="24">
                  <c:v>4.4876596448000043</c:v>
                </c:pt>
                <c:pt idx="25">
                  <c:v>4.4814919468000056</c:v>
                </c:pt>
                <c:pt idx="26">
                  <c:v>4.3701535717000013</c:v>
                </c:pt>
                <c:pt idx="27">
                  <c:v>1.2150424327000025</c:v>
                </c:pt>
                <c:pt idx="28">
                  <c:v>-0.12859206109999377</c:v>
                </c:pt>
                <c:pt idx="29" formatCode="#\ ##0.0">
                  <c:v>3.4043568106000066</c:v>
                </c:pt>
                <c:pt idx="30" formatCode="#\ ##0.0">
                  <c:v>2.2391494465999955</c:v>
                </c:pt>
                <c:pt idx="31" formatCode="#\ ##0.0">
                  <c:v>10.301430084900005</c:v>
                </c:pt>
                <c:pt idx="32" formatCode="#\ ##0.0">
                  <c:v>3.9648989859000068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31-48B0-9FBC-51761AADC6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112768128"/>
        <c:axId val="112769664"/>
      </c:barChart>
      <c:lineChart>
        <c:grouping val="standard"/>
        <c:varyColors val="0"/>
        <c:ser>
          <c:idx val="1"/>
          <c:order val="1"/>
          <c:tx>
            <c:strRef>
              <c:f>'výkonnost odvětví 2'!$A$37</c:f>
              <c:strCache>
                <c:ptCount val="1"/>
                <c:pt idx="0">
                  <c:v>z toho: zakázky z tuzemska</c:v>
                </c:pt>
              </c:strCache>
            </c:strRef>
          </c:tx>
          <c:spPr>
            <a:ln w="15875">
              <a:noFill/>
              <a:prstDash val="sysDot"/>
            </a:ln>
          </c:spPr>
          <c:marker>
            <c:symbol val="circle"/>
            <c:size val="5"/>
            <c:spPr>
              <a:solidFill>
                <a:schemeClr val="bg1"/>
              </a:solidFill>
              <a:ln w="12700">
                <a:solidFill>
                  <a:srgbClr val="85BF5E"/>
                </a:solidFill>
              </a:ln>
            </c:spPr>
          </c:marker>
          <c:cat>
            <c:multiLvlStrRef>
              <c:f>'výkonnost odvětví 2'!$AD$34:$BK$35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'výkonnost odvětví 2'!$AD$37:$BK$37</c:f>
              <c:numCache>
                <c:formatCode>##0.0</c:formatCode>
                <c:ptCount val="34"/>
                <c:pt idx="0">
                  <c:v>2.1530605192999985</c:v>
                </c:pt>
                <c:pt idx="1">
                  <c:v>2.440306231799994</c:v>
                </c:pt>
                <c:pt idx="2">
                  <c:v>4.7510172912000002</c:v>
                </c:pt>
                <c:pt idx="3">
                  <c:v>3.3084884759999937</c:v>
                </c:pt>
                <c:pt idx="4">
                  <c:v>7.6964313707999992</c:v>
                </c:pt>
                <c:pt idx="5">
                  <c:v>5.9656126075999936</c:v>
                </c:pt>
                <c:pt idx="6">
                  <c:v>0.2850715043000065</c:v>
                </c:pt>
                <c:pt idx="7">
                  <c:v>-0.84674153630000148</c:v>
                </c:pt>
                <c:pt idx="8">
                  <c:v>0.84542569580000304</c:v>
                </c:pt>
                <c:pt idx="9">
                  <c:v>-25.680778364399998</c:v>
                </c:pt>
                <c:pt idx="10">
                  <c:v>-3.379983194199994</c:v>
                </c:pt>
                <c:pt idx="11">
                  <c:v>5.566224000099993</c:v>
                </c:pt>
                <c:pt idx="12">
                  <c:v>2.2004655299000007</c:v>
                </c:pt>
                <c:pt idx="13">
                  <c:v>42.217352803199987</c:v>
                </c:pt>
                <c:pt idx="14">
                  <c:v>9.2691617169000011</c:v>
                </c:pt>
                <c:pt idx="15">
                  <c:v>5.7638066604999949</c:v>
                </c:pt>
                <c:pt idx="16">
                  <c:v>8.7209050958999939</c:v>
                </c:pt>
                <c:pt idx="17">
                  <c:v>15.451566326000005</c:v>
                </c:pt>
                <c:pt idx="18">
                  <c:v>26.230660505800003</c:v>
                </c:pt>
                <c:pt idx="19">
                  <c:v>19.294277493300001</c:v>
                </c:pt>
                <c:pt idx="20">
                  <c:v>11.972474484000003</c:v>
                </c:pt>
                <c:pt idx="21">
                  <c:v>2.3732362854999991</c:v>
                </c:pt>
                <c:pt idx="22">
                  <c:v>-6.7666305145999956</c:v>
                </c:pt>
                <c:pt idx="23">
                  <c:v>-0.67773158740000383</c:v>
                </c:pt>
                <c:pt idx="24">
                  <c:v>3.480101154099998</c:v>
                </c:pt>
                <c:pt idx="25">
                  <c:v>3.085780016399994</c:v>
                </c:pt>
                <c:pt idx="26">
                  <c:v>7.8628991544999991</c:v>
                </c:pt>
                <c:pt idx="27">
                  <c:v>2.4191420900999958</c:v>
                </c:pt>
                <c:pt idx="28">
                  <c:v>0.47799061009999377</c:v>
                </c:pt>
                <c:pt idx="29" formatCode="#\ ##0.0">
                  <c:v>2.3784755613999948</c:v>
                </c:pt>
                <c:pt idx="30" formatCode="#\ ##0.0">
                  <c:v>4.5008512379999956</c:v>
                </c:pt>
                <c:pt idx="31" formatCode="#\ ##0.0">
                  <c:v>0.1822216103000045</c:v>
                </c:pt>
                <c:pt idx="32" formatCode="#\ ##0.0">
                  <c:v>2.496004314299995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B31-48B0-9FBC-51761AADC6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768128"/>
        <c:axId val="112769664"/>
      </c:lineChart>
      <c:lineChart>
        <c:grouping val="standard"/>
        <c:varyColors val="0"/>
        <c:ser>
          <c:idx val="2"/>
          <c:order val="2"/>
          <c:tx>
            <c:strRef>
              <c:f>'výkonnost odvětví 2'!$A$38</c:f>
              <c:strCache>
                <c:ptCount val="1"/>
                <c:pt idx="0">
                  <c:v>Využití výrob. kapacit v průmyslu celkem</c:v>
                </c:pt>
              </c:strCache>
            </c:strRef>
          </c:tx>
          <c:spPr>
            <a:ln w="15875">
              <a:solidFill>
                <a:srgbClr val="CC9610"/>
              </a:solidFill>
            </a:ln>
          </c:spPr>
          <c:marker>
            <c:symbol val="none"/>
          </c:marker>
          <c:cat>
            <c:multiLvlStrRef>
              <c:f>'výkonnost odvětví 2'!$AD$34:$BK$35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'výkonnost odvětví 2'!$AD$38:$BK$38</c:f>
              <c:numCache>
                <c:formatCode>##0.0</c:formatCode>
                <c:ptCount val="34"/>
                <c:pt idx="0">
                  <c:v>85.33</c:v>
                </c:pt>
                <c:pt idx="1">
                  <c:v>84.89</c:v>
                </c:pt>
                <c:pt idx="2">
                  <c:v>85.13</c:v>
                </c:pt>
                <c:pt idx="3">
                  <c:v>84.76</c:v>
                </c:pt>
                <c:pt idx="4">
                  <c:v>84.93</c:v>
                </c:pt>
                <c:pt idx="5">
                  <c:v>85.19</c:v>
                </c:pt>
                <c:pt idx="6">
                  <c:v>83.6</c:v>
                </c:pt>
                <c:pt idx="7">
                  <c:v>83.7</c:v>
                </c:pt>
                <c:pt idx="8">
                  <c:v>84.2</c:v>
                </c:pt>
                <c:pt idx="9">
                  <c:v>70.400000000000006</c:v>
                </c:pt>
                <c:pt idx="10">
                  <c:v>76.3</c:v>
                </c:pt>
                <c:pt idx="11">
                  <c:v>82.7</c:v>
                </c:pt>
                <c:pt idx="12">
                  <c:v>85.8</c:v>
                </c:pt>
                <c:pt idx="13">
                  <c:v>84.4</c:v>
                </c:pt>
                <c:pt idx="14">
                  <c:v>86.41</c:v>
                </c:pt>
                <c:pt idx="15">
                  <c:v>77.599999999999994</c:v>
                </c:pt>
                <c:pt idx="16">
                  <c:v>83.6</c:v>
                </c:pt>
                <c:pt idx="17">
                  <c:v>82.17</c:v>
                </c:pt>
                <c:pt idx="18">
                  <c:v>83.5</c:v>
                </c:pt>
                <c:pt idx="19">
                  <c:v>81.099999999999994</c:v>
                </c:pt>
                <c:pt idx="20">
                  <c:v>81.400000000000006</c:v>
                </c:pt>
                <c:pt idx="21">
                  <c:v>83.7</c:v>
                </c:pt>
                <c:pt idx="22">
                  <c:v>83.5</c:v>
                </c:pt>
                <c:pt idx="23">
                  <c:v>83.6</c:v>
                </c:pt>
                <c:pt idx="24">
                  <c:v>83.1</c:v>
                </c:pt>
                <c:pt idx="25">
                  <c:v>83</c:v>
                </c:pt>
                <c:pt idx="26">
                  <c:v>80.599999999999994</c:v>
                </c:pt>
                <c:pt idx="27">
                  <c:v>82.47</c:v>
                </c:pt>
                <c:pt idx="28">
                  <c:v>82.7</c:v>
                </c:pt>
                <c:pt idx="29">
                  <c:v>83.36</c:v>
                </c:pt>
                <c:pt idx="30">
                  <c:v>84.2</c:v>
                </c:pt>
                <c:pt idx="31">
                  <c:v>84.334999999999994</c:v>
                </c:pt>
                <c:pt idx="32">
                  <c:v>81.96</c:v>
                </c:pt>
                <c:pt idx="33">
                  <c:v>81.2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B31-48B0-9FBC-51761AADC6BC}"/>
            </c:ext>
          </c:extLst>
        </c:ser>
        <c:ser>
          <c:idx val="3"/>
          <c:order val="3"/>
          <c:tx>
            <c:strRef>
              <c:f>'výkonnost odvětví 2'!$A$39</c:f>
              <c:strCache>
                <c:ptCount val="1"/>
                <c:pt idx="0">
                  <c:v>Využití výrob. kapacit v automobil. prům.</c:v>
                </c:pt>
              </c:strCache>
            </c:strRef>
          </c:tx>
          <c:spPr>
            <a:ln w="15875">
              <a:solidFill>
                <a:srgbClr val="E6C45B"/>
              </a:solidFill>
              <a:prstDash val="sysDash"/>
            </a:ln>
          </c:spPr>
          <c:marker>
            <c:symbol val="none"/>
          </c:marker>
          <c:cat>
            <c:multiLvlStrRef>
              <c:f>'výkonnost odvětví 2'!$AD$34:$BK$35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'výkonnost odvětví 2'!$AD$39:$BK$39</c:f>
              <c:numCache>
                <c:formatCode>##0.0</c:formatCode>
                <c:ptCount val="34"/>
                <c:pt idx="0">
                  <c:v>91.4</c:v>
                </c:pt>
                <c:pt idx="1">
                  <c:v>91.3</c:v>
                </c:pt>
                <c:pt idx="2">
                  <c:v>92.9</c:v>
                </c:pt>
                <c:pt idx="3">
                  <c:v>92.5</c:v>
                </c:pt>
                <c:pt idx="4">
                  <c:v>92.9</c:v>
                </c:pt>
                <c:pt idx="5">
                  <c:v>92.7</c:v>
                </c:pt>
                <c:pt idx="6">
                  <c:v>92.8</c:v>
                </c:pt>
                <c:pt idx="7">
                  <c:v>93</c:v>
                </c:pt>
                <c:pt idx="8">
                  <c:v>90.6</c:v>
                </c:pt>
                <c:pt idx="9">
                  <c:v>45</c:v>
                </c:pt>
                <c:pt idx="10">
                  <c:v>79.099999999999994</c:v>
                </c:pt>
                <c:pt idx="11">
                  <c:v>96.9</c:v>
                </c:pt>
                <c:pt idx="12">
                  <c:v>94.9</c:v>
                </c:pt>
                <c:pt idx="13">
                  <c:v>89.6</c:v>
                </c:pt>
                <c:pt idx="14">
                  <c:v>95.3</c:v>
                </c:pt>
                <c:pt idx="15">
                  <c:v>55.8</c:v>
                </c:pt>
                <c:pt idx="16">
                  <c:v>84.5</c:v>
                </c:pt>
                <c:pt idx="17">
                  <c:v>76.7</c:v>
                </c:pt>
                <c:pt idx="18">
                  <c:v>79</c:v>
                </c:pt>
                <c:pt idx="19">
                  <c:v>74.099999999999994</c:v>
                </c:pt>
                <c:pt idx="20">
                  <c:v>79.400000000000006</c:v>
                </c:pt>
                <c:pt idx="21">
                  <c:v>92.7</c:v>
                </c:pt>
                <c:pt idx="22">
                  <c:v>92.2</c:v>
                </c:pt>
                <c:pt idx="23">
                  <c:v>92.2</c:v>
                </c:pt>
                <c:pt idx="24">
                  <c:v>92.7</c:v>
                </c:pt>
                <c:pt idx="25">
                  <c:v>93.5</c:v>
                </c:pt>
                <c:pt idx="26">
                  <c:v>89.9</c:v>
                </c:pt>
                <c:pt idx="27">
                  <c:v>92.9</c:v>
                </c:pt>
                <c:pt idx="28">
                  <c:v>93.1</c:v>
                </c:pt>
                <c:pt idx="29">
                  <c:v>91.5</c:v>
                </c:pt>
                <c:pt idx="30">
                  <c:v>99.9</c:v>
                </c:pt>
                <c:pt idx="31">
                  <c:v>99.4</c:v>
                </c:pt>
                <c:pt idx="32">
                  <c:v>89.6</c:v>
                </c:pt>
                <c:pt idx="33">
                  <c:v>82.8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B31-48B0-9FBC-51761AADC6BC}"/>
            </c:ext>
          </c:extLst>
        </c:ser>
        <c:ser>
          <c:idx val="4"/>
          <c:order val="4"/>
          <c:tx>
            <c:strRef>
              <c:f>'výkonnost odvětví 2'!$A$40</c:f>
              <c:strCache>
                <c:ptCount val="1"/>
                <c:pt idx="0">
                  <c:v>Bariéra růstu: nedostatečná poptávka</c:v>
                </c:pt>
              </c:strCache>
            </c:strRef>
          </c:tx>
          <c:spPr>
            <a:ln w="15875">
              <a:solidFill>
                <a:srgbClr val="8390A7"/>
              </a:solidFill>
              <a:prstDash val="solid"/>
            </a:ln>
          </c:spPr>
          <c:marker>
            <c:symbol val="none"/>
          </c:marker>
          <c:cat>
            <c:multiLvlStrRef>
              <c:f>'výkonnost odvětví 2'!$AD$34:$BK$35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'výkonnost odvětví 2'!$AD$40:$BK$40</c:f>
              <c:numCache>
                <c:formatCode>#\ ##0.0</c:formatCode>
                <c:ptCount val="34"/>
                <c:pt idx="0">
                  <c:v>35.4</c:v>
                </c:pt>
                <c:pt idx="1">
                  <c:v>36.299999999999997</c:v>
                </c:pt>
                <c:pt idx="2">
                  <c:v>32.4</c:v>
                </c:pt>
                <c:pt idx="3">
                  <c:v>32.9</c:v>
                </c:pt>
                <c:pt idx="4">
                  <c:v>33.799999999999997</c:v>
                </c:pt>
                <c:pt idx="5">
                  <c:v>36.200000000000003</c:v>
                </c:pt>
                <c:pt idx="6">
                  <c:v>41</c:v>
                </c:pt>
                <c:pt idx="7">
                  <c:v>47.1</c:v>
                </c:pt>
                <c:pt idx="8">
                  <c:v>49.8</c:v>
                </c:pt>
                <c:pt idx="9">
                  <c:v>58.8</c:v>
                </c:pt>
                <c:pt idx="10">
                  <c:v>63</c:v>
                </c:pt>
                <c:pt idx="11">
                  <c:v>44.4</c:v>
                </c:pt>
                <c:pt idx="12">
                  <c:v>46.9</c:v>
                </c:pt>
                <c:pt idx="13">
                  <c:v>38.700000000000003</c:v>
                </c:pt>
                <c:pt idx="14">
                  <c:v>25.4</c:v>
                </c:pt>
                <c:pt idx="15">
                  <c:v>27.9</c:v>
                </c:pt>
                <c:pt idx="16">
                  <c:v>29.9</c:v>
                </c:pt>
                <c:pt idx="17">
                  <c:v>21.3</c:v>
                </c:pt>
                <c:pt idx="18">
                  <c:v>18.7</c:v>
                </c:pt>
                <c:pt idx="19">
                  <c:v>29.4</c:v>
                </c:pt>
                <c:pt idx="20">
                  <c:v>42.5</c:v>
                </c:pt>
                <c:pt idx="21">
                  <c:v>42</c:v>
                </c:pt>
                <c:pt idx="22">
                  <c:v>44.3</c:v>
                </c:pt>
                <c:pt idx="23">
                  <c:v>46.2</c:v>
                </c:pt>
                <c:pt idx="24">
                  <c:v>47.5</c:v>
                </c:pt>
                <c:pt idx="25">
                  <c:v>49.8</c:v>
                </c:pt>
                <c:pt idx="26">
                  <c:v>52</c:v>
                </c:pt>
                <c:pt idx="27">
                  <c:v>49</c:v>
                </c:pt>
                <c:pt idx="28">
                  <c:v>63.5</c:v>
                </c:pt>
                <c:pt idx="29">
                  <c:v>51.7</c:v>
                </c:pt>
                <c:pt idx="30">
                  <c:v>52.7</c:v>
                </c:pt>
                <c:pt idx="31">
                  <c:v>54.2</c:v>
                </c:pt>
                <c:pt idx="32">
                  <c:v>53</c:v>
                </c:pt>
                <c:pt idx="33">
                  <c:v>59.3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B31-48B0-9FBC-51761AADC6BC}"/>
            </c:ext>
          </c:extLst>
        </c:ser>
        <c:ser>
          <c:idx val="5"/>
          <c:order val="5"/>
          <c:tx>
            <c:strRef>
              <c:f>'výkonnost odvětví 2'!$A$41</c:f>
              <c:strCache>
                <c:ptCount val="1"/>
                <c:pt idx="0">
                  <c:v>Bariéra růstu: nedostatek pracovníků</c:v>
                </c:pt>
              </c:strCache>
            </c:strRef>
          </c:tx>
          <c:spPr>
            <a:ln w="15875">
              <a:solidFill>
                <a:srgbClr val="858972"/>
              </a:solidFill>
              <a:prstDash val="sysDash"/>
            </a:ln>
          </c:spPr>
          <c:marker>
            <c:symbol val="none"/>
          </c:marker>
          <c:cat>
            <c:multiLvlStrRef>
              <c:f>'výkonnost odvětví 2'!$AD$34:$BK$35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'výkonnost odvětví 2'!$AD$41:$BK$41</c:f>
              <c:numCache>
                <c:formatCode>#\ ##0.0</c:formatCode>
                <c:ptCount val="34"/>
                <c:pt idx="0">
                  <c:v>43.5</c:v>
                </c:pt>
                <c:pt idx="1">
                  <c:v>42.3</c:v>
                </c:pt>
                <c:pt idx="2">
                  <c:v>43.2</c:v>
                </c:pt>
                <c:pt idx="3">
                  <c:v>46.3</c:v>
                </c:pt>
                <c:pt idx="4">
                  <c:v>39</c:v>
                </c:pt>
                <c:pt idx="5">
                  <c:v>35.1</c:v>
                </c:pt>
                <c:pt idx="6">
                  <c:v>40.200000000000003</c:v>
                </c:pt>
                <c:pt idx="7">
                  <c:v>39.200000000000003</c:v>
                </c:pt>
                <c:pt idx="8">
                  <c:v>27.7</c:v>
                </c:pt>
                <c:pt idx="9">
                  <c:v>13.5</c:v>
                </c:pt>
                <c:pt idx="10">
                  <c:v>16.7</c:v>
                </c:pt>
                <c:pt idx="11">
                  <c:v>17.600000000000001</c:v>
                </c:pt>
                <c:pt idx="12">
                  <c:v>22</c:v>
                </c:pt>
                <c:pt idx="13">
                  <c:v>18.399999999999999</c:v>
                </c:pt>
                <c:pt idx="14">
                  <c:v>27.6</c:v>
                </c:pt>
                <c:pt idx="15">
                  <c:v>22.6</c:v>
                </c:pt>
                <c:pt idx="16">
                  <c:v>24.9</c:v>
                </c:pt>
                <c:pt idx="17">
                  <c:v>18.600000000000001</c:v>
                </c:pt>
                <c:pt idx="18">
                  <c:v>26.1</c:v>
                </c:pt>
                <c:pt idx="19">
                  <c:v>24.9</c:v>
                </c:pt>
                <c:pt idx="20">
                  <c:v>16.600000000000001</c:v>
                </c:pt>
                <c:pt idx="21">
                  <c:v>20.6</c:v>
                </c:pt>
                <c:pt idx="22">
                  <c:v>18.899999999999999</c:v>
                </c:pt>
                <c:pt idx="23">
                  <c:v>22.5</c:v>
                </c:pt>
                <c:pt idx="24">
                  <c:v>14.6</c:v>
                </c:pt>
                <c:pt idx="25">
                  <c:v>11.8</c:v>
                </c:pt>
                <c:pt idx="26">
                  <c:v>12.8</c:v>
                </c:pt>
                <c:pt idx="27">
                  <c:v>17.8</c:v>
                </c:pt>
                <c:pt idx="28">
                  <c:v>13.2</c:v>
                </c:pt>
                <c:pt idx="29">
                  <c:v>10.6</c:v>
                </c:pt>
                <c:pt idx="30">
                  <c:v>9.6</c:v>
                </c:pt>
                <c:pt idx="31">
                  <c:v>11.8</c:v>
                </c:pt>
                <c:pt idx="32">
                  <c:v>10.7</c:v>
                </c:pt>
                <c:pt idx="33">
                  <c:v>13.9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B31-48B0-9FBC-51761AADC6BC}"/>
            </c:ext>
          </c:extLst>
        </c:ser>
        <c:ser>
          <c:idx val="6"/>
          <c:order val="6"/>
          <c:tx>
            <c:strRef>
              <c:f>'výkonnost odvětví 2'!$A$42</c:f>
              <c:strCache>
                <c:ptCount val="1"/>
                <c:pt idx="0">
                  <c:v>Bariéra růstu: nedost. materiálu a zařízení</c:v>
                </c:pt>
              </c:strCache>
            </c:strRef>
          </c:tx>
          <c:spPr>
            <a:ln w="15875">
              <a:solidFill>
                <a:srgbClr val="B8BBC0"/>
              </a:solidFill>
              <a:prstDash val="dash"/>
            </a:ln>
          </c:spPr>
          <c:marker>
            <c:symbol val="none"/>
          </c:marker>
          <c:cat>
            <c:multiLvlStrRef>
              <c:f>'výkonnost odvětví 2'!$AD$34:$BK$35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'výkonnost odvětví 2'!$AD$42:$BK$42</c:f>
              <c:numCache>
                <c:formatCode>#\ ##0.0</c:formatCode>
                <c:ptCount val="34"/>
                <c:pt idx="0">
                  <c:v>11.9</c:v>
                </c:pt>
                <c:pt idx="1">
                  <c:v>11.7</c:v>
                </c:pt>
                <c:pt idx="2">
                  <c:v>13.9</c:v>
                </c:pt>
                <c:pt idx="3">
                  <c:v>23.5</c:v>
                </c:pt>
                <c:pt idx="4">
                  <c:v>26.4</c:v>
                </c:pt>
                <c:pt idx="5">
                  <c:v>24.7</c:v>
                </c:pt>
                <c:pt idx="6">
                  <c:v>22</c:v>
                </c:pt>
                <c:pt idx="7">
                  <c:v>10.5</c:v>
                </c:pt>
                <c:pt idx="8">
                  <c:v>17.899999999999999</c:v>
                </c:pt>
                <c:pt idx="9">
                  <c:v>10.199999999999999</c:v>
                </c:pt>
                <c:pt idx="10">
                  <c:v>6.7</c:v>
                </c:pt>
                <c:pt idx="11">
                  <c:v>10.9</c:v>
                </c:pt>
                <c:pt idx="12">
                  <c:v>23.1</c:v>
                </c:pt>
                <c:pt idx="13">
                  <c:v>32.1</c:v>
                </c:pt>
                <c:pt idx="14">
                  <c:v>45.9</c:v>
                </c:pt>
                <c:pt idx="15">
                  <c:v>41.2</c:v>
                </c:pt>
                <c:pt idx="16">
                  <c:v>39.299999999999997</c:v>
                </c:pt>
                <c:pt idx="17">
                  <c:v>47.8</c:v>
                </c:pt>
                <c:pt idx="18">
                  <c:v>53.4</c:v>
                </c:pt>
                <c:pt idx="19">
                  <c:v>46.4</c:v>
                </c:pt>
                <c:pt idx="20">
                  <c:v>37.4</c:v>
                </c:pt>
                <c:pt idx="21">
                  <c:v>32.5</c:v>
                </c:pt>
                <c:pt idx="22">
                  <c:v>20.6</c:v>
                </c:pt>
                <c:pt idx="23">
                  <c:v>17.100000000000001</c:v>
                </c:pt>
                <c:pt idx="24">
                  <c:v>32.700000000000003</c:v>
                </c:pt>
                <c:pt idx="25">
                  <c:v>28.1</c:v>
                </c:pt>
                <c:pt idx="26">
                  <c:v>13</c:v>
                </c:pt>
                <c:pt idx="27">
                  <c:v>24.7</c:v>
                </c:pt>
                <c:pt idx="28">
                  <c:v>11.9</c:v>
                </c:pt>
                <c:pt idx="29">
                  <c:v>25</c:v>
                </c:pt>
                <c:pt idx="30">
                  <c:v>11</c:v>
                </c:pt>
                <c:pt idx="31">
                  <c:v>11.2</c:v>
                </c:pt>
                <c:pt idx="32">
                  <c:v>11.4</c:v>
                </c:pt>
                <c:pt idx="33">
                  <c:v>11.6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AB31-48B0-9FBC-51761AADC6BC}"/>
            </c:ext>
          </c:extLst>
        </c:ser>
        <c:ser>
          <c:idx val="7"/>
          <c:order val="7"/>
          <c:tx>
            <c:strRef>
              <c:f>'výkonnost odvětví 2'!$A$43</c:f>
              <c:strCache>
                <c:ptCount val="1"/>
                <c:pt idx="0">
                  <c:v>Saldo souhrn. indik. důvěry v průmyslu</c:v>
                </c:pt>
              </c:strCache>
            </c:strRef>
          </c:tx>
          <c:spPr>
            <a:ln w="15875">
              <a:solidFill>
                <a:schemeClr val="bg2">
                  <a:lumMod val="50000"/>
                </a:schemeClr>
              </a:solidFill>
              <a:prstDash val="sysDot"/>
            </a:ln>
          </c:spPr>
          <c:marker>
            <c:symbol val="diamond"/>
            <c:size val="5"/>
            <c:spPr>
              <a:solidFill>
                <a:srgbClr val="E6C45B"/>
              </a:solidFill>
              <a:ln>
                <a:solidFill>
                  <a:srgbClr val="E6C45B"/>
                </a:solidFill>
              </a:ln>
            </c:spPr>
          </c:marker>
          <c:cat>
            <c:multiLvlStrRef>
              <c:f>'výkonnost odvětví 2'!$AD$34:$BK$35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'výkonnost odvětví 2'!$AD$43:$BK$43</c:f>
              <c:numCache>
                <c:formatCode>#\ ##0.0</c:formatCode>
                <c:ptCount val="34"/>
                <c:pt idx="0">
                  <c:v>3.7</c:v>
                </c:pt>
                <c:pt idx="1">
                  <c:v>2</c:v>
                </c:pt>
                <c:pt idx="2">
                  <c:v>2.2999999999999998</c:v>
                </c:pt>
                <c:pt idx="3">
                  <c:v>2.2999999999999998</c:v>
                </c:pt>
                <c:pt idx="4">
                  <c:v>0.3</c:v>
                </c:pt>
                <c:pt idx="5">
                  <c:v>-2</c:v>
                </c:pt>
                <c:pt idx="6">
                  <c:v>-3</c:v>
                </c:pt>
                <c:pt idx="7">
                  <c:v>-6.7</c:v>
                </c:pt>
                <c:pt idx="8">
                  <c:v>-5</c:v>
                </c:pt>
                <c:pt idx="9">
                  <c:v>-25</c:v>
                </c:pt>
                <c:pt idx="10">
                  <c:v>-6.3</c:v>
                </c:pt>
                <c:pt idx="11">
                  <c:v>-10</c:v>
                </c:pt>
                <c:pt idx="12">
                  <c:v>-1.3</c:v>
                </c:pt>
                <c:pt idx="13">
                  <c:v>5.3</c:v>
                </c:pt>
                <c:pt idx="14">
                  <c:v>-1.3</c:v>
                </c:pt>
                <c:pt idx="15">
                  <c:v>-5.3</c:v>
                </c:pt>
                <c:pt idx="16">
                  <c:v>-0.3</c:v>
                </c:pt>
                <c:pt idx="17">
                  <c:v>8.3000000000000007</c:v>
                </c:pt>
                <c:pt idx="18">
                  <c:v>-1.7</c:v>
                </c:pt>
                <c:pt idx="19">
                  <c:v>-8.3000000000000007</c:v>
                </c:pt>
                <c:pt idx="20">
                  <c:v>-10.1</c:v>
                </c:pt>
                <c:pt idx="21">
                  <c:v>-7</c:v>
                </c:pt>
                <c:pt idx="22">
                  <c:v>-7</c:v>
                </c:pt>
                <c:pt idx="23">
                  <c:v>-6</c:v>
                </c:pt>
                <c:pt idx="24">
                  <c:v>-14</c:v>
                </c:pt>
                <c:pt idx="25">
                  <c:v>-8.6999999999999993</c:v>
                </c:pt>
                <c:pt idx="26">
                  <c:v>-7.7</c:v>
                </c:pt>
                <c:pt idx="27">
                  <c:v>-8.3000000000000007</c:v>
                </c:pt>
                <c:pt idx="28">
                  <c:v>-6</c:v>
                </c:pt>
                <c:pt idx="29">
                  <c:v>-5.3</c:v>
                </c:pt>
                <c:pt idx="30">
                  <c:v>-6</c:v>
                </c:pt>
                <c:pt idx="31">
                  <c:v>-6.3</c:v>
                </c:pt>
                <c:pt idx="32">
                  <c:v>-2.2999999999999998</c:v>
                </c:pt>
                <c:pt idx="33">
                  <c:v>-5.3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AB31-48B0-9FBC-51761AADC6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39819375"/>
        <c:axId val="1239826863"/>
      </c:lineChart>
      <c:catAx>
        <c:axId val="112768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112769664"/>
        <c:crosses val="autoZero"/>
        <c:auto val="1"/>
        <c:lblAlgn val="ctr"/>
        <c:lblOffset val="0"/>
        <c:noMultiLvlLbl val="0"/>
      </c:catAx>
      <c:valAx>
        <c:axId val="112769664"/>
        <c:scaling>
          <c:orientation val="minMax"/>
          <c:max val="100"/>
          <c:min val="-30"/>
        </c:scaling>
        <c:delete val="0"/>
        <c:axPos val="l"/>
        <c:majorGridlines>
          <c:spPr>
            <a:ln>
              <a:solidFill>
                <a:srgbClr val="BEBEBE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700" b="0" i="1"/>
                </a:pPr>
                <a:r>
                  <a:rPr lang="cs-CZ" sz="700" b="0" i="1"/>
                  <a:t>Zakázky</a:t>
                </a:r>
              </a:p>
            </c:rich>
          </c:tx>
          <c:overlay val="0"/>
        </c:title>
        <c:numFmt formatCode="0" sourceLinked="0"/>
        <c:majorTickMark val="out"/>
        <c:minorTickMark val="none"/>
        <c:tickLblPos val="nextTo"/>
        <c:crossAx val="112768128"/>
        <c:crosses val="autoZero"/>
        <c:crossBetween val="between"/>
        <c:majorUnit val="10"/>
      </c:valAx>
      <c:valAx>
        <c:axId val="1239826863"/>
        <c:scaling>
          <c:orientation val="minMax"/>
          <c:max val="100"/>
          <c:min val="-30"/>
        </c:scaling>
        <c:delete val="0"/>
        <c:axPos val="r"/>
        <c:title>
          <c:tx>
            <c:rich>
              <a:bodyPr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700" b="0" i="1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sz="700" b="0" i="1"/>
                  <a:t>Využití výrob.</a:t>
                </a:r>
                <a:r>
                  <a:rPr lang="cs-CZ" sz="700" b="0" i="1" baseline="0"/>
                  <a:t> </a:t>
                </a:r>
                <a:r>
                  <a:rPr lang="cs-CZ" sz="700" b="0" i="1"/>
                  <a:t>kapacit, bariéry růstu, </a:t>
                </a:r>
                <a:r>
                  <a:rPr lang="cs-CZ" sz="700" b="0" i="1" baseline="0">
                    <a:effectLst/>
                  </a:rPr>
                  <a:t>saldo důvěry</a:t>
                </a:r>
                <a:endParaRPr lang="cs-CZ" sz="700" i="1">
                  <a:effectLst/>
                </a:endParaRP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crossAx val="1239819375"/>
        <c:crosses val="max"/>
        <c:crossBetween val="between"/>
        <c:majorUnit val="10"/>
      </c:valAx>
      <c:catAx>
        <c:axId val="1239819375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39826863"/>
        <c:crosses val="autoZero"/>
        <c:auto val="1"/>
        <c:lblAlgn val="ctr"/>
        <c:lblOffset val="100"/>
        <c:noMultiLvlLbl val="0"/>
      </c:catAx>
      <c:spPr>
        <a:noFill/>
        <a:ln w="6350">
          <a:solidFill>
            <a:prstClr val="black">
              <a:lumMod val="95000"/>
              <a:lumOff val="5000"/>
            </a:prstClr>
          </a:solidFill>
        </a:ln>
      </c:spPr>
    </c:plotArea>
    <c:legend>
      <c:legendPos val="r"/>
      <c:layout>
        <c:manualLayout>
          <c:xMode val="edge"/>
          <c:yMode val="edge"/>
          <c:x val="0"/>
          <c:y val="0.85237242835695315"/>
          <c:w val="0.9918210452108337"/>
          <c:h val="0.14064337133398228"/>
        </c:manualLayout>
      </c:layout>
      <c:overlay val="0"/>
      <c:spPr>
        <a:ln w="6350">
          <a:solidFill>
            <a:prstClr val="black">
              <a:lumMod val="95000"/>
              <a:lumOff val="5000"/>
            </a:prstClr>
          </a:solidFill>
        </a:ln>
      </c:spPr>
      <c:txPr>
        <a:bodyPr/>
        <a:lstStyle/>
        <a:p>
          <a:pPr>
            <a:defRPr sz="780"/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695346289980312E-2"/>
          <c:y val="1.5663550999370279E-2"/>
          <c:w val="0.85237839893753009"/>
          <c:h val="0.75413191483370345"/>
        </c:manualLayout>
      </c:layout>
      <c:barChart>
        <c:barDir val="col"/>
        <c:grouping val="stacked"/>
        <c:varyColors val="0"/>
        <c:ser>
          <c:idx val="1"/>
          <c:order val="1"/>
          <c:tx>
            <c:strRef>
              <c:f>'výkonnost odvětví 3'!$Z$10</c:f>
              <c:strCache>
                <c:ptCount val="1"/>
                <c:pt idx="0">
                  <c:v>Pozemní stavitelství (příspěvek v p. b.)</c:v>
                </c:pt>
              </c:strCache>
            </c:strRef>
          </c:tx>
          <c:spPr>
            <a:solidFill>
              <a:srgbClr val="9FC9D7"/>
            </a:solidFill>
            <a:ln>
              <a:noFill/>
            </a:ln>
          </c:spPr>
          <c:invertIfNegative val="0"/>
          <c:cat>
            <c:multiLvlStrRef>
              <c:f>'výkonnost odvětví 3'!$W$43:$X$76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'výkonnost odvětví 3'!$Z$43:$Z$76</c:f>
              <c:numCache>
                <c:formatCode>0.0</c:formatCode>
                <c:ptCount val="34"/>
                <c:pt idx="0">
                  <c:v>13.039459362857237</c:v>
                </c:pt>
                <c:pt idx="1">
                  <c:v>5.6850806062932753</c:v>
                </c:pt>
                <c:pt idx="2">
                  <c:v>7.036028465591686</c:v>
                </c:pt>
                <c:pt idx="3">
                  <c:v>2.3869078764089537</c:v>
                </c:pt>
                <c:pt idx="4">
                  <c:v>2.4727635166988868</c:v>
                </c:pt>
                <c:pt idx="5">
                  <c:v>2.9341574628565144</c:v>
                </c:pt>
                <c:pt idx="6">
                  <c:v>-0.67535503037810629</c:v>
                </c:pt>
                <c:pt idx="7">
                  <c:v>1.7116954805541678</c:v>
                </c:pt>
                <c:pt idx="8">
                  <c:v>-0.69584828605035332</c:v>
                </c:pt>
                <c:pt idx="9">
                  <c:v>-7.7523651360071959</c:v>
                </c:pt>
                <c:pt idx="10">
                  <c:v>-7.0746218433619372</c:v>
                </c:pt>
                <c:pt idx="11">
                  <c:v>-7.7412313848499075</c:v>
                </c:pt>
                <c:pt idx="12">
                  <c:v>-5.0660837283894127</c:v>
                </c:pt>
                <c:pt idx="13">
                  <c:v>2.4656819622014705</c:v>
                </c:pt>
                <c:pt idx="14">
                  <c:v>2.7078036992242112</c:v>
                </c:pt>
                <c:pt idx="15">
                  <c:v>5.3885116062898586</c:v>
                </c:pt>
                <c:pt idx="16">
                  <c:v>7.2599370375691361</c:v>
                </c:pt>
                <c:pt idx="17">
                  <c:v>3.5228521802835968</c:v>
                </c:pt>
                <c:pt idx="18">
                  <c:v>-0.76086526249632169</c:v>
                </c:pt>
                <c:pt idx="19">
                  <c:v>-1.4422238162798067</c:v>
                </c:pt>
                <c:pt idx="20">
                  <c:v>2.0785501415796661</c:v>
                </c:pt>
                <c:pt idx="21">
                  <c:v>-1.7940004523509017</c:v>
                </c:pt>
                <c:pt idx="22">
                  <c:v>-0.44420059250800503</c:v>
                </c:pt>
                <c:pt idx="23">
                  <c:v>-2.3463867721548444</c:v>
                </c:pt>
                <c:pt idx="24">
                  <c:v>-5.1543406570414874</c:v>
                </c:pt>
                <c:pt idx="25">
                  <c:v>-3.1463977386870448</c:v>
                </c:pt>
                <c:pt idx="26">
                  <c:v>-1.8872107153037683</c:v>
                </c:pt>
                <c:pt idx="27">
                  <c:v>1.6874158785106754</c:v>
                </c:pt>
                <c:pt idx="28">
                  <c:v>7.1050689620756158</c:v>
                </c:pt>
                <c:pt idx="29">
                  <c:v>7.3083691806545366</c:v>
                </c:pt>
                <c:pt idx="30">
                  <c:v>8.1561639741042313</c:v>
                </c:pt>
                <c:pt idx="31">
                  <c:v>4.934183736192943</c:v>
                </c:pt>
                <c:pt idx="3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93-481B-BB8A-011F414B6E49}"/>
            </c:ext>
          </c:extLst>
        </c:ser>
        <c:ser>
          <c:idx val="2"/>
          <c:order val="2"/>
          <c:tx>
            <c:strRef>
              <c:f>'výkonnost odvětví 3'!$AA$10</c:f>
              <c:strCache>
                <c:ptCount val="1"/>
                <c:pt idx="0">
                  <c:v>Inženýrské stavitelství (příspěvek v p. b.)</c:v>
                </c:pt>
              </c:strCache>
            </c:strRef>
          </c:tx>
          <c:spPr>
            <a:solidFill>
              <a:srgbClr val="009CB5"/>
            </a:solidFill>
            <a:ln>
              <a:noFill/>
            </a:ln>
          </c:spPr>
          <c:invertIfNegative val="0"/>
          <c:cat>
            <c:multiLvlStrRef>
              <c:f>'výkonnost odvětví 3'!$W$43:$X$76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'výkonnost odvětví 3'!$AA$43:$AA$76</c:f>
              <c:numCache>
                <c:formatCode>0.0</c:formatCode>
                <c:ptCount val="34"/>
                <c:pt idx="0">
                  <c:v>2.313855161184069</c:v>
                </c:pt>
                <c:pt idx="1">
                  <c:v>1.4433818342413158</c:v>
                </c:pt>
                <c:pt idx="2">
                  <c:v>5.805340800033207</c:v>
                </c:pt>
                <c:pt idx="3">
                  <c:v>2.0257219814852485</c:v>
                </c:pt>
                <c:pt idx="4">
                  <c:v>2.8832113797347176</c:v>
                </c:pt>
                <c:pt idx="5">
                  <c:v>2.2916559515195796</c:v>
                </c:pt>
                <c:pt idx="6">
                  <c:v>0.1275103650053056</c:v>
                </c:pt>
                <c:pt idx="7">
                  <c:v>0.80716183036284428</c:v>
                </c:pt>
                <c:pt idx="8">
                  <c:v>2.6239701687748576</c:v>
                </c:pt>
                <c:pt idx="9">
                  <c:v>0.26317263154607262</c:v>
                </c:pt>
                <c:pt idx="10">
                  <c:v>-3.3347590514483532</c:v>
                </c:pt>
                <c:pt idx="11">
                  <c:v>-0.42839190612109307</c:v>
                </c:pt>
                <c:pt idx="12">
                  <c:v>-0.39522301308242569</c:v>
                </c:pt>
                <c:pt idx="13">
                  <c:v>1.8600290235434405</c:v>
                </c:pt>
                <c:pt idx="14">
                  <c:v>0.52162218280948758</c:v>
                </c:pt>
                <c:pt idx="15">
                  <c:v>-1.0553579383328437</c:v>
                </c:pt>
                <c:pt idx="16">
                  <c:v>5.3542662490461961</c:v>
                </c:pt>
                <c:pt idx="17">
                  <c:v>1.3478592062038046</c:v>
                </c:pt>
                <c:pt idx="18">
                  <c:v>0.66736359398673328</c:v>
                </c:pt>
                <c:pt idx="19">
                  <c:v>1.4188446024940988</c:v>
                </c:pt>
                <c:pt idx="20">
                  <c:v>-3.8410888445248759</c:v>
                </c:pt>
                <c:pt idx="21">
                  <c:v>-2.3631236527439059</c:v>
                </c:pt>
                <c:pt idx="22">
                  <c:v>-0.13182183197812178</c:v>
                </c:pt>
                <c:pt idx="23">
                  <c:v>-0.56534456319622506</c:v>
                </c:pt>
                <c:pt idx="24">
                  <c:v>1.1608192067090914</c:v>
                </c:pt>
                <c:pt idx="25">
                  <c:v>-1.4573196686113525</c:v>
                </c:pt>
                <c:pt idx="26">
                  <c:v>0.30856458109758472</c:v>
                </c:pt>
                <c:pt idx="27">
                  <c:v>1.5095691516466947</c:v>
                </c:pt>
                <c:pt idx="28">
                  <c:v>2.8429452920484981</c:v>
                </c:pt>
                <c:pt idx="29">
                  <c:v>4.6745610681433529</c:v>
                </c:pt>
                <c:pt idx="30">
                  <c:v>5.5844079848996229</c:v>
                </c:pt>
                <c:pt idx="31">
                  <c:v>2.8341560537560264</c:v>
                </c:pt>
                <c:pt idx="32">
                  <c:v>-0.3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93-481B-BB8A-011F414B6E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overlap val="100"/>
        <c:axId val="112768128"/>
        <c:axId val="112769664"/>
      </c:barChart>
      <c:lineChart>
        <c:grouping val="standard"/>
        <c:varyColors val="0"/>
        <c:ser>
          <c:idx val="0"/>
          <c:order val="0"/>
          <c:tx>
            <c:strRef>
              <c:f>'výkonnost odvětví 3'!$Y$10</c:f>
              <c:strCache>
                <c:ptCount val="1"/>
                <c:pt idx="0">
                  <c:v>Celková stavební produkce</c:v>
                </c:pt>
              </c:strCache>
            </c:strRef>
          </c:tx>
          <c:spPr>
            <a:ln>
              <a:noFill/>
            </a:ln>
          </c:spPr>
          <c:marker>
            <c:symbol val="star"/>
            <c:size val="4"/>
            <c:spPr>
              <a:noFill/>
              <a:ln>
                <a:solidFill>
                  <a:schemeClr val="bg2">
                    <a:lumMod val="25000"/>
                  </a:schemeClr>
                </a:solidFill>
              </a:ln>
            </c:spPr>
          </c:marker>
          <c:cat>
            <c:multiLvlStrRef>
              <c:f>'výkonnost odvětví 3'!$W$43:$X$76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'výkonnost odvětví 3'!$Y$43:$Y$76</c:f>
              <c:numCache>
                <c:formatCode>0.0</c:formatCode>
                <c:ptCount val="34"/>
                <c:pt idx="0">
                  <c:v>15.353314524041323</c:v>
                </c:pt>
                <c:pt idx="1">
                  <c:v>7.1284624405346051</c:v>
                </c:pt>
                <c:pt idx="2">
                  <c:v>12.84136926562492</c:v>
                </c:pt>
                <c:pt idx="3">
                  <c:v>4.4126298578942169</c:v>
                </c:pt>
                <c:pt idx="4">
                  <c:v>5.355974896433608</c:v>
                </c:pt>
                <c:pt idx="5">
                  <c:v>5.2258134143760628</c:v>
                </c:pt>
                <c:pt idx="6">
                  <c:v>-0.54784466537280707</c:v>
                </c:pt>
                <c:pt idx="7">
                  <c:v>2.5188573109169852</c:v>
                </c:pt>
                <c:pt idx="8">
                  <c:v>1.9281218528000039</c:v>
                </c:pt>
                <c:pt idx="9">
                  <c:v>-7.489192773100001</c:v>
                </c:pt>
                <c:pt idx="10">
                  <c:v>-10.409380949899997</c:v>
                </c:pt>
                <c:pt idx="11">
                  <c:v>-8.1696229805999963</c:v>
                </c:pt>
                <c:pt idx="12">
                  <c:v>-5.449827937799995</c:v>
                </c:pt>
                <c:pt idx="13">
                  <c:v>4.3346326277000031</c:v>
                </c:pt>
                <c:pt idx="14">
                  <c:v>3.2527324745999948</c:v>
                </c:pt>
                <c:pt idx="15">
                  <c:v>4.3444783167000054</c:v>
                </c:pt>
                <c:pt idx="16">
                  <c:v>12.605105655499997</c:v>
                </c:pt>
                <c:pt idx="17">
                  <c:v>4.8704536909999945</c:v>
                </c:pt>
                <c:pt idx="18">
                  <c:v>-9.4174134400006437E-2</c:v>
                </c:pt>
                <c:pt idx="19">
                  <c:v>-1.3883214100005148E-2</c:v>
                </c:pt>
                <c:pt idx="20">
                  <c:v>-1.7717177847000016</c:v>
                </c:pt>
                <c:pt idx="21">
                  <c:v>-4.1402313415999998</c:v>
                </c:pt>
                <c:pt idx="22">
                  <c:v>-0.56619568009999455</c:v>
                </c:pt>
                <c:pt idx="23">
                  <c:v>-2.9142969090000008</c:v>
                </c:pt>
                <c:pt idx="24">
                  <c:v>-3.966105693800003</c:v>
                </c:pt>
                <c:pt idx="25">
                  <c:v>-4.6095742126999966</c:v>
                </c:pt>
                <c:pt idx="26">
                  <c:v>-1.6053599297000005</c:v>
                </c:pt>
                <c:pt idx="27">
                  <c:v>3.1979198801000024</c:v>
                </c:pt>
                <c:pt idx="28">
                  <c:v>9.9456413813000069</c:v>
                </c:pt>
                <c:pt idx="29">
                  <c:v>11.992779862299997</c:v>
                </c:pt>
                <c:pt idx="30">
                  <c:v>13.730028734300006</c:v>
                </c:pt>
                <c:pt idx="31">
                  <c:v>7.7796862008000005</c:v>
                </c:pt>
                <c:pt idx="32">
                  <c:v>3.7364473016999966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393-481B-BB8A-011F414B6E49}"/>
            </c:ext>
          </c:extLst>
        </c:ser>
        <c:ser>
          <c:idx val="3"/>
          <c:order val="3"/>
          <c:tx>
            <c:strRef>
              <c:f>'výkonnost odvětví 3'!$AB$10</c:f>
              <c:strCache>
                <c:ptCount val="1"/>
                <c:pt idx="0">
                  <c:v>Nové stavební zakázky v tuzemsku</c:v>
                </c:pt>
              </c:strCache>
            </c:strRef>
          </c:tx>
          <c:spPr>
            <a:ln w="9525">
              <a:solidFill>
                <a:schemeClr val="bg2">
                  <a:lumMod val="50000"/>
                </a:schemeClr>
              </a:solidFill>
              <a:prstDash val="sysDot"/>
            </a:ln>
          </c:spPr>
          <c:marker>
            <c:symbol val="circle"/>
            <c:size val="5"/>
            <c:spPr>
              <a:solidFill>
                <a:srgbClr val="85BF5E"/>
              </a:solidFill>
              <a:ln>
                <a:noFill/>
              </a:ln>
            </c:spPr>
          </c:marker>
          <c:cat>
            <c:multiLvlStrRef>
              <c:f>'výkonnost odvětví 3'!$W$43:$X$76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'výkonnost odvětví 3'!$AB$43:$AB$76</c:f>
              <c:numCache>
                <c:formatCode>0.0</c:formatCode>
                <c:ptCount val="34"/>
                <c:pt idx="0">
                  <c:v>30.10697387368856</c:v>
                </c:pt>
                <c:pt idx="1">
                  <c:v>32.836878110611963</c:v>
                </c:pt>
                <c:pt idx="2">
                  <c:v>5.2768249907951201</c:v>
                </c:pt>
                <c:pt idx="3">
                  <c:v>1.8944565811032277</c:v>
                </c:pt>
                <c:pt idx="4">
                  <c:v>14.157231796980014</c:v>
                </c:pt>
                <c:pt idx="5">
                  <c:v>-9.3844758149390373</c:v>
                </c:pt>
                <c:pt idx="6">
                  <c:v>17.407475242057217</c:v>
                </c:pt>
                <c:pt idx="7">
                  <c:v>5.8323004254463768</c:v>
                </c:pt>
                <c:pt idx="8">
                  <c:v>-12.441624458376552</c:v>
                </c:pt>
                <c:pt idx="9">
                  <c:v>7.4967780657944729</c:v>
                </c:pt>
                <c:pt idx="10">
                  <c:v>2.0603176860339403</c:v>
                </c:pt>
                <c:pt idx="11">
                  <c:v>7.5507850088630164</c:v>
                </c:pt>
                <c:pt idx="12">
                  <c:v>28.856340981154375</c:v>
                </c:pt>
                <c:pt idx="13">
                  <c:v>22.0478670382426</c:v>
                </c:pt>
                <c:pt idx="14">
                  <c:v>10.015015612184257</c:v>
                </c:pt>
                <c:pt idx="15">
                  <c:v>1.0053213537781147</c:v>
                </c:pt>
                <c:pt idx="16">
                  <c:v>13.067478460417888</c:v>
                </c:pt>
                <c:pt idx="17">
                  <c:v>17.619167772184284</c:v>
                </c:pt>
                <c:pt idx="18">
                  <c:v>12.421954480552543</c:v>
                </c:pt>
                <c:pt idx="19">
                  <c:v>13.031852753748723</c:v>
                </c:pt>
                <c:pt idx="20">
                  <c:v>-10.144501025957553</c:v>
                </c:pt>
                <c:pt idx="21">
                  <c:v>-18.697561390531931</c:v>
                </c:pt>
                <c:pt idx="22">
                  <c:v>27.514816854662854</c:v>
                </c:pt>
                <c:pt idx="23">
                  <c:v>9.3063425617587683</c:v>
                </c:pt>
                <c:pt idx="24">
                  <c:v>30.48574840110382</c:v>
                </c:pt>
                <c:pt idx="25">
                  <c:v>24.810378988741093</c:v>
                </c:pt>
                <c:pt idx="26">
                  <c:v>-2.1445567903011948</c:v>
                </c:pt>
                <c:pt idx="27">
                  <c:v>17.246427278094785</c:v>
                </c:pt>
                <c:pt idx="28">
                  <c:v>14.966548023920552</c:v>
                </c:pt>
                <c:pt idx="29">
                  <c:v>18.397953312123349</c:v>
                </c:pt>
                <c:pt idx="30">
                  <c:v>8.8509967247769197</c:v>
                </c:pt>
                <c:pt idx="31">
                  <c:v>-2.6142731987564503</c:v>
                </c:pt>
                <c:pt idx="32">
                  <c:v>-7.4593940388818112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393-481B-BB8A-011F414B6E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768128"/>
        <c:axId val="112769664"/>
      </c:lineChart>
      <c:lineChart>
        <c:grouping val="standard"/>
        <c:varyColors val="0"/>
        <c:ser>
          <c:idx val="4"/>
          <c:order val="4"/>
          <c:tx>
            <c:strRef>
              <c:f>'výkonnost odvětví 3'!$AC$10</c:f>
              <c:strCache>
                <c:ptCount val="1"/>
                <c:pt idx="0">
                  <c:v>Bariéra růstu: nedostatečná poptávka</c:v>
                </c:pt>
              </c:strCache>
            </c:strRef>
          </c:tx>
          <c:spPr>
            <a:ln w="15875">
              <a:solidFill>
                <a:srgbClr val="8390A7"/>
              </a:solidFill>
              <a:prstDash val="solid"/>
            </a:ln>
          </c:spPr>
          <c:marker>
            <c:symbol val="none"/>
          </c:marker>
          <c:cat>
            <c:multiLvlStrRef>
              <c:f>'výkonnost odvětví 3'!$W$43:$X$76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'výkonnost odvětví 3'!$AC$43:$AC$76</c:f>
              <c:numCache>
                <c:formatCode>0.0</c:formatCode>
                <c:ptCount val="34"/>
                <c:pt idx="0">
                  <c:v>40</c:v>
                </c:pt>
                <c:pt idx="1">
                  <c:v>38.299999999999997</c:v>
                </c:pt>
                <c:pt idx="2">
                  <c:v>33.1</c:v>
                </c:pt>
                <c:pt idx="3">
                  <c:v>24.9</c:v>
                </c:pt>
                <c:pt idx="4">
                  <c:v>25.9</c:v>
                </c:pt>
                <c:pt idx="5">
                  <c:v>25.3</c:v>
                </c:pt>
                <c:pt idx="6">
                  <c:v>19.899999999999999</c:v>
                </c:pt>
                <c:pt idx="7">
                  <c:v>20.7</c:v>
                </c:pt>
                <c:pt idx="8">
                  <c:v>29.7</c:v>
                </c:pt>
                <c:pt idx="9">
                  <c:v>30.3</c:v>
                </c:pt>
                <c:pt idx="10">
                  <c:v>37.9</c:v>
                </c:pt>
                <c:pt idx="11">
                  <c:v>38.200000000000003</c:v>
                </c:pt>
                <c:pt idx="12">
                  <c:v>30.4</c:v>
                </c:pt>
                <c:pt idx="13">
                  <c:v>33.5</c:v>
                </c:pt>
                <c:pt idx="14">
                  <c:v>23.7</c:v>
                </c:pt>
                <c:pt idx="15">
                  <c:v>20</c:v>
                </c:pt>
                <c:pt idx="16">
                  <c:v>21.1</c:v>
                </c:pt>
                <c:pt idx="17">
                  <c:v>20.2</c:v>
                </c:pt>
                <c:pt idx="18">
                  <c:v>19.8</c:v>
                </c:pt>
                <c:pt idx="19">
                  <c:v>22.2</c:v>
                </c:pt>
                <c:pt idx="20">
                  <c:v>30.5</c:v>
                </c:pt>
                <c:pt idx="21">
                  <c:v>31.5</c:v>
                </c:pt>
                <c:pt idx="22">
                  <c:v>34.4</c:v>
                </c:pt>
                <c:pt idx="23">
                  <c:v>29.2</c:v>
                </c:pt>
                <c:pt idx="24">
                  <c:v>22.6</c:v>
                </c:pt>
                <c:pt idx="25">
                  <c:v>22.5</c:v>
                </c:pt>
                <c:pt idx="26">
                  <c:v>23.3</c:v>
                </c:pt>
                <c:pt idx="27">
                  <c:v>25.2</c:v>
                </c:pt>
                <c:pt idx="28">
                  <c:v>26</c:v>
                </c:pt>
                <c:pt idx="29">
                  <c:v>34.1</c:v>
                </c:pt>
                <c:pt idx="30">
                  <c:v>31.6</c:v>
                </c:pt>
                <c:pt idx="31">
                  <c:v>32.799999999999997</c:v>
                </c:pt>
                <c:pt idx="32">
                  <c:v>31.3</c:v>
                </c:pt>
                <c:pt idx="33">
                  <c:v>30.3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393-481B-BB8A-011F414B6E49}"/>
            </c:ext>
          </c:extLst>
        </c:ser>
        <c:ser>
          <c:idx val="5"/>
          <c:order val="5"/>
          <c:tx>
            <c:strRef>
              <c:f>'výkonnost odvětví 3'!$AD$10</c:f>
              <c:strCache>
                <c:ptCount val="1"/>
                <c:pt idx="0">
                  <c:v>Bariéra růstu: nedostatek pracovníků</c:v>
                </c:pt>
              </c:strCache>
            </c:strRef>
          </c:tx>
          <c:spPr>
            <a:ln w="15875">
              <a:solidFill>
                <a:srgbClr val="858972"/>
              </a:solidFill>
              <a:prstDash val="sysDash"/>
            </a:ln>
          </c:spPr>
          <c:marker>
            <c:symbol val="none"/>
          </c:marker>
          <c:cat>
            <c:multiLvlStrRef>
              <c:f>'výkonnost odvětví 3'!$W$43:$X$76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'výkonnost odvětví 3'!$AD$43:$AD$76</c:f>
              <c:numCache>
                <c:formatCode>0.0</c:formatCode>
                <c:ptCount val="34"/>
                <c:pt idx="0">
                  <c:v>26.4</c:v>
                </c:pt>
                <c:pt idx="1">
                  <c:v>30.1</c:v>
                </c:pt>
                <c:pt idx="2">
                  <c:v>28.8</c:v>
                </c:pt>
                <c:pt idx="3">
                  <c:v>38.9</c:v>
                </c:pt>
                <c:pt idx="4">
                  <c:v>35.6</c:v>
                </c:pt>
                <c:pt idx="5">
                  <c:v>43.4</c:v>
                </c:pt>
                <c:pt idx="6">
                  <c:v>51</c:v>
                </c:pt>
                <c:pt idx="7">
                  <c:v>47</c:v>
                </c:pt>
                <c:pt idx="8">
                  <c:v>50.5</c:v>
                </c:pt>
                <c:pt idx="9">
                  <c:v>46</c:v>
                </c:pt>
                <c:pt idx="10">
                  <c:v>36.299999999999997</c:v>
                </c:pt>
                <c:pt idx="11">
                  <c:v>32.6</c:v>
                </c:pt>
                <c:pt idx="12">
                  <c:v>46.6</c:v>
                </c:pt>
                <c:pt idx="13">
                  <c:v>31.7</c:v>
                </c:pt>
                <c:pt idx="14">
                  <c:v>41.9</c:v>
                </c:pt>
                <c:pt idx="15">
                  <c:v>43.2</c:v>
                </c:pt>
                <c:pt idx="16">
                  <c:v>55.6</c:v>
                </c:pt>
                <c:pt idx="17">
                  <c:v>44.3</c:v>
                </c:pt>
                <c:pt idx="18">
                  <c:v>40</c:v>
                </c:pt>
                <c:pt idx="19">
                  <c:v>48.1</c:v>
                </c:pt>
                <c:pt idx="20">
                  <c:v>38.4</c:v>
                </c:pt>
                <c:pt idx="21">
                  <c:v>35.5</c:v>
                </c:pt>
                <c:pt idx="22">
                  <c:v>30.8</c:v>
                </c:pt>
                <c:pt idx="23">
                  <c:v>31.5</c:v>
                </c:pt>
                <c:pt idx="24">
                  <c:v>52.8</c:v>
                </c:pt>
                <c:pt idx="25">
                  <c:v>46.7</c:v>
                </c:pt>
                <c:pt idx="26">
                  <c:v>42.8</c:v>
                </c:pt>
                <c:pt idx="27">
                  <c:v>42.6</c:v>
                </c:pt>
                <c:pt idx="28">
                  <c:v>53.3</c:v>
                </c:pt>
                <c:pt idx="29">
                  <c:v>49.6</c:v>
                </c:pt>
                <c:pt idx="30">
                  <c:v>46.8</c:v>
                </c:pt>
                <c:pt idx="31">
                  <c:v>43.6</c:v>
                </c:pt>
                <c:pt idx="32">
                  <c:v>56.2</c:v>
                </c:pt>
                <c:pt idx="33">
                  <c:v>43.5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393-481B-BB8A-011F414B6E49}"/>
            </c:ext>
          </c:extLst>
        </c:ser>
        <c:ser>
          <c:idx val="6"/>
          <c:order val="6"/>
          <c:tx>
            <c:strRef>
              <c:f>'výkonnost odvětví 3'!$AE$10</c:f>
              <c:strCache>
                <c:ptCount val="1"/>
                <c:pt idx="0">
                  <c:v>Bariéra růstu: nedost. materiálu a vybavení</c:v>
                </c:pt>
              </c:strCache>
            </c:strRef>
          </c:tx>
          <c:spPr>
            <a:ln w="15875">
              <a:solidFill>
                <a:srgbClr val="B8BBC0"/>
              </a:solidFill>
              <a:prstDash val="dash"/>
            </a:ln>
          </c:spPr>
          <c:marker>
            <c:symbol val="none"/>
          </c:marker>
          <c:cat>
            <c:multiLvlStrRef>
              <c:f>'výkonnost odvětví 3'!$W$43:$X$76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'výkonnost odvětví 3'!$AE$43:$AE$76</c:f>
              <c:numCache>
                <c:formatCode>0.0</c:formatCode>
                <c:ptCount val="34"/>
                <c:pt idx="0">
                  <c:v>6</c:v>
                </c:pt>
                <c:pt idx="1">
                  <c:v>1.2</c:v>
                </c:pt>
                <c:pt idx="2">
                  <c:v>6.3</c:v>
                </c:pt>
                <c:pt idx="3">
                  <c:v>3.3</c:v>
                </c:pt>
                <c:pt idx="4">
                  <c:v>4.8</c:v>
                </c:pt>
                <c:pt idx="5">
                  <c:v>5.7</c:v>
                </c:pt>
                <c:pt idx="6">
                  <c:v>4.8</c:v>
                </c:pt>
                <c:pt idx="7">
                  <c:v>3.8</c:v>
                </c:pt>
                <c:pt idx="8">
                  <c:v>2.4</c:v>
                </c:pt>
                <c:pt idx="9">
                  <c:v>3.4</c:v>
                </c:pt>
                <c:pt idx="10">
                  <c:v>0.8</c:v>
                </c:pt>
                <c:pt idx="11">
                  <c:v>0.6</c:v>
                </c:pt>
                <c:pt idx="12">
                  <c:v>1.8</c:v>
                </c:pt>
                <c:pt idx="13">
                  <c:v>4.3</c:v>
                </c:pt>
                <c:pt idx="14">
                  <c:v>15.8</c:v>
                </c:pt>
                <c:pt idx="15">
                  <c:v>22.6</c:v>
                </c:pt>
                <c:pt idx="16">
                  <c:v>25.2</c:v>
                </c:pt>
                <c:pt idx="17">
                  <c:v>41.3</c:v>
                </c:pt>
                <c:pt idx="18">
                  <c:v>38.1</c:v>
                </c:pt>
                <c:pt idx="19">
                  <c:v>23.2</c:v>
                </c:pt>
                <c:pt idx="20">
                  <c:v>20</c:v>
                </c:pt>
                <c:pt idx="21">
                  <c:v>17</c:v>
                </c:pt>
                <c:pt idx="22">
                  <c:v>12.5</c:v>
                </c:pt>
                <c:pt idx="23">
                  <c:v>13.8</c:v>
                </c:pt>
                <c:pt idx="24">
                  <c:v>23</c:v>
                </c:pt>
                <c:pt idx="25">
                  <c:v>22.2</c:v>
                </c:pt>
                <c:pt idx="26">
                  <c:v>21.7</c:v>
                </c:pt>
                <c:pt idx="27">
                  <c:v>17.899999999999999</c:v>
                </c:pt>
                <c:pt idx="28">
                  <c:v>15.5</c:v>
                </c:pt>
                <c:pt idx="29">
                  <c:v>5.3</c:v>
                </c:pt>
                <c:pt idx="30">
                  <c:v>5.8</c:v>
                </c:pt>
                <c:pt idx="31">
                  <c:v>4.3</c:v>
                </c:pt>
                <c:pt idx="32">
                  <c:v>3.8</c:v>
                </c:pt>
                <c:pt idx="33">
                  <c:v>4.5999999999999996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E393-481B-BB8A-011F414B6E49}"/>
            </c:ext>
          </c:extLst>
        </c:ser>
        <c:ser>
          <c:idx val="7"/>
          <c:order val="7"/>
          <c:tx>
            <c:strRef>
              <c:f>'výkonnost odvětví 3'!$AF$10</c:f>
              <c:strCache>
                <c:ptCount val="1"/>
                <c:pt idx="0">
                  <c:v>Saldo indikátoru důvěry ve stavebnictví</c:v>
                </c:pt>
              </c:strCache>
            </c:strRef>
          </c:tx>
          <c:spPr>
            <a:ln w="15875">
              <a:solidFill>
                <a:schemeClr val="bg2">
                  <a:lumMod val="50000"/>
                </a:schemeClr>
              </a:solidFill>
              <a:prstDash val="sysDot"/>
            </a:ln>
          </c:spPr>
          <c:marker>
            <c:symbol val="diamond"/>
            <c:size val="5"/>
            <c:spPr>
              <a:solidFill>
                <a:srgbClr val="E6C45B"/>
              </a:solidFill>
              <a:ln>
                <a:solidFill>
                  <a:srgbClr val="E6C45B"/>
                </a:solidFill>
              </a:ln>
            </c:spPr>
          </c:marker>
          <c:cat>
            <c:multiLvlStrRef>
              <c:f>'výkonnost odvětví 3'!$W$43:$X$76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'výkonnost odvětví 3'!$AF$43:$AF$76</c:f>
              <c:numCache>
                <c:formatCode>0.0</c:formatCode>
                <c:ptCount val="34"/>
                <c:pt idx="0">
                  <c:v>-9</c:v>
                </c:pt>
                <c:pt idx="1">
                  <c:v>-6</c:v>
                </c:pt>
                <c:pt idx="2">
                  <c:v>-2</c:v>
                </c:pt>
                <c:pt idx="3">
                  <c:v>1</c:v>
                </c:pt>
                <c:pt idx="4">
                  <c:v>3.5</c:v>
                </c:pt>
                <c:pt idx="5">
                  <c:v>4</c:v>
                </c:pt>
                <c:pt idx="6">
                  <c:v>-1</c:v>
                </c:pt>
                <c:pt idx="7">
                  <c:v>1</c:v>
                </c:pt>
                <c:pt idx="8">
                  <c:v>-3</c:v>
                </c:pt>
                <c:pt idx="9">
                  <c:v>-15</c:v>
                </c:pt>
                <c:pt idx="10">
                  <c:v>-13</c:v>
                </c:pt>
                <c:pt idx="11">
                  <c:v>-11.5</c:v>
                </c:pt>
                <c:pt idx="12">
                  <c:v>-6</c:v>
                </c:pt>
                <c:pt idx="13">
                  <c:v>-5.5</c:v>
                </c:pt>
                <c:pt idx="14">
                  <c:v>-4.5</c:v>
                </c:pt>
                <c:pt idx="15">
                  <c:v>-6.5</c:v>
                </c:pt>
                <c:pt idx="16">
                  <c:v>6.5</c:v>
                </c:pt>
                <c:pt idx="17">
                  <c:v>-2</c:v>
                </c:pt>
                <c:pt idx="18">
                  <c:v>-9</c:v>
                </c:pt>
                <c:pt idx="19">
                  <c:v>-4.5</c:v>
                </c:pt>
                <c:pt idx="20">
                  <c:v>-11.5</c:v>
                </c:pt>
                <c:pt idx="21">
                  <c:v>-15.5</c:v>
                </c:pt>
                <c:pt idx="22">
                  <c:v>-16.5</c:v>
                </c:pt>
                <c:pt idx="23">
                  <c:v>-11</c:v>
                </c:pt>
                <c:pt idx="24">
                  <c:v>-7</c:v>
                </c:pt>
                <c:pt idx="25">
                  <c:v>-14</c:v>
                </c:pt>
                <c:pt idx="26">
                  <c:v>-12</c:v>
                </c:pt>
                <c:pt idx="27">
                  <c:v>-5</c:v>
                </c:pt>
                <c:pt idx="28">
                  <c:v>-4</c:v>
                </c:pt>
                <c:pt idx="29">
                  <c:v>-4</c:v>
                </c:pt>
                <c:pt idx="30">
                  <c:v>2.5</c:v>
                </c:pt>
                <c:pt idx="31">
                  <c:v>-4.5</c:v>
                </c:pt>
                <c:pt idx="32">
                  <c:v>-2</c:v>
                </c:pt>
                <c:pt idx="33">
                  <c:v>-0.5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E393-481B-BB8A-011F414B6E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18074639"/>
        <c:axId val="1118080463"/>
      </c:lineChart>
      <c:catAx>
        <c:axId val="112768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cs-CZ"/>
          </a:p>
        </c:txPr>
        <c:crossAx val="112769664"/>
        <c:crosses val="autoZero"/>
        <c:auto val="1"/>
        <c:lblAlgn val="ctr"/>
        <c:lblOffset val="0"/>
        <c:noMultiLvlLbl val="0"/>
      </c:catAx>
      <c:valAx>
        <c:axId val="112769664"/>
        <c:scaling>
          <c:orientation val="minMax"/>
          <c:max val="60"/>
          <c:min val="-20"/>
        </c:scaling>
        <c:delete val="0"/>
        <c:axPos val="l"/>
        <c:majorGridlines>
          <c:spPr>
            <a:ln>
              <a:solidFill>
                <a:srgbClr val="BEBEBE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700" b="0" i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cs-CZ" sz="700" b="0" i="1">
                    <a:latin typeface="Arial" panose="020B0604020202020204" pitchFamily="34" charset="0"/>
                    <a:cs typeface="Arial" panose="020B0604020202020204" pitchFamily="34" charset="0"/>
                  </a:rPr>
                  <a:t>Zakázky, příspěvky k změně stavební produkce</a:t>
                </a:r>
              </a:p>
            </c:rich>
          </c:tx>
          <c:overlay val="0"/>
        </c:title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cs-CZ"/>
          </a:p>
        </c:txPr>
        <c:crossAx val="112768128"/>
        <c:crosses val="autoZero"/>
        <c:crossBetween val="between"/>
        <c:majorUnit val="10"/>
      </c:valAx>
      <c:valAx>
        <c:axId val="1118080463"/>
        <c:scaling>
          <c:orientation val="minMax"/>
          <c:max val="60"/>
          <c:min val="-100"/>
        </c:scaling>
        <c:delete val="0"/>
        <c:axPos val="r"/>
        <c:title>
          <c:tx>
            <c:rich>
              <a:bodyPr/>
              <a:lstStyle/>
              <a:p>
                <a:pPr>
                  <a:defRPr sz="700" b="0" i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cs-CZ" sz="700" b="0" i="1">
                    <a:latin typeface="Arial" panose="020B0604020202020204" pitchFamily="34" charset="0"/>
                    <a:cs typeface="Arial" panose="020B0604020202020204" pitchFamily="34" charset="0"/>
                  </a:rPr>
                  <a:t>Saldo důvěry, bariéry růstu</a:t>
                </a:r>
              </a:p>
            </c:rich>
          </c:tx>
          <c:overlay val="0"/>
        </c:title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cs-CZ"/>
          </a:p>
        </c:txPr>
        <c:crossAx val="1118074639"/>
        <c:crosses val="max"/>
        <c:crossBetween val="between"/>
        <c:majorUnit val="20"/>
      </c:valAx>
      <c:catAx>
        <c:axId val="111807463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118080463"/>
        <c:crosses val="autoZero"/>
        <c:auto val="1"/>
        <c:lblAlgn val="ctr"/>
        <c:lblOffset val="100"/>
        <c:noMultiLvlLbl val="0"/>
      </c:catAx>
      <c:spPr>
        <a:noFill/>
        <a:ln w="6350">
          <a:solidFill>
            <a:prstClr val="black">
              <a:lumMod val="95000"/>
              <a:lumOff val="5000"/>
            </a:prstClr>
          </a:solidFill>
        </a:ln>
      </c:spPr>
    </c:plotArea>
    <c:legend>
      <c:legendPos val="r"/>
      <c:layout>
        <c:manualLayout>
          <c:xMode val="edge"/>
          <c:yMode val="edge"/>
          <c:x val="7.6126793553942364E-3"/>
          <c:y val="0.85936703322638608"/>
          <c:w val="0.9801437714811797"/>
          <c:h val="0.13362821778942557"/>
        </c:manualLayout>
      </c:layout>
      <c:overlay val="0"/>
      <c:spPr>
        <a:ln w="6350">
          <a:solidFill>
            <a:prstClr val="black">
              <a:lumMod val="95000"/>
              <a:lumOff val="5000"/>
            </a:prstClr>
          </a:solidFill>
        </a:ln>
      </c:spPr>
      <c:txPr>
        <a:bodyPr/>
        <a:lstStyle/>
        <a:p>
          <a:pPr>
            <a:defRPr sz="750">
              <a:latin typeface="Arial" pitchFamily="34" charset="0"/>
              <a:cs typeface="Arial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695346289980312E-2"/>
          <c:y val="1.5663550999370279E-2"/>
          <c:w val="0.85237839893753009"/>
          <c:h val="0.72173975637017407"/>
        </c:manualLayout>
      </c:layout>
      <c:barChart>
        <c:barDir val="col"/>
        <c:grouping val="stacked"/>
        <c:varyColors val="0"/>
        <c:ser>
          <c:idx val="1"/>
          <c:order val="1"/>
          <c:tx>
            <c:strRef>
              <c:f>'Služby-příspěvky k růstu-4'!$D$33</c:f>
              <c:strCache>
                <c:ptCount val="1"/>
                <c:pt idx="0">
                  <c:v>Doprava a skladování (p. b.)</c:v>
                </c:pt>
              </c:strCache>
            </c:strRef>
          </c:tx>
          <c:spPr>
            <a:solidFill>
              <a:srgbClr val="85BF5E"/>
            </a:solidFill>
            <a:ln>
              <a:noFill/>
            </a:ln>
          </c:spPr>
          <c:invertIfNegative val="0"/>
          <c:cat>
            <c:multiLvlStrRef>
              <c:f>'Služby-příspěvky k růstu-4'!$A$58:$B$91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'Služby-příspěvky k růstu-4'!$D$58:$D$91</c:f>
              <c:numCache>
                <c:formatCode>0.0</c:formatCode>
                <c:ptCount val="34"/>
                <c:pt idx="0">
                  <c:v>1.6956891103520013</c:v>
                </c:pt>
                <c:pt idx="1">
                  <c:v>1.8129090229309992</c:v>
                </c:pt>
                <c:pt idx="2">
                  <c:v>1.4972673045370011</c:v>
                </c:pt>
                <c:pt idx="3">
                  <c:v>0.48157504043299865</c:v>
                </c:pt>
                <c:pt idx="4">
                  <c:v>8.5430759221001004E-2</c:v>
                </c:pt>
                <c:pt idx="5">
                  <c:v>-0.12994548662100142</c:v>
                </c:pt>
                <c:pt idx="6">
                  <c:v>-0.31541677078799807</c:v>
                </c:pt>
                <c:pt idx="7">
                  <c:v>-6.9820218275999296E-2</c:v>
                </c:pt>
                <c:pt idx="8">
                  <c:v>-1.4790572914832016</c:v>
                </c:pt>
                <c:pt idx="9">
                  <c:v>-6.3632637531539995</c:v>
                </c:pt>
                <c:pt idx="10">
                  <c:v>-3.9386682718175665</c:v>
                </c:pt>
                <c:pt idx="11">
                  <c:v>-1.3597001104320019</c:v>
                </c:pt>
                <c:pt idx="12">
                  <c:v>0.339424474017815</c:v>
                </c:pt>
                <c:pt idx="13">
                  <c:v>6.4769797031497607</c:v>
                </c:pt>
                <c:pt idx="14">
                  <c:v>3.6889628511037609</c:v>
                </c:pt>
                <c:pt idx="15">
                  <c:v>3.3165927698599269</c:v>
                </c:pt>
                <c:pt idx="16">
                  <c:v>3.9470600999621772</c:v>
                </c:pt>
                <c:pt idx="17">
                  <c:v>4.0149179535188493</c:v>
                </c:pt>
                <c:pt idx="18">
                  <c:v>3.2325096024643996</c:v>
                </c:pt>
                <c:pt idx="19">
                  <c:v>0.69379105004502784</c:v>
                </c:pt>
                <c:pt idx="20">
                  <c:v>-1.2161396930190405</c:v>
                </c:pt>
                <c:pt idx="21">
                  <c:v>-3.0939854937459703</c:v>
                </c:pt>
                <c:pt idx="22">
                  <c:v>-3.4666853638300101</c:v>
                </c:pt>
                <c:pt idx="23">
                  <c:v>-2.6087324525460365</c:v>
                </c:pt>
                <c:pt idx="24">
                  <c:v>0.22215379874635741</c:v>
                </c:pt>
                <c:pt idx="25">
                  <c:v>1.1334584885357104</c:v>
                </c:pt>
                <c:pt idx="26">
                  <c:v>1.5974384509373598</c:v>
                </c:pt>
                <c:pt idx="27">
                  <c:v>1.3973357604610437</c:v>
                </c:pt>
                <c:pt idx="28">
                  <c:v>0.80325056787954308</c:v>
                </c:pt>
                <c:pt idx="29">
                  <c:v>0.54015078832255659</c:v>
                </c:pt>
                <c:pt idx="30" formatCode="##0.0">
                  <c:v>-0.18721090556233616</c:v>
                </c:pt>
                <c:pt idx="31" formatCode="##0.0">
                  <c:v>0.33254686563740377</c:v>
                </c:pt>
                <c:pt idx="32" formatCode="##0.00">
                  <c:v>0.28811224359021398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A1-41F6-A1C8-8E999D5F45E9}"/>
            </c:ext>
          </c:extLst>
        </c:ser>
        <c:ser>
          <c:idx val="2"/>
          <c:order val="2"/>
          <c:tx>
            <c:strRef>
              <c:f>'Služby-příspěvky k růstu-4'!$E$33</c:f>
              <c:strCache>
                <c:ptCount val="1"/>
                <c:pt idx="0">
                  <c:v>Ubytování, stravování a pohostinství (p. b.)</c:v>
                </c:pt>
              </c:strCache>
            </c:strRef>
          </c:tx>
          <c:spPr>
            <a:solidFill>
              <a:srgbClr val="9FC9D7"/>
            </a:solidFill>
            <a:ln>
              <a:noFill/>
            </a:ln>
          </c:spPr>
          <c:invertIfNegative val="0"/>
          <c:cat>
            <c:multiLvlStrRef>
              <c:f>'Služby-příspěvky k růstu-4'!$A$58:$B$91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'Služby-příspěvky k růstu-4'!$E$58:$E$91</c:f>
              <c:numCache>
                <c:formatCode>0.0</c:formatCode>
                <c:ptCount val="34"/>
                <c:pt idx="0">
                  <c:v>0.20195565385500039</c:v>
                </c:pt>
                <c:pt idx="1">
                  <c:v>5.418202247940028E-2</c:v>
                </c:pt>
                <c:pt idx="2">
                  <c:v>6.3047037296999564E-2</c:v>
                </c:pt>
                <c:pt idx="3">
                  <c:v>-3.5828635256600336E-2</c:v>
                </c:pt>
                <c:pt idx="4">
                  <c:v>-0.36454076668379948</c:v>
                </c:pt>
                <c:pt idx="5">
                  <c:v>-0.67072260751620016</c:v>
                </c:pt>
                <c:pt idx="6">
                  <c:v>0.56231016755959973</c:v>
                </c:pt>
                <c:pt idx="7">
                  <c:v>0.81049302022920056</c:v>
                </c:pt>
                <c:pt idx="8">
                  <c:v>-0.99294104892905388</c:v>
                </c:pt>
                <c:pt idx="9">
                  <c:v>-4.7570554267105001</c:v>
                </c:pt>
                <c:pt idx="10">
                  <c:v>-1.8801381906337449</c:v>
                </c:pt>
                <c:pt idx="11">
                  <c:v>-4.4950846626303456</c:v>
                </c:pt>
                <c:pt idx="12">
                  <c:v>-3.6481810348244856</c:v>
                </c:pt>
                <c:pt idx="13">
                  <c:v>1.4037988406202084</c:v>
                </c:pt>
                <c:pt idx="14">
                  <c:v>0.65953594741947219</c:v>
                </c:pt>
                <c:pt idx="15">
                  <c:v>2.895453687502811</c:v>
                </c:pt>
                <c:pt idx="16">
                  <c:v>2.8324438712139846</c:v>
                </c:pt>
                <c:pt idx="17">
                  <c:v>2.4351384435535226</c:v>
                </c:pt>
                <c:pt idx="18">
                  <c:v>-0.45786033686732791</c:v>
                </c:pt>
                <c:pt idx="19">
                  <c:v>0.56712079637132995</c:v>
                </c:pt>
                <c:pt idx="20">
                  <c:v>0.4723075875012247</c:v>
                </c:pt>
                <c:pt idx="21">
                  <c:v>-2.9299883973641278E-2</c:v>
                </c:pt>
                <c:pt idx="22">
                  <c:v>0.13053617447369642</c:v>
                </c:pt>
                <c:pt idx="23">
                  <c:v>7.6420413212893251E-2</c:v>
                </c:pt>
                <c:pt idx="24">
                  <c:v>0.20145632085284665</c:v>
                </c:pt>
                <c:pt idx="25">
                  <c:v>0.17229933870263658</c:v>
                </c:pt>
                <c:pt idx="26" formatCode="0.00">
                  <c:v>-0.15247052022392038</c:v>
                </c:pt>
                <c:pt idx="27">
                  <c:v>-2.0658054410665041E-3</c:v>
                </c:pt>
                <c:pt idx="28">
                  <c:v>-7.2379808866863612E-2</c:v>
                </c:pt>
                <c:pt idx="29">
                  <c:v>0.18602301571860602</c:v>
                </c:pt>
                <c:pt idx="30" formatCode="##0.0">
                  <c:v>9.6409614713450983E-2</c:v>
                </c:pt>
                <c:pt idx="31" formatCode="##0.0">
                  <c:v>0.10549799268773981</c:v>
                </c:pt>
                <c:pt idx="32" formatCode="##0.00">
                  <c:v>5.9168888885642743E-2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A1-41F6-A1C8-8E999D5F45E9}"/>
            </c:ext>
          </c:extLst>
        </c:ser>
        <c:ser>
          <c:idx val="3"/>
          <c:order val="3"/>
          <c:tx>
            <c:strRef>
              <c:f>'Služby-příspěvky k růstu-4'!$F$33</c:f>
              <c:strCache>
                <c:ptCount val="1"/>
                <c:pt idx="0">
                  <c:v>Informační a komunikační činnosti (p. b.)</c:v>
                </c:pt>
              </c:strCache>
            </c:strRef>
          </c:tx>
          <c:spPr>
            <a:solidFill>
              <a:srgbClr val="E6C45B"/>
            </a:solidFill>
            <a:ln w="9525">
              <a:noFill/>
              <a:prstDash val="sysDot"/>
            </a:ln>
          </c:spPr>
          <c:invertIfNegative val="0"/>
          <c:cat>
            <c:multiLvlStrRef>
              <c:f>'Služby-příspěvky k růstu-4'!$A$58:$B$91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'Služby-příspěvky k růstu-4'!$F$58:$F$91</c:f>
              <c:numCache>
                <c:formatCode>0.0</c:formatCode>
                <c:ptCount val="34"/>
                <c:pt idx="0">
                  <c:v>1.4488515966480009</c:v>
                </c:pt>
                <c:pt idx="1">
                  <c:v>0.81031608347999917</c:v>
                </c:pt>
                <c:pt idx="2">
                  <c:v>1.4694619499319996</c:v>
                </c:pt>
                <c:pt idx="3">
                  <c:v>1.0869590418939996</c:v>
                </c:pt>
                <c:pt idx="4">
                  <c:v>0.58968305678299926</c:v>
                </c:pt>
                <c:pt idx="5">
                  <c:v>1.4235701007170005</c:v>
                </c:pt>
                <c:pt idx="6">
                  <c:v>1.6729764651360004</c:v>
                </c:pt>
                <c:pt idx="7">
                  <c:v>0.80278133613399894</c:v>
                </c:pt>
                <c:pt idx="8">
                  <c:v>0.64817274555500026</c:v>
                </c:pt>
                <c:pt idx="9">
                  <c:v>-0.1296221423903991</c:v>
                </c:pt>
                <c:pt idx="10">
                  <c:v>-0.45069724996999955</c:v>
                </c:pt>
                <c:pt idx="11">
                  <c:v>-0.76786978286449958</c:v>
                </c:pt>
                <c:pt idx="12">
                  <c:v>0.7988501443406586</c:v>
                </c:pt>
                <c:pt idx="13">
                  <c:v>1.7181750258280606</c:v>
                </c:pt>
                <c:pt idx="14">
                  <c:v>1.7378716382378383</c:v>
                </c:pt>
                <c:pt idx="15">
                  <c:v>2.1146664892810083</c:v>
                </c:pt>
                <c:pt idx="16">
                  <c:v>1.7486967131569446</c:v>
                </c:pt>
                <c:pt idx="17">
                  <c:v>0.98429447082323185</c:v>
                </c:pt>
                <c:pt idx="18">
                  <c:v>0.77312161208373731</c:v>
                </c:pt>
                <c:pt idx="19">
                  <c:v>0.37849138255379744</c:v>
                </c:pt>
                <c:pt idx="20">
                  <c:v>0.58328729987999939</c:v>
                </c:pt>
                <c:pt idx="21">
                  <c:v>-7.5730778386939148E-3</c:v>
                </c:pt>
                <c:pt idx="22">
                  <c:v>-0.79323887005342941</c:v>
                </c:pt>
                <c:pt idx="23">
                  <c:v>-0.79223292270674051</c:v>
                </c:pt>
                <c:pt idx="24">
                  <c:v>0.10170859512000795</c:v>
                </c:pt>
                <c:pt idx="25">
                  <c:v>0.47948732516812043</c:v>
                </c:pt>
                <c:pt idx="26">
                  <c:v>0.84486717556551161</c:v>
                </c:pt>
                <c:pt idx="27">
                  <c:v>0.51262848620882862</c:v>
                </c:pt>
                <c:pt idx="28">
                  <c:v>0.98600582961254812</c:v>
                </c:pt>
                <c:pt idx="29">
                  <c:v>0.74167636187881258</c:v>
                </c:pt>
                <c:pt idx="30" formatCode="##0.0">
                  <c:v>0.1147257241443904</c:v>
                </c:pt>
                <c:pt idx="31" formatCode="##0.0">
                  <c:v>0.67839818243854277</c:v>
                </c:pt>
                <c:pt idx="32" formatCode="##0.00">
                  <c:v>0.57150016256675851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9A1-41F6-A1C8-8E999D5F45E9}"/>
            </c:ext>
          </c:extLst>
        </c:ser>
        <c:ser>
          <c:idx val="4"/>
          <c:order val="4"/>
          <c:tx>
            <c:strRef>
              <c:f>'Služby-příspěvky k růstu-4'!$G$33</c:f>
              <c:strCache>
                <c:ptCount val="1"/>
                <c:pt idx="0">
                  <c:v>Činnosti v oblasti nemovitostí (p. b.)</c:v>
                </c:pt>
              </c:strCache>
            </c:strRef>
          </c:tx>
          <c:spPr>
            <a:solidFill>
              <a:srgbClr val="8390A7"/>
            </a:solidFill>
            <a:ln w="15875">
              <a:noFill/>
              <a:prstDash val="solid"/>
            </a:ln>
          </c:spPr>
          <c:invertIfNegative val="0"/>
          <c:cat>
            <c:multiLvlStrRef>
              <c:f>'Služby-příspěvky k růstu-4'!$A$58:$B$91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'Služby-příspěvky k růstu-4'!$G$58:$G$91</c:f>
              <c:numCache>
                <c:formatCode>0.0</c:formatCode>
                <c:ptCount val="34"/>
                <c:pt idx="0">
                  <c:v>-1.6524920437799778E-2</c:v>
                </c:pt>
                <c:pt idx="1">
                  <c:v>-0.22648211084279987</c:v>
                </c:pt>
                <c:pt idx="2">
                  <c:v>-0.12424593645239954</c:v>
                </c:pt>
                <c:pt idx="3">
                  <c:v>-0.20693626242300006</c:v>
                </c:pt>
                <c:pt idx="4">
                  <c:v>-0.5925330816281994</c:v>
                </c:pt>
                <c:pt idx="5">
                  <c:v>-0.1711158509232</c:v>
                </c:pt>
                <c:pt idx="6">
                  <c:v>0.22279663946820069</c:v>
                </c:pt>
                <c:pt idx="7">
                  <c:v>0.39481240784160065</c:v>
                </c:pt>
                <c:pt idx="8">
                  <c:v>0.44567855431260001</c:v>
                </c:pt>
                <c:pt idx="9">
                  <c:v>-0.30645754424820038</c:v>
                </c:pt>
                <c:pt idx="10">
                  <c:v>-0.27158749350666656</c:v>
                </c:pt>
                <c:pt idx="11">
                  <c:v>-0.22670254998780018</c:v>
                </c:pt>
                <c:pt idx="12">
                  <c:v>-0.21094775963960005</c:v>
                </c:pt>
                <c:pt idx="13">
                  <c:v>0.51155875534620054</c:v>
                </c:pt>
                <c:pt idx="14">
                  <c:v>-2.3689723896500255E-2</c:v>
                </c:pt>
                <c:pt idx="15">
                  <c:v>0.25599910697759964</c:v>
                </c:pt>
                <c:pt idx="16">
                  <c:v>0.96345448971199943</c:v>
                </c:pt>
                <c:pt idx="17">
                  <c:v>0.47159042328799955</c:v>
                </c:pt>
                <c:pt idx="18">
                  <c:v>0.2185622188815784</c:v>
                </c:pt>
                <c:pt idx="19">
                  <c:v>0.33309446355833333</c:v>
                </c:pt>
                <c:pt idx="20">
                  <c:v>0.16012954609680044</c:v>
                </c:pt>
                <c:pt idx="21">
                  <c:v>-0.18624032886239958</c:v>
                </c:pt>
                <c:pt idx="22">
                  <c:v>-0.27795457738857821</c:v>
                </c:pt>
                <c:pt idx="23">
                  <c:v>-0.2089599685726716</c:v>
                </c:pt>
                <c:pt idx="24">
                  <c:v>-0.20651327563660776</c:v>
                </c:pt>
                <c:pt idx="25">
                  <c:v>0.27793895598753937</c:v>
                </c:pt>
                <c:pt idx="26">
                  <c:v>-0.11784164354918217</c:v>
                </c:pt>
                <c:pt idx="27">
                  <c:v>-4.2577128381585134E-3</c:v>
                </c:pt>
                <c:pt idx="28">
                  <c:v>0.24983684273778797</c:v>
                </c:pt>
                <c:pt idx="29">
                  <c:v>-3.5129585766133953E-2</c:v>
                </c:pt>
                <c:pt idx="30" formatCode="##0.00">
                  <c:v>7.2348490771794213E-2</c:v>
                </c:pt>
                <c:pt idx="31" formatCode="##0.00">
                  <c:v>-2.6007249512033318E-3</c:v>
                </c:pt>
                <c:pt idx="32" formatCode="##0.00">
                  <c:v>0.10846010076821222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9A1-41F6-A1C8-8E999D5F45E9}"/>
            </c:ext>
          </c:extLst>
        </c:ser>
        <c:ser>
          <c:idx val="5"/>
          <c:order val="5"/>
          <c:tx>
            <c:strRef>
              <c:f>'Služby-příspěvky k růstu-4'!$H$33</c:f>
              <c:strCache>
                <c:ptCount val="1"/>
                <c:pt idx="0">
                  <c:v>Profesní, vědecké a technické činnosti (p. b.)</c:v>
                </c:pt>
              </c:strCache>
            </c:strRef>
          </c:tx>
          <c:spPr>
            <a:solidFill>
              <a:srgbClr val="D8A7B7"/>
            </a:solidFill>
            <a:ln w="15875">
              <a:noFill/>
              <a:prstDash val="sysDash"/>
            </a:ln>
          </c:spPr>
          <c:invertIfNegative val="0"/>
          <c:cat>
            <c:multiLvlStrRef>
              <c:f>'Služby-příspěvky k růstu-4'!$A$58:$B$91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'Služby-příspěvky k růstu-4'!$H$58:$H$91</c:f>
              <c:numCache>
                <c:formatCode>0.0</c:formatCode>
                <c:ptCount val="34"/>
                <c:pt idx="0">
                  <c:v>1.0834896484026992</c:v>
                </c:pt>
                <c:pt idx="1">
                  <c:v>0.51188265350629969</c:v>
                </c:pt>
                <c:pt idx="2">
                  <c:v>0.33141441242120157</c:v>
                </c:pt>
                <c:pt idx="3">
                  <c:v>-0.32048945336179863</c:v>
                </c:pt>
                <c:pt idx="4">
                  <c:v>-0.2488808783392007</c:v>
                </c:pt>
                <c:pt idx="5">
                  <c:v>0.94712075844700094</c:v>
                </c:pt>
                <c:pt idx="6">
                  <c:v>-1.2286887364814008</c:v>
                </c:pt>
                <c:pt idx="7">
                  <c:v>0.14517510288599994</c:v>
                </c:pt>
                <c:pt idx="8">
                  <c:v>-1.3019581493045989</c:v>
                </c:pt>
                <c:pt idx="9">
                  <c:v>-3.4364995076580009</c:v>
                </c:pt>
                <c:pt idx="10">
                  <c:v>-1.7141117600065583</c:v>
                </c:pt>
                <c:pt idx="11">
                  <c:v>-1.6782530189297995</c:v>
                </c:pt>
                <c:pt idx="12">
                  <c:v>-1.7950376935096992</c:v>
                </c:pt>
                <c:pt idx="13">
                  <c:v>2.6109436485369422</c:v>
                </c:pt>
                <c:pt idx="14">
                  <c:v>1.7658640715104823</c:v>
                </c:pt>
                <c:pt idx="15">
                  <c:v>2.2127999066374913</c:v>
                </c:pt>
                <c:pt idx="16">
                  <c:v>2.2724371059363357</c:v>
                </c:pt>
                <c:pt idx="17">
                  <c:v>1.3852889410778095</c:v>
                </c:pt>
                <c:pt idx="18">
                  <c:v>0.99380318082145103</c:v>
                </c:pt>
                <c:pt idx="19">
                  <c:v>0.14402260783636861</c:v>
                </c:pt>
                <c:pt idx="20">
                  <c:v>0.81830585604138473</c:v>
                </c:pt>
                <c:pt idx="21">
                  <c:v>0.82445770430622045</c:v>
                </c:pt>
                <c:pt idx="22">
                  <c:v>0.13034479111537206</c:v>
                </c:pt>
                <c:pt idx="23">
                  <c:v>0.83926985282434741</c:v>
                </c:pt>
                <c:pt idx="24">
                  <c:v>0.47900305251715447</c:v>
                </c:pt>
                <c:pt idx="25">
                  <c:v>0.6811209478493595</c:v>
                </c:pt>
                <c:pt idx="26">
                  <c:v>0.26171925847671451</c:v>
                </c:pt>
                <c:pt idx="27">
                  <c:v>5.2664778577602829E-2</c:v>
                </c:pt>
                <c:pt idx="28">
                  <c:v>1.1345609464854818</c:v>
                </c:pt>
                <c:pt idx="29">
                  <c:v>0.7856538852501882</c:v>
                </c:pt>
                <c:pt idx="30" formatCode="##0.0">
                  <c:v>0.42580499337647543</c:v>
                </c:pt>
                <c:pt idx="31" formatCode="##0.0">
                  <c:v>0.81694680701116895</c:v>
                </c:pt>
                <c:pt idx="32" formatCode="##0.00">
                  <c:v>1.0962359844946965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A1-41F6-A1C8-8E999D5F45E9}"/>
            </c:ext>
          </c:extLst>
        </c:ser>
        <c:ser>
          <c:idx val="6"/>
          <c:order val="6"/>
          <c:tx>
            <c:strRef>
              <c:f>'Služby-příspěvky k růstu-4'!$I$33</c:f>
              <c:strCache>
                <c:ptCount val="1"/>
                <c:pt idx="0">
                  <c:v>Administr. a podpůrné čin. (příspěvek v p. b.)</c:v>
                </c:pt>
              </c:strCache>
            </c:strRef>
          </c:tx>
          <c:spPr>
            <a:solidFill>
              <a:srgbClr val="BC5B80"/>
            </a:solidFill>
            <a:ln w="15875">
              <a:noFill/>
              <a:prstDash val="dash"/>
            </a:ln>
          </c:spPr>
          <c:invertIfNegative val="0"/>
          <c:cat>
            <c:multiLvlStrRef>
              <c:f>'Služby-příspěvky k růstu-4'!$A$58:$B$91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'Služby-příspěvky k růstu-4'!$I$58:$I$91</c:f>
              <c:numCache>
                <c:formatCode>0.0</c:formatCode>
                <c:ptCount val="34"/>
                <c:pt idx="0">
                  <c:v>0.55139626092049943</c:v>
                </c:pt>
                <c:pt idx="1">
                  <c:v>0.38018900109850062</c:v>
                </c:pt>
                <c:pt idx="2">
                  <c:v>0.39504246437859952</c:v>
                </c:pt>
                <c:pt idx="3">
                  <c:v>-3.5784588507200656E-2</c:v>
                </c:pt>
                <c:pt idx="4">
                  <c:v>-1.2014906897117006</c:v>
                </c:pt>
                <c:pt idx="5">
                  <c:v>0.45509585744049996</c:v>
                </c:pt>
                <c:pt idx="6">
                  <c:v>-0.40142830199350032</c:v>
                </c:pt>
                <c:pt idx="7">
                  <c:v>1.3125244889837999</c:v>
                </c:pt>
                <c:pt idx="8">
                  <c:v>-1.0861838381640005</c:v>
                </c:pt>
                <c:pt idx="9">
                  <c:v>-5.2825094924406502</c:v>
                </c:pt>
                <c:pt idx="10">
                  <c:v>-4.9389821385789476</c:v>
                </c:pt>
                <c:pt idx="11">
                  <c:v>-2.9781267489973997</c:v>
                </c:pt>
                <c:pt idx="12">
                  <c:v>-1.4358217562142097</c:v>
                </c:pt>
                <c:pt idx="13">
                  <c:v>2.2464230275243353</c:v>
                </c:pt>
                <c:pt idx="14">
                  <c:v>2.1186703809511758</c:v>
                </c:pt>
                <c:pt idx="15">
                  <c:v>1.4303808425259847</c:v>
                </c:pt>
                <c:pt idx="16">
                  <c:v>1.7130286439903932</c:v>
                </c:pt>
                <c:pt idx="17">
                  <c:v>3.1134189678455448</c:v>
                </c:pt>
                <c:pt idx="18">
                  <c:v>2.2147457278098601</c:v>
                </c:pt>
                <c:pt idx="19">
                  <c:v>0.75981525938647765</c:v>
                </c:pt>
                <c:pt idx="20">
                  <c:v>0.44351110190196352</c:v>
                </c:pt>
                <c:pt idx="21">
                  <c:v>0.17445700794147556</c:v>
                </c:pt>
                <c:pt idx="22">
                  <c:v>-0.14076488780736343</c:v>
                </c:pt>
                <c:pt idx="23">
                  <c:v>-4.4118459768652668E-2</c:v>
                </c:pt>
                <c:pt idx="24">
                  <c:v>0.38907387149663825</c:v>
                </c:pt>
                <c:pt idx="25">
                  <c:v>0.14119431179866418</c:v>
                </c:pt>
                <c:pt idx="26">
                  <c:v>0.42156883926372257</c:v>
                </c:pt>
                <c:pt idx="27">
                  <c:v>0.1753380195098404</c:v>
                </c:pt>
                <c:pt idx="28">
                  <c:v>0.20110493372888275</c:v>
                </c:pt>
                <c:pt idx="29">
                  <c:v>-6.0928454451434383E-2</c:v>
                </c:pt>
                <c:pt idx="30" formatCode="##0.0">
                  <c:v>-0.29813668231958129</c:v>
                </c:pt>
                <c:pt idx="31" formatCode="##0.0">
                  <c:v>0.21794576654740916</c:v>
                </c:pt>
                <c:pt idx="32" formatCode="##0.00">
                  <c:v>0.19235653309962822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9A1-41F6-A1C8-8E999D5F45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overlap val="100"/>
        <c:axId val="112768128"/>
        <c:axId val="112769664"/>
      </c:barChart>
      <c:lineChart>
        <c:grouping val="standard"/>
        <c:varyColors val="0"/>
        <c:ser>
          <c:idx val="0"/>
          <c:order val="0"/>
          <c:tx>
            <c:strRef>
              <c:f>'Služby-příspěvky k růstu-4'!$C$33</c:f>
              <c:strCache>
                <c:ptCount val="1"/>
                <c:pt idx="0">
                  <c:v>Služby celkem (meziroční růst v %)</c:v>
                </c:pt>
              </c:strCache>
            </c:strRef>
          </c:tx>
          <c:spPr>
            <a:ln>
              <a:noFill/>
            </a:ln>
          </c:spPr>
          <c:marker>
            <c:symbol val="star"/>
            <c:size val="4"/>
            <c:spPr>
              <a:noFill/>
              <a:ln>
                <a:solidFill>
                  <a:schemeClr val="bg2">
                    <a:lumMod val="25000"/>
                  </a:schemeClr>
                </a:solidFill>
              </a:ln>
            </c:spPr>
          </c:marker>
          <c:cat>
            <c:multiLvlStrRef>
              <c:f>'Služby-příspěvky k růstu-4'!$A$58:$B$91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'Služby-příspěvky k růstu-4'!$C$58:$C$91</c:f>
              <c:numCache>
                <c:formatCode>0.0</c:formatCode>
                <c:ptCount val="34"/>
                <c:pt idx="0">
                  <c:v>4.8746710973999967</c:v>
                </c:pt>
                <c:pt idx="1">
                  <c:v>3.1480367534999942</c:v>
                </c:pt>
                <c:pt idx="2">
                  <c:v>3.5116979830000048</c:v>
                </c:pt>
                <c:pt idx="3">
                  <c:v>0.966230831499999</c:v>
                </c:pt>
                <c:pt idx="4" formatCode="##0.0">
                  <c:v>-2.0936015643000019</c:v>
                </c:pt>
                <c:pt idx="5" formatCode="##0.0">
                  <c:v>2.0109283859000016</c:v>
                </c:pt>
                <c:pt idx="6" formatCode="##0.0">
                  <c:v>0.48272099109999544</c:v>
                </c:pt>
                <c:pt idx="7" formatCode="##0.0">
                  <c:v>3.681455815700005</c:v>
                </c:pt>
                <c:pt idx="8" formatCode="##0.0">
                  <c:v>-3.665306176200005</c:v>
                </c:pt>
                <c:pt idx="9" formatCode="##0.0">
                  <c:v>-20.479508761800005</c:v>
                </c:pt>
                <c:pt idx="10" formatCode="##0.0">
                  <c:v>-13.814933561800004</c:v>
                </c:pt>
                <c:pt idx="11" formatCode="##0.0">
                  <c:v>-12.688963449699997</c:v>
                </c:pt>
                <c:pt idx="12" formatCode="##0.0">
                  <c:v>-6.4132536481999978</c:v>
                </c:pt>
                <c:pt idx="13" formatCode="##0.0">
                  <c:v>14.467562655400002</c:v>
                </c:pt>
                <c:pt idx="14" formatCode="##0.0">
                  <c:v>9.8320905563000025</c:v>
                </c:pt>
                <c:pt idx="15" formatCode="##0.0">
                  <c:v>12.455555082499998</c:v>
                </c:pt>
                <c:pt idx="16" formatCode="##0.0">
                  <c:v>13.606929218800005</c:v>
                </c:pt>
                <c:pt idx="17" formatCode="##0.0">
                  <c:v>12.572544585499998</c:v>
                </c:pt>
                <c:pt idx="18" formatCode="##0.0">
                  <c:v>6.879013124599993</c:v>
                </c:pt>
                <c:pt idx="19" formatCode="##0.0">
                  <c:v>3.1298011397999943</c:v>
                </c:pt>
                <c:pt idx="20" formatCode="##0.0">
                  <c:v>1.6153658048000068</c:v>
                </c:pt>
                <c:pt idx="21" formatCode="##0.0">
                  <c:v>-1.6536002934000038</c:v>
                </c:pt>
                <c:pt idx="22" formatCode="##0.0">
                  <c:v>-3.8563340338999978</c:v>
                </c:pt>
                <c:pt idx="23" formatCode="##0.0">
                  <c:v>-2.1916659226999968</c:v>
                </c:pt>
                <c:pt idx="24" formatCode="##0.0">
                  <c:v>1.1705021491000025</c:v>
                </c:pt>
                <c:pt idx="25" formatCode="##0.0">
                  <c:v>2.8897127916000045</c:v>
                </c:pt>
                <c:pt idx="26" formatCode="##0.0">
                  <c:v>2.8739830930000068</c:v>
                </c:pt>
                <c:pt idx="27" formatCode="##0.0">
                  <c:v>2.1315290016000006</c:v>
                </c:pt>
                <c:pt idx="28" formatCode="##0.0">
                  <c:v>3.3033721543999945</c:v>
                </c:pt>
                <c:pt idx="29" formatCode="##0.0">
                  <c:v>2.1538382643999938</c:v>
                </c:pt>
                <c:pt idx="30" formatCode="##0.0">
                  <c:v>0.22968848959999377</c:v>
                </c:pt>
                <c:pt idx="31" formatCode="##0.0">
                  <c:v>2.1487386682999983</c:v>
                </c:pt>
                <c:pt idx="32" formatCode="##0.0">
                  <c:v>2.3158332446000003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49A1-41F6-A1C8-8E999D5F45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768128"/>
        <c:axId val="112769664"/>
      </c:lineChart>
      <c:lineChart>
        <c:grouping val="standard"/>
        <c:varyColors val="0"/>
        <c:ser>
          <c:idx val="7"/>
          <c:order val="7"/>
          <c:tx>
            <c:strRef>
              <c:f>'Služby-příspěvky k růstu-4'!$J$33</c:f>
              <c:strCache>
                <c:ptCount val="1"/>
                <c:pt idx="0">
                  <c:v>Saldo indikátoru důvěry ve službách</c:v>
                </c:pt>
              </c:strCache>
            </c:strRef>
          </c:tx>
          <c:spPr>
            <a:ln w="15875">
              <a:solidFill>
                <a:srgbClr val="CC9610"/>
              </a:solidFill>
              <a:prstDash val="sysDot"/>
            </a:ln>
          </c:spPr>
          <c:marker>
            <c:symbol val="diamond"/>
            <c:size val="5"/>
            <c:spPr>
              <a:solidFill>
                <a:srgbClr val="E6C45B"/>
              </a:solidFill>
              <a:ln>
                <a:solidFill>
                  <a:srgbClr val="E6C45B"/>
                </a:solidFill>
              </a:ln>
            </c:spPr>
          </c:marker>
          <c:cat>
            <c:multiLvlStrRef>
              <c:f>'Služby-příspěvky k růstu-4'!$A$58:$B$91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'Služby-příspěvky k růstu-4'!$J$58:$J$91</c:f>
              <c:numCache>
                <c:formatCode>#\ ##0.0</c:formatCode>
                <c:ptCount val="34"/>
                <c:pt idx="0">
                  <c:v>38.299999999999997</c:v>
                </c:pt>
                <c:pt idx="1">
                  <c:v>37</c:v>
                </c:pt>
                <c:pt idx="2">
                  <c:v>38.299999999999997</c:v>
                </c:pt>
                <c:pt idx="3">
                  <c:v>40.700000000000003</c:v>
                </c:pt>
                <c:pt idx="4">
                  <c:v>39.299999999999997</c:v>
                </c:pt>
                <c:pt idx="5">
                  <c:v>33.700000000000003</c:v>
                </c:pt>
                <c:pt idx="6">
                  <c:v>35</c:v>
                </c:pt>
                <c:pt idx="7">
                  <c:v>32.700000000000003</c:v>
                </c:pt>
                <c:pt idx="8">
                  <c:v>29</c:v>
                </c:pt>
                <c:pt idx="9">
                  <c:v>-13.3</c:v>
                </c:pt>
                <c:pt idx="10">
                  <c:v>1</c:v>
                </c:pt>
                <c:pt idx="11">
                  <c:v>-5</c:v>
                </c:pt>
                <c:pt idx="12">
                  <c:v>8</c:v>
                </c:pt>
                <c:pt idx="13">
                  <c:v>22.3</c:v>
                </c:pt>
                <c:pt idx="14">
                  <c:v>24.3</c:v>
                </c:pt>
                <c:pt idx="15">
                  <c:v>27</c:v>
                </c:pt>
                <c:pt idx="16">
                  <c:v>31</c:v>
                </c:pt>
                <c:pt idx="17">
                  <c:v>40</c:v>
                </c:pt>
                <c:pt idx="18">
                  <c:v>27.7</c:v>
                </c:pt>
                <c:pt idx="19">
                  <c:v>21.3</c:v>
                </c:pt>
                <c:pt idx="20">
                  <c:v>24</c:v>
                </c:pt>
                <c:pt idx="21" formatCode="0.0">
                  <c:v>28</c:v>
                </c:pt>
                <c:pt idx="22" formatCode="0.0">
                  <c:v>25.7</c:v>
                </c:pt>
                <c:pt idx="23" formatCode="0.0">
                  <c:v>22.7</c:v>
                </c:pt>
                <c:pt idx="24" formatCode="0.0">
                  <c:v>21.3</c:v>
                </c:pt>
                <c:pt idx="25" formatCode="0.0">
                  <c:v>30.1</c:v>
                </c:pt>
                <c:pt idx="26" formatCode="0.0">
                  <c:v>21.7</c:v>
                </c:pt>
                <c:pt idx="27" formatCode="0.0">
                  <c:v>33.700000000000003</c:v>
                </c:pt>
                <c:pt idx="28" formatCode="0.0">
                  <c:v>31.3</c:v>
                </c:pt>
                <c:pt idx="29" formatCode="0.0">
                  <c:v>39.700000000000003</c:v>
                </c:pt>
                <c:pt idx="30" formatCode="0.0">
                  <c:v>41</c:v>
                </c:pt>
                <c:pt idx="31" formatCode="0.0">
                  <c:v>38</c:v>
                </c:pt>
                <c:pt idx="32" formatCode="0.0">
                  <c:v>32</c:v>
                </c:pt>
                <c:pt idx="33" formatCode="0.0">
                  <c:v>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49A1-41F6-A1C8-8E999D5F45E9}"/>
            </c:ext>
          </c:extLst>
        </c:ser>
        <c:ser>
          <c:idx val="8"/>
          <c:order val="8"/>
          <c:tx>
            <c:strRef>
              <c:f>'Služby-příspěvky k růstu-4'!$K$33</c:f>
              <c:strCache>
                <c:ptCount val="1"/>
                <c:pt idx="0">
                  <c:v>Bariéra růstu: nedostatečná poptávka</c:v>
                </c:pt>
              </c:strCache>
            </c:strRef>
          </c:tx>
          <c:spPr>
            <a:ln w="15875">
              <a:solidFill>
                <a:srgbClr val="85BF5E"/>
              </a:solidFill>
            </a:ln>
          </c:spPr>
          <c:marker>
            <c:symbol val="none"/>
          </c:marker>
          <c:cat>
            <c:multiLvlStrRef>
              <c:f>'Služby-příspěvky k růstu-4'!$A$58:$B$91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'Služby-příspěvky k růstu-4'!$K$58:$K$91</c:f>
              <c:numCache>
                <c:formatCode>#\ ##0.0</c:formatCode>
                <c:ptCount val="34"/>
                <c:pt idx="0">
                  <c:v>16.899999999999999</c:v>
                </c:pt>
                <c:pt idx="1">
                  <c:v>19.399999999999999</c:v>
                </c:pt>
                <c:pt idx="2">
                  <c:v>17.899999999999999</c:v>
                </c:pt>
                <c:pt idx="3">
                  <c:v>20.7</c:v>
                </c:pt>
                <c:pt idx="4">
                  <c:v>20.6</c:v>
                </c:pt>
                <c:pt idx="5">
                  <c:v>16.899999999999999</c:v>
                </c:pt>
                <c:pt idx="6">
                  <c:v>20.5</c:v>
                </c:pt>
                <c:pt idx="7">
                  <c:v>14.4</c:v>
                </c:pt>
                <c:pt idx="8">
                  <c:v>21.3</c:v>
                </c:pt>
                <c:pt idx="9">
                  <c:v>30.2</c:v>
                </c:pt>
                <c:pt idx="10">
                  <c:v>30.4</c:v>
                </c:pt>
                <c:pt idx="11">
                  <c:v>39.200000000000003</c:v>
                </c:pt>
                <c:pt idx="12">
                  <c:v>34.799999999999997</c:v>
                </c:pt>
                <c:pt idx="13">
                  <c:v>36.799999999999997</c:v>
                </c:pt>
                <c:pt idx="14">
                  <c:v>28.9</c:v>
                </c:pt>
                <c:pt idx="15">
                  <c:v>26.3</c:v>
                </c:pt>
                <c:pt idx="16">
                  <c:v>31.6</c:v>
                </c:pt>
                <c:pt idx="17">
                  <c:v>15</c:v>
                </c:pt>
                <c:pt idx="18">
                  <c:v>30.2</c:v>
                </c:pt>
                <c:pt idx="19">
                  <c:v>17.600000000000001</c:v>
                </c:pt>
                <c:pt idx="20">
                  <c:v>25.4</c:v>
                </c:pt>
                <c:pt idx="21">
                  <c:v>19.100000000000001</c:v>
                </c:pt>
                <c:pt idx="22">
                  <c:v>26</c:v>
                </c:pt>
                <c:pt idx="23">
                  <c:v>23</c:v>
                </c:pt>
                <c:pt idx="24">
                  <c:v>18.5</c:v>
                </c:pt>
                <c:pt idx="25">
                  <c:v>19.2</c:v>
                </c:pt>
                <c:pt idx="26">
                  <c:v>17.8</c:v>
                </c:pt>
                <c:pt idx="27">
                  <c:v>29.6</c:v>
                </c:pt>
                <c:pt idx="28">
                  <c:v>24.4</c:v>
                </c:pt>
                <c:pt idx="29">
                  <c:v>17.5</c:v>
                </c:pt>
                <c:pt idx="30">
                  <c:v>17</c:v>
                </c:pt>
                <c:pt idx="31">
                  <c:v>15</c:v>
                </c:pt>
                <c:pt idx="32">
                  <c:v>16.899999999999999</c:v>
                </c:pt>
                <c:pt idx="33">
                  <c:v>11.1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49A1-41F6-A1C8-8E999D5F45E9}"/>
            </c:ext>
          </c:extLst>
        </c:ser>
        <c:ser>
          <c:idx val="9"/>
          <c:order val="9"/>
          <c:tx>
            <c:strRef>
              <c:f>'Služby-příspěvky k růstu-4'!$L$33</c:f>
              <c:strCache>
                <c:ptCount val="1"/>
                <c:pt idx="0">
                  <c:v>Bariéra růstu: nedostatek pracovníků</c:v>
                </c:pt>
              </c:strCache>
            </c:strRef>
          </c:tx>
          <c:spPr>
            <a:ln w="15875">
              <a:solidFill>
                <a:srgbClr val="85BF5E"/>
              </a:solidFill>
              <a:prstDash val="sysDash"/>
            </a:ln>
          </c:spPr>
          <c:marker>
            <c:symbol val="none"/>
          </c:marker>
          <c:cat>
            <c:multiLvlStrRef>
              <c:f>'Služby-příspěvky k růstu-4'!$A$58:$B$91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'Služby-příspěvky k růstu-4'!$L$58:$L$91</c:f>
              <c:numCache>
                <c:formatCode>#\ ##0.0</c:formatCode>
                <c:ptCount val="34"/>
                <c:pt idx="0">
                  <c:v>13.9</c:v>
                </c:pt>
                <c:pt idx="1">
                  <c:v>16.3</c:v>
                </c:pt>
                <c:pt idx="2">
                  <c:v>17.5</c:v>
                </c:pt>
                <c:pt idx="3">
                  <c:v>18.899999999999999</c:v>
                </c:pt>
                <c:pt idx="4">
                  <c:v>19.3</c:v>
                </c:pt>
                <c:pt idx="5">
                  <c:v>15</c:v>
                </c:pt>
                <c:pt idx="6">
                  <c:v>21.5</c:v>
                </c:pt>
                <c:pt idx="7">
                  <c:v>19.8</c:v>
                </c:pt>
                <c:pt idx="8">
                  <c:v>19.5</c:v>
                </c:pt>
                <c:pt idx="9">
                  <c:v>10</c:v>
                </c:pt>
                <c:pt idx="10">
                  <c:v>10</c:v>
                </c:pt>
                <c:pt idx="11">
                  <c:v>12.6</c:v>
                </c:pt>
                <c:pt idx="12">
                  <c:v>12.7</c:v>
                </c:pt>
                <c:pt idx="13">
                  <c:v>8.5</c:v>
                </c:pt>
                <c:pt idx="14">
                  <c:v>17.399999999999999</c:v>
                </c:pt>
                <c:pt idx="15">
                  <c:v>20.6</c:v>
                </c:pt>
                <c:pt idx="16">
                  <c:v>20.2</c:v>
                </c:pt>
                <c:pt idx="17">
                  <c:v>10.9</c:v>
                </c:pt>
                <c:pt idx="18">
                  <c:v>17.899999999999999</c:v>
                </c:pt>
                <c:pt idx="19">
                  <c:v>6.6</c:v>
                </c:pt>
                <c:pt idx="20">
                  <c:v>9.3000000000000007</c:v>
                </c:pt>
                <c:pt idx="21">
                  <c:v>9.7000000000000011</c:v>
                </c:pt>
                <c:pt idx="22">
                  <c:v>9.2000000000000011</c:v>
                </c:pt>
                <c:pt idx="23">
                  <c:v>12.3</c:v>
                </c:pt>
                <c:pt idx="24">
                  <c:v>8.3000000000000007</c:v>
                </c:pt>
                <c:pt idx="25">
                  <c:v>8.1</c:v>
                </c:pt>
                <c:pt idx="26">
                  <c:v>8.3000000000000007</c:v>
                </c:pt>
                <c:pt idx="27">
                  <c:v>15.3</c:v>
                </c:pt>
                <c:pt idx="28">
                  <c:v>12.9</c:v>
                </c:pt>
                <c:pt idx="29">
                  <c:v>10.4</c:v>
                </c:pt>
                <c:pt idx="30">
                  <c:v>11.1</c:v>
                </c:pt>
                <c:pt idx="31">
                  <c:v>12.4</c:v>
                </c:pt>
                <c:pt idx="32">
                  <c:v>15.4</c:v>
                </c:pt>
                <c:pt idx="33">
                  <c:v>13.1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49A1-41F6-A1C8-8E999D5F45E9}"/>
            </c:ext>
          </c:extLst>
        </c:ser>
        <c:ser>
          <c:idx val="10"/>
          <c:order val="10"/>
          <c:tx>
            <c:strRef>
              <c:f>'Služby-příspěvky k růstu-4'!$M$33</c:f>
              <c:strCache>
                <c:ptCount val="1"/>
                <c:pt idx="0">
                  <c:v>Tržby celkem (báze 2021=100, stálé ceny)</c:v>
                </c:pt>
              </c:strCache>
            </c:strRef>
          </c:tx>
          <c:spPr>
            <a:ln w="15875">
              <a:solidFill>
                <a:srgbClr val="8390A7"/>
              </a:solidFill>
            </a:ln>
          </c:spPr>
          <c:marker>
            <c:symbol val="none"/>
          </c:marker>
          <c:cat>
            <c:multiLvlStrRef>
              <c:f>'Služby-příspěvky k růstu-4'!$A$58:$B$91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'Služby-příspěvky k růstu-4'!$M$58:$M$91</c:f>
              <c:numCache>
                <c:formatCode>0.0</c:formatCode>
                <c:ptCount val="34"/>
                <c:pt idx="0">
                  <c:v>106.5943521733</c:v>
                </c:pt>
                <c:pt idx="1">
                  <c:v>105.18413051669999</c:v>
                </c:pt>
                <c:pt idx="2">
                  <c:v>105.3944372233</c:v>
                </c:pt>
                <c:pt idx="3">
                  <c:v>103.8500266467</c:v>
                </c:pt>
                <c:pt idx="4">
                  <c:v>104.6467169333</c:v>
                </c:pt>
                <c:pt idx="5">
                  <c:v>106.91058812999999</c:v>
                </c:pt>
                <c:pt idx="6">
                  <c:v>106.2934946667</c:v>
                </c:pt>
                <c:pt idx="7">
                  <c:v>106.28785271</c:v>
                </c:pt>
                <c:pt idx="8">
                  <c:v>100.71959776999999</c:v>
                </c:pt>
                <c:pt idx="9">
                  <c:v>86.421491253300005</c:v>
                </c:pt>
                <c:pt idx="10">
                  <c:v>94.121928769999997</c:v>
                </c:pt>
                <c:pt idx="11">
                  <c:v>92.153521023300002</c:v>
                </c:pt>
                <c:pt idx="12">
                  <c:v>92.740648539999995</c:v>
                </c:pt>
                <c:pt idx="13">
                  <c:v>97.8800528867</c:v>
                </c:pt>
                <c:pt idx="14">
                  <c:v>102.5844049167</c:v>
                </c:pt>
                <c:pt idx="15">
                  <c:v>104.42687285</c:v>
                </c:pt>
                <c:pt idx="16">
                  <c:v>106.2189452067</c:v>
                </c:pt>
                <c:pt idx="17">
                  <c:v>108.8155716</c:v>
                </c:pt>
                <c:pt idx="18">
                  <c:v>109.5388508967</c:v>
                </c:pt>
                <c:pt idx="19">
                  <c:v>108.89304945000001</c:v>
                </c:pt>
                <c:pt idx="20">
                  <c:v>107.8885427333</c:v>
                </c:pt>
                <c:pt idx="21">
                  <c:v>106.46775031999999</c:v>
                </c:pt>
                <c:pt idx="22">
                  <c:v>106.1475506267</c:v>
                </c:pt>
                <c:pt idx="23">
                  <c:v>106.7392156733</c:v>
                </c:pt>
                <c:pt idx="24">
                  <c:v>108.35193767</c:v>
                </c:pt>
                <c:pt idx="25">
                  <c:v>109.2186768067</c:v>
                </c:pt>
                <c:pt idx="26">
                  <c:v>109.6056793333</c:v>
                </c:pt>
                <c:pt idx="27">
                  <c:v>109.61361033</c:v>
                </c:pt>
                <c:pt idx="28">
                  <c:v>111.13975935329999</c:v>
                </c:pt>
                <c:pt idx="29">
                  <c:v>111.2172580733</c:v>
                </c:pt>
                <c:pt idx="30">
                  <c:v>110.88018393670001</c:v>
                </c:pt>
                <c:pt idx="31">
                  <c:v>112.1572545267</c:v>
                </c:pt>
                <c:pt idx="32">
                  <c:v>113.1134921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49A1-41F6-A1C8-8E999D5F45E9}"/>
            </c:ext>
          </c:extLst>
        </c:ser>
        <c:ser>
          <c:idx val="11"/>
          <c:order val="11"/>
          <c:tx>
            <c:strRef>
              <c:f>'Služby-příspěvky k růstu-4'!$N$33</c:f>
              <c:strCache>
                <c:ptCount val="1"/>
                <c:pt idx="0">
                  <c:v>Tržby celkem (báze 2021=100, běžné ceny)</c:v>
                </c:pt>
              </c:strCache>
            </c:strRef>
          </c:tx>
          <c:spPr>
            <a:ln w="15875">
              <a:solidFill>
                <a:srgbClr val="8390A7"/>
              </a:solidFill>
              <a:prstDash val="sysDash"/>
            </a:ln>
          </c:spPr>
          <c:marker>
            <c:symbol val="none"/>
          </c:marker>
          <c:cat>
            <c:multiLvlStrRef>
              <c:f>'Služby-příspěvky k růstu-4'!$A$58:$B$91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'Služby-příspěvky k růstu-4'!$N$58:$N$91</c:f>
              <c:numCache>
                <c:formatCode>0.0</c:formatCode>
                <c:ptCount val="34"/>
                <c:pt idx="0">
                  <c:v>99.270322656700003</c:v>
                </c:pt>
                <c:pt idx="1">
                  <c:v>98.680097553300001</c:v>
                </c:pt>
                <c:pt idx="2">
                  <c:v>99.536279973299997</c:v>
                </c:pt>
                <c:pt idx="3">
                  <c:v>98.766521846700002</c:v>
                </c:pt>
                <c:pt idx="4">
                  <c:v>99.799181393300003</c:v>
                </c:pt>
                <c:pt idx="5">
                  <c:v>103.21380694</c:v>
                </c:pt>
                <c:pt idx="6">
                  <c:v>102.8875462667</c:v>
                </c:pt>
                <c:pt idx="7">
                  <c:v>103.45525177330001</c:v>
                </c:pt>
                <c:pt idx="8">
                  <c:v>98.765138603300002</c:v>
                </c:pt>
                <c:pt idx="9">
                  <c:v>84.855234093299998</c:v>
                </c:pt>
                <c:pt idx="10">
                  <c:v>92.664253926699999</c:v>
                </c:pt>
                <c:pt idx="11">
                  <c:v>91.364765526699998</c:v>
                </c:pt>
                <c:pt idx="12">
                  <c:v>92.100712759999993</c:v>
                </c:pt>
                <c:pt idx="13">
                  <c:v>97.152732586699997</c:v>
                </c:pt>
                <c:pt idx="14">
                  <c:v>102.5042563367</c:v>
                </c:pt>
                <c:pt idx="15">
                  <c:v>105.9379654533</c:v>
                </c:pt>
                <c:pt idx="16">
                  <c:v>109.83746735</c:v>
                </c:pt>
                <c:pt idx="17">
                  <c:v>114.92070493670001</c:v>
                </c:pt>
                <c:pt idx="18">
                  <c:v>118.00738565</c:v>
                </c:pt>
                <c:pt idx="19">
                  <c:v>119.4579890433</c:v>
                </c:pt>
                <c:pt idx="20">
                  <c:v>120.6375130233</c:v>
                </c:pt>
                <c:pt idx="21">
                  <c:v>121.1482141067</c:v>
                </c:pt>
                <c:pt idx="22">
                  <c:v>121.9944762133</c:v>
                </c:pt>
                <c:pt idx="23">
                  <c:v>124.05491304</c:v>
                </c:pt>
                <c:pt idx="24">
                  <c:v>126.90995565</c:v>
                </c:pt>
                <c:pt idx="25">
                  <c:v>128.6869465867</c:v>
                </c:pt>
                <c:pt idx="26">
                  <c:v>130.2102109333</c:v>
                </c:pt>
                <c:pt idx="27">
                  <c:v>131.35944506000001</c:v>
                </c:pt>
                <c:pt idx="28">
                  <c:v>133.72001956669999</c:v>
                </c:pt>
                <c:pt idx="29">
                  <c:v>134.67161231669999</c:v>
                </c:pt>
                <c:pt idx="30">
                  <c:v>135.23724701329999</c:v>
                </c:pt>
                <c:pt idx="31">
                  <c:v>137.60716987999999</c:v>
                </c:pt>
                <c:pt idx="32">
                  <c:v>139.41946881000001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49A1-41F6-A1C8-8E999D5F45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18074639"/>
        <c:axId val="1118080463"/>
      </c:lineChart>
      <c:catAx>
        <c:axId val="112768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cs-CZ"/>
          </a:p>
        </c:txPr>
        <c:crossAx val="112769664"/>
        <c:crosses val="autoZero"/>
        <c:auto val="1"/>
        <c:lblAlgn val="ctr"/>
        <c:lblOffset val="0"/>
        <c:noMultiLvlLbl val="0"/>
      </c:catAx>
      <c:valAx>
        <c:axId val="112769664"/>
        <c:scaling>
          <c:orientation val="minMax"/>
          <c:max val="15"/>
          <c:min val="-30"/>
        </c:scaling>
        <c:delete val="0"/>
        <c:axPos val="l"/>
        <c:majorGridlines>
          <c:spPr>
            <a:ln>
              <a:solidFill>
                <a:srgbClr val="BEBEBE"/>
              </a:solidFill>
            </a:ln>
          </c:spPr>
        </c:majorGridlines>
        <c:title>
          <c:tx>
            <c:rich>
              <a:bodyPr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700" b="0" i="1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sz="700" b="0" i="1" u="none" strike="noStrike" kern="1200" baseline="0">
                    <a:solidFill>
                      <a:sysClr val="windowText" lastClr="000000"/>
                    </a:solidFill>
                    <a:latin typeface="Arial" pitchFamily="34" charset="0"/>
                  </a:rPr>
                  <a:t>Tržby (příspěvky k meziroční změně)</a:t>
                </a:r>
              </a:p>
            </c:rich>
          </c:tx>
          <c:overlay val="0"/>
        </c:title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cs-CZ"/>
          </a:p>
        </c:txPr>
        <c:crossAx val="112768128"/>
        <c:crosses val="autoZero"/>
        <c:crossBetween val="between"/>
        <c:majorUnit val="5"/>
      </c:valAx>
      <c:valAx>
        <c:axId val="1118080463"/>
        <c:scaling>
          <c:orientation val="minMax"/>
          <c:max val="150"/>
          <c:min val="-30"/>
        </c:scaling>
        <c:delete val="0"/>
        <c:axPos val="r"/>
        <c:title>
          <c:tx>
            <c:rich>
              <a:bodyPr/>
              <a:lstStyle/>
              <a:p>
                <a:pPr>
                  <a:defRPr sz="700" b="0" i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cs-CZ" sz="700" b="0" i="1" u="none" strike="noStrike" kern="1200" baseline="0">
                    <a:solidFill>
                      <a:sysClr val="windowText" lastClr="000000"/>
                    </a:solidFill>
                    <a:effectLst/>
                    <a:latin typeface="Arial" pitchFamily="34" charset="0"/>
                  </a:rPr>
                  <a:t>Tržby (báze 2021=100)</a:t>
                </a:r>
                <a:r>
                  <a:rPr lang="cs-CZ" sz="700" b="0" i="1" u="none" strike="noStrike" kern="1200" baseline="0">
                    <a:solidFill>
                      <a:sysClr val="windowText" lastClr="000000"/>
                    </a:solidFill>
                    <a:latin typeface="Arial" pitchFamily="34" charset="0"/>
                  </a:rPr>
                  <a:t>, saldo důvěry, bariéry růstu</a:t>
                </a:r>
              </a:p>
            </c:rich>
          </c:tx>
          <c:overlay val="0"/>
        </c:title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cs-CZ"/>
          </a:p>
        </c:txPr>
        <c:crossAx val="1118074639"/>
        <c:crosses val="max"/>
        <c:crossBetween val="between"/>
        <c:majorUnit val="20"/>
      </c:valAx>
      <c:catAx>
        <c:axId val="111807463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118080463"/>
        <c:crosses val="autoZero"/>
        <c:auto val="1"/>
        <c:lblAlgn val="ctr"/>
        <c:lblOffset val="100"/>
        <c:noMultiLvlLbl val="0"/>
      </c:catAx>
      <c:spPr>
        <a:noFill/>
        <a:ln w="6350">
          <a:solidFill>
            <a:prstClr val="black">
              <a:lumMod val="95000"/>
              <a:lumOff val="5000"/>
            </a:prstClr>
          </a:solidFill>
        </a:ln>
      </c:spPr>
    </c:plotArea>
    <c:legend>
      <c:legendPos val="r"/>
      <c:layout>
        <c:manualLayout>
          <c:xMode val="edge"/>
          <c:yMode val="edge"/>
          <c:x val="0"/>
          <c:y val="0.81977661598035723"/>
          <c:w val="0.99257862455218637"/>
          <c:h val="0.17302512701806255"/>
        </c:manualLayout>
      </c:layout>
      <c:overlay val="0"/>
      <c:spPr>
        <a:ln w="6350">
          <a:solidFill>
            <a:prstClr val="black">
              <a:lumMod val="95000"/>
              <a:lumOff val="5000"/>
            </a:prstClr>
          </a:solidFill>
        </a:ln>
      </c:spPr>
      <c:txPr>
        <a:bodyPr/>
        <a:lstStyle/>
        <a:p>
          <a:pPr>
            <a:defRPr sz="750">
              <a:latin typeface="Arial" pitchFamily="34" charset="0"/>
              <a:cs typeface="Arial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461666861125732E-2"/>
          <c:y val="1.5803328678987455E-2"/>
          <c:w val="0.85878628700879256"/>
          <c:h val="0.73108792562561253"/>
        </c:manualLayout>
      </c:layout>
      <c:barChart>
        <c:barDir val="col"/>
        <c:grouping val="stacked"/>
        <c:varyColors val="0"/>
        <c:ser>
          <c:idx val="0"/>
          <c:order val="1"/>
          <c:tx>
            <c:strRef>
              <c:f>'výkonnost odvětví 5a'!$E$66</c:f>
              <c:strCache>
                <c:ptCount val="1"/>
                <c:pt idx="0">
                  <c:v>Maloobchod s potravinami (příspěvek)</c:v>
                </c:pt>
              </c:strCache>
            </c:strRef>
          </c:tx>
          <c:spPr>
            <a:solidFill>
              <a:srgbClr val="85BF5E"/>
            </a:solidFill>
            <a:ln w="15875">
              <a:noFill/>
            </a:ln>
          </c:spPr>
          <c:invertIfNegative val="0"/>
          <c:cat>
            <c:multiLvlStrRef>
              <c:f>'výkonnost odvětví 5a'!$B$79:$C$112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'výkonnost odvětví 5a'!$E$79:$E$112</c:f>
              <c:numCache>
                <c:formatCode>#\ ##0.0</c:formatCode>
                <c:ptCount val="34"/>
                <c:pt idx="0">
                  <c:v>1.4408811390667347</c:v>
                </c:pt>
                <c:pt idx="1">
                  <c:v>0.56586951487910242</c:v>
                </c:pt>
                <c:pt idx="2">
                  <c:v>0.91859130788294596</c:v>
                </c:pt>
                <c:pt idx="3">
                  <c:v>0.39031471099013937</c:v>
                </c:pt>
                <c:pt idx="4">
                  <c:v>-0.26042517082700345</c:v>
                </c:pt>
                <c:pt idx="5">
                  <c:v>1.387192807046131</c:v>
                </c:pt>
                <c:pt idx="6">
                  <c:v>0.12221175641062032</c:v>
                </c:pt>
                <c:pt idx="7">
                  <c:v>1.4203949898468426</c:v>
                </c:pt>
                <c:pt idx="8">
                  <c:v>0.68045099807767828</c:v>
                </c:pt>
                <c:pt idx="9">
                  <c:v>-1.8622979821914807</c:v>
                </c:pt>
                <c:pt idx="10">
                  <c:v>-0.62992808617830609</c:v>
                </c:pt>
                <c:pt idx="11">
                  <c:v>-0.29233058819401747</c:v>
                </c:pt>
                <c:pt idx="12">
                  <c:v>-0.60769686821729352</c:v>
                </c:pt>
                <c:pt idx="13">
                  <c:v>0.49170877471155972</c:v>
                </c:pt>
                <c:pt idx="14">
                  <c:v>-0.28539611244131569</c:v>
                </c:pt>
                <c:pt idx="15">
                  <c:v>3.006770830669369E-3</c:v>
                </c:pt>
                <c:pt idx="16">
                  <c:v>-6.4054031421486135E-2</c:v>
                </c:pt>
                <c:pt idx="17">
                  <c:v>-1.0915887795133012</c:v>
                </c:pt>
                <c:pt idx="18">
                  <c:v>-2.2935943272571984</c:v>
                </c:pt>
                <c:pt idx="19">
                  <c:v>-3.2392932960497212</c:v>
                </c:pt>
                <c:pt idx="20">
                  <c:v>-3.1013186180404007</c:v>
                </c:pt>
                <c:pt idx="21">
                  <c:v>-2.8626328239780823</c:v>
                </c:pt>
                <c:pt idx="22">
                  <c:v>-1.6894594546081527</c:v>
                </c:pt>
                <c:pt idx="23">
                  <c:v>-0.73725236844254349</c:v>
                </c:pt>
                <c:pt idx="24">
                  <c:v>0.87015260896856561</c:v>
                </c:pt>
                <c:pt idx="25">
                  <c:v>1.1040567297124166</c:v>
                </c:pt>
                <c:pt idx="26">
                  <c:v>0.85641212782884235</c:v>
                </c:pt>
                <c:pt idx="27">
                  <c:v>0.64769597310850124</c:v>
                </c:pt>
                <c:pt idx="28">
                  <c:v>0.26045981275598823</c:v>
                </c:pt>
                <c:pt idx="29">
                  <c:v>0.45704457923463887</c:v>
                </c:pt>
                <c:pt idx="30">
                  <c:v>-0.20314643024319406</c:v>
                </c:pt>
                <c:pt idx="31">
                  <c:v>0.16066637131760522</c:v>
                </c:pt>
                <c:pt idx="32">
                  <c:v>0.86995434673357852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67-4383-855C-871A10757FD2}"/>
            </c:ext>
          </c:extLst>
        </c:ser>
        <c:ser>
          <c:idx val="1"/>
          <c:order val="2"/>
          <c:tx>
            <c:strRef>
              <c:f>'výkonnost odvětví 5a'!$F$66</c:f>
              <c:strCache>
                <c:ptCount val="1"/>
                <c:pt idx="0">
                  <c:v>Mal. s nepotravinářským zbož. (příspěvek)</c:v>
                </c:pt>
              </c:strCache>
            </c:strRef>
          </c:tx>
          <c:spPr>
            <a:solidFill>
              <a:srgbClr val="9FC9D7"/>
            </a:solidFill>
            <a:ln w="15875">
              <a:noFill/>
            </a:ln>
          </c:spPr>
          <c:invertIfNegative val="0"/>
          <c:cat>
            <c:multiLvlStrRef>
              <c:f>'výkonnost odvětví 5a'!$B$79:$C$112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'výkonnost odvětví 5a'!$F$79:$F$112</c:f>
              <c:numCache>
                <c:formatCode>#\ ##0.0</c:formatCode>
                <c:ptCount val="34"/>
                <c:pt idx="0">
                  <c:v>3.9514660526469991</c:v>
                </c:pt>
                <c:pt idx="1">
                  <c:v>3.3660973740063671</c:v>
                </c:pt>
                <c:pt idx="2">
                  <c:v>2.5766562177543419</c:v>
                </c:pt>
                <c:pt idx="3">
                  <c:v>3.7137432546421087</c:v>
                </c:pt>
                <c:pt idx="4">
                  <c:v>1.3164914821905218</c:v>
                </c:pt>
                <c:pt idx="5">
                  <c:v>2.4403334275714292</c:v>
                </c:pt>
                <c:pt idx="6">
                  <c:v>4.2880747845793561</c:v>
                </c:pt>
                <c:pt idx="7">
                  <c:v>5.6732186094086785</c:v>
                </c:pt>
                <c:pt idx="8">
                  <c:v>0.37453831110718883</c:v>
                </c:pt>
                <c:pt idx="9">
                  <c:v>-0.33252785160352938</c:v>
                </c:pt>
                <c:pt idx="10">
                  <c:v>1.4214288755441682</c:v>
                </c:pt>
                <c:pt idx="11">
                  <c:v>-1.845799940094685</c:v>
                </c:pt>
                <c:pt idx="12">
                  <c:v>-0.21356242547650908</c:v>
                </c:pt>
                <c:pt idx="13">
                  <c:v>5.577643977240327</c:v>
                </c:pt>
                <c:pt idx="14">
                  <c:v>3.6270357536881828</c:v>
                </c:pt>
                <c:pt idx="15">
                  <c:v>5.6721795982023924</c:v>
                </c:pt>
                <c:pt idx="16">
                  <c:v>5.9910639196838664</c:v>
                </c:pt>
                <c:pt idx="17">
                  <c:v>-0.95241668892719289</c:v>
                </c:pt>
                <c:pt idx="18">
                  <c:v>-3.9413052003260254</c:v>
                </c:pt>
                <c:pt idx="19">
                  <c:v>-5.6402417873897743</c:v>
                </c:pt>
                <c:pt idx="20">
                  <c:v>-4.7855458714432064</c:v>
                </c:pt>
                <c:pt idx="21">
                  <c:v>-4.4898313188351207</c:v>
                </c:pt>
                <c:pt idx="22">
                  <c:v>-2.4586179746956596</c:v>
                </c:pt>
                <c:pt idx="23">
                  <c:v>0.45139738981149957</c:v>
                </c:pt>
                <c:pt idx="24">
                  <c:v>2.7878275183909662</c:v>
                </c:pt>
                <c:pt idx="25">
                  <c:v>2.5933042462414169</c:v>
                </c:pt>
                <c:pt idx="26">
                  <c:v>3.367925755740381</c:v>
                </c:pt>
                <c:pt idx="27">
                  <c:v>3.5075664222605587</c:v>
                </c:pt>
                <c:pt idx="28">
                  <c:v>2.1110188526714562</c:v>
                </c:pt>
                <c:pt idx="29">
                  <c:v>2.8478121114710668</c:v>
                </c:pt>
                <c:pt idx="30">
                  <c:v>1.6082879727785928</c:v>
                </c:pt>
                <c:pt idx="31">
                  <c:v>2.1206156713235562</c:v>
                </c:pt>
                <c:pt idx="32">
                  <c:v>3.3480294546869889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67-4383-855C-871A10757FD2}"/>
            </c:ext>
          </c:extLst>
        </c:ser>
        <c:ser>
          <c:idx val="4"/>
          <c:order val="3"/>
          <c:tx>
            <c:strRef>
              <c:f>'výkonnost odvětví 5a'!$G$66</c:f>
              <c:strCache>
                <c:ptCount val="1"/>
                <c:pt idx="0">
                  <c:v>Maloobchodní prodej PHM (příspěvek)</c:v>
                </c:pt>
              </c:strCache>
            </c:strRef>
          </c:tx>
          <c:spPr>
            <a:solidFill>
              <a:srgbClr val="D8A7B7"/>
            </a:solidFill>
            <a:ln w="15875">
              <a:noFill/>
            </a:ln>
          </c:spPr>
          <c:invertIfNegative val="0"/>
          <c:cat>
            <c:multiLvlStrRef>
              <c:f>'výkonnost odvětví 5a'!$B$79:$C$112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'výkonnost odvětví 5a'!$G$79:$G$112</c:f>
              <c:numCache>
                <c:formatCode>#\ ##0.0</c:formatCode>
                <c:ptCount val="34"/>
                <c:pt idx="0">
                  <c:v>0.66498076739870349</c:v>
                </c:pt>
                <c:pt idx="1">
                  <c:v>0.5949365062021188</c:v>
                </c:pt>
                <c:pt idx="2">
                  <c:v>0.37393648150629555</c:v>
                </c:pt>
                <c:pt idx="3">
                  <c:v>0.43227375511872002</c:v>
                </c:pt>
                <c:pt idx="4">
                  <c:v>0.17780110877268776</c:v>
                </c:pt>
                <c:pt idx="5">
                  <c:v>0.36931457791630756</c:v>
                </c:pt>
                <c:pt idx="6">
                  <c:v>0.27034475786666656</c:v>
                </c:pt>
                <c:pt idx="7">
                  <c:v>0.19682777384424532</c:v>
                </c:pt>
                <c:pt idx="8">
                  <c:v>-0.61213507449246762</c:v>
                </c:pt>
                <c:pt idx="9">
                  <c:v>-1.9736438752214194</c:v>
                </c:pt>
                <c:pt idx="10">
                  <c:v>8.5192850240832507E-2</c:v>
                </c:pt>
                <c:pt idx="11">
                  <c:v>-1.0745172260826921</c:v>
                </c:pt>
                <c:pt idx="12">
                  <c:v>-0.81632826181989326</c:v>
                </c:pt>
                <c:pt idx="13">
                  <c:v>1.0660073538062087</c:v>
                </c:pt>
                <c:pt idx="14">
                  <c:v>0.37089422583500015</c:v>
                </c:pt>
                <c:pt idx="15">
                  <c:v>0.92286884110014478</c:v>
                </c:pt>
                <c:pt idx="16">
                  <c:v>1.2418355907452499</c:v>
                </c:pt>
                <c:pt idx="17">
                  <c:v>-0.71067617157295848</c:v>
                </c:pt>
                <c:pt idx="18">
                  <c:v>-1.4491764202659301</c:v>
                </c:pt>
                <c:pt idx="19">
                  <c:v>-0.42988176322896376</c:v>
                </c:pt>
                <c:pt idx="20">
                  <c:v>9.5335185057090183E-2</c:v>
                </c:pt>
                <c:pt idx="21">
                  <c:v>1.0495092372492323</c:v>
                </c:pt>
                <c:pt idx="22">
                  <c:v>1.0265925737816606</c:v>
                </c:pt>
                <c:pt idx="23">
                  <c:v>0.21046880409251661</c:v>
                </c:pt>
                <c:pt idx="24">
                  <c:v>0.60512378794561117</c:v>
                </c:pt>
                <c:pt idx="25">
                  <c:v>0.24838054190935949</c:v>
                </c:pt>
                <c:pt idx="26">
                  <c:v>0.43046143727357505</c:v>
                </c:pt>
                <c:pt idx="27">
                  <c:v>1.0777050654791054</c:v>
                </c:pt>
                <c:pt idx="28">
                  <c:v>0.84752800154271613</c:v>
                </c:pt>
                <c:pt idx="29">
                  <c:v>1.4339623822115801</c:v>
                </c:pt>
                <c:pt idx="30">
                  <c:v>1.1258750709183587</c:v>
                </c:pt>
                <c:pt idx="31">
                  <c:v>0.51093589061234479</c:v>
                </c:pt>
                <c:pt idx="32">
                  <c:v>0.78437795736707994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767-4383-855C-871A10757F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"/>
        <c:overlap val="100"/>
        <c:axId val="156100864"/>
        <c:axId val="156573696"/>
      </c:barChart>
      <c:lineChart>
        <c:grouping val="standard"/>
        <c:varyColors val="0"/>
        <c:ser>
          <c:idx val="3"/>
          <c:order val="0"/>
          <c:tx>
            <c:strRef>
              <c:f>'výkonnost odvětví 5a'!$D$66</c:f>
              <c:strCache>
                <c:ptCount val="1"/>
                <c:pt idx="0">
                  <c:v>Maloobchod celkem (meziroční růst)</c:v>
                </c:pt>
              </c:strCache>
            </c:strRef>
          </c:tx>
          <c:spPr>
            <a:ln>
              <a:noFill/>
            </a:ln>
          </c:spPr>
          <c:marker>
            <c:symbol val="dash"/>
            <c:size val="6"/>
            <c:spPr>
              <a:solidFill>
                <a:schemeClr val="tx1">
                  <a:lumMod val="85000"/>
                  <a:lumOff val="15000"/>
                </a:schemeClr>
              </a:solidFill>
              <a:ln w="6350">
                <a:solidFill>
                  <a:schemeClr val="tx1">
                    <a:lumMod val="95000"/>
                    <a:lumOff val="5000"/>
                  </a:schemeClr>
                </a:solidFill>
              </a:ln>
            </c:spPr>
          </c:marker>
          <c:cat>
            <c:multiLvlStrRef>
              <c:f>'výkonnost odvětví 5a'!$B$79:$C$112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'výkonnost odvětví 5a'!$D$79:$D$112</c:f>
              <c:numCache>
                <c:formatCode>#\ ##0.0</c:formatCode>
                <c:ptCount val="34"/>
                <c:pt idx="0">
                  <c:v>5.9180843605000035</c:v>
                </c:pt>
                <c:pt idx="1">
                  <c:v>4.4338705679000014</c:v>
                </c:pt>
                <c:pt idx="2">
                  <c:v>3.8240798302000059</c:v>
                </c:pt>
                <c:pt idx="3">
                  <c:v>4.3570988037999996</c:v>
                </c:pt>
                <c:pt idx="4">
                  <c:v>1.1507172347999983</c:v>
                </c:pt>
                <c:pt idx="5">
                  <c:v>4.1650200169000016</c:v>
                </c:pt>
                <c:pt idx="6">
                  <c:v>4.4978565960000054</c:v>
                </c:pt>
                <c:pt idx="7">
                  <c:v>7.2188301332000009</c:v>
                </c:pt>
                <c:pt idx="8">
                  <c:v>0.40058883060000028</c:v>
                </c:pt>
                <c:pt idx="9">
                  <c:v>-4.2822479934000057</c:v>
                </c:pt>
                <c:pt idx="10">
                  <c:v>0.836536897000002</c:v>
                </c:pt>
                <c:pt idx="11">
                  <c:v>-3.147863998899993</c:v>
                </c:pt>
                <c:pt idx="12">
                  <c:v>-1.6937357447999943</c:v>
                </c:pt>
                <c:pt idx="13">
                  <c:v>6.9667127884000024</c:v>
                </c:pt>
                <c:pt idx="14">
                  <c:v>3.5971150647000059</c:v>
                </c:pt>
                <c:pt idx="15">
                  <c:v>6.4987784610000006</c:v>
                </c:pt>
                <c:pt idx="16">
                  <c:v>6.7624047964000056</c:v>
                </c:pt>
                <c:pt idx="17">
                  <c:v>-2.7943996659000021</c:v>
                </c:pt>
                <c:pt idx="18">
                  <c:v>-7.6634682004000041</c:v>
                </c:pt>
                <c:pt idx="19">
                  <c:v>-9.3100791109000056</c:v>
                </c:pt>
                <c:pt idx="20">
                  <c:v>-7.773100527400004</c:v>
                </c:pt>
                <c:pt idx="21">
                  <c:v>-6.290240889100005</c:v>
                </c:pt>
                <c:pt idx="22">
                  <c:v>-3.1391891077000054</c:v>
                </c:pt>
                <c:pt idx="23">
                  <c:v>-0.13884680050000497</c:v>
                </c:pt>
                <c:pt idx="24">
                  <c:v>4.2596513396999995</c:v>
                </c:pt>
                <c:pt idx="25">
                  <c:v>3.9462928078000061</c:v>
                </c:pt>
                <c:pt idx="26">
                  <c:v>4.6544554216000051</c:v>
                </c:pt>
                <c:pt idx="27">
                  <c:v>5.2319625076000023</c:v>
                </c:pt>
                <c:pt idx="28">
                  <c:v>3.2180675838999946</c:v>
                </c:pt>
                <c:pt idx="29">
                  <c:v>4.7395078635999965</c:v>
                </c:pt>
                <c:pt idx="30">
                  <c:v>2.5306017859000036</c:v>
                </c:pt>
                <c:pt idx="31">
                  <c:v>2.793069142500002</c:v>
                </c:pt>
                <c:pt idx="32">
                  <c:v>5.0021641711999933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767-4383-855C-871A10757F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6100864"/>
        <c:axId val="156573696"/>
      </c:lineChart>
      <c:lineChart>
        <c:grouping val="standard"/>
        <c:varyColors val="0"/>
        <c:ser>
          <c:idx val="5"/>
          <c:order val="4"/>
          <c:tx>
            <c:strRef>
              <c:f>'výkonnost odvětví 5a'!$H$66</c:f>
              <c:strCache>
                <c:ptCount val="1"/>
                <c:pt idx="0">
                  <c:v>Maloobchod, bez motor. segm. (2021=100)</c:v>
                </c:pt>
              </c:strCache>
            </c:strRef>
          </c:tx>
          <c:spPr>
            <a:ln w="15875">
              <a:solidFill>
                <a:srgbClr val="8390A7"/>
              </a:solidFill>
              <a:prstDash val="solid"/>
            </a:ln>
          </c:spPr>
          <c:marker>
            <c:symbol val="none"/>
          </c:marker>
          <c:cat>
            <c:multiLvlStrRef>
              <c:f>'výkonnost odvětví 5a'!$B$79:$C$112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'výkonnost odvětví 5a'!$H$79:$H$112</c:f>
              <c:numCache>
                <c:formatCode>#\ ##0.0</c:formatCode>
                <c:ptCount val="34"/>
                <c:pt idx="0">
                  <c:v>93.00060388</c:v>
                </c:pt>
                <c:pt idx="1">
                  <c:v>93.180065510000006</c:v>
                </c:pt>
                <c:pt idx="2">
                  <c:v>93.466034969999995</c:v>
                </c:pt>
                <c:pt idx="3">
                  <c:v>93.443529976700006</c:v>
                </c:pt>
                <c:pt idx="4">
                  <c:v>94.9061846667</c:v>
                </c:pt>
                <c:pt idx="5">
                  <c:v>97.714283146699998</c:v>
                </c:pt>
                <c:pt idx="6">
                  <c:v>97.4024124667</c:v>
                </c:pt>
                <c:pt idx="7">
                  <c:v>98.790444260000001</c:v>
                </c:pt>
                <c:pt idx="8">
                  <c:v>95.462904703299998</c:v>
                </c:pt>
                <c:pt idx="9">
                  <c:v>94.180640983299995</c:v>
                </c:pt>
                <c:pt idx="10">
                  <c:v>98.312227893300005</c:v>
                </c:pt>
                <c:pt idx="11">
                  <c:v>95.2433243933</c:v>
                </c:pt>
                <c:pt idx="12">
                  <c:v>92.914514563300003</c:v>
                </c:pt>
                <c:pt idx="13">
                  <c:v>100.6417170333</c:v>
                </c:pt>
                <c:pt idx="14">
                  <c:v>102.1118824767</c:v>
                </c:pt>
                <c:pt idx="15">
                  <c:v>101.6142643333</c:v>
                </c:pt>
                <c:pt idx="16">
                  <c:v>99.509063956700004</c:v>
                </c:pt>
                <c:pt idx="17">
                  <c:v>97.736273006700003</c:v>
                </c:pt>
                <c:pt idx="18">
                  <c:v>94.932796396699999</c:v>
                </c:pt>
                <c:pt idx="19">
                  <c:v>92.889920593300005</c:v>
                </c:pt>
                <c:pt idx="20">
                  <c:v>91.560429873299995</c:v>
                </c:pt>
                <c:pt idx="21">
                  <c:v>91.290584736699998</c:v>
                </c:pt>
                <c:pt idx="22">
                  <c:v>91.911769019999994</c:v>
                </c:pt>
                <c:pt idx="23">
                  <c:v>92.840436280000006</c:v>
                </c:pt>
                <c:pt idx="24">
                  <c:v>94.931748626699999</c:v>
                </c:pt>
                <c:pt idx="25">
                  <c:v>95.124287499999994</c:v>
                </c:pt>
                <c:pt idx="26">
                  <c:v>96.615756633299995</c:v>
                </c:pt>
                <c:pt idx="27">
                  <c:v>97.488218119999999</c:v>
                </c:pt>
                <c:pt idx="28">
                  <c:v>97.730272273300002</c:v>
                </c:pt>
                <c:pt idx="29">
                  <c:v>99.440080456700002</c:v>
                </c:pt>
                <c:pt idx="30">
                  <c:v>99.391830153300006</c:v>
                </c:pt>
                <c:pt idx="31">
                  <c:v>100.37956835</c:v>
                </c:pt>
                <c:pt idx="32">
                  <c:v>102.0453752067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767-4383-855C-871A10757FD2}"/>
            </c:ext>
          </c:extLst>
        </c:ser>
        <c:ser>
          <c:idx val="2"/>
          <c:order val="5"/>
          <c:tx>
            <c:strRef>
              <c:f>'výkonnost odvětví 5a'!$I$66</c:f>
              <c:strCache>
                <c:ptCount val="1"/>
                <c:pt idx="0">
                  <c:v>z toho: maloobchod.prodej PHM (2021=100)</c:v>
                </c:pt>
              </c:strCache>
            </c:strRef>
          </c:tx>
          <c:spPr>
            <a:ln w="15875">
              <a:solidFill>
                <a:srgbClr val="8390A7"/>
              </a:solidFill>
              <a:prstDash val="sysDash"/>
            </a:ln>
          </c:spPr>
          <c:marker>
            <c:symbol val="none"/>
          </c:marker>
          <c:cat>
            <c:multiLvlStrRef>
              <c:f>'výkonnost odvětví 5a'!$B$79:$C$112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'výkonnost odvětví 5a'!$I$79:$I$112</c:f>
              <c:numCache>
                <c:formatCode>#\ ##0.0</c:formatCode>
                <c:ptCount val="34"/>
                <c:pt idx="0">
                  <c:v>101.84621694330001</c:v>
                </c:pt>
                <c:pt idx="1">
                  <c:v>102.26597986</c:v>
                </c:pt>
                <c:pt idx="2">
                  <c:v>101.82584908</c:v>
                </c:pt>
                <c:pt idx="3">
                  <c:v>101.7161366</c:v>
                </c:pt>
                <c:pt idx="4">
                  <c:v>105.33320152669999</c:v>
                </c:pt>
                <c:pt idx="5">
                  <c:v>106.8745536667</c:v>
                </c:pt>
                <c:pt idx="6">
                  <c:v>102.3076605733</c:v>
                </c:pt>
                <c:pt idx="7">
                  <c:v>102.47872723330001</c:v>
                </c:pt>
                <c:pt idx="8">
                  <c:v>102.4278461</c:v>
                </c:pt>
                <c:pt idx="9">
                  <c:v>89.424229656700007</c:v>
                </c:pt>
                <c:pt idx="10">
                  <c:v>98.604605936699997</c:v>
                </c:pt>
                <c:pt idx="11">
                  <c:v>92.299073946700005</c:v>
                </c:pt>
                <c:pt idx="12">
                  <c:v>96.093313656700005</c:v>
                </c:pt>
                <c:pt idx="13">
                  <c:v>100.92514939</c:v>
                </c:pt>
                <c:pt idx="14">
                  <c:v>102.1340725533</c:v>
                </c:pt>
                <c:pt idx="15">
                  <c:v>100.04029336000001</c:v>
                </c:pt>
                <c:pt idx="16">
                  <c:v>100.5062170433</c:v>
                </c:pt>
                <c:pt idx="17">
                  <c:v>95.874182070000003</c:v>
                </c:pt>
                <c:pt idx="18">
                  <c:v>95.192900753299995</c:v>
                </c:pt>
                <c:pt idx="19">
                  <c:v>97.969825193299997</c:v>
                </c:pt>
                <c:pt idx="20">
                  <c:v>98.909879889999999</c:v>
                </c:pt>
                <c:pt idx="21">
                  <c:v>101.9580762267</c:v>
                </c:pt>
                <c:pt idx="22">
                  <c:v>102.91149539</c:v>
                </c:pt>
                <c:pt idx="23">
                  <c:v>101.79080562670001</c:v>
                </c:pt>
                <c:pt idx="24">
                  <c:v>104.37071512999999</c:v>
                </c:pt>
                <c:pt idx="25">
                  <c:v>104.5368332133</c:v>
                </c:pt>
                <c:pt idx="26">
                  <c:v>107.00193197670001</c:v>
                </c:pt>
                <c:pt idx="27">
                  <c:v>110.9982811167</c:v>
                </c:pt>
                <c:pt idx="28">
                  <c:v>111.75702217</c:v>
                </c:pt>
                <c:pt idx="29">
                  <c:v>115.8521402667</c:v>
                </c:pt>
                <c:pt idx="30">
                  <c:v>116.2733389367</c:v>
                </c:pt>
                <c:pt idx="31">
                  <c:v>116.5528971233</c:v>
                </c:pt>
                <c:pt idx="32">
                  <c:v>117.75609137329999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767-4383-855C-871A10757FD2}"/>
            </c:ext>
          </c:extLst>
        </c:ser>
        <c:ser>
          <c:idx val="6"/>
          <c:order val="6"/>
          <c:tx>
            <c:strRef>
              <c:f>'výkonnost odvětví 5a'!$J$66</c:f>
              <c:strCache>
                <c:ptCount val="1"/>
                <c:pt idx="0">
                  <c:v>Obchod a opravy motor. vozidel (2021=100)</c:v>
                </c:pt>
              </c:strCache>
            </c:strRef>
          </c:tx>
          <c:spPr>
            <a:ln w="15875">
              <a:solidFill>
                <a:srgbClr val="B8BBC0"/>
              </a:solidFill>
              <a:prstDash val="lgDash"/>
            </a:ln>
          </c:spPr>
          <c:marker>
            <c:symbol val="none"/>
          </c:marker>
          <c:cat>
            <c:multiLvlStrRef>
              <c:f>'výkonnost odvětví 5a'!$B$79:$C$112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'výkonnost odvětví 5a'!$J$79:$J$112</c:f>
              <c:numCache>
                <c:formatCode>#\ ##0.0</c:formatCode>
                <c:ptCount val="34"/>
                <c:pt idx="0">
                  <c:v>108.82251635670001</c:v>
                </c:pt>
                <c:pt idx="1">
                  <c:v>108.5589416633</c:v>
                </c:pt>
                <c:pt idx="2">
                  <c:v>108.4297535533</c:v>
                </c:pt>
                <c:pt idx="3">
                  <c:v>106.8586683767</c:v>
                </c:pt>
                <c:pt idx="4">
                  <c:v>108.79305033999999</c:v>
                </c:pt>
                <c:pt idx="5">
                  <c:v>109.2669854267</c:v>
                </c:pt>
                <c:pt idx="6">
                  <c:v>107.42212271</c:v>
                </c:pt>
                <c:pt idx="7">
                  <c:v>107.20196076000001</c:v>
                </c:pt>
                <c:pt idx="8">
                  <c:v>94.998715326699994</c:v>
                </c:pt>
                <c:pt idx="9">
                  <c:v>78.881855509999994</c:v>
                </c:pt>
                <c:pt idx="10">
                  <c:v>99.514476250000001</c:v>
                </c:pt>
                <c:pt idx="11">
                  <c:v>99.432766406699997</c:v>
                </c:pt>
                <c:pt idx="12">
                  <c:v>101.4079016667</c:v>
                </c:pt>
                <c:pt idx="13">
                  <c:v>101.23098229670001</c:v>
                </c:pt>
                <c:pt idx="14">
                  <c:v>98.613416076700005</c:v>
                </c:pt>
                <c:pt idx="15">
                  <c:v>97.365188753300004</c:v>
                </c:pt>
                <c:pt idx="16">
                  <c:v>96.571530376699997</c:v>
                </c:pt>
                <c:pt idx="17">
                  <c:v>95.545376543299994</c:v>
                </c:pt>
                <c:pt idx="18">
                  <c:v>95.563527106699993</c:v>
                </c:pt>
                <c:pt idx="19">
                  <c:v>96.055945493300001</c:v>
                </c:pt>
                <c:pt idx="20">
                  <c:v>98.763402790000001</c:v>
                </c:pt>
                <c:pt idx="21">
                  <c:v>99.544050409999997</c:v>
                </c:pt>
                <c:pt idx="22">
                  <c:v>100.94676234329999</c:v>
                </c:pt>
                <c:pt idx="23">
                  <c:v>101.49562862329999</c:v>
                </c:pt>
                <c:pt idx="24">
                  <c:v>101.23454028330001</c:v>
                </c:pt>
                <c:pt idx="25">
                  <c:v>101.00084613</c:v>
                </c:pt>
                <c:pt idx="26">
                  <c:v>100.46055807330001</c:v>
                </c:pt>
                <c:pt idx="27">
                  <c:v>101.80373956</c:v>
                </c:pt>
                <c:pt idx="28">
                  <c:v>102.8892603333</c:v>
                </c:pt>
                <c:pt idx="29">
                  <c:v>102.86490786669999</c:v>
                </c:pt>
                <c:pt idx="30">
                  <c:v>104.21126036</c:v>
                </c:pt>
                <c:pt idx="31">
                  <c:v>104.29790539</c:v>
                </c:pt>
                <c:pt idx="32">
                  <c:v>104.84879974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1767-4383-855C-871A10757FD2}"/>
            </c:ext>
          </c:extLst>
        </c:ser>
        <c:ser>
          <c:idx val="7"/>
          <c:order val="7"/>
          <c:tx>
            <c:strRef>
              <c:f>'výkonnost odvětví 5a'!$K$66</c:f>
              <c:strCache>
                <c:ptCount val="1"/>
              </c:strCache>
            </c:strRef>
          </c:tx>
          <c:spPr>
            <a:ln w="3175">
              <a:noFill/>
              <a:prstDash val="sysDash"/>
            </a:ln>
          </c:spPr>
          <c:marker>
            <c:symbol val="none"/>
          </c:marker>
          <c:cat>
            <c:multiLvlStrRef>
              <c:f>'výkonnost odvětví 5a'!$B$79:$C$112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'výkonnost odvětví 5a'!$K$79:$K$112</c:f>
              <c:numCache>
                <c:formatCode>#\ ##0.0</c:formatCode>
                <c:ptCount val="34"/>
                <c:pt idx="0">
                  <c:v>-0.13924359861243329</c:v>
                </c:pt>
                <c:pt idx="1">
                  <c:v>-9.3032827187586653E-2</c:v>
                </c:pt>
                <c:pt idx="2">
                  <c:v>-4.5104176943577601E-2</c:v>
                </c:pt>
                <c:pt idx="3">
                  <c:v>-0.17923291695096844</c:v>
                </c:pt>
                <c:pt idx="4">
                  <c:v>-8.315018533620791E-2</c:v>
                </c:pt>
                <c:pt idx="5">
                  <c:v>-3.182079563386625E-2</c:v>
                </c:pt>
                <c:pt idx="6">
                  <c:v>-0.18277470285663766</c:v>
                </c:pt>
                <c:pt idx="7">
                  <c:v>-7.1611239899765589E-2</c:v>
                </c:pt>
                <c:pt idx="8">
                  <c:v>-4.2265404092399206E-2</c:v>
                </c:pt>
                <c:pt idx="9">
                  <c:v>-0.11377828438357618</c:v>
                </c:pt>
                <c:pt idx="10">
                  <c:v>-4.0156742606692608E-2</c:v>
                </c:pt>
                <c:pt idx="11">
                  <c:v>6.4783755471401694E-2</c:v>
                </c:pt>
                <c:pt idx="12">
                  <c:v>-5.6148189286298611E-2</c:v>
                </c:pt>
                <c:pt idx="13">
                  <c:v>-0.16864731735809313</c:v>
                </c:pt>
                <c:pt idx="14">
                  <c:v>-0.11541880238186125</c:v>
                </c:pt>
                <c:pt idx="15">
                  <c:v>-9.9276749133206166E-2</c:v>
                </c:pt>
                <c:pt idx="16">
                  <c:v>-0.40644068260762434</c:v>
                </c:pt>
                <c:pt idx="17">
                  <c:v>-3.9718025886549491E-2</c:v>
                </c:pt>
                <c:pt idx="18">
                  <c:v>2.0607747449149283E-2</c:v>
                </c:pt>
                <c:pt idx="19">
                  <c:v>-6.6226423154591707E-4</c:v>
                </c:pt>
                <c:pt idx="20">
                  <c:v>1.8428777026512438E-2</c:v>
                </c:pt>
                <c:pt idx="21">
                  <c:v>1.2714016463965638E-2</c:v>
                </c:pt>
                <c:pt idx="22">
                  <c:v>-1.7704252177853652E-2</c:v>
                </c:pt>
                <c:pt idx="23">
                  <c:v>-6.3460625961477668E-2</c:v>
                </c:pt>
                <c:pt idx="24">
                  <c:v>-3.4525756051432266E-3</c:v>
                </c:pt>
                <c:pt idx="25">
                  <c:v>5.5128993681313743E-4</c:v>
                </c:pt>
                <c:pt idx="26">
                  <c:v>-3.4389924279326634E-4</c:v>
                </c:pt>
                <c:pt idx="27">
                  <c:v>-1.0049532481628543E-3</c:v>
                </c:pt>
                <c:pt idx="28">
                  <c:v>-9.3908307016599135E-4</c:v>
                </c:pt>
                <c:pt idx="29">
                  <c:v>6.8879068271088251E-4</c:v>
                </c:pt>
                <c:pt idx="30">
                  <c:v>-4.1482755375366054E-4</c:v>
                </c:pt>
                <c:pt idx="31">
                  <c:v>8.512092464959542E-4</c:v>
                </c:pt>
                <c:pt idx="32">
                  <c:v>-1.9758758765409112E-4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1767-4383-855C-871A10757FD2}"/>
            </c:ext>
          </c:extLst>
        </c:ser>
        <c:ser>
          <c:idx val="8"/>
          <c:order val="8"/>
          <c:tx>
            <c:strRef>
              <c:f>'výkonnost odvětví 5a'!$L$66</c:f>
              <c:strCache>
                <c:ptCount val="1"/>
                <c:pt idx="0">
                  <c:v>Saldo indikátoru důvěry spotřebitelů</c:v>
                </c:pt>
              </c:strCache>
            </c:strRef>
          </c:tx>
          <c:spPr>
            <a:ln w="12700">
              <a:noFill/>
              <a:prstDash val="sysDot"/>
            </a:ln>
          </c:spPr>
          <c:marker>
            <c:symbol val="circle"/>
            <c:size val="5"/>
            <c:spPr>
              <a:solidFill>
                <a:srgbClr val="E6C45B"/>
              </a:solidFill>
              <a:ln>
                <a:solidFill>
                  <a:srgbClr val="E6C45B"/>
                </a:solidFill>
              </a:ln>
            </c:spPr>
          </c:marker>
          <c:cat>
            <c:multiLvlStrRef>
              <c:f>'výkonnost odvětví 5a'!$B$79:$C$112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'výkonnost odvětví 5a'!$L$79:$L$112</c:f>
              <c:numCache>
                <c:formatCode>0.0</c:formatCode>
                <c:ptCount val="34"/>
                <c:pt idx="0">
                  <c:v>3.75</c:v>
                </c:pt>
                <c:pt idx="1">
                  <c:v>6</c:v>
                </c:pt>
                <c:pt idx="2">
                  <c:v>4</c:v>
                </c:pt>
                <c:pt idx="3">
                  <c:v>1</c:v>
                </c:pt>
                <c:pt idx="4">
                  <c:v>3.25</c:v>
                </c:pt>
                <c:pt idx="5">
                  <c:v>0</c:v>
                </c:pt>
                <c:pt idx="6">
                  <c:v>2.25</c:v>
                </c:pt>
                <c:pt idx="7">
                  <c:v>-0.5</c:v>
                </c:pt>
                <c:pt idx="8">
                  <c:v>-1.75</c:v>
                </c:pt>
                <c:pt idx="9">
                  <c:v>-9.25</c:v>
                </c:pt>
                <c:pt idx="10">
                  <c:v>-8.75</c:v>
                </c:pt>
                <c:pt idx="11">
                  <c:v>-18.5</c:v>
                </c:pt>
                <c:pt idx="12">
                  <c:v>-16.25</c:v>
                </c:pt>
                <c:pt idx="13">
                  <c:v>-6.75</c:v>
                </c:pt>
                <c:pt idx="14">
                  <c:v>-4.5</c:v>
                </c:pt>
                <c:pt idx="15">
                  <c:v>-17</c:v>
                </c:pt>
                <c:pt idx="16">
                  <c:v>-16.5</c:v>
                </c:pt>
                <c:pt idx="17">
                  <c:v>-31</c:v>
                </c:pt>
                <c:pt idx="18">
                  <c:v>-29.8</c:v>
                </c:pt>
                <c:pt idx="19">
                  <c:v>-30.8</c:v>
                </c:pt>
                <c:pt idx="20">
                  <c:v>-21</c:v>
                </c:pt>
                <c:pt idx="21">
                  <c:v>-20.3</c:v>
                </c:pt>
                <c:pt idx="22">
                  <c:v>-18</c:v>
                </c:pt>
                <c:pt idx="23">
                  <c:v>-18.3</c:v>
                </c:pt>
                <c:pt idx="24">
                  <c:v>-15.8</c:v>
                </c:pt>
                <c:pt idx="25">
                  <c:v>-9</c:v>
                </c:pt>
                <c:pt idx="26">
                  <c:v>-12.8</c:v>
                </c:pt>
                <c:pt idx="27">
                  <c:v>-9</c:v>
                </c:pt>
                <c:pt idx="28">
                  <c:v>-13.5</c:v>
                </c:pt>
                <c:pt idx="29">
                  <c:v>-9.8000000000000007</c:v>
                </c:pt>
                <c:pt idx="30">
                  <c:v>-11.3</c:v>
                </c:pt>
                <c:pt idx="31">
                  <c:v>0</c:v>
                </c:pt>
                <c:pt idx="32">
                  <c:v>-3.5</c:v>
                </c:pt>
                <c:pt idx="33">
                  <c:v>-7.3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1767-4383-855C-871A10757FD2}"/>
            </c:ext>
          </c:extLst>
        </c:ser>
        <c:ser>
          <c:idx val="9"/>
          <c:order val="9"/>
          <c:tx>
            <c:strRef>
              <c:f>'výkonnost odvětví 5a'!$M$66</c:f>
              <c:strCache>
                <c:ptCount val="1"/>
                <c:pt idx="0">
                  <c:v>Saldo indikátoru důvěry obchodníků</c:v>
                </c:pt>
              </c:strCache>
            </c:strRef>
          </c:tx>
          <c:spPr>
            <a:ln w="6350">
              <a:solidFill>
                <a:schemeClr val="bg1">
                  <a:lumMod val="65000"/>
                </a:schemeClr>
              </a:solidFill>
              <a:prstDash val="sysDash"/>
            </a:ln>
          </c:spPr>
          <c:marker>
            <c:symbol val="triangle"/>
            <c:size val="5"/>
            <c:spPr>
              <a:solidFill>
                <a:schemeClr val="bg1"/>
              </a:solidFill>
              <a:ln>
                <a:solidFill>
                  <a:schemeClr val="bg1">
                    <a:lumMod val="50000"/>
                  </a:schemeClr>
                </a:solidFill>
              </a:ln>
            </c:spPr>
          </c:marker>
          <c:cat>
            <c:multiLvlStrRef>
              <c:f>'výkonnost odvětví 5a'!$B$79:$C$112</c:f>
              <c:multiLvlStrCache>
                <c:ptCount val="34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  <c:pt idx="21">
                    <c:v>2</c:v>
                  </c:pt>
                  <c:pt idx="22">
                    <c:v>3</c:v>
                  </c:pt>
                  <c:pt idx="23">
                    <c:v>4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1</c:v>
                  </c:pt>
                  <c:pt idx="29">
                    <c:v>2</c:v>
                  </c:pt>
                  <c:pt idx="30">
                    <c:v>3</c:v>
                  </c:pt>
                  <c:pt idx="31">
                    <c:v>4</c:v>
                  </c:pt>
                  <c:pt idx="32">
                    <c:v>1</c:v>
                  </c:pt>
                  <c:pt idx="33">
                    <c:v>2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  <c:pt idx="8">
                    <c:v>2020</c:v>
                  </c:pt>
                  <c:pt idx="12">
                    <c:v>2021</c:v>
                  </c:pt>
                  <c:pt idx="16">
                    <c:v>2022</c:v>
                  </c:pt>
                  <c:pt idx="20">
                    <c:v>2023</c:v>
                  </c:pt>
                  <c:pt idx="24">
                    <c:v>2024</c:v>
                  </c:pt>
                  <c:pt idx="28">
                    <c:v>2025</c:v>
                  </c:pt>
                  <c:pt idx="32">
                    <c:v>2026</c:v>
                  </c:pt>
                </c:lvl>
              </c:multiLvlStrCache>
            </c:multiLvlStrRef>
          </c:cat>
          <c:val>
            <c:numRef>
              <c:f>'výkonnost odvětví 5a'!$M$79:$M$112</c:f>
              <c:numCache>
                <c:formatCode>0.0</c:formatCode>
                <c:ptCount val="34"/>
                <c:pt idx="0">
                  <c:v>23.3</c:v>
                </c:pt>
                <c:pt idx="1">
                  <c:v>17.3</c:v>
                </c:pt>
                <c:pt idx="2">
                  <c:v>15.6</c:v>
                </c:pt>
                <c:pt idx="3">
                  <c:v>15</c:v>
                </c:pt>
                <c:pt idx="4">
                  <c:v>12.7</c:v>
                </c:pt>
                <c:pt idx="5">
                  <c:v>12.3</c:v>
                </c:pt>
                <c:pt idx="6">
                  <c:v>14.7</c:v>
                </c:pt>
                <c:pt idx="7">
                  <c:v>14.7</c:v>
                </c:pt>
                <c:pt idx="8">
                  <c:v>18.7</c:v>
                </c:pt>
                <c:pt idx="9">
                  <c:v>-1</c:v>
                </c:pt>
                <c:pt idx="10">
                  <c:v>12</c:v>
                </c:pt>
                <c:pt idx="11">
                  <c:v>7</c:v>
                </c:pt>
                <c:pt idx="12">
                  <c:v>1.3</c:v>
                </c:pt>
                <c:pt idx="13">
                  <c:v>15</c:v>
                </c:pt>
                <c:pt idx="14">
                  <c:v>18.3</c:v>
                </c:pt>
                <c:pt idx="15">
                  <c:v>21.3</c:v>
                </c:pt>
                <c:pt idx="16">
                  <c:v>19.7</c:v>
                </c:pt>
                <c:pt idx="17">
                  <c:v>19.600000000000001</c:v>
                </c:pt>
                <c:pt idx="18">
                  <c:v>10.3</c:v>
                </c:pt>
                <c:pt idx="19">
                  <c:v>14.7</c:v>
                </c:pt>
                <c:pt idx="20">
                  <c:v>9.3000000000000007</c:v>
                </c:pt>
                <c:pt idx="21">
                  <c:v>13.3</c:v>
                </c:pt>
                <c:pt idx="22">
                  <c:v>5.7</c:v>
                </c:pt>
                <c:pt idx="23">
                  <c:v>3.3</c:v>
                </c:pt>
                <c:pt idx="24">
                  <c:v>1.7</c:v>
                </c:pt>
                <c:pt idx="25">
                  <c:v>11.3</c:v>
                </c:pt>
                <c:pt idx="26">
                  <c:v>9.3000000000000007</c:v>
                </c:pt>
                <c:pt idx="27">
                  <c:v>11.3</c:v>
                </c:pt>
                <c:pt idx="28">
                  <c:v>15</c:v>
                </c:pt>
                <c:pt idx="29">
                  <c:v>13.3</c:v>
                </c:pt>
                <c:pt idx="30">
                  <c:v>13.3</c:v>
                </c:pt>
                <c:pt idx="31">
                  <c:v>11.7</c:v>
                </c:pt>
                <c:pt idx="32">
                  <c:v>11.3</c:v>
                </c:pt>
                <c:pt idx="33">
                  <c:v>6.7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1767-4383-855C-871A10757F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75570767"/>
        <c:axId val="1875563695"/>
      </c:lineChart>
      <c:catAx>
        <c:axId val="156100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/>
            </a:pPr>
            <a:endParaRPr lang="cs-CZ"/>
          </a:p>
        </c:txPr>
        <c:crossAx val="156573696"/>
        <c:crosses val="autoZero"/>
        <c:auto val="1"/>
        <c:lblAlgn val="ctr"/>
        <c:lblOffset val="0"/>
        <c:noMultiLvlLbl val="0"/>
      </c:catAx>
      <c:valAx>
        <c:axId val="156573696"/>
        <c:scaling>
          <c:orientation val="minMax"/>
          <c:max val="12"/>
          <c:min val="-1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750" b="0" i="1"/>
                </a:pPr>
                <a:r>
                  <a:rPr lang="cs-CZ" sz="750" b="0" i="1"/>
                  <a:t>Tržby</a:t>
                </a:r>
                <a:r>
                  <a:rPr lang="cs-CZ" sz="750" b="0" i="1" baseline="0"/>
                  <a:t> (příspěvky k meziroč. změně)</a:t>
                </a:r>
                <a:endParaRPr lang="cs-CZ" sz="750" b="0" i="1"/>
              </a:p>
            </c:rich>
          </c:tx>
          <c:layout>
            <c:manualLayout>
              <c:xMode val="edge"/>
              <c:yMode val="edge"/>
              <c:x val="2.6086947381477195E-3"/>
              <c:y val="0.16393316671713359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56100864"/>
        <c:crosses val="autoZero"/>
        <c:crossBetween val="between"/>
        <c:majorUnit val="2"/>
      </c:valAx>
      <c:valAx>
        <c:axId val="1875563695"/>
        <c:scaling>
          <c:orientation val="minMax"/>
          <c:max val="125"/>
          <c:min val="-40"/>
        </c:scaling>
        <c:delete val="0"/>
        <c:axPos val="r"/>
        <c:title>
          <c:tx>
            <c:rich>
              <a:bodyPr/>
              <a:lstStyle/>
              <a:p>
                <a:pPr>
                  <a:defRPr sz="750" b="0" i="1"/>
                </a:pPr>
                <a:r>
                  <a:rPr lang="cs-CZ" sz="750" b="0" i="1">
                    <a:latin typeface="Arial" panose="020B0604020202020204" pitchFamily="34" charset="0"/>
                    <a:cs typeface="Arial" panose="020B0604020202020204" pitchFamily="34" charset="0"/>
                  </a:rPr>
                  <a:t>Tržby</a:t>
                </a:r>
                <a:r>
                  <a:rPr lang="cs-CZ" sz="750" b="0" i="1" baseline="0">
                    <a:latin typeface="Arial" panose="020B0604020202020204" pitchFamily="34" charset="0"/>
                    <a:cs typeface="Arial" panose="020B0604020202020204" pitchFamily="34" charset="0"/>
                  </a:rPr>
                  <a:t> (rok 2021=100), </a:t>
                </a:r>
                <a:r>
                  <a:rPr lang="cs-CZ" sz="750" b="0" i="1" u="none" strike="noStrike" baseline="0">
                    <a:effectLst/>
                    <a:latin typeface="Arial" panose="020B0604020202020204" pitchFamily="34" charset="0"/>
                    <a:cs typeface="Arial" panose="020B0604020202020204" pitchFamily="34" charset="0"/>
                  </a:rPr>
                  <a:t>saldo důvěry</a:t>
                </a:r>
                <a:endParaRPr lang="cs-CZ" sz="750" b="0" i="1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0.96896265019335537"/>
              <c:y val="0.174339711750961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875570767"/>
        <c:crosses val="max"/>
        <c:crossBetween val="between"/>
        <c:majorUnit val="15"/>
      </c:valAx>
      <c:catAx>
        <c:axId val="1875570767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875563695"/>
        <c:crosses val="autoZero"/>
        <c:auto val="1"/>
        <c:lblAlgn val="ctr"/>
        <c:lblOffset val="100"/>
        <c:noMultiLvlLbl val="0"/>
      </c:catAx>
      <c:spPr>
        <a:ln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2.468684205823891E-3"/>
          <c:y val="0.83019315530312354"/>
          <c:w val="0.98989464522781667"/>
          <c:h val="0.16278392037883976"/>
        </c:manualLayout>
      </c:layout>
      <c:overlay val="0"/>
      <c:spPr>
        <a:ln w="6350">
          <a:solidFill>
            <a:schemeClr val="tx1"/>
          </a:solidFill>
        </a:ln>
      </c:spPr>
      <c:txPr>
        <a:bodyPr/>
        <a:lstStyle/>
        <a:p>
          <a:pPr>
            <a:defRPr sz="750"/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500" baseline="0">
          <a:latin typeface="Arial" pitchFamily="34" charset="0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3CEA5EB905EA4A80C471566B3EA34E" ma:contentTypeVersion="4" ma:contentTypeDescription="Vytvoří nový dokument" ma:contentTypeScope="" ma:versionID="665595f58a29ebd0fb50f52fd1a3fb16">
  <xsd:schema xmlns:xsd="http://www.w3.org/2001/XMLSchema" xmlns:xs="http://www.w3.org/2001/XMLSchema" xmlns:p="http://schemas.microsoft.com/office/2006/metadata/properties" xmlns:ns2="7af72279-59da-4f02-a702-8316938752d7" targetNamespace="http://schemas.microsoft.com/office/2006/metadata/properties" ma:root="true" ma:fieldsID="8b23c26673a00a9a43ab51476a2e445e" ns2:_="">
    <xsd:import namespace="7af72279-59da-4f02-a702-831693875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2279-59da-4f02-a702-831693875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CC6C72-FE0A-4006-8736-F1547CB67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72279-59da-4f02-a702-831693875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08513-78FC-4939-82F8-E0A4971F10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7681AD-41B0-431A-9D34-CF6700A12F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A8A1E1-1E99-4B4F-B9B5-70567730AA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13</Pages>
  <Words>5605</Words>
  <Characters>33076</Characters>
  <Application>Microsoft Office Word</Application>
  <DocSecurity>0</DocSecurity>
  <Lines>275</Lines>
  <Paragraphs>77</Paragraphs>
  <ScaleCrop>false</ScaleCrop>
  <Company>CSU</Company>
  <LinksUpToDate>false</LinksUpToDate>
  <CharactersWithSpaces>38604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Jana</dc:creator>
  <cp:keywords/>
  <cp:lastModifiedBy>Zábojníková Karolína</cp:lastModifiedBy>
  <cp:revision>25</cp:revision>
  <cp:lastPrinted>2014-07-17T14:07:00Z</cp:lastPrinted>
  <dcterms:created xsi:type="dcterms:W3CDTF">2026-06-16T07:48:00Z</dcterms:created>
  <dcterms:modified xsi:type="dcterms:W3CDTF">2026-06-16T10:09:00Z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0x010100A83CEA5EB905EA4A80C471566B3EA34E</vt:lpwstr>
  </property>
  <property fmtid="{D5CDD505-2E9C-101B-9397-08002B2CF9AE}" pid="3" name="Názevformuláře">
    <vt:lpwstr>Publikace CZ barevné - vícetematické analýzy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2018-04-17T07:00:00Z</vt:filetime>
  </property>
  <property fmtid="{D5CDD505-2E9C-101B-9397-08002B2CF9AE}" pid="8" name="Označení">
    <vt:lpwstr>Form_c444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