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5A021" w14:textId="4F597B5E" w:rsidR="00D27F07" w:rsidRPr="00DD6E6B" w:rsidRDefault="00D27F07" w:rsidP="00D27F07">
      <w:pPr>
        <w:pStyle w:val="Nadpis11"/>
        <w:rPr>
          <w:lang w:val="en-GB"/>
        </w:rPr>
      </w:pPr>
      <w:bookmarkStart w:id="0" w:name="_Toc137233026"/>
      <w:bookmarkStart w:id="1" w:name="_Toc148437386"/>
      <w:bookmarkStart w:id="2" w:name="_Toc130286019"/>
      <w:bookmarkStart w:id="3" w:name="_Toc114134050"/>
      <w:bookmarkStart w:id="4" w:name="_Toc121993822"/>
      <w:r w:rsidRPr="00DD6E6B">
        <w:rPr>
          <w:szCs w:val="32"/>
          <w:lang w:val="en-GB"/>
        </w:rPr>
        <w:t>3</w:t>
      </w:r>
      <w:r w:rsidRPr="00DD6E6B">
        <w:rPr>
          <w:lang w:val="en-GB"/>
        </w:rPr>
        <w:t>. </w:t>
      </w:r>
      <w:r w:rsidR="00A07316" w:rsidRPr="00DD6E6B">
        <w:rPr>
          <w:lang w:val="en-GB"/>
        </w:rPr>
        <w:t>Branches Performance</w:t>
      </w:r>
      <w:bookmarkEnd w:id="0"/>
      <w:bookmarkEnd w:id="1"/>
    </w:p>
    <w:p w14:paraId="158CD607" w14:textId="77777777" w:rsidR="00D27F07" w:rsidRPr="00DD6E6B" w:rsidRDefault="00D27F07" w:rsidP="00D27F07">
      <w:pPr>
        <w:pStyle w:val="Nadpis11"/>
        <w:rPr>
          <w:b w:val="0"/>
          <w:sz w:val="2"/>
          <w:szCs w:val="2"/>
          <w:highlight w:val="yellow"/>
          <w:lang w:val="en-GB"/>
        </w:rPr>
      </w:pPr>
    </w:p>
    <w:p w14:paraId="56FB7B52" w14:textId="77777777" w:rsidR="00D27F07" w:rsidRPr="00DD6E6B" w:rsidRDefault="00D27F07" w:rsidP="00D27F07">
      <w:pPr>
        <w:pStyle w:val="Nadpis11"/>
        <w:rPr>
          <w:b w:val="0"/>
          <w:sz w:val="2"/>
          <w:szCs w:val="2"/>
          <w:highlight w:val="yellow"/>
          <w:lang w:val="en-GB"/>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78"/>
        <w:gridCol w:w="194"/>
        <w:gridCol w:w="7767"/>
      </w:tblGrid>
      <w:tr w:rsidR="00D27F07" w:rsidRPr="00DD6E6B" w14:paraId="1FDBEA80" w14:textId="77777777" w:rsidTr="00D80129">
        <w:trPr>
          <w:trHeight w:val="145"/>
        </w:trPr>
        <w:tc>
          <w:tcPr>
            <w:tcW w:w="1678" w:type="dxa"/>
            <w:tcBorders>
              <w:top w:val="nil"/>
              <w:left w:val="nil"/>
              <w:bottom w:val="nil"/>
              <w:right w:val="nil"/>
            </w:tcBorders>
            <w:shd w:val="clear" w:color="auto" w:fill="auto"/>
            <w:tcMar>
              <w:left w:w="0" w:type="dxa"/>
            </w:tcMar>
          </w:tcPr>
          <w:p w14:paraId="08B6DC26" w14:textId="6363E773" w:rsidR="00D27F07" w:rsidRPr="00DD6E6B" w:rsidRDefault="00A07316" w:rsidP="00D42399">
            <w:pPr>
              <w:pStyle w:val="Marginlie"/>
              <w:rPr>
                <w:color w:val="0D0D0D" w:themeColor="text1" w:themeTint="F2"/>
                <w:spacing w:val="-5"/>
                <w:lang w:val="en-GB"/>
              </w:rPr>
            </w:pPr>
            <w:r w:rsidRPr="00DD6E6B">
              <w:rPr>
                <w:color w:val="0D0D0D" w:themeColor="text1" w:themeTint="F2"/>
                <w:spacing w:val="-5"/>
                <w:lang w:val="en-GB"/>
              </w:rPr>
              <w:t xml:space="preserve">Manufacturing </w:t>
            </w:r>
            <w:r w:rsidR="002658BF">
              <w:rPr>
                <w:color w:val="0D0D0D" w:themeColor="text1" w:themeTint="F2"/>
                <w:spacing w:val="-5"/>
                <w:lang w:val="en-GB"/>
              </w:rPr>
              <w:t>was a key factor of</w:t>
            </w:r>
            <w:r w:rsidRPr="00DD6E6B">
              <w:rPr>
                <w:color w:val="0D0D0D" w:themeColor="text1" w:themeTint="F2"/>
                <w:spacing w:val="-5"/>
                <w:lang w:val="en-GB"/>
              </w:rPr>
              <w:t xml:space="preserve"> the year-on-year growth of GVA</w:t>
            </w:r>
            <w:r w:rsidR="002658BF">
              <w:rPr>
                <w:color w:val="0D0D0D" w:themeColor="text1" w:themeTint="F2"/>
                <w:spacing w:val="-5"/>
                <w:lang w:val="en-GB"/>
              </w:rPr>
              <w:t xml:space="preserve"> in economy</w:t>
            </w:r>
            <w:r w:rsidRPr="00DD6E6B">
              <w:rPr>
                <w:color w:val="0D0D0D" w:themeColor="text1" w:themeTint="F2"/>
                <w:spacing w:val="-5"/>
                <w:lang w:val="en-GB"/>
              </w:rPr>
              <w:t xml:space="preserve">. </w:t>
            </w:r>
          </w:p>
        </w:tc>
        <w:tc>
          <w:tcPr>
            <w:tcW w:w="194" w:type="dxa"/>
            <w:tcBorders>
              <w:top w:val="nil"/>
              <w:left w:val="nil"/>
              <w:bottom w:val="nil"/>
              <w:right w:val="nil"/>
            </w:tcBorders>
            <w:shd w:val="clear" w:color="auto" w:fill="auto"/>
            <w:tcMar>
              <w:left w:w="0" w:type="dxa"/>
            </w:tcMar>
          </w:tcPr>
          <w:p w14:paraId="6A284BBC"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26EE5266" w14:textId="310B9FA6" w:rsidR="00D27F07" w:rsidRPr="00DD6E6B" w:rsidRDefault="00EE2674" w:rsidP="00D42399">
            <w:pPr>
              <w:rPr>
                <w:spacing w:val="-4"/>
                <w:lang w:val="en-GB"/>
              </w:rPr>
            </w:pPr>
            <w:r w:rsidRPr="00DD6E6B">
              <w:rPr>
                <w:color w:val="0D0D0D" w:themeColor="text1" w:themeTint="F2"/>
                <w:spacing w:val="-4"/>
                <w:lang w:val="en-GB"/>
              </w:rPr>
              <w:t>Performance of the domestic econom</w:t>
            </w:r>
            <w:r w:rsidR="0013645A" w:rsidRPr="00DD6E6B">
              <w:rPr>
                <w:color w:val="0D0D0D" w:themeColor="text1" w:themeTint="F2"/>
                <w:spacing w:val="-4"/>
                <w:lang w:val="en-GB"/>
              </w:rPr>
              <w:t>y</w:t>
            </w:r>
            <w:r w:rsidRPr="00DD6E6B">
              <w:rPr>
                <w:color w:val="0D0D0D" w:themeColor="text1" w:themeTint="F2"/>
                <w:spacing w:val="-4"/>
                <w:lang w:val="en-GB"/>
              </w:rPr>
              <w:t xml:space="preserve"> still teetered on the brink of recession</w:t>
            </w:r>
            <w:r w:rsidR="00D27F07" w:rsidRPr="00DD6E6B">
              <w:rPr>
                <w:rStyle w:val="Znakapoznpodarou"/>
                <w:color w:val="0D0D0D" w:themeColor="text1" w:themeTint="F2"/>
                <w:spacing w:val="-4"/>
                <w:lang w:val="en-GB"/>
              </w:rPr>
              <w:footnoteReference w:id="1"/>
            </w:r>
            <w:r w:rsidR="00D27F07" w:rsidRPr="00DD6E6B">
              <w:rPr>
                <w:color w:val="0D0D0D" w:themeColor="text1" w:themeTint="F2"/>
                <w:spacing w:val="-4"/>
                <w:lang w:val="en-GB"/>
              </w:rPr>
              <w:t xml:space="preserve">. </w:t>
            </w:r>
            <w:r w:rsidR="00A96026" w:rsidRPr="00DD6E6B">
              <w:rPr>
                <w:color w:val="0D0D0D" w:themeColor="text1" w:themeTint="F2"/>
                <w:spacing w:val="-4"/>
                <w:lang w:val="en-GB"/>
              </w:rPr>
              <w:t>While the total gross value added (GVA)</w:t>
            </w:r>
            <w:r w:rsidR="00320D58" w:rsidRPr="00DD6E6B">
              <w:rPr>
                <w:rStyle w:val="Znakapoznpodarou"/>
                <w:spacing w:val="-4"/>
                <w:lang w:val="en-GB"/>
              </w:rPr>
              <w:footnoteReference w:id="2"/>
            </w:r>
            <w:r w:rsidR="00320D58" w:rsidRPr="00DD6E6B">
              <w:rPr>
                <w:color w:val="0D0D0D" w:themeColor="text1" w:themeTint="F2"/>
                <w:spacing w:val="-4"/>
                <w:lang w:val="en-GB"/>
              </w:rPr>
              <w:t xml:space="preserve"> </w:t>
            </w:r>
            <w:r w:rsidR="009122D0" w:rsidRPr="00DD6E6B">
              <w:rPr>
                <w:color w:val="0D0D0D" w:themeColor="text1" w:themeTint="F2"/>
                <w:spacing w:val="-4"/>
                <w:lang w:val="en-GB"/>
              </w:rPr>
              <w:t xml:space="preserve">increased by </w:t>
            </w:r>
            <w:r w:rsidR="00D27F07" w:rsidRPr="00DD6E6B">
              <w:rPr>
                <w:spacing w:val="-4"/>
                <w:lang w:val="en-GB"/>
              </w:rPr>
              <w:t>0</w:t>
            </w:r>
            <w:r w:rsidR="009122D0" w:rsidRPr="00DD6E6B">
              <w:rPr>
                <w:spacing w:val="-4"/>
                <w:lang w:val="en-GB"/>
              </w:rPr>
              <w:t>.</w:t>
            </w:r>
            <w:r w:rsidR="00D27F07" w:rsidRPr="00DD6E6B">
              <w:rPr>
                <w:spacing w:val="-4"/>
                <w:lang w:val="en-GB"/>
              </w:rPr>
              <w:t>5%</w:t>
            </w:r>
            <w:r w:rsidR="009122D0" w:rsidRPr="00DD6E6B">
              <w:rPr>
                <w:spacing w:val="-4"/>
                <w:lang w:val="en-GB"/>
              </w:rPr>
              <w:t xml:space="preserve"> quarter-on-quarter at the beginning of this year </w:t>
            </w:r>
            <w:r w:rsidR="00D27F07" w:rsidRPr="00DD6E6B">
              <w:rPr>
                <w:spacing w:val="-4"/>
                <w:lang w:val="en-GB"/>
              </w:rPr>
              <w:t>(</w:t>
            </w:r>
            <w:r w:rsidR="009122D0" w:rsidRPr="00DD6E6B">
              <w:rPr>
                <w:spacing w:val="-4"/>
                <w:lang w:val="en-GB"/>
              </w:rPr>
              <w:t>and thus grew swifter compared to any of the last year</w:t>
            </w:r>
            <w:r w:rsidR="004775F8" w:rsidRPr="00DD6E6B">
              <w:rPr>
                <w:spacing w:val="-4"/>
                <w:lang w:val="en-GB"/>
              </w:rPr>
              <w:t>’</w:t>
            </w:r>
            <w:r w:rsidR="009122D0" w:rsidRPr="00DD6E6B">
              <w:rPr>
                <w:spacing w:val="-4"/>
                <w:lang w:val="en-GB"/>
              </w:rPr>
              <w:t>s quarters</w:t>
            </w:r>
            <w:r w:rsidR="00D27F07" w:rsidRPr="00DD6E6B">
              <w:rPr>
                <w:spacing w:val="-4"/>
                <w:lang w:val="en-GB"/>
              </w:rPr>
              <w:t xml:space="preserve">), </w:t>
            </w:r>
            <w:r w:rsidR="004775F8" w:rsidRPr="00DD6E6B">
              <w:rPr>
                <w:spacing w:val="-4"/>
                <w:lang w:val="en-GB"/>
              </w:rPr>
              <w:t xml:space="preserve">it declined by </w:t>
            </w:r>
            <w:r w:rsidR="00D27F07" w:rsidRPr="00DD6E6B">
              <w:rPr>
                <w:color w:val="0D0D0D" w:themeColor="text1" w:themeTint="F2"/>
                <w:spacing w:val="-4"/>
                <w:lang w:val="en-GB"/>
              </w:rPr>
              <w:t>0</w:t>
            </w:r>
            <w:r w:rsidR="004775F8" w:rsidRPr="00DD6E6B">
              <w:rPr>
                <w:color w:val="0D0D0D" w:themeColor="text1" w:themeTint="F2"/>
                <w:spacing w:val="-4"/>
                <w:lang w:val="en-GB"/>
              </w:rPr>
              <w:t>.</w:t>
            </w:r>
            <w:r w:rsidR="00D27F07" w:rsidRPr="00DD6E6B">
              <w:rPr>
                <w:color w:val="0D0D0D" w:themeColor="text1" w:themeTint="F2"/>
                <w:spacing w:val="-4"/>
                <w:lang w:val="en-GB"/>
              </w:rPr>
              <w:t>2%</w:t>
            </w:r>
            <w:r w:rsidR="004775F8" w:rsidRPr="00DD6E6B">
              <w:rPr>
                <w:color w:val="0D0D0D" w:themeColor="text1" w:themeTint="F2"/>
                <w:spacing w:val="-4"/>
                <w:lang w:val="en-GB"/>
              </w:rPr>
              <w:t xml:space="preserve"> in Q2</w:t>
            </w:r>
            <w:r w:rsidR="00D27F07" w:rsidRPr="00DD6E6B">
              <w:rPr>
                <w:color w:val="0D0D0D" w:themeColor="text1" w:themeTint="F2"/>
                <w:spacing w:val="-4"/>
                <w:lang w:val="en-GB"/>
              </w:rPr>
              <w:t xml:space="preserve">. </w:t>
            </w:r>
            <w:r w:rsidR="00542795" w:rsidRPr="00DD6E6B">
              <w:rPr>
                <w:color w:val="0D0D0D" w:themeColor="text1" w:themeTint="F2"/>
                <w:spacing w:val="-4"/>
                <w:lang w:val="en-GB"/>
              </w:rPr>
              <w:t>Weight-signif</w:t>
            </w:r>
            <w:r w:rsidR="006C6272" w:rsidRPr="00DD6E6B">
              <w:rPr>
                <w:color w:val="0D0D0D" w:themeColor="text1" w:themeTint="F2"/>
                <w:spacing w:val="-4"/>
                <w:lang w:val="en-GB"/>
              </w:rPr>
              <w:t>i</w:t>
            </w:r>
            <w:r w:rsidR="00013C4C" w:rsidRPr="00DD6E6B">
              <w:rPr>
                <w:color w:val="0D0D0D" w:themeColor="text1" w:themeTint="F2"/>
                <w:spacing w:val="-4"/>
                <w:lang w:val="en-GB"/>
              </w:rPr>
              <w:t xml:space="preserve">cant branches of services (incl. public) </w:t>
            </w:r>
            <w:r w:rsidR="00AA28CE" w:rsidRPr="00DD6E6B">
              <w:rPr>
                <w:color w:val="0D0D0D" w:themeColor="text1" w:themeTint="F2"/>
                <w:spacing w:val="-4"/>
                <w:lang w:val="en-GB"/>
              </w:rPr>
              <w:t xml:space="preserve">mostly participated on this </w:t>
            </w:r>
            <w:r w:rsidR="008140E8" w:rsidRPr="00DD6E6B">
              <w:rPr>
                <w:color w:val="0D0D0D" w:themeColor="text1" w:themeTint="F2"/>
                <w:spacing w:val="-4"/>
                <w:lang w:val="en-GB"/>
              </w:rPr>
              <w:t>slowdown</w:t>
            </w:r>
            <w:r w:rsidR="00D27F07" w:rsidRPr="00DD6E6B">
              <w:rPr>
                <w:color w:val="0D0D0D" w:themeColor="text1" w:themeTint="F2"/>
                <w:spacing w:val="-4"/>
                <w:lang w:val="en-GB"/>
              </w:rPr>
              <w:t xml:space="preserve">, </w:t>
            </w:r>
            <w:r w:rsidR="00357940" w:rsidRPr="00DD6E6B">
              <w:rPr>
                <w:color w:val="0D0D0D" w:themeColor="text1" w:themeTint="F2"/>
                <w:spacing w:val="-4"/>
                <w:lang w:val="en-GB"/>
              </w:rPr>
              <w:t xml:space="preserve">easing of performance in otherwise long-term dynamic branch of information and communication </w:t>
            </w:r>
            <w:r w:rsidR="003A4E88" w:rsidRPr="00DD6E6B">
              <w:rPr>
                <w:color w:val="0D0D0D" w:themeColor="text1" w:themeTint="F2"/>
                <w:spacing w:val="-4"/>
                <w:lang w:val="en-GB"/>
              </w:rPr>
              <w:t xml:space="preserve">also </w:t>
            </w:r>
            <w:r w:rsidR="009F5554" w:rsidRPr="00DD6E6B">
              <w:rPr>
                <w:color w:val="0D0D0D" w:themeColor="text1" w:themeTint="F2"/>
                <w:spacing w:val="-4"/>
                <w:lang w:val="en-GB"/>
              </w:rPr>
              <w:t>played a role here</w:t>
            </w:r>
            <w:r w:rsidR="00D27F07" w:rsidRPr="00DD6E6B">
              <w:rPr>
                <w:color w:val="0D0D0D" w:themeColor="text1" w:themeTint="F2"/>
                <w:spacing w:val="-4"/>
                <w:lang w:val="en-GB"/>
              </w:rPr>
              <w:t xml:space="preserve">. </w:t>
            </w:r>
            <w:r w:rsidR="001E1CD5" w:rsidRPr="00DD6E6B">
              <w:rPr>
                <w:color w:val="0D0D0D" w:themeColor="text1" w:themeTint="F2"/>
                <w:spacing w:val="-4"/>
                <w:lang w:val="en-GB"/>
              </w:rPr>
              <w:t xml:space="preserve">The </w:t>
            </w:r>
            <w:r w:rsidR="002658BF">
              <w:rPr>
                <w:color w:val="0D0D0D" w:themeColor="text1" w:themeTint="F2"/>
                <w:spacing w:val="-4"/>
                <w:lang w:val="en-GB"/>
              </w:rPr>
              <w:t xml:space="preserve">total </w:t>
            </w:r>
            <w:r w:rsidR="001E1CD5" w:rsidRPr="00DD6E6B">
              <w:rPr>
                <w:color w:val="0D0D0D" w:themeColor="text1" w:themeTint="F2"/>
                <w:spacing w:val="-4"/>
                <w:lang w:val="en-GB"/>
              </w:rPr>
              <w:t xml:space="preserve">GVA </w:t>
            </w:r>
            <w:r w:rsidR="00482047" w:rsidRPr="00DD6E6B">
              <w:rPr>
                <w:color w:val="0D0D0D" w:themeColor="text1" w:themeTint="F2"/>
                <w:spacing w:val="-4"/>
                <w:lang w:val="en-GB"/>
              </w:rPr>
              <w:t xml:space="preserve">grew by </w:t>
            </w:r>
            <w:r w:rsidR="00D27F07" w:rsidRPr="00DD6E6B">
              <w:rPr>
                <w:color w:val="0D0D0D" w:themeColor="text1" w:themeTint="F2"/>
                <w:spacing w:val="-4"/>
                <w:lang w:val="en-GB"/>
              </w:rPr>
              <w:t>0</w:t>
            </w:r>
            <w:r w:rsidR="00482047" w:rsidRPr="00DD6E6B">
              <w:rPr>
                <w:color w:val="0D0D0D" w:themeColor="text1" w:themeTint="F2"/>
                <w:spacing w:val="-4"/>
                <w:lang w:val="en-GB"/>
              </w:rPr>
              <w:t>.</w:t>
            </w:r>
            <w:r w:rsidR="00D27F07" w:rsidRPr="00DD6E6B">
              <w:rPr>
                <w:color w:val="0D0D0D" w:themeColor="text1" w:themeTint="F2"/>
                <w:spacing w:val="-4"/>
                <w:lang w:val="en-GB"/>
              </w:rPr>
              <w:t>8%</w:t>
            </w:r>
            <w:r w:rsidR="00482047" w:rsidRPr="00DD6E6B">
              <w:rPr>
                <w:color w:val="0D0D0D" w:themeColor="text1" w:themeTint="F2"/>
                <w:spacing w:val="-4"/>
                <w:lang w:val="en-GB"/>
              </w:rPr>
              <w:t xml:space="preserve"> year-on-year for the whole H1 2023</w:t>
            </w:r>
            <w:r w:rsidR="00D27F07" w:rsidRPr="00DD6E6B">
              <w:rPr>
                <w:color w:val="0D0D0D" w:themeColor="text1" w:themeTint="F2"/>
                <w:spacing w:val="-4"/>
                <w:lang w:val="en-GB"/>
              </w:rPr>
              <w:t xml:space="preserve">. </w:t>
            </w:r>
            <w:r w:rsidR="009F13D3" w:rsidRPr="00DD6E6B">
              <w:rPr>
                <w:color w:val="0D0D0D" w:themeColor="text1" w:themeTint="F2"/>
                <w:spacing w:val="-4"/>
                <w:lang w:val="en-GB"/>
              </w:rPr>
              <w:t xml:space="preserve">Manufacturing, whose performance strengthened by </w:t>
            </w:r>
            <w:r w:rsidR="00D27F07" w:rsidRPr="00DD6E6B">
              <w:rPr>
                <w:color w:val="0D0D0D" w:themeColor="text1" w:themeTint="F2"/>
                <w:spacing w:val="-6"/>
                <w:lang w:val="en-GB"/>
              </w:rPr>
              <w:t>3</w:t>
            </w:r>
            <w:r w:rsidR="009F13D3" w:rsidRPr="00DD6E6B">
              <w:rPr>
                <w:color w:val="0D0D0D" w:themeColor="text1" w:themeTint="F2"/>
                <w:spacing w:val="-6"/>
                <w:lang w:val="en-GB"/>
              </w:rPr>
              <w:t>.</w:t>
            </w:r>
            <w:r w:rsidR="00D27F07" w:rsidRPr="00DD6E6B">
              <w:rPr>
                <w:color w:val="0D0D0D" w:themeColor="text1" w:themeTint="F2"/>
                <w:spacing w:val="-6"/>
                <w:lang w:val="en-GB"/>
              </w:rPr>
              <w:t>8% a</w:t>
            </w:r>
            <w:r w:rsidR="009F13D3" w:rsidRPr="00DD6E6B">
              <w:rPr>
                <w:color w:val="0D0D0D" w:themeColor="text1" w:themeTint="F2"/>
                <w:spacing w:val="-6"/>
                <w:lang w:val="en-GB"/>
              </w:rPr>
              <w:t>nd contributed</w:t>
            </w:r>
            <w:r w:rsidR="00717127" w:rsidRPr="00DD6E6B">
              <w:rPr>
                <w:color w:val="0D0D0D" w:themeColor="text1" w:themeTint="F2"/>
                <w:spacing w:val="-6"/>
                <w:lang w:val="en-GB"/>
              </w:rPr>
              <w:t xml:space="preserve"> </w:t>
            </w:r>
            <w:r w:rsidR="002658BF">
              <w:rPr>
                <w:color w:val="0D0D0D" w:themeColor="text1" w:themeTint="F2"/>
                <w:spacing w:val="-6"/>
                <w:lang w:val="en-GB"/>
              </w:rPr>
              <w:t>+</w:t>
            </w:r>
            <w:r w:rsidR="00D27F07" w:rsidRPr="00DD6E6B">
              <w:rPr>
                <w:color w:val="0D0D0D" w:themeColor="text1" w:themeTint="F2"/>
                <w:spacing w:val="-6"/>
                <w:lang w:val="en-GB"/>
              </w:rPr>
              <w:t>0</w:t>
            </w:r>
            <w:r w:rsidR="009F13D3" w:rsidRPr="00DD6E6B">
              <w:rPr>
                <w:color w:val="0D0D0D" w:themeColor="text1" w:themeTint="F2"/>
                <w:spacing w:val="-6"/>
                <w:lang w:val="en-GB"/>
              </w:rPr>
              <w:t>.</w:t>
            </w:r>
            <w:r w:rsidR="00D27F07" w:rsidRPr="00DD6E6B">
              <w:rPr>
                <w:color w:val="0D0D0D" w:themeColor="text1" w:themeTint="F2"/>
                <w:spacing w:val="-6"/>
                <w:lang w:val="en-GB"/>
              </w:rPr>
              <w:t>9 p.</w:t>
            </w:r>
            <w:r w:rsidR="0013645A" w:rsidRPr="00DD6E6B">
              <w:rPr>
                <w:color w:val="0D0D0D" w:themeColor="text1" w:themeTint="F2"/>
                <w:spacing w:val="-6"/>
                <w:lang w:val="en-GB"/>
              </w:rPr>
              <w:t xml:space="preserve"> </w:t>
            </w:r>
            <w:r w:rsidR="009F13D3" w:rsidRPr="00DD6E6B">
              <w:rPr>
                <w:color w:val="0D0D0D" w:themeColor="text1" w:themeTint="F2"/>
                <w:spacing w:val="-6"/>
                <w:lang w:val="en-GB"/>
              </w:rPr>
              <w:t>p</w:t>
            </w:r>
            <w:r w:rsidR="00D27F07" w:rsidRPr="00DD6E6B">
              <w:rPr>
                <w:color w:val="0D0D0D" w:themeColor="text1" w:themeTint="F2"/>
                <w:spacing w:val="-6"/>
                <w:lang w:val="en-GB"/>
              </w:rPr>
              <w:t>.</w:t>
            </w:r>
            <w:r w:rsidR="009F13D3" w:rsidRPr="00DD6E6B">
              <w:rPr>
                <w:color w:val="0D0D0D" w:themeColor="text1" w:themeTint="F2"/>
                <w:spacing w:val="-6"/>
                <w:lang w:val="en-GB"/>
              </w:rPr>
              <w:t xml:space="preserve"> to the total GVA</w:t>
            </w:r>
            <w:r w:rsidR="00717127" w:rsidRPr="00DD6E6B">
              <w:rPr>
                <w:color w:val="0D0D0D" w:themeColor="text1" w:themeTint="F2"/>
                <w:spacing w:val="-6"/>
                <w:lang w:val="en-GB"/>
              </w:rPr>
              <w:t>,</w:t>
            </w:r>
            <w:r w:rsidR="009F13D3" w:rsidRPr="00DD6E6B">
              <w:rPr>
                <w:color w:val="0D0D0D" w:themeColor="text1" w:themeTint="F2"/>
                <w:spacing w:val="-6"/>
                <w:lang w:val="en-GB"/>
              </w:rPr>
              <w:t xml:space="preserve"> had a significant impact here. </w:t>
            </w:r>
            <w:r w:rsidR="00A9383D" w:rsidRPr="00DD6E6B">
              <w:rPr>
                <w:color w:val="0D0D0D" w:themeColor="text1" w:themeTint="F2"/>
                <w:spacing w:val="-6"/>
                <w:lang w:val="en-GB"/>
              </w:rPr>
              <w:t xml:space="preserve">Mainly mining and </w:t>
            </w:r>
            <w:r w:rsidR="00FF4E3F" w:rsidRPr="00DD6E6B">
              <w:rPr>
                <w:color w:val="0D0D0D" w:themeColor="text1" w:themeTint="F2"/>
                <w:spacing w:val="-6"/>
                <w:lang w:val="en-GB"/>
              </w:rPr>
              <w:t xml:space="preserve">energetics </w:t>
            </w:r>
            <w:r w:rsidR="00D27F07" w:rsidRPr="00DD6E6B">
              <w:rPr>
                <w:color w:val="0D0D0D" w:themeColor="text1" w:themeTint="F2"/>
                <w:spacing w:val="-6"/>
                <w:lang w:val="en-GB"/>
              </w:rPr>
              <w:t>(−0</w:t>
            </w:r>
            <w:r w:rsidR="00FF4E3F" w:rsidRPr="00DD6E6B">
              <w:rPr>
                <w:color w:val="0D0D0D" w:themeColor="text1" w:themeTint="F2"/>
                <w:spacing w:val="-6"/>
                <w:lang w:val="en-GB"/>
              </w:rPr>
              <w:t>.</w:t>
            </w:r>
            <w:r w:rsidR="00D27F07" w:rsidRPr="00DD6E6B">
              <w:rPr>
                <w:color w:val="0D0D0D" w:themeColor="text1" w:themeTint="F2"/>
                <w:spacing w:val="-6"/>
                <w:lang w:val="en-GB"/>
              </w:rPr>
              <w:t>4 p.</w:t>
            </w:r>
            <w:r w:rsidR="00FF4E3F" w:rsidRPr="00DD6E6B">
              <w:rPr>
                <w:color w:val="0D0D0D" w:themeColor="text1" w:themeTint="F2"/>
                <w:spacing w:val="-6"/>
                <w:lang w:val="en-GB"/>
              </w:rPr>
              <w:t xml:space="preserve"> p</w:t>
            </w:r>
            <w:r w:rsidR="00D27F07" w:rsidRPr="00DD6E6B">
              <w:rPr>
                <w:color w:val="0D0D0D" w:themeColor="text1" w:themeTint="F2"/>
                <w:spacing w:val="-6"/>
                <w:lang w:val="en-GB"/>
              </w:rPr>
              <w:t xml:space="preserve">.), </w:t>
            </w:r>
            <w:r w:rsidR="00FF4E3F" w:rsidRPr="00DD6E6B">
              <w:rPr>
                <w:color w:val="0D0D0D" w:themeColor="text1" w:themeTint="F2"/>
                <w:spacing w:val="-6"/>
                <w:lang w:val="en-GB"/>
              </w:rPr>
              <w:t xml:space="preserve">construction </w:t>
            </w:r>
            <w:r w:rsidR="00D27F07" w:rsidRPr="00DD6E6B">
              <w:rPr>
                <w:color w:val="0D0D0D" w:themeColor="text1" w:themeTint="F2"/>
                <w:spacing w:val="-6"/>
                <w:lang w:val="en-GB"/>
              </w:rPr>
              <w:t>(−0</w:t>
            </w:r>
            <w:r w:rsidR="00FF4E3F" w:rsidRPr="00DD6E6B">
              <w:rPr>
                <w:color w:val="0D0D0D" w:themeColor="text1" w:themeTint="F2"/>
                <w:spacing w:val="-6"/>
                <w:lang w:val="en-GB"/>
              </w:rPr>
              <w:t>.</w:t>
            </w:r>
            <w:r w:rsidR="00D27F07" w:rsidRPr="00DD6E6B">
              <w:rPr>
                <w:color w:val="0D0D0D" w:themeColor="text1" w:themeTint="F2"/>
                <w:spacing w:val="-6"/>
                <w:lang w:val="en-GB"/>
              </w:rPr>
              <w:t>2 p.</w:t>
            </w:r>
            <w:r w:rsidR="00FF4E3F" w:rsidRPr="00DD6E6B">
              <w:rPr>
                <w:color w:val="0D0D0D" w:themeColor="text1" w:themeTint="F2"/>
                <w:spacing w:val="-6"/>
                <w:lang w:val="en-GB"/>
              </w:rPr>
              <w:t xml:space="preserve"> p.</w:t>
            </w:r>
            <w:r w:rsidR="00D27F07" w:rsidRPr="00DD6E6B">
              <w:rPr>
                <w:color w:val="0D0D0D" w:themeColor="text1" w:themeTint="F2"/>
                <w:spacing w:val="-6"/>
                <w:lang w:val="en-GB"/>
              </w:rPr>
              <w:t>)</w:t>
            </w:r>
            <w:r w:rsidR="00D27F07" w:rsidRPr="00DD6E6B">
              <w:rPr>
                <w:color w:val="0D0D0D" w:themeColor="text1" w:themeTint="F2"/>
                <w:spacing w:val="-4"/>
                <w:lang w:val="en-GB"/>
              </w:rPr>
              <w:t xml:space="preserve"> a</w:t>
            </w:r>
            <w:r w:rsidR="002658BF">
              <w:rPr>
                <w:color w:val="0D0D0D" w:themeColor="text1" w:themeTint="F2"/>
                <w:spacing w:val="-4"/>
                <w:lang w:val="en-GB"/>
              </w:rPr>
              <w:t>nd also</w:t>
            </w:r>
            <w:r w:rsidR="00FF4E3F" w:rsidRPr="00DD6E6B">
              <w:rPr>
                <w:color w:val="0D0D0D" w:themeColor="text1" w:themeTint="F2"/>
                <w:spacing w:val="-4"/>
                <w:lang w:val="en-GB"/>
              </w:rPr>
              <w:t xml:space="preserve"> trade, transportation, accommodation and food service </w:t>
            </w:r>
            <w:r w:rsidR="00D27F07" w:rsidRPr="00DD6E6B">
              <w:rPr>
                <w:color w:val="0D0D0D" w:themeColor="text1" w:themeTint="F2"/>
                <w:spacing w:val="-4"/>
                <w:lang w:val="en-GB"/>
              </w:rPr>
              <w:t>(−0</w:t>
            </w:r>
            <w:r w:rsidR="00FF4E3F" w:rsidRPr="00DD6E6B">
              <w:rPr>
                <w:color w:val="0D0D0D" w:themeColor="text1" w:themeTint="F2"/>
                <w:spacing w:val="-4"/>
                <w:lang w:val="en-GB"/>
              </w:rPr>
              <w:t>.</w:t>
            </w:r>
            <w:r w:rsidR="00D27F07" w:rsidRPr="00DD6E6B">
              <w:rPr>
                <w:color w:val="0D0D0D" w:themeColor="text1" w:themeTint="F2"/>
                <w:spacing w:val="-4"/>
                <w:lang w:val="en-GB"/>
              </w:rPr>
              <w:t xml:space="preserve">3 p. </w:t>
            </w:r>
            <w:r w:rsidR="00FF4E3F" w:rsidRPr="00DD6E6B">
              <w:rPr>
                <w:color w:val="0D0D0D" w:themeColor="text1" w:themeTint="F2"/>
                <w:spacing w:val="-4"/>
                <w:lang w:val="en-GB"/>
              </w:rPr>
              <w:t>p</w:t>
            </w:r>
            <w:r w:rsidR="00D27F07" w:rsidRPr="00DD6E6B">
              <w:rPr>
                <w:color w:val="0D0D0D" w:themeColor="text1" w:themeTint="F2"/>
                <w:spacing w:val="-4"/>
                <w:lang w:val="en-GB"/>
              </w:rPr>
              <w:t>.)</w:t>
            </w:r>
            <w:r w:rsidR="00A9383D" w:rsidRPr="00DD6E6B">
              <w:rPr>
                <w:color w:val="0D0D0D" w:themeColor="text1" w:themeTint="F2"/>
                <w:spacing w:val="-4"/>
                <w:lang w:val="en-GB"/>
              </w:rPr>
              <w:t xml:space="preserve"> worked in the opposite direction</w:t>
            </w:r>
            <w:r w:rsidR="00D27F07" w:rsidRPr="00DD6E6B">
              <w:rPr>
                <w:color w:val="0D0D0D" w:themeColor="text1" w:themeTint="F2"/>
                <w:spacing w:val="-4"/>
                <w:lang w:val="en-GB"/>
              </w:rPr>
              <w:t>.</w:t>
            </w:r>
          </w:p>
        </w:tc>
      </w:tr>
      <w:tr w:rsidR="00D27F07" w:rsidRPr="00DD6E6B" w14:paraId="5235ECD9" w14:textId="77777777" w:rsidTr="00D80129">
        <w:trPr>
          <w:trHeight w:val="145"/>
        </w:trPr>
        <w:tc>
          <w:tcPr>
            <w:tcW w:w="1678" w:type="dxa"/>
            <w:tcBorders>
              <w:top w:val="nil"/>
              <w:left w:val="nil"/>
              <w:bottom w:val="nil"/>
              <w:right w:val="nil"/>
            </w:tcBorders>
            <w:shd w:val="clear" w:color="auto" w:fill="auto"/>
            <w:tcMar>
              <w:left w:w="0" w:type="dxa"/>
            </w:tcMar>
          </w:tcPr>
          <w:p w14:paraId="52BFE300" w14:textId="785BE06A" w:rsidR="00D27F07" w:rsidRPr="00DD6E6B" w:rsidRDefault="001C59ED" w:rsidP="00D42399">
            <w:pPr>
              <w:pStyle w:val="Marginlie"/>
              <w:rPr>
                <w:color w:val="0D0D0D" w:themeColor="text1" w:themeTint="F2"/>
                <w:spacing w:val="-5"/>
                <w:lang w:val="en-GB"/>
              </w:rPr>
            </w:pPr>
            <w:r w:rsidRPr="00DD6E6B">
              <w:rPr>
                <w:color w:val="0D0D0D" w:themeColor="text1" w:themeTint="F2"/>
                <w:spacing w:val="-5"/>
                <w:lang w:val="en-GB"/>
              </w:rPr>
              <w:t xml:space="preserve">Mainly pork stood behind the decrease of production of meat in H1, similarly to the last year. </w:t>
            </w:r>
            <w:r w:rsidR="004E4882" w:rsidRPr="00DD6E6B">
              <w:rPr>
                <w:color w:val="0D0D0D" w:themeColor="text1" w:themeTint="F2"/>
                <w:spacing w:val="-5"/>
                <w:lang w:val="en-GB"/>
              </w:rPr>
              <w:t xml:space="preserve">Mild growth of </w:t>
            </w:r>
            <w:r w:rsidR="005036DC" w:rsidRPr="00DD6E6B">
              <w:rPr>
                <w:color w:val="0D0D0D" w:themeColor="text1" w:themeTint="F2"/>
                <w:spacing w:val="-5"/>
                <w:lang w:val="en-GB"/>
              </w:rPr>
              <w:t xml:space="preserve">milk production continued. </w:t>
            </w:r>
          </w:p>
        </w:tc>
        <w:tc>
          <w:tcPr>
            <w:tcW w:w="194" w:type="dxa"/>
            <w:tcBorders>
              <w:top w:val="nil"/>
              <w:left w:val="nil"/>
              <w:bottom w:val="nil"/>
              <w:right w:val="nil"/>
            </w:tcBorders>
            <w:shd w:val="clear" w:color="auto" w:fill="auto"/>
            <w:tcMar>
              <w:left w:w="0" w:type="dxa"/>
            </w:tcMar>
          </w:tcPr>
          <w:p w14:paraId="2674612D"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59C0BD95" w14:textId="7AED76A0" w:rsidR="00D27F07" w:rsidRPr="009A3047" w:rsidRDefault="00AF4181" w:rsidP="00D42399">
            <w:pPr>
              <w:rPr>
                <w:spacing w:val="-2"/>
                <w:lang w:val="en-GB"/>
              </w:rPr>
            </w:pPr>
            <w:r w:rsidRPr="009A3047">
              <w:rPr>
                <w:spacing w:val="-2"/>
                <w:lang w:val="en-GB"/>
              </w:rPr>
              <w:t xml:space="preserve">Difficult situation </w:t>
            </w:r>
            <w:r w:rsidR="00341E9A" w:rsidRPr="009A3047">
              <w:rPr>
                <w:spacing w:val="-2"/>
                <w:lang w:val="en-GB"/>
              </w:rPr>
              <w:t xml:space="preserve">of some primary producers associated with the considerable rise of prices </w:t>
            </w:r>
            <w:r w:rsidR="00B21AE3" w:rsidRPr="009A3047">
              <w:rPr>
                <w:spacing w:val="-2"/>
                <w:lang w:val="en-GB"/>
              </w:rPr>
              <w:t xml:space="preserve">of </w:t>
            </w:r>
            <w:r w:rsidR="00D8088C" w:rsidRPr="009A3047">
              <w:rPr>
                <w:spacing w:val="-2"/>
                <w:lang w:val="en-GB"/>
              </w:rPr>
              <w:t>inputs (</w:t>
            </w:r>
            <w:r w:rsidR="000715E5" w:rsidRPr="009A3047">
              <w:rPr>
                <w:spacing w:val="-2"/>
                <w:lang w:val="en-GB"/>
              </w:rPr>
              <w:t xml:space="preserve">feed, </w:t>
            </w:r>
            <w:r w:rsidR="00A45366" w:rsidRPr="009A3047">
              <w:rPr>
                <w:spacing w:val="-2"/>
                <w:lang w:val="en-GB"/>
              </w:rPr>
              <w:t>energy)</w:t>
            </w:r>
            <w:r w:rsidR="000F656A" w:rsidRPr="009A3047">
              <w:rPr>
                <w:spacing w:val="-2"/>
                <w:lang w:val="en-GB"/>
              </w:rPr>
              <w:t xml:space="preserve">, </w:t>
            </w:r>
            <w:r w:rsidR="005F008C" w:rsidRPr="009A3047">
              <w:rPr>
                <w:spacing w:val="-2"/>
                <w:lang w:val="en-GB"/>
              </w:rPr>
              <w:t xml:space="preserve">fluctuating development of </w:t>
            </w:r>
            <w:r w:rsidR="00417997" w:rsidRPr="009A3047">
              <w:rPr>
                <w:spacing w:val="-2"/>
                <w:lang w:val="en-GB"/>
              </w:rPr>
              <w:t xml:space="preserve">prices paid to producers for meat as well as its </w:t>
            </w:r>
            <w:r w:rsidR="004E4882" w:rsidRPr="009A3047">
              <w:rPr>
                <w:spacing w:val="-2"/>
                <w:lang w:val="en-GB"/>
              </w:rPr>
              <w:t xml:space="preserve">declining domestic consumption </w:t>
            </w:r>
            <w:r w:rsidR="009717D0" w:rsidRPr="009A3047">
              <w:rPr>
                <w:spacing w:val="-2"/>
                <w:lang w:val="en-GB"/>
              </w:rPr>
              <w:t>persisted in the animal production.</w:t>
            </w:r>
            <w:r w:rsidR="0092543F" w:rsidRPr="009A3047">
              <w:rPr>
                <w:spacing w:val="-2"/>
                <w:lang w:val="en-GB"/>
              </w:rPr>
              <w:t xml:space="preserve"> Decrease of the </w:t>
            </w:r>
            <w:r w:rsidR="00A476A5" w:rsidRPr="009A3047">
              <w:rPr>
                <w:spacing w:val="-2"/>
                <w:lang w:val="en-GB"/>
              </w:rPr>
              <w:t xml:space="preserve">physical production of meat, </w:t>
            </w:r>
            <w:r w:rsidR="00424E7C" w:rsidRPr="009A3047">
              <w:rPr>
                <w:spacing w:val="-2"/>
                <w:lang w:val="en-GB"/>
              </w:rPr>
              <w:t xml:space="preserve">perceptible on the domestic </w:t>
            </w:r>
            <w:r w:rsidR="002A7B5E" w:rsidRPr="009A3047">
              <w:rPr>
                <w:spacing w:val="-2"/>
                <w:lang w:val="en-GB"/>
              </w:rPr>
              <w:t>slaughterhouses throughout the whole last year</w:t>
            </w:r>
            <w:r w:rsidR="009A3047" w:rsidRPr="009A3047">
              <w:rPr>
                <w:spacing w:val="-2"/>
                <w:lang w:val="en-GB"/>
              </w:rPr>
              <w:t>, continued</w:t>
            </w:r>
            <w:r w:rsidR="00EF1931" w:rsidRPr="009A3047">
              <w:rPr>
                <w:spacing w:val="-2"/>
                <w:lang w:val="en-GB"/>
              </w:rPr>
              <w:t xml:space="preserve">. </w:t>
            </w:r>
            <w:r w:rsidR="002658BF" w:rsidRPr="009A3047">
              <w:rPr>
                <w:spacing w:val="-2"/>
                <w:lang w:val="en-GB"/>
              </w:rPr>
              <w:t xml:space="preserve">In H1 2023 </w:t>
            </w:r>
            <w:r w:rsidR="009A3047" w:rsidRPr="009A3047">
              <w:rPr>
                <w:spacing w:val="-2"/>
                <w:lang w:val="en-GB"/>
              </w:rPr>
              <w:t>2.5% the total meat production declined by 2.5% year-on-year</w:t>
            </w:r>
            <w:r w:rsidR="00D27F07" w:rsidRPr="009A3047">
              <w:rPr>
                <w:spacing w:val="-2"/>
                <w:lang w:val="en-GB"/>
              </w:rPr>
              <w:t>.</w:t>
            </w:r>
            <w:r w:rsidR="00AA0F90" w:rsidRPr="009A3047">
              <w:rPr>
                <w:spacing w:val="-2"/>
                <w:lang w:val="en-GB"/>
              </w:rPr>
              <w:t xml:space="preserve"> Recovery of</w:t>
            </w:r>
            <w:r w:rsidR="0019524B" w:rsidRPr="009A3047">
              <w:rPr>
                <w:spacing w:val="-2"/>
                <w:lang w:val="en-GB"/>
              </w:rPr>
              <w:t xml:space="preserve"> production of beef </w:t>
            </w:r>
            <w:r w:rsidR="00D27F07" w:rsidRPr="009A3047">
              <w:rPr>
                <w:spacing w:val="-2"/>
                <w:lang w:val="en-GB"/>
              </w:rPr>
              <w:t>(</w:t>
            </w:r>
            <w:r w:rsidR="009A3047" w:rsidRPr="009A3047">
              <w:rPr>
                <w:spacing w:val="-2"/>
                <w:lang w:val="en-GB"/>
              </w:rPr>
              <w:t>+</w:t>
            </w:r>
            <w:r w:rsidR="00D27F07" w:rsidRPr="009A3047">
              <w:rPr>
                <w:spacing w:val="-2"/>
                <w:lang w:val="en-GB"/>
              </w:rPr>
              <w:t>2</w:t>
            </w:r>
            <w:r w:rsidR="0019524B" w:rsidRPr="009A3047">
              <w:rPr>
                <w:spacing w:val="-2"/>
                <w:lang w:val="en-GB"/>
              </w:rPr>
              <w:t>.</w:t>
            </w:r>
            <w:r w:rsidR="00D27F07" w:rsidRPr="009A3047">
              <w:rPr>
                <w:spacing w:val="-2"/>
                <w:lang w:val="en-GB"/>
              </w:rPr>
              <w:t>0%) a</w:t>
            </w:r>
            <w:r w:rsidR="0019524B" w:rsidRPr="009A3047">
              <w:rPr>
                <w:spacing w:val="-2"/>
                <w:lang w:val="en-GB"/>
              </w:rPr>
              <w:t xml:space="preserve">nd stagnation of output of </w:t>
            </w:r>
            <w:r w:rsidR="00AD432F" w:rsidRPr="009A3047">
              <w:rPr>
                <w:spacing w:val="-2"/>
                <w:lang w:val="en-GB"/>
              </w:rPr>
              <w:t xml:space="preserve">poultry could not offset the deeper slump of pork output </w:t>
            </w:r>
            <w:r w:rsidR="006033A4" w:rsidRPr="009A3047">
              <w:rPr>
                <w:spacing w:val="-2"/>
                <w:lang w:val="en-GB"/>
              </w:rPr>
              <w:t>(</w:t>
            </w:r>
            <w:r w:rsidR="006033A4" w:rsidRPr="009A3047">
              <w:rPr>
                <w:color w:val="000000"/>
                <w:spacing w:val="-2"/>
                <w:shd w:val="clear" w:color="auto" w:fill="FFFFFF"/>
              </w:rPr>
              <w:t>–</w:t>
            </w:r>
            <w:r w:rsidR="00D27F07" w:rsidRPr="009A3047">
              <w:rPr>
                <w:spacing w:val="-2"/>
                <w:lang w:val="en-GB"/>
              </w:rPr>
              <w:t>5</w:t>
            </w:r>
            <w:r w:rsidR="00AD432F" w:rsidRPr="009A3047">
              <w:rPr>
                <w:spacing w:val="-2"/>
                <w:lang w:val="en-GB"/>
              </w:rPr>
              <w:t>.</w:t>
            </w:r>
            <w:r w:rsidR="00D27F07" w:rsidRPr="009A3047">
              <w:rPr>
                <w:spacing w:val="-2"/>
                <w:lang w:val="en-GB"/>
              </w:rPr>
              <w:t>8%)</w:t>
            </w:r>
            <w:r w:rsidR="00D27F07" w:rsidRPr="009A3047">
              <w:rPr>
                <w:rStyle w:val="Znakapoznpodarou"/>
                <w:spacing w:val="-2"/>
                <w:lang w:val="en-GB"/>
              </w:rPr>
              <w:footnoteReference w:id="3"/>
            </w:r>
            <w:r w:rsidR="00D27F07" w:rsidRPr="009A3047">
              <w:rPr>
                <w:spacing w:val="-2"/>
                <w:lang w:val="en-GB"/>
              </w:rPr>
              <w:t xml:space="preserve">. </w:t>
            </w:r>
            <w:r w:rsidR="001C1C1D" w:rsidRPr="009A3047">
              <w:rPr>
                <w:spacing w:val="-2"/>
                <w:lang w:val="en-GB"/>
              </w:rPr>
              <w:t xml:space="preserve">Decrease of </w:t>
            </w:r>
            <w:r w:rsidR="00203C5D" w:rsidRPr="009A3047">
              <w:rPr>
                <w:spacing w:val="-2"/>
                <w:lang w:val="en-GB"/>
              </w:rPr>
              <w:t xml:space="preserve">the overall domestic output of pork was in fact nearly double </w:t>
            </w:r>
            <w:r w:rsidR="006033A4" w:rsidRPr="009A3047">
              <w:rPr>
                <w:spacing w:val="-2"/>
                <w:lang w:val="en-GB"/>
              </w:rPr>
              <w:t>(</w:t>
            </w:r>
            <w:r w:rsidR="006033A4" w:rsidRPr="009A3047">
              <w:rPr>
                <w:color w:val="000000"/>
                <w:spacing w:val="-2"/>
                <w:shd w:val="clear" w:color="auto" w:fill="FFFFFF"/>
              </w:rPr>
              <w:t>–</w:t>
            </w:r>
            <w:r w:rsidR="00D27F07" w:rsidRPr="009A3047">
              <w:rPr>
                <w:spacing w:val="-2"/>
                <w:lang w:val="en-GB"/>
              </w:rPr>
              <w:t>11</w:t>
            </w:r>
            <w:r w:rsidR="00203C5D" w:rsidRPr="009A3047">
              <w:rPr>
                <w:spacing w:val="-2"/>
                <w:lang w:val="en-GB"/>
              </w:rPr>
              <w:t>.</w:t>
            </w:r>
            <w:r w:rsidR="00D27F07" w:rsidRPr="009A3047">
              <w:rPr>
                <w:spacing w:val="-2"/>
                <w:lang w:val="en-GB"/>
              </w:rPr>
              <w:t xml:space="preserve">2%), </w:t>
            </w:r>
            <w:r w:rsidR="00C53239" w:rsidRPr="009A3047">
              <w:rPr>
                <w:spacing w:val="-2"/>
                <w:lang w:val="en-GB"/>
              </w:rPr>
              <w:t>since</w:t>
            </w:r>
            <w:r w:rsidR="00D40E1F" w:rsidRPr="009A3047">
              <w:rPr>
                <w:spacing w:val="-2"/>
                <w:lang w:val="en-GB"/>
              </w:rPr>
              <w:t xml:space="preserve"> the export of live pigs </w:t>
            </w:r>
            <w:r w:rsidR="00BF267B" w:rsidRPr="009A3047">
              <w:rPr>
                <w:spacing w:val="-2"/>
                <w:lang w:val="en-GB"/>
              </w:rPr>
              <w:t xml:space="preserve">for slaughter abroad </w:t>
            </w:r>
            <w:r w:rsidR="00D40E1F" w:rsidRPr="009A3047">
              <w:rPr>
                <w:spacing w:val="-2"/>
                <w:lang w:val="en-GB"/>
              </w:rPr>
              <w:t>dived (by more than 50%) compared to the last year</w:t>
            </w:r>
            <w:r w:rsidR="00D27F07" w:rsidRPr="009A3047">
              <w:rPr>
                <w:spacing w:val="-2"/>
                <w:lang w:val="en-GB"/>
              </w:rPr>
              <w:t xml:space="preserve">. </w:t>
            </w:r>
            <w:r w:rsidR="00AC40BF" w:rsidRPr="009A3047">
              <w:rPr>
                <w:spacing w:val="-2"/>
                <w:lang w:val="en-GB"/>
              </w:rPr>
              <w:t xml:space="preserve">Dairy farming remained </w:t>
            </w:r>
            <w:r w:rsidR="00254865" w:rsidRPr="009A3047">
              <w:rPr>
                <w:spacing w:val="-2"/>
                <w:lang w:val="en-GB"/>
              </w:rPr>
              <w:t xml:space="preserve">a stabilizing segment for the whole animal production in the CR. </w:t>
            </w:r>
            <w:r w:rsidR="00647EDC" w:rsidRPr="009A3047">
              <w:rPr>
                <w:spacing w:val="-2"/>
                <w:lang w:val="en-GB"/>
              </w:rPr>
              <w:t xml:space="preserve">The long-term trend of milk production growth, also supported by high </w:t>
            </w:r>
            <w:r w:rsidR="008D52AA" w:rsidRPr="009A3047">
              <w:rPr>
                <w:spacing w:val="-2"/>
                <w:lang w:val="en-GB"/>
              </w:rPr>
              <w:t xml:space="preserve">milk yield continued this year. </w:t>
            </w:r>
            <w:r w:rsidR="00675CB1" w:rsidRPr="009A3047">
              <w:rPr>
                <w:rStyle w:val="normaltextrun"/>
                <w:rFonts w:eastAsia="MS Gothic" w:cs="Arial"/>
                <w:spacing w:val="-2"/>
                <w:szCs w:val="20"/>
                <w:lang w:val="en-GB"/>
              </w:rPr>
              <w:t>D</w:t>
            </w:r>
            <w:r w:rsidR="00675CB1" w:rsidRPr="009A3047">
              <w:rPr>
                <w:rStyle w:val="normaltextrun"/>
                <w:rFonts w:eastAsia="MS Gothic" w:cs="Arial"/>
                <w:spacing w:val="-2"/>
                <w:lang w:val="en-GB"/>
              </w:rPr>
              <w:t xml:space="preserve">omestic producers </w:t>
            </w:r>
            <w:r w:rsidR="004333DF" w:rsidRPr="009A3047">
              <w:rPr>
                <w:rStyle w:val="normaltextrun"/>
                <w:rFonts w:eastAsia="MS Gothic" w:cs="Arial"/>
                <w:spacing w:val="-2"/>
                <w:lang w:val="en-GB"/>
              </w:rPr>
              <w:t>sold by 1.6% litres</w:t>
            </w:r>
            <w:r w:rsidR="00590390" w:rsidRPr="009A3047">
              <w:rPr>
                <w:rStyle w:val="normaltextrun"/>
                <w:rFonts w:eastAsia="MS Gothic" w:cs="Arial"/>
                <w:spacing w:val="-2"/>
                <w:lang w:val="en-GB"/>
              </w:rPr>
              <w:t xml:space="preserve"> </w:t>
            </w:r>
            <w:r w:rsidR="004333DF" w:rsidRPr="009A3047">
              <w:rPr>
                <w:rStyle w:val="normaltextrun"/>
                <w:rFonts w:eastAsia="MS Gothic" w:cs="Arial"/>
                <w:spacing w:val="-2"/>
                <w:lang w:val="en-GB"/>
              </w:rPr>
              <w:t>o</w:t>
            </w:r>
            <w:r w:rsidR="002658BF" w:rsidRPr="009A3047">
              <w:rPr>
                <w:rStyle w:val="normaltextrun"/>
                <w:rFonts w:eastAsia="MS Gothic" w:cs="Arial"/>
                <w:spacing w:val="-2"/>
                <w:lang w:val="en-GB"/>
              </w:rPr>
              <w:t>f milk more year-on-year in H1.</w:t>
            </w:r>
          </w:p>
        </w:tc>
      </w:tr>
      <w:tr w:rsidR="00D27F07" w:rsidRPr="00DD6E6B" w14:paraId="123F1EC9" w14:textId="77777777" w:rsidTr="00D80129">
        <w:trPr>
          <w:trHeight w:val="145"/>
        </w:trPr>
        <w:tc>
          <w:tcPr>
            <w:tcW w:w="1678" w:type="dxa"/>
            <w:tcBorders>
              <w:top w:val="nil"/>
              <w:left w:val="nil"/>
              <w:bottom w:val="nil"/>
              <w:right w:val="nil"/>
            </w:tcBorders>
            <w:shd w:val="clear" w:color="auto" w:fill="auto"/>
            <w:tcMar>
              <w:left w:w="0" w:type="dxa"/>
            </w:tcMar>
          </w:tcPr>
          <w:p w14:paraId="79CC1400" w14:textId="37F434DD" w:rsidR="00D27F07" w:rsidRPr="00DD6E6B" w:rsidRDefault="00E73065" w:rsidP="00D42399">
            <w:pPr>
              <w:pStyle w:val="Marginlie"/>
              <w:rPr>
                <w:color w:val="0D0D0D" w:themeColor="text1" w:themeTint="F2"/>
                <w:spacing w:val="-4"/>
                <w:lang w:val="en-GB"/>
              </w:rPr>
            </w:pPr>
            <w:r w:rsidRPr="00DD6E6B">
              <w:rPr>
                <w:color w:val="0D0D0D" w:themeColor="text1" w:themeTint="F2"/>
                <w:spacing w:val="-4"/>
                <w:lang w:val="en-GB"/>
              </w:rPr>
              <w:t>Based on t</w:t>
            </w:r>
            <w:r w:rsidR="0006210C">
              <w:rPr>
                <w:color w:val="0D0D0D" w:themeColor="text1" w:themeTint="F2"/>
                <w:spacing w:val="-4"/>
                <w:lang w:val="en-GB"/>
              </w:rPr>
              <w:t>he August estimation of harvest</w:t>
            </w:r>
            <w:r w:rsidR="00717A77" w:rsidRPr="00DD6E6B">
              <w:rPr>
                <w:color w:val="0D0D0D" w:themeColor="text1" w:themeTint="F2"/>
                <w:spacing w:val="-4"/>
                <w:lang w:val="en-GB"/>
              </w:rPr>
              <w:t xml:space="preserve">, crop </w:t>
            </w:r>
            <w:r w:rsidR="003409CA" w:rsidRPr="00DD6E6B">
              <w:rPr>
                <w:color w:val="0D0D0D" w:themeColor="text1" w:themeTint="F2"/>
                <w:spacing w:val="-4"/>
                <w:lang w:val="en-GB"/>
              </w:rPr>
              <w:t xml:space="preserve">slightly exceeding the average </w:t>
            </w:r>
            <w:r w:rsidR="00871F67" w:rsidRPr="00DD6E6B">
              <w:rPr>
                <w:color w:val="0D0D0D" w:themeColor="text1" w:themeTint="F2"/>
                <w:spacing w:val="-4"/>
                <w:lang w:val="en-GB"/>
              </w:rPr>
              <w:t xml:space="preserve">of </w:t>
            </w:r>
            <w:r w:rsidR="003409CA" w:rsidRPr="00DD6E6B">
              <w:rPr>
                <w:color w:val="0D0D0D" w:themeColor="text1" w:themeTint="F2"/>
                <w:spacing w:val="-4"/>
                <w:lang w:val="en-GB"/>
              </w:rPr>
              <w:t>t</w:t>
            </w:r>
            <w:r w:rsidR="00B564F1" w:rsidRPr="00DD6E6B">
              <w:rPr>
                <w:color w:val="0D0D0D" w:themeColor="text1" w:themeTint="F2"/>
                <w:spacing w:val="-4"/>
                <w:lang w:val="en-GB"/>
              </w:rPr>
              <w:t>he last five-year period</w:t>
            </w:r>
            <w:r w:rsidR="003409CA" w:rsidRPr="00DD6E6B">
              <w:rPr>
                <w:color w:val="0D0D0D" w:themeColor="text1" w:themeTint="F2"/>
                <w:spacing w:val="-4"/>
                <w:lang w:val="en-GB"/>
              </w:rPr>
              <w:t xml:space="preserve"> can be expected for both </w:t>
            </w:r>
            <w:r w:rsidR="00111F64" w:rsidRPr="00DD6E6B">
              <w:rPr>
                <w:color w:val="0D0D0D" w:themeColor="text1" w:themeTint="F2"/>
                <w:spacing w:val="-4"/>
                <w:lang w:val="en-GB"/>
              </w:rPr>
              <w:t xml:space="preserve">cereals and </w:t>
            </w:r>
            <w:r w:rsidR="00970B25" w:rsidRPr="00DD6E6B">
              <w:rPr>
                <w:color w:val="0D0D0D" w:themeColor="text1" w:themeTint="F2"/>
                <w:spacing w:val="-4"/>
                <w:lang w:val="en-GB"/>
              </w:rPr>
              <w:t>oilseed rape</w:t>
            </w:r>
            <w:r w:rsidR="00B564F1" w:rsidRPr="00DD6E6B">
              <w:rPr>
                <w:color w:val="0D0D0D" w:themeColor="text1" w:themeTint="F2"/>
                <w:spacing w:val="-4"/>
                <w:lang w:val="en-GB"/>
              </w:rPr>
              <w:t xml:space="preserve">. </w:t>
            </w:r>
            <w:r w:rsidR="0006210C">
              <w:rPr>
                <w:color w:val="0D0D0D" w:themeColor="text1" w:themeTint="F2"/>
                <w:spacing w:val="-4"/>
                <w:lang w:val="en-GB"/>
              </w:rPr>
              <w:t xml:space="preserve"> </w:t>
            </w:r>
          </w:p>
        </w:tc>
        <w:tc>
          <w:tcPr>
            <w:tcW w:w="194" w:type="dxa"/>
            <w:tcBorders>
              <w:top w:val="nil"/>
              <w:left w:val="nil"/>
              <w:bottom w:val="nil"/>
              <w:right w:val="nil"/>
            </w:tcBorders>
            <w:shd w:val="clear" w:color="auto" w:fill="auto"/>
            <w:tcMar>
              <w:left w:w="0" w:type="dxa"/>
            </w:tcMar>
          </w:tcPr>
          <w:p w14:paraId="252835AB"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129FA9BB" w14:textId="7A08AD61" w:rsidR="00D27F07" w:rsidRPr="00DD6E6B" w:rsidRDefault="00E63157" w:rsidP="00D42399">
            <w:pPr>
              <w:spacing w:after="180"/>
              <w:rPr>
                <w:spacing w:val="-4"/>
                <w:lang w:val="en-GB"/>
              </w:rPr>
            </w:pPr>
            <w:r w:rsidRPr="00DD6E6B">
              <w:rPr>
                <w:spacing w:val="-4"/>
                <w:lang w:val="en-GB"/>
              </w:rPr>
              <w:t xml:space="preserve">According to </w:t>
            </w:r>
            <w:r w:rsidR="00D84F3F" w:rsidRPr="00DD6E6B">
              <w:rPr>
                <w:spacing w:val="-4"/>
                <w:lang w:val="en-GB"/>
              </w:rPr>
              <w:t xml:space="preserve">the </w:t>
            </w:r>
            <w:r w:rsidR="00B42127" w:rsidRPr="00DD6E6B">
              <w:rPr>
                <w:spacing w:val="-4"/>
                <w:lang w:val="en-GB"/>
              </w:rPr>
              <w:t xml:space="preserve">progress of harvests </w:t>
            </w:r>
            <w:r w:rsidR="00D84F3F" w:rsidRPr="00DD6E6B">
              <w:rPr>
                <w:spacing w:val="-4"/>
                <w:lang w:val="en-GB"/>
              </w:rPr>
              <w:t xml:space="preserve">so far, </w:t>
            </w:r>
            <w:r w:rsidR="00B42127" w:rsidRPr="00DD6E6B">
              <w:rPr>
                <w:spacing w:val="-4"/>
                <w:lang w:val="en-GB"/>
              </w:rPr>
              <w:t xml:space="preserve">a </w:t>
            </w:r>
            <w:r w:rsidR="00D84F3F" w:rsidRPr="00DD6E6B">
              <w:rPr>
                <w:spacing w:val="-4"/>
                <w:lang w:val="en-GB"/>
              </w:rPr>
              <w:t>stabilised</w:t>
            </w:r>
            <w:r w:rsidR="00BF0FD7" w:rsidRPr="00DD6E6B">
              <w:rPr>
                <w:spacing w:val="-4"/>
                <w:lang w:val="en-GB"/>
              </w:rPr>
              <w:t xml:space="preserve"> situation can also be expected in the domestic plant production. </w:t>
            </w:r>
            <w:r w:rsidRPr="00DD6E6B">
              <w:rPr>
                <w:spacing w:val="-4"/>
                <w:lang w:val="en-GB"/>
              </w:rPr>
              <w:t>Based on the third estimation of harvests (</w:t>
            </w:r>
            <w:r w:rsidR="00955BD4" w:rsidRPr="00DD6E6B">
              <w:rPr>
                <w:spacing w:val="-4"/>
                <w:lang w:val="en-GB"/>
              </w:rPr>
              <w:t>CZSO</w:t>
            </w:r>
            <w:r w:rsidR="00D27F07" w:rsidRPr="00DD6E6B">
              <w:rPr>
                <w:rStyle w:val="normaltextrun"/>
                <w:rFonts w:eastAsia="MS Gothic" w:cs="Arial"/>
                <w:color w:val="0D0D0D" w:themeColor="text1" w:themeTint="F2"/>
                <w:szCs w:val="20"/>
                <w:lang w:val="en-GB"/>
              </w:rPr>
              <w:t xml:space="preserve">, </w:t>
            </w:r>
            <w:r w:rsidR="007A3DF9" w:rsidRPr="00DD6E6B">
              <w:rPr>
                <w:rStyle w:val="normaltextrun"/>
                <w:rFonts w:eastAsia="MS Gothic" w:cs="Arial"/>
                <w:color w:val="0D0D0D" w:themeColor="text1" w:themeTint="F2"/>
                <w:szCs w:val="20"/>
                <w:lang w:val="en-GB"/>
              </w:rPr>
              <w:t>a</w:t>
            </w:r>
            <w:r w:rsidR="007A3DF9" w:rsidRPr="00DD6E6B">
              <w:rPr>
                <w:rStyle w:val="normaltextrun"/>
                <w:rFonts w:eastAsia="MS Gothic" w:cs="Arial"/>
                <w:color w:val="0D0D0D" w:themeColor="text1" w:themeTint="F2"/>
                <w:lang w:val="en-GB"/>
              </w:rPr>
              <w:t xml:space="preserve">s of </w:t>
            </w:r>
            <w:r w:rsidR="00D27F07" w:rsidRPr="00DD6E6B">
              <w:rPr>
                <w:rStyle w:val="normaltextrun"/>
                <w:rFonts w:eastAsia="MS Gothic" w:cs="Arial"/>
                <w:color w:val="0D0D0D" w:themeColor="text1" w:themeTint="F2"/>
                <w:szCs w:val="20"/>
                <w:lang w:val="en-GB"/>
              </w:rPr>
              <w:t>15.8.)</w:t>
            </w:r>
            <w:r w:rsidR="001458AC" w:rsidRPr="00DD6E6B">
              <w:rPr>
                <w:rStyle w:val="normaltextrun"/>
                <w:rFonts w:eastAsia="MS Gothic" w:cs="Arial"/>
                <w:color w:val="0D0D0D" w:themeColor="text1" w:themeTint="F2"/>
                <w:szCs w:val="20"/>
                <w:lang w:val="en-GB"/>
              </w:rPr>
              <w:t xml:space="preserve"> </w:t>
            </w:r>
            <w:r w:rsidR="003D5175" w:rsidRPr="00DD6E6B">
              <w:rPr>
                <w:rStyle w:val="normaltextrun"/>
                <w:rFonts w:eastAsia="MS Gothic" w:cs="Arial"/>
                <w:color w:val="0D0D0D" w:themeColor="text1" w:themeTint="F2"/>
                <w:szCs w:val="20"/>
                <w:lang w:val="en-GB"/>
              </w:rPr>
              <w:t xml:space="preserve">the cereal crop </w:t>
            </w:r>
            <w:r w:rsidR="00D27F07" w:rsidRPr="00DD6E6B">
              <w:rPr>
                <w:rStyle w:val="normaltextrun"/>
                <w:rFonts w:eastAsia="MS Gothic" w:cs="Arial"/>
                <w:szCs w:val="20"/>
                <w:lang w:val="en-GB"/>
              </w:rPr>
              <w:t>(</w:t>
            </w:r>
            <w:r w:rsidR="003D5175" w:rsidRPr="00DD6E6B">
              <w:rPr>
                <w:rStyle w:val="normaltextrun"/>
                <w:rFonts w:eastAsia="MS Gothic" w:cs="Arial"/>
                <w:szCs w:val="20"/>
                <w:lang w:val="en-GB"/>
              </w:rPr>
              <w:t>also</w:t>
            </w:r>
            <w:r w:rsidR="003D5175" w:rsidRPr="00DD6E6B">
              <w:rPr>
                <w:rStyle w:val="normaltextrun"/>
                <w:rFonts w:eastAsia="MS Gothic" w:cs="Arial"/>
                <w:lang w:val="en-GB"/>
              </w:rPr>
              <w:t xml:space="preserve"> calculating the grain maize</w:t>
            </w:r>
            <w:r w:rsidR="00D27F07" w:rsidRPr="00DD6E6B">
              <w:rPr>
                <w:rStyle w:val="normaltextrun"/>
                <w:rFonts w:eastAsia="MS Gothic" w:cs="Arial"/>
                <w:szCs w:val="20"/>
                <w:lang w:val="en-GB"/>
              </w:rPr>
              <w:t>)</w:t>
            </w:r>
            <w:r w:rsidR="003D5175" w:rsidRPr="00DD6E6B">
              <w:rPr>
                <w:rStyle w:val="normaltextrun"/>
                <w:rFonts w:eastAsia="MS Gothic" w:cs="Arial"/>
                <w:szCs w:val="20"/>
                <w:lang w:val="en-GB"/>
              </w:rPr>
              <w:t xml:space="preserve"> is expected in the size of </w:t>
            </w:r>
            <w:r w:rsidR="00D27F07" w:rsidRPr="00DD6E6B">
              <w:rPr>
                <w:rStyle w:val="normaltextrun"/>
                <w:rFonts w:eastAsia="MS Gothic" w:cs="Arial"/>
                <w:szCs w:val="20"/>
                <w:lang w:val="en-GB"/>
              </w:rPr>
              <w:t>7</w:t>
            </w:r>
            <w:r w:rsidR="003D5175" w:rsidRPr="00DD6E6B">
              <w:rPr>
                <w:rStyle w:val="normaltextrun"/>
                <w:rFonts w:eastAsia="MS Gothic" w:cs="Arial"/>
                <w:szCs w:val="20"/>
                <w:lang w:val="en-GB"/>
              </w:rPr>
              <w:t>.</w:t>
            </w:r>
            <w:r w:rsidR="00D27F07" w:rsidRPr="00DD6E6B">
              <w:rPr>
                <w:rStyle w:val="normaltextrun"/>
                <w:rFonts w:eastAsia="MS Gothic" w:cs="Arial"/>
                <w:szCs w:val="20"/>
                <w:lang w:val="en-GB"/>
              </w:rPr>
              <w:t>905</w:t>
            </w:r>
            <w:r w:rsidR="00A609BD" w:rsidRPr="00DD6E6B">
              <w:rPr>
                <w:rStyle w:val="normaltextrun"/>
                <w:rFonts w:eastAsia="MS Gothic" w:cs="Arial"/>
                <w:szCs w:val="20"/>
                <w:lang w:val="en-GB"/>
              </w:rPr>
              <w:t xml:space="preserve"> million tonnes</w:t>
            </w:r>
            <w:r w:rsidR="00D27F07" w:rsidRPr="00DD6E6B">
              <w:rPr>
                <w:rStyle w:val="normaltextrun"/>
                <w:rFonts w:eastAsia="MS Gothic" w:cs="Arial"/>
                <w:color w:val="000000"/>
                <w:szCs w:val="20"/>
                <w:lang w:val="en-GB"/>
              </w:rPr>
              <w:t xml:space="preserve">, </w:t>
            </w:r>
            <w:r w:rsidR="00A609BD" w:rsidRPr="00DD6E6B">
              <w:rPr>
                <w:rStyle w:val="normaltextrun"/>
                <w:rFonts w:eastAsia="MS Gothic" w:cs="Arial"/>
                <w:color w:val="000000"/>
                <w:szCs w:val="20"/>
                <w:lang w:val="en-GB"/>
              </w:rPr>
              <w:t xml:space="preserve">for rape then </w:t>
            </w:r>
            <w:r w:rsidR="00D27F07" w:rsidRPr="00DD6E6B">
              <w:rPr>
                <w:rStyle w:val="normaltextrun"/>
                <w:rFonts w:eastAsia="MS Gothic" w:cs="Arial"/>
                <w:szCs w:val="20"/>
                <w:lang w:val="en-GB"/>
              </w:rPr>
              <w:t>1</w:t>
            </w:r>
            <w:r w:rsidR="00A609BD" w:rsidRPr="00DD6E6B">
              <w:rPr>
                <w:rStyle w:val="normaltextrun"/>
                <w:rFonts w:eastAsia="MS Gothic" w:cs="Arial"/>
                <w:szCs w:val="20"/>
                <w:lang w:val="en-GB"/>
              </w:rPr>
              <w:t>.</w:t>
            </w:r>
            <w:r w:rsidR="00D27F07" w:rsidRPr="00DD6E6B">
              <w:rPr>
                <w:rStyle w:val="normaltextrun"/>
                <w:rFonts w:eastAsia="MS Gothic" w:cs="Arial"/>
                <w:szCs w:val="20"/>
                <w:lang w:val="en-GB"/>
              </w:rPr>
              <w:t>274</w:t>
            </w:r>
            <w:r w:rsidR="00A609BD" w:rsidRPr="00DD6E6B">
              <w:rPr>
                <w:rStyle w:val="normaltextrun"/>
                <w:rFonts w:eastAsia="MS Gothic" w:cs="Arial"/>
                <w:szCs w:val="20"/>
                <w:lang w:val="en-GB"/>
              </w:rPr>
              <w:t xml:space="preserve"> million tonnes</w:t>
            </w:r>
            <w:r w:rsidR="00D27F07" w:rsidRPr="00DD6E6B">
              <w:rPr>
                <w:rStyle w:val="Znakapoznpodarou"/>
                <w:rFonts w:eastAsia="MS Gothic"/>
                <w:color w:val="000000"/>
                <w:szCs w:val="20"/>
                <w:lang w:val="en-GB"/>
              </w:rPr>
              <w:footnoteReference w:id="4"/>
            </w:r>
            <w:r w:rsidR="003D5175" w:rsidRPr="00DD6E6B">
              <w:rPr>
                <w:rStyle w:val="normaltextrun"/>
                <w:rFonts w:eastAsia="MS Gothic" w:cs="Arial"/>
                <w:szCs w:val="20"/>
                <w:lang w:val="en-GB"/>
              </w:rPr>
              <w:t xml:space="preserve"> so far this year</w:t>
            </w:r>
            <w:r w:rsidR="00D27F07" w:rsidRPr="00DD6E6B">
              <w:rPr>
                <w:rStyle w:val="normaltextrun"/>
                <w:rFonts w:eastAsia="MS Gothic" w:cs="Arial"/>
                <w:color w:val="000000"/>
                <w:szCs w:val="20"/>
                <w:lang w:val="en-GB"/>
              </w:rPr>
              <w:t>.</w:t>
            </w:r>
            <w:r w:rsidR="00D27F07" w:rsidRPr="00DD6E6B">
              <w:rPr>
                <w:rStyle w:val="Nadpis3Char"/>
                <w:rFonts w:cs="Arial"/>
                <w:color w:val="000000"/>
                <w:sz w:val="20"/>
                <w:szCs w:val="20"/>
                <w:lang w:val="en-GB"/>
              </w:rPr>
              <w:t xml:space="preserve"> </w:t>
            </w:r>
            <w:r w:rsidR="006D388D" w:rsidRPr="00DD6E6B">
              <w:rPr>
                <w:rStyle w:val="Nadpis3Char"/>
                <w:rFonts w:cs="Arial"/>
                <w:b w:val="0"/>
                <w:bCs w:val="0"/>
                <w:color w:val="000000"/>
                <w:sz w:val="20"/>
                <w:szCs w:val="20"/>
                <w:lang w:val="en-GB"/>
              </w:rPr>
              <w:t>Harvest of cereals i</w:t>
            </w:r>
            <w:r w:rsidR="00A609BD" w:rsidRPr="00DD6E6B">
              <w:rPr>
                <w:rStyle w:val="Nadpis3Char"/>
                <w:rFonts w:cs="Arial"/>
                <w:b w:val="0"/>
                <w:bCs w:val="0"/>
                <w:color w:val="000000"/>
                <w:sz w:val="20"/>
                <w:szCs w:val="20"/>
                <w:lang w:val="en-GB"/>
              </w:rPr>
              <w:t xml:space="preserve">s lower year-on-year </w:t>
            </w:r>
            <w:r w:rsidR="00D27F07" w:rsidRPr="00DD6E6B">
              <w:rPr>
                <w:rStyle w:val="normaltextrun"/>
                <w:rFonts w:eastAsia="MS Gothic" w:cs="Arial"/>
                <w:color w:val="000000"/>
                <w:szCs w:val="20"/>
                <w:lang w:val="en-GB"/>
              </w:rPr>
              <w:t>(</w:t>
            </w:r>
            <w:r w:rsidR="00A609BD" w:rsidRPr="00DD6E6B">
              <w:rPr>
                <w:rStyle w:val="normaltextrun"/>
                <w:rFonts w:eastAsia="MS Gothic" w:cs="Arial"/>
                <w:color w:val="000000"/>
                <w:szCs w:val="20"/>
                <w:lang w:val="en-GB"/>
              </w:rPr>
              <w:t>b</w:t>
            </w:r>
            <w:r w:rsidR="00A609BD" w:rsidRPr="00DD6E6B">
              <w:rPr>
                <w:rStyle w:val="normaltextrun"/>
                <w:rFonts w:eastAsia="MS Gothic"/>
                <w:lang w:val="en-GB"/>
              </w:rPr>
              <w:t xml:space="preserve">y </w:t>
            </w:r>
            <w:r w:rsidR="00D27F07" w:rsidRPr="00DD6E6B">
              <w:rPr>
                <w:rStyle w:val="normaltextrun"/>
                <w:rFonts w:eastAsia="MS Gothic" w:cs="Arial"/>
                <w:color w:val="000000"/>
                <w:szCs w:val="20"/>
                <w:lang w:val="en-GB"/>
              </w:rPr>
              <w:t>3</w:t>
            </w:r>
            <w:r w:rsidR="00A609BD" w:rsidRPr="00DD6E6B">
              <w:rPr>
                <w:rStyle w:val="normaltextrun"/>
                <w:rFonts w:eastAsia="MS Gothic" w:cs="Arial"/>
                <w:color w:val="000000"/>
                <w:szCs w:val="20"/>
                <w:lang w:val="en-GB"/>
              </w:rPr>
              <w:t>.</w:t>
            </w:r>
            <w:r w:rsidR="00D27F07" w:rsidRPr="00DD6E6B">
              <w:rPr>
                <w:rStyle w:val="normaltextrun"/>
                <w:rFonts w:eastAsia="MS Gothic" w:cs="Arial"/>
                <w:color w:val="000000"/>
                <w:szCs w:val="20"/>
                <w:lang w:val="en-GB"/>
              </w:rPr>
              <w:t xml:space="preserve">7%), </w:t>
            </w:r>
            <w:r w:rsidR="00B7564A" w:rsidRPr="00DD6E6B">
              <w:rPr>
                <w:rStyle w:val="normaltextrun"/>
                <w:rFonts w:eastAsia="MS Gothic" w:cs="Arial"/>
                <w:color w:val="000000"/>
                <w:szCs w:val="20"/>
                <w:lang w:val="en-GB"/>
              </w:rPr>
              <w:t>h</w:t>
            </w:r>
            <w:r w:rsidR="00B7564A" w:rsidRPr="00DD6E6B">
              <w:rPr>
                <w:rStyle w:val="normaltextrun"/>
                <w:rFonts w:eastAsia="MS Gothic"/>
                <w:lang w:val="en-GB"/>
              </w:rPr>
              <w:t xml:space="preserve">owever </w:t>
            </w:r>
            <w:r w:rsidR="00A609BD" w:rsidRPr="00DD6E6B">
              <w:rPr>
                <w:rStyle w:val="normaltextrun"/>
                <w:rFonts w:eastAsia="MS Gothic"/>
                <w:lang w:val="en-GB"/>
              </w:rPr>
              <w:t xml:space="preserve">it </w:t>
            </w:r>
            <w:r w:rsidR="00B7564A" w:rsidRPr="00DD6E6B">
              <w:rPr>
                <w:rStyle w:val="normaltextrun"/>
                <w:rFonts w:eastAsia="MS Gothic"/>
                <w:lang w:val="en-GB"/>
              </w:rPr>
              <w:t xml:space="preserve">still exceeds the level from the last five-year period </w:t>
            </w:r>
            <w:r w:rsidR="00D27F07" w:rsidRPr="00DD6E6B">
              <w:rPr>
                <w:rStyle w:val="normaltextrun"/>
                <w:rFonts w:eastAsia="MS Gothic" w:cs="Arial"/>
                <w:color w:val="000000"/>
                <w:szCs w:val="20"/>
                <w:lang w:val="en-GB"/>
              </w:rPr>
              <w:t>(+1</w:t>
            </w:r>
            <w:r w:rsidR="00B7564A" w:rsidRPr="00DD6E6B">
              <w:rPr>
                <w:rStyle w:val="normaltextrun"/>
                <w:rFonts w:eastAsia="MS Gothic" w:cs="Arial"/>
                <w:color w:val="000000"/>
                <w:szCs w:val="20"/>
                <w:lang w:val="en-GB"/>
              </w:rPr>
              <w:t>.</w:t>
            </w:r>
            <w:r w:rsidR="00D27F07" w:rsidRPr="00DD6E6B">
              <w:rPr>
                <w:rStyle w:val="normaltextrun"/>
                <w:rFonts w:eastAsia="MS Gothic" w:cs="Arial"/>
                <w:color w:val="000000"/>
                <w:szCs w:val="20"/>
                <w:lang w:val="en-GB"/>
              </w:rPr>
              <w:t>0%) a</w:t>
            </w:r>
            <w:r w:rsidR="007A3DF9" w:rsidRPr="00DD6E6B">
              <w:rPr>
                <w:rStyle w:val="normaltextrun"/>
                <w:rFonts w:eastAsia="MS Gothic" w:cs="Arial"/>
                <w:color w:val="000000"/>
                <w:szCs w:val="20"/>
                <w:lang w:val="en-GB"/>
              </w:rPr>
              <w:t>n</w:t>
            </w:r>
            <w:r w:rsidR="007A3DF9" w:rsidRPr="00DD6E6B">
              <w:rPr>
                <w:rStyle w:val="normaltextrun"/>
                <w:rFonts w:eastAsia="MS Gothic" w:cs="Arial"/>
                <w:color w:val="000000"/>
                <w:lang w:val="en-GB"/>
              </w:rPr>
              <w:t xml:space="preserve">d only minimally </w:t>
            </w:r>
            <w:r w:rsidR="003724CE" w:rsidRPr="00DD6E6B">
              <w:rPr>
                <w:rStyle w:val="normaltextrun"/>
                <w:rFonts w:eastAsia="MS Gothic" w:cs="Arial"/>
                <w:color w:val="000000"/>
                <w:lang w:val="en-GB"/>
              </w:rPr>
              <w:t>lags</w:t>
            </w:r>
            <w:r w:rsidR="007A3DF9" w:rsidRPr="00DD6E6B">
              <w:rPr>
                <w:rStyle w:val="normaltextrun"/>
                <w:rFonts w:eastAsia="MS Gothic" w:cs="Arial"/>
                <w:color w:val="000000"/>
                <w:lang w:val="en-GB"/>
              </w:rPr>
              <w:t xml:space="preserve"> behind the average from the period of years </w:t>
            </w:r>
            <w:r w:rsidR="006033A4">
              <w:rPr>
                <w:rStyle w:val="normaltextrun"/>
                <w:rFonts w:eastAsia="MS Gothic" w:cs="Arial"/>
                <w:color w:val="000000"/>
                <w:szCs w:val="20"/>
                <w:lang w:val="en-GB"/>
              </w:rPr>
              <w:t>2013–2022 (</w:t>
            </w:r>
            <w:r w:rsidR="006033A4">
              <w:rPr>
                <w:color w:val="000000"/>
                <w:shd w:val="clear" w:color="auto" w:fill="FFFFFF"/>
              </w:rPr>
              <w:t>–</w:t>
            </w:r>
            <w:r w:rsidR="00D27F07" w:rsidRPr="00DD6E6B">
              <w:rPr>
                <w:rStyle w:val="normaltextrun"/>
                <w:rFonts w:eastAsia="MS Gothic" w:cs="Arial"/>
                <w:color w:val="000000"/>
                <w:szCs w:val="20"/>
                <w:lang w:val="en-GB"/>
              </w:rPr>
              <w:t>0</w:t>
            </w:r>
            <w:r w:rsidR="007A3DF9" w:rsidRPr="00DD6E6B">
              <w:rPr>
                <w:rStyle w:val="normaltextrun"/>
                <w:rFonts w:eastAsia="MS Gothic" w:cs="Arial"/>
                <w:color w:val="000000"/>
                <w:szCs w:val="20"/>
                <w:lang w:val="en-GB"/>
              </w:rPr>
              <w:t>.</w:t>
            </w:r>
            <w:r w:rsidR="00D27F07" w:rsidRPr="00DD6E6B">
              <w:rPr>
                <w:rStyle w:val="normaltextrun"/>
                <w:rFonts w:eastAsia="MS Gothic" w:cs="Arial"/>
                <w:color w:val="000000"/>
                <w:szCs w:val="20"/>
                <w:lang w:val="en-GB"/>
              </w:rPr>
              <w:t xml:space="preserve">8%, </w:t>
            </w:r>
            <w:r w:rsidR="007A3DF9" w:rsidRPr="00DD6E6B">
              <w:rPr>
                <w:rStyle w:val="normaltextrun"/>
                <w:rFonts w:eastAsia="MS Gothic" w:cs="Arial"/>
                <w:color w:val="000000"/>
                <w:szCs w:val="20"/>
                <w:lang w:val="en-GB"/>
              </w:rPr>
              <w:t xml:space="preserve">solely due to the </w:t>
            </w:r>
            <w:r w:rsidR="009B1EC3" w:rsidRPr="00DD6E6B">
              <w:rPr>
                <w:rStyle w:val="normaltextrun"/>
                <w:rFonts w:eastAsia="MS Gothic" w:cs="Arial"/>
                <w:color w:val="000000"/>
                <w:szCs w:val="20"/>
                <w:lang w:val="en-GB"/>
              </w:rPr>
              <w:t xml:space="preserve">reduction </w:t>
            </w:r>
            <w:r w:rsidR="00CD24B5" w:rsidRPr="00DD6E6B">
              <w:rPr>
                <w:rStyle w:val="normaltextrun"/>
                <w:rFonts w:eastAsia="MS Gothic" w:cs="Arial"/>
                <w:color w:val="000000"/>
                <w:szCs w:val="20"/>
                <w:lang w:val="en-GB"/>
              </w:rPr>
              <w:t xml:space="preserve">of </w:t>
            </w:r>
            <w:r w:rsidR="00A609BD" w:rsidRPr="00DD6E6B">
              <w:rPr>
                <w:rStyle w:val="normaltextrun"/>
                <w:rFonts w:eastAsia="MS Gothic" w:cs="Arial"/>
                <w:color w:val="000000"/>
                <w:szCs w:val="20"/>
                <w:lang w:val="en-GB"/>
              </w:rPr>
              <w:t>sowing area</w:t>
            </w:r>
            <w:r w:rsidR="00D27F07" w:rsidRPr="00DD6E6B">
              <w:rPr>
                <w:rStyle w:val="normaltextrun"/>
                <w:rFonts w:eastAsia="MS Gothic" w:cs="Arial"/>
                <w:color w:val="000000"/>
                <w:szCs w:val="20"/>
                <w:lang w:val="en-GB"/>
              </w:rPr>
              <w:t xml:space="preserve">). </w:t>
            </w:r>
            <w:r w:rsidR="001C1978" w:rsidRPr="00DD6E6B">
              <w:rPr>
                <w:rStyle w:val="normaltextrun"/>
                <w:rFonts w:eastAsia="MS Gothic" w:cs="Arial"/>
                <w:color w:val="000000"/>
                <w:szCs w:val="20"/>
                <w:lang w:val="en-GB"/>
              </w:rPr>
              <w:t xml:space="preserve">Similar is also valid for rape, whose harvest however exceeded the five-year average more distinctly </w:t>
            </w:r>
            <w:r w:rsidR="00D27F07" w:rsidRPr="00DD6E6B">
              <w:rPr>
                <w:rStyle w:val="normaltextrun"/>
                <w:rFonts w:eastAsia="MS Gothic" w:cs="Arial"/>
                <w:color w:val="000000"/>
                <w:szCs w:val="20"/>
                <w:lang w:val="en-GB"/>
              </w:rPr>
              <w:t>(</w:t>
            </w:r>
            <w:r w:rsidR="001C1978" w:rsidRPr="00DD6E6B">
              <w:rPr>
                <w:rStyle w:val="normaltextrun"/>
                <w:rFonts w:eastAsia="MS Gothic" w:cs="Arial"/>
                <w:color w:val="000000"/>
                <w:szCs w:val="20"/>
                <w:lang w:val="en-GB"/>
              </w:rPr>
              <w:t xml:space="preserve">by </w:t>
            </w:r>
            <w:r w:rsidR="00D27F07" w:rsidRPr="00DD6E6B">
              <w:rPr>
                <w:rStyle w:val="normaltextrun"/>
                <w:rFonts w:eastAsia="MS Gothic" w:cs="Arial"/>
                <w:color w:val="000000"/>
                <w:szCs w:val="20"/>
                <w:lang w:val="en-GB"/>
              </w:rPr>
              <w:t>6</w:t>
            </w:r>
            <w:r w:rsidR="001C1978" w:rsidRPr="00DD6E6B">
              <w:rPr>
                <w:rStyle w:val="normaltextrun"/>
                <w:rFonts w:eastAsia="MS Gothic" w:cs="Arial"/>
                <w:color w:val="000000"/>
                <w:szCs w:val="20"/>
                <w:lang w:val="en-GB"/>
              </w:rPr>
              <w:t>.</w:t>
            </w:r>
            <w:r w:rsidR="00D27F07" w:rsidRPr="00DD6E6B">
              <w:rPr>
                <w:rStyle w:val="normaltextrun"/>
                <w:rFonts w:eastAsia="MS Gothic" w:cs="Arial"/>
                <w:color w:val="000000"/>
                <w:szCs w:val="20"/>
                <w:lang w:val="en-GB"/>
              </w:rPr>
              <w:t>1%)</w:t>
            </w:r>
            <w:r w:rsidR="001C1978" w:rsidRPr="00DD6E6B">
              <w:rPr>
                <w:rStyle w:val="normaltextrun"/>
                <w:rFonts w:eastAsia="MS Gothic" w:cs="Arial"/>
                <w:color w:val="000000"/>
                <w:szCs w:val="20"/>
                <w:lang w:val="en-GB"/>
              </w:rPr>
              <w:t xml:space="preserve"> and also grew faster year-on-year </w:t>
            </w:r>
            <w:r w:rsidR="00D27F07" w:rsidRPr="00DD6E6B">
              <w:rPr>
                <w:rStyle w:val="normaltextrun"/>
                <w:rFonts w:eastAsia="MS Gothic" w:cs="Arial"/>
                <w:color w:val="000000"/>
                <w:szCs w:val="20"/>
                <w:lang w:val="en-GB"/>
              </w:rPr>
              <w:t>(+9</w:t>
            </w:r>
            <w:r w:rsidR="001C1978" w:rsidRPr="00DD6E6B">
              <w:rPr>
                <w:rStyle w:val="normaltextrun"/>
                <w:rFonts w:eastAsia="MS Gothic" w:cs="Arial"/>
                <w:color w:val="000000"/>
                <w:szCs w:val="20"/>
                <w:lang w:val="en-GB"/>
              </w:rPr>
              <w:t>.</w:t>
            </w:r>
            <w:r w:rsidR="00D27F07" w:rsidRPr="00DD6E6B">
              <w:rPr>
                <w:rStyle w:val="normaltextrun"/>
                <w:rFonts w:eastAsia="MS Gothic" w:cs="Arial"/>
                <w:color w:val="000000"/>
                <w:szCs w:val="20"/>
                <w:lang w:val="en-GB"/>
              </w:rPr>
              <w:t xml:space="preserve">2%, </w:t>
            </w:r>
            <w:r w:rsidR="003724CE" w:rsidRPr="00DD6E6B">
              <w:rPr>
                <w:rStyle w:val="normaltextrun"/>
                <w:rFonts w:eastAsia="MS Gothic" w:cs="Arial"/>
                <w:color w:val="000000"/>
                <w:szCs w:val="20"/>
                <w:lang w:val="en-GB"/>
              </w:rPr>
              <w:t>exclusively due to the enlarged area under crop</w:t>
            </w:r>
            <w:r w:rsidR="00D27F07" w:rsidRPr="00DD6E6B">
              <w:rPr>
                <w:rStyle w:val="normaltextrun"/>
                <w:rFonts w:eastAsia="MS Gothic" w:cs="Arial"/>
                <w:color w:val="000000"/>
                <w:szCs w:val="20"/>
                <w:lang w:val="en-GB"/>
              </w:rPr>
              <w:t xml:space="preserve">). </w:t>
            </w:r>
            <w:r w:rsidR="0006210C">
              <w:rPr>
                <w:rStyle w:val="normaltextrun"/>
                <w:rFonts w:eastAsia="MS Gothic" w:cs="Arial"/>
                <w:color w:val="000000"/>
                <w:szCs w:val="20"/>
                <w:lang w:val="en-GB"/>
              </w:rPr>
              <w:t>However, c</w:t>
            </w:r>
            <w:r w:rsidR="00467174" w:rsidRPr="00DD6E6B">
              <w:rPr>
                <w:rStyle w:val="normaltextrun"/>
                <w:rFonts w:eastAsia="MS Gothic" w:cs="Arial"/>
                <w:color w:val="000000"/>
                <w:szCs w:val="20"/>
                <w:lang w:val="en-GB"/>
              </w:rPr>
              <w:t xml:space="preserve">urrent estimations of harvest are less </w:t>
            </w:r>
            <w:r w:rsidR="00D756D1" w:rsidRPr="00DD6E6B">
              <w:rPr>
                <w:rStyle w:val="normaltextrun"/>
                <w:rFonts w:eastAsia="MS Gothic" w:cs="Arial"/>
                <w:color w:val="000000"/>
                <w:szCs w:val="20"/>
                <w:lang w:val="en-GB"/>
              </w:rPr>
              <w:t xml:space="preserve">favourable </w:t>
            </w:r>
            <w:r w:rsidR="00467174" w:rsidRPr="00DD6E6B">
              <w:rPr>
                <w:rStyle w:val="normaltextrun"/>
                <w:rFonts w:eastAsia="MS Gothic" w:cs="Arial"/>
                <w:color w:val="000000"/>
                <w:szCs w:val="20"/>
                <w:lang w:val="en-GB"/>
              </w:rPr>
              <w:t>for some other plants</w:t>
            </w:r>
            <w:r w:rsidR="00D27F07" w:rsidRPr="00DD6E6B">
              <w:rPr>
                <w:rStyle w:val="Znakapoznpodarou"/>
                <w:rFonts w:eastAsia="MS Gothic"/>
                <w:color w:val="000000"/>
                <w:szCs w:val="20"/>
                <w:lang w:val="en-GB"/>
              </w:rPr>
              <w:footnoteReference w:id="5"/>
            </w:r>
            <w:r w:rsidR="00D27F07" w:rsidRPr="00DD6E6B">
              <w:rPr>
                <w:rStyle w:val="normaltextrun"/>
                <w:rFonts w:eastAsia="MS Gothic" w:cs="Arial"/>
                <w:color w:val="000000"/>
                <w:szCs w:val="20"/>
                <w:lang w:val="en-GB"/>
              </w:rPr>
              <w:t xml:space="preserve">. </w:t>
            </w:r>
          </w:p>
        </w:tc>
      </w:tr>
      <w:tr w:rsidR="00D27F07" w:rsidRPr="00DD6E6B" w14:paraId="6CB6F972" w14:textId="77777777" w:rsidTr="00D80129">
        <w:trPr>
          <w:trHeight w:val="145"/>
        </w:trPr>
        <w:tc>
          <w:tcPr>
            <w:tcW w:w="1678" w:type="dxa"/>
            <w:tcBorders>
              <w:top w:val="nil"/>
              <w:left w:val="nil"/>
              <w:bottom w:val="nil"/>
              <w:right w:val="nil"/>
            </w:tcBorders>
            <w:shd w:val="clear" w:color="auto" w:fill="auto"/>
            <w:tcMar>
              <w:left w:w="0" w:type="dxa"/>
            </w:tcMar>
          </w:tcPr>
          <w:p w14:paraId="1A8CD32C" w14:textId="3C0D6B84" w:rsidR="00D27F07" w:rsidRPr="00DD6E6B" w:rsidRDefault="00B564F1" w:rsidP="00D42399">
            <w:pPr>
              <w:pStyle w:val="Marginlie"/>
              <w:rPr>
                <w:color w:val="0D0D0D" w:themeColor="text1" w:themeTint="F2"/>
                <w:spacing w:val="-4"/>
                <w:lang w:val="en-GB"/>
              </w:rPr>
            </w:pPr>
            <w:r w:rsidRPr="00DD6E6B">
              <w:rPr>
                <w:color w:val="0D0D0D" w:themeColor="text1" w:themeTint="F2"/>
                <w:spacing w:val="-4"/>
                <w:lang w:val="en-GB"/>
              </w:rPr>
              <w:t xml:space="preserve">Quarter-on-quarter growth of the industrial output renewed </w:t>
            </w:r>
            <w:r w:rsidR="000711D6" w:rsidRPr="00DD6E6B">
              <w:rPr>
                <w:color w:val="0D0D0D" w:themeColor="text1" w:themeTint="F2"/>
                <w:spacing w:val="-4"/>
                <w:lang w:val="en-GB"/>
              </w:rPr>
              <w:t xml:space="preserve">following the shallow recession </w:t>
            </w:r>
            <w:r w:rsidR="00095360" w:rsidRPr="00DD6E6B">
              <w:rPr>
                <w:color w:val="0D0D0D" w:themeColor="text1" w:themeTint="F2"/>
                <w:spacing w:val="-4"/>
                <w:lang w:val="en-GB"/>
              </w:rPr>
              <w:t>from the turn of years 2</w:t>
            </w:r>
            <w:r w:rsidR="00D27F07" w:rsidRPr="00DD6E6B">
              <w:rPr>
                <w:color w:val="0D0D0D" w:themeColor="text1" w:themeTint="F2"/>
                <w:spacing w:val="-4"/>
                <w:lang w:val="en-GB"/>
              </w:rPr>
              <w:t>022 a</w:t>
            </w:r>
            <w:r w:rsidR="00095360" w:rsidRPr="00DD6E6B">
              <w:rPr>
                <w:color w:val="0D0D0D" w:themeColor="text1" w:themeTint="F2"/>
                <w:spacing w:val="-4"/>
                <w:lang w:val="en-GB"/>
              </w:rPr>
              <w:t>nd</w:t>
            </w:r>
            <w:r w:rsidR="00D27F07" w:rsidRPr="00DD6E6B">
              <w:rPr>
                <w:color w:val="0D0D0D" w:themeColor="text1" w:themeTint="F2"/>
                <w:spacing w:val="-4"/>
                <w:lang w:val="en-GB"/>
              </w:rPr>
              <w:t xml:space="preserve"> 2023. </w:t>
            </w:r>
          </w:p>
          <w:p w14:paraId="5A7D86BE" w14:textId="17B788FA" w:rsidR="00D27F07" w:rsidRPr="00DD6E6B" w:rsidRDefault="006B133E" w:rsidP="00D42399">
            <w:pPr>
              <w:pStyle w:val="Marginlie"/>
              <w:rPr>
                <w:color w:val="0D0D0D" w:themeColor="text1" w:themeTint="F2"/>
                <w:spacing w:val="-4"/>
                <w:lang w:val="en-GB"/>
              </w:rPr>
            </w:pPr>
            <w:r w:rsidRPr="00DD6E6B">
              <w:rPr>
                <w:color w:val="0D0D0D" w:themeColor="text1" w:themeTint="F2"/>
                <w:spacing w:val="-4"/>
                <w:lang w:val="en-GB"/>
              </w:rPr>
              <w:lastRenderedPageBreak/>
              <w:t xml:space="preserve">Majority of industrial </w:t>
            </w:r>
            <w:r w:rsidR="006367CA" w:rsidRPr="00DD6E6B">
              <w:rPr>
                <w:color w:val="0D0D0D" w:themeColor="text1" w:themeTint="F2"/>
                <w:spacing w:val="-4"/>
                <w:lang w:val="en-GB"/>
              </w:rPr>
              <w:t>activities</w:t>
            </w:r>
            <w:r w:rsidRPr="00DD6E6B">
              <w:rPr>
                <w:color w:val="0D0D0D" w:themeColor="text1" w:themeTint="F2"/>
                <w:spacing w:val="-4"/>
                <w:lang w:val="en-GB"/>
              </w:rPr>
              <w:t xml:space="preserve"> however still struggled </w:t>
            </w:r>
            <w:r w:rsidR="006367CA" w:rsidRPr="00DD6E6B">
              <w:rPr>
                <w:color w:val="0D0D0D" w:themeColor="text1" w:themeTint="F2"/>
                <w:spacing w:val="-4"/>
                <w:lang w:val="en-GB"/>
              </w:rPr>
              <w:t xml:space="preserve">both </w:t>
            </w:r>
            <w:r w:rsidRPr="00DD6E6B">
              <w:rPr>
                <w:color w:val="0D0D0D" w:themeColor="text1" w:themeTint="F2"/>
                <w:spacing w:val="-4"/>
                <w:lang w:val="en-GB"/>
              </w:rPr>
              <w:t xml:space="preserve">with </w:t>
            </w:r>
            <w:r w:rsidR="006367CA" w:rsidRPr="00DD6E6B">
              <w:rPr>
                <w:color w:val="0D0D0D" w:themeColor="text1" w:themeTint="F2"/>
                <w:spacing w:val="-4"/>
                <w:lang w:val="en-GB"/>
              </w:rPr>
              <w:t xml:space="preserve">lowered demand and raised production costs. </w:t>
            </w:r>
          </w:p>
        </w:tc>
        <w:tc>
          <w:tcPr>
            <w:tcW w:w="194" w:type="dxa"/>
            <w:tcBorders>
              <w:top w:val="nil"/>
              <w:left w:val="nil"/>
              <w:bottom w:val="nil"/>
              <w:right w:val="nil"/>
            </w:tcBorders>
            <w:shd w:val="clear" w:color="auto" w:fill="auto"/>
            <w:tcMar>
              <w:left w:w="0" w:type="dxa"/>
            </w:tcMar>
          </w:tcPr>
          <w:p w14:paraId="1CA71146"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504E73A2" w14:textId="140DFAC7" w:rsidR="00D27F07" w:rsidRPr="00DD6E6B" w:rsidRDefault="00E455A7" w:rsidP="00B7374C">
            <w:pPr>
              <w:spacing w:after="180"/>
              <w:rPr>
                <w:spacing w:val="-4"/>
                <w:lang w:val="en-GB"/>
              </w:rPr>
            </w:pPr>
            <w:r w:rsidRPr="00DD6E6B">
              <w:rPr>
                <w:color w:val="0D0D0D" w:themeColor="text1" w:themeTint="F2"/>
                <w:spacing w:val="-4"/>
                <w:lang w:val="en-GB"/>
              </w:rPr>
              <w:t>The d</w:t>
            </w:r>
            <w:r w:rsidR="00A147AC" w:rsidRPr="00DD6E6B">
              <w:rPr>
                <w:color w:val="0D0D0D" w:themeColor="text1" w:themeTint="F2"/>
                <w:spacing w:val="-4"/>
                <w:lang w:val="en-GB"/>
              </w:rPr>
              <w:t>omestic industry</w:t>
            </w:r>
            <w:r w:rsidRPr="00DD6E6B">
              <w:rPr>
                <w:color w:val="0D0D0D" w:themeColor="text1" w:themeTint="F2"/>
                <w:spacing w:val="-4"/>
                <w:lang w:val="en-GB"/>
              </w:rPr>
              <w:t xml:space="preserve"> thanks to the sound investment activity in the CR</w:t>
            </w:r>
            <w:r w:rsidR="00D27F07" w:rsidRPr="00DD6E6B">
              <w:rPr>
                <w:rStyle w:val="Znakapoznpodarou"/>
                <w:color w:val="0D0D0D" w:themeColor="text1" w:themeTint="F2"/>
                <w:spacing w:val="-4"/>
                <w:lang w:val="en-GB"/>
              </w:rPr>
              <w:footnoteReference w:id="6"/>
            </w:r>
            <w:r w:rsidR="00D27F07" w:rsidRPr="00DD6E6B">
              <w:rPr>
                <w:color w:val="0D0D0D" w:themeColor="text1" w:themeTint="F2"/>
                <w:spacing w:val="-4"/>
                <w:lang w:val="en-GB"/>
              </w:rPr>
              <w:t xml:space="preserve"> </w:t>
            </w:r>
            <w:r w:rsidRPr="00DD6E6B">
              <w:rPr>
                <w:color w:val="0D0D0D" w:themeColor="text1" w:themeTint="F2"/>
                <w:spacing w:val="-4"/>
                <w:lang w:val="en-GB"/>
              </w:rPr>
              <w:t xml:space="preserve">as well as branch diversification has fairly well coped </w:t>
            </w:r>
            <w:r w:rsidR="004F72C6" w:rsidRPr="00DD6E6B">
              <w:rPr>
                <w:color w:val="0D0D0D" w:themeColor="text1" w:themeTint="F2"/>
                <w:spacing w:val="-4"/>
                <w:lang w:val="en-GB"/>
              </w:rPr>
              <w:t xml:space="preserve">with </w:t>
            </w:r>
            <w:r w:rsidRPr="00DD6E6B">
              <w:rPr>
                <w:color w:val="0D0D0D" w:themeColor="text1" w:themeTint="F2"/>
                <w:spacing w:val="-4"/>
                <w:lang w:val="en-GB"/>
              </w:rPr>
              <w:t xml:space="preserve">the </w:t>
            </w:r>
            <w:r w:rsidR="00B7374C">
              <w:rPr>
                <w:color w:val="0D0D0D" w:themeColor="text1" w:themeTint="F2"/>
                <w:spacing w:val="-4"/>
                <w:lang w:val="en-GB"/>
              </w:rPr>
              <w:t>challenging</w:t>
            </w:r>
            <w:r w:rsidR="004F72C6" w:rsidRPr="00DD6E6B">
              <w:rPr>
                <w:color w:val="0D0D0D" w:themeColor="text1" w:themeTint="F2"/>
                <w:spacing w:val="-4"/>
                <w:lang w:val="en-GB"/>
              </w:rPr>
              <w:t xml:space="preserve"> internal and </w:t>
            </w:r>
            <w:r w:rsidRPr="00DD6E6B">
              <w:rPr>
                <w:color w:val="0D0D0D" w:themeColor="text1" w:themeTint="F2"/>
                <w:spacing w:val="-4"/>
                <w:lang w:val="en-GB"/>
              </w:rPr>
              <w:t>external</w:t>
            </w:r>
            <w:r w:rsidR="004F72C6" w:rsidRPr="00DD6E6B">
              <w:rPr>
                <w:color w:val="0D0D0D" w:themeColor="text1" w:themeTint="F2"/>
                <w:spacing w:val="-4"/>
                <w:lang w:val="en-GB"/>
              </w:rPr>
              <w:t xml:space="preserve"> economic and political conditions</w:t>
            </w:r>
            <w:r w:rsidRPr="00DD6E6B">
              <w:rPr>
                <w:color w:val="0D0D0D" w:themeColor="text1" w:themeTint="F2"/>
                <w:spacing w:val="-4"/>
                <w:lang w:val="en-GB"/>
              </w:rPr>
              <w:t xml:space="preserve"> so far</w:t>
            </w:r>
            <w:r w:rsidR="00D27F07" w:rsidRPr="00DD6E6B">
              <w:rPr>
                <w:color w:val="0D0D0D" w:themeColor="text1" w:themeTint="F2"/>
                <w:spacing w:val="-4"/>
                <w:lang w:val="en-GB"/>
              </w:rPr>
              <w:t xml:space="preserve">. </w:t>
            </w:r>
            <w:r w:rsidR="00390A99" w:rsidRPr="00DD6E6B">
              <w:rPr>
                <w:color w:val="0D0D0D" w:themeColor="text1" w:themeTint="F2"/>
                <w:spacing w:val="-4"/>
                <w:lang w:val="en-GB"/>
              </w:rPr>
              <w:t>Eq</w:t>
            </w:r>
            <w:r w:rsidR="00B7374C">
              <w:rPr>
                <w:color w:val="0D0D0D" w:themeColor="text1" w:themeTint="F2"/>
                <w:spacing w:val="-4"/>
                <w:lang w:val="en-GB"/>
              </w:rPr>
              <w:t>ually to the Czech economy its i</w:t>
            </w:r>
            <w:r w:rsidR="00390A99" w:rsidRPr="00DD6E6B">
              <w:rPr>
                <w:color w:val="0D0D0D" w:themeColor="text1" w:themeTint="F2"/>
                <w:spacing w:val="-4"/>
                <w:lang w:val="en-GB"/>
              </w:rPr>
              <w:t xml:space="preserve">ndustry also found itself in a shallow recession at the turn of years </w:t>
            </w:r>
            <w:r w:rsidR="00D27F07" w:rsidRPr="00DD6E6B">
              <w:rPr>
                <w:color w:val="0D0D0D" w:themeColor="text1" w:themeTint="F2"/>
                <w:spacing w:val="-4"/>
                <w:lang w:val="en-GB"/>
              </w:rPr>
              <w:t>2022 a</w:t>
            </w:r>
            <w:r w:rsidR="00390A99" w:rsidRPr="00DD6E6B">
              <w:rPr>
                <w:color w:val="0D0D0D" w:themeColor="text1" w:themeTint="F2"/>
                <w:spacing w:val="-4"/>
                <w:lang w:val="en-GB"/>
              </w:rPr>
              <w:t>nd</w:t>
            </w:r>
            <w:r w:rsidR="00D27F07" w:rsidRPr="00DD6E6B">
              <w:rPr>
                <w:color w:val="0D0D0D" w:themeColor="text1" w:themeTint="F2"/>
                <w:spacing w:val="-4"/>
                <w:lang w:val="en-GB"/>
              </w:rPr>
              <w:t xml:space="preserve"> 2023, </w:t>
            </w:r>
            <w:r w:rsidR="00390A99" w:rsidRPr="00DD6E6B">
              <w:rPr>
                <w:color w:val="0D0D0D" w:themeColor="text1" w:themeTint="F2"/>
                <w:spacing w:val="-4"/>
                <w:lang w:val="en-GB"/>
              </w:rPr>
              <w:t xml:space="preserve">which is also confirmed by the fact, that unlike number of other branches it was simultaneously afflicted by the reduction of </w:t>
            </w:r>
            <w:r w:rsidR="00390A99" w:rsidRPr="00DD6E6B">
              <w:rPr>
                <w:color w:val="0D0D0D" w:themeColor="text1" w:themeTint="F2"/>
                <w:spacing w:val="-4"/>
                <w:lang w:val="en-GB"/>
              </w:rPr>
              <w:lastRenderedPageBreak/>
              <w:t xml:space="preserve">employment as well. </w:t>
            </w:r>
            <w:r w:rsidR="00F14922" w:rsidRPr="00DD6E6B">
              <w:rPr>
                <w:color w:val="0D0D0D" w:themeColor="text1" w:themeTint="F2"/>
                <w:spacing w:val="-4"/>
                <w:lang w:val="en-GB"/>
              </w:rPr>
              <w:t>The quarter-on-quarter growth of the industrial production</w:t>
            </w:r>
            <w:r w:rsidR="00D27F07" w:rsidRPr="00DD6E6B">
              <w:rPr>
                <w:rStyle w:val="Znakapoznpodarou"/>
                <w:color w:val="0D0D0D" w:themeColor="text1" w:themeTint="F2"/>
                <w:spacing w:val="-4"/>
                <w:lang w:val="en-GB"/>
              </w:rPr>
              <w:footnoteReference w:id="7"/>
            </w:r>
            <w:r w:rsidR="00D27F07" w:rsidRPr="00DD6E6B">
              <w:rPr>
                <w:color w:val="0D0D0D" w:themeColor="text1" w:themeTint="F2"/>
                <w:spacing w:val="-4"/>
                <w:lang w:val="en-GB"/>
              </w:rPr>
              <w:t xml:space="preserve"> </w:t>
            </w:r>
            <w:r w:rsidR="00F14922" w:rsidRPr="00DD6E6B">
              <w:rPr>
                <w:color w:val="0D0D0D" w:themeColor="text1" w:themeTint="F2"/>
                <w:spacing w:val="-4"/>
                <w:lang w:val="en-GB"/>
              </w:rPr>
              <w:t xml:space="preserve">renewed in Q2 2023 </w:t>
            </w:r>
            <w:r w:rsidR="00D27F07" w:rsidRPr="00DD6E6B">
              <w:rPr>
                <w:color w:val="0D0D0D" w:themeColor="text1" w:themeTint="F2"/>
                <w:spacing w:val="-4"/>
                <w:lang w:val="en-GB"/>
              </w:rPr>
              <w:t>(+0</w:t>
            </w:r>
            <w:r w:rsidR="00F14922" w:rsidRPr="00DD6E6B">
              <w:rPr>
                <w:color w:val="0D0D0D" w:themeColor="text1" w:themeTint="F2"/>
                <w:spacing w:val="-4"/>
                <w:lang w:val="en-GB"/>
              </w:rPr>
              <w:t>.</w:t>
            </w:r>
            <w:r w:rsidR="00D27F07" w:rsidRPr="00DD6E6B">
              <w:rPr>
                <w:color w:val="0D0D0D" w:themeColor="text1" w:themeTint="F2"/>
                <w:spacing w:val="-4"/>
                <w:lang w:val="en-GB"/>
              </w:rPr>
              <w:t>8%) a</w:t>
            </w:r>
            <w:r w:rsidR="00A62555" w:rsidRPr="00DD6E6B">
              <w:rPr>
                <w:color w:val="0D0D0D" w:themeColor="text1" w:themeTint="F2"/>
                <w:spacing w:val="-4"/>
                <w:lang w:val="en-GB"/>
              </w:rPr>
              <w:t>nd the industrial output thus again tightly clim</w:t>
            </w:r>
            <w:r w:rsidR="00F14922" w:rsidRPr="00DD6E6B">
              <w:rPr>
                <w:color w:val="0D0D0D" w:themeColor="text1" w:themeTint="F2"/>
                <w:spacing w:val="-4"/>
                <w:lang w:val="en-GB"/>
              </w:rPr>
              <w:t>bed</w:t>
            </w:r>
            <w:r w:rsidR="00A62555" w:rsidRPr="00DD6E6B">
              <w:rPr>
                <w:color w:val="0D0D0D" w:themeColor="text1" w:themeTint="F2"/>
                <w:spacing w:val="-4"/>
                <w:lang w:val="en-GB"/>
              </w:rPr>
              <w:t xml:space="preserve"> up above the level f</w:t>
            </w:r>
            <w:r w:rsidR="00917FBC" w:rsidRPr="00DD6E6B">
              <w:rPr>
                <w:color w:val="0D0D0D" w:themeColor="text1" w:themeTint="F2"/>
                <w:spacing w:val="-4"/>
                <w:lang w:val="en-GB"/>
              </w:rPr>
              <w:t>ro</w:t>
            </w:r>
            <w:r w:rsidR="00A62555" w:rsidRPr="00DD6E6B">
              <w:rPr>
                <w:color w:val="0D0D0D" w:themeColor="text1" w:themeTint="F2"/>
                <w:spacing w:val="-4"/>
                <w:lang w:val="en-GB"/>
              </w:rPr>
              <w:t xml:space="preserve">m the peak of the pre-pandemic boom. </w:t>
            </w:r>
            <w:r w:rsidR="001E3AC7" w:rsidRPr="00DD6E6B">
              <w:rPr>
                <w:color w:val="0D0D0D" w:themeColor="text1" w:themeTint="F2"/>
                <w:spacing w:val="-4"/>
                <w:lang w:val="en-GB"/>
              </w:rPr>
              <w:t xml:space="preserve">Nevertheless only its manufacturing part and there essentially only the manufacturing of motor vehicles </w:t>
            </w:r>
            <w:r w:rsidR="00D27F07" w:rsidRPr="00DD6E6B">
              <w:rPr>
                <w:color w:val="0D0D0D" w:themeColor="text1" w:themeTint="F2"/>
                <w:spacing w:val="-4"/>
                <w:lang w:val="en-GB"/>
              </w:rPr>
              <w:t>(</w:t>
            </w:r>
            <w:r w:rsidR="00A62555" w:rsidRPr="00DD6E6B">
              <w:rPr>
                <w:color w:val="0D0D0D" w:themeColor="text1" w:themeTint="F2"/>
                <w:spacing w:val="-4"/>
                <w:lang w:val="en-GB"/>
              </w:rPr>
              <w:t>including some tied sub-branches</w:t>
            </w:r>
            <w:r w:rsidR="00D27F07" w:rsidRPr="00DD6E6B">
              <w:rPr>
                <w:color w:val="0D0D0D" w:themeColor="text1" w:themeTint="F2"/>
                <w:spacing w:val="-4"/>
                <w:lang w:val="en-GB"/>
              </w:rPr>
              <w:t xml:space="preserve">) </w:t>
            </w:r>
            <w:r w:rsidR="001E3AC7" w:rsidRPr="00DD6E6B">
              <w:rPr>
                <w:color w:val="0D0D0D" w:themeColor="text1" w:themeTint="F2"/>
                <w:spacing w:val="-4"/>
                <w:lang w:val="en-GB"/>
              </w:rPr>
              <w:t xml:space="preserve">together with small, but dynamic field </w:t>
            </w:r>
            <w:r w:rsidR="00D27F07" w:rsidRPr="00DD6E6B">
              <w:rPr>
                <w:color w:val="0D0D0D" w:themeColor="text1" w:themeTint="F2"/>
                <w:spacing w:val="-4"/>
                <w:lang w:val="en-GB"/>
              </w:rPr>
              <w:t xml:space="preserve">– </w:t>
            </w:r>
            <w:r w:rsidR="00A62555" w:rsidRPr="00DD6E6B">
              <w:rPr>
                <w:color w:val="0D0D0D" w:themeColor="text1" w:themeTint="F2"/>
                <w:spacing w:val="-4"/>
                <w:lang w:val="en-GB"/>
              </w:rPr>
              <w:t>pharmaceutics</w:t>
            </w:r>
            <w:r w:rsidR="001E3AC7" w:rsidRPr="00DD6E6B">
              <w:rPr>
                <w:color w:val="0D0D0D" w:themeColor="text1" w:themeTint="F2"/>
                <w:spacing w:val="-4"/>
                <w:lang w:val="en-GB"/>
              </w:rPr>
              <w:t xml:space="preserve"> </w:t>
            </w:r>
            <w:r w:rsidR="00B7374C">
              <w:rPr>
                <w:color w:val="0D0D0D" w:themeColor="text1" w:themeTint="F2"/>
                <w:spacing w:val="-4"/>
                <w:lang w:val="en-GB"/>
              </w:rPr>
              <w:t xml:space="preserve">stood behind </w:t>
            </w:r>
            <w:r w:rsidR="001E3AC7" w:rsidRPr="00DD6E6B">
              <w:rPr>
                <w:color w:val="0D0D0D" w:themeColor="text1" w:themeTint="F2"/>
                <w:spacing w:val="-4"/>
                <w:lang w:val="en-GB"/>
              </w:rPr>
              <w:t>this year’s recover</w:t>
            </w:r>
            <w:r w:rsidR="00917FBC" w:rsidRPr="00DD6E6B">
              <w:rPr>
                <w:color w:val="0D0D0D" w:themeColor="text1" w:themeTint="F2"/>
                <w:spacing w:val="-4"/>
                <w:lang w:val="en-GB"/>
              </w:rPr>
              <w:t>y</w:t>
            </w:r>
            <w:r w:rsidR="001E3AC7" w:rsidRPr="00DD6E6B">
              <w:rPr>
                <w:color w:val="0D0D0D" w:themeColor="text1" w:themeTint="F2"/>
                <w:spacing w:val="-4"/>
                <w:lang w:val="en-GB"/>
              </w:rPr>
              <w:t xml:space="preserve"> of industry. These branches thus softened the impact of the reduced output of several energy intensive activities as well as other industry segments struck by the </w:t>
            </w:r>
            <w:r w:rsidR="00D27F07" w:rsidRPr="00DD6E6B">
              <w:rPr>
                <w:color w:val="0D0D0D" w:themeColor="text1" w:themeTint="F2"/>
                <w:spacing w:val="-4"/>
                <w:lang w:val="en-GB"/>
              </w:rPr>
              <w:t>cy</w:t>
            </w:r>
            <w:r w:rsidR="00A62555" w:rsidRPr="00DD6E6B">
              <w:rPr>
                <w:color w:val="0D0D0D" w:themeColor="text1" w:themeTint="F2"/>
                <w:spacing w:val="-4"/>
                <w:lang w:val="en-GB"/>
              </w:rPr>
              <w:t>clical contraction in the demand</w:t>
            </w:r>
            <w:r w:rsidR="00D27F07" w:rsidRPr="00DD6E6B">
              <w:rPr>
                <w:color w:val="0D0D0D" w:themeColor="text1" w:themeTint="F2"/>
                <w:spacing w:val="-4"/>
                <w:lang w:val="en-GB"/>
              </w:rPr>
              <w:t>.</w:t>
            </w:r>
          </w:p>
        </w:tc>
      </w:tr>
      <w:tr w:rsidR="00D27F07" w:rsidRPr="00DD6E6B" w14:paraId="7CE587B2" w14:textId="77777777" w:rsidTr="00D80129">
        <w:trPr>
          <w:trHeight w:val="145"/>
        </w:trPr>
        <w:tc>
          <w:tcPr>
            <w:tcW w:w="1678" w:type="dxa"/>
            <w:tcBorders>
              <w:top w:val="nil"/>
              <w:left w:val="nil"/>
              <w:bottom w:val="nil"/>
              <w:right w:val="nil"/>
            </w:tcBorders>
            <w:shd w:val="clear" w:color="auto" w:fill="auto"/>
            <w:tcMar>
              <w:left w:w="0" w:type="dxa"/>
            </w:tcMar>
          </w:tcPr>
          <w:p w14:paraId="428C8453" w14:textId="31735A34" w:rsidR="00D27F07" w:rsidRPr="00DD6E6B" w:rsidRDefault="00D4653E" w:rsidP="00D42399">
            <w:pPr>
              <w:pStyle w:val="Marginlie"/>
              <w:rPr>
                <w:color w:val="0D0D0D" w:themeColor="text1" w:themeTint="F2"/>
                <w:spacing w:val="-4"/>
                <w:lang w:val="en-GB"/>
              </w:rPr>
            </w:pPr>
            <w:r w:rsidRPr="00DD6E6B">
              <w:rPr>
                <w:color w:val="0D0D0D" w:themeColor="text1" w:themeTint="F2"/>
                <w:spacing w:val="-4"/>
                <w:lang w:val="en-GB"/>
              </w:rPr>
              <w:lastRenderedPageBreak/>
              <w:t xml:space="preserve">Without motor vehicle manufacturing the industrial output would considerably </w:t>
            </w:r>
            <w:r w:rsidR="00564C19" w:rsidRPr="00DD6E6B">
              <w:rPr>
                <w:color w:val="0D0D0D" w:themeColor="text1" w:themeTint="F2"/>
                <w:spacing w:val="-4"/>
                <w:lang w:val="en-GB"/>
              </w:rPr>
              <w:t>fall</w:t>
            </w:r>
            <w:r w:rsidRPr="00DD6E6B">
              <w:rPr>
                <w:color w:val="0D0D0D" w:themeColor="text1" w:themeTint="F2"/>
                <w:spacing w:val="-4"/>
                <w:lang w:val="en-GB"/>
              </w:rPr>
              <w:t xml:space="preserve"> year-on-year</w:t>
            </w:r>
            <w:r w:rsidR="00D27F07" w:rsidRPr="00DD6E6B">
              <w:rPr>
                <w:color w:val="0D0D0D" w:themeColor="text1" w:themeTint="F2"/>
                <w:spacing w:val="-4"/>
                <w:lang w:val="en-GB"/>
              </w:rPr>
              <w:t xml:space="preserve">, </w:t>
            </w:r>
            <w:r w:rsidRPr="00DD6E6B">
              <w:rPr>
                <w:color w:val="0D0D0D" w:themeColor="text1" w:themeTint="F2"/>
                <w:spacing w:val="-4"/>
                <w:lang w:val="en-GB"/>
              </w:rPr>
              <w:t xml:space="preserve">since the performance of more than two thirds of industrial branches was declining. </w:t>
            </w:r>
          </w:p>
          <w:p w14:paraId="23BD2C03" w14:textId="77777777" w:rsidR="00D27F07" w:rsidRPr="00DD6E6B" w:rsidRDefault="00D27F07" w:rsidP="00D42399">
            <w:pPr>
              <w:pStyle w:val="Marginlie"/>
              <w:rPr>
                <w:color w:val="0D0D0D" w:themeColor="text1" w:themeTint="F2"/>
                <w:spacing w:val="-4"/>
                <w:lang w:val="en-GB"/>
              </w:rPr>
            </w:pPr>
          </w:p>
          <w:p w14:paraId="2B4E29FC" w14:textId="77777777" w:rsidR="00D27F07" w:rsidRPr="00DD6E6B" w:rsidRDefault="00D27F07" w:rsidP="00D42399">
            <w:pPr>
              <w:pStyle w:val="Marginlie"/>
              <w:rPr>
                <w:color w:val="0D0D0D" w:themeColor="text1" w:themeTint="F2"/>
                <w:spacing w:val="-4"/>
                <w:lang w:val="en-GB"/>
              </w:rPr>
            </w:pPr>
          </w:p>
          <w:p w14:paraId="70AD798B" w14:textId="77777777" w:rsidR="00D27F07" w:rsidRPr="00DD6E6B" w:rsidRDefault="00D27F07" w:rsidP="00D42399">
            <w:pPr>
              <w:pStyle w:val="Marginlie"/>
              <w:rPr>
                <w:color w:val="0D0D0D" w:themeColor="text1" w:themeTint="F2"/>
                <w:spacing w:val="-4"/>
                <w:lang w:val="en-GB"/>
              </w:rPr>
            </w:pPr>
          </w:p>
          <w:p w14:paraId="4A1CB0E6" w14:textId="485A4ECB" w:rsidR="00D27F07" w:rsidRPr="00DD6E6B" w:rsidRDefault="00D27F07" w:rsidP="00D42399">
            <w:pPr>
              <w:pStyle w:val="Marginlie"/>
              <w:rPr>
                <w:color w:val="0D0D0D" w:themeColor="text1" w:themeTint="F2"/>
                <w:spacing w:val="-4"/>
                <w:lang w:val="en-GB"/>
              </w:rPr>
            </w:pPr>
            <w:r w:rsidRPr="00DD6E6B">
              <w:rPr>
                <w:color w:val="0D0D0D" w:themeColor="text1" w:themeTint="F2"/>
                <w:spacing w:val="-4"/>
                <w:lang w:val="en-GB"/>
              </w:rPr>
              <w:t>S</w:t>
            </w:r>
            <w:r w:rsidR="00D4653E" w:rsidRPr="00DD6E6B">
              <w:rPr>
                <w:color w:val="0D0D0D" w:themeColor="text1" w:themeTint="F2"/>
                <w:spacing w:val="-4"/>
                <w:lang w:val="en-GB"/>
              </w:rPr>
              <w:t xml:space="preserve">wift growth of manufacturing of other transport vehicles was mainly stimulated by the domestic demand. </w:t>
            </w:r>
          </w:p>
          <w:p w14:paraId="49BB3481" w14:textId="77777777" w:rsidR="00D27F07" w:rsidRPr="00DD6E6B" w:rsidRDefault="00D27F07" w:rsidP="00D42399">
            <w:pPr>
              <w:pStyle w:val="Marginlie"/>
              <w:rPr>
                <w:color w:val="0D0D0D" w:themeColor="text1" w:themeTint="F2"/>
                <w:spacing w:val="-4"/>
                <w:lang w:val="en-GB"/>
              </w:rPr>
            </w:pPr>
          </w:p>
        </w:tc>
        <w:tc>
          <w:tcPr>
            <w:tcW w:w="194" w:type="dxa"/>
            <w:tcBorders>
              <w:top w:val="nil"/>
              <w:left w:val="nil"/>
              <w:bottom w:val="nil"/>
              <w:right w:val="nil"/>
            </w:tcBorders>
            <w:shd w:val="clear" w:color="auto" w:fill="auto"/>
            <w:tcMar>
              <w:left w:w="0" w:type="dxa"/>
            </w:tcMar>
          </w:tcPr>
          <w:p w14:paraId="2DDA279C"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252E50FC" w14:textId="1677FC8A" w:rsidR="00D27F07" w:rsidRPr="00DD6E6B" w:rsidRDefault="00142062" w:rsidP="00D42399">
            <w:pPr>
              <w:spacing w:after="180"/>
              <w:rPr>
                <w:spacing w:val="-5"/>
                <w:lang w:val="en-GB"/>
              </w:rPr>
            </w:pPr>
            <w:r w:rsidRPr="00DD6E6B">
              <w:rPr>
                <w:spacing w:val="-5"/>
                <w:lang w:val="en-GB"/>
              </w:rPr>
              <w:t xml:space="preserve">In the year-on-year view the moderate growth of industrial production continued </w:t>
            </w:r>
            <w:r w:rsidR="00D27F07" w:rsidRPr="00DD6E6B">
              <w:rPr>
                <w:spacing w:val="-5"/>
                <w:lang w:val="en-GB"/>
              </w:rPr>
              <w:t>(+1</w:t>
            </w:r>
            <w:r w:rsidRPr="00DD6E6B">
              <w:rPr>
                <w:spacing w:val="-5"/>
                <w:lang w:val="en-GB"/>
              </w:rPr>
              <w:t>.</w:t>
            </w:r>
            <w:r w:rsidR="00D27F07" w:rsidRPr="00DD6E6B">
              <w:rPr>
                <w:spacing w:val="-5"/>
                <w:lang w:val="en-GB"/>
              </w:rPr>
              <w:t>1%</w:t>
            </w:r>
            <w:r w:rsidRPr="00DD6E6B">
              <w:rPr>
                <w:spacing w:val="-5"/>
                <w:lang w:val="en-GB"/>
              </w:rPr>
              <w:t xml:space="preserve"> in H1 2023</w:t>
            </w:r>
            <w:r w:rsidR="00204EF3" w:rsidRPr="00DD6E6B">
              <w:rPr>
                <w:spacing w:val="-5"/>
                <w:lang w:val="en-GB"/>
              </w:rPr>
              <w:t>)</w:t>
            </w:r>
            <w:r w:rsidRPr="00DD6E6B">
              <w:rPr>
                <w:spacing w:val="-5"/>
                <w:lang w:val="en-GB"/>
              </w:rPr>
              <w:t xml:space="preserve">. Manufacturers of motor vehicles </w:t>
            </w:r>
            <w:r w:rsidR="00D27F07" w:rsidRPr="00DD6E6B">
              <w:rPr>
                <w:spacing w:val="-5"/>
                <w:lang w:val="en-GB"/>
              </w:rPr>
              <w:t>(</w:t>
            </w:r>
            <w:r w:rsidRPr="00DD6E6B">
              <w:rPr>
                <w:spacing w:val="-5"/>
                <w:lang w:val="en-GB"/>
              </w:rPr>
              <w:t xml:space="preserve">contribution </w:t>
            </w:r>
            <w:r w:rsidR="00D27F07" w:rsidRPr="00DD6E6B">
              <w:rPr>
                <w:spacing w:val="-5"/>
                <w:lang w:val="en-GB"/>
              </w:rPr>
              <w:t>+4</w:t>
            </w:r>
            <w:r w:rsidRPr="00DD6E6B">
              <w:rPr>
                <w:spacing w:val="-5"/>
                <w:lang w:val="en-GB"/>
              </w:rPr>
              <w:t>.</w:t>
            </w:r>
            <w:r w:rsidR="00D27F07" w:rsidRPr="00DD6E6B">
              <w:rPr>
                <w:spacing w:val="-5"/>
                <w:lang w:val="en-GB"/>
              </w:rPr>
              <w:t xml:space="preserve">5 p. </w:t>
            </w:r>
            <w:r w:rsidRPr="00DD6E6B">
              <w:rPr>
                <w:spacing w:val="-5"/>
                <w:lang w:val="en-GB"/>
              </w:rPr>
              <w:t>p</w:t>
            </w:r>
            <w:r w:rsidR="00D27F07" w:rsidRPr="00DD6E6B">
              <w:rPr>
                <w:spacing w:val="-5"/>
                <w:lang w:val="en-GB"/>
              </w:rPr>
              <w:t xml:space="preserve">.), </w:t>
            </w:r>
            <w:r w:rsidR="00564C19" w:rsidRPr="00DD6E6B">
              <w:rPr>
                <w:spacing w:val="-5"/>
                <w:lang w:val="en-GB"/>
              </w:rPr>
              <w:t xml:space="preserve">whose sales swiftly grew both abroad and locally </w:t>
            </w:r>
            <w:r w:rsidRPr="00DD6E6B">
              <w:rPr>
                <w:spacing w:val="-5"/>
                <w:lang w:val="en-GB"/>
              </w:rPr>
              <w:t>played a key role here</w:t>
            </w:r>
            <w:r w:rsidR="00D27F07" w:rsidRPr="00DD6E6B">
              <w:rPr>
                <w:spacing w:val="-5"/>
                <w:lang w:val="en-GB"/>
              </w:rPr>
              <w:t xml:space="preserve">. </w:t>
            </w:r>
            <w:r w:rsidRPr="00DD6E6B">
              <w:rPr>
                <w:spacing w:val="-5"/>
                <w:lang w:val="en-GB"/>
              </w:rPr>
              <w:t>In contrast</w:t>
            </w:r>
            <w:r w:rsidR="00EC79DD">
              <w:rPr>
                <w:spacing w:val="-5"/>
                <w:lang w:val="en-GB"/>
              </w:rPr>
              <w:t>,</w:t>
            </w:r>
            <w:r w:rsidRPr="00DD6E6B">
              <w:rPr>
                <w:spacing w:val="-5"/>
                <w:lang w:val="en-GB"/>
              </w:rPr>
              <w:t xml:space="preserve"> the ou</w:t>
            </w:r>
            <w:r w:rsidR="00564C19" w:rsidRPr="00DD6E6B">
              <w:rPr>
                <w:spacing w:val="-5"/>
                <w:lang w:val="en-GB"/>
              </w:rPr>
              <w:t>t</w:t>
            </w:r>
            <w:r w:rsidRPr="00DD6E6B">
              <w:rPr>
                <w:spacing w:val="-5"/>
                <w:lang w:val="en-GB"/>
              </w:rPr>
              <w:t xml:space="preserve">put of more than two thirds of industrial branches remained below the last year’s level. </w:t>
            </w:r>
            <w:r w:rsidR="00D27F07" w:rsidRPr="00DD6E6B">
              <w:rPr>
                <w:spacing w:val="-5"/>
                <w:lang w:val="en-GB"/>
              </w:rPr>
              <w:t>Produ</w:t>
            </w:r>
            <w:r w:rsidR="002D67B7" w:rsidRPr="00DD6E6B">
              <w:rPr>
                <w:spacing w:val="-5"/>
                <w:lang w:val="en-GB"/>
              </w:rPr>
              <w:t>ction in the manufacturing of motor vehicles was on the other hand nearly by one quarter higher, specifically thanks to the manufacturers of motor vehicles as well as parts</w:t>
            </w:r>
            <w:r w:rsidR="00EB7AAD">
              <w:rPr>
                <w:spacing w:val="-5"/>
                <w:lang w:val="en-GB"/>
              </w:rPr>
              <w:t xml:space="preserve"> and accessories</w:t>
            </w:r>
            <w:r w:rsidR="00D27F07" w:rsidRPr="00DD6E6B">
              <w:rPr>
                <w:spacing w:val="-5"/>
                <w:lang w:val="en-GB"/>
              </w:rPr>
              <w:t>.</w:t>
            </w:r>
            <w:r w:rsidR="002D67B7" w:rsidRPr="00DD6E6B">
              <w:rPr>
                <w:spacing w:val="-5"/>
                <w:lang w:val="en-GB"/>
              </w:rPr>
              <w:t xml:space="preserve"> For the most part it however represented a compensation of lower production from the period at the beginning of last year (when the difficulties in the supplier chains escalated </w:t>
            </w:r>
            <w:r w:rsidR="00995960" w:rsidRPr="00DD6E6B">
              <w:rPr>
                <w:spacing w:val="-5"/>
                <w:lang w:val="en-GB"/>
              </w:rPr>
              <w:t>due to frozen production of some source components in China as well as Ukraine</w:t>
            </w:r>
            <w:r w:rsidR="00D27F07" w:rsidRPr="00DD6E6B">
              <w:rPr>
                <w:color w:val="0D0D0D" w:themeColor="text1" w:themeTint="F2"/>
                <w:spacing w:val="-5"/>
                <w:lang w:val="en-GB"/>
              </w:rPr>
              <w:t xml:space="preserve">). </w:t>
            </w:r>
            <w:r w:rsidR="0029574D" w:rsidRPr="00DD6E6B">
              <w:rPr>
                <w:color w:val="0D0D0D" w:themeColor="text1" w:themeTint="F2"/>
                <w:spacing w:val="-5"/>
                <w:lang w:val="en-GB"/>
              </w:rPr>
              <w:t>Data related to the physical production</w:t>
            </w:r>
            <w:r w:rsidR="00D27F07" w:rsidRPr="00DD6E6B">
              <w:rPr>
                <w:rStyle w:val="Znakapoznpodarou"/>
                <w:color w:val="0D0D0D" w:themeColor="text1" w:themeTint="F2"/>
                <w:spacing w:val="-5"/>
                <w:lang w:val="en-GB"/>
              </w:rPr>
              <w:footnoteReference w:id="8"/>
            </w:r>
            <w:r w:rsidR="0029574D" w:rsidRPr="00DD6E6B">
              <w:rPr>
                <w:color w:val="0D0D0D" w:themeColor="text1" w:themeTint="F2"/>
                <w:spacing w:val="-5"/>
                <w:lang w:val="en-GB"/>
              </w:rPr>
              <w:t xml:space="preserve"> also substantiate the expansion of motor vehicle manufacturing</w:t>
            </w:r>
            <w:r w:rsidR="00D27F07" w:rsidRPr="00DD6E6B">
              <w:rPr>
                <w:color w:val="0D0D0D" w:themeColor="text1" w:themeTint="F2"/>
                <w:spacing w:val="-5"/>
                <w:lang w:val="en-GB"/>
              </w:rPr>
              <w:t>.</w:t>
            </w:r>
            <w:r w:rsidR="0029574D" w:rsidRPr="00DD6E6B">
              <w:rPr>
                <w:color w:val="0D0D0D" w:themeColor="text1" w:themeTint="F2"/>
                <w:spacing w:val="-5"/>
                <w:lang w:val="en-GB"/>
              </w:rPr>
              <w:t xml:space="preserve"> The improvement of the formerly stranded supplies of some production components was reflected in the considerably heightened utilisation of the production capacities of the motor vehicle industry. </w:t>
            </w:r>
            <w:r w:rsidR="009C205B" w:rsidRPr="00DD6E6B">
              <w:rPr>
                <w:color w:val="0D0D0D" w:themeColor="text1" w:themeTint="F2"/>
                <w:spacing w:val="-5"/>
                <w:lang w:val="en-GB"/>
              </w:rPr>
              <w:t xml:space="preserve">It exceeded </w:t>
            </w:r>
            <w:r w:rsidR="00D27F07" w:rsidRPr="00DD6E6B">
              <w:rPr>
                <w:color w:val="0D0D0D" w:themeColor="text1" w:themeTint="F2"/>
                <w:spacing w:val="-5"/>
                <w:lang w:val="en-GB"/>
              </w:rPr>
              <w:t>92%</w:t>
            </w:r>
            <w:r w:rsidR="009C205B" w:rsidRPr="00DD6E6B">
              <w:rPr>
                <w:color w:val="0D0D0D" w:themeColor="text1" w:themeTint="F2"/>
                <w:spacing w:val="-5"/>
                <w:lang w:val="en-GB"/>
              </w:rPr>
              <w:t xml:space="preserve"> at the beginning of both Q2 and </w:t>
            </w:r>
            <w:r w:rsidR="00A34FCE">
              <w:rPr>
                <w:color w:val="0D0D0D" w:themeColor="text1" w:themeTint="F2"/>
                <w:spacing w:val="-5"/>
                <w:lang w:val="en-GB"/>
              </w:rPr>
              <w:t>Q</w:t>
            </w:r>
            <w:r w:rsidR="009C205B" w:rsidRPr="00DD6E6B">
              <w:rPr>
                <w:color w:val="0D0D0D" w:themeColor="text1" w:themeTint="F2"/>
                <w:spacing w:val="-5"/>
                <w:lang w:val="en-GB"/>
              </w:rPr>
              <w:t>3 2023</w:t>
            </w:r>
            <w:r w:rsidR="00D27F07" w:rsidRPr="00DD6E6B">
              <w:rPr>
                <w:color w:val="0D0D0D" w:themeColor="text1" w:themeTint="F2"/>
                <w:spacing w:val="-5"/>
                <w:lang w:val="en-GB"/>
              </w:rPr>
              <w:t xml:space="preserve"> (</w:t>
            </w:r>
            <w:r w:rsidR="009C205B" w:rsidRPr="00DD6E6B">
              <w:rPr>
                <w:color w:val="0D0D0D" w:themeColor="text1" w:themeTint="F2"/>
                <w:spacing w:val="-5"/>
                <w:lang w:val="en-GB"/>
              </w:rPr>
              <w:t xml:space="preserve">together with petrochemicals it was the highest among </w:t>
            </w:r>
            <w:r w:rsidR="00A34FCE">
              <w:rPr>
                <w:color w:val="0D0D0D" w:themeColor="text1" w:themeTint="F2"/>
                <w:spacing w:val="-5"/>
                <w:lang w:val="en-GB"/>
              </w:rPr>
              <w:t>all main manufacturing branche</w:t>
            </w:r>
            <w:r w:rsidR="009C205B" w:rsidRPr="00DD6E6B">
              <w:rPr>
                <w:color w:val="0D0D0D" w:themeColor="text1" w:themeTint="F2"/>
                <w:spacing w:val="-5"/>
                <w:lang w:val="en-GB"/>
              </w:rPr>
              <w:t>s</w:t>
            </w:r>
            <w:r w:rsidR="00D27F07" w:rsidRPr="00DD6E6B">
              <w:rPr>
                <w:color w:val="0D0D0D" w:themeColor="text1" w:themeTint="F2"/>
                <w:spacing w:val="-5"/>
                <w:lang w:val="en-GB"/>
              </w:rPr>
              <w:t>) a</w:t>
            </w:r>
            <w:r w:rsidR="0029574D" w:rsidRPr="00DD6E6B">
              <w:rPr>
                <w:color w:val="0D0D0D" w:themeColor="text1" w:themeTint="F2"/>
                <w:spacing w:val="-5"/>
                <w:lang w:val="en-GB"/>
              </w:rPr>
              <w:t>nd returned to its pre-crisis level.</w:t>
            </w:r>
            <w:r w:rsidR="00D27F07" w:rsidRPr="00DD6E6B">
              <w:rPr>
                <w:color w:val="0D0D0D" w:themeColor="text1" w:themeTint="F2"/>
                <w:spacing w:val="-5"/>
                <w:lang w:val="en-GB"/>
              </w:rPr>
              <w:t xml:space="preserve"> </w:t>
            </w:r>
            <w:r w:rsidR="00691DDB" w:rsidRPr="00DD6E6B">
              <w:rPr>
                <w:color w:val="0D0D0D" w:themeColor="text1" w:themeTint="F2"/>
                <w:spacing w:val="-5"/>
                <w:lang w:val="en-GB"/>
              </w:rPr>
              <w:t xml:space="preserve">Mainly due to the effect of domestic demand the activity of manufacturing of other </w:t>
            </w:r>
            <w:r w:rsidR="00D27F07" w:rsidRPr="00DD6E6B">
              <w:rPr>
                <w:color w:val="0D0D0D" w:themeColor="text1" w:themeTint="F2"/>
                <w:spacing w:val="-5"/>
                <w:lang w:val="en-GB"/>
              </w:rPr>
              <w:t>(</w:t>
            </w:r>
            <w:r w:rsidR="00691DDB" w:rsidRPr="00DD6E6B">
              <w:rPr>
                <w:color w:val="0D0D0D" w:themeColor="text1" w:themeTint="F2"/>
                <w:spacing w:val="-5"/>
                <w:lang w:val="en-GB"/>
              </w:rPr>
              <w:t>mainly rail</w:t>
            </w:r>
            <w:r w:rsidR="00D27F07" w:rsidRPr="00DD6E6B">
              <w:rPr>
                <w:color w:val="0D0D0D" w:themeColor="text1" w:themeTint="F2"/>
                <w:spacing w:val="-5"/>
                <w:lang w:val="en-GB"/>
              </w:rPr>
              <w:t>)</w:t>
            </w:r>
            <w:r w:rsidR="00691DDB" w:rsidRPr="00DD6E6B">
              <w:rPr>
                <w:color w:val="0D0D0D" w:themeColor="text1" w:themeTint="F2"/>
                <w:spacing w:val="-5"/>
                <w:lang w:val="en-GB"/>
              </w:rPr>
              <w:t xml:space="preserve"> transport vehicles also thrived</w:t>
            </w:r>
            <w:r w:rsidR="00D27F07" w:rsidRPr="00DD6E6B">
              <w:rPr>
                <w:color w:val="0D0D0D" w:themeColor="text1" w:themeTint="F2"/>
                <w:spacing w:val="-5"/>
                <w:lang w:val="en-GB"/>
              </w:rPr>
              <w:t xml:space="preserve">, </w:t>
            </w:r>
            <w:r w:rsidR="00691DDB" w:rsidRPr="00DD6E6B">
              <w:rPr>
                <w:color w:val="0D0D0D" w:themeColor="text1" w:themeTint="F2"/>
                <w:spacing w:val="-5"/>
                <w:lang w:val="en-GB"/>
              </w:rPr>
              <w:t>the production increased nearly by one fifth thanks to the completion of significant long-term production orders year-on-year in H1 here</w:t>
            </w:r>
            <w:r w:rsidR="00D27F07" w:rsidRPr="00DD6E6B">
              <w:rPr>
                <w:color w:val="0D0D0D" w:themeColor="text1" w:themeTint="F2"/>
                <w:spacing w:val="-5"/>
                <w:lang w:val="en-GB"/>
              </w:rPr>
              <w:t xml:space="preserve"> (</w:t>
            </w:r>
            <w:r w:rsidR="0029574D" w:rsidRPr="00DD6E6B">
              <w:rPr>
                <w:color w:val="0D0D0D" w:themeColor="text1" w:themeTint="F2"/>
                <w:spacing w:val="-5"/>
                <w:lang w:val="en-GB"/>
              </w:rPr>
              <w:t xml:space="preserve">it added </w:t>
            </w:r>
            <w:r w:rsidR="008351FE">
              <w:rPr>
                <w:color w:val="0D0D0D" w:themeColor="text1" w:themeTint="F2"/>
                <w:spacing w:val="-5"/>
                <w:lang w:val="en-GB"/>
              </w:rPr>
              <w:t>“</w:t>
            </w:r>
            <w:r w:rsidR="0029574D" w:rsidRPr="00DD6E6B">
              <w:rPr>
                <w:color w:val="0D0D0D" w:themeColor="text1" w:themeTint="F2"/>
                <w:spacing w:val="-5"/>
                <w:lang w:val="en-GB"/>
              </w:rPr>
              <w:t>only</w:t>
            </w:r>
            <w:r w:rsidR="008351FE">
              <w:rPr>
                <w:color w:val="0D0D0D" w:themeColor="text1" w:themeTint="F2"/>
                <w:spacing w:val="-5"/>
                <w:lang w:val="en-GB"/>
              </w:rPr>
              <w:t>”</w:t>
            </w:r>
            <w:r w:rsidR="00D27F07" w:rsidRPr="00DD6E6B">
              <w:rPr>
                <w:color w:val="0D0D0D" w:themeColor="text1" w:themeTint="F2"/>
                <w:spacing w:val="-5"/>
                <w:lang w:val="en-GB"/>
              </w:rPr>
              <w:t xml:space="preserve"> 0</w:t>
            </w:r>
            <w:r w:rsidR="0029574D" w:rsidRPr="00DD6E6B">
              <w:rPr>
                <w:color w:val="0D0D0D" w:themeColor="text1" w:themeTint="F2"/>
                <w:spacing w:val="-5"/>
                <w:lang w:val="en-GB"/>
              </w:rPr>
              <w:t>.</w:t>
            </w:r>
            <w:r w:rsidR="00D27F07" w:rsidRPr="00DD6E6B">
              <w:rPr>
                <w:color w:val="0D0D0D" w:themeColor="text1" w:themeTint="F2"/>
                <w:spacing w:val="-5"/>
                <w:lang w:val="en-GB"/>
              </w:rPr>
              <w:t>4 p.</w:t>
            </w:r>
            <w:r w:rsidR="0029574D" w:rsidRPr="00DD6E6B">
              <w:rPr>
                <w:color w:val="0D0D0D" w:themeColor="text1" w:themeTint="F2"/>
                <w:spacing w:val="-5"/>
                <w:lang w:val="en-GB"/>
              </w:rPr>
              <w:t xml:space="preserve"> p. to the growth of the total industry</w:t>
            </w:r>
            <w:r w:rsidR="00D27F07" w:rsidRPr="00DD6E6B">
              <w:rPr>
                <w:color w:val="0D0D0D" w:themeColor="text1" w:themeTint="F2"/>
                <w:spacing w:val="-5"/>
                <w:lang w:val="en-GB"/>
              </w:rPr>
              <w:t>).</w:t>
            </w:r>
          </w:p>
        </w:tc>
      </w:tr>
      <w:tr w:rsidR="00D27F07" w:rsidRPr="00DD6E6B" w14:paraId="67FB07EB" w14:textId="77777777" w:rsidTr="00D80129">
        <w:trPr>
          <w:trHeight w:val="145"/>
        </w:trPr>
        <w:tc>
          <w:tcPr>
            <w:tcW w:w="1678" w:type="dxa"/>
            <w:tcBorders>
              <w:top w:val="nil"/>
              <w:left w:val="nil"/>
              <w:bottom w:val="nil"/>
              <w:right w:val="nil"/>
            </w:tcBorders>
            <w:shd w:val="clear" w:color="auto" w:fill="auto"/>
            <w:tcMar>
              <w:left w:w="0" w:type="dxa"/>
            </w:tcMar>
          </w:tcPr>
          <w:p w14:paraId="0C93A1B1" w14:textId="5D3537A8" w:rsidR="00D27F07" w:rsidRPr="00DD6E6B" w:rsidRDefault="00E7590D" w:rsidP="00D42399">
            <w:pPr>
              <w:pStyle w:val="Marginlie"/>
              <w:rPr>
                <w:color w:val="0D0D0D" w:themeColor="text1" w:themeTint="F2"/>
                <w:spacing w:val="-5"/>
                <w:lang w:val="en-GB"/>
              </w:rPr>
            </w:pPr>
            <w:r w:rsidRPr="00DD6E6B">
              <w:rPr>
                <w:color w:val="0D0D0D" w:themeColor="text1" w:themeTint="F2"/>
                <w:spacing w:val="-5"/>
                <w:lang w:val="en-GB"/>
              </w:rPr>
              <w:t xml:space="preserve">Output slightly grew </w:t>
            </w:r>
            <w:r w:rsidR="008F6577" w:rsidRPr="00DD6E6B">
              <w:rPr>
                <w:color w:val="0D0D0D" w:themeColor="text1" w:themeTint="F2"/>
                <w:spacing w:val="-5"/>
                <w:lang w:val="en-GB"/>
              </w:rPr>
              <w:t xml:space="preserve">in machinery or electrical engineering, among small branches then especially in </w:t>
            </w:r>
            <w:r w:rsidR="006544E5" w:rsidRPr="00DD6E6B">
              <w:rPr>
                <w:color w:val="0D0D0D" w:themeColor="text1" w:themeTint="F2"/>
                <w:spacing w:val="-5"/>
                <w:lang w:val="en-GB"/>
              </w:rPr>
              <w:t xml:space="preserve">the field of pharmacy. </w:t>
            </w:r>
          </w:p>
        </w:tc>
        <w:tc>
          <w:tcPr>
            <w:tcW w:w="194" w:type="dxa"/>
            <w:tcBorders>
              <w:top w:val="nil"/>
              <w:left w:val="nil"/>
              <w:bottom w:val="nil"/>
              <w:right w:val="nil"/>
            </w:tcBorders>
            <w:shd w:val="clear" w:color="auto" w:fill="auto"/>
            <w:tcMar>
              <w:left w:w="0" w:type="dxa"/>
            </w:tcMar>
          </w:tcPr>
          <w:p w14:paraId="16AEB7AE"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47C9406A" w14:textId="1456C8D2" w:rsidR="00D27F07" w:rsidRPr="00DD6E6B" w:rsidRDefault="006413FC" w:rsidP="00D42399">
            <w:pPr>
              <w:spacing w:after="0"/>
              <w:rPr>
                <w:spacing w:val="-5"/>
                <w:lang w:val="en-GB"/>
              </w:rPr>
            </w:pPr>
            <w:r w:rsidRPr="00DD6E6B">
              <w:rPr>
                <w:spacing w:val="-5"/>
                <w:lang w:val="en-GB"/>
              </w:rPr>
              <w:t xml:space="preserve">Development of motor </w:t>
            </w:r>
            <w:r w:rsidR="00B25531" w:rsidRPr="00DD6E6B">
              <w:rPr>
                <w:spacing w:val="-5"/>
                <w:lang w:val="en-GB"/>
              </w:rPr>
              <w:t xml:space="preserve">vehicle manufacturing also supported the </w:t>
            </w:r>
            <w:r w:rsidR="00606269" w:rsidRPr="00DD6E6B">
              <w:rPr>
                <w:spacing w:val="-5"/>
                <w:lang w:val="en-GB"/>
              </w:rPr>
              <w:t>attached</w:t>
            </w:r>
            <w:r w:rsidR="00291882" w:rsidRPr="00DD6E6B">
              <w:rPr>
                <w:spacing w:val="-5"/>
                <w:lang w:val="en-GB"/>
              </w:rPr>
              <w:t xml:space="preserve"> branch of the electrical </w:t>
            </w:r>
            <w:r w:rsidR="00643D34" w:rsidRPr="00DD6E6B">
              <w:rPr>
                <w:spacing w:val="-5"/>
                <w:lang w:val="en-GB"/>
              </w:rPr>
              <w:t>engineering</w:t>
            </w:r>
            <w:r w:rsidR="00D27F07" w:rsidRPr="00DD6E6B">
              <w:rPr>
                <w:spacing w:val="-5"/>
                <w:lang w:val="en-GB"/>
              </w:rPr>
              <w:t xml:space="preserve">, </w:t>
            </w:r>
            <w:r w:rsidR="00142062" w:rsidRPr="00DD6E6B">
              <w:rPr>
                <w:spacing w:val="-5"/>
                <w:lang w:val="en-GB"/>
              </w:rPr>
              <w:t>where mainly the foreign demand assisted the mild growth of output in H</w:t>
            </w:r>
            <w:r w:rsidR="00D27F07" w:rsidRPr="00DD6E6B">
              <w:rPr>
                <w:spacing w:val="-5"/>
                <w:lang w:val="en-GB"/>
              </w:rPr>
              <w:t>1</w:t>
            </w:r>
            <w:r w:rsidR="00142062" w:rsidRPr="00DD6E6B">
              <w:rPr>
                <w:spacing w:val="-5"/>
                <w:lang w:val="en-GB"/>
              </w:rPr>
              <w:t xml:space="preserve"> </w:t>
            </w:r>
            <w:r w:rsidR="008C5AA7">
              <w:rPr>
                <w:spacing w:val="-5"/>
                <w:lang w:val="en-GB"/>
              </w:rPr>
              <w:t xml:space="preserve">2023 </w:t>
            </w:r>
            <w:r w:rsidR="00D27F07" w:rsidRPr="00DD6E6B">
              <w:rPr>
                <w:spacing w:val="-5"/>
                <w:lang w:val="en-GB"/>
              </w:rPr>
              <w:t>(+5</w:t>
            </w:r>
            <w:r w:rsidR="00142062" w:rsidRPr="00DD6E6B">
              <w:rPr>
                <w:spacing w:val="-5"/>
                <w:lang w:val="en-GB"/>
              </w:rPr>
              <w:t>.</w:t>
            </w:r>
            <w:r w:rsidR="00D27F07" w:rsidRPr="00DD6E6B">
              <w:rPr>
                <w:spacing w:val="-5"/>
                <w:lang w:val="en-GB"/>
              </w:rPr>
              <w:t>1%</w:t>
            </w:r>
            <w:r w:rsidR="00142062" w:rsidRPr="00DD6E6B">
              <w:rPr>
                <w:spacing w:val="-5"/>
                <w:lang w:val="en-GB"/>
              </w:rPr>
              <w:t xml:space="preserve"> year-on-year</w:t>
            </w:r>
            <w:r w:rsidR="00D27F07" w:rsidRPr="00DD6E6B">
              <w:rPr>
                <w:spacing w:val="-5"/>
                <w:lang w:val="en-GB"/>
              </w:rPr>
              <w:t>)</w:t>
            </w:r>
            <w:r w:rsidR="00142062" w:rsidRPr="00DD6E6B">
              <w:rPr>
                <w:spacing w:val="-5"/>
                <w:lang w:val="en-GB"/>
              </w:rPr>
              <w:t xml:space="preserve">. On the contrary </w:t>
            </w:r>
            <w:r w:rsidR="00C4755A" w:rsidRPr="00DD6E6B">
              <w:rPr>
                <w:spacing w:val="-5"/>
                <w:lang w:val="en-GB"/>
              </w:rPr>
              <w:t xml:space="preserve">larger </w:t>
            </w:r>
            <w:r w:rsidR="00105643" w:rsidRPr="00DD6E6B">
              <w:rPr>
                <w:spacing w:val="-5"/>
                <w:lang w:val="en-GB"/>
              </w:rPr>
              <w:t xml:space="preserve">domestic sales </w:t>
            </w:r>
            <w:r w:rsidR="00CA557E" w:rsidRPr="00DD6E6B">
              <w:rPr>
                <w:spacing w:val="-5"/>
                <w:lang w:val="en-GB"/>
              </w:rPr>
              <w:t>stood primarily behind the strengthened production in ot</w:t>
            </w:r>
            <w:r w:rsidR="000124E7" w:rsidRPr="00DD6E6B">
              <w:rPr>
                <w:spacing w:val="-5"/>
                <w:lang w:val="en-GB"/>
              </w:rPr>
              <w:t>h</w:t>
            </w:r>
            <w:r w:rsidR="00CA557E" w:rsidRPr="00DD6E6B">
              <w:rPr>
                <w:spacing w:val="-5"/>
                <w:lang w:val="en-GB"/>
              </w:rPr>
              <w:t xml:space="preserve">er weight significant activities – machinery </w:t>
            </w:r>
            <w:r w:rsidR="00D27F07" w:rsidRPr="00DD6E6B">
              <w:rPr>
                <w:spacing w:val="-5"/>
                <w:lang w:val="en-GB"/>
              </w:rPr>
              <w:t>(+4</w:t>
            </w:r>
            <w:r w:rsidR="00CA557E" w:rsidRPr="00DD6E6B">
              <w:rPr>
                <w:spacing w:val="-5"/>
                <w:lang w:val="en-GB"/>
              </w:rPr>
              <w:t>.</w:t>
            </w:r>
            <w:r w:rsidR="00D27F07" w:rsidRPr="00DD6E6B">
              <w:rPr>
                <w:spacing w:val="-5"/>
                <w:lang w:val="en-GB"/>
              </w:rPr>
              <w:t xml:space="preserve">2%) </w:t>
            </w:r>
            <w:r w:rsidR="000124E7" w:rsidRPr="00DD6E6B">
              <w:rPr>
                <w:spacing w:val="-5"/>
                <w:lang w:val="en-GB"/>
              </w:rPr>
              <w:t xml:space="preserve">as well as manufacturing of computers, electronic and optical appliances </w:t>
            </w:r>
            <w:r w:rsidR="00D27F07" w:rsidRPr="00DD6E6B">
              <w:rPr>
                <w:spacing w:val="-5"/>
                <w:lang w:val="en-GB"/>
              </w:rPr>
              <w:t>(</w:t>
            </w:r>
            <w:r w:rsidR="008C5AA7">
              <w:rPr>
                <w:spacing w:val="-5"/>
                <w:lang w:val="en-GB"/>
              </w:rPr>
              <w:t>+</w:t>
            </w:r>
            <w:r w:rsidR="00D27F07" w:rsidRPr="00DD6E6B">
              <w:rPr>
                <w:spacing w:val="-5"/>
                <w:lang w:val="en-GB"/>
              </w:rPr>
              <w:t>3</w:t>
            </w:r>
            <w:r w:rsidR="000124E7" w:rsidRPr="00DD6E6B">
              <w:rPr>
                <w:spacing w:val="-5"/>
                <w:lang w:val="en-GB"/>
              </w:rPr>
              <w:t>.</w:t>
            </w:r>
            <w:r w:rsidR="00D27F07" w:rsidRPr="00DD6E6B">
              <w:rPr>
                <w:spacing w:val="-5"/>
                <w:lang w:val="en-GB"/>
              </w:rPr>
              <w:t xml:space="preserve">5%), </w:t>
            </w:r>
            <w:r w:rsidR="00345489" w:rsidRPr="00DD6E6B">
              <w:rPr>
                <w:spacing w:val="-5"/>
                <w:lang w:val="en-GB"/>
              </w:rPr>
              <w:t xml:space="preserve">where the effect of </w:t>
            </w:r>
            <w:r w:rsidR="00FA2F0B" w:rsidRPr="00DD6E6B">
              <w:rPr>
                <w:spacing w:val="-5"/>
                <w:lang w:val="en-GB"/>
              </w:rPr>
              <w:t xml:space="preserve">dynamically growing market in the area of photovoltaics </w:t>
            </w:r>
            <w:r w:rsidR="00345489" w:rsidRPr="00DD6E6B">
              <w:rPr>
                <w:color w:val="0D0D0D" w:themeColor="text1" w:themeTint="F2"/>
                <w:spacing w:val="-4"/>
                <w:lang w:val="en-GB"/>
              </w:rPr>
              <w:t>was also felt</w:t>
            </w:r>
            <w:r w:rsidR="00FA2F0B" w:rsidRPr="00DD6E6B">
              <w:rPr>
                <w:color w:val="0D0D0D" w:themeColor="text1" w:themeTint="F2"/>
                <w:spacing w:val="-4"/>
                <w:lang w:val="en-GB"/>
              </w:rPr>
              <w:t xml:space="preserve"> positively</w:t>
            </w:r>
            <w:r w:rsidR="00D27F07" w:rsidRPr="00DD6E6B">
              <w:rPr>
                <w:spacing w:val="-5"/>
                <w:lang w:val="en-GB"/>
              </w:rPr>
              <w:t xml:space="preserve">. </w:t>
            </w:r>
            <w:r w:rsidR="00EF583F" w:rsidRPr="00DD6E6B">
              <w:rPr>
                <w:spacing w:val="-5"/>
                <w:lang w:val="en-GB"/>
              </w:rPr>
              <w:t xml:space="preserve">Among smaller branches </w:t>
            </w:r>
            <w:r w:rsidR="00B25AD0" w:rsidRPr="00DD6E6B">
              <w:rPr>
                <w:spacing w:val="-5"/>
                <w:lang w:val="en-GB"/>
              </w:rPr>
              <w:t xml:space="preserve">the long-term growing and considerably pro-export pharmaceutical industry </w:t>
            </w:r>
            <w:r w:rsidR="008C5AA7" w:rsidRPr="00DD6E6B">
              <w:rPr>
                <w:spacing w:val="-5"/>
                <w:lang w:val="en-GB"/>
              </w:rPr>
              <w:t xml:space="preserve">thrived </w:t>
            </w:r>
            <w:r w:rsidR="00D27F07" w:rsidRPr="00DD6E6B">
              <w:rPr>
                <w:spacing w:val="-5"/>
                <w:lang w:val="en-GB"/>
              </w:rPr>
              <w:t>(+11</w:t>
            </w:r>
            <w:r w:rsidR="00B25AD0" w:rsidRPr="00DD6E6B">
              <w:rPr>
                <w:spacing w:val="-5"/>
                <w:lang w:val="en-GB"/>
              </w:rPr>
              <w:t>.</w:t>
            </w:r>
            <w:r w:rsidR="00D27F07" w:rsidRPr="00DD6E6B">
              <w:rPr>
                <w:spacing w:val="-5"/>
                <w:lang w:val="en-GB"/>
              </w:rPr>
              <w:t>7%, +31</w:t>
            </w:r>
            <w:r w:rsidR="00B25AD0" w:rsidRPr="00DD6E6B">
              <w:rPr>
                <w:spacing w:val="-5"/>
                <w:lang w:val="en-GB"/>
              </w:rPr>
              <w:t>.</w:t>
            </w:r>
            <w:r w:rsidR="00D27F07" w:rsidRPr="00DD6E6B">
              <w:rPr>
                <w:spacing w:val="-5"/>
                <w:lang w:val="en-GB"/>
              </w:rPr>
              <w:t>5%</w:t>
            </w:r>
            <w:r w:rsidR="00B25AD0" w:rsidRPr="00DD6E6B">
              <w:rPr>
                <w:spacing w:val="-5"/>
                <w:lang w:val="en-GB"/>
              </w:rPr>
              <w:t xml:space="preserve"> against H1 2019</w:t>
            </w:r>
            <w:r w:rsidR="00D27F07" w:rsidRPr="00DD6E6B">
              <w:rPr>
                <w:spacing w:val="-5"/>
                <w:lang w:val="en-GB"/>
              </w:rPr>
              <w:t>)</w:t>
            </w:r>
            <w:r w:rsidR="008C5AA7">
              <w:rPr>
                <w:spacing w:val="-5"/>
                <w:lang w:val="en-GB"/>
              </w:rPr>
              <w:t>.</w:t>
            </w:r>
            <w:r w:rsidR="00D27F07" w:rsidRPr="00DD6E6B">
              <w:rPr>
                <w:spacing w:val="-5"/>
                <w:lang w:val="en-GB"/>
              </w:rPr>
              <w:t xml:space="preserve"> </w:t>
            </w:r>
            <w:r w:rsidR="008C5AA7">
              <w:rPr>
                <w:spacing w:val="-5"/>
                <w:lang w:val="en-GB"/>
              </w:rPr>
              <w:t>F</w:t>
            </w:r>
            <w:r w:rsidR="007F452F" w:rsidRPr="00DD6E6B">
              <w:rPr>
                <w:spacing w:val="-5"/>
                <w:lang w:val="en-GB"/>
              </w:rPr>
              <w:t xml:space="preserve">oreign sales greatly assisted the revival of </w:t>
            </w:r>
            <w:r w:rsidR="00A07B79" w:rsidRPr="00DD6E6B">
              <w:rPr>
                <w:spacing w:val="-5"/>
                <w:lang w:val="en-GB"/>
              </w:rPr>
              <w:t>leather manu</w:t>
            </w:r>
            <w:r w:rsidR="001263D2" w:rsidRPr="00DD6E6B">
              <w:rPr>
                <w:spacing w:val="-5"/>
                <w:lang w:val="en-GB"/>
              </w:rPr>
              <w:t xml:space="preserve">facturing and </w:t>
            </w:r>
            <w:r w:rsidR="00B93EC3" w:rsidRPr="00DD6E6B">
              <w:rPr>
                <w:spacing w:val="-5"/>
                <w:lang w:val="en-GB"/>
              </w:rPr>
              <w:t xml:space="preserve">footwear industry </w:t>
            </w:r>
            <w:r w:rsidR="00D27F07" w:rsidRPr="00DD6E6B">
              <w:rPr>
                <w:spacing w:val="-5"/>
                <w:lang w:val="en-GB"/>
              </w:rPr>
              <w:t>(+7</w:t>
            </w:r>
            <w:r w:rsidR="00B93EC3" w:rsidRPr="00DD6E6B">
              <w:rPr>
                <w:spacing w:val="-5"/>
                <w:lang w:val="en-GB"/>
              </w:rPr>
              <w:t>.</w:t>
            </w:r>
            <w:r w:rsidR="00D27F07" w:rsidRPr="00DD6E6B">
              <w:rPr>
                <w:spacing w:val="-5"/>
                <w:lang w:val="en-GB"/>
              </w:rPr>
              <w:t>4%</w:t>
            </w:r>
            <w:r w:rsidR="00B93EC3" w:rsidRPr="00DD6E6B">
              <w:rPr>
                <w:spacing w:val="-5"/>
                <w:lang w:val="en-GB"/>
              </w:rPr>
              <w:t xml:space="preserve"> year-on-year</w:t>
            </w:r>
            <w:r w:rsidR="00D27F07" w:rsidRPr="00DD6E6B">
              <w:rPr>
                <w:spacing w:val="-5"/>
                <w:lang w:val="en-GB"/>
              </w:rPr>
              <w:t xml:space="preserve">). </w:t>
            </w:r>
            <w:r w:rsidR="00BD6D4D" w:rsidRPr="00DD6E6B">
              <w:rPr>
                <w:spacing w:val="-5"/>
                <w:lang w:val="en-GB"/>
              </w:rPr>
              <w:t>All above</w:t>
            </w:r>
            <w:r w:rsidR="00EC79DD">
              <w:rPr>
                <w:spacing w:val="-5"/>
                <w:lang w:val="en-GB"/>
              </w:rPr>
              <w:t>-</w:t>
            </w:r>
            <w:r w:rsidR="00BD6D4D" w:rsidRPr="00DD6E6B">
              <w:rPr>
                <w:spacing w:val="-5"/>
                <w:lang w:val="en-GB"/>
              </w:rPr>
              <w:t xml:space="preserve">mentioned </w:t>
            </w:r>
            <w:r w:rsidR="008E68DF" w:rsidRPr="00DD6E6B">
              <w:rPr>
                <w:spacing w:val="-5"/>
                <w:lang w:val="en-GB"/>
              </w:rPr>
              <w:t xml:space="preserve">activities contributed even </w:t>
            </w:r>
            <w:r w:rsidR="008C5AA7">
              <w:rPr>
                <w:spacing w:val="-5"/>
                <w:lang w:val="en-GB"/>
              </w:rPr>
              <w:t>+</w:t>
            </w:r>
            <w:r w:rsidR="008E68DF" w:rsidRPr="00DD6E6B">
              <w:rPr>
                <w:spacing w:val="-5"/>
                <w:lang w:val="en-GB"/>
              </w:rPr>
              <w:t>1 p. p.</w:t>
            </w:r>
            <w:r w:rsidR="00B93EC3" w:rsidRPr="00DD6E6B">
              <w:rPr>
                <w:spacing w:val="-5"/>
                <w:lang w:val="en-GB"/>
              </w:rPr>
              <w:t xml:space="preserve"> to the </w:t>
            </w:r>
            <w:r w:rsidR="003D4927" w:rsidRPr="00DD6E6B">
              <w:rPr>
                <w:spacing w:val="-5"/>
                <w:lang w:val="en-GB"/>
              </w:rPr>
              <w:t>industry performance growth this year.</w:t>
            </w:r>
            <w:r w:rsidR="00D27F07" w:rsidRPr="00DD6E6B">
              <w:rPr>
                <w:spacing w:val="-5"/>
                <w:lang w:val="en-GB"/>
              </w:rPr>
              <w:t xml:space="preserve"> </w:t>
            </w:r>
          </w:p>
          <w:p w14:paraId="0EB8F0D0" w14:textId="77777777" w:rsidR="00D27F07" w:rsidRPr="00DD6E6B" w:rsidRDefault="00D27F07" w:rsidP="00D42399">
            <w:pPr>
              <w:spacing w:after="0"/>
              <w:rPr>
                <w:spacing w:val="-5"/>
                <w:lang w:val="en-GB"/>
              </w:rPr>
            </w:pPr>
          </w:p>
        </w:tc>
      </w:tr>
      <w:tr w:rsidR="00D27F07" w:rsidRPr="00DD6E6B" w14:paraId="67E8AFCE" w14:textId="77777777" w:rsidTr="00D80129">
        <w:trPr>
          <w:trHeight w:val="145"/>
        </w:trPr>
        <w:tc>
          <w:tcPr>
            <w:tcW w:w="1678" w:type="dxa"/>
            <w:tcBorders>
              <w:top w:val="nil"/>
              <w:left w:val="nil"/>
              <w:bottom w:val="nil"/>
              <w:right w:val="nil"/>
            </w:tcBorders>
            <w:shd w:val="clear" w:color="auto" w:fill="auto"/>
            <w:tcMar>
              <w:left w:w="0" w:type="dxa"/>
            </w:tcMar>
          </w:tcPr>
          <w:p w14:paraId="246BB098" w14:textId="5E674C78" w:rsidR="00D27F07" w:rsidRPr="00DD6E6B" w:rsidRDefault="008C5AA7" w:rsidP="00D42399">
            <w:pPr>
              <w:pStyle w:val="Marginlie"/>
              <w:rPr>
                <w:color w:val="0D0D0D" w:themeColor="text1" w:themeTint="F2"/>
                <w:spacing w:val="-5"/>
                <w:lang w:val="en-GB"/>
              </w:rPr>
            </w:pPr>
            <w:r>
              <w:rPr>
                <w:color w:val="0D0D0D" w:themeColor="text1" w:themeTint="F2"/>
                <w:spacing w:val="-5"/>
                <w:lang w:val="en-GB"/>
              </w:rPr>
              <w:t>Output</w:t>
            </w:r>
            <w:r w:rsidR="00AE75C1" w:rsidRPr="00DD6E6B">
              <w:rPr>
                <w:color w:val="0D0D0D" w:themeColor="text1" w:themeTint="F2"/>
                <w:spacing w:val="-5"/>
                <w:lang w:val="en-GB"/>
              </w:rPr>
              <w:t xml:space="preserve"> of the most energy </w:t>
            </w:r>
            <w:r w:rsidR="00AA1F81" w:rsidRPr="00DD6E6B">
              <w:rPr>
                <w:color w:val="0D0D0D" w:themeColor="text1" w:themeTint="F2"/>
                <w:spacing w:val="-5"/>
                <w:lang w:val="en-GB"/>
              </w:rPr>
              <w:t>intensive</w:t>
            </w:r>
            <w:r w:rsidR="00AE75C1" w:rsidRPr="00DD6E6B">
              <w:rPr>
                <w:color w:val="0D0D0D" w:themeColor="text1" w:themeTint="F2"/>
                <w:spacing w:val="-5"/>
                <w:lang w:val="en-GB"/>
              </w:rPr>
              <w:t xml:space="preserve"> </w:t>
            </w:r>
            <w:r w:rsidR="008D5D64" w:rsidRPr="00DD6E6B">
              <w:rPr>
                <w:color w:val="0D0D0D" w:themeColor="text1" w:themeTint="F2"/>
                <w:spacing w:val="-5"/>
                <w:lang w:val="en-GB"/>
              </w:rPr>
              <w:t>manufacturing branches</w:t>
            </w:r>
            <w:r>
              <w:rPr>
                <w:color w:val="0D0D0D" w:themeColor="text1" w:themeTint="F2"/>
                <w:spacing w:val="-5"/>
                <w:lang w:val="en-GB"/>
              </w:rPr>
              <w:t xml:space="preserve"> was</w:t>
            </w:r>
            <w:r w:rsidR="00363152" w:rsidRPr="00DD6E6B">
              <w:rPr>
                <w:color w:val="0D0D0D" w:themeColor="text1" w:themeTint="F2"/>
                <w:spacing w:val="-5"/>
                <w:lang w:val="en-GB"/>
              </w:rPr>
              <w:t xml:space="preserve"> still s</w:t>
            </w:r>
            <w:r w:rsidR="006906C6" w:rsidRPr="00DD6E6B">
              <w:rPr>
                <w:color w:val="0D0D0D" w:themeColor="text1" w:themeTint="F2"/>
                <w:spacing w:val="-5"/>
                <w:lang w:val="en-GB"/>
              </w:rPr>
              <w:t xml:space="preserve">ubdued. </w:t>
            </w:r>
            <w:r w:rsidR="00B70570" w:rsidRPr="00DD6E6B">
              <w:rPr>
                <w:color w:val="0D0D0D" w:themeColor="text1" w:themeTint="F2"/>
                <w:spacing w:val="-5"/>
                <w:lang w:val="en-GB"/>
              </w:rPr>
              <w:t xml:space="preserve">Output plunged by nearly one fifth in metallurgy. </w:t>
            </w:r>
          </w:p>
        </w:tc>
        <w:tc>
          <w:tcPr>
            <w:tcW w:w="194" w:type="dxa"/>
            <w:tcBorders>
              <w:top w:val="nil"/>
              <w:left w:val="nil"/>
              <w:bottom w:val="nil"/>
              <w:right w:val="nil"/>
            </w:tcBorders>
            <w:shd w:val="clear" w:color="auto" w:fill="auto"/>
            <w:tcMar>
              <w:left w:w="0" w:type="dxa"/>
            </w:tcMar>
          </w:tcPr>
          <w:p w14:paraId="5262721D" w14:textId="77777777" w:rsidR="00D27F07" w:rsidRPr="00DD6E6B" w:rsidRDefault="00D27F07" w:rsidP="00D4239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25C09389" w14:textId="044480BD" w:rsidR="00D27F07" w:rsidRPr="00DD6E6B" w:rsidRDefault="008C5AA7" w:rsidP="006033A4">
            <w:pPr>
              <w:spacing w:after="220"/>
              <w:rPr>
                <w:color w:val="0D0D0D" w:themeColor="text1" w:themeTint="F2"/>
                <w:spacing w:val="-4"/>
                <w:lang w:val="en-GB"/>
              </w:rPr>
            </w:pPr>
            <w:r>
              <w:rPr>
                <w:color w:val="0D0D0D" w:themeColor="text1" w:themeTint="F2"/>
                <w:spacing w:val="-4"/>
                <w:lang w:val="en-GB"/>
              </w:rPr>
              <w:t>Significant and energy-</w:t>
            </w:r>
            <w:r w:rsidR="00A02969" w:rsidRPr="00DD6E6B">
              <w:rPr>
                <w:color w:val="0D0D0D" w:themeColor="text1" w:themeTint="F2"/>
                <w:spacing w:val="-4"/>
                <w:lang w:val="en-GB"/>
              </w:rPr>
              <w:t>intensive</w:t>
            </w:r>
            <w:r w:rsidR="0079495C" w:rsidRPr="00DD6E6B">
              <w:rPr>
                <w:color w:val="0D0D0D" w:themeColor="text1" w:themeTint="F2"/>
                <w:spacing w:val="-4"/>
                <w:lang w:val="en-GB"/>
              </w:rPr>
              <w:t xml:space="preserve"> branches of chemical and metallurgical industry or manufacturing of construction </w:t>
            </w:r>
            <w:r w:rsidR="003E2754" w:rsidRPr="00DD6E6B">
              <w:rPr>
                <w:color w:val="0D0D0D" w:themeColor="text1" w:themeTint="F2"/>
                <w:spacing w:val="-4"/>
                <w:lang w:val="en-GB"/>
              </w:rPr>
              <w:t>materials</w:t>
            </w:r>
            <w:r>
              <w:rPr>
                <w:color w:val="0D0D0D" w:themeColor="text1" w:themeTint="F2"/>
                <w:spacing w:val="-4"/>
                <w:lang w:val="en-GB"/>
              </w:rPr>
              <w:t xml:space="preserve"> (</w:t>
            </w:r>
            <w:r w:rsidRPr="008C5AA7">
              <w:rPr>
                <w:color w:val="0D0D0D" w:themeColor="text1" w:themeTint="F2"/>
                <w:spacing w:val="-4"/>
                <w:lang w:val="en-GB"/>
              </w:rPr>
              <w:t>non-metallic mineral products</w:t>
            </w:r>
            <w:r>
              <w:rPr>
                <w:color w:val="0D0D0D" w:themeColor="text1" w:themeTint="F2"/>
                <w:spacing w:val="-4"/>
                <w:lang w:val="en-GB"/>
              </w:rPr>
              <w:t>)</w:t>
            </w:r>
            <w:r w:rsidR="003E2754" w:rsidRPr="00DD6E6B">
              <w:rPr>
                <w:color w:val="0D0D0D" w:themeColor="text1" w:themeTint="F2"/>
                <w:spacing w:val="-4"/>
                <w:lang w:val="en-GB"/>
              </w:rPr>
              <w:t xml:space="preserve"> </w:t>
            </w:r>
            <w:r w:rsidR="002D67B7" w:rsidRPr="00DD6E6B">
              <w:rPr>
                <w:color w:val="0D0D0D" w:themeColor="text1" w:themeTint="F2"/>
                <w:spacing w:val="-4"/>
                <w:lang w:val="en-GB"/>
              </w:rPr>
              <w:t>encountered persisting serious difficulties</w:t>
            </w:r>
            <w:r w:rsidR="00D27F07" w:rsidRPr="00DD6E6B">
              <w:rPr>
                <w:color w:val="0D0D0D" w:themeColor="text1" w:themeTint="F2"/>
                <w:spacing w:val="-4"/>
                <w:lang w:val="en-GB"/>
              </w:rPr>
              <w:t xml:space="preserve">. </w:t>
            </w:r>
            <w:r w:rsidR="002D67B7" w:rsidRPr="00DD6E6B">
              <w:rPr>
                <w:color w:val="0D0D0D" w:themeColor="text1" w:themeTint="F2"/>
                <w:spacing w:val="-4"/>
                <w:lang w:val="en-GB"/>
              </w:rPr>
              <w:t xml:space="preserve">Sharp hike of prices of inputs in the last year together with the ongoing weak domestic as well as </w:t>
            </w:r>
            <w:r w:rsidR="00CB57F9" w:rsidRPr="00DD6E6B">
              <w:rPr>
                <w:color w:val="0D0D0D" w:themeColor="text1" w:themeTint="F2"/>
                <w:spacing w:val="-4"/>
                <w:lang w:val="en-GB"/>
              </w:rPr>
              <w:t>foreign</w:t>
            </w:r>
            <w:r w:rsidR="002D67B7" w:rsidRPr="00DD6E6B">
              <w:rPr>
                <w:color w:val="0D0D0D" w:themeColor="text1" w:themeTint="F2"/>
                <w:spacing w:val="-4"/>
                <w:lang w:val="en-GB"/>
              </w:rPr>
              <w:t xml:space="preserve"> demand resulted in double digit year-on-year output downturn in H1 2023</w:t>
            </w:r>
            <w:r w:rsidR="00D27F07" w:rsidRPr="00DD6E6B">
              <w:rPr>
                <w:color w:val="0D0D0D" w:themeColor="text1" w:themeTint="F2"/>
                <w:spacing w:val="-4"/>
                <w:lang w:val="en-GB"/>
              </w:rPr>
              <w:t xml:space="preserve">, </w:t>
            </w:r>
            <w:r w:rsidR="000E12B0" w:rsidRPr="00DD6E6B">
              <w:rPr>
                <w:color w:val="0D0D0D" w:themeColor="text1" w:themeTint="F2"/>
                <w:spacing w:val="-4"/>
                <w:lang w:val="en-GB"/>
              </w:rPr>
              <w:t xml:space="preserve">which </w:t>
            </w:r>
            <w:r w:rsidR="00875AA2" w:rsidRPr="00DD6E6B">
              <w:rPr>
                <w:color w:val="0D0D0D" w:themeColor="text1" w:themeTint="F2"/>
                <w:spacing w:val="-4"/>
                <w:lang w:val="en-GB"/>
              </w:rPr>
              <w:t xml:space="preserve">e.g. in metallurgy </w:t>
            </w:r>
            <w:r w:rsidR="00D27F07" w:rsidRPr="00DD6E6B">
              <w:rPr>
                <w:color w:val="0D0D0D" w:themeColor="text1" w:themeTint="F2"/>
                <w:spacing w:val="-4"/>
                <w:lang w:val="en-GB"/>
              </w:rPr>
              <w:t>(</w:t>
            </w:r>
            <w:r w:rsidR="00875AA2" w:rsidRPr="00DD6E6B">
              <w:rPr>
                <w:color w:val="0D0D0D" w:themeColor="text1" w:themeTint="F2"/>
                <w:spacing w:val="-4"/>
                <w:lang w:val="en-GB"/>
              </w:rPr>
              <w:t xml:space="preserve">including </w:t>
            </w:r>
            <w:r w:rsidR="006F0D61" w:rsidRPr="00DD6E6B">
              <w:rPr>
                <w:color w:val="0D0D0D" w:themeColor="text1" w:themeTint="F2"/>
                <w:spacing w:val="-4"/>
                <w:lang w:val="en-GB"/>
              </w:rPr>
              <w:t>foundry industry</w:t>
            </w:r>
            <w:r w:rsidR="00D27F07" w:rsidRPr="00DD6E6B">
              <w:rPr>
                <w:color w:val="0D0D0D" w:themeColor="text1" w:themeTint="F2"/>
                <w:spacing w:val="-4"/>
                <w:lang w:val="en-GB"/>
              </w:rPr>
              <w:t xml:space="preserve">) </w:t>
            </w:r>
            <w:r w:rsidR="00875AA2" w:rsidRPr="00DD6E6B">
              <w:rPr>
                <w:color w:val="0D0D0D" w:themeColor="text1" w:themeTint="F2"/>
                <w:spacing w:val="-4"/>
                <w:lang w:val="en-GB"/>
              </w:rPr>
              <w:t xml:space="preserve">arrived at </w:t>
            </w:r>
            <w:r w:rsidR="00D27F07" w:rsidRPr="00DD6E6B">
              <w:rPr>
                <w:color w:val="0D0D0D" w:themeColor="text1" w:themeTint="F2"/>
                <w:spacing w:val="-4"/>
                <w:lang w:val="en-GB"/>
              </w:rPr>
              <w:t>18% (</w:t>
            </w:r>
            <w:r w:rsidR="00FC6A52" w:rsidRPr="00DD6E6B">
              <w:rPr>
                <w:color w:val="0D0D0D" w:themeColor="text1" w:themeTint="F2"/>
                <w:spacing w:val="-4"/>
                <w:lang w:val="en-GB"/>
              </w:rPr>
              <w:t xml:space="preserve">the output of this branch also lagged similarly </w:t>
            </w:r>
            <w:r w:rsidR="00A85537" w:rsidRPr="00DD6E6B">
              <w:rPr>
                <w:color w:val="0D0D0D" w:themeColor="text1" w:themeTint="F2"/>
                <w:spacing w:val="-4"/>
                <w:lang w:val="en-GB"/>
              </w:rPr>
              <w:t>behind the pre-crisis year 2</w:t>
            </w:r>
            <w:r w:rsidR="00D27F07" w:rsidRPr="00DD6E6B">
              <w:rPr>
                <w:color w:val="0D0D0D" w:themeColor="text1" w:themeTint="F2"/>
                <w:spacing w:val="-4"/>
                <w:lang w:val="en-GB"/>
              </w:rPr>
              <w:t xml:space="preserve">019). </w:t>
            </w:r>
            <w:r w:rsidR="006160AC" w:rsidRPr="00DD6E6B">
              <w:rPr>
                <w:color w:val="0D0D0D" w:themeColor="text1" w:themeTint="F2"/>
                <w:spacing w:val="-4"/>
                <w:lang w:val="en-GB"/>
              </w:rPr>
              <w:t xml:space="preserve">Above stated </w:t>
            </w:r>
            <w:r w:rsidR="002D20A4" w:rsidRPr="00DD6E6B">
              <w:rPr>
                <w:color w:val="0D0D0D" w:themeColor="text1" w:themeTint="F2"/>
                <w:spacing w:val="-4"/>
                <w:lang w:val="en-GB"/>
              </w:rPr>
              <w:t xml:space="preserve">activities </w:t>
            </w:r>
            <w:r w:rsidR="006160AC" w:rsidRPr="00DD6E6B">
              <w:rPr>
                <w:color w:val="0D0D0D" w:themeColor="text1" w:themeTint="F2"/>
                <w:spacing w:val="-4"/>
                <w:lang w:val="en-GB"/>
              </w:rPr>
              <w:t>also considerably</w:t>
            </w:r>
            <w:r w:rsidR="00A23BB7" w:rsidRPr="00DD6E6B">
              <w:rPr>
                <w:color w:val="0D0D0D" w:themeColor="text1" w:themeTint="F2"/>
                <w:spacing w:val="-4"/>
                <w:lang w:val="en-GB"/>
              </w:rPr>
              <w:t xml:space="preserve"> marked the </w:t>
            </w:r>
            <w:r w:rsidR="00342CE7" w:rsidRPr="00DD6E6B">
              <w:rPr>
                <w:color w:val="0D0D0D" w:themeColor="text1" w:themeTint="F2"/>
                <w:spacing w:val="-4"/>
                <w:lang w:val="en-GB"/>
              </w:rPr>
              <w:t xml:space="preserve">performance of the whole industry </w:t>
            </w:r>
            <w:r w:rsidR="00D27F07" w:rsidRPr="00DD6E6B">
              <w:rPr>
                <w:color w:val="0D0D0D" w:themeColor="text1" w:themeTint="F2"/>
                <w:spacing w:val="-4"/>
                <w:lang w:val="en-GB"/>
              </w:rPr>
              <w:t>(</w:t>
            </w:r>
            <w:r w:rsidR="00342CE7" w:rsidRPr="00DD6E6B">
              <w:rPr>
                <w:color w:val="0D0D0D" w:themeColor="text1" w:themeTint="F2"/>
                <w:spacing w:val="-4"/>
                <w:lang w:val="en-GB"/>
              </w:rPr>
              <w:t xml:space="preserve">contribution </w:t>
            </w:r>
            <w:r w:rsidR="00D27F07" w:rsidRPr="00DD6E6B">
              <w:rPr>
                <w:color w:val="0D0D0D" w:themeColor="text1" w:themeTint="F2"/>
                <w:spacing w:val="-4"/>
                <w:lang w:val="en-GB"/>
              </w:rPr>
              <w:t>−1</w:t>
            </w:r>
            <w:r w:rsidR="00342CE7" w:rsidRPr="00DD6E6B">
              <w:rPr>
                <w:color w:val="0D0D0D" w:themeColor="text1" w:themeTint="F2"/>
                <w:spacing w:val="-4"/>
                <w:lang w:val="en-GB"/>
              </w:rPr>
              <w:t>.</w:t>
            </w:r>
            <w:r w:rsidR="00D27F07" w:rsidRPr="00DD6E6B">
              <w:rPr>
                <w:color w:val="0D0D0D" w:themeColor="text1" w:themeTint="F2"/>
                <w:spacing w:val="-4"/>
                <w:lang w:val="en-GB"/>
              </w:rPr>
              <w:t xml:space="preserve">9 p. </w:t>
            </w:r>
            <w:r w:rsidR="00342CE7" w:rsidRPr="00DD6E6B">
              <w:rPr>
                <w:color w:val="0D0D0D" w:themeColor="text1" w:themeTint="F2"/>
                <w:spacing w:val="-4"/>
                <w:lang w:val="en-GB"/>
              </w:rPr>
              <w:t>p</w:t>
            </w:r>
            <w:r w:rsidR="00D27F07" w:rsidRPr="00DD6E6B">
              <w:rPr>
                <w:color w:val="0D0D0D" w:themeColor="text1" w:themeTint="F2"/>
                <w:spacing w:val="-4"/>
                <w:lang w:val="en-GB"/>
              </w:rPr>
              <w:t xml:space="preserve">.). </w:t>
            </w:r>
            <w:r w:rsidR="0026237D" w:rsidRPr="00DD6E6B">
              <w:rPr>
                <w:color w:val="0D0D0D" w:themeColor="text1" w:themeTint="F2"/>
                <w:spacing w:val="-4"/>
                <w:lang w:val="en-GB"/>
              </w:rPr>
              <w:t>Diversified</w:t>
            </w:r>
            <w:r w:rsidR="0016187F" w:rsidRPr="00DD6E6B">
              <w:rPr>
                <w:color w:val="0D0D0D" w:themeColor="text1" w:themeTint="F2"/>
                <w:spacing w:val="-4"/>
                <w:lang w:val="en-GB"/>
              </w:rPr>
              <w:t xml:space="preserve"> </w:t>
            </w:r>
            <w:r>
              <w:rPr>
                <w:color w:val="0D0D0D" w:themeColor="text1" w:themeTint="F2"/>
                <w:spacing w:val="-4"/>
                <w:lang w:val="en-GB"/>
              </w:rPr>
              <w:t>branch of the</w:t>
            </w:r>
            <w:r w:rsidRPr="008C5AA7">
              <w:rPr>
                <w:color w:val="0D0D0D" w:themeColor="text1" w:themeTint="F2"/>
                <w:spacing w:val="-4"/>
                <w:lang w:val="en-GB"/>
              </w:rPr>
              <w:t xml:space="preserve"> fabricated metal products</w:t>
            </w:r>
            <w:r>
              <w:rPr>
                <w:color w:val="0D0D0D" w:themeColor="text1" w:themeTint="F2"/>
                <w:spacing w:val="-4"/>
                <w:lang w:val="en-GB"/>
              </w:rPr>
              <w:t>, where the decrease was</w:t>
            </w:r>
            <w:r w:rsidR="00793684" w:rsidRPr="00DD6E6B">
              <w:rPr>
                <w:color w:val="0D0D0D" w:themeColor="text1" w:themeTint="F2"/>
                <w:spacing w:val="-4"/>
                <w:lang w:val="en-GB"/>
              </w:rPr>
              <w:t xml:space="preserve"> </w:t>
            </w:r>
            <w:r>
              <w:rPr>
                <w:color w:val="0D0D0D" w:themeColor="text1" w:themeTint="F2"/>
                <w:spacing w:val="-4"/>
                <w:lang w:val="en-GB"/>
              </w:rPr>
              <w:t xml:space="preserve">much smaller </w:t>
            </w:r>
            <w:r w:rsidR="006033A4">
              <w:rPr>
                <w:color w:val="0D0D0D" w:themeColor="text1" w:themeTint="F2"/>
                <w:spacing w:val="-4"/>
                <w:lang w:val="en-GB"/>
              </w:rPr>
              <w:t>(</w:t>
            </w:r>
            <w:r w:rsidR="006033A4">
              <w:rPr>
                <w:color w:val="000000"/>
                <w:shd w:val="clear" w:color="auto" w:fill="FFFFFF"/>
              </w:rPr>
              <w:t>–</w:t>
            </w:r>
            <w:r w:rsidR="00D27F07" w:rsidRPr="00DD6E6B">
              <w:rPr>
                <w:color w:val="0D0D0D" w:themeColor="text1" w:themeTint="F2"/>
                <w:spacing w:val="-4"/>
                <w:lang w:val="en-GB"/>
              </w:rPr>
              <w:t>2</w:t>
            </w:r>
            <w:r w:rsidR="00793684" w:rsidRPr="00DD6E6B">
              <w:rPr>
                <w:color w:val="0D0D0D" w:themeColor="text1" w:themeTint="F2"/>
                <w:spacing w:val="-4"/>
                <w:lang w:val="en-GB"/>
              </w:rPr>
              <w:t>.</w:t>
            </w:r>
            <w:r w:rsidR="00D27F07" w:rsidRPr="00DD6E6B">
              <w:rPr>
                <w:color w:val="0D0D0D" w:themeColor="text1" w:themeTint="F2"/>
                <w:spacing w:val="-4"/>
                <w:lang w:val="en-GB"/>
              </w:rPr>
              <w:t>4%)</w:t>
            </w:r>
            <w:r w:rsidR="001B77D2" w:rsidRPr="00DD6E6B">
              <w:rPr>
                <w:color w:val="0D0D0D" w:themeColor="text1" w:themeTint="F2"/>
                <w:spacing w:val="-4"/>
                <w:lang w:val="en-GB"/>
              </w:rPr>
              <w:t xml:space="preserve"> fared notably better</w:t>
            </w:r>
            <w:r w:rsidR="00D27F07" w:rsidRPr="00DD6E6B">
              <w:rPr>
                <w:color w:val="0D0D0D" w:themeColor="text1" w:themeTint="F2"/>
                <w:spacing w:val="-4"/>
                <w:lang w:val="en-GB"/>
              </w:rPr>
              <w:t xml:space="preserve">. </w:t>
            </w:r>
            <w:r w:rsidR="001B77D2" w:rsidRPr="00DD6E6B">
              <w:rPr>
                <w:color w:val="0D0D0D" w:themeColor="text1" w:themeTint="F2"/>
                <w:spacing w:val="-4"/>
                <w:lang w:val="en-GB"/>
              </w:rPr>
              <w:t xml:space="preserve">Downturn of the energy </w:t>
            </w:r>
            <w:r w:rsidR="00163567" w:rsidRPr="00DD6E6B">
              <w:rPr>
                <w:color w:val="0D0D0D" w:themeColor="text1" w:themeTint="F2"/>
                <w:spacing w:val="-4"/>
                <w:lang w:val="en-GB"/>
              </w:rPr>
              <w:t>intensive</w:t>
            </w:r>
            <w:r w:rsidR="001B77D2" w:rsidRPr="00DD6E6B">
              <w:rPr>
                <w:color w:val="0D0D0D" w:themeColor="text1" w:themeTint="F2"/>
                <w:spacing w:val="-4"/>
                <w:lang w:val="en-GB"/>
              </w:rPr>
              <w:t xml:space="preserve"> segments could have </w:t>
            </w:r>
            <w:r w:rsidR="001B77D2" w:rsidRPr="00DD6E6B">
              <w:rPr>
                <w:color w:val="0D0D0D" w:themeColor="text1" w:themeTint="F2"/>
                <w:spacing w:val="-4"/>
                <w:lang w:val="en-GB"/>
              </w:rPr>
              <w:lastRenderedPageBreak/>
              <w:t xml:space="preserve">been </w:t>
            </w:r>
            <w:r w:rsidR="00163567" w:rsidRPr="00DD6E6B">
              <w:rPr>
                <w:color w:val="0D0D0D" w:themeColor="text1" w:themeTint="F2"/>
                <w:spacing w:val="-4"/>
                <w:lang w:val="en-GB"/>
              </w:rPr>
              <w:t>partially</w:t>
            </w:r>
            <w:r w:rsidR="006033A4">
              <w:rPr>
                <w:color w:val="0D0D0D" w:themeColor="text1" w:themeTint="F2"/>
                <w:spacing w:val="-4"/>
                <w:lang w:val="en-GB"/>
              </w:rPr>
              <w:t xml:space="preserve"> offset </w:t>
            </w:r>
            <w:r w:rsidR="00AC6FE4" w:rsidRPr="00DD6E6B">
              <w:rPr>
                <w:color w:val="0D0D0D" w:themeColor="text1" w:themeTint="F2"/>
                <w:spacing w:val="-4"/>
                <w:lang w:val="en-GB"/>
              </w:rPr>
              <w:t xml:space="preserve">by the development of </w:t>
            </w:r>
            <w:r w:rsidRPr="008C5AA7">
              <w:rPr>
                <w:color w:val="0D0D0D" w:themeColor="text1" w:themeTint="F2"/>
                <w:spacing w:val="-4"/>
                <w:lang w:val="en-GB"/>
              </w:rPr>
              <w:t>production of military equipment</w:t>
            </w:r>
            <w:r w:rsidR="00163567" w:rsidRPr="00DD6E6B">
              <w:rPr>
                <w:color w:val="0D0D0D" w:themeColor="text1" w:themeTint="F2"/>
                <w:spacing w:val="-4"/>
                <w:lang w:val="en-GB"/>
              </w:rPr>
              <w:t xml:space="preserve"> </w:t>
            </w:r>
            <w:r w:rsidR="00AC6FE4" w:rsidRPr="00DD6E6B">
              <w:rPr>
                <w:color w:val="0D0D0D" w:themeColor="text1" w:themeTint="F2"/>
                <w:spacing w:val="-4"/>
                <w:lang w:val="en-GB"/>
              </w:rPr>
              <w:t xml:space="preserve">here. </w:t>
            </w:r>
            <w:r w:rsidR="008E5E8E" w:rsidRPr="00DD6E6B">
              <w:rPr>
                <w:color w:val="0D0D0D" w:themeColor="text1" w:themeTint="F2"/>
                <w:spacing w:val="-4"/>
                <w:lang w:val="en-GB"/>
              </w:rPr>
              <w:t xml:space="preserve">Manufacture of rubber and plastic products </w:t>
            </w:r>
            <w:r w:rsidR="006033A4">
              <w:rPr>
                <w:color w:val="0D0D0D" w:themeColor="text1" w:themeTint="F2"/>
                <w:spacing w:val="-4"/>
                <w:lang w:val="en-GB"/>
              </w:rPr>
              <w:t>(</w:t>
            </w:r>
            <w:r w:rsidR="006033A4">
              <w:rPr>
                <w:color w:val="000000"/>
                <w:shd w:val="clear" w:color="auto" w:fill="FFFFFF"/>
              </w:rPr>
              <w:t>–</w:t>
            </w:r>
            <w:r w:rsidR="00D27F07" w:rsidRPr="00DD6E6B">
              <w:rPr>
                <w:color w:val="0D0D0D" w:themeColor="text1" w:themeTint="F2"/>
                <w:spacing w:val="-4"/>
                <w:lang w:val="en-GB"/>
              </w:rPr>
              <w:t>3</w:t>
            </w:r>
            <w:r w:rsidR="00971D19" w:rsidRPr="00DD6E6B">
              <w:rPr>
                <w:color w:val="0D0D0D" w:themeColor="text1" w:themeTint="F2"/>
                <w:spacing w:val="-4"/>
                <w:lang w:val="en-GB"/>
              </w:rPr>
              <w:t>.</w:t>
            </w:r>
            <w:r w:rsidR="00D27F07" w:rsidRPr="00DD6E6B">
              <w:rPr>
                <w:color w:val="0D0D0D" w:themeColor="text1" w:themeTint="F2"/>
                <w:spacing w:val="-4"/>
                <w:lang w:val="en-GB"/>
              </w:rPr>
              <w:t xml:space="preserve">7%), </w:t>
            </w:r>
            <w:r w:rsidR="002C7B33" w:rsidRPr="00DD6E6B">
              <w:rPr>
                <w:color w:val="0D0D0D" w:themeColor="text1" w:themeTint="F2"/>
                <w:spacing w:val="-4"/>
                <w:lang w:val="en-GB"/>
              </w:rPr>
              <w:t xml:space="preserve">which partially benefited </w:t>
            </w:r>
            <w:r>
              <w:rPr>
                <w:color w:val="0D0D0D" w:themeColor="text1" w:themeTint="F2"/>
                <w:spacing w:val="-4"/>
                <w:lang w:val="en-GB"/>
              </w:rPr>
              <w:t>from</w:t>
            </w:r>
            <w:r w:rsidR="009463E1" w:rsidRPr="00DD6E6B">
              <w:rPr>
                <w:color w:val="0D0D0D" w:themeColor="text1" w:themeTint="F2"/>
                <w:spacing w:val="-4"/>
                <w:lang w:val="en-GB"/>
              </w:rPr>
              <w:t xml:space="preserve"> demand in the associated manufacturing of motor vehicles </w:t>
            </w:r>
            <w:r w:rsidR="00791D9E" w:rsidRPr="00DD6E6B">
              <w:rPr>
                <w:color w:val="0D0D0D" w:themeColor="text1" w:themeTint="F2"/>
                <w:spacing w:val="-4"/>
                <w:lang w:val="en-GB"/>
              </w:rPr>
              <w:t>also attained</w:t>
            </w:r>
            <w:r w:rsidR="000B617A" w:rsidRPr="00DD6E6B">
              <w:rPr>
                <w:color w:val="0D0D0D" w:themeColor="text1" w:themeTint="F2"/>
                <w:spacing w:val="-4"/>
                <w:lang w:val="en-GB"/>
              </w:rPr>
              <w:t xml:space="preserve"> a milder slump of production</w:t>
            </w:r>
            <w:r w:rsidR="00D27F07" w:rsidRPr="00DD6E6B">
              <w:rPr>
                <w:color w:val="0D0D0D" w:themeColor="text1" w:themeTint="F2"/>
                <w:spacing w:val="-4"/>
                <w:lang w:val="en-GB"/>
              </w:rPr>
              <w:t xml:space="preserve">. </w:t>
            </w:r>
          </w:p>
        </w:tc>
      </w:tr>
      <w:tr w:rsidR="00D27F07" w:rsidRPr="00DD6E6B" w14:paraId="75F880DB" w14:textId="77777777" w:rsidTr="00D80129">
        <w:trPr>
          <w:trHeight w:val="145"/>
        </w:trPr>
        <w:tc>
          <w:tcPr>
            <w:tcW w:w="1678" w:type="dxa"/>
            <w:tcBorders>
              <w:top w:val="nil"/>
              <w:left w:val="nil"/>
              <w:bottom w:val="nil"/>
              <w:right w:val="nil"/>
            </w:tcBorders>
            <w:shd w:val="clear" w:color="auto" w:fill="auto"/>
            <w:tcMar>
              <w:left w:w="0" w:type="dxa"/>
            </w:tcMar>
          </w:tcPr>
          <w:p w14:paraId="64AD6526" w14:textId="2BAD0F99" w:rsidR="00D27F07" w:rsidRPr="00DD6E6B" w:rsidRDefault="00D27F07" w:rsidP="00D42399">
            <w:pPr>
              <w:pStyle w:val="Marginlie"/>
              <w:rPr>
                <w:color w:val="0D0D0D" w:themeColor="text1" w:themeTint="F2"/>
                <w:spacing w:val="-4"/>
                <w:lang w:val="en-GB"/>
              </w:rPr>
            </w:pPr>
            <w:r w:rsidRPr="00DD6E6B">
              <w:rPr>
                <w:color w:val="0D0D0D" w:themeColor="text1" w:themeTint="F2"/>
                <w:spacing w:val="-4"/>
                <w:lang w:val="en-GB"/>
              </w:rPr>
              <w:lastRenderedPageBreak/>
              <w:t>D</w:t>
            </w:r>
            <w:r w:rsidR="000C08B1" w:rsidRPr="00DD6E6B">
              <w:rPr>
                <w:color w:val="0D0D0D" w:themeColor="text1" w:themeTint="F2"/>
                <w:spacing w:val="-4"/>
                <w:lang w:val="en-GB"/>
              </w:rPr>
              <w:t>ouble</w:t>
            </w:r>
            <w:r w:rsidR="00033605" w:rsidRPr="00DD6E6B">
              <w:rPr>
                <w:color w:val="0D0D0D" w:themeColor="text1" w:themeTint="F2"/>
                <w:spacing w:val="-4"/>
                <w:lang w:val="en-GB"/>
              </w:rPr>
              <w:t>-</w:t>
            </w:r>
            <w:r w:rsidR="000C08B1" w:rsidRPr="00DD6E6B">
              <w:rPr>
                <w:color w:val="0D0D0D" w:themeColor="text1" w:themeTint="F2"/>
                <w:spacing w:val="-4"/>
                <w:lang w:val="en-GB"/>
              </w:rPr>
              <w:t>digit decrease of production afflicted</w:t>
            </w:r>
            <w:r w:rsidR="001718E1" w:rsidRPr="00DD6E6B">
              <w:rPr>
                <w:color w:val="0D0D0D" w:themeColor="text1" w:themeTint="F2"/>
                <w:spacing w:val="-4"/>
                <w:lang w:val="en-GB"/>
              </w:rPr>
              <w:t xml:space="preserve"> printing</w:t>
            </w:r>
            <w:r w:rsidR="00B014F7" w:rsidRPr="00DD6E6B">
              <w:rPr>
                <w:color w:val="0D0D0D" w:themeColor="text1" w:themeTint="F2"/>
                <w:spacing w:val="-4"/>
                <w:lang w:val="en-GB"/>
              </w:rPr>
              <w:t xml:space="preserve"> industry, manufacture of textiles or furniture. </w:t>
            </w:r>
            <w:r w:rsidRPr="00DD6E6B">
              <w:rPr>
                <w:color w:val="0D0D0D" w:themeColor="text1" w:themeTint="F2"/>
                <w:spacing w:val="-4"/>
                <w:lang w:val="en-GB"/>
              </w:rPr>
              <w:t xml:space="preserve"> </w:t>
            </w:r>
          </w:p>
          <w:p w14:paraId="6B0E518C" w14:textId="77777777" w:rsidR="00D27F07" w:rsidRPr="00DD6E6B" w:rsidRDefault="00D27F07" w:rsidP="00D42399">
            <w:pPr>
              <w:pStyle w:val="Marginlie"/>
              <w:rPr>
                <w:color w:val="0D0D0D" w:themeColor="text1" w:themeTint="F2"/>
                <w:spacing w:val="-4"/>
                <w:lang w:val="en-GB"/>
              </w:rPr>
            </w:pPr>
          </w:p>
          <w:p w14:paraId="1F5B5389" w14:textId="77777777" w:rsidR="00D27F07" w:rsidRPr="00DD6E6B" w:rsidRDefault="00D27F07" w:rsidP="00D42399">
            <w:pPr>
              <w:pStyle w:val="Marginlie"/>
              <w:rPr>
                <w:color w:val="0D0D0D" w:themeColor="text1" w:themeTint="F2"/>
                <w:spacing w:val="-4"/>
                <w:lang w:val="en-GB"/>
              </w:rPr>
            </w:pPr>
          </w:p>
          <w:p w14:paraId="0DA062FF" w14:textId="492C88E2" w:rsidR="00D27F07" w:rsidRPr="00DD6E6B" w:rsidRDefault="00B014F7" w:rsidP="00D42399">
            <w:pPr>
              <w:pStyle w:val="Marginlie"/>
              <w:rPr>
                <w:color w:val="0D0D0D" w:themeColor="text1" w:themeTint="F2"/>
                <w:spacing w:val="-4"/>
                <w:lang w:val="en-GB"/>
              </w:rPr>
            </w:pPr>
            <w:r w:rsidRPr="00DD6E6B">
              <w:rPr>
                <w:color w:val="0D0D0D" w:themeColor="text1" w:themeTint="F2"/>
                <w:spacing w:val="-4"/>
                <w:lang w:val="en-GB"/>
              </w:rPr>
              <w:t>Falling purchasing pow</w:t>
            </w:r>
            <w:r w:rsidR="007E5815" w:rsidRPr="00DD6E6B">
              <w:rPr>
                <w:color w:val="0D0D0D" w:themeColor="text1" w:themeTint="F2"/>
                <w:spacing w:val="-4"/>
                <w:lang w:val="en-GB"/>
              </w:rPr>
              <w:t>er of</w:t>
            </w:r>
            <w:r w:rsidRPr="00DD6E6B">
              <w:rPr>
                <w:color w:val="0D0D0D" w:themeColor="text1" w:themeTint="F2"/>
                <w:spacing w:val="-4"/>
                <w:lang w:val="en-GB"/>
              </w:rPr>
              <w:t xml:space="preserve"> domestic households led to lower production in </w:t>
            </w:r>
            <w:r w:rsidR="007E5815" w:rsidRPr="00DD6E6B">
              <w:rPr>
                <w:color w:val="0D0D0D" w:themeColor="text1" w:themeTint="F2"/>
                <w:spacing w:val="-4"/>
                <w:lang w:val="en-GB"/>
              </w:rPr>
              <w:t xml:space="preserve">both food and beverage industry. </w:t>
            </w:r>
          </w:p>
        </w:tc>
        <w:tc>
          <w:tcPr>
            <w:tcW w:w="194" w:type="dxa"/>
            <w:tcBorders>
              <w:top w:val="nil"/>
              <w:left w:val="nil"/>
              <w:bottom w:val="nil"/>
              <w:right w:val="nil"/>
            </w:tcBorders>
            <w:shd w:val="clear" w:color="auto" w:fill="auto"/>
            <w:tcMar>
              <w:left w:w="0" w:type="dxa"/>
            </w:tcMar>
          </w:tcPr>
          <w:p w14:paraId="5D029B44" w14:textId="77777777" w:rsidR="00D27F07" w:rsidRPr="00DD6E6B" w:rsidRDefault="00D27F07" w:rsidP="00D4239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480B563F" w14:textId="1D7A3E76" w:rsidR="00D27F07" w:rsidRPr="00DD6E6B" w:rsidRDefault="00F56250" w:rsidP="00D42399">
            <w:pPr>
              <w:spacing w:after="200"/>
              <w:rPr>
                <w:color w:val="0D0D0D" w:themeColor="text1" w:themeTint="F2"/>
                <w:spacing w:val="-4"/>
                <w:lang w:val="en-GB"/>
              </w:rPr>
            </w:pPr>
            <w:r w:rsidRPr="00DD6E6B">
              <w:rPr>
                <w:color w:val="0D0D0D" w:themeColor="text1" w:themeTint="F2"/>
                <w:spacing w:val="-4"/>
                <w:lang w:val="en-GB"/>
              </w:rPr>
              <w:t xml:space="preserve">The majority of smaller manufacturing activities also faced the </w:t>
            </w:r>
            <w:r w:rsidR="000317F0" w:rsidRPr="00DD6E6B">
              <w:rPr>
                <w:color w:val="0D0D0D" w:themeColor="text1" w:themeTint="F2"/>
                <w:spacing w:val="-4"/>
                <w:lang w:val="en-GB"/>
              </w:rPr>
              <w:t>reduced demand in H1</w:t>
            </w:r>
            <w:r w:rsidR="00D27F07" w:rsidRPr="00DD6E6B">
              <w:rPr>
                <w:color w:val="0D0D0D" w:themeColor="text1" w:themeTint="F2"/>
                <w:spacing w:val="-4"/>
                <w:lang w:val="en-GB"/>
              </w:rPr>
              <w:t xml:space="preserve">. </w:t>
            </w:r>
            <w:r w:rsidR="00A75684" w:rsidRPr="00DD6E6B">
              <w:rPr>
                <w:color w:val="0D0D0D" w:themeColor="text1" w:themeTint="F2"/>
                <w:spacing w:val="-4"/>
                <w:lang w:val="en-GB"/>
              </w:rPr>
              <w:t xml:space="preserve">The output thus plummeted </w:t>
            </w:r>
            <w:r w:rsidR="00014731" w:rsidRPr="00DD6E6B">
              <w:rPr>
                <w:color w:val="0D0D0D" w:themeColor="text1" w:themeTint="F2"/>
                <w:spacing w:val="-4"/>
                <w:lang w:val="en-GB"/>
              </w:rPr>
              <w:t xml:space="preserve">by </w:t>
            </w:r>
            <w:r w:rsidR="00D27F07" w:rsidRPr="00DD6E6B">
              <w:rPr>
                <w:color w:val="0D0D0D" w:themeColor="text1" w:themeTint="F2"/>
                <w:spacing w:val="-4"/>
                <w:lang w:val="en-GB"/>
              </w:rPr>
              <w:t>18</w:t>
            </w:r>
            <w:r w:rsidR="00014731" w:rsidRPr="00DD6E6B">
              <w:rPr>
                <w:color w:val="0D0D0D" w:themeColor="text1" w:themeTint="F2"/>
                <w:spacing w:val="-4"/>
                <w:lang w:val="en-GB"/>
              </w:rPr>
              <w:t>.</w:t>
            </w:r>
            <w:r w:rsidR="00D27F07" w:rsidRPr="00DD6E6B">
              <w:rPr>
                <w:color w:val="0D0D0D" w:themeColor="text1" w:themeTint="F2"/>
                <w:spacing w:val="-4"/>
                <w:lang w:val="en-GB"/>
              </w:rPr>
              <w:t>4%</w:t>
            </w:r>
            <w:r w:rsidR="00014731" w:rsidRPr="00DD6E6B">
              <w:rPr>
                <w:color w:val="0D0D0D" w:themeColor="text1" w:themeTint="F2"/>
                <w:spacing w:val="-4"/>
                <w:lang w:val="en-GB"/>
              </w:rPr>
              <w:t xml:space="preserve"> year-on-year in the printing industry</w:t>
            </w:r>
            <w:r w:rsidR="00D27F07" w:rsidRPr="00DD6E6B">
              <w:rPr>
                <w:color w:val="0D0D0D" w:themeColor="text1" w:themeTint="F2"/>
                <w:spacing w:val="-4"/>
                <w:lang w:val="en-GB"/>
              </w:rPr>
              <w:t xml:space="preserve">, </w:t>
            </w:r>
            <w:r w:rsidR="00014731" w:rsidRPr="00DD6E6B">
              <w:rPr>
                <w:color w:val="0D0D0D" w:themeColor="text1" w:themeTint="F2"/>
                <w:spacing w:val="-4"/>
                <w:lang w:val="en-GB"/>
              </w:rPr>
              <w:t xml:space="preserve">by </w:t>
            </w:r>
            <w:r w:rsidR="00D27F07" w:rsidRPr="00DD6E6B">
              <w:rPr>
                <w:color w:val="0D0D0D" w:themeColor="text1" w:themeTint="F2"/>
                <w:spacing w:val="-4"/>
                <w:lang w:val="en-GB"/>
              </w:rPr>
              <w:t>11</w:t>
            </w:r>
            <w:r w:rsidR="00014731" w:rsidRPr="00DD6E6B">
              <w:rPr>
                <w:color w:val="0D0D0D" w:themeColor="text1" w:themeTint="F2"/>
                <w:spacing w:val="-4"/>
                <w:lang w:val="en-GB"/>
              </w:rPr>
              <w:t>.</w:t>
            </w:r>
            <w:r w:rsidR="00D27F07" w:rsidRPr="00DD6E6B">
              <w:rPr>
                <w:color w:val="0D0D0D" w:themeColor="text1" w:themeTint="F2"/>
                <w:spacing w:val="-4"/>
                <w:lang w:val="en-GB"/>
              </w:rPr>
              <w:t>7%</w:t>
            </w:r>
            <w:r w:rsidR="00014731" w:rsidRPr="00DD6E6B">
              <w:rPr>
                <w:color w:val="0D0D0D" w:themeColor="text1" w:themeTint="F2"/>
                <w:spacing w:val="-4"/>
                <w:lang w:val="en-GB"/>
              </w:rPr>
              <w:t xml:space="preserve"> in manufacturing of textile products</w:t>
            </w:r>
            <w:r w:rsidR="00D27F07" w:rsidRPr="00DD6E6B">
              <w:rPr>
                <w:color w:val="0D0D0D" w:themeColor="text1" w:themeTint="F2"/>
                <w:spacing w:val="-4"/>
                <w:lang w:val="en-GB"/>
              </w:rPr>
              <w:t xml:space="preserve">. </w:t>
            </w:r>
            <w:r w:rsidR="00D66CCD" w:rsidRPr="00DD6E6B">
              <w:rPr>
                <w:color w:val="0D0D0D" w:themeColor="text1" w:themeTint="F2"/>
                <w:spacing w:val="-4"/>
                <w:lang w:val="en-GB"/>
              </w:rPr>
              <w:t xml:space="preserve">Approximately </w:t>
            </w:r>
            <w:r w:rsidR="00D27F07" w:rsidRPr="00DD6E6B">
              <w:rPr>
                <w:color w:val="0D0D0D" w:themeColor="text1" w:themeTint="F2"/>
                <w:spacing w:val="-4"/>
                <w:lang w:val="en-GB"/>
              </w:rPr>
              <w:t xml:space="preserve">10% </w:t>
            </w:r>
            <w:r w:rsidR="00477469" w:rsidRPr="00DD6E6B">
              <w:rPr>
                <w:color w:val="0D0D0D" w:themeColor="text1" w:themeTint="F2"/>
                <w:spacing w:val="-4"/>
                <w:lang w:val="en-GB"/>
              </w:rPr>
              <w:t xml:space="preserve">production slump </w:t>
            </w:r>
            <w:r w:rsidR="007343C9">
              <w:rPr>
                <w:color w:val="0D0D0D" w:themeColor="text1" w:themeTint="F2"/>
                <w:spacing w:val="-4"/>
                <w:lang w:val="en-GB"/>
              </w:rPr>
              <w:t>(</w:t>
            </w:r>
            <w:r w:rsidR="00477469" w:rsidRPr="00DD6E6B">
              <w:rPr>
                <w:color w:val="0D0D0D" w:themeColor="text1" w:themeTint="F2"/>
                <w:spacing w:val="-4"/>
                <w:lang w:val="en-GB"/>
              </w:rPr>
              <w:t>commenced last year</w:t>
            </w:r>
            <w:r w:rsidR="007343C9">
              <w:rPr>
                <w:color w:val="0D0D0D" w:themeColor="text1" w:themeTint="F2"/>
                <w:spacing w:val="-4"/>
                <w:lang w:val="en-GB"/>
              </w:rPr>
              <w:t>)</w:t>
            </w:r>
            <w:r w:rsidR="00477469" w:rsidRPr="00DD6E6B">
              <w:rPr>
                <w:color w:val="0D0D0D" w:themeColor="text1" w:themeTint="F2"/>
                <w:spacing w:val="-4"/>
                <w:lang w:val="en-GB"/>
              </w:rPr>
              <w:t xml:space="preserve"> </w:t>
            </w:r>
            <w:r w:rsidR="008D6FA1" w:rsidRPr="00DD6E6B">
              <w:rPr>
                <w:color w:val="0D0D0D" w:themeColor="text1" w:themeTint="F2"/>
                <w:spacing w:val="-4"/>
                <w:lang w:val="en-GB"/>
              </w:rPr>
              <w:t>continued</w:t>
            </w:r>
            <w:r w:rsidR="00D66CCD" w:rsidRPr="00DD6E6B">
              <w:rPr>
                <w:color w:val="0D0D0D" w:themeColor="text1" w:themeTint="F2"/>
                <w:spacing w:val="-4"/>
                <w:lang w:val="en-GB"/>
              </w:rPr>
              <w:t xml:space="preserve"> in the wood industry</w:t>
            </w:r>
            <w:r w:rsidR="00D27F07" w:rsidRPr="00DD6E6B">
              <w:rPr>
                <w:color w:val="0D0D0D" w:themeColor="text1" w:themeTint="F2"/>
                <w:spacing w:val="-4"/>
                <w:lang w:val="en-GB"/>
              </w:rPr>
              <w:t xml:space="preserve">. </w:t>
            </w:r>
            <w:r w:rsidR="00F710A4" w:rsidRPr="00DD6E6B">
              <w:rPr>
                <w:color w:val="0D0D0D" w:themeColor="text1" w:themeTint="F2"/>
                <w:spacing w:val="-4"/>
                <w:lang w:val="en-GB"/>
              </w:rPr>
              <w:t xml:space="preserve">The effect of the lower </w:t>
            </w:r>
            <w:r w:rsidR="00D72986" w:rsidRPr="00DD6E6B">
              <w:rPr>
                <w:color w:val="0D0D0D" w:themeColor="text1" w:themeTint="F2"/>
                <w:spacing w:val="-4"/>
                <w:lang w:val="en-GB"/>
              </w:rPr>
              <w:t xml:space="preserve">wood logging </w:t>
            </w:r>
            <w:r w:rsidR="006B21A0" w:rsidRPr="00DD6E6B">
              <w:rPr>
                <w:color w:val="0D0D0D" w:themeColor="text1" w:themeTint="F2"/>
                <w:spacing w:val="-4"/>
                <w:lang w:val="en-GB"/>
              </w:rPr>
              <w:t xml:space="preserve">due to gradual decline of the bark beetle calamity </w:t>
            </w:r>
            <w:r w:rsidR="00127256" w:rsidRPr="00DD6E6B">
              <w:rPr>
                <w:color w:val="0D0D0D" w:themeColor="text1" w:themeTint="F2"/>
                <w:spacing w:val="-4"/>
                <w:lang w:val="en-GB"/>
              </w:rPr>
              <w:t>outweighed</w:t>
            </w:r>
            <w:r w:rsidR="00452FE9" w:rsidRPr="00DD6E6B">
              <w:rPr>
                <w:color w:val="0D0D0D" w:themeColor="text1" w:themeTint="F2"/>
                <w:spacing w:val="-4"/>
                <w:lang w:val="en-GB"/>
              </w:rPr>
              <w:t xml:space="preserve"> the impact of the rising demand for wood </w:t>
            </w:r>
            <w:r w:rsidR="00B3082E" w:rsidRPr="00DD6E6B">
              <w:rPr>
                <w:color w:val="0D0D0D" w:themeColor="text1" w:themeTint="F2"/>
                <w:spacing w:val="-4"/>
                <w:lang w:val="en-GB"/>
              </w:rPr>
              <w:t>ignited</w:t>
            </w:r>
            <w:r w:rsidR="00127256" w:rsidRPr="00DD6E6B">
              <w:rPr>
                <w:color w:val="0D0D0D" w:themeColor="text1" w:themeTint="F2"/>
                <w:spacing w:val="-4"/>
                <w:lang w:val="en-GB"/>
              </w:rPr>
              <w:t xml:space="preserve"> by the energy crisis. </w:t>
            </w:r>
            <w:r w:rsidR="00B1192D" w:rsidRPr="00DD6E6B">
              <w:rPr>
                <w:color w:val="0D0D0D" w:themeColor="text1" w:themeTint="F2"/>
                <w:spacing w:val="-4"/>
                <w:lang w:val="en-GB"/>
              </w:rPr>
              <w:t xml:space="preserve">Also in the attached manufacturing of paper products the performance </w:t>
            </w:r>
            <w:r w:rsidR="00B3082E" w:rsidRPr="00DD6E6B">
              <w:rPr>
                <w:color w:val="0D0D0D" w:themeColor="text1" w:themeTint="F2"/>
                <w:spacing w:val="-4"/>
                <w:lang w:val="en-GB"/>
              </w:rPr>
              <w:t xml:space="preserve">dived by nearly one tenth year-on-year this year, </w:t>
            </w:r>
            <w:r w:rsidR="00862D2B" w:rsidRPr="00DD6E6B">
              <w:rPr>
                <w:color w:val="0D0D0D" w:themeColor="text1" w:themeTint="F2"/>
                <w:spacing w:val="-4"/>
                <w:lang w:val="en-GB"/>
              </w:rPr>
              <w:t xml:space="preserve">in manufacturing of </w:t>
            </w:r>
            <w:r w:rsidR="00AE14A7" w:rsidRPr="00DD6E6B">
              <w:rPr>
                <w:color w:val="0D0D0D" w:themeColor="text1" w:themeTint="F2"/>
                <w:spacing w:val="-4"/>
                <w:lang w:val="en-GB"/>
              </w:rPr>
              <w:t>furniture</w:t>
            </w:r>
            <w:r w:rsidR="00862D2B" w:rsidRPr="00DD6E6B">
              <w:rPr>
                <w:color w:val="0D0D0D" w:themeColor="text1" w:themeTint="F2"/>
                <w:spacing w:val="-4"/>
                <w:lang w:val="en-GB"/>
              </w:rPr>
              <w:t xml:space="preserve"> hit mainly by </w:t>
            </w:r>
            <w:r w:rsidR="00221139" w:rsidRPr="00DD6E6B">
              <w:rPr>
                <w:color w:val="0D0D0D" w:themeColor="text1" w:themeTint="F2"/>
                <w:spacing w:val="-4"/>
                <w:lang w:val="en-GB"/>
              </w:rPr>
              <w:t xml:space="preserve">weak sales abroad then by </w:t>
            </w:r>
            <w:r w:rsidR="00AE14A7" w:rsidRPr="00DD6E6B">
              <w:rPr>
                <w:color w:val="0D0D0D" w:themeColor="text1" w:themeTint="F2"/>
                <w:spacing w:val="-4"/>
                <w:lang w:val="en-GB"/>
              </w:rPr>
              <w:t xml:space="preserve">entire </w:t>
            </w:r>
            <w:r w:rsidR="00221139" w:rsidRPr="00DD6E6B">
              <w:rPr>
                <w:color w:val="0D0D0D" w:themeColor="text1" w:themeTint="F2"/>
                <w:spacing w:val="-4"/>
                <w:lang w:val="en-GB"/>
              </w:rPr>
              <w:t xml:space="preserve">one sixth. </w:t>
            </w:r>
            <w:r w:rsidR="009A09E1" w:rsidRPr="00DD6E6B">
              <w:rPr>
                <w:color w:val="0D0D0D" w:themeColor="text1" w:themeTint="F2"/>
                <w:spacing w:val="-4"/>
                <w:lang w:val="en-GB"/>
              </w:rPr>
              <w:t xml:space="preserve">High growth of production costs together with </w:t>
            </w:r>
            <w:r w:rsidR="001273CF" w:rsidRPr="00DD6E6B">
              <w:rPr>
                <w:color w:val="0D0D0D" w:themeColor="text1" w:themeTint="F2"/>
                <w:spacing w:val="-4"/>
                <w:lang w:val="en-GB"/>
              </w:rPr>
              <w:t xml:space="preserve">falling consumption of domestic households led to lower production of both beverages </w:t>
            </w:r>
            <w:r w:rsidR="006033A4">
              <w:rPr>
                <w:color w:val="0D0D0D" w:themeColor="text1" w:themeTint="F2"/>
                <w:spacing w:val="-3"/>
                <w:lang w:val="en-GB"/>
              </w:rPr>
              <w:t>(</w:t>
            </w:r>
            <w:r w:rsidR="006033A4">
              <w:rPr>
                <w:color w:val="000000"/>
                <w:shd w:val="clear" w:color="auto" w:fill="FFFFFF"/>
              </w:rPr>
              <w:t>–</w:t>
            </w:r>
            <w:r w:rsidR="00D27F07" w:rsidRPr="00DD6E6B">
              <w:rPr>
                <w:color w:val="0D0D0D" w:themeColor="text1" w:themeTint="F2"/>
                <w:spacing w:val="-3"/>
                <w:lang w:val="en-GB"/>
              </w:rPr>
              <w:t>2</w:t>
            </w:r>
            <w:r w:rsidR="001273CF" w:rsidRPr="00DD6E6B">
              <w:rPr>
                <w:color w:val="0D0D0D" w:themeColor="text1" w:themeTint="F2"/>
                <w:spacing w:val="-3"/>
                <w:lang w:val="en-GB"/>
              </w:rPr>
              <w:t>.</w:t>
            </w:r>
            <w:r w:rsidR="00D27F07" w:rsidRPr="00DD6E6B">
              <w:rPr>
                <w:color w:val="0D0D0D" w:themeColor="text1" w:themeTint="F2"/>
                <w:spacing w:val="-3"/>
                <w:lang w:val="en-GB"/>
              </w:rPr>
              <w:t xml:space="preserve">7%) </w:t>
            </w:r>
            <w:r w:rsidR="001273CF" w:rsidRPr="00DD6E6B">
              <w:rPr>
                <w:color w:val="0D0D0D" w:themeColor="text1" w:themeTint="F2"/>
                <w:spacing w:val="-3"/>
                <w:lang w:val="en-GB"/>
              </w:rPr>
              <w:t xml:space="preserve">or food industry </w:t>
            </w:r>
            <w:r w:rsidR="006033A4">
              <w:rPr>
                <w:color w:val="0D0D0D" w:themeColor="text1" w:themeTint="F2"/>
                <w:spacing w:val="-3"/>
                <w:lang w:val="en-GB"/>
              </w:rPr>
              <w:t>(</w:t>
            </w:r>
            <w:r w:rsidR="006033A4">
              <w:rPr>
                <w:color w:val="000000"/>
                <w:shd w:val="clear" w:color="auto" w:fill="FFFFFF"/>
              </w:rPr>
              <w:t>–</w:t>
            </w:r>
            <w:r w:rsidR="00D27F07" w:rsidRPr="00DD6E6B">
              <w:rPr>
                <w:color w:val="0D0D0D" w:themeColor="text1" w:themeTint="F2"/>
                <w:spacing w:val="-3"/>
                <w:lang w:val="en-GB"/>
              </w:rPr>
              <w:t>3</w:t>
            </w:r>
            <w:r w:rsidR="00330A2C" w:rsidRPr="00DD6E6B">
              <w:rPr>
                <w:color w:val="0D0D0D" w:themeColor="text1" w:themeTint="F2"/>
                <w:spacing w:val="-3"/>
                <w:lang w:val="en-GB"/>
              </w:rPr>
              <w:t>.</w:t>
            </w:r>
            <w:r w:rsidR="00D27F07" w:rsidRPr="00DD6E6B">
              <w:rPr>
                <w:color w:val="0D0D0D" w:themeColor="text1" w:themeTint="F2"/>
                <w:spacing w:val="-3"/>
                <w:lang w:val="en-GB"/>
              </w:rPr>
              <w:t xml:space="preserve">6%, </w:t>
            </w:r>
            <w:r w:rsidR="00330A2C" w:rsidRPr="00DD6E6B">
              <w:rPr>
                <w:color w:val="0D0D0D" w:themeColor="text1" w:themeTint="F2"/>
                <w:spacing w:val="-3"/>
                <w:lang w:val="en-GB"/>
              </w:rPr>
              <w:t xml:space="preserve">the worst half-yearly </w:t>
            </w:r>
            <w:r w:rsidR="00AE4A50" w:rsidRPr="00DD6E6B">
              <w:rPr>
                <w:color w:val="0D0D0D" w:themeColor="text1" w:themeTint="F2"/>
                <w:spacing w:val="-3"/>
                <w:lang w:val="en-GB"/>
              </w:rPr>
              <w:t xml:space="preserve">result since the end of year </w:t>
            </w:r>
            <w:r w:rsidR="00D27F07" w:rsidRPr="00DD6E6B">
              <w:rPr>
                <w:color w:val="0D0D0D" w:themeColor="text1" w:themeTint="F2"/>
                <w:spacing w:val="-3"/>
                <w:lang w:val="en-GB"/>
              </w:rPr>
              <w:t>2011).</w:t>
            </w:r>
            <w:r w:rsidR="00D27F07" w:rsidRPr="00DD6E6B">
              <w:rPr>
                <w:color w:val="0D0D0D" w:themeColor="text1" w:themeTint="F2"/>
                <w:spacing w:val="-4"/>
                <w:lang w:val="en-GB"/>
              </w:rPr>
              <w:t xml:space="preserve"> </w:t>
            </w:r>
          </w:p>
        </w:tc>
      </w:tr>
      <w:tr w:rsidR="00D27F07" w:rsidRPr="00DD6E6B" w14:paraId="1EDA50E8" w14:textId="77777777" w:rsidTr="00D80129">
        <w:trPr>
          <w:trHeight w:val="170"/>
        </w:trPr>
        <w:tc>
          <w:tcPr>
            <w:tcW w:w="1678" w:type="dxa"/>
            <w:vMerge w:val="restart"/>
            <w:tcBorders>
              <w:top w:val="nil"/>
              <w:left w:val="nil"/>
              <w:bottom w:val="nil"/>
              <w:right w:val="nil"/>
            </w:tcBorders>
            <w:shd w:val="clear" w:color="auto" w:fill="auto"/>
            <w:tcMar>
              <w:left w:w="0" w:type="dxa"/>
            </w:tcMar>
          </w:tcPr>
          <w:p w14:paraId="52195147" w14:textId="77777777" w:rsidR="00D27F07" w:rsidRPr="00DD6E6B" w:rsidRDefault="00D27F07" w:rsidP="00D42399">
            <w:pPr>
              <w:pStyle w:val="Marginlie"/>
              <w:rPr>
                <w:lang w:val="en-GB"/>
              </w:rPr>
            </w:pPr>
          </w:p>
        </w:tc>
        <w:tc>
          <w:tcPr>
            <w:tcW w:w="194" w:type="dxa"/>
            <w:vMerge w:val="restart"/>
            <w:tcBorders>
              <w:top w:val="nil"/>
              <w:left w:val="nil"/>
              <w:bottom w:val="nil"/>
              <w:right w:val="nil"/>
            </w:tcBorders>
            <w:shd w:val="clear" w:color="auto" w:fill="auto"/>
            <w:tcMar>
              <w:left w:w="0" w:type="dxa"/>
            </w:tcMar>
          </w:tcPr>
          <w:p w14:paraId="304FF666"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06AC6639" w14:textId="25DD6CE6" w:rsidR="00D27F07" w:rsidRPr="00DD6E6B" w:rsidRDefault="000C08B1" w:rsidP="00024D0A">
            <w:pPr>
              <w:spacing w:after="0"/>
              <w:rPr>
                <w:spacing w:val="-2"/>
                <w:lang w:val="en-GB"/>
              </w:rPr>
            </w:pPr>
            <w:r w:rsidRPr="00DD6E6B">
              <w:rPr>
                <w:rFonts w:cs="Arial"/>
                <w:b/>
                <w:bCs/>
                <w:color w:val="000000"/>
                <w:spacing w:val="-2"/>
                <w:szCs w:val="20"/>
                <w:lang w:val="en-GB"/>
              </w:rPr>
              <w:t xml:space="preserve">Chart </w:t>
            </w:r>
            <w:r w:rsidR="00D27F07" w:rsidRPr="00DD6E6B">
              <w:rPr>
                <w:rFonts w:cs="Arial"/>
                <w:b/>
                <w:bCs/>
                <w:color w:val="000000"/>
                <w:spacing w:val="-2"/>
                <w:szCs w:val="20"/>
                <w:lang w:val="en-GB"/>
              </w:rPr>
              <w:t xml:space="preserve">4 </w:t>
            </w:r>
            <w:r w:rsidR="00024D0A" w:rsidRPr="00877F35">
              <w:rPr>
                <w:b/>
                <w:spacing w:val="-2"/>
                <w:lang w:val="en-GB"/>
              </w:rPr>
              <w:t xml:space="preserve">Contributions of sub-branches to the year-on-year change of the industrial production </w:t>
            </w:r>
            <w:r w:rsidR="00024D0A" w:rsidRPr="00877F35">
              <w:rPr>
                <w:spacing w:val="-2"/>
                <w:lang w:val="en-GB"/>
              </w:rPr>
              <w:t>(adjusted for calendar effects, real, in p.p.),</w:t>
            </w:r>
            <w:r w:rsidR="00024D0A" w:rsidRPr="00877F35">
              <w:rPr>
                <w:b/>
                <w:bCs/>
                <w:spacing w:val="-2"/>
                <w:lang w:val="en-GB"/>
              </w:rPr>
              <w:t xml:space="preserve"> production in the whole industry of CR, Germany and E</w:t>
            </w:r>
            <w:r w:rsidR="00024D0A" w:rsidRPr="00877F35">
              <w:rPr>
                <w:b/>
                <w:spacing w:val="-2"/>
                <w:lang w:val="en-GB"/>
              </w:rPr>
              <w:t xml:space="preserve">U27 </w:t>
            </w:r>
            <w:r w:rsidR="00024D0A" w:rsidRPr="00877F35">
              <w:rPr>
                <w:spacing w:val="-2"/>
                <w:lang w:val="en-GB"/>
              </w:rPr>
              <w:t>(seasonally adjust</w:t>
            </w:r>
            <w:r w:rsidR="004819D1">
              <w:rPr>
                <w:spacing w:val="-2"/>
                <w:lang w:val="en-GB"/>
              </w:rPr>
              <w:t>ed, base of 2015=100</w:t>
            </w:r>
            <w:r w:rsidR="00024D0A" w:rsidRPr="00DD6E6B">
              <w:rPr>
                <w:spacing w:val="-2"/>
                <w:lang w:val="en-GB"/>
              </w:rPr>
              <w:t>)</w:t>
            </w:r>
          </w:p>
        </w:tc>
      </w:tr>
      <w:tr w:rsidR="00D27F07" w:rsidRPr="00DD6E6B" w14:paraId="4C286A51" w14:textId="77777777" w:rsidTr="00D80129">
        <w:tblPrEx>
          <w:tblCellMar>
            <w:left w:w="70" w:type="dxa"/>
            <w:right w:w="70" w:type="dxa"/>
          </w:tblCellMar>
        </w:tblPrEx>
        <w:trPr>
          <w:trHeight w:val="170"/>
        </w:trPr>
        <w:tc>
          <w:tcPr>
            <w:tcW w:w="1678" w:type="dxa"/>
            <w:vMerge/>
            <w:tcBorders>
              <w:top w:val="nil"/>
              <w:left w:val="nil"/>
              <w:bottom w:val="nil"/>
              <w:right w:val="nil"/>
            </w:tcBorders>
            <w:shd w:val="clear" w:color="auto" w:fill="auto"/>
          </w:tcPr>
          <w:p w14:paraId="385E9099" w14:textId="77777777" w:rsidR="00D27F07" w:rsidRPr="00DD6E6B" w:rsidRDefault="00D27F07" w:rsidP="00D42399">
            <w:pPr>
              <w:pStyle w:val="Marginlie"/>
              <w:rPr>
                <w:lang w:val="en-GB"/>
              </w:rPr>
            </w:pPr>
          </w:p>
        </w:tc>
        <w:tc>
          <w:tcPr>
            <w:tcW w:w="194" w:type="dxa"/>
            <w:vMerge/>
            <w:tcBorders>
              <w:top w:val="nil"/>
              <w:left w:val="nil"/>
              <w:bottom w:val="nil"/>
              <w:right w:val="nil"/>
            </w:tcBorders>
            <w:shd w:val="clear" w:color="auto" w:fill="auto"/>
          </w:tcPr>
          <w:p w14:paraId="1EDE1FE4"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Pr>
          <w:p w14:paraId="4A7A2D4B" w14:textId="3500DC38" w:rsidR="00D27F07" w:rsidRPr="00DD6E6B" w:rsidRDefault="00024D0A" w:rsidP="00D42399">
            <w:pPr>
              <w:spacing w:after="0"/>
              <w:rPr>
                <w:spacing w:val="-6"/>
                <w:lang w:val="en-GB"/>
              </w:rPr>
            </w:pPr>
            <w:r>
              <w:rPr>
                <w:noProof/>
              </w:rPr>
              <w:drawing>
                <wp:inline distT="0" distB="0" distL="0" distR="0" wp14:anchorId="7D0D15CD" wp14:editId="5FE15511">
                  <wp:extent cx="4735830" cy="3769743"/>
                  <wp:effectExtent l="0" t="0" r="7620" b="254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27F07" w:rsidRPr="00DD6E6B" w14:paraId="31CFE33F" w14:textId="77777777" w:rsidTr="00D80129">
        <w:trPr>
          <w:trHeight w:val="170"/>
        </w:trPr>
        <w:tc>
          <w:tcPr>
            <w:tcW w:w="1678" w:type="dxa"/>
            <w:vMerge/>
            <w:tcBorders>
              <w:top w:val="nil"/>
              <w:left w:val="nil"/>
              <w:bottom w:val="nil"/>
              <w:right w:val="nil"/>
            </w:tcBorders>
            <w:shd w:val="clear" w:color="auto" w:fill="auto"/>
            <w:tcMar>
              <w:left w:w="0" w:type="dxa"/>
            </w:tcMar>
          </w:tcPr>
          <w:p w14:paraId="4583779F" w14:textId="77777777" w:rsidR="00D27F07" w:rsidRPr="00DD6E6B" w:rsidRDefault="00D27F07" w:rsidP="00D42399">
            <w:pPr>
              <w:pStyle w:val="Marginlie"/>
              <w:rPr>
                <w:lang w:val="en-GB"/>
              </w:rPr>
            </w:pPr>
          </w:p>
        </w:tc>
        <w:tc>
          <w:tcPr>
            <w:tcW w:w="194" w:type="dxa"/>
            <w:vMerge/>
            <w:tcBorders>
              <w:top w:val="nil"/>
              <w:left w:val="nil"/>
              <w:bottom w:val="nil"/>
              <w:right w:val="nil"/>
            </w:tcBorders>
            <w:shd w:val="clear" w:color="auto" w:fill="auto"/>
            <w:tcMar>
              <w:left w:w="0" w:type="dxa"/>
            </w:tcMar>
          </w:tcPr>
          <w:p w14:paraId="5F90F291" w14:textId="77777777" w:rsidR="00D27F07" w:rsidRPr="00DD6E6B" w:rsidRDefault="00D27F07" w:rsidP="00D4239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6CCDD881" w14:textId="68FEFE86" w:rsidR="00024D0A" w:rsidRDefault="000C08B1" w:rsidP="00024D0A">
            <w:pPr>
              <w:tabs>
                <w:tab w:val="right" w:pos="7683"/>
              </w:tabs>
              <w:spacing w:after="0" w:line="240" w:lineRule="auto"/>
              <w:jc w:val="left"/>
              <w:rPr>
                <w:rFonts w:cs="Arial"/>
                <w:sz w:val="14"/>
                <w:szCs w:val="14"/>
                <w:lang w:val="en-GB"/>
              </w:rPr>
            </w:pPr>
            <w:r w:rsidRPr="00DD6E6B">
              <w:rPr>
                <w:rFonts w:cs="Arial"/>
                <w:sz w:val="14"/>
                <w:szCs w:val="14"/>
                <w:lang w:val="en-GB"/>
              </w:rPr>
              <w:t>Note</w:t>
            </w:r>
            <w:r w:rsidR="00D27F07" w:rsidRPr="00DD6E6B">
              <w:rPr>
                <w:rFonts w:cs="Arial"/>
                <w:sz w:val="14"/>
                <w:szCs w:val="14"/>
                <w:lang w:val="en-GB"/>
              </w:rPr>
              <w:t xml:space="preserve">: </w:t>
            </w:r>
            <w:r w:rsidR="00EB1E1E" w:rsidRPr="00DD6E6B">
              <w:rPr>
                <w:rFonts w:cs="Arial"/>
                <w:sz w:val="14"/>
                <w:szCs w:val="14"/>
                <w:lang w:val="en-GB"/>
              </w:rPr>
              <w:t>Sal</w:t>
            </w:r>
            <w:r w:rsidR="00024D0A">
              <w:rPr>
                <w:rFonts w:cs="Arial"/>
                <w:sz w:val="14"/>
                <w:szCs w:val="14"/>
                <w:lang w:val="en-GB"/>
              </w:rPr>
              <w:t>es are given in current prices</w:t>
            </w:r>
            <w:r w:rsidR="00D27F07" w:rsidRPr="00DD6E6B">
              <w:rPr>
                <w:rFonts w:cs="Arial"/>
                <w:sz w:val="14"/>
                <w:szCs w:val="14"/>
                <w:lang w:val="en-GB"/>
              </w:rPr>
              <w:t xml:space="preserve"> </w:t>
            </w:r>
          </w:p>
          <w:p w14:paraId="56B67C6A" w14:textId="7651D366" w:rsidR="00276498" w:rsidRPr="00024D0A" w:rsidRDefault="000C08B1" w:rsidP="004A5CBF">
            <w:pPr>
              <w:tabs>
                <w:tab w:val="right" w:pos="7683"/>
              </w:tabs>
              <w:spacing w:after="200" w:line="240" w:lineRule="auto"/>
              <w:jc w:val="left"/>
              <w:rPr>
                <w:rFonts w:cs="Arial"/>
                <w:sz w:val="14"/>
                <w:szCs w:val="14"/>
                <w:lang w:val="en-GB"/>
              </w:rPr>
            </w:pPr>
            <w:r w:rsidRPr="00DD6E6B">
              <w:rPr>
                <w:rFonts w:cs="Arial"/>
                <w:sz w:val="14"/>
                <w:szCs w:val="14"/>
                <w:lang w:val="en-GB"/>
              </w:rPr>
              <w:t>Source</w:t>
            </w:r>
            <w:r w:rsidR="00D27F07" w:rsidRPr="00DD6E6B">
              <w:rPr>
                <w:rFonts w:cs="Arial"/>
                <w:sz w:val="14"/>
                <w:szCs w:val="14"/>
                <w:lang w:val="en-GB"/>
              </w:rPr>
              <w:t xml:space="preserve">: </w:t>
            </w:r>
            <w:r w:rsidRPr="00DD6E6B">
              <w:rPr>
                <w:rFonts w:cs="Arial"/>
                <w:sz w:val="14"/>
                <w:szCs w:val="14"/>
                <w:lang w:val="en-GB"/>
              </w:rPr>
              <w:t>CZSO</w:t>
            </w:r>
            <w:r w:rsidR="00D27F07" w:rsidRPr="00DD6E6B">
              <w:rPr>
                <w:rFonts w:cs="Arial"/>
                <w:sz w:val="14"/>
                <w:szCs w:val="14"/>
                <w:lang w:val="en-GB"/>
              </w:rPr>
              <w:t>, Eurostat</w:t>
            </w:r>
          </w:p>
        </w:tc>
      </w:tr>
      <w:tr w:rsidR="00D80129" w:rsidRPr="00DD6E6B" w14:paraId="7E84102F" w14:textId="77777777" w:rsidTr="00D80129">
        <w:trPr>
          <w:trHeight w:val="170"/>
        </w:trPr>
        <w:tc>
          <w:tcPr>
            <w:tcW w:w="1678" w:type="dxa"/>
            <w:tcBorders>
              <w:top w:val="nil"/>
              <w:left w:val="nil"/>
              <w:bottom w:val="nil"/>
              <w:right w:val="nil"/>
            </w:tcBorders>
            <w:shd w:val="clear" w:color="auto" w:fill="auto"/>
            <w:tcMar>
              <w:left w:w="0" w:type="dxa"/>
            </w:tcMar>
          </w:tcPr>
          <w:p w14:paraId="2BA369E7" w14:textId="77777777"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Output downturn in mining of coals as well as construction materials, similarly to the energetics branch deepened in H1. </w:t>
            </w:r>
          </w:p>
          <w:p w14:paraId="3722956A" w14:textId="77777777" w:rsidR="00D80129" w:rsidRPr="00DD6E6B" w:rsidRDefault="00D80129" w:rsidP="00D80129">
            <w:pPr>
              <w:pStyle w:val="Marginlie"/>
              <w:rPr>
                <w:color w:val="0D0D0D" w:themeColor="text1" w:themeTint="F2"/>
                <w:spacing w:val="-4"/>
                <w:lang w:val="en-GB"/>
              </w:rPr>
            </w:pPr>
          </w:p>
          <w:p w14:paraId="44CADCD3" w14:textId="77777777" w:rsidR="00D80129" w:rsidRPr="00DD6E6B" w:rsidRDefault="00D80129" w:rsidP="00D80129">
            <w:pPr>
              <w:pStyle w:val="Marginlie"/>
              <w:rPr>
                <w:color w:val="0D0D0D" w:themeColor="text1" w:themeTint="F2"/>
                <w:spacing w:val="-4"/>
                <w:lang w:val="en-GB"/>
              </w:rPr>
            </w:pPr>
          </w:p>
          <w:p w14:paraId="358651E9" w14:textId="684D07B9" w:rsidR="00D80129" w:rsidRDefault="00D80129" w:rsidP="00D80129">
            <w:pPr>
              <w:pStyle w:val="Marginlie"/>
              <w:rPr>
                <w:color w:val="0D0D0D" w:themeColor="text1" w:themeTint="F2"/>
                <w:spacing w:val="-4"/>
                <w:lang w:val="en-GB"/>
              </w:rPr>
            </w:pPr>
          </w:p>
          <w:p w14:paraId="6E2E2C0E" w14:textId="05C40752" w:rsidR="00D80129" w:rsidRDefault="00D80129" w:rsidP="00D80129">
            <w:pPr>
              <w:pStyle w:val="Marginlie"/>
              <w:rPr>
                <w:color w:val="0D0D0D" w:themeColor="text1" w:themeTint="F2"/>
                <w:spacing w:val="-4"/>
                <w:lang w:val="en-GB"/>
              </w:rPr>
            </w:pPr>
          </w:p>
          <w:p w14:paraId="4C59820C" w14:textId="77777777" w:rsidR="00045447" w:rsidRDefault="00045447" w:rsidP="00D80129">
            <w:pPr>
              <w:pStyle w:val="Marginlie"/>
              <w:rPr>
                <w:color w:val="0D0D0D" w:themeColor="text1" w:themeTint="F2"/>
                <w:spacing w:val="-4"/>
                <w:lang w:val="en-GB"/>
              </w:rPr>
            </w:pPr>
          </w:p>
          <w:p w14:paraId="17462B72" w14:textId="77777777" w:rsidR="00D80129" w:rsidRPr="00DD6E6B" w:rsidRDefault="00D80129" w:rsidP="00D80129">
            <w:pPr>
              <w:pStyle w:val="Marginlie"/>
              <w:rPr>
                <w:color w:val="0D0D0D" w:themeColor="text1" w:themeTint="F2"/>
                <w:spacing w:val="-4"/>
                <w:lang w:val="en-GB"/>
              </w:rPr>
            </w:pPr>
          </w:p>
          <w:p w14:paraId="7D012784" w14:textId="78AA5211" w:rsidR="00D80129" w:rsidRPr="00DD6E6B" w:rsidRDefault="00045447" w:rsidP="00D80129">
            <w:pPr>
              <w:pStyle w:val="Marginlie"/>
              <w:rPr>
                <w:color w:val="0D0D0D" w:themeColor="text1" w:themeTint="F2"/>
                <w:spacing w:val="-4"/>
                <w:lang w:val="en-GB"/>
              </w:rPr>
            </w:pPr>
            <w:r>
              <w:rPr>
                <w:color w:val="0D0D0D" w:themeColor="text1" w:themeTint="F2"/>
                <w:spacing w:val="-4"/>
                <w:lang w:val="en-GB"/>
              </w:rPr>
              <w:lastRenderedPageBreak/>
              <w:t>Weaker demand</w:t>
            </w:r>
            <w:r w:rsidR="00D80129" w:rsidRPr="00DD6E6B">
              <w:rPr>
                <w:color w:val="0D0D0D" w:themeColor="text1" w:themeTint="F2"/>
                <w:spacing w:val="-4"/>
                <w:lang w:val="en-GB"/>
              </w:rPr>
              <w:t xml:space="preserve"> of both households and businesses, which reacted to the turbulent price development in this area stood behind it.</w:t>
            </w:r>
          </w:p>
          <w:p w14:paraId="438B92AC" w14:textId="77777777" w:rsidR="00D80129" w:rsidRPr="00DD6E6B" w:rsidRDefault="00D80129" w:rsidP="00D80129">
            <w:pPr>
              <w:pStyle w:val="Marginlie"/>
              <w:rPr>
                <w:color w:val="0D0D0D" w:themeColor="text1" w:themeTint="F2"/>
                <w:lang w:val="en-GB"/>
              </w:rPr>
            </w:pPr>
          </w:p>
        </w:tc>
        <w:tc>
          <w:tcPr>
            <w:tcW w:w="194" w:type="dxa"/>
            <w:tcBorders>
              <w:top w:val="nil"/>
              <w:left w:val="nil"/>
              <w:bottom w:val="nil"/>
              <w:right w:val="nil"/>
            </w:tcBorders>
            <w:shd w:val="clear" w:color="auto" w:fill="auto"/>
            <w:tcMar>
              <w:left w:w="0" w:type="dxa"/>
            </w:tcMar>
          </w:tcPr>
          <w:p w14:paraId="5C86B064"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3629D95A" w14:textId="6EB2AAC0" w:rsidR="00D80129" w:rsidRPr="00DD6E6B" w:rsidRDefault="00D80129" w:rsidP="00D80129">
            <w:pPr>
              <w:spacing w:after="200"/>
              <w:rPr>
                <w:rFonts w:cs="Arial"/>
                <w:bCs/>
                <w:color w:val="0D0D0D" w:themeColor="text1" w:themeTint="F2"/>
                <w:spacing w:val="-5"/>
                <w:szCs w:val="20"/>
                <w:lang w:val="en-GB"/>
              </w:rPr>
            </w:pPr>
            <w:r w:rsidRPr="00DD6E6B">
              <w:rPr>
                <w:color w:val="0D0D0D" w:themeColor="text1" w:themeTint="F2"/>
                <w:spacing w:val="-5"/>
                <w:lang w:val="en-GB"/>
              </w:rPr>
              <w:t>Output in the non-manufacturing segment of the industry, which consist</w:t>
            </w:r>
            <w:r w:rsidR="00045447">
              <w:rPr>
                <w:color w:val="0D0D0D" w:themeColor="text1" w:themeTint="F2"/>
                <w:spacing w:val="-5"/>
                <w:lang w:val="en-GB"/>
              </w:rPr>
              <w:t xml:space="preserve">s of largely only energy highly </w:t>
            </w:r>
            <w:r w:rsidRPr="00DD6E6B">
              <w:rPr>
                <w:color w:val="0D0D0D" w:themeColor="text1" w:themeTint="F2"/>
                <w:spacing w:val="-5"/>
                <w:lang w:val="en-GB"/>
              </w:rPr>
              <w:t xml:space="preserve">intensive fields, continued in downturn, whose indications were already apparent towards the end of the last year. Year-on-year plunge of production attained double-digit figures here in H1 2023 and thus reduced the output growth in the whole industry in total by 1.4 p. p. Weight significant branch of energetics played a key part here, with the output falling by 9.3% in Q1 this year and by 14.1% in Q2. Deeper slump at the steam power plants and combined gas/steam plants stood for the major part behind the lower electricity generation (on the contrary the production of the nuclear power plants moderately grew). Next to regular shutdowns of the production facilities, the output of the whole energy industry was connected to the anticipated decrease of the domestic demand (impact of savings in the consumption of </w:t>
            </w:r>
            <w:r w:rsidRPr="00DD6E6B">
              <w:rPr>
                <w:color w:val="0D0D0D" w:themeColor="text1" w:themeTint="F2"/>
                <w:spacing w:val="-5"/>
                <w:lang w:val="en-GB"/>
              </w:rPr>
              <w:lastRenderedPageBreak/>
              <w:t>electricity, natural ga</w:t>
            </w:r>
            <w:r w:rsidR="00045447">
              <w:rPr>
                <w:color w:val="0D0D0D" w:themeColor="text1" w:themeTint="F2"/>
                <w:spacing w:val="-5"/>
                <w:lang w:val="en-GB"/>
              </w:rPr>
              <w:t>s as well as heat in</w:t>
            </w:r>
            <w:r w:rsidRPr="00DD6E6B">
              <w:rPr>
                <w:color w:val="0D0D0D" w:themeColor="text1" w:themeTint="F2"/>
                <w:spacing w:val="-5"/>
                <w:lang w:val="en-GB"/>
              </w:rPr>
              <w:t xml:space="preserve"> both households and businesses</w:t>
            </w:r>
            <w:r w:rsidRPr="00DD6E6B">
              <w:rPr>
                <w:rStyle w:val="Znakapoznpodarou"/>
                <w:color w:val="0D0D0D" w:themeColor="text1" w:themeTint="F2"/>
                <w:spacing w:val="-5"/>
                <w:lang w:val="en-GB"/>
              </w:rPr>
              <w:footnoteReference w:id="9"/>
            </w:r>
            <w:r w:rsidR="00045447">
              <w:rPr>
                <w:color w:val="0D0D0D" w:themeColor="text1" w:themeTint="F2"/>
                <w:spacing w:val="-5"/>
                <w:lang w:val="en-GB"/>
              </w:rPr>
              <w:t xml:space="preserve"> was amplified by the above-</w:t>
            </w:r>
            <w:r w:rsidRPr="00DD6E6B">
              <w:rPr>
                <w:color w:val="0D0D0D" w:themeColor="text1" w:themeTint="F2"/>
                <w:spacing w:val="-5"/>
                <w:lang w:val="en-GB"/>
              </w:rPr>
              <w:t>average temperatures of the winter season)</w:t>
            </w:r>
            <w:r w:rsidRPr="00DD6E6B">
              <w:rPr>
                <w:lang w:val="en-GB"/>
              </w:rPr>
              <w:t>.</w:t>
            </w:r>
            <w:r w:rsidRPr="00DD6E6B">
              <w:rPr>
                <w:color w:val="0D0D0D" w:themeColor="text1" w:themeTint="F2"/>
                <w:spacing w:val="-5"/>
                <w:lang w:val="en-GB"/>
              </w:rPr>
              <w:t xml:space="preserve"> Downturn of production was also deepening in the mining industry during H1 this year. It was especially apparent in the mining of coal, where the performance slumped by nearly 23.3%</w:t>
            </w:r>
            <w:r w:rsidRPr="00DD6E6B">
              <w:rPr>
                <w:rStyle w:val="Znakapoznpodarou"/>
                <w:color w:val="0D0D0D" w:themeColor="text1" w:themeTint="F2"/>
                <w:spacing w:val="-5"/>
                <w:lang w:val="en-GB"/>
              </w:rPr>
              <w:footnoteReference w:id="10"/>
            </w:r>
            <w:r w:rsidRPr="00DD6E6B">
              <w:rPr>
                <w:color w:val="0D0D0D" w:themeColor="text1" w:themeTint="F2"/>
                <w:spacing w:val="-5"/>
                <w:lang w:val="en-GB"/>
              </w:rPr>
              <w:t xml:space="preserve"> in Q2, in lesser extent also in the mining of construction materials </w:t>
            </w:r>
            <w:r>
              <w:rPr>
                <w:color w:val="0D0D0D" w:themeColor="text1" w:themeTint="F2"/>
                <w:spacing w:val="-5"/>
                <w:lang w:val="en-GB"/>
              </w:rPr>
              <w:t>(</w:t>
            </w:r>
            <w:r>
              <w:rPr>
                <w:color w:val="000000"/>
                <w:shd w:val="clear" w:color="auto" w:fill="FFFFFF"/>
              </w:rPr>
              <w:t>–</w:t>
            </w:r>
            <w:r w:rsidRPr="00DD6E6B">
              <w:rPr>
                <w:color w:val="0D0D0D" w:themeColor="text1" w:themeTint="F2"/>
                <w:spacing w:val="-5"/>
                <w:lang w:val="en-GB"/>
              </w:rPr>
              <w:t>16.3%), which was associated with weakening of the demand on the part of builders as well as higher energy intensity of this branch.</w:t>
            </w:r>
          </w:p>
        </w:tc>
      </w:tr>
      <w:tr w:rsidR="00D80129" w:rsidRPr="00DD6E6B" w14:paraId="3FC0B3D4" w14:textId="77777777" w:rsidTr="00D80129">
        <w:trPr>
          <w:trHeight w:val="170"/>
        </w:trPr>
        <w:tc>
          <w:tcPr>
            <w:tcW w:w="1678" w:type="dxa"/>
            <w:tcBorders>
              <w:top w:val="nil"/>
              <w:left w:val="nil"/>
              <w:bottom w:val="nil"/>
              <w:right w:val="nil"/>
            </w:tcBorders>
            <w:shd w:val="clear" w:color="auto" w:fill="auto"/>
            <w:tcMar>
              <w:left w:w="0" w:type="dxa"/>
            </w:tcMar>
          </w:tcPr>
          <w:p w14:paraId="0F4DC194" w14:textId="3C2F130F" w:rsidR="00D80129" w:rsidRPr="00DD6E6B" w:rsidRDefault="0093734C" w:rsidP="00D80129">
            <w:pPr>
              <w:pStyle w:val="Marginlie"/>
              <w:rPr>
                <w:color w:val="0D0D0D" w:themeColor="text1" w:themeTint="F2"/>
                <w:lang w:val="en-GB"/>
              </w:rPr>
            </w:pPr>
            <w:r>
              <w:rPr>
                <w:color w:val="0D0D0D" w:themeColor="text1" w:themeTint="F2"/>
                <w:lang w:val="en-GB"/>
              </w:rPr>
              <w:lastRenderedPageBreak/>
              <w:t>I</w:t>
            </w:r>
            <w:r w:rsidR="00D80129" w:rsidRPr="00DD6E6B">
              <w:rPr>
                <w:color w:val="0D0D0D" w:themeColor="text1" w:themeTint="F2"/>
                <w:lang w:val="en-GB"/>
              </w:rPr>
              <w:t xml:space="preserve">ndustrial businesses </w:t>
            </w:r>
            <w:r>
              <w:rPr>
                <w:color w:val="0D0D0D" w:themeColor="text1" w:themeTint="F2"/>
                <w:lang w:val="en-GB"/>
              </w:rPr>
              <w:t>recorded higher growth of d</w:t>
            </w:r>
            <w:r w:rsidRPr="00DD6E6B">
              <w:rPr>
                <w:color w:val="0D0D0D" w:themeColor="text1" w:themeTint="F2"/>
                <w:lang w:val="en-GB"/>
              </w:rPr>
              <w:t>omestic sales</w:t>
            </w:r>
            <w:r>
              <w:rPr>
                <w:color w:val="0D0D0D" w:themeColor="text1" w:themeTint="F2"/>
                <w:lang w:val="en-GB"/>
              </w:rPr>
              <w:t xml:space="preserve"> than</w:t>
            </w:r>
            <w:r w:rsidR="00D80129" w:rsidRPr="00DD6E6B">
              <w:rPr>
                <w:color w:val="0D0D0D" w:themeColor="text1" w:themeTint="F2"/>
                <w:lang w:val="en-GB"/>
              </w:rPr>
              <w:t xml:space="preserve"> sales from direct export. Sales swiftly grew in mining or food industry, in spite of the decline of real demand. </w:t>
            </w:r>
          </w:p>
        </w:tc>
        <w:tc>
          <w:tcPr>
            <w:tcW w:w="194" w:type="dxa"/>
            <w:tcBorders>
              <w:top w:val="nil"/>
              <w:left w:val="nil"/>
              <w:bottom w:val="nil"/>
              <w:right w:val="nil"/>
            </w:tcBorders>
            <w:shd w:val="clear" w:color="auto" w:fill="auto"/>
            <w:tcMar>
              <w:left w:w="0" w:type="dxa"/>
            </w:tcMar>
          </w:tcPr>
          <w:p w14:paraId="35080E80"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11212622" w14:textId="2D611712" w:rsidR="00D80129" w:rsidRPr="00DD6E6B" w:rsidRDefault="00D80129" w:rsidP="00D80129">
            <w:pPr>
              <w:spacing w:after="200"/>
              <w:rPr>
                <w:rFonts w:cs="Arial"/>
                <w:bCs/>
                <w:color w:val="0D0D0D" w:themeColor="text1" w:themeTint="F2"/>
                <w:spacing w:val="-5"/>
                <w:szCs w:val="20"/>
                <w:lang w:val="en-GB"/>
              </w:rPr>
            </w:pPr>
            <w:r w:rsidRPr="00DD6E6B">
              <w:rPr>
                <w:rFonts w:cs="Arial"/>
                <w:bCs/>
                <w:color w:val="0D0D0D" w:themeColor="text1" w:themeTint="F2"/>
                <w:spacing w:val="-5"/>
                <w:szCs w:val="20"/>
                <w:lang w:val="en-GB"/>
              </w:rPr>
              <w:t>Nominal sales of the industrial businesses</w:t>
            </w:r>
            <w:r w:rsidRPr="00DD6E6B">
              <w:rPr>
                <w:rStyle w:val="Znakapoznpodarou"/>
                <w:bCs/>
                <w:color w:val="0D0D0D" w:themeColor="text1" w:themeTint="F2"/>
                <w:spacing w:val="-5"/>
                <w:szCs w:val="20"/>
                <w:lang w:val="en-GB"/>
              </w:rPr>
              <w:footnoteReference w:id="11"/>
            </w:r>
            <w:r w:rsidRPr="00DD6E6B">
              <w:rPr>
                <w:rFonts w:cs="Arial"/>
                <w:bCs/>
                <w:color w:val="0D0D0D" w:themeColor="text1" w:themeTint="F2"/>
                <w:spacing w:val="-5"/>
                <w:szCs w:val="20"/>
                <w:lang w:val="en-GB"/>
              </w:rPr>
              <w:t xml:space="preserve"> increased by 8.2% year-on-year in H1 2023 (in that already only by 5.4% in Q2). Weakening pace of sales can be for the large part attributed to the gradually subsiding price growth on the side of producers, especially in manufacturing itself. Domestic sales strengthened by 9.9% and thus grew more dynamically compared to sales from direct export for already two years</w:t>
            </w:r>
            <w:r w:rsidRPr="00DD6E6B">
              <w:rPr>
                <w:rStyle w:val="Znakapoznpodarou"/>
                <w:bCs/>
                <w:color w:val="0D0D0D" w:themeColor="text1" w:themeTint="F2"/>
                <w:spacing w:val="-5"/>
                <w:szCs w:val="20"/>
                <w:lang w:val="en-GB"/>
              </w:rPr>
              <w:footnoteReference w:id="12"/>
            </w:r>
            <w:r w:rsidRPr="00DD6E6B">
              <w:rPr>
                <w:rFonts w:cs="Arial"/>
                <w:bCs/>
                <w:color w:val="0D0D0D" w:themeColor="text1" w:themeTint="F2"/>
                <w:spacing w:val="-5"/>
                <w:szCs w:val="20"/>
                <w:lang w:val="en-GB"/>
              </w:rPr>
              <w:t>. Total sales increased the most to the manufacturers of motor vehicles (+27.5%) and manufacturers of other transport vehicles (31.2%). On the other hand</w:t>
            </w:r>
            <w:r>
              <w:rPr>
                <w:rFonts w:cs="Arial"/>
                <w:bCs/>
                <w:color w:val="0D0D0D" w:themeColor="text1" w:themeTint="F2"/>
                <w:spacing w:val="-5"/>
                <w:szCs w:val="20"/>
                <w:lang w:val="en-GB"/>
              </w:rPr>
              <w:t>,</w:t>
            </w:r>
            <w:r w:rsidRPr="00DD6E6B">
              <w:rPr>
                <w:rFonts w:cs="Arial"/>
                <w:bCs/>
                <w:color w:val="0D0D0D" w:themeColor="text1" w:themeTint="F2"/>
                <w:spacing w:val="-5"/>
                <w:szCs w:val="20"/>
                <w:lang w:val="en-GB"/>
              </w:rPr>
              <w:t xml:space="preserve"> they fell in one half of the main industrial branches (even by 22.6% in metallurgy). Sales however briskly grew in some branches affected by the decline of real demand thanks to prevailing price influences (in mining of coal and construction materials, in food or beverage industry). By contrast the sales s</w:t>
            </w:r>
            <w:r>
              <w:rPr>
                <w:rFonts w:cs="Arial"/>
                <w:bCs/>
                <w:color w:val="0D0D0D" w:themeColor="text1" w:themeTint="F2"/>
                <w:spacing w:val="-5"/>
                <w:szCs w:val="20"/>
                <w:lang w:val="en-GB"/>
              </w:rPr>
              <w:t>lightly stayed behind the level </w:t>
            </w:r>
            <w:r w:rsidRPr="00DD6E6B">
              <w:rPr>
                <w:rFonts w:cs="Arial"/>
                <w:bCs/>
                <w:color w:val="0D0D0D" w:themeColor="text1" w:themeTint="F2"/>
                <w:spacing w:val="-5"/>
                <w:szCs w:val="20"/>
                <w:lang w:val="en-GB"/>
              </w:rPr>
              <w:t xml:space="preserve">from H1 2022 in the manufacturing of computers and electronic and optical appliances </w:t>
            </w:r>
            <w:r>
              <w:rPr>
                <w:rFonts w:cs="Arial"/>
                <w:bCs/>
                <w:color w:val="0D0D0D" w:themeColor="text1" w:themeTint="F2"/>
                <w:spacing w:val="-5"/>
                <w:szCs w:val="20"/>
                <w:lang w:val="en-GB"/>
              </w:rPr>
              <w:t>(</w:t>
            </w:r>
            <w:r>
              <w:rPr>
                <w:color w:val="000000"/>
                <w:shd w:val="clear" w:color="auto" w:fill="FFFFFF"/>
              </w:rPr>
              <w:t>–</w:t>
            </w:r>
            <w:r w:rsidRPr="00DD6E6B">
              <w:rPr>
                <w:rFonts w:cs="Arial"/>
                <w:bCs/>
                <w:color w:val="0D0D0D" w:themeColor="text1" w:themeTint="F2"/>
                <w:spacing w:val="-5"/>
                <w:szCs w:val="20"/>
                <w:lang w:val="en-GB"/>
              </w:rPr>
              <w:t>1.3%), even despite the output growing in this branch</w:t>
            </w:r>
            <w:r w:rsidR="0000594E">
              <w:rPr>
                <w:rFonts w:cs="Arial"/>
                <w:bCs/>
                <w:color w:val="0D0D0D" w:themeColor="text1" w:themeTint="F2"/>
                <w:spacing w:val="-5"/>
                <w:szCs w:val="20"/>
                <w:lang w:val="en-GB"/>
              </w:rPr>
              <w:t xml:space="preserve"> this year</w:t>
            </w:r>
            <w:r w:rsidRPr="00DD6E6B">
              <w:rPr>
                <w:rFonts w:cs="Arial"/>
                <w:bCs/>
                <w:color w:val="0D0D0D" w:themeColor="text1" w:themeTint="F2"/>
                <w:spacing w:val="-5"/>
                <w:szCs w:val="20"/>
                <w:lang w:val="en-GB"/>
              </w:rPr>
              <w:t xml:space="preserve">. </w:t>
            </w:r>
          </w:p>
        </w:tc>
      </w:tr>
      <w:tr w:rsidR="00D80129" w:rsidRPr="00DD6E6B" w14:paraId="3B36B5F8" w14:textId="77777777" w:rsidTr="00D80129">
        <w:trPr>
          <w:trHeight w:val="170"/>
        </w:trPr>
        <w:tc>
          <w:tcPr>
            <w:tcW w:w="1678" w:type="dxa"/>
            <w:tcBorders>
              <w:top w:val="nil"/>
              <w:left w:val="nil"/>
              <w:bottom w:val="nil"/>
              <w:right w:val="nil"/>
            </w:tcBorders>
            <w:shd w:val="clear" w:color="auto" w:fill="auto"/>
            <w:tcMar>
              <w:left w:w="0" w:type="dxa"/>
            </w:tcMar>
          </w:tcPr>
          <w:p w14:paraId="5EBF9ECF" w14:textId="2245CB32" w:rsidR="00D80129" w:rsidRPr="00DD6E6B" w:rsidRDefault="00D80129" w:rsidP="00D80129">
            <w:pPr>
              <w:pStyle w:val="Marginlie"/>
              <w:rPr>
                <w:color w:val="0D0D0D" w:themeColor="text1" w:themeTint="F2"/>
                <w:lang w:val="en-GB"/>
              </w:rPr>
            </w:pPr>
            <w:r w:rsidRPr="00DD6E6B">
              <w:rPr>
                <w:color w:val="0D0D0D" w:themeColor="text1" w:themeTint="F2"/>
                <w:lang w:val="en-GB"/>
              </w:rPr>
              <w:t>Value of new industrial orders decreased year-on-year in Q2</w:t>
            </w:r>
            <w:r w:rsidR="0000594E">
              <w:rPr>
                <w:color w:val="0D0D0D" w:themeColor="text1" w:themeTint="F2"/>
                <w:lang w:val="en-GB"/>
              </w:rPr>
              <w:t xml:space="preserve"> 2023</w:t>
            </w:r>
            <w:r w:rsidRPr="00DD6E6B">
              <w:rPr>
                <w:color w:val="0D0D0D" w:themeColor="text1" w:themeTint="F2"/>
                <w:lang w:val="en-GB"/>
              </w:rPr>
              <w:t xml:space="preserve">. </w:t>
            </w:r>
          </w:p>
          <w:p w14:paraId="783C6062" w14:textId="77777777" w:rsidR="00D80129" w:rsidRPr="00DD6E6B" w:rsidRDefault="00D80129" w:rsidP="00D80129">
            <w:pPr>
              <w:pStyle w:val="Marginlie"/>
              <w:rPr>
                <w:color w:val="0D0D0D" w:themeColor="text1" w:themeTint="F2"/>
                <w:lang w:val="en-GB"/>
              </w:rPr>
            </w:pPr>
          </w:p>
          <w:p w14:paraId="3F4A931A" w14:textId="77777777" w:rsidR="00D80129" w:rsidRPr="00DD6E6B" w:rsidRDefault="00D80129" w:rsidP="00D80129">
            <w:pPr>
              <w:pStyle w:val="Marginlie"/>
              <w:rPr>
                <w:color w:val="0D0D0D" w:themeColor="text1" w:themeTint="F2"/>
                <w:lang w:val="en-GB"/>
              </w:rPr>
            </w:pPr>
          </w:p>
          <w:p w14:paraId="2AFA1DE5" w14:textId="77777777" w:rsidR="00D80129" w:rsidRPr="00DD6E6B" w:rsidRDefault="00D80129" w:rsidP="00D80129">
            <w:pPr>
              <w:pStyle w:val="Marginlie"/>
              <w:rPr>
                <w:color w:val="0D0D0D" w:themeColor="text1" w:themeTint="F2"/>
                <w:lang w:val="en-GB"/>
              </w:rPr>
            </w:pPr>
          </w:p>
          <w:p w14:paraId="58599EAD" w14:textId="7C0F72BB" w:rsidR="00D80129" w:rsidRPr="00DD6E6B" w:rsidRDefault="00D80129" w:rsidP="00D80129">
            <w:pPr>
              <w:pStyle w:val="Marginlie"/>
              <w:rPr>
                <w:color w:val="0D0D0D" w:themeColor="text1" w:themeTint="F2"/>
                <w:lang w:val="en-GB"/>
              </w:rPr>
            </w:pPr>
            <w:r w:rsidRPr="00DD6E6B">
              <w:rPr>
                <w:color w:val="0D0D0D" w:themeColor="text1" w:themeTint="F2"/>
                <w:lang w:val="en-GB"/>
              </w:rPr>
              <w:t xml:space="preserve">Only the pharmaceutical industry was sending clear positive signals of expected higher demand. </w:t>
            </w:r>
          </w:p>
        </w:tc>
        <w:tc>
          <w:tcPr>
            <w:tcW w:w="194" w:type="dxa"/>
            <w:tcBorders>
              <w:top w:val="nil"/>
              <w:left w:val="nil"/>
              <w:bottom w:val="nil"/>
              <w:right w:val="nil"/>
            </w:tcBorders>
            <w:shd w:val="clear" w:color="auto" w:fill="auto"/>
            <w:tcMar>
              <w:left w:w="0" w:type="dxa"/>
            </w:tcMar>
          </w:tcPr>
          <w:p w14:paraId="01292D71"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23C0EC51" w14:textId="772E94ED" w:rsidR="00D80129" w:rsidRPr="00DD6E6B" w:rsidRDefault="00D80129" w:rsidP="00D80129">
            <w:pPr>
              <w:spacing w:after="200"/>
              <w:rPr>
                <w:color w:val="0D0D0D" w:themeColor="text1" w:themeTint="F2"/>
                <w:spacing w:val="-5"/>
                <w:lang w:val="en-GB"/>
              </w:rPr>
            </w:pPr>
            <w:r w:rsidRPr="00DD6E6B">
              <w:rPr>
                <w:color w:val="0D0D0D" w:themeColor="text1" w:themeTint="F2"/>
                <w:spacing w:val="-5"/>
                <w:lang w:val="en-GB"/>
              </w:rPr>
              <w:t xml:space="preserve">The dynamics of new industrial orders featured signs of weakening demand. While in Q1 2023 the nominal value of orders </w:t>
            </w:r>
            <w:r w:rsidR="0000594E">
              <w:rPr>
                <w:color w:val="0D0D0D" w:themeColor="text1" w:themeTint="F2"/>
                <w:spacing w:val="-5"/>
                <w:lang w:val="en-GB"/>
              </w:rPr>
              <w:t>(</w:t>
            </w:r>
            <w:r w:rsidRPr="00DD6E6B">
              <w:rPr>
                <w:color w:val="0D0D0D" w:themeColor="text1" w:themeTint="F2"/>
                <w:spacing w:val="-5"/>
                <w:lang w:val="en-GB"/>
              </w:rPr>
              <w:t>in the monitored industrial branches</w:t>
            </w:r>
            <w:r w:rsidR="0000594E">
              <w:rPr>
                <w:color w:val="0D0D0D" w:themeColor="text1" w:themeTint="F2"/>
                <w:spacing w:val="-5"/>
                <w:lang w:val="en-GB"/>
              </w:rPr>
              <w:t>)</w:t>
            </w:r>
            <w:r w:rsidRPr="00DD6E6B">
              <w:rPr>
                <w:rStyle w:val="Znakapoznpodarou"/>
                <w:color w:val="0D0D0D" w:themeColor="text1" w:themeTint="F2"/>
                <w:spacing w:val="-5"/>
                <w:lang w:val="en-GB"/>
              </w:rPr>
              <w:footnoteReference w:id="13"/>
            </w:r>
            <w:r w:rsidRPr="00DD6E6B">
              <w:rPr>
                <w:color w:val="0D0D0D" w:themeColor="text1" w:themeTint="F2"/>
                <w:spacing w:val="-5"/>
                <w:lang w:val="en-GB"/>
              </w:rPr>
              <w:t xml:space="preserve"> rose by 2.1% year-on-year, it already recorded a decrease of 2.6%</w:t>
            </w:r>
            <w:r w:rsidRPr="00DD6E6B">
              <w:rPr>
                <w:rStyle w:val="Znakapoznpodarou"/>
                <w:color w:val="0D0D0D" w:themeColor="text1" w:themeTint="F2"/>
                <w:spacing w:val="-5"/>
                <w:lang w:val="en-GB"/>
              </w:rPr>
              <w:footnoteReference w:id="14"/>
            </w:r>
            <w:r w:rsidR="0000594E">
              <w:rPr>
                <w:color w:val="0D0D0D" w:themeColor="text1" w:themeTint="F2"/>
                <w:spacing w:val="-5"/>
                <w:lang w:val="en-GB"/>
              </w:rPr>
              <w:t xml:space="preserve"> in Q2</w:t>
            </w:r>
            <w:r w:rsidRPr="00DD6E6B">
              <w:rPr>
                <w:color w:val="0D0D0D" w:themeColor="text1" w:themeTint="F2"/>
                <w:spacing w:val="-5"/>
                <w:lang w:val="en-GB"/>
              </w:rPr>
              <w:t xml:space="preserve"> (the first since the pandemic shutdowns of production in year 2020). The foreign demand signalled faster cooling. Orders from abroad dropped by 3.5% for the whole H1</w:t>
            </w:r>
            <w:r w:rsidR="0000594E">
              <w:rPr>
                <w:color w:val="0D0D0D" w:themeColor="text1" w:themeTint="F2"/>
                <w:spacing w:val="-5"/>
                <w:lang w:val="en-GB"/>
              </w:rPr>
              <w:t xml:space="preserve"> 2023, while</w:t>
            </w:r>
            <w:r w:rsidRPr="00DD6E6B">
              <w:rPr>
                <w:color w:val="0D0D0D" w:themeColor="text1" w:themeTint="F2"/>
                <w:spacing w:val="-5"/>
                <w:lang w:val="en-GB"/>
              </w:rPr>
              <w:t xml:space="preserve"> the domestic ones increased by 6.9% year-on-year. Total volume of orders sank by approximately one fifth in the chemical industry and metallurgy. They however grew </w:t>
            </w:r>
            <w:r w:rsidR="0000594E">
              <w:rPr>
                <w:color w:val="0D0D0D" w:themeColor="text1" w:themeTint="F2"/>
                <w:spacing w:val="-5"/>
                <w:lang w:val="en-GB"/>
              </w:rPr>
              <w:t>(</w:t>
            </w:r>
            <w:r w:rsidRPr="00DD6E6B">
              <w:rPr>
                <w:color w:val="0D0D0D" w:themeColor="text1" w:themeTint="F2"/>
                <w:spacing w:val="-5"/>
                <w:lang w:val="en-GB"/>
              </w:rPr>
              <w:t>also due to the weaker last year’s basis</w:t>
            </w:r>
            <w:r w:rsidR="0000594E">
              <w:rPr>
                <w:color w:val="0D0D0D" w:themeColor="text1" w:themeTint="F2"/>
                <w:spacing w:val="-5"/>
                <w:lang w:val="en-GB"/>
              </w:rPr>
              <w:t>)</w:t>
            </w:r>
            <w:r w:rsidRPr="00DD6E6B">
              <w:rPr>
                <w:color w:val="0D0D0D" w:themeColor="text1" w:themeTint="F2"/>
                <w:spacing w:val="-5"/>
                <w:lang w:val="en-GB"/>
              </w:rPr>
              <w:t xml:space="preserve"> in the motor vehicle manufacturing (+6.5%, in that domestic by 26.9%). The growth was just below 3% in machinery as well as electric</w:t>
            </w:r>
            <w:r w:rsidR="0000594E">
              <w:rPr>
                <w:color w:val="0D0D0D" w:themeColor="text1" w:themeTint="F2"/>
                <w:spacing w:val="-5"/>
                <w:lang w:val="en-GB"/>
              </w:rPr>
              <w:t>al engineering. If we take into account</w:t>
            </w:r>
            <w:r w:rsidRPr="00DD6E6B">
              <w:rPr>
                <w:color w:val="0D0D0D" w:themeColor="text1" w:themeTint="F2"/>
                <w:spacing w:val="-5"/>
                <w:lang w:val="en-GB"/>
              </w:rPr>
              <w:t xml:space="preserve"> the last year’s basis as well as the growth of prices of intermediate inputs</w:t>
            </w:r>
            <w:r w:rsidR="0000594E">
              <w:rPr>
                <w:color w:val="0D0D0D" w:themeColor="text1" w:themeTint="F2"/>
                <w:spacing w:val="-5"/>
                <w:lang w:val="en-GB"/>
              </w:rPr>
              <w:t>,</w:t>
            </w:r>
            <w:r w:rsidRPr="00DD6E6B">
              <w:rPr>
                <w:color w:val="0D0D0D" w:themeColor="text1" w:themeTint="F2"/>
                <w:spacing w:val="-5"/>
                <w:lang w:val="en-GB"/>
              </w:rPr>
              <w:t xml:space="preserve"> only the increase of orders in the pharmaceutical industry (+16.9%) can be assessed as a clear positive signal.</w:t>
            </w:r>
          </w:p>
        </w:tc>
      </w:tr>
      <w:tr w:rsidR="00D80129" w:rsidRPr="00DD6E6B" w14:paraId="7B1BE183" w14:textId="77777777" w:rsidTr="00D80129">
        <w:trPr>
          <w:trHeight w:val="170"/>
        </w:trPr>
        <w:tc>
          <w:tcPr>
            <w:tcW w:w="1678" w:type="dxa"/>
            <w:tcBorders>
              <w:top w:val="nil"/>
              <w:left w:val="nil"/>
              <w:bottom w:val="nil"/>
              <w:right w:val="nil"/>
            </w:tcBorders>
            <w:shd w:val="clear" w:color="auto" w:fill="auto"/>
            <w:tcMar>
              <w:left w:w="0" w:type="dxa"/>
            </w:tcMar>
          </w:tcPr>
          <w:p w14:paraId="583E37E6" w14:textId="77777777"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Pessimism of businesses in industry grew to the three-year minimum during Q2 this year.  </w:t>
            </w:r>
          </w:p>
          <w:p w14:paraId="65F3603F" w14:textId="77777777" w:rsidR="00D80129" w:rsidRPr="00DD6E6B" w:rsidRDefault="00D80129" w:rsidP="00D80129">
            <w:pPr>
              <w:pStyle w:val="Marginlie"/>
              <w:rPr>
                <w:color w:val="0D0D0D" w:themeColor="text1" w:themeTint="F2"/>
                <w:spacing w:val="-4"/>
                <w:lang w:val="en-GB"/>
              </w:rPr>
            </w:pPr>
          </w:p>
          <w:p w14:paraId="44C04E18" w14:textId="77777777" w:rsidR="00D80129" w:rsidRPr="00DD6E6B" w:rsidRDefault="00D80129" w:rsidP="00D80129">
            <w:pPr>
              <w:pStyle w:val="Marginlie"/>
              <w:rPr>
                <w:color w:val="0D0D0D" w:themeColor="text1" w:themeTint="F2"/>
                <w:spacing w:val="-4"/>
                <w:lang w:val="en-GB"/>
              </w:rPr>
            </w:pPr>
          </w:p>
          <w:p w14:paraId="2080B634" w14:textId="0EC9E756" w:rsidR="00D80129" w:rsidRDefault="00D80129" w:rsidP="00D80129">
            <w:pPr>
              <w:pStyle w:val="Marginlie"/>
              <w:rPr>
                <w:color w:val="0D0D0D" w:themeColor="text1" w:themeTint="F2"/>
                <w:spacing w:val="-4"/>
                <w:lang w:val="en-GB"/>
              </w:rPr>
            </w:pPr>
          </w:p>
          <w:p w14:paraId="72BC926D" w14:textId="1375347E" w:rsidR="00D80129" w:rsidRDefault="00D80129" w:rsidP="00D80129">
            <w:pPr>
              <w:pStyle w:val="Marginlie"/>
              <w:rPr>
                <w:color w:val="0D0D0D" w:themeColor="text1" w:themeTint="F2"/>
                <w:spacing w:val="-4"/>
                <w:lang w:val="en-GB"/>
              </w:rPr>
            </w:pPr>
          </w:p>
          <w:p w14:paraId="126B91D4" w14:textId="77777777" w:rsidR="00D80129" w:rsidRPr="00DD6E6B" w:rsidRDefault="00D80129" w:rsidP="00D80129">
            <w:pPr>
              <w:pStyle w:val="Marginlie"/>
              <w:rPr>
                <w:color w:val="0D0D0D" w:themeColor="text1" w:themeTint="F2"/>
                <w:spacing w:val="-4"/>
                <w:lang w:val="en-GB"/>
              </w:rPr>
            </w:pPr>
          </w:p>
          <w:p w14:paraId="04DAA74F" w14:textId="77777777" w:rsidR="00D80129" w:rsidRPr="00DD6E6B" w:rsidRDefault="00D80129" w:rsidP="00D80129">
            <w:pPr>
              <w:pStyle w:val="Marginlie"/>
              <w:rPr>
                <w:color w:val="0D0D0D" w:themeColor="text1" w:themeTint="F2"/>
                <w:spacing w:val="-4"/>
                <w:lang w:val="en-GB"/>
              </w:rPr>
            </w:pPr>
            <w:r w:rsidRPr="00DD6E6B">
              <w:rPr>
                <w:spacing w:val="-4"/>
                <w:lang w:val="en-GB"/>
              </w:rPr>
              <w:lastRenderedPageBreak/>
              <w:t xml:space="preserve">Inadequate demand has been the key growth barrier since the beginning of the year. </w:t>
            </w:r>
          </w:p>
          <w:p w14:paraId="71DA4129" w14:textId="77777777" w:rsidR="00D80129" w:rsidRPr="00DD6E6B" w:rsidRDefault="00D80129" w:rsidP="00D80129">
            <w:pPr>
              <w:pStyle w:val="Marginlie"/>
              <w:rPr>
                <w:color w:val="0D0D0D" w:themeColor="text1" w:themeTint="F2"/>
                <w:lang w:val="en-GB"/>
              </w:rPr>
            </w:pPr>
          </w:p>
        </w:tc>
        <w:tc>
          <w:tcPr>
            <w:tcW w:w="194" w:type="dxa"/>
            <w:tcBorders>
              <w:top w:val="nil"/>
              <w:left w:val="nil"/>
              <w:bottom w:val="nil"/>
              <w:right w:val="nil"/>
            </w:tcBorders>
            <w:shd w:val="clear" w:color="auto" w:fill="auto"/>
            <w:tcMar>
              <w:left w:w="0" w:type="dxa"/>
            </w:tcMar>
          </w:tcPr>
          <w:p w14:paraId="5D02A40D"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495C75B1" w14:textId="6355CCB5" w:rsidR="00D80129" w:rsidRPr="00DD6E6B" w:rsidRDefault="00D80129" w:rsidP="0000594E">
            <w:pPr>
              <w:spacing w:after="200"/>
              <w:rPr>
                <w:color w:val="0D0D0D" w:themeColor="text1" w:themeTint="F2"/>
                <w:spacing w:val="-5"/>
                <w:lang w:val="en-GB"/>
              </w:rPr>
            </w:pPr>
            <w:r w:rsidRPr="0000594E">
              <w:rPr>
                <w:color w:val="0D0D0D" w:themeColor="text1" w:themeTint="F2"/>
                <w:spacing w:val="-4"/>
                <w:lang w:val="en-GB"/>
              </w:rPr>
              <w:t xml:space="preserve">Business confidence in industry was gradually rising </w:t>
            </w:r>
            <w:r w:rsidR="0000594E" w:rsidRPr="0000594E">
              <w:rPr>
                <w:color w:val="0D0D0D" w:themeColor="text1" w:themeTint="F2"/>
                <w:spacing w:val="-4"/>
                <w:lang w:val="en-GB"/>
              </w:rPr>
              <w:t>(</w:t>
            </w:r>
            <w:r w:rsidRPr="0000594E">
              <w:rPr>
                <w:color w:val="0D0D0D" w:themeColor="text1" w:themeTint="F2"/>
                <w:spacing w:val="-4"/>
                <w:lang w:val="en-GB"/>
              </w:rPr>
              <w:t>after subsiding of the “hot phase” of the energy crisis</w:t>
            </w:r>
            <w:r w:rsidR="0000594E" w:rsidRPr="0000594E">
              <w:rPr>
                <w:color w:val="0D0D0D" w:themeColor="text1" w:themeTint="F2"/>
                <w:spacing w:val="-4"/>
                <w:lang w:val="en-GB"/>
              </w:rPr>
              <w:t>)</w:t>
            </w:r>
            <w:r w:rsidRPr="00DD6E6B">
              <w:rPr>
                <w:color w:val="0D0D0D" w:themeColor="text1" w:themeTint="F2"/>
                <w:spacing w:val="-3"/>
                <w:lang w:val="en-GB"/>
              </w:rPr>
              <w:t xml:space="preserve"> during this year’s Spring (it was the highest since the last summer</w:t>
            </w:r>
            <w:r w:rsidR="0000594E">
              <w:rPr>
                <w:color w:val="0D0D0D" w:themeColor="text1" w:themeTint="F2"/>
                <w:spacing w:val="-3"/>
                <w:lang w:val="en-GB"/>
              </w:rPr>
              <w:t>).</w:t>
            </w:r>
            <w:r w:rsidRPr="00DD6E6B">
              <w:rPr>
                <w:color w:val="0D0D0D" w:themeColor="text1" w:themeTint="F2"/>
                <w:spacing w:val="-3"/>
                <w:lang w:val="en-GB"/>
              </w:rPr>
              <w:t xml:space="preserve"> </w:t>
            </w:r>
            <w:r w:rsidRPr="0000594E">
              <w:rPr>
                <w:color w:val="0D0D0D" w:themeColor="text1" w:themeTint="F2"/>
                <w:spacing w:val="-4"/>
                <w:lang w:val="en-GB"/>
              </w:rPr>
              <w:t>The trend however turned around later on and also under the influence of deteriorating economic outlooks in key export destinations the confidence in the domestic industry descended down to three-year minimum. Rising pessimism was closely connected to the worsened assessment of demand, short-term anticipations of own production or economic situation of the company, but also employment</w:t>
            </w:r>
            <w:r w:rsidRPr="0000594E">
              <w:rPr>
                <w:rStyle w:val="Znakapoznpodarou"/>
                <w:color w:val="0D0D0D" w:themeColor="text1" w:themeTint="F2"/>
                <w:spacing w:val="-4"/>
                <w:lang w:val="en-GB"/>
              </w:rPr>
              <w:footnoteReference w:id="15"/>
            </w:r>
            <w:r w:rsidRPr="0000594E">
              <w:rPr>
                <w:color w:val="0D0D0D" w:themeColor="text1" w:themeTint="F2"/>
                <w:spacing w:val="-4"/>
                <w:lang w:val="en-GB"/>
              </w:rPr>
              <w:t>. Mild pessimism regarding current demand prevails in industry for already virtually whole year, which already nearly 45% of businesses</w:t>
            </w:r>
            <w:r w:rsidRPr="0000594E">
              <w:rPr>
                <w:rStyle w:val="Znakapoznpodarou"/>
                <w:color w:val="0D0D0D" w:themeColor="text1" w:themeTint="F2"/>
                <w:spacing w:val="-4"/>
                <w:lang w:val="en-GB"/>
              </w:rPr>
              <w:footnoteReference w:id="16"/>
            </w:r>
            <w:r w:rsidRPr="0000594E">
              <w:rPr>
                <w:color w:val="0D0D0D" w:themeColor="text1" w:themeTint="F2"/>
                <w:spacing w:val="-4"/>
                <w:lang w:val="en-GB"/>
              </w:rPr>
              <w:t xml:space="preserve"> perceived </w:t>
            </w:r>
            <w:r w:rsidRPr="0000594E">
              <w:rPr>
                <w:color w:val="0D0D0D" w:themeColor="text1" w:themeTint="F2"/>
                <w:spacing w:val="-4"/>
                <w:lang w:val="en-GB"/>
              </w:rPr>
              <w:lastRenderedPageBreak/>
              <w:t>as a significant growth barrier in July this year. Sluggish sales are mirrored in higher level of inventory stock. Shortage of labour, similarly to material and equipment limited already “only” one fifth of businesses. Nevertheless, in some industrial branches it still presented a key growth barrier</w:t>
            </w:r>
            <w:r w:rsidRPr="0000594E">
              <w:rPr>
                <w:rStyle w:val="Znakapoznpodarou"/>
                <w:color w:val="0D0D0D" w:themeColor="text1" w:themeTint="F2"/>
                <w:spacing w:val="-4"/>
                <w:lang w:val="en-GB"/>
              </w:rPr>
              <w:footnoteReference w:id="17"/>
            </w:r>
            <w:r w:rsidRPr="0000594E">
              <w:rPr>
                <w:color w:val="0D0D0D" w:themeColor="text1" w:themeTint="F2"/>
                <w:spacing w:val="-4"/>
                <w:lang w:val="en-GB"/>
              </w:rPr>
              <w:t>.</w:t>
            </w:r>
          </w:p>
        </w:tc>
      </w:tr>
      <w:tr w:rsidR="00D80129" w:rsidRPr="00DD6E6B" w14:paraId="0685C929" w14:textId="77777777" w:rsidTr="00D80129">
        <w:trPr>
          <w:trHeight w:val="134"/>
        </w:trPr>
        <w:tc>
          <w:tcPr>
            <w:tcW w:w="1678" w:type="dxa"/>
            <w:vMerge w:val="restart"/>
            <w:tcBorders>
              <w:top w:val="nil"/>
              <w:left w:val="nil"/>
              <w:bottom w:val="nil"/>
              <w:right w:val="nil"/>
            </w:tcBorders>
            <w:shd w:val="clear" w:color="auto" w:fill="auto"/>
            <w:tcMar>
              <w:left w:w="0" w:type="dxa"/>
            </w:tcMar>
          </w:tcPr>
          <w:p w14:paraId="3CEFC891" w14:textId="77777777" w:rsidR="00D80129" w:rsidRPr="00DD6E6B" w:rsidRDefault="00D80129" w:rsidP="00D80129">
            <w:pPr>
              <w:pStyle w:val="Marginlie"/>
              <w:rPr>
                <w:lang w:val="en-GB"/>
              </w:rPr>
            </w:pPr>
          </w:p>
        </w:tc>
        <w:tc>
          <w:tcPr>
            <w:tcW w:w="194" w:type="dxa"/>
            <w:vMerge w:val="restart"/>
            <w:tcBorders>
              <w:top w:val="nil"/>
              <w:left w:val="nil"/>
              <w:bottom w:val="nil"/>
              <w:right w:val="nil"/>
            </w:tcBorders>
            <w:shd w:val="clear" w:color="auto" w:fill="auto"/>
            <w:tcMar>
              <w:left w:w="0" w:type="dxa"/>
            </w:tcMar>
          </w:tcPr>
          <w:p w14:paraId="55EE402F"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30213F4A" w14:textId="7623D14D" w:rsidR="00D80129" w:rsidRPr="00DD6E6B" w:rsidRDefault="00D80129" w:rsidP="00D80129">
            <w:pPr>
              <w:spacing w:after="0"/>
              <w:rPr>
                <w:color w:val="0D0D0D" w:themeColor="text1" w:themeTint="F2"/>
                <w:spacing w:val="-5"/>
                <w:lang w:val="en-GB"/>
              </w:rPr>
            </w:pPr>
            <w:r w:rsidRPr="00DD6E6B">
              <w:rPr>
                <w:b/>
                <w:spacing w:val="-2"/>
                <w:lang w:val="en-GB"/>
              </w:rPr>
              <w:t xml:space="preserve">Chart 5 </w:t>
            </w:r>
            <w:r w:rsidRPr="00877F35">
              <w:rPr>
                <w:b/>
                <w:spacing w:val="-2"/>
                <w:lang w:val="en-GB"/>
              </w:rPr>
              <w:t xml:space="preserve">New orders in industry </w:t>
            </w:r>
            <w:r w:rsidRPr="00877F35">
              <w:rPr>
                <w:bCs/>
                <w:spacing w:val="-2"/>
                <w:lang w:val="en-GB"/>
              </w:rPr>
              <w:t>(nominal, year-on-year change in %)</w:t>
            </w:r>
            <w:r w:rsidRPr="00877F35">
              <w:rPr>
                <w:b/>
                <w:spacing w:val="-2"/>
                <w:lang w:val="en-GB"/>
              </w:rPr>
              <w:t>, utilisation of production capacities, selected barriers to growth in industry</w:t>
            </w:r>
            <w:r>
              <w:rPr>
                <w:spacing w:val="-2"/>
                <w:lang w:val="en-GB"/>
              </w:rPr>
              <w:t>* (in %</w:t>
            </w:r>
            <w:r w:rsidRPr="00877F35">
              <w:rPr>
                <w:spacing w:val="-2"/>
                <w:lang w:val="en-GB"/>
              </w:rPr>
              <w:t>),</w:t>
            </w:r>
            <w:r w:rsidRPr="00877F35">
              <w:rPr>
                <w:b/>
                <w:spacing w:val="-2"/>
                <w:lang w:val="en-GB"/>
              </w:rPr>
              <w:t xml:space="preserve"> balance of business confidence indicator in industry* </w:t>
            </w:r>
            <w:r>
              <w:rPr>
                <w:spacing w:val="-2"/>
                <w:lang w:val="en-GB"/>
              </w:rPr>
              <w:t>(in p. p.</w:t>
            </w:r>
            <w:r w:rsidRPr="00877F35">
              <w:rPr>
                <w:spacing w:val="-2"/>
                <w:lang w:val="en-GB"/>
              </w:rPr>
              <w:t>)</w:t>
            </w:r>
          </w:p>
        </w:tc>
      </w:tr>
      <w:tr w:rsidR="00D80129" w:rsidRPr="00DD6E6B" w14:paraId="50CEF8B4" w14:textId="77777777" w:rsidTr="00D80129">
        <w:tblPrEx>
          <w:tblCellMar>
            <w:left w:w="70" w:type="dxa"/>
            <w:right w:w="70" w:type="dxa"/>
          </w:tblCellMar>
        </w:tblPrEx>
        <w:trPr>
          <w:trHeight w:val="133"/>
        </w:trPr>
        <w:tc>
          <w:tcPr>
            <w:tcW w:w="1678" w:type="dxa"/>
            <w:vMerge/>
            <w:tcBorders>
              <w:top w:val="nil"/>
              <w:left w:val="nil"/>
              <w:bottom w:val="nil"/>
              <w:right w:val="nil"/>
            </w:tcBorders>
            <w:shd w:val="clear" w:color="auto" w:fill="auto"/>
          </w:tcPr>
          <w:p w14:paraId="5582E41D" w14:textId="77777777" w:rsidR="00D80129" w:rsidRPr="00DD6E6B" w:rsidRDefault="00D80129" w:rsidP="00D80129">
            <w:pPr>
              <w:pStyle w:val="Marginlie"/>
              <w:rPr>
                <w:lang w:val="en-GB"/>
              </w:rPr>
            </w:pPr>
          </w:p>
        </w:tc>
        <w:tc>
          <w:tcPr>
            <w:tcW w:w="194" w:type="dxa"/>
            <w:vMerge/>
            <w:tcBorders>
              <w:top w:val="nil"/>
              <w:left w:val="nil"/>
              <w:bottom w:val="nil"/>
              <w:right w:val="nil"/>
            </w:tcBorders>
            <w:shd w:val="clear" w:color="auto" w:fill="auto"/>
          </w:tcPr>
          <w:p w14:paraId="19760B8C"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Pr>
          <w:p w14:paraId="60A5B99F" w14:textId="0FBCEFDD" w:rsidR="00D80129" w:rsidRPr="00DD6E6B" w:rsidRDefault="00D80129" w:rsidP="00D80129">
            <w:pPr>
              <w:spacing w:after="0"/>
              <w:rPr>
                <w:color w:val="0D0D0D" w:themeColor="text1" w:themeTint="F2"/>
                <w:spacing w:val="-5"/>
                <w:lang w:val="en-GB"/>
              </w:rPr>
            </w:pPr>
            <w:r>
              <w:rPr>
                <w:noProof/>
              </w:rPr>
              <w:drawing>
                <wp:inline distT="0" distB="0" distL="0" distR="0" wp14:anchorId="5E4AAE6D" wp14:editId="4A54160E">
                  <wp:extent cx="4770120" cy="3726611"/>
                  <wp:effectExtent l="0" t="0" r="0" b="762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80129" w:rsidRPr="00DD6E6B" w14:paraId="09FF7248" w14:textId="77777777" w:rsidTr="00D80129">
        <w:trPr>
          <w:trHeight w:val="133"/>
        </w:trPr>
        <w:tc>
          <w:tcPr>
            <w:tcW w:w="1678" w:type="dxa"/>
            <w:vMerge/>
            <w:tcBorders>
              <w:top w:val="nil"/>
              <w:left w:val="nil"/>
              <w:bottom w:val="nil"/>
              <w:right w:val="nil"/>
            </w:tcBorders>
            <w:shd w:val="clear" w:color="auto" w:fill="auto"/>
            <w:tcMar>
              <w:left w:w="0" w:type="dxa"/>
            </w:tcMar>
          </w:tcPr>
          <w:p w14:paraId="2F27F978" w14:textId="77777777" w:rsidR="00D80129" w:rsidRPr="00DD6E6B" w:rsidRDefault="00D80129" w:rsidP="00D80129">
            <w:pPr>
              <w:pStyle w:val="Marginlie"/>
              <w:rPr>
                <w:lang w:val="en-GB"/>
              </w:rPr>
            </w:pPr>
          </w:p>
        </w:tc>
        <w:tc>
          <w:tcPr>
            <w:tcW w:w="194" w:type="dxa"/>
            <w:vMerge/>
            <w:tcBorders>
              <w:top w:val="nil"/>
              <w:left w:val="nil"/>
              <w:bottom w:val="nil"/>
              <w:right w:val="nil"/>
            </w:tcBorders>
            <w:shd w:val="clear" w:color="auto" w:fill="auto"/>
            <w:tcMar>
              <w:left w:w="0" w:type="dxa"/>
            </w:tcMar>
          </w:tcPr>
          <w:p w14:paraId="2B9A2F89"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0B74E3CA" w14:textId="77777777" w:rsidR="00D80129" w:rsidRDefault="00D80129" w:rsidP="00D80129">
            <w:pPr>
              <w:spacing w:after="0" w:line="240" w:lineRule="auto"/>
              <w:rPr>
                <w:rFonts w:cs="Arial"/>
                <w:sz w:val="14"/>
                <w:szCs w:val="14"/>
                <w:lang w:val="en-GB"/>
              </w:rPr>
            </w:pPr>
            <w:r w:rsidRPr="00DD6E6B">
              <w:rPr>
                <w:color w:val="0D0D0D" w:themeColor="text1" w:themeTint="F2"/>
                <w:spacing w:val="-5"/>
                <w:lang w:val="en-GB"/>
              </w:rPr>
              <w:t>*</w:t>
            </w:r>
            <w:r w:rsidRPr="00DD6E6B">
              <w:rPr>
                <w:rFonts w:cs="Arial"/>
                <w:sz w:val="14"/>
                <w:szCs w:val="14"/>
                <w:lang w:val="en-GB"/>
              </w:rPr>
              <w:t>Both utilisation of production capacities and growth barriers express the level in the first month of the given quarter, business confidence balance relates to the second month in the quarter. Orders are adjusted for calendar effects; other indicators are seasonally adjusted. Businesses could have indicated more key growth barriers simultaneously.</w:t>
            </w:r>
          </w:p>
          <w:p w14:paraId="551E646C" w14:textId="62EA01F7" w:rsidR="00D80129" w:rsidRPr="00024D0A" w:rsidRDefault="00D80129" w:rsidP="00D80129">
            <w:pPr>
              <w:spacing w:after="200" w:line="240" w:lineRule="auto"/>
              <w:rPr>
                <w:rFonts w:cs="Arial"/>
                <w:sz w:val="14"/>
                <w:szCs w:val="14"/>
                <w:lang w:val="en-GB"/>
              </w:rPr>
            </w:pPr>
            <w:r w:rsidRPr="00DD6E6B">
              <w:rPr>
                <w:rFonts w:cs="Arial"/>
                <w:sz w:val="14"/>
                <w:szCs w:val="14"/>
                <w:lang w:val="en-GB"/>
              </w:rPr>
              <w:t>Source: CZSO</w:t>
            </w:r>
            <w:r>
              <w:rPr>
                <w:rFonts w:cs="Arial"/>
                <w:sz w:val="14"/>
                <w:szCs w:val="14"/>
                <w:lang w:val="en-GB"/>
              </w:rPr>
              <w:t>, Eurostat</w:t>
            </w:r>
          </w:p>
        </w:tc>
      </w:tr>
      <w:tr w:rsidR="00D80129" w:rsidRPr="00DD6E6B" w14:paraId="4CD58B4F" w14:textId="77777777" w:rsidTr="00D80129">
        <w:trPr>
          <w:trHeight w:val="170"/>
        </w:trPr>
        <w:tc>
          <w:tcPr>
            <w:tcW w:w="1678" w:type="dxa"/>
            <w:tcBorders>
              <w:top w:val="nil"/>
              <w:left w:val="nil"/>
              <w:bottom w:val="nil"/>
              <w:right w:val="nil"/>
            </w:tcBorders>
            <w:shd w:val="clear" w:color="auto" w:fill="auto"/>
            <w:tcMar>
              <w:left w:w="0" w:type="dxa"/>
            </w:tcMar>
          </w:tcPr>
          <w:p w14:paraId="04D9A587" w14:textId="4C50D4B2"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Performance of construction was still affected by significant cost pressures as well as weakening private investment activity.  </w:t>
            </w:r>
          </w:p>
        </w:tc>
        <w:tc>
          <w:tcPr>
            <w:tcW w:w="194" w:type="dxa"/>
            <w:tcBorders>
              <w:top w:val="nil"/>
              <w:left w:val="nil"/>
              <w:bottom w:val="nil"/>
              <w:right w:val="nil"/>
            </w:tcBorders>
            <w:shd w:val="clear" w:color="auto" w:fill="auto"/>
            <w:tcMar>
              <w:left w:w="0" w:type="dxa"/>
            </w:tcMar>
          </w:tcPr>
          <w:p w14:paraId="2CAFD1CF"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7010BAA7" w14:textId="6E3AC042" w:rsidR="00D80129" w:rsidRPr="00DD6E6B" w:rsidRDefault="00D80129" w:rsidP="00731921">
            <w:pPr>
              <w:spacing w:after="200"/>
              <w:rPr>
                <w:color w:val="0D0D0D" w:themeColor="text1" w:themeTint="F2"/>
                <w:spacing w:val="-6"/>
                <w:lang w:val="en-GB"/>
              </w:rPr>
            </w:pPr>
            <w:r w:rsidRPr="00DD6E6B">
              <w:rPr>
                <w:color w:val="0D0D0D" w:themeColor="text1" w:themeTint="F2"/>
                <w:spacing w:val="-6"/>
                <w:lang w:val="en-GB"/>
              </w:rPr>
              <w:t>Construction was still influenced by the rising cost pressures as well as weakening investment activity in the business sphere in H1</w:t>
            </w:r>
            <w:r w:rsidR="00731921">
              <w:rPr>
                <w:color w:val="0D0D0D" w:themeColor="text1" w:themeTint="F2"/>
                <w:spacing w:val="-6"/>
                <w:lang w:val="en-GB"/>
              </w:rPr>
              <w:t xml:space="preserve"> 2023</w:t>
            </w:r>
            <w:r w:rsidRPr="00DD6E6B">
              <w:rPr>
                <w:color w:val="0D0D0D" w:themeColor="text1" w:themeTint="F2"/>
                <w:spacing w:val="-6"/>
                <w:lang w:val="en-GB"/>
              </w:rPr>
              <w:t>. Even though the year-on-year growth of prices of construction materials mitigated (it was already even falling month-on-month during Q2), swift growth of labour cost (affected by long-term shortage of qualitied labour force) prevented larger decrease of realised as well as expected prices of construction production</w:t>
            </w:r>
            <w:r w:rsidRPr="00DD6E6B">
              <w:rPr>
                <w:rStyle w:val="Znakapoznpodarou"/>
                <w:color w:val="0D0D0D" w:themeColor="text1" w:themeTint="F2"/>
                <w:spacing w:val="-6"/>
                <w:lang w:val="en-GB"/>
              </w:rPr>
              <w:footnoteReference w:id="18"/>
            </w:r>
            <w:r w:rsidRPr="00DD6E6B">
              <w:rPr>
                <w:color w:val="0D0D0D" w:themeColor="text1" w:themeTint="F2"/>
                <w:spacing w:val="-6"/>
                <w:lang w:val="en-GB"/>
              </w:rPr>
              <w:t xml:space="preserve">. Weakening of the investment activity was related to the shallow recession </w:t>
            </w:r>
            <w:r w:rsidR="00731921">
              <w:rPr>
                <w:color w:val="0D0D0D" w:themeColor="text1" w:themeTint="F2"/>
                <w:spacing w:val="-6"/>
                <w:lang w:val="en-GB"/>
              </w:rPr>
              <w:t>or</w:t>
            </w:r>
            <w:r w:rsidRPr="00DD6E6B">
              <w:rPr>
                <w:color w:val="0D0D0D" w:themeColor="text1" w:themeTint="F2"/>
                <w:spacing w:val="-6"/>
                <w:lang w:val="en-GB"/>
              </w:rPr>
              <w:t xml:space="preserve"> stagnation of the total economic performance. Deteriorated financial situation of households together with notably sunken accessibility of mortgages fundamentally cooled last year’s boom of the real estate market. Intensified flow of funds from the EU budget intended for the construction as well as upgrade of the transport infrastructure or reduction of the energy performance of buildings </w:t>
            </w:r>
            <w:r w:rsidR="00731921">
              <w:rPr>
                <w:color w:val="0D0D0D" w:themeColor="text1" w:themeTint="F2"/>
                <w:spacing w:val="-6"/>
                <w:lang w:val="en-GB"/>
              </w:rPr>
              <w:t>(</w:t>
            </w:r>
            <w:r w:rsidRPr="00DD6E6B">
              <w:rPr>
                <w:color w:val="0D0D0D" w:themeColor="text1" w:themeTint="F2"/>
                <w:spacing w:val="-6"/>
                <w:lang w:val="en-GB"/>
              </w:rPr>
              <w:t>in the area of housing</w:t>
            </w:r>
            <w:r w:rsidR="00731921">
              <w:rPr>
                <w:color w:val="0D0D0D" w:themeColor="text1" w:themeTint="F2"/>
                <w:spacing w:val="-6"/>
                <w:lang w:val="en-GB"/>
              </w:rPr>
              <w:t>)</w:t>
            </w:r>
            <w:r w:rsidRPr="00DD6E6B">
              <w:rPr>
                <w:color w:val="0D0D0D" w:themeColor="text1" w:themeTint="F2"/>
                <w:spacing w:val="-6"/>
                <w:lang w:val="en-GB"/>
              </w:rPr>
              <w:t xml:space="preserve"> </w:t>
            </w:r>
            <w:r w:rsidRPr="00DD6E6B">
              <w:rPr>
                <w:rStyle w:val="normaltextrun"/>
                <w:rFonts w:eastAsia="MS Gothic" w:cs="Arial"/>
                <w:lang w:val="en-GB"/>
              </w:rPr>
              <w:t>on the contrary operated against deeper slump of the construction performance</w:t>
            </w:r>
            <w:r w:rsidRPr="00DD6E6B">
              <w:rPr>
                <w:rStyle w:val="normaltextrun"/>
                <w:rFonts w:eastAsia="MS Gothic" w:cs="Arial"/>
                <w:szCs w:val="20"/>
                <w:lang w:val="en-GB"/>
              </w:rPr>
              <w:t>.</w:t>
            </w:r>
          </w:p>
        </w:tc>
      </w:tr>
      <w:tr w:rsidR="00D80129" w:rsidRPr="00DD6E6B" w14:paraId="15783060" w14:textId="77777777" w:rsidTr="00D80129">
        <w:trPr>
          <w:trHeight w:val="170"/>
        </w:trPr>
        <w:tc>
          <w:tcPr>
            <w:tcW w:w="1678" w:type="dxa"/>
            <w:tcBorders>
              <w:top w:val="nil"/>
              <w:left w:val="nil"/>
              <w:bottom w:val="nil"/>
              <w:right w:val="nil"/>
            </w:tcBorders>
            <w:shd w:val="clear" w:color="auto" w:fill="auto"/>
            <w:tcMar>
              <w:left w:w="0" w:type="dxa"/>
            </w:tcMar>
          </w:tcPr>
          <w:p w14:paraId="374E2C3E" w14:textId="4DD95E45"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lastRenderedPageBreak/>
              <w:t xml:space="preserve">Construction output dropped both year-on-year and quarter-on-quarter in Q2. The reduction of demand was distinctly imprinted in the commenced residential construction, namely across the regions. </w:t>
            </w:r>
          </w:p>
        </w:tc>
        <w:tc>
          <w:tcPr>
            <w:tcW w:w="194" w:type="dxa"/>
            <w:tcBorders>
              <w:top w:val="nil"/>
              <w:left w:val="nil"/>
              <w:bottom w:val="nil"/>
              <w:right w:val="nil"/>
            </w:tcBorders>
            <w:shd w:val="clear" w:color="auto" w:fill="auto"/>
            <w:tcMar>
              <w:left w:w="0" w:type="dxa"/>
            </w:tcMar>
          </w:tcPr>
          <w:p w14:paraId="4D04187F"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312C8F0A" w14:textId="77428F0D" w:rsidR="00D80129" w:rsidRPr="00DD6E6B" w:rsidRDefault="00D80129" w:rsidP="00D80129">
            <w:pPr>
              <w:spacing w:after="200"/>
              <w:rPr>
                <w:color w:val="0D0D0D" w:themeColor="text1" w:themeTint="F2"/>
                <w:spacing w:val="-6"/>
                <w:lang w:val="en-GB"/>
              </w:rPr>
            </w:pPr>
            <w:r w:rsidRPr="00DD6E6B">
              <w:rPr>
                <w:color w:val="0D0D0D" w:themeColor="text1" w:themeTint="F2"/>
                <w:spacing w:val="-6"/>
                <w:lang w:val="en-GB"/>
              </w:rPr>
              <w:t>Total construction output</w:t>
            </w:r>
            <w:r w:rsidRPr="00DD6E6B">
              <w:rPr>
                <w:rStyle w:val="Znakapoznpodarou"/>
                <w:color w:val="0D0D0D" w:themeColor="text1" w:themeTint="F2"/>
                <w:spacing w:val="-6"/>
                <w:lang w:val="en-GB"/>
              </w:rPr>
              <w:footnoteReference w:id="19"/>
            </w:r>
            <w:r w:rsidRPr="00DD6E6B">
              <w:rPr>
                <w:color w:val="0D0D0D" w:themeColor="text1" w:themeTint="F2"/>
                <w:spacing w:val="-6"/>
                <w:lang w:val="en-GB"/>
              </w:rPr>
              <w:t xml:space="preserve"> has fluctuated this year si</w:t>
            </w:r>
            <w:r w:rsidR="00854F32">
              <w:rPr>
                <w:color w:val="0D0D0D" w:themeColor="text1" w:themeTint="F2"/>
                <w:spacing w:val="-6"/>
                <w:lang w:val="en-GB"/>
              </w:rPr>
              <w:t>nce the beginning of this</w:t>
            </w:r>
            <w:r w:rsidRPr="00DD6E6B">
              <w:rPr>
                <w:color w:val="0D0D0D" w:themeColor="text1" w:themeTint="F2"/>
                <w:spacing w:val="-6"/>
                <w:lang w:val="en-GB"/>
              </w:rPr>
              <w:t xml:space="preserve"> year. It expanded by 2.2% quarter-on-quarter in Q1 (partially thanks to the very mild winter). In the subsequent period</w:t>
            </w:r>
            <w:r>
              <w:rPr>
                <w:color w:val="0D0D0D" w:themeColor="text1" w:themeTint="F2"/>
                <w:spacing w:val="-6"/>
                <w:lang w:val="en-GB"/>
              </w:rPr>
              <w:t>,</w:t>
            </w:r>
            <w:r w:rsidRPr="00DD6E6B">
              <w:rPr>
                <w:color w:val="0D0D0D" w:themeColor="text1" w:themeTint="F2"/>
                <w:spacing w:val="-6"/>
                <w:lang w:val="en-GB"/>
              </w:rPr>
              <w:t xml:space="preserve"> it nevertheless fell by entire 3%, when both the building and civil engineering construction recorded a weaker performance. Construction output mildly decreased year-on-year in H1 (by 2.3%, for the major part under the influence of the civil engineering construction, where the output plunged by 7.2%). The effect of higher last year’s basis was also evident here (the output of the whole industry was at the highest level since the end of year 2009). In building construction, the current cooling of demand is the most realistically captured in the area of commenced residential construction. Number of flats dropped by one fifth</w:t>
            </w:r>
            <w:r w:rsidRPr="00DD6E6B">
              <w:rPr>
                <w:rStyle w:val="Znakapoznpodarou"/>
                <w:color w:val="0D0D0D" w:themeColor="text1" w:themeTint="F2"/>
                <w:spacing w:val="-6"/>
                <w:lang w:val="en-GB"/>
              </w:rPr>
              <w:footnoteReference w:id="20"/>
            </w:r>
            <w:r w:rsidRPr="00DD6E6B">
              <w:rPr>
                <w:color w:val="0D0D0D" w:themeColor="text1" w:themeTint="F2"/>
                <w:spacing w:val="-6"/>
                <w:lang w:val="en-GB"/>
              </w:rPr>
              <w:t xml:space="preserve"> year-on-year in H1</w:t>
            </w:r>
            <w:r w:rsidR="00854F32">
              <w:rPr>
                <w:color w:val="0D0D0D" w:themeColor="text1" w:themeTint="F2"/>
                <w:spacing w:val="-6"/>
                <w:lang w:val="en-GB"/>
              </w:rPr>
              <w:t xml:space="preserve"> 2023</w:t>
            </w:r>
            <w:r w:rsidRPr="00DD6E6B">
              <w:rPr>
                <w:color w:val="0D0D0D" w:themeColor="text1" w:themeTint="F2"/>
                <w:spacing w:val="-6"/>
                <w:lang w:val="en-GB"/>
              </w:rPr>
              <w:t xml:space="preserve"> (to 18.1 thousand, it constituted the lowest level within this part of the year in the last five-year period). The decrease </w:t>
            </w:r>
            <w:r>
              <w:rPr>
                <w:color w:val="0D0D0D" w:themeColor="text1" w:themeTint="F2"/>
                <w:spacing w:val="-6"/>
                <w:lang w:val="en-GB"/>
              </w:rPr>
              <w:t>was widespread</w:t>
            </w:r>
            <w:r w:rsidRPr="00BC14B0">
              <w:rPr>
                <w:color w:val="0D0D0D" w:themeColor="text1" w:themeTint="F2"/>
                <w:spacing w:val="-6"/>
                <w:lang w:val="en-GB"/>
              </w:rPr>
              <w:t xml:space="preserve"> (also in the regional glance), growth trend prevailed only in the peripheral segments </w:t>
            </w:r>
            <w:r w:rsidRPr="00BC14B0">
              <w:rPr>
                <w:rStyle w:val="normaltextrun"/>
                <w:rFonts w:eastAsia="MS Gothic" w:cs="Arial"/>
                <w:szCs w:val="20"/>
                <w:lang w:val="en-GB"/>
              </w:rPr>
              <w:t>(a</w:t>
            </w:r>
            <w:r w:rsidRPr="00BC14B0">
              <w:rPr>
                <w:rStyle w:val="normaltextrun"/>
                <w:rFonts w:eastAsia="MS Gothic" w:cs="Arial"/>
                <w:lang w:val="en-GB"/>
              </w:rPr>
              <w:t>dditional</w:t>
            </w:r>
            <w:r w:rsidRPr="00DD6E6B">
              <w:rPr>
                <w:rStyle w:val="normaltextrun"/>
                <w:rFonts w:eastAsia="MS Gothic" w:cs="Arial"/>
                <w:lang w:val="en-GB"/>
              </w:rPr>
              <w:t xml:space="preserve"> storeys of residential buildings, reconstructions of non-residential buildings</w:t>
            </w:r>
            <w:r w:rsidR="00854F32">
              <w:rPr>
                <w:rStyle w:val="normaltextrun"/>
                <w:rFonts w:eastAsia="MS Gothic" w:cs="Arial"/>
                <w:szCs w:val="20"/>
                <w:lang w:val="en-GB"/>
              </w:rPr>
              <w:t>). Number of completed</w:t>
            </w:r>
            <w:r w:rsidRPr="00DD6E6B">
              <w:rPr>
                <w:rStyle w:val="normaltextrun"/>
                <w:rFonts w:eastAsia="MS Gothic" w:cs="Arial"/>
                <w:szCs w:val="20"/>
                <w:lang w:val="en-GB"/>
              </w:rPr>
              <w:t xml:space="preserve"> flats owing to high quantity of started constructions </w:t>
            </w:r>
            <w:r>
              <w:rPr>
                <w:rStyle w:val="normaltextrun"/>
                <w:rFonts w:eastAsia="MS Gothic" w:cs="Arial"/>
                <w:szCs w:val="20"/>
                <w:lang w:val="en-GB"/>
              </w:rPr>
              <w:t>from</w:t>
            </w:r>
            <w:r w:rsidRPr="00DD6E6B">
              <w:rPr>
                <w:rStyle w:val="normaltextrun"/>
                <w:rFonts w:eastAsia="MS Gothic" w:cs="Arial"/>
                <w:szCs w:val="20"/>
                <w:lang w:val="en-GB"/>
              </w:rPr>
              <w:t xml:space="preserve"> the preceding </w:t>
            </w:r>
            <w:r w:rsidRPr="00BC14B0">
              <w:rPr>
                <w:rStyle w:val="normaltextrun"/>
                <w:rFonts w:eastAsia="MS Gothic" w:cs="Arial"/>
                <w:szCs w:val="20"/>
                <w:lang w:val="en-GB"/>
              </w:rPr>
              <w:t xml:space="preserve">years </w:t>
            </w:r>
            <w:r w:rsidR="00854F32">
              <w:rPr>
                <w:rStyle w:val="normaltextrun"/>
                <w:rFonts w:eastAsia="MS Gothic" w:cs="Arial"/>
                <w:szCs w:val="20"/>
                <w:lang w:val="en-GB"/>
              </w:rPr>
              <w:t xml:space="preserve">still </w:t>
            </w:r>
            <w:r>
              <w:rPr>
                <w:rStyle w:val="normaltextrun"/>
                <w:rFonts w:eastAsia="MS Gothic" w:cs="Arial"/>
                <w:spacing w:val="-2"/>
                <w:szCs w:val="20"/>
                <w:lang w:val="en-GB"/>
              </w:rPr>
              <w:t>continued to slightly grow by means of inertia</w:t>
            </w:r>
            <w:r w:rsidRPr="00DD6E6B">
              <w:rPr>
                <w:rStyle w:val="normaltextrun"/>
                <w:rFonts w:eastAsia="MS Gothic" w:cs="Arial"/>
                <w:spacing w:val="-2"/>
                <w:szCs w:val="20"/>
                <w:lang w:val="en-GB"/>
              </w:rPr>
              <w:t xml:space="preserve"> (+2.9%, to 17.9 thousand).</w:t>
            </w:r>
            <w:r w:rsidRPr="00DD6E6B">
              <w:rPr>
                <w:rStyle w:val="normaltextrun"/>
                <w:rFonts w:eastAsia="MS Gothic" w:cs="Arial"/>
                <w:szCs w:val="20"/>
                <w:lang w:val="en-GB"/>
              </w:rPr>
              <w:t xml:space="preserve"> </w:t>
            </w:r>
          </w:p>
        </w:tc>
      </w:tr>
      <w:tr w:rsidR="00D80129" w:rsidRPr="00DD6E6B" w14:paraId="24BBB0C6" w14:textId="77777777" w:rsidTr="00D80129">
        <w:trPr>
          <w:trHeight w:val="170"/>
        </w:trPr>
        <w:tc>
          <w:tcPr>
            <w:tcW w:w="1678" w:type="dxa"/>
            <w:tcBorders>
              <w:top w:val="nil"/>
              <w:left w:val="nil"/>
              <w:bottom w:val="nil"/>
              <w:right w:val="nil"/>
            </w:tcBorders>
            <w:shd w:val="clear" w:color="auto" w:fill="auto"/>
            <w:tcMar>
              <w:left w:w="0" w:type="dxa"/>
            </w:tcMar>
          </w:tcPr>
          <w:p w14:paraId="3EE4A020" w14:textId="0DF29CDC"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Fall of the value of new construction orders deepened during the year. The size of total stock of work narrowed year-on-year, for the first time in the last five and a half years. </w:t>
            </w:r>
          </w:p>
          <w:p w14:paraId="63DFCFE1" w14:textId="77777777" w:rsidR="00D80129" w:rsidRPr="00DD6E6B" w:rsidRDefault="00D80129" w:rsidP="00D80129">
            <w:pPr>
              <w:pStyle w:val="Marginlie"/>
              <w:rPr>
                <w:color w:val="0D0D0D" w:themeColor="text1" w:themeTint="F2"/>
                <w:spacing w:val="-4"/>
                <w:lang w:val="en-GB"/>
              </w:rPr>
            </w:pPr>
          </w:p>
          <w:p w14:paraId="1C36C5EE" w14:textId="77777777" w:rsidR="00D80129" w:rsidRPr="00DD6E6B" w:rsidRDefault="00D80129" w:rsidP="00D80129">
            <w:pPr>
              <w:pStyle w:val="Marginlie"/>
              <w:rPr>
                <w:color w:val="0D0D0D" w:themeColor="text1" w:themeTint="F2"/>
                <w:spacing w:val="-4"/>
                <w:lang w:val="en-GB"/>
              </w:rPr>
            </w:pPr>
          </w:p>
          <w:p w14:paraId="7C53F11B" w14:textId="77777777" w:rsidR="00D80129" w:rsidRPr="00DD6E6B" w:rsidRDefault="00D80129" w:rsidP="00D80129">
            <w:pPr>
              <w:pStyle w:val="Marginlie"/>
              <w:rPr>
                <w:color w:val="0D0D0D" w:themeColor="text1" w:themeTint="F2"/>
                <w:spacing w:val="-4"/>
                <w:lang w:val="en-GB"/>
              </w:rPr>
            </w:pPr>
          </w:p>
          <w:p w14:paraId="3B559B1C" w14:textId="77777777" w:rsidR="00D80129" w:rsidRPr="00DD6E6B" w:rsidRDefault="00D80129" w:rsidP="00D80129">
            <w:pPr>
              <w:pStyle w:val="Marginlie"/>
              <w:rPr>
                <w:color w:val="0D0D0D" w:themeColor="text1" w:themeTint="F2"/>
                <w:spacing w:val="-4"/>
                <w:lang w:val="en-GB"/>
              </w:rPr>
            </w:pPr>
          </w:p>
          <w:p w14:paraId="5E2C5637" w14:textId="77777777" w:rsidR="00D80129" w:rsidRPr="00DD6E6B" w:rsidRDefault="00D80129" w:rsidP="00D80129">
            <w:pPr>
              <w:pStyle w:val="Marginlie"/>
              <w:rPr>
                <w:color w:val="0D0D0D" w:themeColor="text1" w:themeTint="F2"/>
                <w:spacing w:val="-4"/>
                <w:lang w:val="en-GB"/>
              </w:rPr>
            </w:pPr>
          </w:p>
          <w:p w14:paraId="65F45C09" w14:textId="77777777" w:rsidR="00D80129" w:rsidRPr="00DD6E6B" w:rsidRDefault="00D80129" w:rsidP="00D80129">
            <w:pPr>
              <w:pStyle w:val="Marginlie"/>
              <w:rPr>
                <w:color w:val="0D0D0D" w:themeColor="text1" w:themeTint="F2"/>
                <w:spacing w:val="-4"/>
                <w:lang w:val="en-GB"/>
              </w:rPr>
            </w:pPr>
          </w:p>
          <w:p w14:paraId="6A7BC039" w14:textId="4CC869A2" w:rsidR="00D80129" w:rsidRPr="00DD6E6B" w:rsidRDefault="00D80129" w:rsidP="00D80129">
            <w:pPr>
              <w:pStyle w:val="Marginlie"/>
              <w:rPr>
                <w:color w:val="0D0D0D" w:themeColor="text1" w:themeTint="F2"/>
                <w:spacing w:val="-4"/>
                <w:lang w:val="en-GB"/>
              </w:rPr>
            </w:pPr>
            <w:r w:rsidRPr="00DD6E6B">
              <w:rPr>
                <w:color w:val="0D0D0D" w:themeColor="text1" w:themeTint="F2"/>
                <w:spacing w:val="-4"/>
                <w:lang w:val="en-GB"/>
              </w:rPr>
              <w:t xml:space="preserve">Reconstructions or modernisations mainly contributed to the growth of the value of permitted buildings.  </w:t>
            </w:r>
          </w:p>
        </w:tc>
        <w:tc>
          <w:tcPr>
            <w:tcW w:w="194" w:type="dxa"/>
            <w:tcBorders>
              <w:top w:val="nil"/>
              <w:left w:val="nil"/>
              <w:bottom w:val="nil"/>
              <w:right w:val="nil"/>
            </w:tcBorders>
            <w:shd w:val="clear" w:color="auto" w:fill="auto"/>
            <w:tcMar>
              <w:left w:w="0" w:type="dxa"/>
            </w:tcMar>
          </w:tcPr>
          <w:p w14:paraId="288A4DAF"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5CD2F988" w14:textId="3835EF5F" w:rsidR="00D80129" w:rsidRPr="00DD6E6B" w:rsidRDefault="00D80129" w:rsidP="00B13A1C">
            <w:pPr>
              <w:spacing w:after="200"/>
              <w:rPr>
                <w:rFonts w:cs="Arial"/>
                <w:color w:val="0D0D0D" w:themeColor="text1" w:themeTint="F2"/>
                <w:spacing w:val="-4"/>
                <w:lang w:val="en-GB"/>
              </w:rPr>
            </w:pPr>
            <w:r w:rsidRPr="00DD6E6B">
              <w:rPr>
                <w:rStyle w:val="normaltextrun"/>
                <w:rFonts w:eastAsia="MS Gothic" w:cs="Arial"/>
                <w:szCs w:val="20"/>
                <w:lang w:val="en-GB"/>
              </w:rPr>
              <w:t>G</w:t>
            </w:r>
            <w:r w:rsidRPr="00DD6E6B">
              <w:rPr>
                <w:rStyle w:val="normaltextrun"/>
                <w:rFonts w:eastAsia="MS Gothic" w:cs="Arial"/>
                <w:lang w:val="en-GB"/>
              </w:rPr>
              <w:t xml:space="preserve">rowth of the nominal value of new domestic construction orders </w:t>
            </w:r>
            <w:r w:rsidRPr="00DD6E6B">
              <w:rPr>
                <w:rStyle w:val="normaltextrun"/>
                <w:rFonts w:eastAsia="MS Gothic" w:cs="Arial"/>
                <w:szCs w:val="20"/>
                <w:lang w:val="en-GB"/>
              </w:rPr>
              <w:t>(f</w:t>
            </w:r>
            <w:r w:rsidRPr="00DD6E6B">
              <w:rPr>
                <w:rStyle w:val="normaltextrun"/>
                <w:rFonts w:eastAsia="MS Gothic" w:cs="Arial"/>
                <w:lang w:val="en-GB"/>
              </w:rPr>
              <w:t xml:space="preserve">or construction companies with above </w:t>
            </w:r>
            <w:r w:rsidRPr="00DD6E6B">
              <w:rPr>
                <w:rStyle w:val="normaltextrun"/>
                <w:rFonts w:eastAsia="MS Gothic" w:cs="Arial"/>
                <w:szCs w:val="20"/>
                <w:lang w:val="en-GB"/>
              </w:rPr>
              <w:t>50 e</w:t>
            </w:r>
            <w:r w:rsidRPr="00DD6E6B">
              <w:rPr>
                <w:rStyle w:val="normaltextrun"/>
                <w:rFonts w:eastAsia="MS Gothic" w:cs="Arial"/>
                <w:lang w:val="en-GB"/>
              </w:rPr>
              <w:t>mployees</w:t>
            </w:r>
            <w:r w:rsidRPr="00DD6E6B">
              <w:rPr>
                <w:rStyle w:val="normaltextrun"/>
                <w:rFonts w:eastAsia="MS Gothic" w:cs="Arial"/>
                <w:szCs w:val="20"/>
                <w:lang w:val="en-GB"/>
              </w:rPr>
              <w:t>) f</w:t>
            </w:r>
            <w:r w:rsidRPr="00DD6E6B">
              <w:rPr>
                <w:rStyle w:val="normaltextrun"/>
                <w:rFonts w:eastAsia="MS Gothic" w:cs="Arial"/>
                <w:lang w:val="en-GB"/>
              </w:rPr>
              <w:t xml:space="preserve">ollowing nearly three years of growth ceased this year. The orders plummeted by 15.8% year-on-year for the whole half-year (the most after the crisis year </w:t>
            </w:r>
            <w:r w:rsidR="00854F32">
              <w:rPr>
                <w:rStyle w:val="normaltextrun"/>
                <w:rFonts w:eastAsia="MS Gothic" w:cs="Arial"/>
                <w:szCs w:val="20"/>
                <w:lang w:val="en-GB"/>
              </w:rPr>
              <w:t>2012). I</w:t>
            </w:r>
            <w:r w:rsidRPr="00DD6E6B">
              <w:rPr>
                <w:rStyle w:val="normaltextrun"/>
                <w:rFonts w:eastAsia="MS Gothic" w:cs="Arial"/>
                <w:lang w:val="en-GB"/>
              </w:rPr>
              <w:t xml:space="preserve">n addition the fall deepened since the beginning of this year </w:t>
            </w:r>
            <w:r w:rsidRPr="00DD6E6B">
              <w:rPr>
                <w:rStyle w:val="normaltextrun"/>
                <w:rFonts w:eastAsia="MS Gothic" w:cs="Arial"/>
                <w:szCs w:val="20"/>
                <w:lang w:val="en-GB"/>
              </w:rPr>
              <w:t>(solely due to the civil engin</w:t>
            </w:r>
            <w:r w:rsidR="00854F32">
              <w:rPr>
                <w:rStyle w:val="normaltextrun"/>
                <w:rFonts w:eastAsia="MS Gothic" w:cs="Arial"/>
                <w:szCs w:val="20"/>
                <w:lang w:val="en-GB"/>
              </w:rPr>
              <w:t>eering construction). The value</w:t>
            </w:r>
            <w:r w:rsidRPr="00DD6E6B">
              <w:rPr>
                <w:rStyle w:val="normaltextrun"/>
                <w:rFonts w:eastAsia="MS Gothic" w:cs="Arial"/>
                <w:szCs w:val="20"/>
                <w:lang w:val="en-GB"/>
              </w:rPr>
              <w:t xml:space="preserve"> of all orders thus returned approximately to the level of the year before the last. Total stock of work </w:t>
            </w:r>
            <w:r w:rsidRPr="00DD6E6B">
              <w:rPr>
                <w:rFonts w:cs="Arial"/>
                <w:color w:val="0D0D0D" w:themeColor="text1" w:themeTint="F2"/>
                <w:spacing w:val="-6"/>
                <w:lang w:val="en-GB"/>
              </w:rPr>
              <w:t>(i</w:t>
            </w:r>
            <w:r w:rsidRPr="00DD6E6B">
              <w:rPr>
                <w:color w:val="0D0D0D" w:themeColor="text1" w:themeTint="F2"/>
                <w:spacing w:val="-6"/>
                <w:lang w:val="en-GB"/>
              </w:rPr>
              <w:t>n the form of value of not yet completed construction orders</w:t>
            </w:r>
            <w:r w:rsidRPr="00DD6E6B">
              <w:rPr>
                <w:rFonts w:cs="Arial"/>
                <w:color w:val="0D0D0D" w:themeColor="text1" w:themeTint="F2"/>
                <w:spacing w:val="-4"/>
                <w:lang w:val="en-GB"/>
              </w:rPr>
              <w:t xml:space="preserve">) </w:t>
            </w:r>
            <w:r w:rsidRPr="00DD6E6B">
              <w:rPr>
                <w:color w:val="0D0D0D" w:themeColor="text1" w:themeTint="F2"/>
                <w:spacing w:val="-4"/>
                <w:lang w:val="en-GB"/>
              </w:rPr>
              <w:t xml:space="preserve">was </w:t>
            </w:r>
            <w:r w:rsidRPr="00DD6E6B">
              <w:rPr>
                <w:rFonts w:cs="Arial"/>
                <w:color w:val="0D0D0D" w:themeColor="text1" w:themeTint="F2"/>
                <w:spacing w:val="-4"/>
                <w:lang w:val="en-GB"/>
              </w:rPr>
              <w:t>b</w:t>
            </w:r>
            <w:r w:rsidRPr="00DD6E6B">
              <w:rPr>
                <w:color w:val="0D0D0D" w:themeColor="text1" w:themeTint="F2"/>
                <w:spacing w:val="-4"/>
                <w:lang w:val="en-GB"/>
              </w:rPr>
              <w:t xml:space="preserve">y </w:t>
            </w:r>
            <w:r w:rsidRPr="00DD6E6B">
              <w:rPr>
                <w:rFonts w:cs="Arial"/>
                <w:color w:val="0D0D0D" w:themeColor="text1" w:themeTint="F2"/>
                <w:spacing w:val="-4"/>
                <w:lang w:val="en-GB"/>
              </w:rPr>
              <w:t xml:space="preserve">2.6% </w:t>
            </w:r>
            <w:r w:rsidRPr="00DD6E6B">
              <w:rPr>
                <w:color w:val="0D0D0D" w:themeColor="text1" w:themeTint="F2"/>
                <w:spacing w:val="-4"/>
                <w:lang w:val="en-GB"/>
              </w:rPr>
              <w:t>lower year-on-year at the end of Q2 2023</w:t>
            </w:r>
            <w:r w:rsidRPr="00DD6E6B">
              <w:rPr>
                <w:rFonts w:cs="Arial"/>
                <w:color w:val="0D0D0D" w:themeColor="text1" w:themeTint="F2"/>
                <w:spacing w:val="-4"/>
                <w:lang w:val="en-GB"/>
              </w:rPr>
              <w:t xml:space="preserve">, when it fell for the first time in the last five and a half years. Mainly the private domestic demand shrank, moreover the rather supplementary segment of foreign orders was also falling. Stock of domestic public orders did still mildly grow (+1.1%), but much less than at the end of Q1 2023 (+16.0%). The </w:t>
            </w:r>
            <w:r w:rsidR="00854F32">
              <w:rPr>
                <w:rFonts w:cs="Arial"/>
                <w:szCs w:val="20"/>
                <w:lang w:val="en-GB"/>
              </w:rPr>
              <w:t>approximate value of</w:t>
            </w:r>
            <w:r w:rsidRPr="00DD6E6B">
              <w:rPr>
                <w:rFonts w:cs="Arial"/>
                <w:szCs w:val="20"/>
                <w:lang w:val="en-GB"/>
              </w:rPr>
              <w:t xml:space="preserve"> granted building</w:t>
            </w:r>
            <w:r w:rsidRPr="00DD6E6B">
              <w:rPr>
                <w:spacing w:val="-4"/>
                <w:lang w:val="en-GB"/>
              </w:rPr>
              <w:t xml:space="preserve"> </w:t>
            </w:r>
            <w:r w:rsidRPr="00DD6E6B">
              <w:rPr>
                <w:rFonts w:cs="Arial"/>
                <w:szCs w:val="20"/>
                <w:lang w:val="en-GB"/>
              </w:rPr>
              <w:t>permit</w:t>
            </w:r>
            <w:r w:rsidR="00854F32">
              <w:rPr>
                <w:rFonts w:cs="Arial"/>
                <w:szCs w:val="20"/>
                <w:lang w:val="en-GB"/>
              </w:rPr>
              <w:t>s</w:t>
            </w:r>
            <w:r w:rsidRPr="00DD6E6B">
              <w:rPr>
                <w:rFonts w:cs="Arial"/>
                <w:color w:val="0D0D0D" w:themeColor="text1" w:themeTint="F2"/>
                <w:spacing w:val="-4"/>
                <w:lang w:val="en-GB"/>
              </w:rPr>
              <w:t xml:space="preserve"> also recorded a fa</w:t>
            </w:r>
            <w:r w:rsidR="00B13A1C">
              <w:rPr>
                <w:rFonts w:cs="Arial"/>
                <w:color w:val="0D0D0D" w:themeColor="text1" w:themeTint="F2"/>
                <w:spacing w:val="-4"/>
                <w:lang w:val="en-GB"/>
              </w:rPr>
              <w:t>ding growth during this year. They indicate</w:t>
            </w:r>
            <w:r w:rsidRPr="00DD6E6B">
              <w:rPr>
                <w:rFonts w:cs="Arial"/>
                <w:color w:val="0D0D0D" w:themeColor="text1" w:themeTint="F2"/>
                <w:spacing w:val="-4"/>
                <w:lang w:val="en-GB"/>
              </w:rPr>
              <w:t xml:space="preserve"> investment activity in the medium time horizon. It was by 6.7% higher year-on-year for the whole half-year, thereby it slightly lagged behind the growth of prices of construction works. Higher expected activities of</w:t>
            </w:r>
            <w:r w:rsidR="00B13A1C">
              <w:rPr>
                <w:rFonts w:cs="Arial"/>
                <w:color w:val="0D0D0D" w:themeColor="text1" w:themeTint="F2"/>
                <w:spacing w:val="-4"/>
                <w:lang w:val="en-GB"/>
              </w:rPr>
              <w:t xml:space="preserve"> firms in the area of m</w:t>
            </w:r>
            <w:r w:rsidR="00B13A1C" w:rsidRPr="00B13A1C">
              <w:rPr>
                <w:rFonts w:cs="Arial"/>
                <w:color w:val="0D0D0D" w:themeColor="text1" w:themeTint="F2"/>
                <w:spacing w:val="-4"/>
                <w:lang w:val="en-GB"/>
              </w:rPr>
              <w:t>odifications to completed buildings</w:t>
            </w:r>
            <w:r w:rsidR="00B13A1C">
              <w:rPr>
                <w:rFonts w:cs="Arial"/>
                <w:color w:val="0D0D0D" w:themeColor="text1" w:themeTint="F2"/>
                <w:spacing w:val="-4"/>
                <w:lang w:val="en-GB"/>
              </w:rPr>
              <w:t xml:space="preserve"> </w:t>
            </w:r>
            <w:r w:rsidRPr="00DD6E6B">
              <w:rPr>
                <w:rFonts w:cs="Arial"/>
                <w:color w:val="0D0D0D" w:themeColor="text1" w:themeTint="F2"/>
                <w:spacing w:val="-4"/>
                <w:lang w:val="en-GB"/>
              </w:rPr>
              <w:t>(in all key directions of construction</w:t>
            </w:r>
            <w:r w:rsidRPr="00DD6E6B">
              <w:rPr>
                <w:rFonts w:cs="Arial"/>
                <w:color w:val="0D0D0D" w:themeColor="text1" w:themeTint="F2"/>
                <w:spacing w:val="-5"/>
                <w:lang w:val="en-GB"/>
              </w:rPr>
              <w:t>) and also new construction of engineering (primarily transport)</w:t>
            </w:r>
            <w:r w:rsidRPr="00DD6E6B">
              <w:rPr>
                <w:rFonts w:cs="Arial"/>
                <w:color w:val="0D0D0D" w:themeColor="text1" w:themeTint="F2"/>
                <w:spacing w:val="-4"/>
                <w:lang w:val="en-GB"/>
              </w:rPr>
              <w:t xml:space="preserve"> structures was reflected in the growth of the value of permit</w:t>
            </w:r>
            <w:r w:rsidR="00B13A1C">
              <w:rPr>
                <w:rFonts w:cs="Arial"/>
                <w:color w:val="0D0D0D" w:themeColor="text1" w:themeTint="F2"/>
                <w:spacing w:val="-4"/>
                <w:lang w:val="en-GB"/>
              </w:rPr>
              <w:t>s</w:t>
            </w:r>
            <w:r w:rsidRPr="00DD6E6B">
              <w:rPr>
                <w:rFonts w:cs="Arial"/>
                <w:color w:val="0D0D0D" w:themeColor="text1" w:themeTint="F2"/>
                <w:spacing w:val="-4"/>
                <w:lang w:val="en-GB"/>
              </w:rPr>
              <w:t>. In contrast</w:t>
            </w:r>
            <w:r>
              <w:rPr>
                <w:rFonts w:cs="Arial"/>
                <w:color w:val="0D0D0D" w:themeColor="text1" w:themeTint="F2"/>
                <w:spacing w:val="-4"/>
                <w:lang w:val="en-GB"/>
              </w:rPr>
              <w:t>,</w:t>
            </w:r>
            <w:r w:rsidRPr="00DD6E6B">
              <w:rPr>
                <w:rFonts w:cs="Arial"/>
                <w:color w:val="0D0D0D" w:themeColor="text1" w:themeTint="F2"/>
                <w:spacing w:val="-4"/>
                <w:lang w:val="en-GB"/>
              </w:rPr>
              <w:t xml:space="preserve"> the value of permit</w:t>
            </w:r>
            <w:r w:rsidR="00B13A1C">
              <w:rPr>
                <w:rFonts w:cs="Arial"/>
                <w:color w:val="0D0D0D" w:themeColor="text1" w:themeTint="F2"/>
                <w:spacing w:val="-4"/>
                <w:lang w:val="en-GB"/>
              </w:rPr>
              <w:t>s</w:t>
            </w:r>
            <w:r w:rsidRPr="00DD6E6B">
              <w:rPr>
                <w:rFonts w:cs="Arial"/>
                <w:color w:val="0D0D0D" w:themeColor="text1" w:themeTint="F2"/>
                <w:spacing w:val="-4"/>
                <w:lang w:val="en-GB"/>
              </w:rPr>
              <w:t xml:space="preserve"> for new residential construction sank by nearly one quarter (to 62 CZK bn – the lowest level in the last two years). </w:t>
            </w:r>
          </w:p>
        </w:tc>
      </w:tr>
      <w:tr w:rsidR="00D80129" w:rsidRPr="00DD6E6B" w14:paraId="5F3E6ECA" w14:textId="77777777" w:rsidTr="00D80129">
        <w:trPr>
          <w:trHeight w:val="170"/>
        </w:trPr>
        <w:tc>
          <w:tcPr>
            <w:tcW w:w="1678" w:type="dxa"/>
            <w:tcBorders>
              <w:top w:val="nil"/>
              <w:left w:val="nil"/>
              <w:bottom w:val="nil"/>
              <w:right w:val="nil"/>
            </w:tcBorders>
            <w:shd w:val="clear" w:color="auto" w:fill="auto"/>
            <w:tcMar>
              <w:left w:w="0" w:type="dxa"/>
            </w:tcMar>
          </w:tcPr>
          <w:p w14:paraId="4F7951A7" w14:textId="4A01AB53" w:rsidR="00D80129" w:rsidRPr="00DD6E6B" w:rsidRDefault="00D80129" w:rsidP="00D80129">
            <w:pPr>
              <w:pStyle w:val="Marginlie"/>
              <w:rPr>
                <w:color w:val="0D0D0D" w:themeColor="text1" w:themeTint="F2"/>
                <w:spacing w:val="-4"/>
                <w:lang w:val="en-GB"/>
              </w:rPr>
            </w:pPr>
            <w:r w:rsidRPr="00DD6E6B">
              <w:rPr>
                <w:spacing w:val="-4"/>
                <w:lang w:val="en-GB"/>
              </w:rPr>
              <w:t xml:space="preserve">Pessimism of businesses in construction further deepened this year. Businesses anticipated the decrease of both construction activity and employment. </w:t>
            </w:r>
          </w:p>
        </w:tc>
        <w:tc>
          <w:tcPr>
            <w:tcW w:w="194" w:type="dxa"/>
            <w:tcBorders>
              <w:top w:val="nil"/>
              <w:left w:val="nil"/>
              <w:bottom w:val="nil"/>
              <w:right w:val="nil"/>
            </w:tcBorders>
            <w:shd w:val="clear" w:color="auto" w:fill="auto"/>
            <w:tcMar>
              <w:left w:w="0" w:type="dxa"/>
            </w:tcMar>
          </w:tcPr>
          <w:p w14:paraId="7C3E5692"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7E8C163F" w14:textId="26DF8377" w:rsidR="00D80129" w:rsidRPr="00DD6E6B" w:rsidRDefault="00D80129" w:rsidP="00B13A1C">
            <w:pPr>
              <w:spacing w:after="200"/>
              <w:rPr>
                <w:rFonts w:cs="Arial"/>
                <w:color w:val="0D0D0D" w:themeColor="text1" w:themeTint="F2"/>
                <w:spacing w:val="-6"/>
                <w:lang w:val="en-GB"/>
              </w:rPr>
            </w:pPr>
            <w:r w:rsidRPr="00DD6E6B">
              <w:rPr>
                <w:rFonts w:cs="Arial"/>
                <w:color w:val="0D0D0D" w:themeColor="text1" w:themeTint="F2"/>
                <w:spacing w:val="-6"/>
                <w:lang w:val="en-GB"/>
              </w:rPr>
              <w:t>Total business confidence in construction dropped below long-term average (2003–2022) and at the same time</w:t>
            </w:r>
            <w:r>
              <w:rPr>
                <w:rFonts w:cs="Arial"/>
                <w:color w:val="0D0D0D" w:themeColor="text1" w:themeTint="F2"/>
                <w:spacing w:val="-6"/>
                <w:lang w:val="en-GB"/>
              </w:rPr>
              <w:t>,</w:t>
            </w:r>
            <w:r w:rsidRPr="00DD6E6B">
              <w:rPr>
                <w:rFonts w:cs="Arial"/>
                <w:color w:val="0D0D0D" w:themeColor="text1" w:themeTint="F2"/>
                <w:spacing w:val="-6"/>
                <w:lang w:val="en-GB"/>
              </w:rPr>
              <w:t xml:space="preserve"> pessimism attained nearly six-year maximum in July. Despite prevailing adverse view of the current demand</w:t>
            </w:r>
            <w:r>
              <w:rPr>
                <w:rFonts w:cs="Arial"/>
                <w:color w:val="0D0D0D" w:themeColor="text1" w:themeTint="F2"/>
                <w:spacing w:val="-6"/>
                <w:lang w:val="en-GB"/>
              </w:rPr>
              <w:t>,</w:t>
            </w:r>
            <w:r w:rsidRPr="00DD6E6B">
              <w:rPr>
                <w:rFonts w:cs="Arial"/>
                <w:color w:val="0D0D0D" w:themeColor="text1" w:themeTint="F2"/>
                <w:spacing w:val="-6"/>
                <w:lang w:val="en-GB"/>
              </w:rPr>
              <w:t xml:space="preserve"> the construction businesses assessed their current economic situation still slightly positively, the half-year outlook however still brought prevalent pessimism. Negative outlooks deepened in the </w:t>
            </w:r>
            <w:r w:rsidR="00B13A1C">
              <w:rPr>
                <w:rFonts w:cs="Arial"/>
                <w:color w:val="0D0D0D" w:themeColor="text1" w:themeTint="F2"/>
                <w:spacing w:val="-6"/>
                <w:lang w:val="en-GB"/>
              </w:rPr>
              <w:t>construction activity this year.</w:t>
            </w:r>
            <w:r w:rsidRPr="00DD6E6B">
              <w:rPr>
                <w:rFonts w:cs="Arial"/>
                <w:color w:val="0D0D0D" w:themeColor="text1" w:themeTint="F2"/>
                <w:spacing w:val="-6"/>
                <w:lang w:val="en-GB"/>
              </w:rPr>
              <w:t xml:space="preserve"> </w:t>
            </w:r>
            <w:r w:rsidR="00B13A1C">
              <w:rPr>
                <w:rFonts w:cs="Arial"/>
                <w:color w:val="0D0D0D" w:themeColor="text1" w:themeTint="F2"/>
                <w:spacing w:val="-6"/>
                <w:lang w:val="en-GB"/>
              </w:rPr>
              <w:t xml:space="preserve">In August </w:t>
            </w:r>
            <w:r w:rsidRPr="00DD6E6B">
              <w:rPr>
                <w:rFonts w:cs="Arial"/>
                <w:color w:val="0D0D0D" w:themeColor="text1" w:themeTint="F2"/>
                <w:spacing w:val="-6"/>
                <w:lang w:val="en-GB"/>
              </w:rPr>
              <w:t>more than one quarter of businesses anticipated (in the three-month outlook) a decre</w:t>
            </w:r>
            <w:r w:rsidR="00B13A1C">
              <w:rPr>
                <w:rFonts w:cs="Arial"/>
                <w:color w:val="0D0D0D" w:themeColor="text1" w:themeTint="F2"/>
                <w:spacing w:val="-6"/>
                <w:lang w:val="en-GB"/>
              </w:rPr>
              <w:t>ase of own production (on the contrary</w:t>
            </w:r>
            <w:r w:rsidRPr="00DD6E6B">
              <w:rPr>
                <w:rFonts w:cs="Arial"/>
                <w:color w:val="0D0D0D" w:themeColor="text1" w:themeTint="F2"/>
                <w:spacing w:val="-6"/>
                <w:lang w:val="en-GB"/>
              </w:rPr>
              <w:t xml:space="preserve"> one</w:t>
            </w:r>
            <w:r>
              <w:rPr>
                <w:rFonts w:cs="Arial"/>
                <w:color w:val="0D0D0D" w:themeColor="text1" w:themeTint="F2"/>
                <w:spacing w:val="-6"/>
                <w:lang w:val="en-GB"/>
              </w:rPr>
              <w:t>-</w:t>
            </w:r>
            <w:r w:rsidRPr="00DD6E6B">
              <w:rPr>
                <w:rFonts w:cs="Arial"/>
                <w:color w:val="0D0D0D" w:themeColor="text1" w:themeTint="F2"/>
                <w:spacing w:val="-6"/>
                <w:lang w:val="en-GB"/>
              </w:rPr>
              <w:t xml:space="preserve">eighth </w:t>
            </w:r>
            <w:r w:rsidR="00B13A1C">
              <w:rPr>
                <w:rFonts w:cs="Arial"/>
                <w:color w:val="0D0D0D" w:themeColor="text1" w:themeTint="F2"/>
                <w:spacing w:val="-6"/>
                <w:lang w:val="en-GB"/>
              </w:rPr>
              <w:t xml:space="preserve">anticipated </w:t>
            </w:r>
            <w:r w:rsidRPr="00DD6E6B">
              <w:rPr>
                <w:rFonts w:cs="Arial"/>
                <w:color w:val="0D0D0D" w:themeColor="text1" w:themeTint="F2"/>
                <w:spacing w:val="-6"/>
                <w:lang w:val="en-GB"/>
              </w:rPr>
              <w:t xml:space="preserve">growth) </w:t>
            </w:r>
            <w:r w:rsidR="00B13A1C">
              <w:rPr>
                <w:rFonts w:cs="Arial"/>
                <w:color w:val="0D0D0D" w:themeColor="text1" w:themeTint="F2"/>
                <w:spacing w:val="-6"/>
                <w:lang w:val="en-GB"/>
              </w:rPr>
              <w:t xml:space="preserve">and every sixth company </w:t>
            </w:r>
            <w:r w:rsidRPr="00DD6E6B">
              <w:rPr>
                <w:rFonts w:cs="Arial"/>
                <w:color w:val="0D0D0D" w:themeColor="text1" w:themeTint="F2"/>
                <w:spacing w:val="-6"/>
                <w:lang w:val="en-GB"/>
              </w:rPr>
              <w:t>in addition planned to cut employment. The share of businesses, which are limited by inadequate demand grew by one half year-on-year (to 36%</w:t>
            </w:r>
            <w:r w:rsidRPr="00DD6E6B">
              <w:rPr>
                <w:rStyle w:val="Znakapoznpodarou"/>
                <w:color w:val="0D0D0D" w:themeColor="text1" w:themeTint="F2"/>
                <w:spacing w:val="-6"/>
                <w:lang w:val="en-GB"/>
              </w:rPr>
              <w:footnoteReference w:id="21"/>
            </w:r>
            <w:r w:rsidRPr="00DD6E6B">
              <w:rPr>
                <w:rFonts w:cs="Arial"/>
                <w:color w:val="0D0D0D" w:themeColor="text1" w:themeTint="F2"/>
                <w:spacing w:val="-6"/>
                <w:lang w:val="en-GB"/>
              </w:rPr>
              <w:t xml:space="preserve">), the weak demand thus again became the key </w:t>
            </w:r>
            <w:r w:rsidR="00B13A1C">
              <w:rPr>
                <w:rFonts w:cs="Arial"/>
                <w:color w:val="0D0D0D" w:themeColor="text1" w:themeTint="F2"/>
                <w:spacing w:val="-6"/>
                <w:lang w:val="en-GB"/>
              </w:rPr>
              <w:t xml:space="preserve">growth </w:t>
            </w:r>
            <w:r w:rsidRPr="00DD6E6B">
              <w:rPr>
                <w:rFonts w:cs="Arial"/>
                <w:color w:val="0D0D0D" w:themeColor="text1" w:themeTint="F2"/>
                <w:spacing w:val="-6"/>
                <w:lang w:val="en-GB"/>
              </w:rPr>
              <w:t xml:space="preserve">barrier of the whole branch </w:t>
            </w:r>
            <w:r w:rsidR="00B13A1C">
              <w:rPr>
                <w:rFonts w:cs="Arial"/>
                <w:color w:val="0D0D0D" w:themeColor="text1" w:themeTint="F2"/>
                <w:spacing w:val="-6"/>
                <w:lang w:val="en-GB"/>
              </w:rPr>
              <w:t>(</w:t>
            </w:r>
            <w:r w:rsidRPr="00DD6E6B">
              <w:rPr>
                <w:rFonts w:cs="Arial"/>
                <w:color w:val="0D0D0D" w:themeColor="text1" w:themeTint="F2"/>
                <w:spacing w:val="-6"/>
                <w:lang w:val="en-GB"/>
              </w:rPr>
              <w:t>after more than two years</w:t>
            </w:r>
            <w:r w:rsidR="00B13A1C">
              <w:rPr>
                <w:rFonts w:cs="Arial"/>
                <w:color w:val="0D0D0D" w:themeColor="text1" w:themeTint="F2"/>
                <w:spacing w:val="-6"/>
                <w:lang w:val="en-GB"/>
              </w:rPr>
              <w:t>)</w:t>
            </w:r>
            <w:r w:rsidRPr="00DD6E6B">
              <w:rPr>
                <w:rFonts w:cs="Arial"/>
                <w:color w:val="0D0D0D" w:themeColor="text1" w:themeTint="F2"/>
                <w:spacing w:val="-6"/>
                <w:lang w:val="en-GB"/>
              </w:rPr>
              <w:t>. The role of the shortage of material and to a lower extent also labour force by contrast decreased. Still the matter of human resources</w:t>
            </w:r>
            <w:r w:rsidR="005B5629">
              <w:rPr>
                <w:rFonts w:cs="Arial"/>
                <w:color w:val="0D0D0D" w:themeColor="text1" w:themeTint="F2"/>
                <w:spacing w:val="-6"/>
                <w:lang w:val="en-GB"/>
              </w:rPr>
              <w:t xml:space="preserve"> remains an important </w:t>
            </w:r>
            <w:r w:rsidRPr="00DD6E6B">
              <w:rPr>
                <w:rFonts w:cs="Arial"/>
                <w:color w:val="0D0D0D" w:themeColor="text1" w:themeTint="F2"/>
                <w:spacing w:val="-6"/>
                <w:lang w:val="en-GB"/>
              </w:rPr>
              <w:t>barrier (it was pressing mainly in the segment of spec</w:t>
            </w:r>
            <w:r w:rsidR="005B5629">
              <w:rPr>
                <w:rFonts w:cs="Arial"/>
                <w:color w:val="0D0D0D" w:themeColor="text1" w:themeTint="F2"/>
                <w:spacing w:val="-6"/>
                <w:lang w:val="en-GB"/>
              </w:rPr>
              <w:t>ialised construction activities -</w:t>
            </w:r>
            <w:r w:rsidRPr="00DD6E6B">
              <w:rPr>
                <w:rFonts w:cs="Arial"/>
                <w:color w:val="0D0D0D" w:themeColor="text1" w:themeTint="F2"/>
                <w:spacing w:val="-6"/>
                <w:lang w:val="en-GB"/>
              </w:rPr>
              <w:t xml:space="preserve"> small and medium businesses play significant role here).</w:t>
            </w:r>
          </w:p>
        </w:tc>
      </w:tr>
      <w:tr w:rsidR="00D80129" w:rsidRPr="00DD6E6B" w14:paraId="002DF3F3" w14:textId="77777777" w:rsidTr="00D80129">
        <w:trPr>
          <w:trHeight w:val="170"/>
        </w:trPr>
        <w:tc>
          <w:tcPr>
            <w:tcW w:w="1678" w:type="dxa"/>
            <w:vMerge w:val="restart"/>
            <w:tcBorders>
              <w:top w:val="nil"/>
              <w:left w:val="nil"/>
              <w:bottom w:val="nil"/>
              <w:right w:val="nil"/>
            </w:tcBorders>
            <w:shd w:val="clear" w:color="auto" w:fill="auto"/>
            <w:tcMar>
              <w:left w:w="0" w:type="dxa"/>
            </w:tcMar>
          </w:tcPr>
          <w:p w14:paraId="792D179E" w14:textId="77777777" w:rsidR="00D80129" w:rsidRPr="00DD6E6B" w:rsidRDefault="00D80129" w:rsidP="00D80129">
            <w:pPr>
              <w:pStyle w:val="Marginlie"/>
              <w:rPr>
                <w:lang w:val="en-GB"/>
              </w:rPr>
            </w:pPr>
          </w:p>
        </w:tc>
        <w:tc>
          <w:tcPr>
            <w:tcW w:w="194" w:type="dxa"/>
            <w:vMerge w:val="restart"/>
            <w:tcBorders>
              <w:top w:val="nil"/>
              <w:left w:val="nil"/>
              <w:bottom w:val="nil"/>
              <w:right w:val="nil"/>
            </w:tcBorders>
            <w:shd w:val="clear" w:color="auto" w:fill="auto"/>
            <w:tcMar>
              <w:left w:w="0" w:type="dxa"/>
            </w:tcMar>
          </w:tcPr>
          <w:p w14:paraId="51EFF93D"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7E398846" w14:textId="1BDCE6E4" w:rsidR="00D80129" w:rsidRPr="00DD6E6B" w:rsidRDefault="00D80129" w:rsidP="00D80129">
            <w:pPr>
              <w:spacing w:after="20"/>
              <w:rPr>
                <w:rFonts w:cs="Arial"/>
                <w:bCs/>
                <w:lang w:val="en-GB"/>
              </w:rPr>
            </w:pPr>
            <w:r w:rsidRPr="00DD6E6B">
              <w:rPr>
                <w:b/>
                <w:spacing w:val="-5"/>
                <w:lang w:val="en-GB"/>
              </w:rPr>
              <w:t xml:space="preserve">Chart 6 </w:t>
            </w:r>
            <w:r w:rsidRPr="00877F35">
              <w:rPr>
                <w:b/>
                <w:spacing w:val="-2"/>
                <w:lang w:val="en-GB"/>
              </w:rPr>
              <w:t xml:space="preserve">Contributions of branches to year-on-year change of construction output </w:t>
            </w:r>
            <w:r w:rsidRPr="00877F35">
              <w:rPr>
                <w:spacing w:val="-2"/>
                <w:lang w:val="en-GB"/>
              </w:rPr>
              <w:t>(real, in p. p.)</w:t>
            </w:r>
            <w:r w:rsidRPr="00877F35">
              <w:rPr>
                <w:b/>
                <w:bCs/>
                <w:spacing w:val="-2"/>
                <w:lang w:val="en-GB"/>
              </w:rPr>
              <w:t xml:space="preserve">, </w:t>
            </w:r>
            <w:r w:rsidRPr="00877F35">
              <w:rPr>
                <w:b/>
                <w:spacing w:val="-2"/>
                <w:lang w:val="en-GB"/>
              </w:rPr>
              <w:t xml:space="preserve">new construction orders </w:t>
            </w:r>
            <w:r w:rsidRPr="00877F35">
              <w:rPr>
                <w:spacing w:val="-2"/>
                <w:lang w:val="en-GB"/>
              </w:rPr>
              <w:t>(</w:t>
            </w:r>
            <w:r w:rsidRPr="00877F35">
              <w:rPr>
                <w:bCs/>
                <w:spacing w:val="-2"/>
                <w:lang w:val="en-GB"/>
              </w:rPr>
              <w:t>nominal, year-on-year, in %)</w:t>
            </w:r>
            <w:r w:rsidRPr="00877F35">
              <w:rPr>
                <w:b/>
                <w:spacing w:val="-2"/>
                <w:lang w:val="en-GB"/>
              </w:rPr>
              <w:t>, balance of business confidence indicator in construction*</w:t>
            </w:r>
            <w:r>
              <w:rPr>
                <w:spacing w:val="-2"/>
                <w:lang w:val="en-GB"/>
              </w:rPr>
              <w:t xml:space="preserve"> (in p. p.</w:t>
            </w:r>
            <w:r w:rsidRPr="00877F35">
              <w:rPr>
                <w:spacing w:val="-2"/>
                <w:lang w:val="en-GB"/>
              </w:rPr>
              <w:t>),</w:t>
            </w:r>
            <w:r w:rsidRPr="00877F35">
              <w:rPr>
                <w:b/>
                <w:spacing w:val="-2"/>
                <w:lang w:val="en-GB"/>
              </w:rPr>
              <w:t xml:space="preserve"> selected barriers to growth in construction</w:t>
            </w:r>
            <w:r>
              <w:rPr>
                <w:spacing w:val="-2"/>
                <w:lang w:val="en-GB"/>
              </w:rPr>
              <w:t>* (in %</w:t>
            </w:r>
            <w:r w:rsidRPr="00877F35">
              <w:rPr>
                <w:spacing w:val="-2"/>
                <w:lang w:val="en-GB"/>
              </w:rPr>
              <w:t>)</w:t>
            </w:r>
          </w:p>
        </w:tc>
      </w:tr>
      <w:tr w:rsidR="00D80129" w:rsidRPr="00DD6E6B" w14:paraId="6D322D02" w14:textId="77777777" w:rsidTr="00D80129">
        <w:tblPrEx>
          <w:tblCellMar>
            <w:left w:w="70" w:type="dxa"/>
            <w:right w:w="70" w:type="dxa"/>
          </w:tblCellMar>
        </w:tblPrEx>
        <w:trPr>
          <w:trHeight w:val="170"/>
        </w:trPr>
        <w:tc>
          <w:tcPr>
            <w:tcW w:w="1678" w:type="dxa"/>
            <w:vMerge/>
            <w:tcBorders>
              <w:top w:val="nil"/>
              <w:left w:val="nil"/>
              <w:bottom w:val="nil"/>
              <w:right w:val="nil"/>
            </w:tcBorders>
            <w:shd w:val="clear" w:color="auto" w:fill="auto"/>
          </w:tcPr>
          <w:p w14:paraId="7DF450F8" w14:textId="77777777" w:rsidR="00D80129" w:rsidRPr="00DD6E6B" w:rsidRDefault="00D80129" w:rsidP="00D80129">
            <w:pPr>
              <w:pStyle w:val="Marginlie"/>
              <w:rPr>
                <w:lang w:val="en-GB"/>
              </w:rPr>
            </w:pPr>
          </w:p>
        </w:tc>
        <w:tc>
          <w:tcPr>
            <w:tcW w:w="194" w:type="dxa"/>
            <w:vMerge/>
            <w:tcBorders>
              <w:top w:val="nil"/>
              <w:left w:val="nil"/>
              <w:bottom w:val="nil"/>
              <w:right w:val="nil"/>
            </w:tcBorders>
            <w:shd w:val="clear" w:color="auto" w:fill="auto"/>
          </w:tcPr>
          <w:p w14:paraId="20D333EE"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Pr>
          <w:p w14:paraId="617C00A9" w14:textId="3BA8AC04" w:rsidR="00D80129" w:rsidRPr="00DD6E6B" w:rsidRDefault="00D80129" w:rsidP="00D80129">
            <w:pPr>
              <w:spacing w:after="0"/>
              <w:rPr>
                <w:spacing w:val="-6"/>
                <w:lang w:val="en-GB"/>
              </w:rPr>
            </w:pPr>
            <w:r>
              <w:rPr>
                <w:noProof/>
              </w:rPr>
              <w:drawing>
                <wp:inline distT="0" distB="0" distL="0" distR="0" wp14:anchorId="50DBFB81" wp14:editId="224C6CD7">
                  <wp:extent cx="4681982" cy="3598018"/>
                  <wp:effectExtent l="0" t="0" r="4445" b="254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80129" w:rsidRPr="00DD6E6B" w14:paraId="72E96D08" w14:textId="77777777" w:rsidTr="00D80129">
        <w:trPr>
          <w:trHeight w:val="170"/>
        </w:trPr>
        <w:tc>
          <w:tcPr>
            <w:tcW w:w="1678" w:type="dxa"/>
            <w:vMerge/>
            <w:tcBorders>
              <w:top w:val="nil"/>
              <w:left w:val="nil"/>
              <w:bottom w:val="nil"/>
              <w:right w:val="nil"/>
            </w:tcBorders>
            <w:shd w:val="clear" w:color="auto" w:fill="auto"/>
            <w:tcMar>
              <w:left w:w="0" w:type="dxa"/>
            </w:tcMar>
          </w:tcPr>
          <w:p w14:paraId="38F588DC" w14:textId="77777777" w:rsidR="00D80129" w:rsidRPr="00DD6E6B" w:rsidRDefault="00D80129" w:rsidP="00D80129">
            <w:pPr>
              <w:pStyle w:val="Marginlie"/>
              <w:rPr>
                <w:lang w:val="en-GB"/>
              </w:rPr>
            </w:pPr>
          </w:p>
        </w:tc>
        <w:tc>
          <w:tcPr>
            <w:tcW w:w="194" w:type="dxa"/>
            <w:vMerge/>
            <w:tcBorders>
              <w:top w:val="nil"/>
              <w:left w:val="nil"/>
              <w:bottom w:val="nil"/>
              <w:right w:val="nil"/>
            </w:tcBorders>
            <w:shd w:val="clear" w:color="auto" w:fill="auto"/>
            <w:tcMar>
              <w:left w:w="0" w:type="dxa"/>
            </w:tcMar>
          </w:tcPr>
          <w:p w14:paraId="3E901F63"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745A07B7" w14:textId="77777777" w:rsidR="00D80129" w:rsidRPr="00210BF4" w:rsidRDefault="00D80129" w:rsidP="00D80129">
            <w:pPr>
              <w:spacing w:after="0"/>
              <w:rPr>
                <w:rFonts w:cs="Arial"/>
                <w:sz w:val="14"/>
                <w:szCs w:val="14"/>
                <w:lang w:val="en-GB"/>
              </w:rPr>
            </w:pPr>
            <w:r w:rsidRPr="00210BF4">
              <w:rPr>
                <w:rFonts w:cs="Arial"/>
                <w:sz w:val="14"/>
                <w:szCs w:val="14"/>
                <w:lang w:val="en-GB"/>
              </w:rPr>
              <w:t>Note: Data related to construction output are adjusted for calendar effects.</w:t>
            </w:r>
          </w:p>
          <w:p w14:paraId="3CE6E626" w14:textId="77777777" w:rsidR="00D80129" w:rsidRPr="00210BF4" w:rsidRDefault="00D80129" w:rsidP="00D80129">
            <w:pPr>
              <w:pStyle w:val="Textpoznpodarou"/>
              <w:jc w:val="both"/>
              <w:rPr>
                <w:rFonts w:cs="Arial"/>
                <w:sz w:val="14"/>
                <w:szCs w:val="14"/>
                <w:lang w:val="en-GB"/>
              </w:rPr>
            </w:pPr>
            <w:r w:rsidRPr="00210BF4">
              <w:rPr>
                <w:rFonts w:cs="Arial"/>
                <w:sz w:val="14"/>
                <w:szCs w:val="14"/>
                <w:lang w:val="en-GB"/>
              </w:rPr>
              <w:t>*Balance of business confidence as well as barriers to growth are seasonally adjusted and express the level in the second month of the given quarter. Businesses could have indicated more main barriers simultaneously.</w:t>
            </w:r>
          </w:p>
          <w:p w14:paraId="36624477" w14:textId="01182496" w:rsidR="00D80129" w:rsidRPr="00DD6E6B" w:rsidRDefault="00D80129" w:rsidP="00D80129">
            <w:pPr>
              <w:spacing w:after="200"/>
              <w:rPr>
                <w:b/>
                <w:bCs/>
                <w:spacing w:val="-4"/>
                <w:sz w:val="16"/>
                <w:szCs w:val="16"/>
                <w:lang w:val="en-GB"/>
              </w:rPr>
            </w:pPr>
            <w:r w:rsidRPr="00210BF4">
              <w:rPr>
                <w:rFonts w:cs="Arial"/>
                <w:sz w:val="14"/>
                <w:szCs w:val="14"/>
                <w:lang w:val="en-GB"/>
              </w:rPr>
              <w:t>Source: CZSO, Eurostat.</w:t>
            </w:r>
          </w:p>
        </w:tc>
      </w:tr>
      <w:tr w:rsidR="00D80129" w:rsidRPr="00DD6E6B" w14:paraId="250B4342" w14:textId="77777777" w:rsidTr="00D80129">
        <w:trPr>
          <w:trHeight w:val="170"/>
        </w:trPr>
        <w:tc>
          <w:tcPr>
            <w:tcW w:w="1678" w:type="dxa"/>
            <w:tcBorders>
              <w:top w:val="nil"/>
              <w:left w:val="nil"/>
              <w:bottom w:val="nil"/>
              <w:right w:val="nil"/>
            </w:tcBorders>
            <w:shd w:val="clear" w:color="auto" w:fill="auto"/>
            <w:tcMar>
              <w:left w:w="0" w:type="dxa"/>
            </w:tcMar>
          </w:tcPr>
          <w:p w14:paraId="107B1CCD" w14:textId="179EC9BA" w:rsidR="00D80129" w:rsidRPr="00DD6E6B" w:rsidRDefault="00D80129" w:rsidP="00D80129">
            <w:pPr>
              <w:pStyle w:val="Marginlie"/>
              <w:rPr>
                <w:spacing w:val="-4"/>
                <w:lang w:val="en-GB"/>
              </w:rPr>
            </w:pPr>
            <w:r w:rsidRPr="00DD6E6B">
              <w:rPr>
                <w:spacing w:val="-4"/>
                <w:lang w:val="en-GB"/>
              </w:rPr>
              <w:t xml:space="preserve">Mildly growing segment of engineering construction saved the construction output in the EU from year-on-year decrease. This year’s construction output was above the level from year 2019 already in two thirds of the Union states. </w:t>
            </w:r>
          </w:p>
          <w:p w14:paraId="5E0C9ADE" w14:textId="77777777" w:rsidR="00D80129" w:rsidRPr="00DD6E6B" w:rsidRDefault="00D80129" w:rsidP="00D80129">
            <w:pPr>
              <w:pStyle w:val="Marginlie"/>
              <w:rPr>
                <w:spacing w:val="-4"/>
                <w:lang w:val="en-GB"/>
              </w:rPr>
            </w:pPr>
          </w:p>
        </w:tc>
        <w:tc>
          <w:tcPr>
            <w:tcW w:w="194" w:type="dxa"/>
            <w:tcBorders>
              <w:top w:val="nil"/>
              <w:left w:val="nil"/>
              <w:bottom w:val="nil"/>
              <w:right w:val="nil"/>
            </w:tcBorders>
            <w:shd w:val="clear" w:color="auto" w:fill="auto"/>
            <w:tcMar>
              <w:left w:w="0" w:type="dxa"/>
            </w:tcMar>
          </w:tcPr>
          <w:p w14:paraId="249E31E8"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63ED6367" w14:textId="2542E2BB" w:rsidR="00D80129" w:rsidRPr="00DD6E6B" w:rsidRDefault="00D80129" w:rsidP="00D80129">
            <w:pPr>
              <w:spacing w:after="200"/>
              <w:rPr>
                <w:rFonts w:cs="Arial"/>
                <w:color w:val="0D0D0D" w:themeColor="text1" w:themeTint="F2"/>
                <w:spacing w:val="-6"/>
                <w:lang w:val="en-GB"/>
              </w:rPr>
            </w:pPr>
            <w:r w:rsidRPr="00DD6E6B">
              <w:rPr>
                <w:rFonts w:cs="Arial"/>
                <w:color w:val="0D0D0D" w:themeColor="text1" w:themeTint="F2"/>
                <w:spacing w:val="-6"/>
                <w:lang w:val="en-GB"/>
              </w:rPr>
              <w:t>The impacts of the total economic contraction were negatively mirrored in the construction not only in the CR, but also in the vast majority of significant European economies. The construction output in the EU and the euro area increased</w:t>
            </w:r>
            <w:r>
              <w:rPr>
                <w:rFonts w:cs="Arial"/>
                <w:color w:val="0D0D0D" w:themeColor="text1" w:themeTint="F2"/>
                <w:spacing w:val="-6"/>
                <w:lang w:val="en-GB"/>
              </w:rPr>
              <w:t>,</w:t>
            </w:r>
            <w:r w:rsidRPr="00DD6E6B">
              <w:rPr>
                <w:rFonts w:cs="Arial"/>
                <w:color w:val="0D0D0D" w:themeColor="text1" w:themeTint="F2"/>
                <w:spacing w:val="-6"/>
                <w:lang w:val="en-GB"/>
              </w:rPr>
              <w:t xml:space="preserve"> year-on-year</w:t>
            </w:r>
            <w:r>
              <w:rPr>
                <w:rFonts w:cs="Arial"/>
                <w:color w:val="0D0D0D" w:themeColor="text1" w:themeTint="F2"/>
                <w:spacing w:val="-6"/>
                <w:lang w:val="en-GB"/>
              </w:rPr>
              <w:t>,</w:t>
            </w:r>
            <w:r w:rsidRPr="00DD6E6B">
              <w:rPr>
                <w:rFonts w:cs="Arial"/>
                <w:color w:val="0D0D0D" w:themeColor="text1" w:themeTint="F2"/>
                <w:spacing w:val="-6"/>
                <w:lang w:val="en-GB"/>
              </w:rPr>
              <w:t xml:space="preserve"> only by negligible 0.1% and 0.2%</w:t>
            </w:r>
            <w:r>
              <w:rPr>
                <w:rFonts w:cs="Arial"/>
                <w:color w:val="0D0D0D" w:themeColor="text1" w:themeTint="F2"/>
                <w:spacing w:val="-6"/>
                <w:lang w:val="en-GB"/>
              </w:rPr>
              <w:t>,</w:t>
            </w:r>
            <w:r w:rsidRPr="00DD6E6B">
              <w:rPr>
                <w:rFonts w:cs="Arial"/>
                <w:color w:val="0D0D0D" w:themeColor="text1" w:themeTint="F2"/>
                <w:spacing w:val="-6"/>
                <w:lang w:val="en-GB"/>
              </w:rPr>
              <w:t xml:space="preserve"> respectively</w:t>
            </w:r>
            <w:r>
              <w:rPr>
                <w:rFonts w:cs="Arial"/>
                <w:color w:val="0D0D0D" w:themeColor="text1" w:themeTint="F2"/>
                <w:spacing w:val="-6"/>
                <w:lang w:val="en-GB"/>
              </w:rPr>
              <w:t>,</w:t>
            </w:r>
            <w:r w:rsidRPr="00DD6E6B">
              <w:rPr>
                <w:rFonts w:cs="Arial"/>
                <w:color w:val="0D0D0D" w:themeColor="text1" w:themeTint="F2"/>
                <w:spacing w:val="-6"/>
                <w:lang w:val="en-GB"/>
              </w:rPr>
              <w:t xml:space="preserve"> in H1. Accompanied by actual stagnation of the building construction the mild growth of civil engineering construction continued (3.2% and 2.4%</w:t>
            </w:r>
            <w:r>
              <w:rPr>
                <w:rFonts w:cs="Arial"/>
                <w:color w:val="0D0D0D" w:themeColor="text1" w:themeTint="F2"/>
                <w:spacing w:val="-6"/>
                <w:lang w:val="en-GB"/>
              </w:rPr>
              <w:t>,</w:t>
            </w:r>
            <w:r w:rsidRPr="00DD6E6B">
              <w:rPr>
                <w:rFonts w:cs="Arial"/>
                <w:color w:val="0D0D0D" w:themeColor="text1" w:themeTint="F2"/>
                <w:spacing w:val="-6"/>
                <w:lang w:val="en-GB"/>
              </w:rPr>
              <w:t xml:space="preserve"> resp</w:t>
            </w:r>
            <w:r>
              <w:rPr>
                <w:rFonts w:cs="Arial"/>
                <w:color w:val="0D0D0D" w:themeColor="text1" w:themeTint="F2"/>
                <w:spacing w:val="-6"/>
                <w:lang w:val="en-GB"/>
              </w:rPr>
              <w:t>ectively</w:t>
            </w:r>
            <w:r w:rsidRPr="00DD6E6B">
              <w:rPr>
                <w:rFonts w:cs="Arial"/>
                <w:color w:val="0D0D0D" w:themeColor="text1" w:themeTint="F2"/>
                <w:spacing w:val="-6"/>
                <w:lang w:val="en-GB"/>
              </w:rPr>
              <w:t>). Total construction output increased the most in Slovenia (+24%), double-digit pace was also recorded in Greece, Romania and Latvia. On the contrary</w:t>
            </w:r>
            <w:r>
              <w:rPr>
                <w:rFonts w:cs="Arial"/>
                <w:color w:val="0D0D0D" w:themeColor="text1" w:themeTint="F2"/>
                <w:spacing w:val="-6"/>
                <w:lang w:val="en-GB"/>
              </w:rPr>
              <w:t>,</w:t>
            </w:r>
            <w:r w:rsidRPr="00DD6E6B">
              <w:rPr>
                <w:rFonts w:cs="Arial"/>
                <w:color w:val="0D0D0D" w:themeColor="text1" w:themeTint="F2"/>
                <w:spacing w:val="-6"/>
                <w:lang w:val="en-GB"/>
              </w:rPr>
              <w:t xml:space="preserve"> it decreased the most in Estonia, Finland and Hungary – i.e. in states, which also experience a total economic recession. Output mildly decreased in Germany (by 1.4%), it however attained more favourable dynamics than in this country </w:t>
            </w:r>
            <w:r w:rsidR="001C25F9">
              <w:rPr>
                <w:rFonts w:cs="Arial"/>
                <w:color w:val="0D0D0D" w:themeColor="text1" w:themeTint="F2"/>
                <w:spacing w:val="-6"/>
                <w:lang w:val="en-GB"/>
              </w:rPr>
              <w:t>at all our neighbours (e.g. +1.3</w:t>
            </w:r>
            <w:r w:rsidRPr="00DD6E6B">
              <w:rPr>
                <w:rFonts w:cs="Arial"/>
                <w:color w:val="0D0D0D" w:themeColor="text1" w:themeTint="F2"/>
                <w:spacing w:val="-6"/>
                <w:lang w:val="en-GB"/>
              </w:rPr>
              <w:t xml:space="preserve">% in Poland). In comparison to H1 2019, the construction performance was in approximately two thirds of member countries higher this year – the most in Romania and Slovenia (by nearly one half), by 1.7% in the CR, by 5.2% in the EU. Spain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 xml:space="preserve">22%) and Slovakia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12%) considerably lagged behind the pre-crisis level.</w:t>
            </w:r>
          </w:p>
        </w:tc>
      </w:tr>
      <w:tr w:rsidR="00D80129" w:rsidRPr="00DD6E6B" w14:paraId="47BFF957" w14:textId="77777777" w:rsidTr="00D80129">
        <w:trPr>
          <w:trHeight w:val="170"/>
        </w:trPr>
        <w:tc>
          <w:tcPr>
            <w:tcW w:w="1678" w:type="dxa"/>
            <w:tcBorders>
              <w:top w:val="nil"/>
              <w:left w:val="nil"/>
              <w:bottom w:val="nil"/>
              <w:right w:val="nil"/>
            </w:tcBorders>
            <w:shd w:val="clear" w:color="auto" w:fill="auto"/>
            <w:tcMar>
              <w:left w:w="0" w:type="dxa"/>
            </w:tcMar>
          </w:tcPr>
          <w:p w14:paraId="3C1FF07A" w14:textId="7BA85A3A" w:rsidR="00D80129" w:rsidRPr="00DD6E6B" w:rsidRDefault="00D80129" w:rsidP="00D80129">
            <w:pPr>
              <w:pStyle w:val="Marginlie"/>
              <w:rPr>
                <w:lang w:val="en-GB"/>
              </w:rPr>
            </w:pPr>
            <w:r w:rsidRPr="00DD6E6B">
              <w:rPr>
                <w:lang w:val="en-GB"/>
              </w:rPr>
              <w:t xml:space="preserve">Mild quarter-on-quarter decrease of sales in services started in H2 last year persisted. </w:t>
            </w:r>
          </w:p>
        </w:tc>
        <w:tc>
          <w:tcPr>
            <w:tcW w:w="194" w:type="dxa"/>
            <w:tcBorders>
              <w:top w:val="nil"/>
              <w:left w:val="nil"/>
              <w:bottom w:val="nil"/>
              <w:right w:val="nil"/>
            </w:tcBorders>
            <w:shd w:val="clear" w:color="auto" w:fill="auto"/>
            <w:tcMar>
              <w:left w:w="0" w:type="dxa"/>
            </w:tcMar>
          </w:tcPr>
          <w:p w14:paraId="30594652"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6BEB94FF" w14:textId="2A82AFE4" w:rsidR="00D80129" w:rsidRPr="00DD6E6B" w:rsidRDefault="00D80129" w:rsidP="00D80129">
            <w:pPr>
              <w:spacing w:after="200"/>
              <w:rPr>
                <w:rFonts w:cs="Arial"/>
                <w:color w:val="0D0D0D" w:themeColor="text1" w:themeTint="F2"/>
                <w:spacing w:val="-6"/>
                <w:lang w:val="en-GB"/>
              </w:rPr>
            </w:pPr>
            <w:r w:rsidRPr="00DD6E6B">
              <w:rPr>
                <w:rFonts w:cs="Arial"/>
                <w:color w:val="0D0D0D" w:themeColor="text1" w:themeTint="F2"/>
                <w:spacing w:val="-6"/>
                <w:lang w:val="en-GB"/>
              </w:rPr>
              <w:t>Halting of the economic growth tightly accompanied by the decrease of private consumption must have been logically manifested in the performance of the services sector. Quarter-on-quarter growth of their sales</w:t>
            </w:r>
            <w:r w:rsidRPr="00DD6E6B">
              <w:rPr>
                <w:color w:val="0D0D0D" w:themeColor="text1" w:themeTint="F2"/>
                <w:spacing w:val="-4"/>
                <w:vertAlign w:val="superscript"/>
                <w:lang w:val="en-GB"/>
              </w:rPr>
              <w:footnoteReference w:id="22"/>
            </w:r>
            <w:r w:rsidRPr="00DD6E6B">
              <w:rPr>
                <w:rFonts w:cs="Arial"/>
                <w:color w:val="0D0D0D" w:themeColor="text1" w:themeTint="F2"/>
                <w:spacing w:val="-6"/>
                <w:lang w:val="en-GB"/>
              </w:rPr>
              <w:t xml:space="preserve">, which lasted since the beginning of year 2021, did not continue in the second half of the last year anymore and recovery has not shown even this year so far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0.7% in Q2</w:t>
            </w:r>
            <w:r>
              <w:rPr>
                <w:rFonts w:cs="Arial"/>
                <w:color w:val="0D0D0D" w:themeColor="text1" w:themeTint="F2"/>
                <w:spacing w:val="-6"/>
                <w:lang w:val="en-GB"/>
              </w:rPr>
              <w:t xml:space="preserve">, </w:t>
            </w:r>
            <w:r>
              <w:rPr>
                <w:color w:val="000000"/>
                <w:shd w:val="clear" w:color="auto" w:fill="FFFFFF"/>
              </w:rPr>
              <w:t>–</w:t>
            </w:r>
            <w:r w:rsidRPr="00DD6E6B">
              <w:rPr>
                <w:rFonts w:cs="Arial"/>
                <w:color w:val="0D0D0D" w:themeColor="text1" w:themeTint="F2"/>
                <w:spacing w:val="-6"/>
                <w:lang w:val="en-GB"/>
              </w:rPr>
              <w:t>1.3% in Q2). The dominant branch of transport and storage stood behind this development of services for this entire period. On the contrary</w:t>
            </w:r>
            <w:r>
              <w:rPr>
                <w:rFonts w:cs="Arial"/>
                <w:color w:val="0D0D0D" w:themeColor="text1" w:themeTint="F2"/>
                <w:spacing w:val="-6"/>
                <w:lang w:val="en-GB"/>
              </w:rPr>
              <w:t>,</w:t>
            </w:r>
            <w:r w:rsidRPr="00DD6E6B">
              <w:rPr>
                <w:rFonts w:cs="Arial"/>
                <w:color w:val="0D0D0D" w:themeColor="text1" w:themeTint="F2"/>
                <w:spacing w:val="-6"/>
                <w:lang w:val="en-GB"/>
              </w:rPr>
              <w:t xml:space="preserve"> the stably growing demand in the area of professional, scientific and technical activities, which typically consists of more sophisticated services for businesses worked against deeper slump of services. Sales in </w:t>
            </w:r>
            <w:r w:rsidRPr="00DD6E6B">
              <w:rPr>
                <w:rFonts w:cs="Arial"/>
                <w:color w:val="0D0D0D" w:themeColor="text1" w:themeTint="F2"/>
                <w:spacing w:val="-6"/>
                <w:lang w:val="en-GB"/>
              </w:rPr>
              <w:lastRenderedPageBreak/>
              <w:t xml:space="preserve">services thus slightly fell in total this year in Q2 (by 0.9%) below the level from the peak of the last pre-crisis boom (Q2 2019). The </w:t>
            </w:r>
            <w:r>
              <w:rPr>
                <w:rFonts w:cs="Arial"/>
                <w:color w:val="0D0D0D" w:themeColor="text1" w:themeTint="F2"/>
                <w:spacing w:val="-6"/>
                <w:lang w:val="en-GB"/>
              </w:rPr>
              <w:t>“</w:t>
            </w:r>
            <w:r w:rsidRPr="00DD6E6B">
              <w:rPr>
                <w:rFonts w:cs="Arial"/>
                <w:color w:val="0D0D0D" w:themeColor="text1" w:themeTint="F2"/>
                <w:spacing w:val="-6"/>
                <w:lang w:val="en-GB"/>
              </w:rPr>
              <w:t>effect of the post-pandemic revival</w:t>
            </w:r>
            <w:r>
              <w:rPr>
                <w:rFonts w:cs="Arial"/>
                <w:color w:val="0D0D0D" w:themeColor="text1" w:themeTint="F2"/>
                <w:spacing w:val="-6"/>
                <w:lang w:val="en-GB"/>
              </w:rPr>
              <w:t>”</w:t>
            </w:r>
            <w:r w:rsidRPr="00DD6E6B">
              <w:rPr>
                <w:rFonts w:cs="Arial"/>
                <w:color w:val="0D0D0D" w:themeColor="text1" w:themeTint="F2"/>
                <w:spacing w:val="-6"/>
                <w:lang w:val="en-GB"/>
              </w:rPr>
              <w:t xml:space="preserve"> of demand presumably already exhausted itself in the majority of services branches and on the contrary the fact, that part of households limited their </w:t>
            </w:r>
            <w:r>
              <w:rPr>
                <w:rFonts w:cs="Arial"/>
                <w:color w:val="0D0D0D" w:themeColor="text1" w:themeTint="F2"/>
                <w:spacing w:val="-6"/>
                <w:lang w:val="en-GB"/>
              </w:rPr>
              <w:t>“</w:t>
            </w:r>
            <w:r w:rsidRPr="00DD6E6B">
              <w:rPr>
                <w:rFonts w:cs="Arial"/>
                <w:color w:val="0D0D0D" w:themeColor="text1" w:themeTint="F2"/>
                <w:spacing w:val="-6"/>
                <w:lang w:val="en-GB"/>
              </w:rPr>
              <w:t>non-essential</w:t>
            </w:r>
            <w:r>
              <w:rPr>
                <w:rFonts w:cs="Arial"/>
                <w:color w:val="0D0D0D" w:themeColor="text1" w:themeTint="F2"/>
                <w:spacing w:val="-6"/>
                <w:lang w:val="en-GB"/>
              </w:rPr>
              <w:t>”</w:t>
            </w:r>
            <w:r w:rsidRPr="00DD6E6B">
              <w:rPr>
                <w:rFonts w:cs="Arial"/>
                <w:color w:val="0D0D0D" w:themeColor="text1" w:themeTint="F2"/>
                <w:spacing w:val="-6"/>
                <w:lang w:val="en-GB"/>
              </w:rPr>
              <w:t xml:space="preserve"> expenditures started to be more evident now. Impacts of high pick-up of prices in the economy also afflicted the business sphere, among other things in the form of heightened need for the optimization of production costs.</w:t>
            </w:r>
          </w:p>
        </w:tc>
      </w:tr>
      <w:tr w:rsidR="00D80129" w:rsidRPr="00DD6E6B" w14:paraId="5F18160C" w14:textId="77777777" w:rsidTr="00D80129">
        <w:trPr>
          <w:trHeight w:val="170"/>
        </w:trPr>
        <w:tc>
          <w:tcPr>
            <w:tcW w:w="1678" w:type="dxa"/>
            <w:tcBorders>
              <w:top w:val="nil"/>
              <w:left w:val="nil"/>
              <w:bottom w:val="nil"/>
              <w:right w:val="nil"/>
            </w:tcBorders>
            <w:shd w:val="clear" w:color="auto" w:fill="auto"/>
            <w:tcMar>
              <w:left w:w="0" w:type="dxa"/>
            </w:tcMar>
          </w:tcPr>
          <w:p w14:paraId="2ACD5E71" w14:textId="564A2818" w:rsidR="00D80129" w:rsidRPr="00DD6E6B" w:rsidRDefault="001C25F9" w:rsidP="00D80129">
            <w:pPr>
              <w:pStyle w:val="Marginlie"/>
              <w:rPr>
                <w:lang w:val="en-GB"/>
              </w:rPr>
            </w:pPr>
            <w:r>
              <w:rPr>
                <w:lang w:val="en-GB"/>
              </w:rPr>
              <w:lastRenderedPageBreak/>
              <w:t>Year-on-year decline</w:t>
            </w:r>
            <w:r w:rsidR="00D80129" w:rsidRPr="00DD6E6B">
              <w:rPr>
                <w:lang w:val="en-GB"/>
              </w:rPr>
              <w:t xml:space="preserve"> of sales in services deepened during H1, mostly as a result of subdued demand in transport and storage. </w:t>
            </w:r>
          </w:p>
        </w:tc>
        <w:tc>
          <w:tcPr>
            <w:tcW w:w="194" w:type="dxa"/>
            <w:tcBorders>
              <w:top w:val="nil"/>
              <w:left w:val="nil"/>
              <w:bottom w:val="nil"/>
              <w:right w:val="nil"/>
            </w:tcBorders>
            <w:shd w:val="clear" w:color="auto" w:fill="auto"/>
            <w:tcMar>
              <w:left w:w="0" w:type="dxa"/>
            </w:tcMar>
          </w:tcPr>
          <w:p w14:paraId="23ACD4BE"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386A3FA3" w14:textId="357E670A" w:rsidR="00D80129" w:rsidRPr="00DD6E6B" w:rsidRDefault="00D80129" w:rsidP="00D80129">
            <w:pPr>
              <w:spacing w:after="200"/>
              <w:rPr>
                <w:rFonts w:cs="Arial"/>
                <w:color w:val="0D0D0D" w:themeColor="text1" w:themeTint="F2"/>
                <w:spacing w:val="-6"/>
                <w:lang w:val="en-GB"/>
              </w:rPr>
            </w:pPr>
            <w:r w:rsidRPr="00DD6E6B">
              <w:rPr>
                <w:rFonts w:cs="Arial"/>
                <w:color w:val="0D0D0D" w:themeColor="text1" w:themeTint="F2"/>
                <w:spacing w:val="-6"/>
                <w:lang w:val="en-GB"/>
              </w:rPr>
              <w:t xml:space="preserve">In Q1 2023, sales in services went slightly down (by 0.3%), when they decreased for the first time in the last two years. The reduction of sales deepened in the following quarter, as gradually the majority of other branches joined the weak demand in transport and storage. Sales in services thus decreased by 1.8% in the whole H1. The deepest slump of demand affected the branch transportation and storage, where the sales dived by even 8% year-on-year (and contributed −2.5 p. p. to the decrease of all services). Downturn in the segment of warehousing and support activities for transportation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 xml:space="preserve">11.5%, comparably with the whole year 2020) played an essential role here. Sales markedly fell also in the land transport and transport via pipeline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6.9%), which was also influenced by weaker performance of transport via pipeline (after extraordinary last year affected by the energy crisis). Decrease of demand was nevertheless apparent also in the road transport (also due to lower dynamics of foreign trade, mainly import) as well as rail transport. Postal and courier activities recorded more moderate but longer</w:t>
            </w:r>
            <w:r>
              <w:rPr>
                <w:rFonts w:cs="Arial"/>
                <w:color w:val="0D0D0D" w:themeColor="text1" w:themeTint="F2"/>
                <w:spacing w:val="-6"/>
                <w:lang w:val="en-GB"/>
              </w:rPr>
              <w:t>-</w:t>
            </w:r>
            <w:r w:rsidRPr="00DD6E6B">
              <w:rPr>
                <w:rFonts w:cs="Arial"/>
                <w:color w:val="0D0D0D" w:themeColor="text1" w:themeTint="F2"/>
                <w:spacing w:val="-6"/>
                <w:lang w:val="en-GB"/>
              </w:rPr>
              <w:t xml:space="preserve">term year-on-year decrease of sales </w:t>
            </w:r>
            <w:r>
              <w:rPr>
                <w:rFonts w:cs="Arial"/>
                <w:color w:val="0D0D0D" w:themeColor="text1" w:themeTint="F2"/>
                <w:spacing w:val="-6"/>
                <w:lang w:val="en-GB"/>
              </w:rPr>
              <w:t>(</w:t>
            </w:r>
            <w:r>
              <w:rPr>
                <w:color w:val="000000"/>
                <w:shd w:val="clear" w:color="auto" w:fill="FFFFFF"/>
              </w:rPr>
              <w:t>–</w:t>
            </w:r>
            <w:r w:rsidRPr="00DD6E6B">
              <w:rPr>
                <w:rFonts w:cs="Arial"/>
                <w:color w:val="0D0D0D" w:themeColor="text1" w:themeTint="F2"/>
                <w:spacing w:val="-6"/>
                <w:lang w:val="en-GB"/>
              </w:rPr>
              <w:t>2.9%), which was closely linked to the deeper decrease of demand in the area of sales via internet or mail order houses. Still the sales of these activities remained by one fifth above the level from H1 2019 this year. On the contrary sales in the marginal segments of air and water transport has still stayed (despite swift this year’s growth) below the pre-crisis level (by 22.5% and 18.7%</w:t>
            </w:r>
            <w:r>
              <w:rPr>
                <w:rFonts w:cs="Arial"/>
                <w:color w:val="0D0D0D" w:themeColor="text1" w:themeTint="F2"/>
                <w:spacing w:val="-6"/>
                <w:lang w:val="en-GB"/>
              </w:rPr>
              <w:t>,</w:t>
            </w:r>
            <w:r w:rsidRPr="00DD6E6B">
              <w:rPr>
                <w:rFonts w:cs="Arial"/>
                <w:color w:val="0D0D0D" w:themeColor="text1" w:themeTint="F2"/>
                <w:spacing w:val="-6"/>
                <w:lang w:val="en-GB"/>
              </w:rPr>
              <w:t xml:space="preserve"> resp</w:t>
            </w:r>
            <w:r>
              <w:rPr>
                <w:rFonts w:cs="Arial"/>
                <w:color w:val="0D0D0D" w:themeColor="text1" w:themeTint="F2"/>
                <w:spacing w:val="-6"/>
                <w:lang w:val="en-GB"/>
              </w:rPr>
              <w:t>ectively</w:t>
            </w:r>
            <w:r w:rsidRPr="00DD6E6B">
              <w:rPr>
                <w:rFonts w:cs="Arial"/>
                <w:color w:val="0D0D0D" w:themeColor="text1" w:themeTint="F2"/>
                <w:spacing w:val="-6"/>
                <w:lang w:val="en-GB"/>
              </w:rPr>
              <w:t>).</w:t>
            </w:r>
          </w:p>
        </w:tc>
      </w:tr>
      <w:tr w:rsidR="00D80129" w:rsidRPr="00DD6E6B" w14:paraId="2AF9A6AF" w14:textId="77777777" w:rsidTr="00D80129">
        <w:trPr>
          <w:trHeight w:val="170"/>
        </w:trPr>
        <w:tc>
          <w:tcPr>
            <w:tcW w:w="1678" w:type="dxa"/>
            <w:tcBorders>
              <w:top w:val="nil"/>
              <w:left w:val="nil"/>
              <w:bottom w:val="nil"/>
              <w:right w:val="nil"/>
            </w:tcBorders>
            <w:shd w:val="clear" w:color="auto" w:fill="auto"/>
            <w:tcMar>
              <w:left w:w="0" w:type="dxa"/>
            </w:tcMar>
          </w:tcPr>
          <w:p w14:paraId="3A12AF4A" w14:textId="528806D6" w:rsidR="00D80129" w:rsidRPr="00DD6E6B" w:rsidRDefault="00D80129" w:rsidP="00D80129">
            <w:pPr>
              <w:pStyle w:val="Marginlie"/>
              <w:rPr>
                <w:color w:val="0D0D0D" w:themeColor="text1" w:themeTint="F2"/>
                <w:lang w:val="en-GB"/>
              </w:rPr>
            </w:pPr>
            <w:r w:rsidRPr="00DD6E6B">
              <w:rPr>
                <w:color w:val="0D0D0D" w:themeColor="text1" w:themeTint="F2"/>
                <w:lang w:val="en-GB"/>
              </w:rPr>
              <w:t>Swift growth of sales in accommodation was associated with the ongoing revival of tourism. Food service and restaurants were more affected by the impacts of the falling purchasing power of domestic households.</w:t>
            </w:r>
          </w:p>
        </w:tc>
        <w:tc>
          <w:tcPr>
            <w:tcW w:w="194" w:type="dxa"/>
            <w:tcBorders>
              <w:top w:val="nil"/>
              <w:left w:val="nil"/>
              <w:bottom w:val="nil"/>
              <w:right w:val="nil"/>
            </w:tcBorders>
            <w:shd w:val="clear" w:color="auto" w:fill="auto"/>
            <w:tcMar>
              <w:left w:w="0" w:type="dxa"/>
            </w:tcMar>
          </w:tcPr>
          <w:p w14:paraId="79DB770E"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737357BB" w14:textId="25537E34" w:rsidR="00D80129" w:rsidRPr="00DD6E6B" w:rsidRDefault="00D80129" w:rsidP="00D80129">
            <w:pPr>
              <w:spacing w:after="200"/>
              <w:rPr>
                <w:rFonts w:cs="Arial"/>
                <w:color w:val="0D0D0D" w:themeColor="text1" w:themeTint="F2"/>
                <w:spacing w:val="-6"/>
                <w:lang w:val="en-GB"/>
              </w:rPr>
            </w:pPr>
            <w:r w:rsidRPr="00DD6E6B">
              <w:rPr>
                <w:rFonts w:cs="Arial"/>
                <w:color w:val="0D0D0D" w:themeColor="text1" w:themeTint="F2"/>
                <w:spacing w:val="-6"/>
                <w:lang w:val="en-GB"/>
              </w:rPr>
              <w:t xml:space="preserve">Sales dynamics in the sub-branches of the division accommodation, food service and restaurants significantly differed this year. Entities earned by </w:t>
            </w:r>
            <w:r w:rsidRPr="00DD6E6B">
              <w:rPr>
                <w:color w:val="0D0D0D" w:themeColor="text1" w:themeTint="F2"/>
                <w:spacing w:val="-6"/>
                <w:lang w:val="en-GB"/>
              </w:rPr>
              <w:t>13.5% more in accommodation itself year-on-year in H1, because the post crisis recovery of the arrival tourism continued</w:t>
            </w:r>
            <w:r w:rsidRPr="00DD6E6B">
              <w:rPr>
                <w:rStyle w:val="Znakapoznpodarou"/>
                <w:color w:val="0D0D0D" w:themeColor="text1" w:themeTint="F2"/>
                <w:spacing w:val="-6"/>
                <w:lang w:val="en-GB"/>
              </w:rPr>
              <w:footnoteReference w:id="23"/>
            </w:r>
            <w:r w:rsidRPr="00DD6E6B">
              <w:rPr>
                <w:color w:val="0D0D0D" w:themeColor="text1" w:themeTint="F2"/>
                <w:spacing w:val="-6"/>
                <w:lang w:val="en-GB"/>
              </w:rPr>
              <w:t xml:space="preserve">. Only 1.8% increase of sales was recorded in food service and restaurants. Subdued growth of demand was connected to the ongoing considerable decrease of the purchasing power of domestic households here, which led to the cut of their non-essential expenditures. Sales in food service and restaurants fell by 0.9% in the quarter-on-quarter expression in Q2. Sales still significantly lagged behind the year 2019, mainly in accommodation. </w:t>
            </w:r>
          </w:p>
        </w:tc>
      </w:tr>
      <w:tr w:rsidR="00D80129" w:rsidRPr="00DD6E6B" w14:paraId="11A082C9" w14:textId="77777777" w:rsidTr="00D80129">
        <w:trPr>
          <w:trHeight w:val="170"/>
        </w:trPr>
        <w:tc>
          <w:tcPr>
            <w:tcW w:w="1678" w:type="dxa"/>
            <w:tcBorders>
              <w:top w:val="nil"/>
              <w:left w:val="nil"/>
              <w:bottom w:val="nil"/>
              <w:right w:val="nil"/>
            </w:tcBorders>
            <w:shd w:val="clear" w:color="auto" w:fill="auto"/>
            <w:tcMar>
              <w:left w:w="0" w:type="dxa"/>
            </w:tcMar>
          </w:tcPr>
          <w:p w14:paraId="467C43E4" w14:textId="0A8B98B1" w:rsidR="00D80129" w:rsidRPr="00DD6E6B" w:rsidRDefault="00D80129" w:rsidP="00D80129">
            <w:pPr>
              <w:pStyle w:val="Marginlie"/>
              <w:rPr>
                <w:color w:val="0D0D0D" w:themeColor="text1" w:themeTint="F2"/>
                <w:lang w:val="en-GB"/>
              </w:rPr>
            </w:pPr>
            <w:r w:rsidRPr="00DD6E6B">
              <w:rPr>
                <w:color w:val="0D0D0D" w:themeColor="text1" w:themeTint="F2"/>
                <w:lang w:val="en-GB"/>
              </w:rPr>
              <w:t xml:space="preserve">Sales in the area of ICT dropped year-on-year in Q2, nearly across all sub-branches. </w:t>
            </w:r>
          </w:p>
        </w:tc>
        <w:tc>
          <w:tcPr>
            <w:tcW w:w="194" w:type="dxa"/>
            <w:tcBorders>
              <w:top w:val="nil"/>
              <w:left w:val="nil"/>
              <w:bottom w:val="nil"/>
              <w:right w:val="nil"/>
            </w:tcBorders>
            <w:shd w:val="clear" w:color="auto" w:fill="auto"/>
            <w:tcMar>
              <w:left w:w="0" w:type="dxa"/>
            </w:tcMar>
          </w:tcPr>
          <w:p w14:paraId="28456423"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091F522F" w14:textId="69DE6D61" w:rsidR="00D80129" w:rsidRPr="00DD6E6B" w:rsidRDefault="00D80129" w:rsidP="00D80129">
            <w:pPr>
              <w:spacing w:after="200"/>
              <w:rPr>
                <w:color w:val="0D0D0D" w:themeColor="text1" w:themeTint="F2"/>
                <w:spacing w:val="-6"/>
                <w:lang w:val="en-GB"/>
              </w:rPr>
            </w:pPr>
            <w:r w:rsidRPr="00DD6E6B">
              <w:rPr>
                <w:color w:val="0D0D0D" w:themeColor="text1" w:themeTint="F2"/>
                <w:spacing w:val="-4"/>
                <w:lang w:val="en-GB"/>
              </w:rPr>
              <w:t xml:space="preserve">Long- term developing information and communication also felt the signals of stifled demand this year. The sales here in effect rather stagnated year-on-year in H1 (+0.6%), in that they even slightly dropped in Q2 </w:t>
            </w:r>
            <w:r>
              <w:rPr>
                <w:color w:val="0D0D0D" w:themeColor="text1" w:themeTint="F2"/>
                <w:spacing w:val="-4"/>
                <w:lang w:val="en-GB"/>
              </w:rPr>
              <w:t>(</w:t>
            </w:r>
            <w:r>
              <w:rPr>
                <w:color w:val="000000"/>
                <w:shd w:val="clear" w:color="auto" w:fill="FFFFFF"/>
              </w:rPr>
              <w:t>–</w:t>
            </w:r>
            <w:r w:rsidRPr="00DD6E6B">
              <w:rPr>
                <w:color w:val="0D0D0D" w:themeColor="text1" w:themeTint="F2"/>
                <w:spacing w:val="-4"/>
                <w:lang w:val="en-GB"/>
              </w:rPr>
              <w:t xml:space="preserve">1.0%), when the decrease of demand hit nearly all sub-branches. Sales mildly increased in computer programming or consultancy in IT and also in   telecommunications </w:t>
            </w:r>
            <w:r w:rsidRPr="00DD6E6B">
              <w:rPr>
                <w:color w:val="0D0D0D" w:themeColor="text1" w:themeTint="F2"/>
                <w:spacing w:val="-6"/>
                <w:lang w:val="en-GB"/>
              </w:rPr>
              <w:t>in total for the whole H1</w:t>
            </w:r>
            <w:r w:rsidRPr="00DD6E6B">
              <w:rPr>
                <w:color w:val="0D0D0D" w:themeColor="text1" w:themeTint="F2"/>
                <w:spacing w:val="-4"/>
                <w:lang w:val="en-GB"/>
              </w:rPr>
              <w:t>. In contrast</w:t>
            </w:r>
            <w:r>
              <w:rPr>
                <w:color w:val="0D0D0D" w:themeColor="text1" w:themeTint="F2"/>
                <w:spacing w:val="-4"/>
                <w:lang w:val="en-GB"/>
              </w:rPr>
              <w:t>,</w:t>
            </w:r>
            <w:r w:rsidRPr="00DD6E6B">
              <w:rPr>
                <w:color w:val="0D0D0D" w:themeColor="text1" w:themeTint="F2"/>
                <w:spacing w:val="-4"/>
                <w:lang w:val="en-GB"/>
              </w:rPr>
              <w:t xml:space="preserve"> the sales were by 4.8% lower in information and communication</w:t>
            </w:r>
            <w:r w:rsidRPr="00DD6E6B">
              <w:rPr>
                <w:rStyle w:val="Znakapoznpodarou"/>
                <w:color w:val="0D0D0D" w:themeColor="text1" w:themeTint="F2"/>
                <w:spacing w:val="-4"/>
                <w:lang w:val="en-GB"/>
              </w:rPr>
              <w:footnoteReference w:id="24"/>
            </w:r>
            <w:r w:rsidRPr="00DD6E6B">
              <w:rPr>
                <w:color w:val="0D0D0D" w:themeColor="text1" w:themeTint="F2"/>
                <w:spacing w:val="-4"/>
                <w:lang w:val="en-GB"/>
              </w:rPr>
              <w:t xml:space="preserve"> and registered the deepest decrease since H2 2012. Sales for the radio and television programming and broadcasting activities dropped for the second </w:t>
            </w:r>
            <w:r w:rsidRPr="00DD6E6B">
              <w:rPr>
                <w:color w:val="0D0D0D" w:themeColor="text1" w:themeTint="F2"/>
                <w:spacing w:val="-4"/>
                <w:lang w:val="en-GB"/>
              </w:rPr>
              <w:lastRenderedPageBreak/>
              <w:t xml:space="preserve">year in a row, the so called motion picture and music industry also experienced lower demand year-on-year </w:t>
            </w:r>
            <w:r>
              <w:rPr>
                <w:color w:val="0D0D0D" w:themeColor="text1" w:themeTint="F2"/>
                <w:spacing w:val="-4"/>
                <w:lang w:val="en-GB"/>
              </w:rPr>
              <w:t>(</w:t>
            </w:r>
            <w:r>
              <w:rPr>
                <w:color w:val="000000"/>
                <w:shd w:val="clear" w:color="auto" w:fill="FFFFFF"/>
              </w:rPr>
              <w:t>–</w:t>
            </w:r>
            <w:r w:rsidRPr="00DD6E6B">
              <w:rPr>
                <w:color w:val="0D0D0D" w:themeColor="text1" w:themeTint="F2"/>
                <w:spacing w:val="-4"/>
                <w:lang w:val="en-GB"/>
              </w:rPr>
              <w:t>8.7%)</w:t>
            </w:r>
            <w:r w:rsidRPr="00DD6E6B">
              <w:rPr>
                <w:rStyle w:val="Znakapoznpodarou"/>
                <w:color w:val="0D0D0D" w:themeColor="text1" w:themeTint="F2"/>
                <w:spacing w:val="-6"/>
                <w:lang w:val="en-GB"/>
              </w:rPr>
              <w:footnoteReference w:id="25"/>
            </w:r>
            <w:r w:rsidRPr="00DD6E6B">
              <w:rPr>
                <w:color w:val="0D0D0D" w:themeColor="text1" w:themeTint="F2"/>
                <w:spacing w:val="-4"/>
                <w:lang w:val="en-GB"/>
              </w:rPr>
              <w:t>, it was particularly severely hit by the restrictions in the pandemic period (this year’s sales lagged by more than one fifth here compared to year 2019).</w:t>
            </w:r>
          </w:p>
        </w:tc>
      </w:tr>
      <w:tr w:rsidR="00D80129" w:rsidRPr="00DD6E6B" w14:paraId="2D13BD66" w14:textId="77777777" w:rsidTr="00D80129">
        <w:trPr>
          <w:trHeight w:val="170"/>
        </w:trPr>
        <w:tc>
          <w:tcPr>
            <w:tcW w:w="1678" w:type="dxa"/>
            <w:tcBorders>
              <w:top w:val="nil"/>
              <w:left w:val="nil"/>
              <w:bottom w:val="nil"/>
              <w:right w:val="nil"/>
            </w:tcBorders>
            <w:shd w:val="clear" w:color="auto" w:fill="auto"/>
            <w:tcMar>
              <w:left w:w="0" w:type="dxa"/>
            </w:tcMar>
          </w:tcPr>
          <w:p w14:paraId="55C604DA" w14:textId="77777777" w:rsidR="00D80129" w:rsidRPr="00DD6E6B" w:rsidRDefault="00D80129" w:rsidP="00D80129">
            <w:pPr>
              <w:pStyle w:val="Marginlie"/>
              <w:rPr>
                <w:lang w:val="en-GB"/>
              </w:rPr>
            </w:pPr>
          </w:p>
        </w:tc>
        <w:tc>
          <w:tcPr>
            <w:tcW w:w="194" w:type="dxa"/>
            <w:tcBorders>
              <w:top w:val="nil"/>
              <w:left w:val="nil"/>
              <w:bottom w:val="nil"/>
              <w:right w:val="nil"/>
            </w:tcBorders>
            <w:shd w:val="clear" w:color="auto" w:fill="auto"/>
            <w:tcMar>
              <w:left w:w="0" w:type="dxa"/>
            </w:tcMar>
          </w:tcPr>
          <w:p w14:paraId="28B50300"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4340EEBE" w14:textId="476898EA" w:rsidR="00D80129" w:rsidRPr="00DD6E6B" w:rsidRDefault="00D80129" w:rsidP="00D80129">
            <w:pPr>
              <w:spacing w:after="40"/>
              <w:rPr>
                <w:b/>
                <w:spacing w:val="-4"/>
                <w:lang w:val="en-GB"/>
              </w:rPr>
            </w:pPr>
            <w:r w:rsidRPr="00DD6E6B">
              <w:rPr>
                <w:b/>
                <w:spacing w:val="-4"/>
                <w:lang w:val="en-GB"/>
              </w:rPr>
              <w:t xml:space="preserve">Chart 7 </w:t>
            </w:r>
            <w:r w:rsidRPr="00877F35">
              <w:rPr>
                <w:b/>
                <w:spacing w:val="-2"/>
                <w:lang w:val="en-GB"/>
              </w:rPr>
              <w:t>Contributions of branches to year-on-year change of sales in services</w:t>
            </w:r>
            <w:r w:rsidRPr="00877F35">
              <w:rPr>
                <w:b/>
                <w:bCs/>
                <w:spacing w:val="-2"/>
                <w:lang w:val="en-GB"/>
              </w:rPr>
              <w:t>*</w:t>
            </w:r>
            <w:r w:rsidRPr="00877F35">
              <w:rPr>
                <w:b/>
                <w:spacing w:val="-2"/>
                <w:lang w:val="en-GB"/>
              </w:rPr>
              <w:br/>
            </w:r>
            <w:r w:rsidRPr="00877F35">
              <w:rPr>
                <w:spacing w:val="-2"/>
                <w:lang w:val="en-GB"/>
              </w:rPr>
              <w:t>(real, in p. p),</w:t>
            </w:r>
            <w:r w:rsidRPr="00877F35">
              <w:rPr>
                <w:b/>
                <w:spacing w:val="-2"/>
                <w:lang w:val="en-GB"/>
              </w:rPr>
              <w:t xml:space="preserve"> total sales in services</w:t>
            </w:r>
            <w:r w:rsidRPr="00877F35">
              <w:rPr>
                <w:b/>
                <w:bCs/>
                <w:spacing w:val="-2"/>
                <w:lang w:val="en-GB"/>
              </w:rPr>
              <w:t xml:space="preserve">* </w:t>
            </w:r>
            <w:r>
              <w:rPr>
                <w:spacing w:val="-2"/>
                <w:lang w:val="en-GB"/>
              </w:rPr>
              <w:t>(2015=100</w:t>
            </w:r>
            <w:r w:rsidRPr="00877F35">
              <w:rPr>
                <w:spacing w:val="-2"/>
                <w:lang w:val="en-GB"/>
              </w:rPr>
              <w:t>),</w:t>
            </w:r>
            <w:r w:rsidRPr="00877F35">
              <w:rPr>
                <w:b/>
                <w:spacing w:val="-2"/>
                <w:lang w:val="en-GB"/>
              </w:rPr>
              <w:t xml:space="preserve"> balance of business confidence indicator in services</w:t>
            </w:r>
            <w:r w:rsidRPr="00877F35">
              <w:rPr>
                <w:b/>
                <w:bCs/>
                <w:spacing w:val="-2"/>
                <w:lang w:val="en-GB"/>
              </w:rPr>
              <w:t>**</w:t>
            </w:r>
            <w:r w:rsidRPr="00877F35">
              <w:rPr>
                <w:b/>
                <w:spacing w:val="-2"/>
                <w:lang w:val="en-GB"/>
              </w:rPr>
              <w:t xml:space="preserve"> </w:t>
            </w:r>
            <w:r>
              <w:rPr>
                <w:spacing w:val="-2"/>
                <w:lang w:val="en-GB"/>
              </w:rPr>
              <w:t>(in p. p.</w:t>
            </w:r>
            <w:r w:rsidRPr="00877F35">
              <w:rPr>
                <w:spacing w:val="-2"/>
                <w:lang w:val="en-GB"/>
              </w:rPr>
              <w:t>)</w:t>
            </w:r>
            <w:r w:rsidRPr="00877F35">
              <w:rPr>
                <w:b/>
                <w:bCs/>
                <w:spacing w:val="-2"/>
                <w:lang w:val="en-GB"/>
              </w:rPr>
              <w:t xml:space="preserve">, </w:t>
            </w:r>
            <w:r w:rsidRPr="00877F35">
              <w:rPr>
                <w:b/>
                <w:spacing w:val="-2"/>
                <w:lang w:val="en-GB"/>
              </w:rPr>
              <w:t>barriers to growth</w:t>
            </w:r>
            <w:r>
              <w:rPr>
                <w:b/>
                <w:spacing w:val="-2"/>
                <w:lang w:val="en-GB"/>
              </w:rPr>
              <w:t xml:space="preserve"> in services</w:t>
            </w:r>
            <w:r w:rsidRPr="00877F35">
              <w:rPr>
                <w:b/>
                <w:bCs/>
                <w:spacing w:val="-2"/>
                <w:lang w:val="en-GB"/>
              </w:rPr>
              <w:t>**</w:t>
            </w:r>
            <w:r w:rsidRPr="00877F35">
              <w:rPr>
                <w:b/>
                <w:spacing w:val="-2"/>
                <w:lang w:val="en-GB"/>
              </w:rPr>
              <w:t xml:space="preserve"> </w:t>
            </w:r>
            <w:r>
              <w:rPr>
                <w:spacing w:val="-2"/>
                <w:lang w:val="en-GB"/>
              </w:rPr>
              <w:t>(in %</w:t>
            </w:r>
            <w:r w:rsidRPr="00877F35">
              <w:rPr>
                <w:spacing w:val="-2"/>
                <w:lang w:val="en-GB"/>
              </w:rPr>
              <w:t>)</w:t>
            </w:r>
          </w:p>
        </w:tc>
      </w:tr>
      <w:tr w:rsidR="00D80129" w:rsidRPr="00DD6E6B" w14:paraId="2F4B7EAB" w14:textId="77777777" w:rsidTr="00D80129">
        <w:tblPrEx>
          <w:tblCellMar>
            <w:left w:w="70" w:type="dxa"/>
            <w:right w:w="70" w:type="dxa"/>
          </w:tblCellMar>
        </w:tblPrEx>
        <w:trPr>
          <w:trHeight w:val="170"/>
        </w:trPr>
        <w:tc>
          <w:tcPr>
            <w:tcW w:w="1678" w:type="dxa"/>
            <w:tcBorders>
              <w:top w:val="nil"/>
              <w:left w:val="nil"/>
              <w:bottom w:val="nil"/>
              <w:right w:val="nil"/>
            </w:tcBorders>
            <w:shd w:val="clear" w:color="auto" w:fill="auto"/>
          </w:tcPr>
          <w:p w14:paraId="6955CBBE" w14:textId="77777777" w:rsidR="00D80129" w:rsidRPr="00DD6E6B" w:rsidRDefault="00D80129" w:rsidP="00D80129">
            <w:pPr>
              <w:pStyle w:val="Marginlie"/>
              <w:rPr>
                <w:lang w:val="en-GB"/>
              </w:rPr>
            </w:pPr>
          </w:p>
        </w:tc>
        <w:tc>
          <w:tcPr>
            <w:tcW w:w="194" w:type="dxa"/>
            <w:tcBorders>
              <w:top w:val="nil"/>
              <w:left w:val="nil"/>
              <w:bottom w:val="nil"/>
              <w:right w:val="nil"/>
            </w:tcBorders>
            <w:shd w:val="clear" w:color="auto" w:fill="auto"/>
          </w:tcPr>
          <w:p w14:paraId="1B762220"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Pr>
          <w:p w14:paraId="1E07E0E5" w14:textId="60C28A02" w:rsidR="00D80129" w:rsidRPr="00DD6E6B" w:rsidRDefault="00D80129" w:rsidP="00D80129">
            <w:pPr>
              <w:spacing w:after="0"/>
              <w:rPr>
                <w:rFonts w:cs="Arial"/>
                <w:sz w:val="14"/>
                <w:szCs w:val="14"/>
                <w:lang w:val="en-GB"/>
              </w:rPr>
            </w:pPr>
            <w:r>
              <w:rPr>
                <w:noProof/>
              </w:rPr>
              <w:drawing>
                <wp:inline distT="0" distB="0" distL="0" distR="0" wp14:anchorId="22354B6A" wp14:editId="719AEF6E">
                  <wp:extent cx="4754880" cy="3636645"/>
                  <wp:effectExtent l="0" t="0" r="7620" b="190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80129" w:rsidRPr="00DD6E6B" w14:paraId="71F2428A" w14:textId="77777777" w:rsidTr="00D80129">
        <w:trPr>
          <w:trHeight w:val="170"/>
        </w:trPr>
        <w:tc>
          <w:tcPr>
            <w:tcW w:w="1678" w:type="dxa"/>
            <w:tcBorders>
              <w:top w:val="nil"/>
              <w:left w:val="nil"/>
              <w:bottom w:val="nil"/>
              <w:right w:val="nil"/>
            </w:tcBorders>
            <w:shd w:val="clear" w:color="auto" w:fill="auto"/>
            <w:tcMar>
              <w:left w:w="0" w:type="dxa"/>
            </w:tcMar>
          </w:tcPr>
          <w:p w14:paraId="7E4738EA" w14:textId="77777777" w:rsidR="00D80129" w:rsidRPr="00DD6E6B" w:rsidRDefault="00D80129" w:rsidP="00D80129">
            <w:pPr>
              <w:pStyle w:val="Marginlie"/>
              <w:rPr>
                <w:lang w:val="en-GB"/>
              </w:rPr>
            </w:pPr>
          </w:p>
        </w:tc>
        <w:tc>
          <w:tcPr>
            <w:tcW w:w="194" w:type="dxa"/>
            <w:tcBorders>
              <w:top w:val="nil"/>
              <w:left w:val="nil"/>
              <w:bottom w:val="nil"/>
              <w:right w:val="nil"/>
            </w:tcBorders>
            <w:shd w:val="clear" w:color="auto" w:fill="auto"/>
            <w:tcMar>
              <w:left w:w="0" w:type="dxa"/>
            </w:tcMar>
          </w:tcPr>
          <w:p w14:paraId="0D5F5E33"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1EAD814D" w14:textId="5060EEDB" w:rsidR="00D80129" w:rsidRPr="00DD6E6B" w:rsidRDefault="00D80129" w:rsidP="00D80129">
            <w:pPr>
              <w:spacing w:after="0" w:line="240" w:lineRule="auto"/>
              <w:rPr>
                <w:rFonts w:cs="Arial"/>
                <w:spacing w:val="-4"/>
                <w:sz w:val="14"/>
                <w:szCs w:val="14"/>
                <w:lang w:val="en-GB"/>
              </w:rPr>
            </w:pPr>
            <w:r w:rsidRPr="00DD6E6B">
              <w:rPr>
                <w:rFonts w:cs="Arial"/>
                <w:spacing w:val="-4"/>
                <w:sz w:val="14"/>
                <w:szCs w:val="14"/>
                <w:lang w:val="en-GB"/>
              </w:rPr>
              <w:t xml:space="preserve">Note: all data are seasonally adjusted, only contributions of sub-branches to the growth of sales are adjusted solely for calendar effects. </w:t>
            </w:r>
          </w:p>
          <w:p w14:paraId="15F7AF76" w14:textId="0A2A75E7" w:rsidR="00D80129" w:rsidRPr="00DD6E6B" w:rsidRDefault="00D80129" w:rsidP="00D80129">
            <w:pPr>
              <w:spacing w:after="0" w:line="240" w:lineRule="auto"/>
              <w:rPr>
                <w:rFonts w:cs="Arial"/>
                <w:sz w:val="14"/>
                <w:szCs w:val="14"/>
                <w:lang w:val="en-GB"/>
              </w:rPr>
            </w:pPr>
            <w:r w:rsidRPr="00DD6E6B">
              <w:rPr>
                <w:rFonts w:cs="Arial"/>
                <w:sz w:val="14"/>
                <w:szCs w:val="14"/>
                <w:lang w:val="en-GB"/>
              </w:rPr>
              <w:t xml:space="preserve">*Without branches trade, </w:t>
            </w:r>
            <w:r w:rsidRPr="00DD6E6B">
              <w:rPr>
                <w:color w:val="0D0D0D" w:themeColor="text1" w:themeTint="F2"/>
                <w:sz w:val="14"/>
                <w:szCs w:val="14"/>
                <w:lang w:val="en-GB"/>
              </w:rPr>
              <w:t xml:space="preserve">financial activities, insurance activities, science, research and public services. </w:t>
            </w:r>
          </w:p>
          <w:p w14:paraId="5D97A9ED" w14:textId="77777777" w:rsidR="00B117D9" w:rsidRDefault="00D80129" w:rsidP="00D80129">
            <w:pPr>
              <w:spacing w:after="0" w:line="240" w:lineRule="auto"/>
              <w:rPr>
                <w:rFonts w:cs="Arial"/>
                <w:sz w:val="14"/>
                <w:szCs w:val="14"/>
                <w:lang w:val="en-GB"/>
              </w:rPr>
            </w:pPr>
            <w:r w:rsidRPr="00DD6E6B">
              <w:rPr>
                <w:rFonts w:cs="Arial"/>
                <w:sz w:val="14"/>
                <w:szCs w:val="14"/>
                <w:lang w:val="en-GB"/>
              </w:rPr>
              <w:t>**Also involves the financial sector. Balance of busi</w:t>
            </w:r>
            <w:r w:rsidR="00B117D9">
              <w:rPr>
                <w:rFonts w:cs="Arial"/>
                <w:sz w:val="14"/>
                <w:szCs w:val="14"/>
                <w:lang w:val="en-GB"/>
              </w:rPr>
              <w:t xml:space="preserve">ness confidence as well as the </w:t>
            </w:r>
          </w:p>
          <w:p w14:paraId="5D8B9AC2" w14:textId="1C3B9A64" w:rsidR="00D80129" w:rsidRDefault="00B117D9" w:rsidP="00D80129">
            <w:pPr>
              <w:spacing w:after="0" w:line="240" w:lineRule="auto"/>
              <w:rPr>
                <w:rFonts w:cs="Arial"/>
                <w:sz w:val="14"/>
                <w:szCs w:val="14"/>
                <w:lang w:val="en-GB"/>
              </w:rPr>
            </w:pPr>
            <w:r>
              <w:rPr>
                <w:rFonts w:cs="Arial"/>
                <w:sz w:val="14"/>
                <w:szCs w:val="14"/>
                <w:lang w:val="en-GB"/>
              </w:rPr>
              <w:t>B</w:t>
            </w:r>
            <w:r w:rsidR="00D80129" w:rsidRPr="00DD6E6B">
              <w:rPr>
                <w:rFonts w:cs="Arial"/>
                <w:sz w:val="14"/>
                <w:szCs w:val="14"/>
                <w:lang w:val="en-GB"/>
              </w:rPr>
              <w:t xml:space="preserve">arrier to growth express the level in the first </w:t>
            </w:r>
            <w:r w:rsidRPr="00DD6E6B">
              <w:rPr>
                <w:rFonts w:cs="Arial"/>
                <w:sz w:val="14"/>
                <w:szCs w:val="14"/>
                <w:lang w:val="en-GB"/>
              </w:rPr>
              <w:t>month of the given quarter</w:t>
            </w:r>
            <w:r>
              <w:rPr>
                <w:rFonts w:cs="Arial"/>
                <w:sz w:val="14"/>
                <w:szCs w:val="14"/>
                <w:lang w:val="en-GB"/>
              </w:rPr>
              <w:t>, b</w:t>
            </w:r>
            <w:r w:rsidRPr="00DD6E6B">
              <w:rPr>
                <w:rFonts w:cs="Arial"/>
                <w:sz w:val="14"/>
                <w:szCs w:val="14"/>
                <w:lang w:val="en-GB"/>
              </w:rPr>
              <w:t>alance of busi</w:t>
            </w:r>
            <w:r>
              <w:rPr>
                <w:rFonts w:cs="Arial"/>
                <w:sz w:val="14"/>
                <w:szCs w:val="14"/>
                <w:lang w:val="en-GB"/>
              </w:rPr>
              <w:t xml:space="preserve">ness confidence than </w:t>
            </w:r>
            <w:r w:rsidRPr="00210BF4">
              <w:rPr>
                <w:rFonts w:cs="Arial"/>
                <w:sz w:val="14"/>
                <w:szCs w:val="14"/>
                <w:lang w:val="en-GB"/>
              </w:rPr>
              <w:t>in the s</w:t>
            </w:r>
            <w:r>
              <w:rPr>
                <w:rFonts w:cs="Arial"/>
                <w:sz w:val="14"/>
                <w:szCs w:val="14"/>
                <w:lang w:val="en-GB"/>
              </w:rPr>
              <w:t>econd month of the given quarter.</w:t>
            </w:r>
            <w:r w:rsidR="00D80129" w:rsidRPr="00DD6E6B">
              <w:rPr>
                <w:rFonts w:cs="Arial"/>
                <w:spacing w:val="-2"/>
                <w:sz w:val="14"/>
                <w:szCs w:val="14"/>
                <w:lang w:val="en-GB"/>
              </w:rPr>
              <w:t xml:space="preserve"> Businesses could have indicated more key barriers simultaneously</w:t>
            </w:r>
            <w:r w:rsidR="00D80129">
              <w:rPr>
                <w:rFonts w:cs="Arial"/>
                <w:sz w:val="14"/>
                <w:szCs w:val="14"/>
                <w:lang w:val="en-GB"/>
              </w:rPr>
              <w:t>.</w:t>
            </w:r>
          </w:p>
          <w:p w14:paraId="7DEC6BD8" w14:textId="2DB65D49" w:rsidR="00D80129" w:rsidRPr="00024D0A" w:rsidRDefault="00D80129" w:rsidP="00D80129">
            <w:pPr>
              <w:spacing w:after="200" w:line="240" w:lineRule="auto"/>
              <w:rPr>
                <w:rFonts w:cs="Arial"/>
                <w:sz w:val="14"/>
                <w:szCs w:val="14"/>
                <w:lang w:val="en-GB"/>
              </w:rPr>
            </w:pPr>
            <w:r w:rsidRPr="00DD6E6B">
              <w:rPr>
                <w:rFonts w:cs="Arial"/>
                <w:sz w:val="14"/>
                <w:szCs w:val="14"/>
                <w:lang w:val="en-GB"/>
              </w:rPr>
              <w:t>Source: CZSO, Eurostat</w:t>
            </w:r>
          </w:p>
        </w:tc>
      </w:tr>
      <w:tr w:rsidR="00D80129" w:rsidRPr="00DD6E6B" w14:paraId="623E2681" w14:textId="77777777" w:rsidTr="00D80129">
        <w:trPr>
          <w:trHeight w:val="170"/>
        </w:trPr>
        <w:tc>
          <w:tcPr>
            <w:tcW w:w="1678" w:type="dxa"/>
            <w:tcBorders>
              <w:top w:val="nil"/>
              <w:left w:val="nil"/>
              <w:bottom w:val="nil"/>
              <w:right w:val="nil"/>
            </w:tcBorders>
            <w:shd w:val="clear" w:color="auto" w:fill="auto"/>
            <w:tcMar>
              <w:left w:w="0" w:type="dxa"/>
            </w:tcMar>
          </w:tcPr>
          <w:p w14:paraId="75EFA449" w14:textId="1A272918" w:rsidR="00D80129" w:rsidRPr="00DD6E6B" w:rsidRDefault="00D80129" w:rsidP="00D80129">
            <w:pPr>
              <w:pStyle w:val="Marginlie"/>
              <w:rPr>
                <w:lang w:val="en-GB"/>
              </w:rPr>
            </w:pPr>
            <w:r w:rsidRPr="00DD6E6B">
              <w:rPr>
                <w:lang w:val="en-GB"/>
              </w:rPr>
              <w:t xml:space="preserve">Majority of services within administrative and support service activities faced a cyclical downturn of demand. </w:t>
            </w:r>
          </w:p>
          <w:p w14:paraId="057E83FA" w14:textId="77777777" w:rsidR="00D80129" w:rsidRPr="00DD6E6B" w:rsidRDefault="00D80129" w:rsidP="00D80129">
            <w:pPr>
              <w:pStyle w:val="Marginlie"/>
              <w:rPr>
                <w:lang w:val="en-GB"/>
              </w:rPr>
            </w:pPr>
          </w:p>
          <w:p w14:paraId="6199C03F" w14:textId="77777777" w:rsidR="00D80129" w:rsidRPr="00DD6E6B" w:rsidRDefault="00D80129" w:rsidP="00D80129">
            <w:pPr>
              <w:pStyle w:val="Marginlie"/>
              <w:rPr>
                <w:lang w:val="en-GB"/>
              </w:rPr>
            </w:pPr>
          </w:p>
          <w:p w14:paraId="62711417" w14:textId="77777777" w:rsidR="00D80129" w:rsidRPr="00DD6E6B" w:rsidRDefault="00D80129" w:rsidP="00D80129">
            <w:pPr>
              <w:pStyle w:val="Marginlie"/>
              <w:rPr>
                <w:lang w:val="en-GB"/>
              </w:rPr>
            </w:pPr>
          </w:p>
          <w:p w14:paraId="271CA314" w14:textId="77777777" w:rsidR="00D80129" w:rsidRPr="00DD6E6B" w:rsidRDefault="00D80129" w:rsidP="00D80129">
            <w:pPr>
              <w:pStyle w:val="Marginlie"/>
              <w:rPr>
                <w:lang w:val="en-GB"/>
              </w:rPr>
            </w:pPr>
          </w:p>
          <w:p w14:paraId="10A8FF40" w14:textId="343058E5" w:rsidR="00D80129" w:rsidRPr="00DD6E6B" w:rsidRDefault="00D80129" w:rsidP="00D80129">
            <w:pPr>
              <w:pStyle w:val="Marginlie"/>
              <w:rPr>
                <w:lang w:val="en-GB"/>
              </w:rPr>
            </w:pPr>
            <w:r w:rsidRPr="00DD6E6B">
              <w:rPr>
                <w:lang w:val="en-GB"/>
              </w:rPr>
              <w:t xml:space="preserve">Demand for more sophisticated business services has stayed relatively stable so far. </w:t>
            </w:r>
          </w:p>
        </w:tc>
        <w:tc>
          <w:tcPr>
            <w:tcW w:w="194" w:type="dxa"/>
            <w:tcBorders>
              <w:top w:val="nil"/>
              <w:left w:val="nil"/>
              <w:bottom w:val="nil"/>
              <w:right w:val="nil"/>
            </w:tcBorders>
            <w:shd w:val="clear" w:color="auto" w:fill="auto"/>
            <w:tcMar>
              <w:left w:w="0" w:type="dxa"/>
            </w:tcMar>
          </w:tcPr>
          <w:p w14:paraId="3E54EA94" w14:textId="77777777" w:rsidR="00D80129" w:rsidRPr="00DD6E6B" w:rsidRDefault="00D80129" w:rsidP="00D80129">
            <w:pPr>
              <w:pStyle w:val="Textpoznpodarou"/>
              <w:jc w:val="both"/>
              <w:rPr>
                <w:spacing w:val="-6"/>
                <w:lang w:val="en-GB"/>
              </w:rPr>
            </w:pPr>
          </w:p>
        </w:tc>
        <w:tc>
          <w:tcPr>
            <w:tcW w:w="7767" w:type="dxa"/>
            <w:tcBorders>
              <w:top w:val="nil"/>
              <w:left w:val="nil"/>
              <w:bottom w:val="nil"/>
              <w:right w:val="nil"/>
            </w:tcBorders>
            <w:shd w:val="clear" w:color="auto" w:fill="auto"/>
            <w:tcMar>
              <w:left w:w="0" w:type="dxa"/>
            </w:tcMar>
          </w:tcPr>
          <w:p w14:paraId="5AB80FAC" w14:textId="32F14089" w:rsidR="00D80129" w:rsidRPr="00DD6E6B" w:rsidRDefault="00D80129" w:rsidP="00D80129">
            <w:pPr>
              <w:spacing w:after="200"/>
              <w:rPr>
                <w:rFonts w:cs="Arial"/>
                <w:color w:val="0D0D0D" w:themeColor="text1" w:themeTint="F2"/>
                <w:spacing w:val="-2"/>
                <w:lang w:val="en-GB"/>
              </w:rPr>
            </w:pPr>
            <w:r w:rsidRPr="00DD6E6B">
              <w:rPr>
                <w:rFonts w:cs="Arial"/>
                <w:color w:val="0D0D0D" w:themeColor="text1" w:themeTint="F2"/>
                <w:spacing w:val="-2"/>
                <w:lang w:val="en-GB"/>
              </w:rPr>
              <w:t xml:space="preserve">The branch of administrative and support service activities also wrestled with weaker demand, where the sales dropped by 2.4% this year compared to H1 2022. Mainly employment placement agencies, where the sales slumped by 12.1% (even by 21.8% for two years) stood behind it. The demand also fell in other activities sensitively reacting to the business cycle (e.g. for lease and operative lease – mainly of machinery and equipment), firms in the area of security and investigation activities also earned less. Travel agencies and offices, where the sales (thanks to favourable development in the spring months) went mildly up for the whole half-year (+3.5%) fared better. Part of business support service activities, especially those characterised by higher requirements on qualified labour force however still enjoyed relatively stable demand. Thus the sales increased by 3.2% in the group of professional, scientific and technical activities year-on-year in H1. They were driven mainly by legal and accounting activities (+6.4%), followed in short distance then by architectural and engineering activities (+3.3%). Demand for management consultancy activities grew for the third year in a row. After the last year decrease the sales slightly strengthened in the area of advertising this year, however the demand slump continued for market research and public opinion polling.  </w:t>
            </w:r>
          </w:p>
        </w:tc>
      </w:tr>
      <w:tr w:rsidR="00D80129" w:rsidRPr="00DD6E6B" w14:paraId="43C56705" w14:textId="77777777" w:rsidTr="00D80129">
        <w:trPr>
          <w:trHeight w:val="170"/>
        </w:trPr>
        <w:tc>
          <w:tcPr>
            <w:tcW w:w="1678" w:type="dxa"/>
            <w:tcBorders>
              <w:top w:val="nil"/>
              <w:left w:val="nil"/>
              <w:bottom w:val="nil"/>
              <w:right w:val="nil"/>
            </w:tcBorders>
            <w:shd w:val="clear" w:color="auto" w:fill="auto"/>
            <w:tcMar>
              <w:left w:w="0" w:type="dxa"/>
            </w:tcMar>
          </w:tcPr>
          <w:p w14:paraId="055807B8" w14:textId="3CD40637" w:rsidR="00D80129" w:rsidRPr="00DD6E6B" w:rsidRDefault="00D80129" w:rsidP="00D80129">
            <w:pPr>
              <w:pStyle w:val="Marginlie"/>
              <w:rPr>
                <w:lang w:val="en-GB"/>
              </w:rPr>
            </w:pPr>
            <w:r w:rsidRPr="00DD6E6B">
              <w:rPr>
                <w:lang w:val="en-GB"/>
              </w:rPr>
              <w:lastRenderedPageBreak/>
              <w:t xml:space="preserve">Quarter-on-quarter decrease of retail sales continued for the seventh quarter in a row. </w:t>
            </w:r>
          </w:p>
          <w:p w14:paraId="1D2CE40E" w14:textId="77777777" w:rsidR="00D80129" w:rsidRPr="00DD6E6B" w:rsidRDefault="00D80129" w:rsidP="00D80129">
            <w:pPr>
              <w:pStyle w:val="Marginlie"/>
              <w:rPr>
                <w:lang w:val="en-GB"/>
              </w:rPr>
            </w:pPr>
          </w:p>
          <w:p w14:paraId="5E35A821" w14:textId="77777777" w:rsidR="00D80129" w:rsidRPr="00DD6E6B" w:rsidRDefault="00D80129" w:rsidP="00D80129">
            <w:pPr>
              <w:pStyle w:val="Marginlie"/>
              <w:rPr>
                <w:lang w:val="en-GB"/>
              </w:rPr>
            </w:pPr>
          </w:p>
          <w:p w14:paraId="4B7FD8EC" w14:textId="77777777" w:rsidR="00D80129" w:rsidRPr="00DD6E6B" w:rsidRDefault="00D80129" w:rsidP="00D80129">
            <w:pPr>
              <w:pStyle w:val="Marginlie"/>
              <w:rPr>
                <w:lang w:val="en-GB"/>
              </w:rPr>
            </w:pPr>
          </w:p>
          <w:p w14:paraId="02B1B4E6" w14:textId="77777777" w:rsidR="00D80129" w:rsidRPr="00DD6E6B" w:rsidRDefault="00D80129" w:rsidP="00D80129">
            <w:pPr>
              <w:pStyle w:val="Marginlie"/>
              <w:rPr>
                <w:lang w:val="en-GB"/>
              </w:rPr>
            </w:pPr>
          </w:p>
          <w:p w14:paraId="767582E4" w14:textId="77777777" w:rsidR="00D80129" w:rsidRPr="00DD6E6B" w:rsidRDefault="00D80129" w:rsidP="00D80129">
            <w:pPr>
              <w:pStyle w:val="Marginlie"/>
              <w:rPr>
                <w:lang w:val="en-GB"/>
              </w:rPr>
            </w:pPr>
          </w:p>
          <w:p w14:paraId="152B4C89" w14:textId="77777777" w:rsidR="00D80129" w:rsidRPr="00DD6E6B" w:rsidRDefault="00D80129" w:rsidP="00D80129">
            <w:pPr>
              <w:pStyle w:val="Marginlie"/>
              <w:rPr>
                <w:lang w:val="en-GB"/>
              </w:rPr>
            </w:pPr>
          </w:p>
          <w:p w14:paraId="3923D6F2" w14:textId="0BB16A30" w:rsidR="00D80129" w:rsidRPr="00DD6E6B" w:rsidRDefault="00D80129" w:rsidP="00D80129">
            <w:pPr>
              <w:pStyle w:val="Marginlie"/>
              <w:rPr>
                <w:lang w:val="en-GB"/>
              </w:rPr>
            </w:pPr>
            <w:r w:rsidRPr="00DD6E6B">
              <w:rPr>
                <w:lang w:val="en-GB"/>
              </w:rPr>
              <w:t xml:space="preserve">Pessimism of the domestic households decreased since last year’s August, people however remained very cautious regarding planning of large purchases. </w:t>
            </w:r>
          </w:p>
        </w:tc>
        <w:tc>
          <w:tcPr>
            <w:tcW w:w="194" w:type="dxa"/>
            <w:tcBorders>
              <w:top w:val="nil"/>
              <w:left w:val="nil"/>
              <w:bottom w:val="nil"/>
              <w:right w:val="nil"/>
            </w:tcBorders>
            <w:shd w:val="clear" w:color="auto" w:fill="auto"/>
            <w:tcMar>
              <w:left w:w="0" w:type="dxa"/>
            </w:tcMar>
          </w:tcPr>
          <w:p w14:paraId="2EF9DE14" w14:textId="77777777" w:rsidR="00D80129" w:rsidRPr="00DD6E6B" w:rsidRDefault="00D80129" w:rsidP="00D80129">
            <w:pPr>
              <w:pStyle w:val="Textpoznpodarou"/>
              <w:jc w:val="both"/>
              <w:rPr>
                <w:spacing w:val="-6"/>
                <w:lang w:val="en-GB"/>
              </w:rPr>
            </w:pPr>
          </w:p>
        </w:tc>
        <w:tc>
          <w:tcPr>
            <w:tcW w:w="7767" w:type="dxa"/>
            <w:tcBorders>
              <w:top w:val="nil"/>
              <w:left w:val="nil"/>
              <w:bottom w:val="nil"/>
              <w:right w:val="nil"/>
            </w:tcBorders>
            <w:shd w:val="clear" w:color="auto" w:fill="auto"/>
            <w:tcMar>
              <w:left w:w="0" w:type="dxa"/>
            </w:tcMar>
          </w:tcPr>
          <w:p w14:paraId="42C968C7" w14:textId="4D43BE54" w:rsidR="00D80129" w:rsidRPr="00DD6E6B" w:rsidRDefault="00D80129" w:rsidP="00D80129">
            <w:pPr>
              <w:spacing w:after="200"/>
              <w:rPr>
                <w:rFonts w:cs="Arial"/>
                <w:color w:val="0D0D0D" w:themeColor="text1" w:themeTint="F2"/>
                <w:lang w:val="en-GB"/>
              </w:rPr>
            </w:pPr>
            <w:r w:rsidRPr="00DD6E6B">
              <w:rPr>
                <w:rFonts w:cs="Arial"/>
                <w:color w:val="0D0D0D" w:themeColor="text1" w:themeTint="F2"/>
                <w:szCs w:val="20"/>
                <w:lang w:val="en-GB"/>
              </w:rPr>
              <w:t>Retail sales</w:t>
            </w:r>
            <w:r w:rsidRPr="00DD6E6B">
              <w:rPr>
                <w:rStyle w:val="Znakapoznpodarou"/>
                <w:color w:val="0D0D0D" w:themeColor="text1" w:themeTint="F2"/>
                <w:lang w:val="en-GB"/>
              </w:rPr>
              <w:footnoteReference w:id="26"/>
            </w:r>
            <w:r w:rsidRPr="00DD6E6B">
              <w:rPr>
                <w:rFonts w:cs="Arial"/>
                <w:color w:val="0D0D0D" w:themeColor="text1" w:themeTint="F2"/>
                <w:szCs w:val="20"/>
                <w:lang w:val="en-GB"/>
              </w:rPr>
              <w:t xml:space="preserve"> continued in the longer</w:t>
            </w:r>
            <w:r>
              <w:rPr>
                <w:rFonts w:cs="Arial"/>
                <w:color w:val="0D0D0D" w:themeColor="text1" w:themeTint="F2"/>
                <w:szCs w:val="20"/>
                <w:lang w:val="en-GB"/>
              </w:rPr>
              <w:t>-</w:t>
            </w:r>
            <w:r w:rsidRPr="00DD6E6B">
              <w:rPr>
                <w:rFonts w:cs="Arial"/>
                <w:color w:val="0D0D0D" w:themeColor="text1" w:themeTint="F2"/>
                <w:szCs w:val="20"/>
                <w:lang w:val="en-GB"/>
              </w:rPr>
              <w:t xml:space="preserve">term downward trend. They fell by 0.4% quarter-on-quarter at the beginning of this year, the decrease subsequently deepened to 1.1% in Q2. Quarter-on-quarter downturn of demand in retail thus continued for the seventh quarter in a row and to a large extent copied the trend of the total expenditure of households on final consumption. The only significant segment of retail, where the decrease of demand did not manifest in the last quarters was the sale of fuels. The favourable development of prices for motorists aided this result </w:t>
            </w:r>
            <w:r w:rsidRPr="00DD6E6B">
              <w:rPr>
                <w:rFonts w:cs="Arial"/>
                <w:color w:val="0D0D0D" w:themeColor="text1" w:themeTint="F2"/>
                <w:lang w:val="en-GB"/>
              </w:rPr>
              <w:t>(also supported by the temporarily introduced lower rate of consumption tax on diesel fuel). The development of the whole retail was closely related to the prevailing negative sentiment of the domestic consumers. Nevertheless</w:t>
            </w:r>
            <w:r>
              <w:rPr>
                <w:rFonts w:cs="Arial"/>
                <w:color w:val="0D0D0D" w:themeColor="text1" w:themeTint="F2"/>
                <w:lang w:val="en-GB"/>
              </w:rPr>
              <w:t>,</w:t>
            </w:r>
            <w:r w:rsidRPr="00DD6E6B">
              <w:rPr>
                <w:rFonts w:cs="Arial"/>
                <w:color w:val="0D0D0D" w:themeColor="text1" w:themeTint="F2"/>
                <w:lang w:val="en-GB"/>
              </w:rPr>
              <w:t xml:space="preserve"> partial retreat of pessimism of households can be observed in the past months</w:t>
            </w:r>
            <w:r w:rsidRPr="00DD6E6B">
              <w:rPr>
                <w:rStyle w:val="Znakapoznpodarou"/>
                <w:color w:val="0D0D0D" w:themeColor="text1" w:themeTint="F2"/>
                <w:lang w:val="en-GB"/>
              </w:rPr>
              <w:footnoteReference w:id="27"/>
            </w:r>
            <w:r w:rsidRPr="00DD6E6B">
              <w:rPr>
                <w:rFonts w:cs="Arial"/>
                <w:color w:val="0D0D0D" w:themeColor="text1" w:themeTint="F2"/>
                <w:lang w:val="en-GB"/>
              </w:rPr>
              <w:t xml:space="preserve">. Concerns of people about the price growth for the major part dissipated during the spring this year and simultaneously the fear of unemployment already did not significantly overtake the long-term average anymore. The majority of households still however expected that their financial situation, similarly to the total economic situation in the CR, will deteriorate in the upcoming twelve months. That is why people still remained rather cautions in the area of planning of large purchases </w:t>
            </w:r>
            <w:r w:rsidRPr="00DD6E6B">
              <w:rPr>
                <w:rFonts w:cs="Arial"/>
                <w:color w:val="0D0D0D" w:themeColor="text1" w:themeTint="F2"/>
                <w:szCs w:val="20"/>
                <w:lang w:val="en-GB"/>
              </w:rPr>
              <w:t>(especially goods of long-term durability or investment). Business in trade also did not abound with larger optimism anymore. While their confidence was placed near the long-term average this year in Spring, their confidence markedly weakened in August</w:t>
            </w:r>
            <w:r w:rsidRPr="00DD6E6B">
              <w:rPr>
                <w:rStyle w:val="Znakapoznpodarou"/>
                <w:color w:val="0D0D0D" w:themeColor="text1" w:themeTint="F2"/>
                <w:szCs w:val="20"/>
                <w:lang w:val="en-GB"/>
              </w:rPr>
              <w:footnoteReference w:id="28"/>
            </w:r>
            <w:r w:rsidRPr="00DD6E6B">
              <w:rPr>
                <w:rFonts w:cs="Arial"/>
                <w:color w:val="0D0D0D" w:themeColor="text1" w:themeTint="F2"/>
                <w:szCs w:val="20"/>
                <w:lang w:val="en-GB"/>
              </w:rPr>
              <w:t xml:space="preserve">. Rising number of consumers (owing to the arrival of refugees from Ukraine as well as the continuing recovery of tourism) has a partial positive effect on the development of retail, in contrast the still more frequent trips of domestic households for cross border shopping likely have a negative effect.   </w:t>
            </w:r>
          </w:p>
        </w:tc>
      </w:tr>
      <w:tr w:rsidR="00D80129" w:rsidRPr="00DD6E6B" w14:paraId="2FA5B3DB" w14:textId="77777777" w:rsidTr="00D80129">
        <w:trPr>
          <w:trHeight w:val="170"/>
        </w:trPr>
        <w:tc>
          <w:tcPr>
            <w:tcW w:w="1678" w:type="dxa"/>
            <w:tcBorders>
              <w:top w:val="nil"/>
              <w:left w:val="nil"/>
              <w:bottom w:val="nil"/>
              <w:right w:val="nil"/>
            </w:tcBorders>
            <w:shd w:val="clear" w:color="auto" w:fill="auto"/>
            <w:tcMar>
              <w:left w:w="0" w:type="dxa"/>
            </w:tcMar>
          </w:tcPr>
          <w:p w14:paraId="070E04A9" w14:textId="2A785B8C" w:rsidR="00D80129" w:rsidRPr="00DD6E6B" w:rsidRDefault="00D80129" w:rsidP="00D80129">
            <w:pPr>
              <w:pStyle w:val="Marginlie"/>
              <w:rPr>
                <w:lang w:val="en-GB"/>
              </w:rPr>
            </w:pPr>
            <w:r w:rsidRPr="00DD6E6B">
              <w:rPr>
                <w:lang w:val="en-GB"/>
              </w:rPr>
              <w:t xml:space="preserve">Lower sales for non-food goods stood behind the deep year-on-year decrease of the whole retail. Virtually the whole range of products experienced weaker demand. </w:t>
            </w:r>
          </w:p>
          <w:p w14:paraId="3FD572B4" w14:textId="77777777" w:rsidR="00D80129" w:rsidRPr="00DD6E6B" w:rsidRDefault="00D80129" w:rsidP="00D80129">
            <w:pPr>
              <w:pStyle w:val="Marginlie"/>
              <w:rPr>
                <w:lang w:val="en-GB"/>
              </w:rPr>
            </w:pPr>
            <w:r w:rsidRPr="00DD6E6B">
              <w:rPr>
                <w:lang w:val="en-GB"/>
              </w:rPr>
              <w:t>.</w:t>
            </w:r>
          </w:p>
        </w:tc>
        <w:tc>
          <w:tcPr>
            <w:tcW w:w="194" w:type="dxa"/>
            <w:tcBorders>
              <w:top w:val="nil"/>
              <w:left w:val="nil"/>
              <w:bottom w:val="nil"/>
              <w:right w:val="nil"/>
            </w:tcBorders>
            <w:shd w:val="clear" w:color="auto" w:fill="auto"/>
            <w:tcMar>
              <w:left w:w="0" w:type="dxa"/>
            </w:tcMar>
          </w:tcPr>
          <w:p w14:paraId="7A9E3CC7"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238E92E2" w14:textId="470461F3" w:rsidR="00D80129" w:rsidRPr="00DD6E6B" w:rsidRDefault="00D80129" w:rsidP="00D80129">
            <w:pPr>
              <w:spacing w:after="200"/>
              <w:rPr>
                <w:rFonts w:cs="Arial"/>
                <w:color w:val="0D0D0D" w:themeColor="text1" w:themeTint="F2"/>
                <w:szCs w:val="20"/>
                <w:lang w:val="en-GB"/>
              </w:rPr>
            </w:pPr>
            <w:r w:rsidRPr="00DD6E6B">
              <w:rPr>
                <w:rFonts w:cs="Arial"/>
                <w:color w:val="0D0D0D" w:themeColor="text1" w:themeTint="F2"/>
                <w:szCs w:val="20"/>
                <w:lang w:val="en-GB"/>
              </w:rPr>
              <w:t xml:space="preserve">The retail sales plunged by even 7% year-on-year for H1 2023. Especially the segment of non-food goods </w:t>
            </w:r>
            <w:r>
              <w:rPr>
                <w:rFonts w:cs="Arial"/>
                <w:color w:val="0D0D0D" w:themeColor="text1" w:themeTint="F2"/>
                <w:szCs w:val="20"/>
                <w:lang w:val="en-GB"/>
              </w:rPr>
              <w:t>(</w:t>
            </w:r>
            <w:r>
              <w:rPr>
                <w:color w:val="000000"/>
                <w:shd w:val="clear" w:color="auto" w:fill="FFFFFF"/>
              </w:rPr>
              <w:t>–</w:t>
            </w:r>
            <w:r w:rsidRPr="00DD6E6B">
              <w:rPr>
                <w:rFonts w:cs="Arial"/>
                <w:color w:val="0D0D0D" w:themeColor="text1" w:themeTint="F2"/>
                <w:szCs w:val="20"/>
                <w:lang w:val="en-GB"/>
              </w:rPr>
              <w:t>8.8%, contribution −4.6 p. p.) pulled down the whole branch. T</w:t>
            </w:r>
            <w:r w:rsidRPr="00DD6E6B">
              <w:rPr>
                <w:color w:val="0D0D0D" w:themeColor="text1" w:themeTint="F2"/>
                <w:szCs w:val="20"/>
                <w:lang w:val="en-GB"/>
              </w:rPr>
              <w:t xml:space="preserve">here </w:t>
            </w:r>
            <w:r w:rsidRPr="00DD6E6B">
              <w:rPr>
                <w:color w:val="0D0D0D" w:themeColor="text1" w:themeTint="F2"/>
                <w:lang w:val="en-GB"/>
              </w:rPr>
              <w:t xml:space="preserve">the more than </w:t>
            </w:r>
            <w:r w:rsidRPr="00DD6E6B">
              <w:rPr>
                <w:rFonts w:cs="Arial"/>
                <w:color w:val="0D0D0D" w:themeColor="text1" w:themeTint="F2"/>
                <w:szCs w:val="20"/>
                <w:lang w:val="en-GB"/>
              </w:rPr>
              <w:t>16%</w:t>
            </w:r>
            <w:r w:rsidRPr="00DD6E6B">
              <w:rPr>
                <w:rStyle w:val="normaltextrun"/>
                <w:rFonts w:eastAsia="MS Gothic" w:cs="Arial"/>
                <w:szCs w:val="20"/>
                <w:lang w:val="en-GB"/>
              </w:rPr>
              <w:t xml:space="preserve"> slump of sales for products mostly for households (containing mainly metal hardware, paints, glass, DIY supplies, electro supplies, furniture and lighti</w:t>
            </w:r>
            <w:r w:rsidRPr="00DD6E6B">
              <w:rPr>
                <w:rStyle w:val="normaltextrun"/>
                <w:rFonts w:eastAsia="MS Gothic"/>
                <w:lang w:val="en-GB"/>
              </w:rPr>
              <w:t>ng equipment</w:t>
            </w:r>
            <w:r w:rsidRPr="00DD6E6B">
              <w:rPr>
                <w:rStyle w:val="normaltextrun"/>
                <w:rFonts w:eastAsia="MS Gothic" w:cs="Arial"/>
                <w:szCs w:val="20"/>
                <w:lang w:val="en-GB"/>
              </w:rPr>
              <w:t xml:space="preserve">) became the most evident. </w:t>
            </w:r>
            <w:r w:rsidRPr="00FA1474">
              <w:rPr>
                <w:rStyle w:val="normaltextrun"/>
                <w:rFonts w:eastAsia="MS Gothic" w:cs="Arial"/>
                <w:szCs w:val="20"/>
                <w:lang w:val="en-GB"/>
              </w:rPr>
              <w:t xml:space="preserve">Demand, however, sank in virtually all assortment groups, except for a very small segment of other retail sale in non-specialised stores </w:t>
            </w:r>
            <w:r w:rsidRPr="00FA1474">
              <w:rPr>
                <w:rFonts w:cs="Arial"/>
                <w:color w:val="0D0D0D" w:themeColor="text1" w:themeTint="F2"/>
                <w:szCs w:val="20"/>
                <w:lang w:val="en-GB"/>
              </w:rPr>
              <w:t>(c</w:t>
            </w:r>
            <w:r w:rsidRPr="00FA1474">
              <w:rPr>
                <w:color w:val="0D0D0D" w:themeColor="text1" w:themeTint="F2"/>
                <w:lang w:val="en-GB"/>
              </w:rPr>
              <w:t>onsisting of typically smaller shops oriented at</w:t>
            </w:r>
            <w:r w:rsidRPr="00DD6E6B">
              <w:rPr>
                <w:color w:val="0D0D0D" w:themeColor="text1" w:themeTint="F2"/>
                <w:lang w:val="en-GB"/>
              </w:rPr>
              <w:t xml:space="preserve"> sale of </w:t>
            </w:r>
            <w:r w:rsidRPr="00FA1474">
              <w:rPr>
                <w:color w:val="0D0D0D" w:themeColor="text1" w:themeTint="F2"/>
                <w:lang w:val="en-GB"/>
              </w:rPr>
              <w:t>miscellaneous smallware</w:t>
            </w:r>
            <w:r w:rsidRPr="00207B00">
              <w:rPr>
                <w:color w:val="0D0D0D" w:themeColor="text1" w:themeTint="F2"/>
                <w:lang w:val="en-GB"/>
              </w:rPr>
              <w:t>, usually</w:t>
            </w:r>
            <w:r w:rsidRPr="00DD6E6B">
              <w:rPr>
                <w:color w:val="0D0D0D" w:themeColor="text1" w:themeTint="F2"/>
                <w:lang w:val="en-GB"/>
              </w:rPr>
              <w:t xml:space="preserve"> as discount offers</w:t>
            </w:r>
            <w:r w:rsidRPr="00DD6E6B">
              <w:rPr>
                <w:rFonts w:cs="Arial"/>
                <w:color w:val="0D0D0D" w:themeColor="text1" w:themeTint="F2"/>
                <w:szCs w:val="20"/>
                <w:lang w:val="en-GB"/>
              </w:rPr>
              <w:t xml:space="preserve">). Only minimum decrease of sales in specialised shops occurred for pharmaceutical and medical products </w:t>
            </w:r>
            <w:r>
              <w:rPr>
                <w:rStyle w:val="normaltextrun"/>
                <w:rFonts w:eastAsia="MS Gothic" w:cs="Arial"/>
                <w:szCs w:val="20"/>
                <w:lang w:val="en-GB"/>
              </w:rPr>
              <w:t>(</w:t>
            </w:r>
            <w:r>
              <w:rPr>
                <w:color w:val="000000"/>
                <w:shd w:val="clear" w:color="auto" w:fill="FFFFFF"/>
              </w:rPr>
              <w:t>–</w:t>
            </w:r>
            <w:r w:rsidRPr="00DD6E6B">
              <w:rPr>
                <w:rStyle w:val="normaltextrun"/>
                <w:rFonts w:eastAsia="MS Gothic" w:cs="Arial"/>
                <w:szCs w:val="20"/>
                <w:lang w:val="en-GB"/>
              </w:rPr>
              <w:t>0.1%), c</w:t>
            </w:r>
            <w:r w:rsidRPr="00DD6E6B">
              <w:rPr>
                <w:rStyle w:val="normaltextrun"/>
                <w:rFonts w:eastAsia="MS Gothic"/>
                <w:lang w:val="en-GB"/>
              </w:rPr>
              <w:t xml:space="preserve">osmetic and toilet articles </w:t>
            </w:r>
            <w:r>
              <w:rPr>
                <w:rStyle w:val="normaltextrun"/>
                <w:rFonts w:eastAsia="MS Gothic" w:cs="Arial"/>
                <w:szCs w:val="20"/>
                <w:lang w:val="en-GB"/>
              </w:rPr>
              <w:t>(</w:t>
            </w:r>
            <w:r>
              <w:rPr>
                <w:color w:val="000000"/>
                <w:shd w:val="clear" w:color="auto" w:fill="FFFFFF"/>
              </w:rPr>
              <w:t>–</w:t>
            </w:r>
            <w:r w:rsidRPr="00DD6E6B">
              <w:rPr>
                <w:rStyle w:val="normaltextrun"/>
                <w:rFonts w:eastAsia="MS Gothic" w:cs="Arial"/>
                <w:szCs w:val="20"/>
                <w:lang w:val="en-GB"/>
              </w:rPr>
              <w:t>1.8%) o</w:t>
            </w:r>
            <w:r w:rsidRPr="00DD6E6B">
              <w:rPr>
                <w:rStyle w:val="normaltextrun"/>
                <w:rFonts w:eastAsia="MS Gothic"/>
                <w:lang w:val="en-GB"/>
              </w:rPr>
              <w:t xml:space="preserve">r computer and communication equipment </w:t>
            </w:r>
            <w:r>
              <w:rPr>
                <w:rStyle w:val="normaltextrun"/>
                <w:rFonts w:eastAsia="MS Gothic" w:cs="Arial"/>
                <w:szCs w:val="20"/>
                <w:lang w:val="en-GB"/>
              </w:rPr>
              <w:t>(</w:t>
            </w:r>
            <w:r>
              <w:rPr>
                <w:color w:val="000000"/>
                <w:shd w:val="clear" w:color="auto" w:fill="FFFFFF"/>
              </w:rPr>
              <w:t>–</w:t>
            </w:r>
            <w:r w:rsidRPr="00DD6E6B">
              <w:rPr>
                <w:rStyle w:val="normaltextrun"/>
                <w:rFonts w:eastAsia="MS Gothic" w:cs="Arial"/>
                <w:szCs w:val="20"/>
                <w:lang w:val="en-GB"/>
              </w:rPr>
              <w:t>0.8%). I</w:t>
            </w:r>
            <w:r w:rsidRPr="00DD6E6B">
              <w:rPr>
                <w:rStyle w:val="normaltextrun"/>
                <w:rFonts w:eastAsia="MS Gothic" w:cs="Arial"/>
                <w:lang w:val="en-GB"/>
              </w:rPr>
              <w:t xml:space="preserve">n these areas as the one of the few segments of retail at the same time the demand in this year’s H1 exceeded the level from year 2019. </w:t>
            </w:r>
            <w:r w:rsidRPr="00DD6E6B">
              <w:rPr>
                <w:rFonts w:cs="Arial"/>
                <w:color w:val="0D0D0D" w:themeColor="text1" w:themeTint="F2"/>
                <w:lang w:val="en-GB"/>
              </w:rPr>
              <w:t>Th</w:t>
            </w:r>
            <w:r w:rsidRPr="00DD6E6B">
              <w:rPr>
                <w:color w:val="0D0D0D" w:themeColor="text1" w:themeTint="F2"/>
                <w:lang w:val="en-GB"/>
              </w:rPr>
              <w:t xml:space="preserve">is was still valid also for the sales via internet or courier activities </w:t>
            </w:r>
            <w:r w:rsidRPr="00DD6E6B">
              <w:rPr>
                <w:rFonts w:cs="Arial"/>
                <w:color w:val="0D0D0D" w:themeColor="text1" w:themeTint="F2"/>
                <w:lang w:val="en-GB"/>
              </w:rPr>
              <w:t>(+34.3%), in spite of the sales continuously falling here quarter-on-quarter in the last nine quarters. The sale of food goods also records a persisting decrease of demand in the last quarters. The sales here dived by 7.9% here year-on-year in H1 (they fell by similar pace in both large chains and smaller specialised shops) and were by one tenth lower compared to the pre-crisis year 2019. On the contrary</w:t>
            </w:r>
            <w:r>
              <w:rPr>
                <w:rFonts w:cs="Arial"/>
                <w:color w:val="0D0D0D" w:themeColor="text1" w:themeTint="F2"/>
                <w:lang w:val="en-GB"/>
              </w:rPr>
              <w:t>,</w:t>
            </w:r>
            <w:r w:rsidRPr="00DD6E6B">
              <w:rPr>
                <w:rFonts w:cs="Arial"/>
                <w:color w:val="0D0D0D" w:themeColor="text1" w:themeTint="F2"/>
                <w:lang w:val="en-GB"/>
              </w:rPr>
              <w:t xml:space="preserve"> the sales for non-food goods were still closely above the pre-crisis level this year (+1.7%).</w:t>
            </w:r>
          </w:p>
        </w:tc>
      </w:tr>
      <w:tr w:rsidR="00D80129" w:rsidRPr="00DD6E6B" w14:paraId="18B73C45" w14:textId="77777777" w:rsidTr="00D80129">
        <w:trPr>
          <w:trHeight w:val="170"/>
        </w:trPr>
        <w:tc>
          <w:tcPr>
            <w:tcW w:w="1678" w:type="dxa"/>
            <w:tcBorders>
              <w:top w:val="nil"/>
              <w:left w:val="nil"/>
              <w:bottom w:val="nil"/>
              <w:right w:val="nil"/>
            </w:tcBorders>
            <w:shd w:val="clear" w:color="auto" w:fill="auto"/>
            <w:tcMar>
              <w:left w:w="0" w:type="dxa"/>
            </w:tcMar>
          </w:tcPr>
          <w:p w14:paraId="66F15E84" w14:textId="7BA701B7" w:rsidR="00D80129" w:rsidRPr="00DD6E6B" w:rsidRDefault="00D80129" w:rsidP="00D80129">
            <w:pPr>
              <w:pStyle w:val="Marginlie"/>
              <w:rPr>
                <w:lang w:val="en-GB"/>
              </w:rPr>
            </w:pPr>
            <w:r w:rsidRPr="00DD6E6B">
              <w:rPr>
                <w:lang w:val="en-GB"/>
              </w:rPr>
              <w:t xml:space="preserve">Sales in the motorist segment revived, they were driven by higher demand in the area of purchases of motor vehicles. </w:t>
            </w:r>
          </w:p>
        </w:tc>
        <w:tc>
          <w:tcPr>
            <w:tcW w:w="194" w:type="dxa"/>
            <w:tcBorders>
              <w:top w:val="nil"/>
              <w:left w:val="nil"/>
              <w:bottom w:val="nil"/>
              <w:right w:val="nil"/>
            </w:tcBorders>
            <w:shd w:val="clear" w:color="auto" w:fill="auto"/>
            <w:tcMar>
              <w:left w:w="0" w:type="dxa"/>
            </w:tcMar>
          </w:tcPr>
          <w:p w14:paraId="54C3D162"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774477DC" w14:textId="50F9B899" w:rsidR="00D80129" w:rsidRPr="00DD6E6B" w:rsidRDefault="00D80129" w:rsidP="00D80129">
            <w:pPr>
              <w:spacing w:after="200"/>
              <w:rPr>
                <w:rFonts w:cs="Arial"/>
                <w:color w:val="0D0D0D" w:themeColor="text1" w:themeTint="F2"/>
                <w:szCs w:val="20"/>
                <w:lang w:val="en-GB"/>
              </w:rPr>
            </w:pPr>
            <w:r w:rsidRPr="00DD6E6B">
              <w:rPr>
                <w:rFonts w:cs="Arial"/>
                <w:color w:val="0D0D0D" w:themeColor="text1" w:themeTint="F2"/>
                <w:spacing w:val="-6"/>
                <w:szCs w:val="20"/>
                <w:lang w:val="en-GB"/>
              </w:rPr>
              <w:t xml:space="preserve">Sales in the motorist segment of trade went up year-on-year this year after two years. They were by 3.3% higher year-on-year in H1. Growth was driven by sale of motor vehicles, which was connected to the relatively favourable situation of the whole motor vehicle industry in the CR as well as the EU. In contrast the sales for trade with motor vehicle parts and accessories decreased, the demand for trade, repair and maintenance of motorcycles went down. </w:t>
            </w:r>
            <w:r w:rsidRPr="00DD6E6B">
              <w:rPr>
                <w:rFonts w:cs="Arial"/>
                <w:color w:val="0D0D0D" w:themeColor="text1" w:themeTint="F2"/>
                <w:spacing w:val="-6"/>
                <w:szCs w:val="20"/>
                <w:lang w:val="en-GB"/>
              </w:rPr>
              <w:lastRenderedPageBreak/>
              <w:t xml:space="preserve">Compared to H1 2019, the sales in the whole motorist segment were still slightly lower (by 6.1%) this year, at the same time they lagged approximately comparably in all its sub-branches. </w:t>
            </w:r>
          </w:p>
        </w:tc>
      </w:tr>
      <w:tr w:rsidR="00D80129" w:rsidRPr="00DD6E6B" w14:paraId="28318913" w14:textId="77777777" w:rsidTr="00D80129">
        <w:trPr>
          <w:trHeight w:val="170"/>
        </w:trPr>
        <w:tc>
          <w:tcPr>
            <w:tcW w:w="1678" w:type="dxa"/>
            <w:tcBorders>
              <w:top w:val="nil"/>
              <w:left w:val="nil"/>
              <w:bottom w:val="nil"/>
              <w:right w:val="nil"/>
            </w:tcBorders>
            <w:shd w:val="clear" w:color="auto" w:fill="auto"/>
            <w:tcMar>
              <w:left w:w="0" w:type="dxa"/>
            </w:tcMar>
          </w:tcPr>
          <w:p w14:paraId="02F1A48A" w14:textId="77777777" w:rsidR="00D80129" w:rsidRPr="00DD6E6B" w:rsidRDefault="00D80129" w:rsidP="00D80129">
            <w:pPr>
              <w:pStyle w:val="Marginlie"/>
              <w:rPr>
                <w:color w:val="0D0D0D" w:themeColor="text1" w:themeTint="F2"/>
                <w:lang w:val="en-GB"/>
              </w:rPr>
            </w:pPr>
          </w:p>
        </w:tc>
        <w:tc>
          <w:tcPr>
            <w:tcW w:w="194" w:type="dxa"/>
            <w:tcBorders>
              <w:top w:val="nil"/>
              <w:left w:val="nil"/>
              <w:bottom w:val="nil"/>
              <w:right w:val="nil"/>
            </w:tcBorders>
            <w:shd w:val="clear" w:color="auto" w:fill="auto"/>
            <w:tcMar>
              <w:left w:w="0" w:type="dxa"/>
            </w:tcMar>
          </w:tcPr>
          <w:p w14:paraId="0B41FCA8" w14:textId="77777777" w:rsidR="00D80129" w:rsidRPr="00DD6E6B" w:rsidRDefault="00D80129" w:rsidP="00D80129">
            <w:pPr>
              <w:pStyle w:val="Textpoznpodarou"/>
              <w:jc w:val="both"/>
              <w:rPr>
                <w:color w:val="0D0D0D" w:themeColor="text1" w:themeTint="F2"/>
                <w:spacing w:val="-4"/>
                <w:lang w:val="en-GB"/>
              </w:rPr>
            </w:pPr>
          </w:p>
        </w:tc>
        <w:tc>
          <w:tcPr>
            <w:tcW w:w="7767" w:type="dxa"/>
            <w:tcBorders>
              <w:top w:val="nil"/>
              <w:left w:val="nil"/>
              <w:bottom w:val="nil"/>
              <w:right w:val="nil"/>
            </w:tcBorders>
            <w:shd w:val="clear" w:color="auto" w:fill="auto"/>
            <w:tcMar>
              <w:left w:w="0" w:type="dxa"/>
            </w:tcMar>
          </w:tcPr>
          <w:p w14:paraId="7D866730" w14:textId="5CEF0EC1" w:rsidR="00D80129" w:rsidRPr="00DD6E6B" w:rsidRDefault="00D80129" w:rsidP="00D80129">
            <w:pPr>
              <w:spacing w:after="40"/>
              <w:rPr>
                <w:rFonts w:cs="Arial"/>
                <w:color w:val="0D0D0D" w:themeColor="text1" w:themeTint="F2"/>
                <w:spacing w:val="-4"/>
                <w:szCs w:val="20"/>
                <w:lang w:val="en-GB"/>
              </w:rPr>
            </w:pPr>
            <w:r w:rsidRPr="00DD6E6B">
              <w:rPr>
                <w:b/>
                <w:lang w:val="en-GB"/>
              </w:rPr>
              <w:t xml:space="preserve">Chart 8 </w:t>
            </w:r>
            <w:r w:rsidRPr="00052BEF">
              <w:rPr>
                <w:b/>
                <w:spacing w:val="-4"/>
                <w:lang w:val="en-GB"/>
              </w:rPr>
              <w:t>Contributions of sub-branches to year-on-year change of sales in retail trade</w:t>
            </w:r>
            <w:r w:rsidRPr="00052BEF">
              <w:rPr>
                <w:rFonts w:cs="Arial"/>
                <w:b/>
                <w:bCs/>
                <w:color w:val="0D0D0D" w:themeColor="text1" w:themeTint="F2"/>
                <w:spacing w:val="-4"/>
                <w:lang w:val="en-GB"/>
              </w:rPr>
              <w:t xml:space="preserve">* </w:t>
            </w:r>
            <w:r w:rsidRPr="00052BEF">
              <w:rPr>
                <w:rFonts w:cs="Arial"/>
                <w:color w:val="0D0D0D" w:themeColor="text1" w:themeTint="F2"/>
                <w:spacing w:val="-4"/>
                <w:lang w:val="en-GB"/>
              </w:rPr>
              <w:t xml:space="preserve">(real, in p.p.), </w:t>
            </w:r>
            <w:r w:rsidRPr="00052BEF">
              <w:rPr>
                <w:rFonts w:cs="Arial"/>
                <w:b/>
                <w:bCs/>
                <w:color w:val="0D0D0D" w:themeColor="text1" w:themeTint="F2"/>
                <w:spacing w:val="-4"/>
                <w:szCs w:val="20"/>
                <w:lang w:val="en-GB"/>
              </w:rPr>
              <w:t xml:space="preserve">sales in retail trade, sales for sale of automotive fuel and for sale/repair of motor vehicles** </w:t>
            </w:r>
            <w:r>
              <w:rPr>
                <w:rFonts w:cs="Arial"/>
                <w:color w:val="0D0D0D" w:themeColor="text1" w:themeTint="F2"/>
                <w:spacing w:val="-4"/>
                <w:szCs w:val="20"/>
                <w:lang w:val="en-GB"/>
              </w:rPr>
              <w:t>(real, 2015=100</w:t>
            </w:r>
            <w:r w:rsidRPr="00052BEF">
              <w:rPr>
                <w:rFonts w:cs="Arial"/>
                <w:color w:val="0D0D0D" w:themeColor="text1" w:themeTint="F2"/>
                <w:spacing w:val="-4"/>
                <w:szCs w:val="20"/>
                <w:lang w:val="en-GB"/>
              </w:rPr>
              <w:t>),</w:t>
            </w:r>
            <w:r w:rsidRPr="00052BEF">
              <w:rPr>
                <w:rFonts w:cs="Arial"/>
                <w:b/>
                <w:color w:val="0D0D0D" w:themeColor="text1" w:themeTint="F2"/>
                <w:spacing w:val="-4"/>
                <w:szCs w:val="20"/>
                <w:lang w:val="en-GB"/>
              </w:rPr>
              <w:t xml:space="preserve"> balance of business confidence indicator in retail trade, consumer confidence indicator</w:t>
            </w:r>
            <w:r w:rsidRPr="00052BEF">
              <w:rPr>
                <w:rFonts w:cs="Arial"/>
                <w:b/>
                <w:bCs/>
                <w:color w:val="0D0D0D" w:themeColor="text1" w:themeTint="F2"/>
                <w:spacing w:val="-4"/>
                <w:lang w:val="en-GB"/>
              </w:rPr>
              <w:t xml:space="preserve">*** </w:t>
            </w:r>
            <w:r>
              <w:rPr>
                <w:rFonts w:cs="Arial"/>
                <w:color w:val="0D0D0D" w:themeColor="text1" w:themeTint="F2"/>
                <w:spacing w:val="-4"/>
                <w:lang w:val="en-GB"/>
              </w:rPr>
              <w:t>(in p. p.</w:t>
            </w:r>
            <w:r w:rsidRPr="00052BEF">
              <w:rPr>
                <w:rFonts w:cs="Arial"/>
                <w:color w:val="0D0D0D" w:themeColor="text1" w:themeTint="F2"/>
                <w:spacing w:val="-4"/>
                <w:lang w:val="en-GB"/>
              </w:rPr>
              <w:t>)</w:t>
            </w:r>
          </w:p>
        </w:tc>
      </w:tr>
      <w:tr w:rsidR="00D80129" w:rsidRPr="00DD6E6B" w14:paraId="1FE780B1" w14:textId="77777777" w:rsidTr="00D80129">
        <w:tblPrEx>
          <w:tblCellMar>
            <w:left w:w="70" w:type="dxa"/>
            <w:right w:w="70" w:type="dxa"/>
          </w:tblCellMar>
        </w:tblPrEx>
        <w:trPr>
          <w:trHeight w:val="170"/>
        </w:trPr>
        <w:tc>
          <w:tcPr>
            <w:tcW w:w="1678" w:type="dxa"/>
            <w:tcBorders>
              <w:top w:val="nil"/>
              <w:left w:val="nil"/>
              <w:bottom w:val="nil"/>
              <w:right w:val="nil"/>
            </w:tcBorders>
            <w:shd w:val="clear" w:color="auto" w:fill="auto"/>
          </w:tcPr>
          <w:p w14:paraId="0F647725" w14:textId="77777777" w:rsidR="00D80129" w:rsidRPr="00DD6E6B" w:rsidRDefault="00D80129" w:rsidP="00D80129">
            <w:pPr>
              <w:pStyle w:val="Marginlie"/>
              <w:rPr>
                <w:lang w:val="en-GB"/>
              </w:rPr>
            </w:pPr>
          </w:p>
        </w:tc>
        <w:tc>
          <w:tcPr>
            <w:tcW w:w="194" w:type="dxa"/>
            <w:tcBorders>
              <w:top w:val="nil"/>
              <w:left w:val="nil"/>
              <w:bottom w:val="nil"/>
              <w:right w:val="nil"/>
            </w:tcBorders>
            <w:shd w:val="clear" w:color="auto" w:fill="auto"/>
          </w:tcPr>
          <w:p w14:paraId="1C3B86BB"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Pr>
          <w:p w14:paraId="32AC87EE" w14:textId="5EF722B1" w:rsidR="00D80129" w:rsidRPr="00DD6E6B" w:rsidRDefault="00D80129" w:rsidP="00D80129">
            <w:pPr>
              <w:spacing w:after="0"/>
              <w:rPr>
                <w:rFonts w:cs="Arial"/>
                <w:sz w:val="14"/>
                <w:szCs w:val="14"/>
                <w:lang w:val="en-GB"/>
              </w:rPr>
            </w:pPr>
            <w:r>
              <w:rPr>
                <w:noProof/>
              </w:rPr>
              <w:drawing>
                <wp:inline distT="0" distB="0" distL="0" distR="0" wp14:anchorId="49FAC381" wp14:editId="342B1896">
                  <wp:extent cx="4843495" cy="3716118"/>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D80129" w:rsidRPr="00DD6E6B" w14:paraId="41693489" w14:textId="77777777" w:rsidTr="00D80129">
        <w:trPr>
          <w:trHeight w:val="170"/>
        </w:trPr>
        <w:tc>
          <w:tcPr>
            <w:tcW w:w="1678" w:type="dxa"/>
            <w:tcBorders>
              <w:top w:val="nil"/>
              <w:left w:val="nil"/>
              <w:bottom w:val="nil"/>
              <w:right w:val="nil"/>
            </w:tcBorders>
            <w:shd w:val="clear" w:color="auto" w:fill="auto"/>
            <w:tcMar>
              <w:left w:w="0" w:type="dxa"/>
            </w:tcMar>
          </w:tcPr>
          <w:p w14:paraId="0F40C7DE" w14:textId="77777777" w:rsidR="00D80129" w:rsidRPr="00DD6E6B" w:rsidRDefault="00D80129" w:rsidP="00D80129">
            <w:pPr>
              <w:pStyle w:val="Marginlie"/>
              <w:rPr>
                <w:lang w:val="en-GB"/>
              </w:rPr>
            </w:pPr>
          </w:p>
        </w:tc>
        <w:tc>
          <w:tcPr>
            <w:tcW w:w="194" w:type="dxa"/>
            <w:tcBorders>
              <w:top w:val="nil"/>
              <w:left w:val="nil"/>
              <w:bottom w:val="nil"/>
              <w:right w:val="nil"/>
            </w:tcBorders>
            <w:shd w:val="clear" w:color="auto" w:fill="auto"/>
            <w:tcMar>
              <w:left w:w="0" w:type="dxa"/>
            </w:tcMar>
          </w:tcPr>
          <w:p w14:paraId="434040A7" w14:textId="77777777" w:rsidR="00D80129" w:rsidRPr="00DD6E6B" w:rsidRDefault="00D80129" w:rsidP="00D80129">
            <w:pPr>
              <w:pStyle w:val="Textpoznpodarou"/>
              <w:jc w:val="both"/>
              <w:rPr>
                <w:spacing w:val="-4"/>
                <w:lang w:val="en-GB"/>
              </w:rPr>
            </w:pPr>
          </w:p>
        </w:tc>
        <w:tc>
          <w:tcPr>
            <w:tcW w:w="7767" w:type="dxa"/>
            <w:tcBorders>
              <w:top w:val="nil"/>
              <w:left w:val="nil"/>
              <w:bottom w:val="nil"/>
              <w:right w:val="nil"/>
            </w:tcBorders>
            <w:shd w:val="clear" w:color="auto" w:fill="auto"/>
            <w:tcMar>
              <w:left w:w="0" w:type="dxa"/>
            </w:tcMar>
          </w:tcPr>
          <w:p w14:paraId="5C812598" w14:textId="77777777" w:rsidR="00D80129" w:rsidRDefault="00D80129" w:rsidP="00D80129">
            <w:pPr>
              <w:spacing w:after="0" w:line="240" w:lineRule="auto"/>
              <w:rPr>
                <w:rFonts w:cs="Arial"/>
                <w:sz w:val="14"/>
                <w:szCs w:val="14"/>
                <w:lang w:val="en-GB"/>
              </w:rPr>
            </w:pPr>
            <w:r w:rsidRPr="00DD6E6B">
              <w:rPr>
                <w:rFonts w:cs="Arial"/>
                <w:color w:val="0D0D0D" w:themeColor="text1" w:themeTint="F2"/>
                <w:spacing w:val="-6"/>
                <w:lang w:val="en-GB"/>
              </w:rPr>
              <w:t>*</w:t>
            </w:r>
            <w:r w:rsidRPr="00DD6E6B">
              <w:rPr>
                <w:rFonts w:cs="Arial"/>
                <w:sz w:val="14"/>
                <w:szCs w:val="14"/>
                <w:lang w:val="en-GB"/>
              </w:rPr>
              <w:t xml:space="preserve"> Sales are adjusted for calendar effects.</w:t>
            </w:r>
          </w:p>
          <w:p w14:paraId="618C19EC" w14:textId="77777777" w:rsidR="00D80129" w:rsidRPr="00DD6E6B" w:rsidRDefault="00D80129" w:rsidP="00D80129">
            <w:pPr>
              <w:spacing w:after="0" w:line="240" w:lineRule="auto"/>
              <w:rPr>
                <w:rFonts w:cs="Arial"/>
                <w:sz w:val="14"/>
                <w:szCs w:val="14"/>
                <w:lang w:val="en-GB"/>
              </w:rPr>
            </w:pPr>
            <w:r w:rsidRPr="00DD6E6B">
              <w:rPr>
                <w:rFonts w:cs="Arial"/>
                <w:sz w:val="14"/>
                <w:szCs w:val="14"/>
                <w:lang w:val="en-GB"/>
              </w:rPr>
              <w:t xml:space="preserve">** Sales are adjusted for both seasonal and calendar effects. </w:t>
            </w:r>
          </w:p>
          <w:p w14:paraId="56CB6D8A" w14:textId="77777777" w:rsidR="00D80129" w:rsidRDefault="00D80129" w:rsidP="00D80129">
            <w:pPr>
              <w:spacing w:after="0"/>
              <w:rPr>
                <w:rFonts w:cs="Arial"/>
                <w:color w:val="0D0D0D" w:themeColor="text1" w:themeTint="F2"/>
                <w:spacing w:val="-4"/>
                <w:sz w:val="14"/>
                <w:szCs w:val="14"/>
                <w:lang w:val="en-GB"/>
              </w:rPr>
            </w:pPr>
            <w:r w:rsidRPr="00DD6E6B">
              <w:rPr>
                <w:rFonts w:cs="Arial"/>
                <w:color w:val="0D0D0D" w:themeColor="text1" w:themeTint="F2"/>
                <w:spacing w:val="-4"/>
                <w:sz w:val="14"/>
                <w:szCs w:val="14"/>
                <w:lang w:val="en-GB"/>
              </w:rPr>
              <w:t>*** Consumer confidence indicator balance is seasonally adjusted and expresses the position in the second month of the given quarter</w:t>
            </w:r>
            <w:r>
              <w:rPr>
                <w:rFonts w:cs="Arial"/>
                <w:color w:val="0D0D0D" w:themeColor="text1" w:themeTint="F2"/>
                <w:spacing w:val="-4"/>
                <w:sz w:val="14"/>
                <w:szCs w:val="14"/>
                <w:lang w:val="en-GB"/>
              </w:rPr>
              <w:t>.</w:t>
            </w:r>
          </w:p>
          <w:p w14:paraId="12A43A9C" w14:textId="55363C2B" w:rsidR="00D80129" w:rsidRPr="00DD6E6B" w:rsidRDefault="00D80129" w:rsidP="00D80129">
            <w:pPr>
              <w:spacing w:after="200" w:line="240" w:lineRule="auto"/>
              <w:rPr>
                <w:rFonts w:cs="Arial"/>
                <w:b/>
                <w:bCs/>
                <w:sz w:val="16"/>
                <w:szCs w:val="16"/>
                <w:lang w:val="en-GB"/>
              </w:rPr>
            </w:pPr>
            <w:r w:rsidRPr="00DD6E6B">
              <w:rPr>
                <w:rFonts w:cs="Arial"/>
                <w:color w:val="0D0D0D" w:themeColor="text1" w:themeTint="F2"/>
                <w:spacing w:val="-4"/>
                <w:sz w:val="14"/>
                <w:szCs w:val="14"/>
                <w:lang w:val="en-GB"/>
              </w:rPr>
              <w:t>Source: CZSO</w:t>
            </w:r>
          </w:p>
        </w:tc>
      </w:tr>
    </w:tbl>
    <w:p w14:paraId="7284C61C" w14:textId="77777777" w:rsidR="00D27F07" w:rsidRPr="00DD6E6B" w:rsidRDefault="00D27F07" w:rsidP="00EF318D">
      <w:pPr>
        <w:spacing w:after="0" w:line="240" w:lineRule="auto"/>
        <w:jc w:val="left"/>
        <w:rPr>
          <w:rFonts w:eastAsia="MS Gothic"/>
          <w:b/>
          <w:bCs/>
          <w:color w:val="71818C"/>
          <w:sz w:val="2"/>
          <w:szCs w:val="2"/>
          <w:lang w:val="en-GB"/>
        </w:rPr>
      </w:pPr>
      <w:bookmarkStart w:id="5" w:name="_GoBack"/>
      <w:bookmarkEnd w:id="2"/>
      <w:bookmarkEnd w:id="3"/>
      <w:bookmarkEnd w:id="4"/>
      <w:bookmarkEnd w:id="5"/>
    </w:p>
    <w:sectPr w:rsidR="00D27F07" w:rsidRPr="00DD6E6B" w:rsidSect="00EF318D">
      <w:headerReference w:type="even" r:id="rId17"/>
      <w:headerReference w:type="default" r:id="rId18"/>
      <w:footerReference w:type="even" r:id="rId19"/>
      <w:footerReference w:type="default" r:id="rId20"/>
      <w:pgSz w:w="11906" w:h="16838" w:code="9"/>
      <w:pgMar w:top="1134" w:right="1134" w:bottom="1418" w:left="1134" w:header="680" w:footer="737"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8723" w14:textId="77777777" w:rsidR="00B904F3" w:rsidRDefault="00B904F3" w:rsidP="00E71A58">
      <w:r>
        <w:separator/>
      </w:r>
    </w:p>
  </w:endnote>
  <w:endnote w:type="continuationSeparator" w:id="0">
    <w:p w14:paraId="034A9644" w14:textId="77777777" w:rsidR="00B904F3" w:rsidRDefault="00B904F3"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08E5C4E3" w:rsidR="008C5AA7" w:rsidRPr="00932443" w:rsidRDefault="008C5A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F318D">
      <w:rPr>
        <w:szCs w:val="16"/>
      </w:rPr>
      <w:t>22</w:t>
    </w:r>
    <w:r w:rsidRPr="00932443">
      <w:rPr>
        <w:szCs w:val="16"/>
      </w:rPr>
      <w:fldChar w:fldCharType="end"/>
    </w:r>
    <w:r w:rsidRPr="00932443">
      <w:rPr>
        <w:szCs w:val="16"/>
      </w:rPr>
      <w:tab/>
    </w:r>
    <w:r w:rsidRPr="002903D4">
      <w:rPr>
        <w:szCs w:val="16"/>
        <w:lang w:val="en-GB"/>
      </w:rPr>
      <w:t>First half of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3686E28E" w:rsidR="008C5AA7" w:rsidRPr="00932443" w:rsidRDefault="008C5AA7" w:rsidP="00FA6CB6">
    <w:pPr>
      <w:pStyle w:val="Zpat"/>
      <w:rPr>
        <w:szCs w:val="16"/>
      </w:rPr>
    </w:pPr>
    <w:r>
      <w:rPr>
        <w:lang w:eastAsia="cs-CZ"/>
      </w:rPr>
      <w:drawing>
        <wp:anchor distT="0" distB="0" distL="114300" distR="114300" simplePos="0" relativeHeight="251670016" behindDoc="0" locked="0" layoutInCell="1" allowOverlap="1" wp14:anchorId="27A71EB9" wp14:editId="341C5876">
          <wp:simplePos x="0" y="0"/>
          <wp:positionH relativeFrom="margin">
            <wp:posOffset>22860</wp:posOffset>
          </wp:positionH>
          <wp:positionV relativeFrom="paragraph">
            <wp:posOffset>-58420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First half of 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EF318D">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BDA7" w14:textId="77777777" w:rsidR="00B904F3" w:rsidRDefault="00B904F3" w:rsidP="00A21B4D">
      <w:pPr>
        <w:spacing w:after="0"/>
      </w:pPr>
      <w:r>
        <w:separator/>
      </w:r>
    </w:p>
  </w:footnote>
  <w:footnote w:type="continuationSeparator" w:id="0">
    <w:p w14:paraId="373CC617" w14:textId="77777777" w:rsidR="00B904F3" w:rsidRDefault="00B904F3" w:rsidP="00E71A58">
      <w:r>
        <w:continuationSeparator/>
      </w:r>
    </w:p>
  </w:footnote>
  <w:footnote w:id="1">
    <w:p w14:paraId="0A6874CF" w14:textId="29A0CE98" w:rsidR="008C5AA7" w:rsidRPr="006B2BC2" w:rsidRDefault="008C5AA7" w:rsidP="00D27F07">
      <w:pPr>
        <w:pStyle w:val="Textpoznpodarou"/>
        <w:rPr>
          <w:sz w:val="16"/>
          <w:szCs w:val="16"/>
          <w:lang w:val="en-GB"/>
        </w:rPr>
      </w:pPr>
      <w:r w:rsidRPr="00A61085">
        <w:rPr>
          <w:rStyle w:val="Znakapoznpodarou"/>
          <w:sz w:val="16"/>
          <w:szCs w:val="16"/>
        </w:rPr>
        <w:footnoteRef/>
      </w:r>
      <w:r w:rsidRPr="00A61085">
        <w:rPr>
          <w:sz w:val="16"/>
          <w:szCs w:val="16"/>
        </w:rPr>
        <w:t xml:space="preserve"> </w:t>
      </w:r>
      <w:r w:rsidRPr="006B2BC2">
        <w:rPr>
          <w:sz w:val="16"/>
          <w:szCs w:val="16"/>
          <w:lang w:val="en-GB"/>
        </w:rPr>
        <w:t xml:space="preserve">Performance of all branches of the economy corresponded to the peak of the boom from the past decade </w:t>
      </w:r>
      <w:r w:rsidRPr="006B2BC2">
        <w:rPr>
          <w:color w:val="0D0D0D" w:themeColor="text1" w:themeTint="F2"/>
          <w:sz w:val="16"/>
          <w:szCs w:val="16"/>
          <w:lang w:val="en-GB"/>
        </w:rPr>
        <w:t>(Q4 2019) this year.</w:t>
      </w:r>
    </w:p>
  </w:footnote>
  <w:footnote w:id="2">
    <w:p w14:paraId="36D6E78D" w14:textId="3D812D4A" w:rsidR="008C5AA7" w:rsidRPr="006B2BC2" w:rsidRDefault="008C5AA7" w:rsidP="00320D58">
      <w:pPr>
        <w:pStyle w:val="Textpoznpodarou"/>
        <w:jc w:val="both"/>
        <w:rPr>
          <w:rFonts w:cs="Arial"/>
          <w:color w:val="0D0D0D" w:themeColor="text1" w:themeTint="F2"/>
          <w:spacing w:val="-2"/>
          <w:sz w:val="16"/>
          <w:szCs w:val="16"/>
          <w:lang w:val="en-GB"/>
        </w:rPr>
      </w:pPr>
      <w:r w:rsidRPr="006B2BC2">
        <w:rPr>
          <w:rStyle w:val="Znakapoznpodarou"/>
          <w:rFonts w:cs="Arial"/>
          <w:color w:val="0D0D0D" w:themeColor="text1" w:themeTint="F2"/>
          <w:spacing w:val="-2"/>
          <w:sz w:val="16"/>
          <w:szCs w:val="16"/>
          <w:lang w:val="en-GB"/>
        </w:rPr>
        <w:footnoteRef/>
      </w:r>
      <w:r w:rsidRPr="006B2BC2">
        <w:rPr>
          <w:rFonts w:cs="Arial"/>
          <w:color w:val="0D0D0D" w:themeColor="text1" w:themeTint="F2"/>
          <w:spacing w:val="-2"/>
          <w:sz w:val="16"/>
          <w:szCs w:val="16"/>
          <w:lang w:val="en-GB"/>
        </w:rPr>
        <w:t xml:space="preserve"> Figures related to GVA are expressed in constant prices and adjusted</w:t>
      </w:r>
      <w:r>
        <w:rPr>
          <w:rFonts w:cs="Arial"/>
          <w:color w:val="0D0D0D" w:themeColor="text1" w:themeTint="F2"/>
          <w:spacing w:val="-2"/>
          <w:sz w:val="16"/>
          <w:szCs w:val="16"/>
          <w:lang w:val="en-GB"/>
        </w:rPr>
        <w:t xml:space="preserve"> </w:t>
      </w:r>
      <w:r w:rsidRPr="006B2BC2">
        <w:rPr>
          <w:rFonts w:cs="Arial"/>
          <w:color w:val="0D0D0D" w:themeColor="text1" w:themeTint="F2"/>
          <w:spacing w:val="-2"/>
          <w:sz w:val="16"/>
          <w:szCs w:val="16"/>
          <w:lang w:val="en-GB"/>
        </w:rPr>
        <w:t>for seasonal</w:t>
      </w:r>
      <w:r>
        <w:rPr>
          <w:rFonts w:cs="Arial"/>
          <w:color w:val="0D0D0D" w:themeColor="text1" w:themeTint="F2"/>
          <w:spacing w:val="-2"/>
          <w:sz w:val="16"/>
          <w:szCs w:val="16"/>
          <w:lang w:val="en-GB"/>
        </w:rPr>
        <w:t xml:space="preserve"> </w:t>
      </w:r>
      <w:r w:rsidRPr="006B2BC2">
        <w:rPr>
          <w:rFonts w:cs="Arial"/>
          <w:color w:val="0D0D0D" w:themeColor="text1" w:themeTint="F2"/>
          <w:spacing w:val="-2"/>
          <w:sz w:val="16"/>
          <w:szCs w:val="16"/>
          <w:lang w:val="en-GB"/>
        </w:rPr>
        <w:t xml:space="preserve">and calendar effects. </w:t>
      </w:r>
    </w:p>
  </w:footnote>
  <w:footnote w:id="3">
    <w:p w14:paraId="4D83E492" w14:textId="24CF35FC" w:rsidR="008C5AA7" w:rsidRPr="00110A76" w:rsidRDefault="008C5AA7" w:rsidP="00D27F07">
      <w:pPr>
        <w:pStyle w:val="paragraph"/>
        <w:spacing w:before="0" w:beforeAutospacing="0" w:after="0" w:afterAutospacing="0"/>
        <w:jc w:val="both"/>
        <w:textAlignment w:val="baseline"/>
        <w:rPr>
          <w:rFonts w:ascii="Arial" w:hAnsi="Arial" w:cs="Arial"/>
          <w:sz w:val="16"/>
          <w:szCs w:val="16"/>
          <w:lang w:val="en-GB"/>
        </w:rPr>
      </w:pPr>
      <w:r w:rsidRPr="006B2BC2">
        <w:rPr>
          <w:rStyle w:val="Znakapoznpodarou"/>
          <w:rFonts w:ascii="Arial" w:hAnsi="Arial" w:cs="Arial"/>
          <w:sz w:val="16"/>
          <w:szCs w:val="16"/>
          <w:lang w:val="en-GB"/>
        </w:rPr>
        <w:footnoteRef/>
      </w:r>
      <w:r w:rsidRPr="006B2BC2">
        <w:rPr>
          <w:rFonts w:ascii="Arial" w:hAnsi="Arial" w:cs="Arial"/>
          <w:sz w:val="16"/>
          <w:szCs w:val="16"/>
          <w:lang w:val="en-GB"/>
        </w:rPr>
        <w:t xml:space="preserve"> </w:t>
      </w:r>
      <w:r>
        <w:rPr>
          <w:rFonts w:ascii="Arial" w:hAnsi="Arial" w:cs="Arial"/>
          <w:sz w:val="16"/>
          <w:szCs w:val="16"/>
          <w:lang w:val="en-GB"/>
        </w:rPr>
        <w:t xml:space="preserve">It was connected to the low prices of slaughter pigs in </w:t>
      </w:r>
      <w:r w:rsidRPr="006B2BC2">
        <w:rPr>
          <w:rStyle w:val="normaltextrun"/>
          <w:rFonts w:ascii="Arial" w:eastAsia="MS Gothic" w:hAnsi="Arial" w:cs="Arial"/>
          <w:sz w:val="16"/>
          <w:szCs w:val="16"/>
          <w:lang w:val="en-GB"/>
        </w:rPr>
        <w:t>2021 a</w:t>
      </w:r>
      <w:r>
        <w:rPr>
          <w:rStyle w:val="normaltextrun"/>
          <w:rFonts w:ascii="Arial" w:eastAsia="MS Gothic" w:hAnsi="Arial" w:cs="Arial"/>
          <w:sz w:val="16"/>
          <w:szCs w:val="16"/>
          <w:lang w:val="en-GB"/>
        </w:rPr>
        <w:t>nd subsequent reduction of pig holdings</w:t>
      </w:r>
      <w:r w:rsidRPr="006B2BC2">
        <w:rPr>
          <w:rStyle w:val="normaltextrun"/>
          <w:rFonts w:ascii="Arial" w:eastAsia="MS Gothic" w:hAnsi="Arial" w:cs="Arial"/>
          <w:sz w:val="16"/>
          <w:szCs w:val="16"/>
          <w:lang w:val="en-GB"/>
        </w:rPr>
        <w:t xml:space="preserve">. </w:t>
      </w:r>
      <w:r>
        <w:rPr>
          <w:rStyle w:val="normaltextrun"/>
          <w:rFonts w:ascii="Arial" w:eastAsia="MS Gothic" w:hAnsi="Arial" w:cs="Arial"/>
          <w:sz w:val="16"/>
          <w:szCs w:val="16"/>
          <w:lang w:val="en-GB"/>
        </w:rPr>
        <w:t xml:space="preserve">Even despite strong year-on-year growth of import of animals for </w:t>
      </w:r>
      <w:r w:rsidRPr="00110A76">
        <w:rPr>
          <w:rStyle w:val="normaltextrun"/>
          <w:rFonts w:ascii="Arial" w:eastAsia="MS Gothic" w:hAnsi="Arial" w:cs="Arial"/>
          <w:sz w:val="16"/>
          <w:szCs w:val="16"/>
          <w:lang w:val="en-GB"/>
        </w:rPr>
        <w:t>slaughter (not however of significant volume), the amount of produced pork meat in slaughter h</w:t>
      </w:r>
      <w:r>
        <w:rPr>
          <w:rStyle w:val="normaltextrun"/>
          <w:rFonts w:ascii="Arial" w:eastAsia="MS Gothic" w:hAnsi="Arial" w:cs="Arial"/>
          <w:sz w:val="16"/>
          <w:szCs w:val="16"/>
          <w:lang w:val="en-GB"/>
        </w:rPr>
        <w:t>ouses in the CR in Q2 2023</w:t>
      </w:r>
      <w:r w:rsidRPr="00110A76">
        <w:rPr>
          <w:rStyle w:val="normaltextrun"/>
          <w:rFonts w:ascii="Arial" w:eastAsia="MS Gothic" w:hAnsi="Arial" w:cs="Arial"/>
          <w:sz w:val="16"/>
          <w:szCs w:val="16"/>
          <w:lang w:val="en-GB"/>
        </w:rPr>
        <w:t xml:space="preserve"> fell below 50 thousand tonnes for the first time in history. Under the influence of raised prices paid to producers for slaughter pigs since last year’s </w:t>
      </w:r>
      <w:r>
        <w:rPr>
          <w:rStyle w:val="normaltextrun"/>
          <w:rFonts w:ascii="Arial" w:eastAsia="MS Gothic" w:hAnsi="Arial" w:cs="Arial"/>
          <w:sz w:val="16"/>
          <w:szCs w:val="16"/>
          <w:lang w:val="en-GB"/>
        </w:rPr>
        <w:t>s</w:t>
      </w:r>
      <w:r w:rsidRPr="00110A76">
        <w:rPr>
          <w:rStyle w:val="normaltextrun"/>
          <w:rFonts w:ascii="Arial" w:eastAsia="MS Gothic" w:hAnsi="Arial" w:cs="Arial"/>
          <w:sz w:val="16"/>
          <w:szCs w:val="16"/>
          <w:lang w:val="en-GB"/>
        </w:rPr>
        <w:t xml:space="preserve">pring, </w:t>
      </w:r>
      <w:r>
        <w:rPr>
          <w:rStyle w:val="normaltextrun"/>
          <w:rFonts w:ascii="Arial" w:eastAsia="MS Gothic" w:hAnsi="Arial" w:cs="Arial"/>
          <w:sz w:val="16"/>
          <w:szCs w:val="16"/>
          <w:lang w:val="en-GB"/>
        </w:rPr>
        <w:t xml:space="preserve">numbers of sows gradually steadied and the export of piglets cut down as well, </w:t>
      </w:r>
      <w:r w:rsidRPr="00110A76">
        <w:rPr>
          <w:rStyle w:val="normaltextrun"/>
          <w:rFonts w:ascii="Arial" w:eastAsia="MS Gothic" w:hAnsi="Arial" w:cs="Arial"/>
          <w:sz w:val="16"/>
          <w:szCs w:val="16"/>
          <w:lang w:val="en-GB"/>
        </w:rPr>
        <w:t xml:space="preserve">which indicates a stabilisation of the level of domestic production of pork in the near future. </w:t>
      </w:r>
    </w:p>
  </w:footnote>
  <w:footnote w:id="4">
    <w:p w14:paraId="57E490AD" w14:textId="15F391A9" w:rsidR="008C5AA7" w:rsidRPr="00110A76" w:rsidRDefault="008C5AA7" w:rsidP="00D27F07">
      <w:pPr>
        <w:pStyle w:val="Textpoznpodarou"/>
        <w:rPr>
          <w:spacing w:val="-2"/>
          <w:sz w:val="16"/>
          <w:szCs w:val="16"/>
          <w:lang w:val="en-GB"/>
        </w:rPr>
      </w:pPr>
      <w:r w:rsidRPr="00110A76">
        <w:rPr>
          <w:rStyle w:val="Znakapoznpodarou"/>
          <w:spacing w:val="-2"/>
          <w:sz w:val="16"/>
          <w:szCs w:val="16"/>
          <w:lang w:val="en-GB"/>
        </w:rPr>
        <w:footnoteRef/>
      </w:r>
      <w:r w:rsidRPr="00110A76">
        <w:rPr>
          <w:spacing w:val="-2"/>
          <w:sz w:val="16"/>
          <w:szCs w:val="16"/>
          <w:lang w:val="en-GB"/>
        </w:rPr>
        <w:t xml:space="preserve"> </w:t>
      </w:r>
      <w:r>
        <w:rPr>
          <w:spacing w:val="-2"/>
          <w:sz w:val="16"/>
          <w:szCs w:val="16"/>
          <w:lang w:val="en-GB"/>
        </w:rPr>
        <w:t>Against the 1</w:t>
      </w:r>
      <w:r w:rsidRPr="00AD5FF2">
        <w:rPr>
          <w:spacing w:val="-2"/>
          <w:sz w:val="16"/>
          <w:szCs w:val="16"/>
          <w:vertAlign w:val="superscript"/>
          <w:lang w:val="en-GB"/>
        </w:rPr>
        <w:t>st</w:t>
      </w:r>
      <w:r>
        <w:rPr>
          <w:spacing w:val="-2"/>
          <w:sz w:val="16"/>
          <w:szCs w:val="16"/>
          <w:lang w:val="en-GB"/>
        </w:rPr>
        <w:t xml:space="preserve"> CZSO estimation </w:t>
      </w:r>
      <w:r w:rsidRPr="00110A76">
        <w:rPr>
          <w:rStyle w:val="normaltextrun"/>
          <w:rFonts w:cs="Arial"/>
          <w:color w:val="000000"/>
          <w:spacing w:val="-2"/>
          <w:sz w:val="16"/>
          <w:szCs w:val="16"/>
          <w:lang w:val="en-GB"/>
        </w:rPr>
        <w:t>(</w:t>
      </w:r>
      <w:r>
        <w:rPr>
          <w:rStyle w:val="normaltextrun"/>
          <w:rFonts w:cs="Arial"/>
          <w:color w:val="000000"/>
          <w:spacing w:val="-2"/>
          <w:sz w:val="16"/>
          <w:szCs w:val="16"/>
          <w:lang w:val="en-GB"/>
        </w:rPr>
        <w:t xml:space="preserve">as of </w:t>
      </w:r>
      <w:r w:rsidRPr="00110A76">
        <w:rPr>
          <w:rStyle w:val="normaltextrun"/>
          <w:rFonts w:cs="Arial"/>
          <w:color w:val="000000"/>
          <w:spacing w:val="-2"/>
          <w:sz w:val="16"/>
          <w:szCs w:val="16"/>
          <w:lang w:val="en-GB"/>
        </w:rPr>
        <w:t>10.6)</w:t>
      </w:r>
      <w:r>
        <w:rPr>
          <w:rStyle w:val="normaltextrun"/>
          <w:rFonts w:cs="Arial"/>
          <w:color w:val="000000"/>
          <w:spacing w:val="-2"/>
          <w:sz w:val="16"/>
          <w:szCs w:val="16"/>
          <w:lang w:val="en-GB"/>
        </w:rPr>
        <w:t xml:space="preserve">, a mild increase of expected harvest arose for the overwhelming majority of basic cereals </w:t>
      </w:r>
      <w:r w:rsidRPr="00110A76">
        <w:rPr>
          <w:rStyle w:val="normaltextrun"/>
          <w:rFonts w:cs="Arial"/>
          <w:color w:val="000000"/>
          <w:spacing w:val="-2"/>
          <w:sz w:val="16"/>
          <w:szCs w:val="16"/>
          <w:lang w:val="en-GB"/>
        </w:rPr>
        <w:t>(</w:t>
      </w:r>
      <w:r>
        <w:rPr>
          <w:rStyle w:val="normaltextrun"/>
          <w:rFonts w:cs="Arial"/>
          <w:color w:val="000000"/>
          <w:spacing w:val="-2"/>
          <w:sz w:val="16"/>
          <w:szCs w:val="16"/>
          <w:lang w:val="en-GB"/>
        </w:rPr>
        <w:t xml:space="preserve">in total by </w:t>
      </w:r>
      <w:r w:rsidRPr="00110A76">
        <w:rPr>
          <w:rStyle w:val="normaltextrun"/>
          <w:rFonts w:cs="Arial"/>
          <w:sz w:val="16"/>
          <w:szCs w:val="16"/>
          <w:lang w:val="en-GB"/>
        </w:rPr>
        <w:t>415 t</w:t>
      </w:r>
      <w:r>
        <w:rPr>
          <w:rStyle w:val="normaltextrun"/>
          <w:rFonts w:cs="Arial"/>
          <w:sz w:val="16"/>
          <w:szCs w:val="16"/>
          <w:lang w:val="en-GB"/>
        </w:rPr>
        <w:t xml:space="preserve">housand tonnes or by </w:t>
      </w:r>
      <w:r w:rsidRPr="00110A76">
        <w:rPr>
          <w:rStyle w:val="normaltextrun"/>
          <w:rFonts w:cs="Arial"/>
          <w:sz w:val="16"/>
          <w:szCs w:val="16"/>
          <w:lang w:val="en-GB"/>
        </w:rPr>
        <w:t>6</w:t>
      </w:r>
      <w:r>
        <w:rPr>
          <w:rStyle w:val="normaltextrun"/>
          <w:rFonts w:cs="Arial"/>
          <w:sz w:val="16"/>
          <w:szCs w:val="16"/>
          <w:lang w:val="en-GB"/>
        </w:rPr>
        <w:t>.</w:t>
      </w:r>
      <w:r w:rsidRPr="00110A76">
        <w:rPr>
          <w:rStyle w:val="normaltextrun"/>
          <w:rFonts w:cs="Arial"/>
          <w:sz w:val="16"/>
          <w:szCs w:val="16"/>
          <w:lang w:val="en-GB"/>
        </w:rPr>
        <w:t>0%).</w:t>
      </w:r>
    </w:p>
  </w:footnote>
  <w:footnote w:id="5">
    <w:p w14:paraId="768F1C4E" w14:textId="4DCFEE0F" w:rsidR="008C5AA7" w:rsidRPr="00110A76" w:rsidRDefault="008C5AA7" w:rsidP="001458AC">
      <w:pPr>
        <w:pStyle w:val="paragraph"/>
        <w:spacing w:before="0" w:beforeAutospacing="0" w:after="0" w:afterAutospacing="0"/>
        <w:jc w:val="both"/>
        <w:textAlignment w:val="baseline"/>
        <w:rPr>
          <w:rFonts w:ascii="Arial" w:hAnsi="Arial" w:cs="Arial"/>
          <w:sz w:val="16"/>
          <w:szCs w:val="16"/>
          <w:lang w:val="en-GB"/>
        </w:rPr>
      </w:pPr>
      <w:r w:rsidRPr="00110A76">
        <w:rPr>
          <w:rStyle w:val="Znakapoznpodarou"/>
          <w:rFonts w:ascii="Arial" w:hAnsi="Arial" w:cs="Arial"/>
          <w:sz w:val="16"/>
          <w:szCs w:val="16"/>
          <w:lang w:val="en-GB"/>
        </w:rPr>
        <w:footnoteRef/>
      </w:r>
      <w:r w:rsidRPr="00110A76">
        <w:rPr>
          <w:rFonts w:ascii="Arial" w:hAnsi="Arial" w:cs="Arial"/>
          <w:sz w:val="16"/>
          <w:szCs w:val="16"/>
          <w:lang w:val="en-GB"/>
        </w:rPr>
        <w:t xml:space="preserve"> </w:t>
      </w:r>
      <w:r>
        <w:rPr>
          <w:rFonts w:ascii="Arial" w:hAnsi="Arial" w:cs="Arial"/>
          <w:sz w:val="16"/>
          <w:szCs w:val="16"/>
          <w:lang w:val="en-GB"/>
        </w:rPr>
        <w:t xml:space="preserve">Expected harvest of other oil plants </w:t>
      </w:r>
      <w:r w:rsidRPr="00110A76">
        <w:rPr>
          <w:rStyle w:val="normaltextrun"/>
          <w:rFonts w:ascii="Arial" w:eastAsia="MS Gothic" w:hAnsi="Arial" w:cs="Arial"/>
          <w:sz w:val="16"/>
          <w:szCs w:val="16"/>
          <w:lang w:val="en-GB"/>
        </w:rPr>
        <w:t>(</w:t>
      </w:r>
      <w:r>
        <w:rPr>
          <w:rStyle w:val="normaltextrun"/>
          <w:rFonts w:ascii="Arial" w:eastAsia="MS Gothic" w:hAnsi="Arial" w:cs="Arial"/>
          <w:sz w:val="16"/>
          <w:szCs w:val="16"/>
          <w:lang w:val="en-GB"/>
        </w:rPr>
        <w:t>except for rape</w:t>
      </w:r>
      <w:r w:rsidRPr="00110A76">
        <w:rPr>
          <w:rStyle w:val="normaltextrun"/>
          <w:rFonts w:ascii="Arial" w:eastAsia="MS Gothic" w:hAnsi="Arial" w:cs="Arial"/>
          <w:sz w:val="16"/>
          <w:szCs w:val="16"/>
          <w:lang w:val="en-GB"/>
        </w:rPr>
        <w:t>)</w:t>
      </w:r>
      <w:r>
        <w:rPr>
          <w:rStyle w:val="normaltextrun"/>
          <w:rFonts w:ascii="Arial" w:eastAsia="MS Gothic" w:hAnsi="Arial" w:cs="Arial"/>
          <w:sz w:val="16"/>
          <w:szCs w:val="16"/>
          <w:lang w:val="en-GB"/>
        </w:rPr>
        <w:t xml:space="preserve"> is lower year-on-year</w:t>
      </w:r>
      <w:r w:rsidRPr="00110A76">
        <w:rPr>
          <w:rStyle w:val="normaltextrun"/>
          <w:rFonts w:ascii="Arial" w:eastAsia="MS Gothic" w:hAnsi="Arial" w:cs="Arial"/>
          <w:sz w:val="16"/>
          <w:szCs w:val="16"/>
          <w:lang w:val="en-GB"/>
        </w:rPr>
        <w:t>. S</w:t>
      </w:r>
      <w:r>
        <w:rPr>
          <w:rStyle w:val="normaltextrun"/>
          <w:rFonts w:ascii="Arial" w:eastAsia="MS Gothic" w:hAnsi="Arial" w:cs="Arial"/>
          <w:sz w:val="16"/>
          <w:szCs w:val="16"/>
          <w:lang w:val="en-GB"/>
        </w:rPr>
        <w:t xml:space="preserve">unflower harvest will be </w:t>
      </w:r>
      <w:r w:rsidRPr="00110A76">
        <w:rPr>
          <w:rStyle w:val="normaltextrun"/>
          <w:rFonts w:ascii="Arial" w:eastAsia="MS Gothic" w:hAnsi="Arial" w:cs="Arial"/>
          <w:sz w:val="16"/>
          <w:szCs w:val="16"/>
          <w:lang w:val="en-GB"/>
        </w:rPr>
        <w:t>50 t</w:t>
      </w:r>
      <w:r>
        <w:rPr>
          <w:rStyle w:val="normaltextrun"/>
          <w:rFonts w:ascii="Arial" w:eastAsia="MS Gothic" w:hAnsi="Arial" w:cs="Arial"/>
          <w:sz w:val="16"/>
          <w:szCs w:val="16"/>
          <w:lang w:val="en-GB"/>
        </w:rPr>
        <w:t xml:space="preserve">housand tonnes </w:t>
      </w:r>
      <w:r w:rsidRPr="00110A76">
        <w:rPr>
          <w:rStyle w:val="normaltextrun"/>
          <w:rFonts w:ascii="Arial" w:eastAsia="MS Gothic" w:hAnsi="Arial" w:cs="Arial"/>
          <w:sz w:val="16"/>
          <w:szCs w:val="16"/>
          <w:lang w:val="en-GB"/>
        </w:rPr>
        <w:t>(−16</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2%) a</w:t>
      </w:r>
      <w:r>
        <w:rPr>
          <w:rStyle w:val="normaltextrun"/>
          <w:rFonts w:ascii="Arial" w:eastAsia="MS Gothic" w:hAnsi="Arial" w:cs="Arial"/>
          <w:sz w:val="16"/>
          <w:szCs w:val="16"/>
          <w:lang w:val="en-GB"/>
        </w:rPr>
        <w:t xml:space="preserve">nd soya </w:t>
      </w:r>
      <w:r w:rsidRPr="00110A76">
        <w:rPr>
          <w:rStyle w:val="normaltextrun"/>
          <w:rFonts w:ascii="Arial" w:eastAsia="MS Gothic" w:hAnsi="Arial" w:cs="Arial"/>
          <w:sz w:val="16"/>
          <w:szCs w:val="16"/>
          <w:lang w:val="en-GB"/>
        </w:rPr>
        <w:t>60 t</w:t>
      </w:r>
      <w:r>
        <w:rPr>
          <w:rStyle w:val="normaltextrun"/>
          <w:rFonts w:ascii="Arial" w:eastAsia="MS Gothic" w:hAnsi="Arial" w:cs="Arial"/>
          <w:sz w:val="16"/>
          <w:szCs w:val="16"/>
          <w:lang w:val="en-GB"/>
        </w:rPr>
        <w:t xml:space="preserve">housand tonnes </w:t>
      </w:r>
      <w:r w:rsidRPr="00110A76">
        <w:rPr>
          <w:rStyle w:val="normaltextrun"/>
          <w:rFonts w:ascii="Arial" w:eastAsia="MS Gothic" w:hAnsi="Arial" w:cs="Arial"/>
          <w:sz w:val="16"/>
          <w:szCs w:val="16"/>
          <w:lang w:val="en-GB"/>
        </w:rPr>
        <w:t>(−8</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 xml:space="preserve">0%). </w:t>
      </w:r>
      <w:r>
        <w:rPr>
          <w:rStyle w:val="normaltextrun"/>
          <w:rFonts w:ascii="Arial" w:eastAsia="MS Gothic" w:hAnsi="Arial" w:cs="Arial"/>
          <w:sz w:val="16"/>
          <w:szCs w:val="16"/>
          <w:lang w:val="en-GB"/>
        </w:rPr>
        <w:t xml:space="preserve">Expected harvest of root crop is mainly as a result of declined per hectare yields weaker year-on-year. Potatoes harvest is to be </w:t>
      </w:r>
      <w:r w:rsidRPr="00110A76">
        <w:rPr>
          <w:rStyle w:val="normaltextrun"/>
          <w:rFonts w:ascii="Arial" w:eastAsia="MS Gothic" w:hAnsi="Arial" w:cs="Arial"/>
          <w:sz w:val="16"/>
          <w:szCs w:val="16"/>
          <w:lang w:val="en-GB"/>
        </w:rPr>
        <w:t>522 t</w:t>
      </w:r>
      <w:r>
        <w:rPr>
          <w:rStyle w:val="normaltextrun"/>
          <w:rFonts w:ascii="Arial" w:eastAsia="MS Gothic" w:hAnsi="Arial" w:cs="Arial"/>
          <w:sz w:val="16"/>
          <w:szCs w:val="16"/>
          <w:lang w:val="en-GB"/>
        </w:rPr>
        <w:t xml:space="preserve">housand tonnes, by one fifth less in the year-on-year </w:t>
      </w:r>
      <w:r w:rsidRPr="00110A76">
        <w:rPr>
          <w:rStyle w:val="normaltextrun"/>
          <w:rFonts w:ascii="Arial" w:eastAsia="MS Gothic" w:hAnsi="Arial" w:cs="Arial"/>
          <w:sz w:val="16"/>
          <w:szCs w:val="16"/>
          <w:lang w:val="en-GB"/>
        </w:rPr>
        <w:t>(−20</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3%)</w:t>
      </w:r>
      <w:r>
        <w:rPr>
          <w:rStyle w:val="normaltextrun"/>
          <w:rFonts w:ascii="Arial" w:eastAsia="MS Gothic" w:hAnsi="Arial" w:cs="Arial"/>
          <w:sz w:val="16"/>
          <w:szCs w:val="16"/>
          <w:lang w:val="en-GB"/>
        </w:rPr>
        <w:t xml:space="preserve"> as well as the comparison with the average of harvest for the last five years </w:t>
      </w:r>
      <w:r w:rsidRPr="00110A76">
        <w:rPr>
          <w:rStyle w:val="normaltextrun"/>
          <w:rFonts w:ascii="Arial" w:eastAsia="MS Gothic" w:hAnsi="Arial" w:cs="Arial"/>
          <w:sz w:val="16"/>
          <w:szCs w:val="16"/>
          <w:lang w:val="en-GB"/>
        </w:rPr>
        <w:t>(−19</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 xml:space="preserve">2%). </w:t>
      </w:r>
      <w:r>
        <w:rPr>
          <w:rStyle w:val="normaltextrun"/>
          <w:rFonts w:ascii="Arial" w:eastAsia="MS Gothic" w:hAnsi="Arial" w:cs="Arial"/>
          <w:sz w:val="16"/>
          <w:szCs w:val="16"/>
          <w:lang w:val="en-GB"/>
        </w:rPr>
        <w:t xml:space="preserve">Harvest of sugar beet could be </w:t>
      </w:r>
      <w:r w:rsidRPr="00110A76">
        <w:rPr>
          <w:rStyle w:val="normaltextrun"/>
          <w:rFonts w:ascii="Arial" w:eastAsia="MS Gothic" w:hAnsi="Arial" w:cs="Arial"/>
          <w:sz w:val="16"/>
          <w:szCs w:val="16"/>
          <w:lang w:val="en-GB"/>
        </w:rPr>
        <w:t>3</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 xml:space="preserve">635 </w:t>
      </w:r>
      <w:r>
        <w:rPr>
          <w:rStyle w:val="normaltextrun"/>
          <w:rFonts w:ascii="Arial" w:eastAsia="MS Gothic" w:hAnsi="Arial" w:cs="Arial"/>
          <w:sz w:val="16"/>
          <w:szCs w:val="16"/>
          <w:lang w:val="en-GB"/>
        </w:rPr>
        <w:t xml:space="preserve">million tonnes </w:t>
      </w:r>
      <w:r w:rsidRPr="00110A76">
        <w:rPr>
          <w:rStyle w:val="normaltextrun"/>
          <w:rFonts w:ascii="Arial" w:eastAsia="MS Gothic" w:hAnsi="Arial" w:cs="Arial"/>
          <w:sz w:val="16"/>
          <w:szCs w:val="16"/>
          <w:lang w:val="en-GB"/>
        </w:rPr>
        <w:t>(−10</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4%</w:t>
      </w:r>
      <w:r>
        <w:rPr>
          <w:rStyle w:val="normaltextrun"/>
          <w:rFonts w:ascii="Arial" w:eastAsia="MS Gothic" w:hAnsi="Arial" w:cs="Arial"/>
          <w:sz w:val="16"/>
          <w:szCs w:val="16"/>
          <w:lang w:val="en-GB"/>
        </w:rPr>
        <w:t xml:space="preserve"> year-on-year</w:t>
      </w:r>
      <w:r w:rsidRPr="00110A76">
        <w:rPr>
          <w:rStyle w:val="normaltextrun"/>
          <w:rFonts w:ascii="Arial" w:eastAsia="MS Gothic" w:hAnsi="Arial" w:cs="Arial"/>
          <w:sz w:val="16"/>
          <w:szCs w:val="16"/>
          <w:lang w:val="en-GB"/>
        </w:rPr>
        <w:t xml:space="preserve">; </w:t>
      </w:r>
      <w:r>
        <w:rPr>
          <w:rStyle w:val="normaltextrun"/>
          <w:rFonts w:ascii="Arial" w:eastAsia="MS Gothic" w:hAnsi="Arial" w:cs="Arial"/>
          <w:sz w:val="16"/>
          <w:szCs w:val="16"/>
          <w:lang w:val="en-GB"/>
        </w:rPr>
        <w:t xml:space="preserve">compared to five-year average </w:t>
      </w:r>
      <w:r w:rsidRPr="00110A76">
        <w:rPr>
          <w:rStyle w:val="normaltextrun"/>
          <w:rFonts w:ascii="Arial" w:eastAsia="MS Gothic" w:hAnsi="Arial" w:cs="Arial"/>
          <w:sz w:val="16"/>
          <w:szCs w:val="16"/>
          <w:lang w:val="en-GB"/>
        </w:rPr>
        <w:t>−5</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6%).</w:t>
      </w:r>
      <w:r w:rsidRPr="00110A76">
        <w:rPr>
          <w:rStyle w:val="eop"/>
          <w:rFonts w:ascii="Arial" w:eastAsia="MS Gothic" w:hAnsi="Arial" w:cs="Arial"/>
          <w:sz w:val="16"/>
          <w:szCs w:val="16"/>
          <w:lang w:val="en-GB"/>
        </w:rPr>
        <w:t xml:space="preserve"> </w:t>
      </w:r>
      <w:r>
        <w:rPr>
          <w:rStyle w:val="eop"/>
          <w:rFonts w:ascii="Arial" w:eastAsia="MS Gothic" w:hAnsi="Arial" w:cs="Arial"/>
          <w:sz w:val="16"/>
          <w:szCs w:val="16"/>
          <w:lang w:val="en-GB"/>
        </w:rPr>
        <w:t xml:space="preserve">Harvest of </w:t>
      </w:r>
      <w:r w:rsidRPr="00B7374C">
        <w:rPr>
          <w:rStyle w:val="eop"/>
          <w:rFonts w:ascii="Arial" w:eastAsia="MS Gothic" w:hAnsi="Arial" w:cs="Arial"/>
          <w:sz w:val="16"/>
          <w:szCs w:val="16"/>
          <w:lang w:val="en-GB"/>
        </w:rPr>
        <w:t>fodder crops</w:t>
      </w:r>
      <w:r>
        <w:rPr>
          <w:rStyle w:val="eop"/>
          <w:rFonts w:ascii="Arial" w:eastAsia="MS Gothic" w:hAnsi="Arial" w:cs="Arial"/>
          <w:sz w:val="16"/>
          <w:szCs w:val="16"/>
          <w:lang w:val="en-GB"/>
        </w:rPr>
        <w:t xml:space="preserve"> is also estimated to be lower year-on-year, harvest of green maize </w:t>
      </w:r>
      <w:r w:rsidRPr="00110A76">
        <w:rPr>
          <w:rStyle w:val="normaltextrun"/>
          <w:rFonts w:ascii="Arial" w:eastAsia="MS Gothic" w:hAnsi="Arial" w:cs="Arial"/>
          <w:sz w:val="16"/>
          <w:szCs w:val="16"/>
          <w:lang w:val="en-GB"/>
        </w:rPr>
        <w:t>s</w:t>
      </w:r>
      <w:r>
        <w:rPr>
          <w:rStyle w:val="normaltextrun"/>
          <w:rFonts w:ascii="Arial" w:eastAsia="MS Gothic" w:hAnsi="Arial" w:cs="Arial"/>
          <w:sz w:val="16"/>
          <w:szCs w:val="16"/>
          <w:lang w:val="en-GB"/>
        </w:rPr>
        <w:t xml:space="preserve">hould be </w:t>
      </w:r>
      <w:r w:rsidRPr="00110A76">
        <w:rPr>
          <w:rStyle w:val="normaltextrun"/>
          <w:rFonts w:ascii="Arial" w:eastAsia="MS Gothic" w:hAnsi="Arial" w:cs="Arial"/>
          <w:sz w:val="16"/>
          <w:szCs w:val="16"/>
          <w:lang w:val="en-GB"/>
        </w:rPr>
        <w:t>6</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308 m</w:t>
      </w:r>
      <w:r>
        <w:rPr>
          <w:rStyle w:val="normaltextrun"/>
          <w:rFonts w:ascii="Arial" w:eastAsia="MS Gothic" w:hAnsi="Arial" w:cs="Arial"/>
          <w:sz w:val="16"/>
          <w:szCs w:val="16"/>
          <w:lang w:val="en-GB"/>
        </w:rPr>
        <w:t xml:space="preserve">illion tonnes </w:t>
      </w:r>
      <w:r w:rsidRPr="00110A76">
        <w:rPr>
          <w:rStyle w:val="normaltextrun"/>
          <w:rFonts w:ascii="Arial" w:eastAsia="MS Gothic" w:hAnsi="Arial" w:cs="Arial"/>
          <w:sz w:val="16"/>
          <w:szCs w:val="16"/>
          <w:lang w:val="en-GB"/>
        </w:rPr>
        <w:t>(−17</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2%) a</w:t>
      </w:r>
      <w:r>
        <w:rPr>
          <w:rStyle w:val="normaltextrun"/>
          <w:rFonts w:ascii="Arial" w:eastAsia="MS Gothic" w:hAnsi="Arial" w:cs="Arial"/>
          <w:sz w:val="16"/>
          <w:szCs w:val="16"/>
          <w:lang w:val="en-GB"/>
        </w:rPr>
        <w:t>nd l</w:t>
      </w:r>
      <w:r w:rsidRPr="0006210C">
        <w:rPr>
          <w:rStyle w:val="normaltextrun"/>
          <w:rFonts w:ascii="Arial" w:eastAsia="MS Gothic" w:hAnsi="Arial" w:cs="Arial"/>
          <w:sz w:val="16"/>
          <w:szCs w:val="16"/>
          <w:lang w:val="en-GB"/>
        </w:rPr>
        <w:t>ucerne</w:t>
      </w:r>
      <w:r>
        <w:rPr>
          <w:rStyle w:val="normaltextrun"/>
          <w:rFonts w:ascii="Arial" w:eastAsia="MS Gothic" w:hAnsi="Arial" w:cs="Arial"/>
          <w:sz w:val="16"/>
          <w:szCs w:val="16"/>
          <w:lang w:val="en-GB"/>
        </w:rPr>
        <w:t xml:space="preserve"> </w:t>
      </w:r>
      <w:r w:rsidRPr="00110A76">
        <w:rPr>
          <w:rStyle w:val="normaltextrun"/>
          <w:rFonts w:ascii="Arial" w:eastAsia="MS Gothic" w:hAnsi="Arial" w:cs="Arial"/>
          <w:sz w:val="16"/>
          <w:szCs w:val="16"/>
          <w:lang w:val="en-GB"/>
        </w:rPr>
        <w:t>395 t</w:t>
      </w:r>
      <w:r>
        <w:rPr>
          <w:rStyle w:val="normaltextrun"/>
          <w:rFonts w:ascii="Arial" w:eastAsia="MS Gothic" w:hAnsi="Arial" w:cs="Arial"/>
          <w:sz w:val="16"/>
          <w:szCs w:val="16"/>
          <w:lang w:val="en-GB"/>
        </w:rPr>
        <w:t xml:space="preserve">housand tonnes </w:t>
      </w:r>
      <w:r w:rsidRPr="00110A76">
        <w:rPr>
          <w:rStyle w:val="normaltextrun"/>
          <w:rFonts w:ascii="Arial" w:eastAsia="MS Gothic" w:hAnsi="Arial" w:cs="Arial"/>
          <w:sz w:val="16"/>
          <w:szCs w:val="16"/>
          <w:lang w:val="en-GB"/>
        </w:rPr>
        <w:t>(−24</w:t>
      </w:r>
      <w:r>
        <w:rPr>
          <w:rStyle w:val="normaltextrun"/>
          <w:rFonts w:ascii="Arial" w:eastAsia="MS Gothic" w:hAnsi="Arial" w:cs="Arial"/>
          <w:sz w:val="16"/>
          <w:szCs w:val="16"/>
          <w:lang w:val="en-GB"/>
        </w:rPr>
        <w:t>.</w:t>
      </w:r>
      <w:r w:rsidRPr="00110A76">
        <w:rPr>
          <w:rStyle w:val="normaltextrun"/>
          <w:rFonts w:ascii="Arial" w:eastAsia="MS Gothic" w:hAnsi="Arial" w:cs="Arial"/>
          <w:sz w:val="16"/>
          <w:szCs w:val="16"/>
          <w:lang w:val="en-GB"/>
        </w:rPr>
        <w:t>7%).</w:t>
      </w:r>
      <w:r w:rsidRPr="00110A76">
        <w:rPr>
          <w:rStyle w:val="eop"/>
          <w:rFonts w:ascii="Arial" w:hAnsi="Arial" w:cs="Arial"/>
          <w:sz w:val="16"/>
          <w:szCs w:val="16"/>
          <w:lang w:val="en-GB"/>
        </w:rPr>
        <w:t> </w:t>
      </w:r>
    </w:p>
  </w:footnote>
  <w:footnote w:id="6">
    <w:p w14:paraId="6B3DC5E8" w14:textId="57F62B2D" w:rsidR="008C5AA7" w:rsidRPr="00A44E3F" w:rsidRDefault="008C5AA7" w:rsidP="001458AC">
      <w:pPr>
        <w:pStyle w:val="Textpoznpodarou"/>
        <w:jc w:val="both"/>
        <w:rPr>
          <w:spacing w:val="-3"/>
          <w:sz w:val="16"/>
          <w:szCs w:val="16"/>
          <w:lang w:val="en-GB"/>
        </w:rPr>
      </w:pPr>
      <w:r w:rsidRPr="00110A76">
        <w:rPr>
          <w:rStyle w:val="Znakapoznpodarou"/>
          <w:spacing w:val="-3"/>
          <w:sz w:val="16"/>
          <w:szCs w:val="16"/>
          <w:lang w:val="en-GB"/>
        </w:rPr>
        <w:footnoteRef/>
      </w:r>
      <w:r w:rsidRPr="00110A76">
        <w:rPr>
          <w:spacing w:val="-3"/>
          <w:sz w:val="16"/>
          <w:szCs w:val="16"/>
          <w:lang w:val="en-GB"/>
        </w:rPr>
        <w:t xml:space="preserve"> </w:t>
      </w:r>
      <w:r>
        <w:rPr>
          <w:spacing w:val="-3"/>
          <w:sz w:val="16"/>
          <w:szCs w:val="16"/>
          <w:lang w:val="en-GB"/>
        </w:rPr>
        <w:t>The volume of fixed investment expanded by 0.8% year-on-year in Q</w:t>
      </w:r>
      <w:r w:rsidRPr="00110A76">
        <w:rPr>
          <w:spacing w:val="-3"/>
          <w:sz w:val="16"/>
          <w:szCs w:val="16"/>
          <w:lang w:val="en-GB"/>
        </w:rPr>
        <w:t>1</w:t>
      </w:r>
      <w:r>
        <w:rPr>
          <w:spacing w:val="-3"/>
          <w:sz w:val="16"/>
          <w:szCs w:val="16"/>
          <w:lang w:val="en-GB"/>
        </w:rPr>
        <w:t xml:space="preserve"> </w:t>
      </w:r>
      <w:r w:rsidRPr="00110A76">
        <w:rPr>
          <w:spacing w:val="-3"/>
          <w:sz w:val="16"/>
          <w:szCs w:val="16"/>
          <w:lang w:val="en-GB"/>
        </w:rPr>
        <w:t>2023</w:t>
      </w:r>
      <w:r>
        <w:rPr>
          <w:spacing w:val="-3"/>
          <w:sz w:val="16"/>
          <w:szCs w:val="16"/>
          <w:lang w:val="en-GB"/>
        </w:rPr>
        <w:t>,</w:t>
      </w:r>
      <w:r w:rsidRPr="00110A76">
        <w:rPr>
          <w:spacing w:val="-3"/>
          <w:sz w:val="16"/>
          <w:szCs w:val="16"/>
          <w:lang w:val="en-GB"/>
        </w:rPr>
        <w:t xml:space="preserve"> </w:t>
      </w:r>
      <w:r>
        <w:rPr>
          <w:spacing w:val="-3"/>
          <w:sz w:val="16"/>
          <w:szCs w:val="16"/>
          <w:lang w:val="en-GB"/>
        </w:rPr>
        <w:t xml:space="preserve">in that by 2.5% in Q2 itself (by </w:t>
      </w:r>
      <w:r w:rsidRPr="00A44E3F">
        <w:rPr>
          <w:spacing w:val="-3"/>
          <w:sz w:val="16"/>
          <w:szCs w:val="16"/>
          <w:lang w:val="en-GB"/>
        </w:rPr>
        <w:t>3</w:t>
      </w:r>
      <w:r>
        <w:rPr>
          <w:spacing w:val="-3"/>
          <w:sz w:val="16"/>
          <w:szCs w:val="16"/>
          <w:lang w:val="en-GB"/>
        </w:rPr>
        <w:t>.</w:t>
      </w:r>
      <w:r w:rsidRPr="00A44E3F">
        <w:rPr>
          <w:spacing w:val="-3"/>
          <w:sz w:val="16"/>
          <w:szCs w:val="16"/>
          <w:lang w:val="en-GB"/>
        </w:rPr>
        <w:t>4%</w:t>
      </w:r>
      <w:r>
        <w:rPr>
          <w:spacing w:val="-3"/>
          <w:sz w:val="16"/>
          <w:szCs w:val="16"/>
          <w:lang w:val="en-GB"/>
        </w:rPr>
        <w:t xml:space="preserve"> quarter-on-quarter)</w:t>
      </w:r>
      <w:r w:rsidRPr="00A44E3F">
        <w:rPr>
          <w:spacing w:val="-3"/>
          <w:sz w:val="16"/>
          <w:szCs w:val="16"/>
          <w:lang w:val="en-GB"/>
        </w:rPr>
        <w:t xml:space="preserve">. </w:t>
      </w:r>
    </w:p>
  </w:footnote>
  <w:footnote w:id="7">
    <w:p w14:paraId="3BDE52F0" w14:textId="06B8A07A" w:rsidR="008C5AA7" w:rsidRPr="00BA65BE" w:rsidRDefault="008C5AA7" w:rsidP="00BA65BE">
      <w:pPr>
        <w:pStyle w:val="Textpoznpodarou"/>
        <w:jc w:val="both"/>
        <w:rPr>
          <w:rFonts w:cs="Arial"/>
          <w:color w:val="0D0D0D" w:themeColor="text1" w:themeTint="F2"/>
          <w:spacing w:val="-4"/>
          <w:sz w:val="16"/>
          <w:szCs w:val="16"/>
          <w:lang w:val="en-GB"/>
        </w:rPr>
      </w:pPr>
      <w:r w:rsidRPr="00BA65BE">
        <w:rPr>
          <w:rStyle w:val="Znakapoznpodarou"/>
          <w:spacing w:val="-4"/>
          <w:sz w:val="16"/>
          <w:szCs w:val="16"/>
          <w:lang w:val="en-GB"/>
        </w:rPr>
        <w:footnoteRef/>
      </w:r>
      <w:r w:rsidRPr="00BA65BE">
        <w:rPr>
          <w:spacing w:val="-4"/>
          <w:sz w:val="16"/>
          <w:szCs w:val="16"/>
          <w:lang w:val="en-GB"/>
        </w:rPr>
        <w:t xml:space="preserve"> </w:t>
      </w:r>
      <w:r w:rsidRPr="00BA65BE">
        <w:rPr>
          <w:rFonts w:cs="Arial"/>
          <w:color w:val="0D0D0D" w:themeColor="text1" w:themeTint="F2"/>
          <w:spacing w:val="-2"/>
          <w:sz w:val="16"/>
          <w:szCs w:val="16"/>
          <w:lang w:val="en-GB"/>
        </w:rPr>
        <w:t xml:space="preserve">Includes branches of mining and quarrying, manufacturing and also energetics (here as activities of production and distribution of electricity, gas, heat and air conditioning supply). All year-on-year rates of growth of output are adjusted for calendar effects, quarter-on-quarter rates as well as the seasonal effects. </w:t>
      </w:r>
    </w:p>
  </w:footnote>
  <w:footnote w:id="8">
    <w:p w14:paraId="5B208C30" w14:textId="474E2638" w:rsidR="008C5AA7" w:rsidRPr="00BA65BE" w:rsidRDefault="008C5AA7" w:rsidP="005C68DA">
      <w:pPr>
        <w:pStyle w:val="Textpoznpodarou"/>
        <w:jc w:val="both"/>
        <w:rPr>
          <w:sz w:val="16"/>
          <w:szCs w:val="16"/>
          <w:lang w:val="en-GB"/>
        </w:rPr>
      </w:pPr>
      <w:r w:rsidRPr="00BA65BE">
        <w:rPr>
          <w:rStyle w:val="Znakapoznpodarou"/>
          <w:sz w:val="16"/>
          <w:szCs w:val="16"/>
          <w:lang w:val="en-GB"/>
        </w:rPr>
        <w:footnoteRef/>
      </w:r>
      <w:r w:rsidRPr="00BA65BE">
        <w:rPr>
          <w:sz w:val="16"/>
          <w:szCs w:val="16"/>
          <w:lang w:val="en-GB"/>
        </w:rPr>
        <w:t xml:space="preserve"> </w:t>
      </w:r>
      <w:r>
        <w:rPr>
          <w:sz w:val="16"/>
          <w:szCs w:val="16"/>
          <w:lang w:val="en-GB"/>
        </w:rPr>
        <w:t xml:space="preserve">According to the </w:t>
      </w:r>
      <w:r>
        <w:rPr>
          <w:spacing w:val="-6"/>
          <w:sz w:val="16"/>
          <w:szCs w:val="16"/>
          <w:lang w:val="en-GB"/>
        </w:rPr>
        <w:t>Automotive Industry Association, there were 738 thousand personal vehicles manufactured in the CR in H1 2023 (the most in this time period for the last four years and only by 3% less compared to the record H1 2018). Production strengthened by 22% year-on-year. Production in March (139 thousand cars) as well as in June (143 thousand) was the largest in history (within the same months). Already more than one eighth of all locally manufactured motor vehicles were electrical vehicles (including electric-hybrid vehicles) i</w:t>
      </w:r>
      <w:r>
        <w:rPr>
          <w:spacing w:val="-3"/>
          <w:sz w:val="16"/>
          <w:szCs w:val="16"/>
          <w:lang w:val="en-GB"/>
        </w:rPr>
        <w:t>n H1 this year</w:t>
      </w:r>
      <w:r w:rsidRPr="00BA65BE">
        <w:rPr>
          <w:spacing w:val="-3"/>
          <w:sz w:val="16"/>
          <w:szCs w:val="16"/>
          <w:lang w:val="en-GB"/>
        </w:rPr>
        <w:t xml:space="preserve">. </w:t>
      </w:r>
      <w:r>
        <w:rPr>
          <w:spacing w:val="-3"/>
          <w:sz w:val="16"/>
          <w:szCs w:val="16"/>
          <w:lang w:val="en-GB"/>
        </w:rPr>
        <w:t>On the contrary manufacturers of other types of motor vehicles (</w:t>
      </w:r>
      <w:r w:rsidRPr="00A34FCE">
        <w:rPr>
          <w:spacing w:val="-3"/>
          <w:sz w:val="16"/>
          <w:szCs w:val="16"/>
          <w:lang w:val="en-GB"/>
        </w:rPr>
        <w:t>buses and motorcycles</w:t>
      </w:r>
      <w:r>
        <w:rPr>
          <w:spacing w:val="-3"/>
          <w:sz w:val="16"/>
          <w:szCs w:val="16"/>
          <w:lang w:val="en-GB"/>
        </w:rPr>
        <w:t xml:space="preserve">) recorded lower production year-on-year. </w:t>
      </w:r>
    </w:p>
  </w:footnote>
  <w:footnote w:id="9">
    <w:p w14:paraId="6A3BEFD9" w14:textId="04C32389" w:rsidR="008C5AA7" w:rsidRPr="009A7A5B" w:rsidRDefault="008C5AA7" w:rsidP="009A7A5B">
      <w:pPr>
        <w:pStyle w:val="Textpoznpodarou"/>
        <w:jc w:val="both"/>
        <w:rPr>
          <w:spacing w:val="-2"/>
          <w:sz w:val="16"/>
          <w:szCs w:val="16"/>
          <w:lang w:val="en-GB"/>
        </w:rPr>
      </w:pPr>
      <w:r w:rsidRPr="00BF5830">
        <w:rPr>
          <w:rStyle w:val="Znakapoznpodarou"/>
          <w:spacing w:val="-4"/>
          <w:sz w:val="16"/>
          <w:szCs w:val="16"/>
        </w:rPr>
        <w:footnoteRef/>
      </w:r>
      <w:r w:rsidRPr="00BF5830">
        <w:rPr>
          <w:spacing w:val="-4"/>
          <w:sz w:val="16"/>
          <w:szCs w:val="16"/>
        </w:rPr>
        <w:t xml:space="preserve"> </w:t>
      </w:r>
      <w:r w:rsidRPr="009A7A5B">
        <w:rPr>
          <w:spacing w:val="-4"/>
          <w:sz w:val="16"/>
          <w:szCs w:val="16"/>
          <w:lang w:val="en-GB"/>
        </w:rPr>
        <w:t>The gross domestic electricity consumption shrank by 6.4% year-on-year in H1 2023 and deepened its fall from the previous year (−1.5%).</w:t>
      </w:r>
      <w:r>
        <w:rPr>
          <w:spacing w:val="-4"/>
          <w:sz w:val="16"/>
          <w:szCs w:val="16"/>
          <w:lang w:val="en-GB"/>
        </w:rPr>
        <w:t xml:space="preserve"> All main categories recorded a saving this year </w:t>
      </w:r>
      <w:r w:rsidRPr="009A7A5B">
        <w:rPr>
          <w:spacing w:val="-3"/>
          <w:sz w:val="16"/>
          <w:szCs w:val="16"/>
          <w:lang w:val="en-GB"/>
        </w:rPr>
        <w:t xml:space="preserve">– </w:t>
      </w:r>
      <w:r>
        <w:rPr>
          <w:spacing w:val="-3"/>
          <w:sz w:val="16"/>
          <w:szCs w:val="16"/>
          <w:lang w:val="en-GB"/>
        </w:rPr>
        <w:t xml:space="preserve">the most at retail customers </w:t>
      </w:r>
      <w:r w:rsidRPr="009A7A5B">
        <w:rPr>
          <w:spacing w:val="-3"/>
          <w:sz w:val="16"/>
          <w:szCs w:val="16"/>
          <w:lang w:val="en-GB"/>
        </w:rPr>
        <w:t>(</w:t>
      </w:r>
      <w:r w:rsidR="00045447">
        <w:rPr>
          <w:spacing w:val="-3"/>
          <w:sz w:val="16"/>
          <w:szCs w:val="16"/>
          <w:lang w:val="en-GB"/>
        </w:rPr>
        <w:t xml:space="preserve">e.g. small </w:t>
      </w:r>
      <w:r>
        <w:rPr>
          <w:spacing w:val="-3"/>
          <w:sz w:val="16"/>
          <w:szCs w:val="16"/>
          <w:lang w:val="en-GB"/>
        </w:rPr>
        <w:t>businesses</w:t>
      </w:r>
      <w:r w:rsidRPr="009A7A5B">
        <w:rPr>
          <w:spacing w:val="-3"/>
          <w:sz w:val="16"/>
          <w:szCs w:val="16"/>
          <w:lang w:val="en-GB"/>
        </w:rPr>
        <w:t xml:space="preserve">), </w:t>
      </w:r>
      <w:r>
        <w:rPr>
          <w:spacing w:val="-3"/>
          <w:sz w:val="16"/>
          <w:szCs w:val="16"/>
          <w:lang w:val="en-GB"/>
        </w:rPr>
        <w:t xml:space="preserve">specifically by </w:t>
      </w:r>
      <w:r w:rsidRPr="009A7A5B">
        <w:rPr>
          <w:spacing w:val="-3"/>
          <w:sz w:val="16"/>
          <w:szCs w:val="16"/>
          <w:lang w:val="en-GB"/>
        </w:rPr>
        <w:t>5</w:t>
      </w:r>
      <w:r>
        <w:rPr>
          <w:spacing w:val="-3"/>
          <w:sz w:val="16"/>
          <w:szCs w:val="16"/>
          <w:lang w:val="en-GB"/>
        </w:rPr>
        <w:t>.</w:t>
      </w:r>
      <w:r w:rsidRPr="009A7A5B">
        <w:rPr>
          <w:spacing w:val="-3"/>
          <w:sz w:val="16"/>
          <w:szCs w:val="16"/>
          <w:lang w:val="en-GB"/>
        </w:rPr>
        <w:t>6%,</w:t>
      </w:r>
      <w:r>
        <w:rPr>
          <w:spacing w:val="-3"/>
          <w:sz w:val="16"/>
          <w:szCs w:val="16"/>
          <w:lang w:val="en-GB"/>
        </w:rPr>
        <w:t xml:space="preserve"> the least at the most significant wholesale customers </w:t>
      </w:r>
      <w:r w:rsidRPr="009A7A5B">
        <w:rPr>
          <w:spacing w:val="-4"/>
          <w:sz w:val="16"/>
          <w:szCs w:val="16"/>
          <w:lang w:val="en-GB"/>
        </w:rPr>
        <w:t>(−2</w:t>
      </w:r>
      <w:r>
        <w:rPr>
          <w:spacing w:val="-4"/>
          <w:sz w:val="16"/>
          <w:szCs w:val="16"/>
          <w:lang w:val="en-GB"/>
        </w:rPr>
        <w:t>.</w:t>
      </w:r>
      <w:r w:rsidRPr="009A7A5B">
        <w:rPr>
          <w:spacing w:val="-4"/>
          <w:sz w:val="16"/>
          <w:szCs w:val="16"/>
          <w:lang w:val="en-GB"/>
        </w:rPr>
        <w:t xml:space="preserve">2%). </w:t>
      </w:r>
      <w:r>
        <w:rPr>
          <w:spacing w:val="-4"/>
          <w:sz w:val="16"/>
          <w:szCs w:val="16"/>
          <w:lang w:val="en-GB"/>
        </w:rPr>
        <w:t xml:space="preserve">Consumption dropped by 4.4% at households </w:t>
      </w:r>
      <w:r w:rsidRPr="009A7A5B">
        <w:rPr>
          <w:spacing w:val="-4"/>
          <w:sz w:val="16"/>
          <w:szCs w:val="16"/>
          <w:lang w:val="en-GB"/>
        </w:rPr>
        <w:t>(</w:t>
      </w:r>
      <w:r>
        <w:rPr>
          <w:spacing w:val="-4"/>
          <w:sz w:val="16"/>
          <w:szCs w:val="16"/>
          <w:lang w:val="en-GB"/>
        </w:rPr>
        <w:t>the decrease was however deeper in H</w:t>
      </w:r>
      <w:r w:rsidRPr="009A7A5B">
        <w:rPr>
          <w:spacing w:val="-4"/>
          <w:sz w:val="16"/>
          <w:szCs w:val="16"/>
          <w:lang w:val="en-GB"/>
        </w:rPr>
        <w:t>1</w:t>
      </w:r>
      <w:r>
        <w:rPr>
          <w:spacing w:val="-4"/>
          <w:sz w:val="16"/>
          <w:szCs w:val="16"/>
          <w:lang w:val="en-GB"/>
        </w:rPr>
        <w:t xml:space="preserve"> </w:t>
      </w:r>
      <w:r w:rsidRPr="009A7A5B">
        <w:rPr>
          <w:spacing w:val="-4"/>
          <w:sz w:val="16"/>
          <w:szCs w:val="16"/>
          <w:lang w:val="en-GB"/>
        </w:rPr>
        <w:t>2022 – 10</w:t>
      </w:r>
      <w:r>
        <w:rPr>
          <w:spacing w:val="-4"/>
          <w:sz w:val="16"/>
          <w:szCs w:val="16"/>
          <w:lang w:val="en-GB"/>
        </w:rPr>
        <w:t>.</w:t>
      </w:r>
      <w:r w:rsidRPr="009A7A5B">
        <w:rPr>
          <w:spacing w:val="-4"/>
          <w:sz w:val="16"/>
          <w:szCs w:val="16"/>
          <w:lang w:val="en-GB"/>
        </w:rPr>
        <w:t xml:space="preserve">3%). </w:t>
      </w:r>
      <w:r>
        <w:rPr>
          <w:spacing w:val="-4"/>
          <w:sz w:val="16"/>
          <w:szCs w:val="16"/>
          <w:lang w:val="en-GB"/>
        </w:rPr>
        <w:t>The total consumpti</w:t>
      </w:r>
      <w:r w:rsidR="0093734C">
        <w:rPr>
          <w:spacing w:val="-4"/>
          <w:sz w:val="16"/>
          <w:szCs w:val="16"/>
          <w:lang w:val="en-GB"/>
        </w:rPr>
        <w:t>on of gas also fell appreciably</w:t>
      </w:r>
      <w:r>
        <w:rPr>
          <w:spacing w:val="-4"/>
          <w:sz w:val="16"/>
          <w:szCs w:val="16"/>
          <w:lang w:val="en-GB"/>
        </w:rPr>
        <w:t xml:space="preserve"> </w:t>
      </w:r>
      <w:r w:rsidR="0093734C">
        <w:rPr>
          <w:spacing w:val="-4"/>
          <w:sz w:val="16"/>
          <w:szCs w:val="16"/>
          <w:lang w:val="en-GB"/>
        </w:rPr>
        <w:t>(</w:t>
      </w:r>
      <w:r>
        <w:rPr>
          <w:spacing w:val="-4"/>
          <w:sz w:val="16"/>
          <w:szCs w:val="16"/>
          <w:lang w:val="en-GB"/>
        </w:rPr>
        <w:t>even though less than last year</w:t>
      </w:r>
      <w:r w:rsidR="0093734C">
        <w:rPr>
          <w:spacing w:val="-4"/>
          <w:sz w:val="16"/>
          <w:szCs w:val="16"/>
          <w:lang w:val="en-GB"/>
        </w:rPr>
        <w:t>)</w:t>
      </w:r>
      <w:r>
        <w:rPr>
          <w:spacing w:val="-4"/>
          <w:sz w:val="16"/>
          <w:szCs w:val="16"/>
          <w:lang w:val="en-GB"/>
        </w:rPr>
        <w:t xml:space="preserve"> in the CR in H1</w:t>
      </w:r>
      <w:r w:rsidR="0093734C">
        <w:rPr>
          <w:spacing w:val="-4"/>
          <w:sz w:val="16"/>
          <w:szCs w:val="16"/>
          <w:lang w:val="en-GB"/>
        </w:rPr>
        <w:t xml:space="preserve"> 2023</w:t>
      </w:r>
      <w:r>
        <w:rPr>
          <w:spacing w:val="-4"/>
          <w:sz w:val="16"/>
          <w:szCs w:val="16"/>
          <w:lang w:val="en-GB"/>
        </w:rPr>
        <w:t xml:space="preserve"> </w:t>
      </w:r>
      <w:r w:rsidRPr="009A7A5B">
        <w:rPr>
          <w:spacing w:val="-4"/>
          <w:sz w:val="16"/>
          <w:szCs w:val="16"/>
          <w:lang w:val="en-GB"/>
        </w:rPr>
        <w:t xml:space="preserve">– </w:t>
      </w:r>
      <w:r>
        <w:rPr>
          <w:spacing w:val="-4"/>
          <w:sz w:val="16"/>
          <w:szCs w:val="16"/>
          <w:lang w:val="en-GB"/>
        </w:rPr>
        <w:t xml:space="preserve">by </w:t>
      </w:r>
      <w:r w:rsidRPr="009A7A5B">
        <w:rPr>
          <w:spacing w:val="-4"/>
          <w:sz w:val="16"/>
          <w:szCs w:val="16"/>
          <w:lang w:val="en-GB"/>
        </w:rPr>
        <w:t>12</w:t>
      </w:r>
      <w:r>
        <w:rPr>
          <w:spacing w:val="-4"/>
          <w:sz w:val="16"/>
          <w:szCs w:val="16"/>
          <w:lang w:val="en-GB"/>
        </w:rPr>
        <w:t>.</w:t>
      </w:r>
      <w:r w:rsidRPr="009A7A5B">
        <w:rPr>
          <w:spacing w:val="-4"/>
          <w:sz w:val="16"/>
          <w:szCs w:val="16"/>
          <w:lang w:val="en-GB"/>
        </w:rPr>
        <w:t>3%</w:t>
      </w:r>
      <w:r>
        <w:rPr>
          <w:spacing w:val="-4"/>
          <w:sz w:val="16"/>
          <w:szCs w:val="16"/>
          <w:lang w:val="en-GB"/>
        </w:rPr>
        <w:t xml:space="preserve"> year-on-year</w:t>
      </w:r>
      <w:r w:rsidRPr="009A7A5B">
        <w:rPr>
          <w:spacing w:val="-4"/>
          <w:sz w:val="16"/>
          <w:szCs w:val="16"/>
          <w:lang w:val="en-GB"/>
        </w:rPr>
        <w:t xml:space="preserve"> (</w:t>
      </w:r>
      <w:r w:rsidR="0093734C">
        <w:rPr>
          <w:spacing w:val="-4"/>
          <w:sz w:val="16"/>
          <w:szCs w:val="16"/>
          <w:lang w:val="en-GB"/>
        </w:rPr>
        <w:t>after adjustment</w:t>
      </w:r>
      <w:r>
        <w:rPr>
          <w:spacing w:val="-4"/>
          <w:sz w:val="16"/>
          <w:szCs w:val="16"/>
          <w:lang w:val="en-GB"/>
        </w:rPr>
        <w:t xml:space="preserve"> to long-term temperature norm by </w:t>
      </w:r>
      <w:r w:rsidRPr="009A7A5B">
        <w:rPr>
          <w:spacing w:val="-4"/>
          <w:sz w:val="16"/>
          <w:szCs w:val="16"/>
          <w:lang w:val="en-GB"/>
        </w:rPr>
        <w:t>11</w:t>
      </w:r>
      <w:r>
        <w:rPr>
          <w:spacing w:val="-4"/>
          <w:sz w:val="16"/>
          <w:szCs w:val="16"/>
          <w:lang w:val="en-GB"/>
        </w:rPr>
        <w:t>.</w:t>
      </w:r>
      <w:r w:rsidRPr="009A7A5B">
        <w:rPr>
          <w:spacing w:val="-4"/>
          <w:sz w:val="16"/>
          <w:szCs w:val="16"/>
          <w:lang w:val="en-GB"/>
        </w:rPr>
        <w:t xml:space="preserve">7%). </w:t>
      </w:r>
      <w:r>
        <w:rPr>
          <w:spacing w:val="-4"/>
          <w:sz w:val="16"/>
          <w:szCs w:val="16"/>
          <w:lang w:val="en-GB"/>
        </w:rPr>
        <w:t xml:space="preserve">The decrease of consumption was comparable for all main types of consumers. Households took by </w:t>
      </w:r>
      <w:r w:rsidRPr="009A7A5B">
        <w:rPr>
          <w:spacing w:val="-4"/>
          <w:sz w:val="16"/>
          <w:szCs w:val="16"/>
          <w:lang w:val="en-GB"/>
        </w:rPr>
        <w:t>12</w:t>
      </w:r>
      <w:r>
        <w:rPr>
          <w:spacing w:val="-4"/>
          <w:sz w:val="16"/>
          <w:szCs w:val="16"/>
          <w:lang w:val="en-GB"/>
        </w:rPr>
        <w:t>.</w:t>
      </w:r>
      <w:r w:rsidRPr="009A7A5B">
        <w:rPr>
          <w:spacing w:val="-4"/>
          <w:sz w:val="16"/>
          <w:szCs w:val="16"/>
          <w:lang w:val="en-GB"/>
        </w:rPr>
        <w:t>9%</w:t>
      </w:r>
      <w:r>
        <w:rPr>
          <w:spacing w:val="-4"/>
          <w:sz w:val="16"/>
          <w:szCs w:val="16"/>
          <w:lang w:val="en-GB"/>
        </w:rPr>
        <w:t xml:space="preserve"> gas less, their decrease was however </w:t>
      </w:r>
      <w:r w:rsidRPr="009A7A5B">
        <w:rPr>
          <w:spacing w:val="-4"/>
          <w:sz w:val="16"/>
          <w:szCs w:val="16"/>
          <w:lang w:val="en-GB"/>
        </w:rPr>
        <w:t>19</w:t>
      </w:r>
      <w:r>
        <w:rPr>
          <w:spacing w:val="-4"/>
          <w:sz w:val="16"/>
          <w:szCs w:val="16"/>
          <w:lang w:val="en-GB"/>
        </w:rPr>
        <w:t>.</w:t>
      </w:r>
      <w:r w:rsidRPr="009A7A5B">
        <w:rPr>
          <w:spacing w:val="-4"/>
          <w:sz w:val="16"/>
          <w:szCs w:val="16"/>
          <w:lang w:val="en-GB"/>
        </w:rPr>
        <w:t>2%</w:t>
      </w:r>
      <w:r>
        <w:rPr>
          <w:spacing w:val="-4"/>
          <w:sz w:val="16"/>
          <w:szCs w:val="16"/>
          <w:lang w:val="en-GB"/>
        </w:rPr>
        <w:t xml:space="preserve"> in</w:t>
      </w:r>
      <w:r w:rsidR="0093734C">
        <w:rPr>
          <w:spacing w:val="-4"/>
          <w:sz w:val="16"/>
          <w:szCs w:val="16"/>
          <w:lang w:val="en-GB"/>
        </w:rPr>
        <w:t xml:space="preserve"> H1 2022</w:t>
      </w:r>
      <w:r w:rsidRPr="009A7A5B">
        <w:rPr>
          <w:spacing w:val="-4"/>
          <w:sz w:val="16"/>
          <w:szCs w:val="16"/>
          <w:lang w:val="en-GB"/>
        </w:rPr>
        <w:t>.</w:t>
      </w:r>
    </w:p>
  </w:footnote>
  <w:footnote w:id="10">
    <w:p w14:paraId="186D47ED" w14:textId="77777777" w:rsidR="008C5AA7" w:rsidRPr="009A7A5B" w:rsidRDefault="008C5AA7" w:rsidP="00BC2340">
      <w:pPr>
        <w:pStyle w:val="Textpoznpodarou"/>
        <w:jc w:val="both"/>
        <w:rPr>
          <w:sz w:val="16"/>
          <w:szCs w:val="16"/>
          <w:lang w:val="en-GB"/>
        </w:rPr>
      </w:pPr>
      <w:r w:rsidRPr="009A7A5B">
        <w:rPr>
          <w:rStyle w:val="Znakapoznpodarou"/>
          <w:sz w:val="16"/>
          <w:szCs w:val="16"/>
          <w:lang w:val="en-GB"/>
        </w:rPr>
        <w:footnoteRef/>
      </w:r>
      <w:r w:rsidRPr="009A7A5B">
        <w:rPr>
          <w:sz w:val="16"/>
          <w:szCs w:val="16"/>
          <w:lang w:val="en-GB"/>
        </w:rPr>
        <w:t xml:space="preserve"> </w:t>
      </w:r>
      <w:r>
        <w:rPr>
          <w:sz w:val="16"/>
          <w:szCs w:val="16"/>
          <w:lang w:val="en-GB"/>
        </w:rPr>
        <w:t>Due to the effect of the temporary period of coal mining revival in the preceding two years, the output fell “only” by 11.2% compared to H</w:t>
      </w:r>
      <w:r w:rsidRPr="009A7A5B">
        <w:rPr>
          <w:spacing w:val="-5"/>
          <w:sz w:val="16"/>
          <w:szCs w:val="16"/>
          <w:lang w:val="en-GB"/>
        </w:rPr>
        <w:t>1</w:t>
      </w:r>
      <w:r>
        <w:rPr>
          <w:spacing w:val="-5"/>
          <w:sz w:val="16"/>
          <w:szCs w:val="16"/>
          <w:lang w:val="en-GB"/>
        </w:rPr>
        <w:t xml:space="preserve"> </w:t>
      </w:r>
      <w:r w:rsidRPr="009A7A5B">
        <w:rPr>
          <w:spacing w:val="-5"/>
          <w:sz w:val="16"/>
          <w:szCs w:val="16"/>
          <w:lang w:val="en-GB"/>
        </w:rPr>
        <w:t>2020</w:t>
      </w:r>
      <w:r>
        <w:rPr>
          <w:spacing w:val="-5"/>
          <w:sz w:val="16"/>
          <w:szCs w:val="16"/>
          <w:lang w:val="en-GB"/>
        </w:rPr>
        <w:t xml:space="preserve"> this year</w:t>
      </w:r>
      <w:r w:rsidRPr="009A7A5B">
        <w:rPr>
          <w:spacing w:val="-5"/>
          <w:sz w:val="16"/>
          <w:szCs w:val="16"/>
          <w:lang w:val="en-GB"/>
        </w:rPr>
        <w:t>.</w:t>
      </w:r>
    </w:p>
  </w:footnote>
  <w:footnote w:id="11">
    <w:p w14:paraId="24ACB297" w14:textId="15685059" w:rsidR="008C5AA7" w:rsidRPr="00F158B1" w:rsidRDefault="008C5AA7" w:rsidP="00F158B1">
      <w:pPr>
        <w:pStyle w:val="Textpoznpodarou"/>
        <w:jc w:val="both"/>
        <w:rPr>
          <w:spacing w:val="-2"/>
          <w:sz w:val="16"/>
          <w:szCs w:val="16"/>
          <w:lang w:val="en-GB"/>
        </w:rPr>
      </w:pPr>
      <w:r w:rsidRPr="00F33536">
        <w:rPr>
          <w:rStyle w:val="Znakapoznpodarou"/>
          <w:spacing w:val="-2"/>
          <w:sz w:val="16"/>
          <w:szCs w:val="16"/>
        </w:rPr>
        <w:footnoteRef/>
      </w:r>
      <w:r w:rsidRPr="00F33536">
        <w:rPr>
          <w:spacing w:val="-2"/>
          <w:sz w:val="16"/>
          <w:szCs w:val="16"/>
        </w:rPr>
        <w:t xml:space="preserve"> </w:t>
      </w:r>
      <w:r>
        <w:rPr>
          <w:spacing w:val="-2"/>
          <w:sz w:val="16"/>
          <w:szCs w:val="16"/>
          <w:lang w:val="en-GB"/>
        </w:rPr>
        <w:t xml:space="preserve">It concerns sales from industrial activity. Year-on-year rates of growth of sales are adjusted for calendar effects. </w:t>
      </w:r>
    </w:p>
  </w:footnote>
  <w:footnote w:id="12">
    <w:p w14:paraId="104C1D81" w14:textId="14D76FA6" w:rsidR="008C5AA7" w:rsidRPr="00F158B1" w:rsidRDefault="008C5AA7" w:rsidP="00F158B1">
      <w:pPr>
        <w:pStyle w:val="Textpoznpodarou"/>
        <w:jc w:val="both"/>
        <w:rPr>
          <w:sz w:val="16"/>
          <w:szCs w:val="16"/>
          <w:lang w:val="en-GB"/>
        </w:rPr>
      </w:pPr>
      <w:r w:rsidRPr="00F158B1">
        <w:rPr>
          <w:rStyle w:val="Znakapoznpodarou"/>
          <w:sz w:val="16"/>
          <w:szCs w:val="16"/>
          <w:lang w:val="en-GB"/>
        </w:rPr>
        <w:footnoteRef/>
      </w:r>
      <w:r w:rsidRPr="00F158B1">
        <w:rPr>
          <w:sz w:val="16"/>
          <w:szCs w:val="16"/>
          <w:lang w:val="en-GB"/>
        </w:rPr>
        <w:t xml:space="preserve"> </w:t>
      </w:r>
      <w:r w:rsidRPr="00F158B1">
        <w:rPr>
          <w:rFonts w:cs="Arial"/>
          <w:bCs/>
          <w:color w:val="0D0D0D" w:themeColor="text1" w:themeTint="F2"/>
          <w:spacing w:val="-5"/>
          <w:sz w:val="16"/>
          <w:szCs w:val="16"/>
          <w:lang w:val="en-GB"/>
        </w:rPr>
        <w:t>T</w:t>
      </w:r>
      <w:r>
        <w:rPr>
          <w:rFonts w:cs="Arial"/>
          <w:bCs/>
          <w:color w:val="0D0D0D" w:themeColor="text1" w:themeTint="F2"/>
          <w:spacing w:val="-5"/>
          <w:sz w:val="16"/>
          <w:szCs w:val="16"/>
          <w:lang w:val="en-GB"/>
        </w:rPr>
        <w:t xml:space="preserve">his discrepancy is connected to the sharp price hike in branches, whose production is traditionally directed to the domestic market </w:t>
      </w:r>
      <w:r w:rsidRPr="00F158B1">
        <w:rPr>
          <w:rFonts w:cs="Arial"/>
          <w:bCs/>
          <w:color w:val="0D0D0D" w:themeColor="text1" w:themeTint="F2"/>
          <w:spacing w:val="-5"/>
          <w:sz w:val="16"/>
          <w:szCs w:val="16"/>
          <w:lang w:val="en-GB"/>
        </w:rPr>
        <w:t>(energeti</w:t>
      </w:r>
      <w:r>
        <w:rPr>
          <w:rFonts w:cs="Arial"/>
          <w:bCs/>
          <w:color w:val="0D0D0D" w:themeColor="text1" w:themeTint="F2"/>
          <w:spacing w:val="-5"/>
          <w:sz w:val="16"/>
          <w:szCs w:val="16"/>
          <w:lang w:val="en-GB"/>
        </w:rPr>
        <w:t>cs, mining and quarrying or food industry</w:t>
      </w:r>
      <w:r w:rsidRPr="00F158B1">
        <w:rPr>
          <w:rFonts w:cs="Arial"/>
          <w:bCs/>
          <w:color w:val="0D0D0D" w:themeColor="text1" w:themeTint="F2"/>
          <w:spacing w:val="-5"/>
          <w:sz w:val="16"/>
          <w:szCs w:val="16"/>
          <w:lang w:val="en-GB"/>
        </w:rPr>
        <w:t>).</w:t>
      </w:r>
    </w:p>
  </w:footnote>
  <w:footnote w:id="13">
    <w:p w14:paraId="53149EC0" w14:textId="410365C3" w:rsidR="008C5AA7" w:rsidRPr="00F158B1" w:rsidRDefault="008C5AA7" w:rsidP="00FD7767">
      <w:pPr>
        <w:pStyle w:val="Textpoznpodarou"/>
        <w:jc w:val="both"/>
        <w:rPr>
          <w:rFonts w:cs="Arial"/>
          <w:color w:val="0D0D0D" w:themeColor="text1" w:themeTint="F2"/>
          <w:spacing w:val="-2"/>
          <w:sz w:val="16"/>
          <w:szCs w:val="16"/>
          <w:lang w:val="en-GB"/>
        </w:rPr>
      </w:pPr>
      <w:r w:rsidRPr="00F158B1">
        <w:rPr>
          <w:rStyle w:val="Znakapoznpodarou"/>
          <w:rFonts w:cs="Arial"/>
          <w:color w:val="0D0D0D" w:themeColor="text1" w:themeTint="F2"/>
          <w:spacing w:val="-2"/>
          <w:sz w:val="16"/>
          <w:szCs w:val="16"/>
          <w:lang w:val="en-GB"/>
        </w:rPr>
        <w:footnoteRef/>
      </w:r>
      <w:r w:rsidRPr="00F158B1">
        <w:rPr>
          <w:rFonts w:cs="Arial"/>
          <w:color w:val="0D0D0D" w:themeColor="text1" w:themeTint="F2"/>
          <w:spacing w:val="-2"/>
          <w:sz w:val="16"/>
          <w:szCs w:val="16"/>
          <w:lang w:val="en-GB"/>
        </w:rPr>
        <w:t xml:space="preserve"> </w:t>
      </w:r>
      <w:r>
        <w:rPr>
          <w:rFonts w:cs="Arial"/>
          <w:color w:val="0D0D0D" w:themeColor="text1" w:themeTint="F2"/>
          <w:spacing w:val="-2"/>
          <w:sz w:val="16"/>
          <w:szCs w:val="16"/>
          <w:lang w:val="en-GB"/>
        </w:rPr>
        <w:t xml:space="preserve">Survey or orders is ongoing only in twelve manufacturing branches producing </w:t>
      </w:r>
      <w:r>
        <w:rPr>
          <w:rFonts w:cs="Arial"/>
          <w:color w:val="0D0D0D" w:themeColor="text1" w:themeTint="F2"/>
          <w:sz w:val="16"/>
          <w:szCs w:val="16"/>
          <w:lang w:val="en-GB"/>
        </w:rPr>
        <w:t xml:space="preserve">mostly custom-made products, with longer </w:t>
      </w:r>
      <w:r w:rsidRPr="00B755F7">
        <w:rPr>
          <w:rFonts w:cs="Arial"/>
          <w:color w:val="0D0D0D" w:themeColor="text1" w:themeTint="F2"/>
          <w:sz w:val="16"/>
          <w:szCs w:val="16"/>
          <w:lang w:val="en-GB"/>
        </w:rPr>
        <w:t>production cycle and larger stocks of orders.</w:t>
      </w:r>
      <w:r>
        <w:rPr>
          <w:rFonts w:cs="Arial"/>
          <w:color w:val="0D0D0D" w:themeColor="text1" w:themeTint="F2"/>
          <w:sz w:val="16"/>
          <w:szCs w:val="16"/>
          <w:lang w:val="en-GB"/>
        </w:rPr>
        <w:t xml:space="preserve"> Year-on-year growth rates of orders are adjusted for calendar effects, quarter-on-quarter rates also for the seasonal effects. </w:t>
      </w:r>
    </w:p>
  </w:footnote>
  <w:footnote w:id="14">
    <w:p w14:paraId="591B1120" w14:textId="06923DBD" w:rsidR="008C5AA7" w:rsidRPr="008246D7" w:rsidRDefault="008C5AA7" w:rsidP="00F158B1">
      <w:pPr>
        <w:pStyle w:val="Textpoznpodarou"/>
        <w:jc w:val="both"/>
        <w:rPr>
          <w:sz w:val="16"/>
          <w:szCs w:val="16"/>
          <w:lang w:val="en-GB"/>
        </w:rPr>
      </w:pPr>
      <w:r w:rsidRPr="00F158B1">
        <w:rPr>
          <w:rStyle w:val="Znakapoznpodarou"/>
          <w:sz w:val="16"/>
          <w:szCs w:val="16"/>
          <w:lang w:val="en-GB"/>
        </w:rPr>
        <w:footnoteRef/>
      </w:r>
      <w:r w:rsidRPr="00F158B1">
        <w:rPr>
          <w:sz w:val="16"/>
          <w:szCs w:val="16"/>
          <w:lang w:val="en-GB"/>
        </w:rPr>
        <w:t xml:space="preserve"> </w:t>
      </w:r>
      <w:r>
        <w:rPr>
          <w:sz w:val="16"/>
          <w:szCs w:val="16"/>
          <w:lang w:val="en-GB"/>
        </w:rPr>
        <w:t>In the quarter-on-quarter comparison orders stagnated in Q</w:t>
      </w:r>
      <w:r w:rsidRPr="00F158B1">
        <w:rPr>
          <w:sz w:val="16"/>
          <w:szCs w:val="16"/>
          <w:lang w:val="en-GB"/>
        </w:rPr>
        <w:t>2</w:t>
      </w:r>
      <w:r>
        <w:rPr>
          <w:sz w:val="16"/>
          <w:szCs w:val="16"/>
          <w:lang w:val="en-GB"/>
        </w:rPr>
        <w:t xml:space="preserve">, decrease </w:t>
      </w:r>
      <w:r w:rsidRPr="008246D7">
        <w:rPr>
          <w:sz w:val="16"/>
          <w:szCs w:val="16"/>
          <w:lang w:val="en-GB"/>
        </w:rPr>
        <w:t>was however registered in the first this year’s quarter (by 3.8%).</w:t>
      </w:r>
    </w:p>
  </w:footnote>
  <w:footnote w:id="15">
    <w:p w14:paraId="6F351CB6" w14:textId="77777777" w:rsidR="008C5AA7" w:rsidRPr="004E3012" w:rsidRDefault="008C5AA7" w:rsidP="004E3012">
      <w:pPr>
        <w:pStyle w:val="Textpoznpodarou"/>
        <w:jc w:val="both"/>
        <w:rPr>
          <w:spacing w:val="-2"/>
          <w:sz w:val="16"/>
          <w:szCs w:val="16"/>
          <w:lang w:val="en-GB"/>
        </w:rPr>
      </w:pPr>
      <w:r w:rsidRPr="002F35D0">
        <w:rPr>
          <w:rStyle w:val="Znakapoznpodarou"/>
          <w:spacing w:val="-2"/>
          <w:sz w:val="16"/>
          <w:szCs w:val="16"/>
        </w:rPr>
        <w:footnoteRef/>
      </w:r>
      <w:r w:rsidRPr="002F35D0">
        <w:rPr>
          <w:spacing w:val="-2"/>
          <w:sz w:val="16"/>
          <w:szCs w:val="16"/>
        </w:rPr>
        <w:t xml:space="preserve"> </w:t>
      </w:r>
      <w:r w:rsidRPr="004E3012">
        <w:rPr>
          <w:spacing w:val="-2"/>
          <w:sz w:val="16"/>
          <w:szCs w:val="16"/>
          <w:lang w:val="en-GB"/>
        </w:rPr>
        <w:t>T</w:t>
      </w:r>
      <w:r>
        <w:rPr>
          <w:spacing w:val="-2"/>
          <w:sz w:val="16"/>
          <w:szCs w:val="16"/>
          <w:lang w:val="en-GB"/>
        </w:rPr>
        <w:t xml:space="preserve">hese prevailed since the end of the last October. That already started to permeate the </w:t>
      </w:r>
      <w:r>
        <w:rPr>
          <w:sz w:val="16"/>
          <w:szCs w:val="16"/>
          <w:lang w:val="en-GB"/>
        </w:rPr>
        <w:t>“hard” data</w:t>
      </w:r>
      <w:r w:rsidRPr="004E3012">
        <w:rPr>
          <w:sz w:val="16"/>
          <w:szCs w:val="16"/>
          <w:lang w:val="en-GB"/>
        </w:rPr>
        <w:t xml:space="preserve"> – </w:t>
      </w:r>
      <w:r>
        <w:rPr>
          <w:sz w:val="16"/>
          <w:szCs w:val="16"/>
          <w:lang w:val="en-GB"/>
        </w:rPr>
        <w:t xml:space="preserve">the number of registered employees in industry fell by </w:t>
      </w:r>
      <w:r w:rsidRPr="004E3012">
        <w:rPr>
          <w:sz w:val="16"/>
          <w:szCs w:val="16"/>
          <w:lang w:val="en-GB"/>
        </w:rPr>
        <w:t>0</w:t>
      </w:r>
      <w:r>
        <w:rPr>
          <w:sz w:val="16"/>
          <w:szCs w:val="16"/>
          <w:lang w:val="en-GB"/>
        </w:rPr>
        <w:t>.</w:t>
      </w:r>
      <w:r w:rsidRPr="004E3012">
        <w:rPr>
          <w:sz w:val="16"/>
          <w:szCs w:val="16"/>
          <w:lang w:val="en-GB"/>
        </w:rPr>
        <w:t>7%</w:t>
      </w:r>
      <w:r>
        <w:rPr>
          <w:sz w:val="16"/>
          <w:szCs w:val="16"/>
          <w:lang w:val="en-GB"/>
        </w:rPr>
        <w:t xml:space="preserve"> year-on-year in Q1 2023</w:t>
      </w:r>
      <w:r w:rsidRPr="004E3012">
        <w:rPr>
          <w:sz w:val="16"/>
          <w:szCs w:val="16"/>
          <w:lang w:val="en-GB"/>
        </w:rPr>
        <w:t>,</w:t>
      </w:r>
      <w:r>
        <w:rPr>
          <w:sz w:val="16"/>
          <w:szCs w:val="16"/>
          <w:lang w:val="en-GB"/>
        </w:rPr>
        <w:t xml:space="preserve"> already by </w:t>
      </w:r>
      <w:r w:rsidRPr="004E3012">
        <w:rPr>
          <w:sz w:val="16"/>
          <w:szCs w:val="16"/>
          <w:lang w:val="en-GB"/>
        </w:rPr>
        <w:t>1</w:t>
      </w:r>
      <w:r>
        <w:rPr>
          <w:sz w:val="16"/>
          <w:szCs w:val="16"/>
          <w:lang w:val="en-GB"/>
        </w:rPr>
        <w:t>.</w:t>
      </w:r>
      <w:r w:rsidRPr="004E3012">
        <w:rPr>
          <w:sz w:val="16"/>
          <w:szCs w:val="16"/>
          <w:lang w:val="en-GB"/>
        </w:rPr>
        <w:t>3%</w:t>
      </w:r>
      <w:r>
        <w:rPr>
          <w:sz w:val="16"/>
          <w:szCs w:val="16"/>
          <w:lang w:val="en-GB"/>
        </w:rPr>
        <w:t xml:space="preserve"> in the subsequent quarter</w:t>
      </w:r>
      <w:r w:rsidRPr="004E3012">
        <w:rPr>
          <w:sz w:val="16"/>
          <w:szCs w:val="16"/>
          <w:lang w:val="en-GB"/>
        </w:rPr>
        <w:t>.</w:t>
      </w:r>
    </w:p>
  </w:footnote>
  <w:footnote w:id="16">
    <w:p w14:paraId="639B770A" w14:textId="77777777" w:rsidR="008C5AA7" w:rsidRPr="00F16ACA" w:rsidRDefault="008C5AA7" w:rsidP="004E3012">
      <w:pPr>
        <w:pStyle w:val="Textpoznpodarou"/>
        <w:jc w:val="both"/>
        <w:rPr>
          <w:sz w:val="16"/>
          <w:szCs w:val="16"/>
          <w:lang w:val="en-GB"/>
        </w:rPr>
      </w:pPr>
      <w:r w:rsidRPr="004E3012">
        <w:rPr>
          <w:rStyle w:val="Znakapoznpodarou"/>
          <w:sz w:val="16"/>
          <w:szCs w:val="16"/>
          <w:lang w:val="en-GB"/>
        </w:rPr>
        <w:footnoteRef/>
      </w:r>
      <w:r w:rsidRPr="004E3012">
        <w:rPr>
          <w:sz w:val="16"/>
          <w:szCs w:val="16"/>
          <w:lang w:val="en-GB"/>
        </w:rPr>
        <w:t xml:space="preserve"> </w:t>
      </w:r>
      <w:r>
        <w:rPr>
          <w:sz w:val="16"/>
          <w:szCs w:val="16"/>
          <w:lang w:val="en-GB"/>
        </w:rPr>
        <w:t xml:space="preserve">Businesses could have stated more barriers simultaneously. Barriers are adjusted for the seasonality effect. Weak demand presented the major growth limit mainly for the majority of energy intensive industrial branches </w:t>
      </w:r>
      <w:r w:rsidRPr="004E3012">
        <w:rPr>
          <w:sz w:val="16"/>
          <w:szCs w:val="16"/>
          <w:lang w:val="en-GB"/>
        </w:rPr>
        <w:t>(</w:t>
      </w:r>
      <w:r>
        <w:rPr>
          <w:sz w:val="16"/>
          <w:szCs w:val="16"/>
          <w:lang w:val="en-GB"/>
        </w:rPr>
        <w:t xml:space="preserve">metallurgy, production of construction materials, </w:t>
      </w:r>
      <w:r w:rsidRPr="00F16ACA">
        <w:rPr>
          <w:sz w:val="16"/>
          <w:szCs w:val="16"/>
          <w:lang w:val="en-GB"/>
        </w:rPr>
        <w:t xml:space="preserve">manufacturing of rubber and plastic products, wood and paper industries), further for textiles or beverage industry. High proportion of businesses in the manufacturing of electrical appliances also stated this barrier. </w:t>
      </w:r>
    </w:p>
  </w:footnote>
  <w:footnote w:id="17">
    <w:p w14:paraId="5E329D76" w14:textId="77777777" w:rsidR="008C5AA7" w:rsidRPr="00F16ACA" w:rsidRDefault="008C5AA7" w:rsidP="004E3012">
      <w:pPr>
        <w:pStyle w:val="Textpoznpodarou"/>
        <w:jc w:val="both"/>
        <w:rPr>
          <w:sz w:val="16"/>
          <w:szCs w:val="16"/>
          <w:lang w:val="en-GB"/>
        </w:rPr>
      </w:pPr>
      <w:r w:rsidRPr="00F16ACA">
        <w:rPr>
          <w:rStyle w:val="Znakapoznpodarou"/>
          <w:sz w:val="16"/>
          <w:szCs w:val="16"/>
          <w:lang w:val="en-GB"/>
        </w:rPr>
        <w:footnoteRef/>
      </w:r>
      <w:r w:rsidRPr="00F16ACA">
        <w:rPr>
          <w:sz w:val="16"/>
          <w:szCs w:val="16"/>
          <w:lang w:val="en-GB"/>
        </w:rPr>
        <w:t xml:space="preserve"> </w:t>
      </w:r>
      <w:r>
        <w:rPr>
          <w:sz w:val="16"/>
          <w:szCs w:val="16"/>
          <w:lang w:val="en-GB"/>
        </w:rPr>
        <w:t xml:space="preserve">For shortage of labour force it concerned machinery, manufacture of both leather products and footwear or manufacturing of transport equipment </w:t>
      </w:r>
      <w:r w:rsidRPr="00F16ACA">
        <w:rPr>
          <w:sz w:val="16"/>
          <w:szCs w:val="16"/>
          <w:lang w:val="en-GB"/>
        </w:rPr>
        <w:t>(</w:t>
      </w:r>
      <w:r>
        <w:rPr>
          <w:sz w:val="16"/>
          <w:szCs w:val="16"/>
          <w:lang w:val="en-GB"/>
        </w:rPr>
        <w:t>except for motor vehicles</w:t>
      </w:r>
      <w:r w:rsidRPr="00F16ACA">
        <w:rPr>
          <w:sz w:val="16"/>
          <w:szCs w:val="16"/>
          <w:lang w:val="en-GB"/>
        </w:rPr>
        <w:t>).</w:t>
      </w:r>
    </w:p>
  </w:footnote>
  <w:footnote w:id="18">
    <w:p w14:paraId="61C80EAB" w14:textId="0143F551" w:rsidR="008C5AA7" w:rsidRPr="00F16ACA" w:rsidRDefault="008C5AA7" w:rsidP="004E3012">
      <w:pPr>
        <w:pStyle w:val="Textpoznpodarou"/>
        <w:jc w:val="both"/>
        <w:rPr>
          <w:sz w:val="16"/>
          <w:szCs w:val="16"/>
          <w:lang w:val="en-GB"/>
        </w:rPr>
      </w:pPr>
      <w:r w:rsidRPr="00F16ACA">
        <w:rPr>
          <w:rStyle w:val="Znakapoznpodarou"/>
          <w:sz w:val="16"/>
          <w:szCs w:val="16"/>
          <w:lang w:val="en-GB"/>
        </w:rPr>
        <w:footnoteRef/>
      </w:r>
      <w:r w:rsidRPr="00F16ACA">
        <w:rPr>
          <w:sz w:val="16"/>
          <w:szCs w:val="16"/>
          <w:lang w:val="en-GB"/>
        </w:rPr>
        <w:t xml:space="preserve"> Base</w:t>
      </w:r>
      <w:r>
        <w:rPr>
          <w:sz w:val="16"/>
          <w:szCs w:val="16"/>
          <w:lang w:val="en-GB"/>
        </w:rPr>
        <w:t>d</w:t>
      </w:r>
      <w:r w:rsidRPr="00F16ACA">
        <w:rPr>
          <w:sz w:val="16"/>
          <w:szCs w:val="16"/>
          <w:lang w:val="en-GB"/>
        </w:rPr>
        <w:t xml:space="preserve"> on the business cycle surveys from th</w:t>
      </w:r>
      <w:r>
        <w:rPr>
          <w:sz w:val="16"/>
          <w:szCs w:val="16"/>
          <w:lang w:val="en-GB"/>
        </w:rPr>
        <w:t>is</w:t>
      </w:r>
      <w:r w:rsidRPr="00F16ACA">
        <w:rPr>
          <w:sz w:val="16"/>
          <w:szCs w:val="16"/>
          <w:lang w:val="en-GB"/>
        </w:rPr>
        <w:t xml:space="preserve"> year’s August, more than 40% of domestic construction businesses expected rise of prices of own production (in the three-month horizon). </w:t>
      </w:r>
      <w:r>
        <w:rPr>
          <w:sz w:val="16"/>
          <w:szCs w:val="16"/>
          <w:lang w:val="en-GB"/>
        </w:rPr>
        <w:t xml:space="preserve">Despite gradual decrease </w:t>
      </w:r>
      <w:r w:rsidRPr="00F16ACA">
        <w:rPr>
          <w:sz w:val="16"/>
          <w:szCs w:val="16"/>
          <w:lang w:val="en-GB"/>
        </w:rPr>
        <w:t>(</w:t>
      </w:r>
      <w:r>
        <w:rPr>
          <w:sz w:val="16"/>
          <w:szCs w:val="16"/>
          <w:lang w:val="en-GB"/>
        </w:rPr>
        <w:t xml:space="preserve">which is nevertheless milder than in industry or retail trade) it represented by far the largest share among all main branches in the CR. </w:t>
      </w:r>
    </w:p>
  </w:footnote>
  <w:footnote w:id="19">
    <w:p w14:paraId="52E7AF48" w14:textId="7D4EA5AC" w:rsidR="008C5AA7" w:rsidRPr="00F16ACA" w:rsidRDefault="008C5AA7" w:rsidP="004E3012">
      <w:pPr>
        <w:pStyle w:val="Textpoznpodarou"/>
        <w:jc w:val="both"/>
        <w:rPr>
          <w:sz w:val="16"/>
          <w:szCs w:val="16"/>
          <w:lang w:val="en-GB"/>
        </w:rPr>
      </w:pPr>
      <w:r w:rsidRPr="00F16ACA">
        <w:rPr>
          <w:rStyle w:val="Znakapoznpodarou"/>
          <w:rFonts w:cs="Arial"/>
          <w:color w:val="0D0D0D" w:themeColor="text1" w:themeTint="F2"/>
          <w:sz w:val="16"/>
          <w:szCs w:val="16"/>
          <w:lang w:val="en-GB"/>
        </w:rPr>
        <w:footnoteRef/>
      </w:r>
      <w:r w:rsidRPr="00F16ACA">
        <w:rPr>
          <w:rFonts w:cs="Arial"/>
          <w:color w:val="0D0D0D" w:themeColor="text1" w:themeTint="F2"/>
          <w:sz w:val="16"/>
          <w:szCs w:val="16"/>
          <w:lang w:val="en-GB"/>
        </w:rPr>
        <w:t xml:space="preserve"> Figures regarding the construction output are in constant prices, year-on-year rates of growth are adjusted for calendar effects, quarter-on-quarter also for seasonal effects. </w:t>
      </w:r>
    </w:p>
  </w:footnote>
  <w:footnote w:id="20">
    <w:p w14:paraId="0EF4613D" w14:textId="101F82A4" w:rsidR="008C5AA7" w:rsidRPr="00F16ACA" w:rsidRDefault="008C5AA7" w:rsidP="004E3012">
      <w:pPr>
        <w:pStyle w:val="Textpoznpodarou"/>
        <w:jc w:val="both"/>
        <w:rPr>
          <w:lang w:val="en-GB"/>
        </w:rPr>
      </w:pPr>
      <w:r w:rsidRPr="00F16ACA">
        <w:rPr>
          <w:rStyle w:val="Znakapoznpodarou"/>
          <w:sz w:val="16"/>
          <w:szCs w:val="16"/>
          <w:lang w:val="en-GB"/>
        </w:rPr>
        <w:footnoteRef/>
      </w:r>
      <w:r w:rsidRPr="00F16ACA">
        <w:rPr>
          <w:sz w:val="16"/>
          <w:szCs w:val="16"/>
          <w:lang w:val="en-GB"/>
        </w:rPr>
        <w:t xml:space="preserve"> </w:t>
      </w:r>
      <w:r>
        <w:rPr>
          <w:sz w:val="16"/>
          <w:szCs w:val="16"/>
          <w:lang w:val="en-GB"/>
        </w:rPr>
        <w:t>Number of commenced flats was, however, relatively high in the CR in H</w:t>
      </w:r>
      <w:r w:rsidRPr="00F16ACA">
        <w:rPr>
          <w:sz w:val="16"/>
          <w:szCs w:val="16"/>
          <w:lang w:val="en-GB"/>
        </w:rPr>
        <w:t>1</w:t>
      </w:r>
      <w:r>
        <w:rPr>
          <w:sz w:val="16"/>
          <w:szCs w:val="16"/>
          <w:lang w:val="en-GB"/>
        </w:rPr>
        <w:t xml:space="preserve"> </w:t>
      </w:r>
      <w:r w:rsidRPr="00F16ACA">
        <w:rPr>
          <w:sz w:val="16"/>
          <w:szCs w:val="16"/>
          <w:lang w:val="en-GB"/>
        </w:rPr>
        <w:t>2022</w:t>
      </w:r>
      <w:r>
        <w:rPr>
          <w:sz w:val="16"/>
          <w:szCs w:val="16"/>
          <w:lang w:val="en-GB"/>
        </w:rPr>
        <w:t>, when it climbed up to the level comparable with the boom period 2</w:t>
      </w:r>
      <w:r w:rsidRPr="00F16ACA">
        <w:rPr>
          <w:sz w:val="16"/>
          <w:szCs w:val="16"/>
          <w:lang w:val="en-GB"/>
        </w:rPr>
        <w:t xml:space="preserve">006 </w:t>
      </w:r>
      <w:r>
        <w:rPr>
          <w:sz w:val="16"/>
          <w:szCs w:val="16"/>
          <w:lang w:val="en-GB"/>
        </w:rPr>
        <w:t xml:space="preserve">till </w:t>
      </w:r>
      <w:r w:rsidRPr="00F16ACA">
        <w:rPr>
          <w:sz w:val="16"/>
          <w:szCs w:val="16"/>
          <w:lang w:val="en-GB"/>
        </w:rPr>
        <w:t>2008.</w:t>
      </w:r>
    </w:p>
  </w:footnote>
  <w:footnote w:id="21">
    <w:p w14:paraId="28701952" w14:textId="6A4BCAE3" w:rsidR="008C5AA7" w:rsidRDefault="008C5AA7" w:rsidP="00D27F07">
      <w:pPr>
        <w:pStyle w:val="Textpoznpodarou"/>
      </w:pPr>
      <w:r>
        <w:rPr>
          <w:rStyle w:val="Znakapoznpodarou"/>
        </w:rPr>
        <w:footnoteRef/>
      </w:r>
      <w:r>
        <w:t xml:space="preserve"> </w:t>
      </w:r>
      <w:r w:rsidRPr="00D94929">
        <w:rPr>
          <w:spacing w:val="-6"/>
          <w:sz w:val="16"/>
          <w:szCs w:val="16"/>
          <w:lang w:val="en-GB"/>
        </w:rPr>
        <w:t xml:space="preserve">Businesses could have indicated more barriers simultaneously. </w:t>
      </w:r>
    </w:p>
  </w:footnote>
  <w:footnote w:id="22">
    <w:p w14:paraId="6F883029" w14:textId="67F5D3EB" w:rsidR="008C5AA7" w:rsidRPr="00773E63" w:rsidRDefault="008C5AA7" w:rsidP="00773E63">
      <w:pPr>
        <w:spacing w:after="0" w:line="240" w:lineRule="auto"/>
        <w:rPr>
          <w:spacing w:val="-2"/>
          <w:lang w:val="en-GB"/>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w:t>
      </w:r>
      <w:r w:rsidRPr="00773E63">
        <w:rPr>
          <w:color w:val="0D0D0D" w:themeColor="text1" w:themeTint="F2"/>
          <w:spacing w:val="-6"/>
          <w:sz w:val="16"/>
          <w:szCs w:val="16"/>
          <w:lang w:val="en-GB"/>
        </w:rPr>
        <w:t xml:space="preserve">Without trade, financial and insurance activities, science, research and public services. All data for services are in constant prices, year-on-year data are adjusted for calendar effects, quarter-on-quarter data are adjusted for seasonal effects (including the effect of the number of working days). </w:t>
      </w:r>
    </w:p>
  </w:footnote>
  <w:footnote w:id="23">
    <w:p w14:paraId="56F80E8B" w14:textId="77777777" w:rsidR="00B117D9" w:rsidRDefault="008C5AA7" w:rsidP="00A44336">
      <w:pPr>
        <w:pStyle w:val="paragraph"/>
        <w:spacing w:before="0" w:beforeAutospacing="0" w:after="0" w:afterAutospacing="0"/>
        <w:jc w:val="both"/>
        <w:textAlignment w:val="baseline"/>
        <w:rPr>
          <w:rFonts w:ascii="Arial" w:eastAsia="Calibri" w:hAnsi="Arial"/>
          <w:sz w:val="16"/>
          <w:szCs w:val="16"/>
          <w:lang w:val="en-GB"/>
        </w:rPr>
      </w:pPr>
      <w:r w:rsidRPr="00773E63">
        <w:rPr>
          <w:rFonts w:ascii="Arial" w:eastAsia="Calibri" w:hAnsi="Arial"/>
          <w:sz w:val="16"/>
          <w:szCs w:val="16"/>
          <w:vertAlign w:val="superscript"/>
          <w:lang w:val="en-GB"/>
        </w:rPr>
        <w:footnoteRef/>
      </w:r>
      <w:r w:rsidRPr="00773E63">
        <w:rPr>
          <w:rFonts w:ascii="Arial" w:eastAsia="Calibri" w:hAnsi="Arial"/>
          <w:sz w:val="16"/>
          <w:szCs w:val="16"/>
          <w:lang w:val="en-GB"/>
        </w:rPr>
        <w:t xml:space="preserve"> </w:t>
      </w:r>
      <w:r>
        <w:rPr>
          <w:rFonts w:ascii="Arial" w:eastAsia="Calibri" w:hAnsi="Arial"/>
          <w:sz w:val="16"/>
          <w:szCs w:val="16"/>
          <w:lang w:val="en-GB"/>
        </w:rPr>
        <w:t xml:space="preserve">Number of guests as well as their overnight stays in mass accommodation facilities </w:t>
      </w:r>
      <w:r w:rsidRPr="00773E63">
        <w:rPr>
          <w:rFonts w:ascii="Arial" w:eastAsia="Calibri" w:hAnsi="Arial"/>
          <w:sz w:val="16"/>
          <w:szCs w:val="16"/>
          <w:lang w:val="en-GB"/>
        </w:rPr>
        <w:t>(</w:t>
      </w:r>
      <w:r>
        <w:rPr>
          <w:rFonts w:ascii="Arial" w:eastAsia="Calibri" w:hAnsi="Arial"/>
          <w:sz w:val="16"/>
          <w:szCs w:val="16"/>
          <w:lang w:val="en-GB"/>
        </w:rPr>
        <w:t>MAF</w:t>
      </w:r>
      <w:r w:rsidRPr="00773E63">
        <w:rPr>
          <w:rFonts w:ascii="Arial" w:eastAsia="Calibri" w:hAnsi="Arial"/>
          <w:sz w:val="16"/>
          <w:szCs w:val="16"/>
          <w:lang w:val="en-GB"/>
        </w:rPr>
        <w:t xml:space="preserve">) </w:t>
      </w:r>
      <w:r>
        <w:rPr>
          <w:rFonts w:ascii="Arial" w:eastAsia="Calibri" w:hAnsi="Arial"/>
          <w:sz w:val="16"/>
          <w:szCs w:val="16"/>
          <w:lang w:val="en-GB"/>
        </w:rPr>
        <w:t xml:space="preserve">was rising in the CR year-on-year for the ninth quarter in a row. </w:t>
      </w:r>
      <w:r w:rsidRPr="00773E63">
        <w:rPr>
          <w:rFonts w:ascii="Arial" w:eastAsia="Calibri" w:hAnsi="Arial"/>
          <w:sz w:val="16"/>
          <w:szCs w:val="16"/>
          <w:lang w:val="en-GB"/>
        </w:rPr>
        <w:t>21</w:t>
      </w:r>
      <w:r>
        <w:rPr>
          <w:rFonts w:ascii="Arial" w:eastAsia="Calibri" w:hAnsi="Arial"/>
          <w:sz w:val="16"/>
          <w:szCs w:val="16"/>
          <w:lang w:val="en-GB"/>
        </w:rPr>
        <w:t>.</w:t>
      </w:r>
      <w:r w:rsidRPr="00773E63">
        <w:rPr>
          <w:rFonts w:ascii="Arial" w:eastAsia="Calibri" w:hAnsi="Arial"/>
          <w:sz w:val="16"/>
          <w:szCs w:val="16"/>
          <w:lang w:val="en-GB"/>
        </w:rPr>
        <w:t>9%</w:t>
      </w:r>
      <w:r>
        <w:rPr>
          <w:rFonts w:ascii="Arial" w:eastAsia="Calibri" w:hAnsi="Arial"/>
          <w:sz w:val="16"/>
          <w:szCs w:val="16"/>
          <w:lang w:val="en-GB"/>
        </w:rPr>
        <w:t xml:space="preserve"> more guests thus arrived and there were by </w:t>
      </w:r>
      <w:r w:rsidRPr="00773E63">
        <w:rPr>
          <w:rFonts w:ascii="Arial" w:eastAsia="Calibri" w:hAnsi="Arial"/>
          <w:sz w:val="16"/>
          <w:szCs w:val="16"/>
          <w:lang w:val="en-GB"/>
        </w:rPr>
        <w:t>19</w:t>
      </w:r>
      <w:r>
        <w:rPr>
          <w:rFonts w:ascii="Arial" w:eastAsia="Calibri" w:hAnsi="Arial"/>
          <w:sz w:val="16"/>
          <w:szCs w:val="16"/>
          <w:lang w:val="en-GB"/>
        </w:rPr>
        <w:t>.</w:t>
      </w:r>
      <w:r w:rsidRPr="00773E63">
        <w:rPr>
          <w:rFonts w:ascii="Arial" w:eastAsia="Calibri" w:hAnsi="Arial"/>
          <w:sz w:val="16"/>
          <w:szCs w:val="16"/>
          <w:lang w:val="en-GB"/>
        </w:rPr>
        <w:t>2%</w:t>
      </w:r>
      <w:r>
        <w:rPr>
          <w:rFonts w:ascii="Arial" w:eastAsia="Calibri" w:hAnsi="Arial"/>
          <w:sz w:val="16"/>
          <w:szCs w:val="16"/>
          <w:lang w:val="en-GB"/>
        </w:rPr>
        <w:t xml:space="preserve"> more of their overnight stays in H1 2023</w:t>
      </w:r>
      <w:r w:rsidRPr="00773E63">
        <w:rPr>
          <w:rFonts w:ascii="Arial" w:eastAsia="Calibri" w:hAnsi="Arial"/>
          <w:sz w:val="16"/>
          <w:szCs w:val="16"/>
          <w:lang w:val="en-GB"/>
        </w:rPr>
        <w:t xml:space="preserve">. </w:t>
      </w:r>
      <w:r>
        <w:rPr>
          <w:rFonts w:ascii="Arial" w:eastAsia="Calibri" w:hAnsi="Arial"/>
          <w:sz w:val="16"/>
          <w:szCs w:val="16"/>
          <w:lang w:val="en-GB"/>
        </w:rPr>
        <w:t xml:space="preserve">Foreign tourists were for the vast majority instrumental this year </w:t>
      </w:r>
      <w:r w:rsidRPr="00773E63">
        <w:rPr>
          <w:rFonts w:ascii="Arial" w:eastAsia="Calibri" w:hAnsi="Arial"/>
          <w:sz w:val="16"/>
          <w:szCs w:val="16"/>
          <w:lang w:val="en-GB"/>
        </w:rPr>
        <w:t>(</w:t>
      </w:r>
      <w:r>
        <w:rPr>
          <w:rFonts w:ascii="Arial" w:eastAsia="Calibri" w:hAnsi="Arial"/>
          <w:sz w:val="16"/>
          <w:szCs w:val="16"/>
          <w:lang w:val="en-GB"/>
        </w:rPr>
        <w:t>the same as for the whole H</w:t>
      </w:r>
      <w:r w:rsidRPr="00773E63">
        <w:rPr>
          <w:rFonts w:ascii="Arial" w:eastAsia="Calibri" w:hAnsi="Arial"/>
          <w:sz w:val="16"/>
          <w:szCs w:val="16"/>
          <w:lang w:val="en-GB"/>
        </w:rPr>
        <w:t>2</w:t>
      </w:r>
      <w:r>
        <w:rPr>
          <w:rFonts w:ascii="Arial" w:eastAsia="Calibri" w:hAnsi="Arial"/>
          <w:sz w:val="16"/>
          <w:szCs w:val="16"/>
          <w:lang w:val="en-GB"/>
        </w:rPr>
        <w:t xml:space="preserve"> </w:t>
      </w:r>
      <w:r w:rsidRPr="00773E63">
        <w:rPr>
          <w:rFonts w:ascii="Arial" w:eastAsia="Calibri" w:hAnsi="Arial"/>
          <w:sz w:val="16"/>
          <w:szCs w:val="16"/>
          <w:lang w:val="en-GB"/>
        </w:rPr>
        <w:t>2022)</w:t>
      </w:r>
      <w:r>
        <w:rPr>
          <w:rFonts w:ascii="Arial" w:eastAsia="Calibri" w:hAnsi="Arial"/>
          <w:sz w:val="16"/>
          <w:szCs w:val="16"/>
          <w:lang w:val="en-GB"/>
        </w:rPr>
        <w:t xml:space="preserve"> since the overnight stays of residents increased only by </w:t>
      </w:r>
      <w:r w:rsidRPr="00773E63">
        <w:rPr>
          <w:rFonts w:ascii="Arial" w:eastAsia="Calibri" w:hAnsi="Arial"/>
          <w:sz w:val="16"/>
          <w:szCs w:val="16"/>
          <w:lang w:val="en-GB"/>
        </w:rPr>
        <w:t>3</w:t>
      </w:r>
      <w:r>
        <w:rPr>
          <w:rFonts w:ascii="Arial" w:eastAsia="Calibri" w:hAnsi="Arial"/>
          <w:sz w:val="16"/>
          <w:szCs w:val="16"/>
          <w:lang w:val="en-GB"/>
        </w:rPr>
        <w:t>.</w:t>
      </w:r>
      <w:r w:rsidRPr="00773E63">
        <w:rPr>
          <w:rFonts w:ascii="Arial" w:eastAsia="Calibri" w:hAnsi="Arial"/>
          <w:sz w:val="16"/>
          <w:szCs w:val="16"/>
          <w:lang w:val="en-GB"/>
        </w:rPr>
        <w:t>8% (</w:t>
      </w:r>
      <w:r>
        <w:rPr>
          <w:rFonts w:ascii="Arial" w:eastAsia="Calibri" w:hAnsi="Arial"/>
          <w:sz w:val="16"/>
          <w:szCs w:val="16"/>
          <w:lang w:val="en-GB"/>
        </w:rPr>
        <w:t xml:space="preserve">of </w:t>
      </w:r>
      <w:r w:rsidRPr="00773E63">
        <w:rPr>
          <w:rFonts w:ascii="Arial" w:eastAsia="Calibri" w:hAnsi="Arial"/>
          <w:sz w:val="16"/>
          <w:szCs w:val="16"/>
          <w:lang w:val="en-GB"/>
        </w:rPr>
        <w:t>n</w:t>
      </w:r>
      <w:r>
        <w:rPr>
          <w:rFonts w:ascii="Arial" w:eastAsia="Calibri" w:hAnsi="Arial"/>
          <w:sz w:val="16"/>
          <w:szCs w:val="16"/>
          <w:lang w:val="en-GB"/>
        </w:rPr>
        <w:t xml:space="preserve">on-residents by </w:t>
      </w:r>
      <w:r w:rsidRPr="00773E63">
        <w:rPr>
          <w:rFonts w:ascii="Arial" w:eastAsia="Calibri" w:hAnsi="Arial"/>
          <w:sz w:val="16"/>
          <w:szCs w:val="16"/>
          <w:lang w:val="en-GB"/>
        </w:rPr>
        <w:t>47</w:t>
      </w:r>
      <w:r>
        <w:rPr>
          <w:rFonts w:ascii="Arial" w:eastAsia="Calibri" w:hAnsi="Arial"/>
          <w:sz w:val="16"/>
          <w:szCs w:val="16"/>
          <w:lang w:val="en-GB"/>
        </w:rPr>
        <w:t>.</w:t>
      </w:r>
      <w:r w:rsidRPr="00773E63">
        <w:rPr>
          <w:rFonts w:ascii="Arial" w:eastAsia="Calibri" w:hAnsi="Arial"/>
          <w:sz w:val="16"/>
          <w:szCs w:val="16"/>
          <w:lang w:val="en-GB"/>
        </w:rPr>
        <w:t xml:space="preserve">8%). </w:t>
      </w:r>
      <w:r>
        <w:rPr>
          <w:rFonts w:ascii="Arial" w:eastAsia="Calibri" w:hAnsi="Arial"/>
          <w:sz w:val="16"/>
          <w:szCs w:val="16"/>
          <w:lang w:val="en-GB"/>
        </w:rPr>
        <w:t>In Q</w:t>
      </w:r>
      <w:r w:rsidRPr="00773E63">
        <w:rPr>
          <w:rFonts w:ascii="Arial" w:eastAsia="Calibri" w:hAnsi="Arial"/>
          <w:sz w:val="16"/>
          <w:szCs w:val="16"/>
          <w:lang w:val="en-GB"/>
        </w:rPr>
        <w:t>2</w:t>
      </w:r>
      <w:r>
        <w:rPr>
          <w:rFonts w:ascii="Arial" w:eastAsia="Calibri" w:hAnsi="Arial"/>
          <w:sz w:val="16"/>
          <w:szCs w:val="16"/>
          <w:lang w:val="en-GB"/>
        </w:rPr>
        <w:t xml:space="preserve"> itself this year, the performance of tourism markedly approached the level from the similar period of year </w:t>
      </w:r>
      <w:r w:rsidRPr="00773E63">
        <w:rPr>
          <w:rFonts w:ascii="Arial" w:eastAsia="Calibri" w:hAnsi="Arial"/>
          <w:sz w:val="16"/>
          <w:szCs w:val="16"/>
          <w:lang w:val="en-GB"/>
        </w:rPr>
        <w:t>2019</w:t>
      </w:r>
      <w:r>
        <w:rPr>
          <w:rFonts w:ascii="Arial" w:eastAsia="Calibri" w:hAnsi="Arial"/>
          <w:sz w:val="16"/>
          <w:szCs w:val="16"/>
          <w:lang w:val="en-GB"/>
        </w:rPr>
        <w:t xml:space="preserve"> for the first time</w:t>
      </w:r>
      <w:r w:rsidRPr="00773E63">
        <w:rPr>
          <w:rFonts w:ascii="Arial" w:eastAsia="Calibri" w:hAnsi="Arial"/>
          <w:sz w:val="16"/>
          <w:szCs w:val="16"/>
          <w:lang w:val="en-GB"/>
        </w:rPr>
        <w:t xml:space="preserve"> – </w:t>
      </w:r>
      <w:r>
        <w:rPr>
          <w:rFonts w:ascii="Arial" w:eastAsia="Calibri" w:hAnsi="Arial"/>
          <w:sz w:val="16"/>
          <w:szCs w:val="16"/>
          <w:lang w:val="en-GB"/>
        </w:rPr>
        <w:t xml:space="preserve">number of all overnight stays was lower only by just below </w:t>
      </w:r>
      <w:r w:rsidRPr="00773E63">
        <w:rPr>
          <w:rFonts w:ascii="Arial" w:eastAsia="Calibri" w:hAnsi="Arial"/>
          <w:sz w:val="16"/>
          <w:szCs w:val="16"/>
          <w:lang w:val="en-GB"/>
        </w:rPr>
        <w:t xml:space="preserve">2%, </w:t>
      </w:r>
      <w:r>
        <w:rPr>
          <w:rFonts w:ascii="Arial" w:eastAsia="Calibri" w:hAnsi="Arial"/>
          <w:sz w:val="16"/>
          <w:szCs w:val="16"/>
          <w:lang w:val="en-GB"/>
        </w:rPr>
        <w:t xml:space="preserve">for foreign guests however still by significant </w:t>
      </w:r>
      <w:r w:rsidRPr="00773E63">
        <w:rPr>
          <w:rFonts w:ascii="Arial" w:eastAsia="Calibri" w:hAnsi="Arial"/>
          <w:sz w:val="16"/>
          <w:szCs w:val="16"/>
          <w:lang w:val="en-GB"/>
        </w:rPr>
        <w:t>15% (</w:t>
      </w:r>
      <w:r>
        <w:rPr>
          <w:rFonts w:ascii="Arial" w:eastAsia="Calibri" w:hAnsi="Arial"/>
          <w:sz w:val="16"/>
          <w:szCs w:val="16"/>
          <w:lang w:val="en-GB"/>
        </w:rPr>
        <w:t>domestic tourism recovered from the “</w:t>
      </w:r>
      <w:r w:rsidRPr="00773E63">
        <w:rPr>
          <w:rFonts w:ascii="Arial" w:eastAsia="Calibri" w:hAnsi="Arial"/>
          <w:sz w:val="16"/>
          <w:szCs w:val="16"/>
          <w:lang w:val="en-GB"/>
        </w:rPr>
        <w:t>covid</w:t>
      </w:r>
      <w:r>
        <w:rPr>
          <w:rFonts w:ascii="Arial" w:eastAsia="Calibri" w:hAnsi="Arial"/>
          <w:sz w:val="16"/>
          <w:szCs w:val="16"/>
          <w:lang w:val="en-GB"/>
        </w:rPr>
        <w:t xml:space="preserve"> shock” already in summer 2021</w:t>
      </w:r>
      <w:r w:rsidRPr="00773E63">
        <w:rPr>
          <w:rFonts w:ascii="Arial" w:eastAsia="Calibri" w:hAnsi="Arial"/>
          <w:sz w:val="16"/>
          <w:szCs w:val="16"/>
          <w:lang w:val="en-GB"/>
        </w:rPr>
        <w:t>). </w:t>
      </w:r>
      <w:r>
        <w:rPr>
          <w:rFonts w:ascii="Arial" w:eastAsia="Calibri" w:hAnsi="Arial"/>
          <w:sz w:val="16"/>
          <w:szCs w:val="16"/>
          <w:lang w:val="en-GB"/>
        </w:rPr>
        <w:t>Number of guests at taking up accommodation expanded in all regions against Q</w:t>
      </w:r>
      <w:r w:rsidRPr="00773E63">
        <w:rPr>
          <w:rFonts w:ascii="Arial" w:eastAsia="Calibri" w:hAnsi="Arial"/>
          <w:sz w:val="16"/>
          <w:szCs w:val="16"/>
          <w:lang w:val="en-GB"/>
        </w:rPr>
        <w:t>2</w:t>
      </w:r>
      <w:r>
        <w:rPr>
          <w:rFonts w:ascii="Arial" w:eastAsia="Calibri" w:hAnsi="Arial"/>
          <w:sz w:val="16"/>
          <w:szCs w:val="16"/>
          <w:lang w:val="en-GB"/>
        </w:rPr>
        <w:t xml:space="preserve"> </w:t>
      </w:r>
      <w:r w:rsidRPr="00773E63">
        <w:rPr>
          <w:rFonts w:ascii="Arial" w:eastAsia="Calibri" w:hAnsi="Arial"/>
          <w:sz w:val="16"/>
          <w:szCs w:val="16"/>
          <w:lang w:val="en-GB"/>
        </w:rPr>
        <w:t>2022</w:t>
      </w:r>
      <w:r>
        <w:rPr>
          <w:rFonts w:ascii="Arial" w:eastAsia="Calibri" w:hAnsi="Arial"/>
          <w:sz w:val="16"/>
          <w:szCs w:val="16"/>
          <w:lang w:val="en-GB"/>
        </w:rPr>
        <w:t xml:space="preserve"> </w:t>
      </w:r>
      <w:r w:rsidRPr="00773E63">
        <w:rPr>
          <w:rFonts w:ascii="Arial" w:eastAsia="Calibri" w:hAnsi="Arial"/>
          <w:sz w:val="16"/>
          <w:szCs w:val="16"/>
          <w:lang w:val="en-GB"/>
        </w:rPr>
        <w:t xml:space="preserve">– </w:t>
      </w:r>
      <w:r>
        <w:rPr>
          <w:rFonts w:ascii="Arial" w:eastAsia="Calibri" w:hAnsi="Arial"/>
          <w:sz w:val="16"/>
          <w:szCs w:val="16"/>
          <w:lang w:val="en-GB"/>
        </w:rPr>
        <w:t xml:space="preserve">the most in Prague, Karlovy Vary region </w:t>
      </w:r>
      <w:r w:rsidRPr="00773E63">
        <w:rPr>
          <w:rFonts w:ascii="Arial" w:eastAsia="Calibri" w:hAnsi="Arial"/>
          <w:sz w:val="16"/>
          <w:szCs w:val="16"/>
          <w:lang w:val="en-GB"/>
        </w:rPr>
        <w:t>(</w:t>
      </w:r>
      <w:r>
        <w:rPr>
          <w:rFonts w:ascii="Arial" w:eastAsia="Calibri" w:hAnsi="Arial"/>
          <w:sz w:val="16"/>
          <w:szCs w:val="16"/>
          <w:lang w:val="en-GB"/>
        </w:rPr>
        <w:t>similarly by approximately one fifth</w:t>
      </w:r>
      <w:r w:rsidRPr="00773E63">
        <w:rPr>
          <w:rFonts w:ascii="Arial" w:eastAsia="Calibri" w:hAnsi="Arial"/>
          <w:sz w:val="16"/>
          <w:szCs w:val="16"/>
          <w:lang w:val="en-GB"/>
        </w:rPr>
        <w:t>),</w:t>
      </w:r>
      <w:r>
        <w:rPr>
          <w:rFonts w:ascii="Arial" w:eastAsia="Calibri" w:hAnsi="Arial"/>
          <w:sz w:val="16"/>
          <w:szCs w:val="16"/>
          <w:lang w:val="en-GB"/>
        </w:rPr>
        <w:t xml:space="preserve"> the least in Vysocina </w:t>
      </w:r>
      <w:r w:rsidRPr="00773E63">
        <w:rPr>
          <w:rFonts w:ascii="Arial" w:eastAsia="Calibri" w:hAnsi="Arial"/>
          <w:sz w:val="16"/>
          <w:szCs w:val="16"/>
          <w:lang w:val="en-GB"/>
        </w:rPr>
        <w:t>(+5%) a</w:t>
      </w:r>
      <w:r>
        <w:rPr>
          <w:rFonts w:ascii="Arial" w:eastAsia="Calibri" w:hAnsi="Arial"/>
          <w:sz w:val="16"/>
          <w:szCs w:val="16"/>
          <w:lang w:val="en-GB"/>
        </w:rPr>
        <w:t xml:space="preserve">nd the Pilsen region </w:t>
      </w:r>
      <w:r w:rsidRPr="00773E63">
        <w:rPr>
          <w:rFonts w:ascii="Arial" w:eastAsia="Calibri" w:hAnsi="Arial"/>
          <w:sz w:val="16"/>
          <w:szCs w:val="16"/>
          <w:lang w:val="en-GB"/>
        </w:rPr>
        <w:t xml:space="preserve">(+7%). </w:t>
      </w:r>
      <w:r>
        <w:rPr>
          <w:rFonts w:ascii="Arial" w:eastAsia="Calibri" w:hAnsi="Arial"/>
          <w:sz w:val="16"/>
          <w:szCs w:val="16"/>
          <w:lang w:val="en-GB"/>
        </w:rPr>
        <w:t xml:space="preserve">Foreigners primarily contributed to the growth of number of visits in the majority of regions </w:t>
      </w:r>
      <w:r w:rsidRPr="00773E63">
        <w:rPr>
          <w:rFonts w:ascii="Arial" w:eastAsia="Calibri" w:hAnsi="Arial"/>
          <w:sz w:val="16"/>
          <w:szCs w:val="16"/>
          <w:lang w:val="en-GB"/>
        </w:rPr>
        <w:t>(</w:t>
      </w:r>
      <w:r>
        <w:rPr>
          <w:rFonts w:ascii="Arial" w:eastAsia="Calibri" w:hAnsi="Arial"/>
          <w:sz w:val="16"/>
          <w:szCs w:val="16"/>
          <w:lang w:val="en-GB"/>
        </w:rPr>
        <w:t>apart from the Kralovehradecky, Pardubicky and Olomouc regions</w:t>
      </w:r>
      <w:r w:rsidRPr="00773E63">
        <w:rPr>
          <w:rFonts w:ascii="Arial" w:eastAsia="Calibri" w:hAnsi="Arial"/>
          <w:sz w:val="16"/>
          <w:szCs w:val="16"/>
          <w:lang w:val="en-GB"/>
        </w:rPr>
        <w:t xml:space="preserve">). </w:t>
      </w:r>
      <w:r>
        <w:rPr>
          <w:rFonts w:ascii="Arial" w:eastAsia="Calibri" w:hAnsi="Arial"/>
          <w:sz w:val="16"/>
          <w:szCs w:val="16"/>
          <w:lang w:val="en-GB"/>
        </w:rPr>
        <w:t xml:space="preserve">Number of domestic guests even only stagnated in Prague and the Jihomoravsky region year-on-year. </w:t>
      </w:r>
    </w:p>
    <w:p w14:paraId="31A222B7" w14:textId="33B03F37" w:rsidR="008C5AA7" w:rsidRPr="00773E63" w:rsidRDefault="008C5AA7" w:rsidP="00A44336">
      <w:pPr>
        <w:pStyle w:val="paragraph"/>
        <w:spacing w:before="0" w:beforeAutospacing="0" w:after="0" w:afterAutospacing="0"/>
        <w:jc w:val="both"/>
        <w:textAlignment w:val="baseline"/>
        <w:rPr>
          <w:rFonts w:ascii="Arial" w:eastAsia="Calibri" w:hAnsi="Arial"/>
          <w:sz w:val="16"/>
          <w:szCs w:val="16"/>
          <w:lang w:val="en-GB"/>
        </w:rPr>
      </w:pPr>
      <w:r>
        <w:rPr>
          <w:rFonts w:ascii="Arial" w:eastAsia="Calibri" w:hAnsi="Arial"/>
          <w:sz w:val="16"/>
          <w:szCs w:val="16"/>
          <w:lang w:val="en-GB"/>
        </w:rPr>
        <w:t xml:space="preserve">Guests from Germany </w:t>
      </w:r>
      <w:r w:rsidRPr="00773E63">
        <w:rPr>
          <w:rFonts w:ascii="Arial" w:eastAsia="Calibri" w:hAnsi="Arial"/>
          <w:sz w:val="16"/>
          <w:szCs w:val="16"/>
          <w:lang w:val="en-GB"/>
        </w:rPr>
        <w:t>(+116 t</w:t>
      </w:r>
      <w:r>
        <w:rPr>
          <w:rFonts w:ascii="Arial" w:eastAsia="Calibri" w:hAnsi="Arial"/>
          <w:sz w:val="16"/>
          <w:szCs w:val="16"/>
          <w:lang w:val="en-GB"/>
        </w:rPr>
        <w:t>housand</w:t>
      </w:r>
      <w:r w:rsidRPr="00773E63">
        <w:rPr>
          <w:rFonts w:ascii="Arial" w:eastAsia="Calibri" w:hAnsi="Arial"/>
          <w:sz w:val="16"/>
          <w:szCs w:val="16"/>
          <w:lang w:val="en-GB"/>
        </w:rPr>
        <w:t xml:space="preserve">), </w:t>
      </w:r>
      <w:r>
        <w:rPr>
          <w:rFonts w:ascii="Arial" w:eastAsia="Calibri" w:hAnsi="Arial"/>
          <w:sz w:val="16"/>
          <w:szCs w:val="16"/>
          <w:lang w:val="en-GB"/>
        </w:rPr>
        <w:t xml:space="preserve">South Korea </w:t>
      </w:r>
      <w:r w:rsidRPr="00773E63">
        <w:rPr>
          <w:rFonts w:ascii="Arial" w:eastAsia="Calibri" w:hAnsi="Arial"/>
          <w:sz w:val="16"/>
          <w:szCs w:val="16"/>
          <w:lang w:val="en-GB"/>
        </w:rPr>
        <w:t>(+52 t</w:t>
      </w:r>
      <w:r>
        <w:rPr>
          <w:rFonts w:ascii="Arial" w:eastAsia="Calibri" w:hAnsi="Arial"/>
          <w:sz w:val="16"/>
          <w:szCs w:val="16"/>
          <w:lang w:val="en-GB"/>
        </w:rPr>
        <w:t>housand</w:t>
      </w:r>
      <w:r w:rsidRPr="00773E63">
        <w:rPr>
          <w:rFonts w:ascii="Arial" w:eastAsia="Calibri" w:hAnsi="Arial"/>
          <w:sz w:val="16"/>
          <w:szCs w:val="16"/>
          <w:lang w:val="en-GB"/>
        </w:rPr>
        <w:t>), Pol</w:t>
      </w:r>
      <w:r>
        <w:rPr>
          <w:rFonts w:ascii="Arial" w:eastAsia="Calibri" w:hAnsi="Arial"/>
          <w:sz w:val="16"/>
          <w:szCs w:val="16"/>
          <w:lang w:val="en-GB"/>
        </w:rPr>
        <w:t xml:space="preserve">and </w:t>
      </w:r>
      <w:r w:rsidRPr="00773E63">
        <w:rPr>
          <w:rFonts w:ascii="Arial" w:eastAsia="Calibri" w:hAnsi="Arial"/>
          <w:sz w:val="16"/>
          <w:szCs w:val="16"/>
          <w:lang w:val="en-GB"/>
        </w:rPr>
        <w:t>(+47 t</w:t>
      </w:r>
      <w:r>
        <w:rPr>
          <w:rFonts w:ascii="Arial" w:eastAsia="Calibri" w:hAnsi="Arial"/>
          <w:sz w:val="16"/>
          <w:szCs w:val="16"/>
          <w:lang w:val="en-GB"/>
        </w:rPr>
        <w:t>housand</w:t>
      </w:r>
      <w:r w:rsidRPr="00773E63">
        <w:rPr>
          <w:rFonts w:ascii="Arial" w:eastAsia="Calibri" w:hAnsi="Arial"/>
          <w:sz w:val="16"/>
          <w:szCs w:val="16"/>
          <w:lang w:val="en-GB"/>
        </w:rPr>
        <w:t>)</w:t>
      </w:r>
      <w:r>
        <w:rPr>
          <w:rFonts w:ascii="Arial" w:eastAsia="Calibri" w:hAnsi="Arial"/>
          <w:sz w:val="16"/>
          <w:szCs w:val="16"/>
          <w:lang w:val="en-GB"/>
        </w:rPr>
        <w:t xml:space="preserve"> and the </w:t>
      </w:r>
      <w:r w:rsidRPr="00773E63">
        <w:rPr>
          <w:rFonts w:ascii="Arial" w:eastAsia="Calibri" w:hAnsi="Arial"/>
          <w:sz w:val="16"/>
          <w:szCs w:val="16"/>
          <w:lang w:val="en-GB"/>
        </w:rPr>
        <w:t>USA (+37 t</w:t>
      </w:r>
      <w:r>
        <w:rPr>
          <w:rFonts w:ascii="Arial" w:eastAsia="Calibri" w:hAnsi="Arial"/>
          <w:sz w:val="16"/>
          <w:szCs w:val="16"/>
          <w:lang w:val="en-GB"/>
        </w:rPr>
        <w:t>housand</w:t>
      </w:r>
      <w:r w:rsidRPr="00773E63">
        <w:rPr>
          <w:rFonts w:ascii="Arial" w:eastAsia="Calibri" w:hAnsi="Arial"/>
          <w:sz w:val="16"/>
          <w:szCs w:val="16"/>
          <w:lang w:val="en-GB"/>
        </w:rPr>
        <w:t>)</w:t>
      </w:r>
      <w:r>
        <w:rPr>
          <w:rFonts w:ascii="Arial" w:eastAsia="Calibri" w:hAnsi="Arial"/>
          <w:sz w:val="16"/>
          <w:szCs w:val="16"/>
          <w:lang w:val="en-GB"/>
        </w:rPr>
        <w:t xml:space="preserve"> added the most to the year-on-year growth of visits in Q2</w:t>
      </w:r>
      <w:r w:rsidR="00B117D9">
        <w:rPr>
          <w:rFonts w:ascii="Arial" w:eastAsia="Calibri" w:hAnsi="Arial"/>
          <w:sz w:val="16"/>
          <w:szCs w:val="16"/>
          <w:lang w:val="en-GB"/>
        </w:rPr>
        <w:t xml:space="preserve"> 2023</w:t>
      </w:r>
      <w:r w:rsidRPr="00873F9E">
        <w:rPr>
          <w:rFonts w:ascii="Arial" w:eastAsia="Calibri" w:hAnsi="Arial"/>
          <w:sz w:val="16"/>
          <w:szCs w:val="16"/>
          <w:lang w:val="en-GB"/>
        </w:rPr>
        <w:t>.</w:t>
      </w:r>
      <w:r>
        <w:rPr>
          <w:rFonts w:ascii="Arial" w:eastAsia="Calibri" w:hAnsi="Arial"/>
          <w:sz w:val="16"/>
          <w:szCs w:val="16"/>
          <w:lang w:val="en-GB"/>
        </w:rPr>
        <w:t xml:space="preserve"> Preparations or rather opening </w:t>
      </w:r>
      <w:r w:rsidRPr="00873F9E">
        <w:rPr>
          <w:rFonts w:ascii="Arial" w:eastAsia="Calibri" w:hAnsi="Arial"/>
          <w:sz w:val="16"/>
          <w:szCs w:val="16"/>
          <w:lang w:val="en-GB"/>
        </w:rPr>
        <w:t>of new</w:t>
      </w:r>
      <w:r>
        <w:rPr>
          <w:rFonts w:ascii="Arial" w:eastAsia="Calibri" w:hAnsi="Arial"/>
          <w:sz w:val="16"/>
          <w:szCs w:val="16"/>
          <w:lang w:val="en-GB"/>
        </w:rPr>
        <w:t xml:space="preserve"> direct flights to Prague </w:t>
      </w:r>
      <w:r w:rsidRPr="00773E63">
        <w:rPr>
          <w:rFonts w:ascii="Arial" w:eastAsia="Calibri" w:hAnsi="Arial"/>
          <w:sz w:val="16"/>
          <w:szCs w:val="16"/>
          <w:lang w:val="en-GB"/>
        </w:rPr>
        <w:t>(</w:t>
      </w:r>
      <w:r>
        <w:rPr>
          <w:rFonts w:ascii="Arial" w:eastAsia="Calibri" w:hAnsi="Arial"/>
          <w:sz w:val="16"/>
          <w:szCs w:val="16"/>
          <w:lang w:val="en-GB"/>
        </w:rPr>
        <w:t>from Seoul, Taipei</w:t>
      </w:r>
      <w:r w:rsidRPr="00773E63">
        <w:rPr>
          <w:rFonts w:ascii="Arial" w:eastAsia="Calibri" w:hAnsi="Arial"/>
          <w:sz w:val="16"/>
          <w:szCs w:val="16"/>
          <w:lang w:val="en-GB"/>
        </w:rPr>
        <w:t>)</w:t>
      </w:r>
      <w:r>
        <w:rPr>
          <w:rFonts w:ascii="Arial" w:eastAsia="Calibri" w:hAnsi="Arial"/>
          <w:sz w:val="16"/>
          <w:szCs w:val="16"/>
          <w:lang w:val="en-GB"/>
        </w:rPr>
        <w:t xml:space="preserve"> assisted to the restoration of ties to the more distant states</w:t>
      </w:r>
      <w:r w:rsidRPr="00773E63">
        <w:rPr>
          <w:rFonts w:ascii="Arial" w:eastAsia="Calibri" w:hAnsi="Arial"/>
          <w:sz w:val="16"/>
          <w:szCs w:val="16"/>
          <w:lang w:val="en-GB"/>
        </w:rPr>
        <w:t xml:space="preserve">. </w:t>
      </w:r>
      <w:r>
        <w:rPr>
          <w:rFonts w:ascii="Arial" w:eastAsia="Calibri" w:hAnsi="Arial"/>
          <w:sz w:val="16"/>
          <w:szCs w:val="16"/>
          <w:lang w:val="en-GB"/>
        </w:rPr>
        <w:t>On the contrary, only minimal relations in tourism prevailed in Russia</w:t>
      </w:r>
      <w:r w:rsidRPr="00773E63">
        <w:rPr>
          <w:rFonts w:ascii="Arial" w:eastAsia="Calibri" w:hAnsi="Arial"/>
          <w:sz w:val="16"/>
          <w:szCs w:val="16"/>
          <w:lang w:val="en-GB"/>
        </w:rPr>
        <w:t xml:space="preserve">, </w:t>
      </w:r>
      <w:r>
        <w:rPr>
          <w:rFonts w:ascii="Arial" w:eastAsia="Calibri" w:hAnsi="Arial"/>
          <w:sz w:val="16"/>
          <w:szCs w:val="16"/>
          <w:lang w:val="en-GB"/>
        </w:rPr>
        <w:t xml:space="preserve">deteriorated geopolitical situation was presumably reflected also in the year-on-year decrease of the number of guests at accommodation from Israel </w:t>
      </w:r>
      <w:r w:rsidRPr="00773E63">
        <w:rPr>
          <w:rFonts w:ascii="Arial" w:eastAsia="Calibri" w:hAnsi="Arial"/>
          <w:sz w:val="16"/>
          <w:szCs w:val="16"/>
          <w:lang w:val="en-GB"/>
        </w:rPr>
        <w:t xml:space="preserve">(−10%). </w:t>
      </w:r>
      <w:r>
        <w:rPr>
          <w:rFonts w:ascii="Arial" w:eastAsia="Calibri" w:hAnsi="Arial"/>
          <w:sz w:val="16"/>
          <w:szCs w:val="16"/>
          <w:lang w:val="en-GB"/>
        </w:rPr>
        <w:t>Compared to Q</w:t>
      </w:r>
      <w:r w:rsidRPr="00773E63">
        <w:rPr>
          <w:rFonts w:ascii="Arial" w:eastAsia="Calibri" w:hAnsi="Arial"/>
          <w:sz w:val="16"/>
          <w:szCs w:val="16"/>
          <w:lang w:val="en-GB"/>
        </w:rPr>
        <w:t>2</w:t>
      </w:r>
      <w:r>
        <w:rPr>
          <w:rFonts w:ascii="Arial" w:eastAsia="Calibri" w:hAnsi="Arial"/>
          <w:sz w:val="16"/>
          <w:szCs w:val="16"/>
          <w:lang w:val="en-GB"/>
        </w:rPr>
        <w:t xml:space="preserve"> </w:t>
      </w:r>
      <w:r w:rsidRPr="00773E63">
        <w:rPr>
          <w:rFonts w:ascii="Arial" w:eastAsia="Calibri" w:hAnsi="Arial"/>
          <w:sz w:val="16"/>
          <w:szCs w:val="16"/>
          <w:lang w:val="en-GB"/>
        </w:rPr>
        <w:t>2019</w:t>
      </w:r>
      <w:r>
        <w:rPr>
          <w:rFonts w:ascii="Arial" w:eastAsia="Calibri" w:hAnsi="Arial"/>
          <w:sz w:val="16"/>
          <w:szCs w:val="16"/>
          <w:lang w:val="en-GB"/>
        </w:rPr>
        <w:t xml:space="preserve">, notably more guests arrived in the CR from all neighbouring states </w:t>
      </w:r>
      <w:r w:rsidRPr="00773E63">
        <w:rPr>
          <w:rFonts w:ascii="Arial" w:eastAsia="Calibri" w:hAnsi="Arial"/>
          <w:sz w:val="16"/>
          <w:szCs w:val="16"/>
          <w:lang w:val="en-GB"/>
        </w:rPr>
        <w:t>(</w:t>
      </w:r>
      <w:r>
        <w:rPr>
          <w:rFonts w:ascii="Arial" w:eastAsia="Calibri" w:hAnsi="Arial"/>
          <w:sz w:val="16"/>
          <w:szCs w:val="16"/>
          <w:lang w:val="en-GB"/>
        </w:rPr>
        <w:t>even nearly by 20% from Slovakia</w:t>
      </w:r>
      <w:r w:rsidRPr="00773E63">
        <w:rPr>
          <w:rFonts w:ascii="Arial" w:eastAsia="Calibri" w:hAnsi="Arial"/>
          <w:sz w:val="16"/>
          <w:szCs w:val="16"/>
          <w:lang w:val="en-GB"/>
        </w:rPr>
        <w:t xml:space="preserve">), </w:t>
      </w:r>
      <w:r>
        <w:rPr>
          <w:rFonts w:ascii="Arial" w:eastAsia="Calibri" w:hAnsi="Arial"/>
          <w:sz w:val="16"/>
          <w:szCs w:val="16"/>
          <w:lang w:val="en-GB"/>
        </w:rPr>
        <w:t xml:space="preserve">among other more significant partner countries </w:t>
      </w:r>
      <w:r w:rsidRPr="00773E63">
        <w:rPr>
          <w:rFonts w:ascii="Arial" w:eastAsia="Calibri" w:hAnsi="Arial"/>
          <w:sz w:val="16"/>
          <w:szCs w:val="16"/>
          <w:lang w:val="en-GB"/>
        </w:rPr>
        <w:t xml:space="preserve">(top 30 </w:t>
      </w:r>
      <w:r>
        <w:rPr>
          <w:rFonts w:ascii="Arial" w:eastAsia="Calibri" w:hAnsi="Arial"/>
          <w:sz w:val="16"/>
          <w:szCs w:val="16"/>
          <w:lang w:val="en-GB"/>
        </w:rPr>
        <w:t xml:space="preserve">from year </w:t>
      </w:r>
      <w:r w:rsidRPr="00773E63">
        <w:rPr>
          <w:rFonts w:ascii="Arial" w:eastAsia="Calibri" w:hAnsi="Arial"/>
          <w:sz w:val="16"/>
          <w:szCs w:val="16"/>
          <w:lang w:val="en-GB"/>
        </w:rPr>
        <w:t xml:space="preserve">2019) </w:t>
      </w:r>
      <w:r>
        <w:rPr>
          <w:rFonts w:ascii="Arial" w:eastAsia="Calibri" w:hAnsi="Arial"/>
          <w:sz w:val="16"/>
          <w:szCs w:val="16"/>
          <w:lang w:val="en-GB"/>
        </w:rPr>
        <w:t>nevertheless only from the Netherlands</w:t>
      </w:r>
      <w:r w:rsidRPr="00773E63">
        <w:rPr>
          <w:rFonts w:ascii="Arial" w:eastAsia="Calibri" w:hAnsi="Arial"/>
          <w:sz w:val="16"/>
          <w:szCs w:val="16"/>
          <w:lang w:val="en-GB"/>
        </w:rPr>
        <w:t>.</w:t>
      </w:r>
    </w:p>
  </w:footnote>
  <w:footnote w:id="24">
    <w:p w14:paraId="341A97B4" w14:textId="649A1F31" w:rsidR="008C5AA7" w:rsidRPr="00D0544B" w:rsidRDefault="008C5AA7" w:rsidP="00C008FE">
      <w:pPr>
        <w:pStyle w:val="Textpoznpodarou"/>
        <w:jc w:val="both"/>
        <w:rPr>
          <w:sz w:val="16"/>
          <w:szCs w:val="16"/>
          <w:lang w:val="en-GB"/>
        </w:rPr>
      </w:pPr>
      <w:r w:rsidRPr="00880DA8">
        <w:rPr>
          <w:rStyle w:val="Znakapoznpodarou"/>
          <w:sz w:val="16"/>
          <w:szCs w:val="16"/>
        </w:rPr>
        <w:footnoteRef/>
      </w:r>
      <w:r w:rsidRPr="00880DA8">
        <w:rPr>
          <w:sz w:val="16"/>
          <w:szCs w:val="16"/>
        </w:rPr>
        <w:t xml:space="preserve"> </w:t>
      </w:r>
      <w:r w:rsidRPr="00C008FE">
        <w:rPr>
          <w:sz w:val="16"/>
          <w:szCs w:val="16"/>
          <w:lang w:val="en-GB"/>
        </w:rPr>
        <w:t>These consist of activities linked to the data processing and hosting, area of web portals and further news press offices as well as agencies.</w:t>
      </w:r>
    </w:p>
  </w:footnote>
  <w:footnote w:id="25">
    <w:p w14:paraId="7B3AAA55" w14:textId="2D9C8BFD" w:rsidR="008C5AA7" w:rsidRPr="00D0544B" w:rsidRDefault="008C5AA7" w:rsidP="00D0544B">
      <w:pPr>
        <w:pStyle w:val="Textpoznpodarou"/>
        <w:jc w:val="both"/>
        <w:rPr>
          <w:lang w:val="en-GB"/>
        </w:rPr>
      </w:pPr>
      <w:r w:rsidRPr="00D0544B">
        <w:rPr>
          <w:rStyle w:val="Znakapoznpodarou"/>
          <w:sz w:val="16"/>
          <w:szCs w:val="16"/>
          <w:lang w:val="en-GB"/>
        </w:rPr>
        <w:footnoteRef/>
      </w:r>
      <w:r w:rsidRPr="00D0544B">
        <w:rPr>
          <w:sz w:val="16"/>
          <w:szCs w:val="16"/>
          <w:lang w:val="en-GB"/>
        </w:rPr>
        <w:t xml:space="preserve"> </w:t>
      </w:r>
      <w:r w:rsidRPr="003B0067">
        <w:rPr>
          <w:sz w:val="16"/>
          <w:szCs w:val="16"/>
          <w:lang w:val="en-GB"/>
        </w:rPr>
        <w:t xml:space="preserve">Segment of motion picture distribution </w:t>
      </w:r>
      <w:r>
        <w:rPr>
          <w:sz w:val="16"/>
          <w:szCs w:val="16"/>
          <w:lang w:val="en-GB"/>
        </w:rPr>
        <w:t xml:space="preserve">thrived slightly more. According to the figures </w:t>
      </w:r>
      <w:r w:rsidRPr="003B0067">
        <w:rPr>
          <w:sz w:val="16"/>
          <w:szCs w:val="16"/>
          <w:lang w:val="en-GB"/>
        </w:rPr>
        <w:t>f</w:t>
      </w:r>
      <w:r>
        <w:rPr>
          <w:sz w:val="16"/>
          <w:szCs w:val="16"/>
          <w:lang w:val="en-GB"/>
        </w:rPr>
        <w:t xml:space="preserve">rom </w:t>
      </w:r>
      <w:r w:rsidRPr="003B0067">
        <w:rPr>
          <w:sz w:val="16"/>
          <w:szCs w:val="16"/>
          <w:lang w:val="en-GB"/>
        </w:rPr>
        <w:t>the Union of Motion Picture Distributors</w:t>
      </w:r>
      <w:r>
        <w:rPr>
          <w:sz w:val="16"/>
          <w:szCs w:val="16"/>
          <w:lang w:val="en-GB"/>
        </w:rPr>
        <w:t xml:space="preserve"> the gross nominal sales of the domestic cinema o</w:t>
      </w:r>
      <w:r w:rsidR="00B117D9">
        <w:rPr>
          <w:sz w:val="16"/>
          <w:szCs w:val="16"/>
          <w:lang w:val="en-GB"/>
        </w:rPr>
        <w:t>perators increased by</w:t>
      </w:r>
      <w:r>
        <w:rPr>
          <w:sz w:val="16"/>
          <w:szCs w:val="16"/>
          <w:lang w:val="en-GB"/>
        </w:rPr>
        <w:t xml:space="preserve"> 2% year-on-year in H1 2023. Total attendance however owing to weaker this </w:t>
      </w:r>
      <w:r w:rsidRPr="00F16DE3">
        <w:rPr>
          <w:sz w:val="16"/>
          <w:szCs w:val="16"/>
          <w:lang w:val="en-GB"/>
        </w:rPr>
        <w:t>year’s results in Q2 fell by 6.1% for the entire H1</w:t>
      </w:r>
      <w:r>
        <w:rPr>
          <w:sz w:val="16"/>
          <w:szCs w:val="16"/>
          <w:lang w:val="en-GB"/>
        </w:rPr>
        <w:t xml:space="preserve">. Nearly one third of audience was missing and the sales lagged by nearly one fifth this year </w:t>
      </w:r>
      <w:r w:rsidRPr="00D0544B">
        <w:rPr>
          <w:spacing w:val="-3"/>
          <w:sz w:val="16"/>
          <w:szCs w:val="16"/>
          <w:lang w:val="en-GB"/>
        </w:rPr>
        <w:t>(</w:t>
      </w:r>
      <w:r>
        <w:rPr>
          <w:spacing w:val="-3"/>
          <w:sz w:val="16"/>
          <w:szCs w:val="16"/>
          <w:lang w:val="en-GB"/>
        </w:rPr>
        <w:t xml:space="preserve">however the number of shows was lower only by less than </w:t>
      </w:r>
      <w:r w:rsidRPr="00D0544B">
        <w:rPr>
          <w:spacing w:val="-3"/>
          <w:sz w:val="16"/>
          <w:szCs w:val="16"/>
          <w:lang w:val="en-GB"/>
        </w:rPr>
        <w:t>7%)</w:t>
      </w:r>
      <w:r>
        <w:rPr>
          <w:spacing w:val="-3"/>
          <w:sz w:val="16"/>
          <w:szCs w:val="16"/>
          <w:lang w:val="en-GB"/>
        </w:rPr>
        <w:t xml:space="preserve"> in comparison to record year 2019</w:t>
      </w:r>
      <w:r w:rsidRPr="00D0544B">
        <w:rPr>
          <w:spacing w:val="-3"/>
          <w:sz w:val="16"/>
          <w:szCs w:val="16"/>
          <w:lang w:val="en-GB"/>
        </w:rPr>
        <w:t>.</w:t>
      </w:r>
    </w:p>
  </w:footnote>
  <w:footnote w:id="26">
    <w:p w14:paraId="14A565D5" w14:textId="10F5CD74" w:rsidR="008C5AA7" w:rsidRPr="005235FD" w:rsidRDefault="008C5AA7" w:rsidP="005235FD">
      <w:pPr>
        <w:spacing w:after="0" w:line="240" w:lineRule="auto"/>
        <w:rPr>
          <w:spacing w:val="-2"/>
          <w:lang w:val="en-GB"/>
        </w:rPr>
      </w:pPr>
      <w:r w:rsidRPr="00EB7D87">
        <w:rPr>
          <w:rStyle w:val="Znakapoznpodarou"/>
          <w:color w:val="0D0D0D" w:themeColor="text1" w:themeTint="F2"/>
          <w:spacing w:val="-2"/>
          <w:sz w:val="16"/>
          <w:szCs w:val="16"/>
        </w:rPr>
        <w:footnoteRef/>
      </w:r>
      <w:r w:rsidRPr="00EB7D87">
        <w:rPr>
          <w:color w:val="0D0D0D" w:themeColor="text1" w:themeTint="F2"/>
          <w:spacing w:val="-2"/>
          <w:sz w:val="16"/>
          <w:szCs w:val="16"/>
        </w:rPr>
        <w:t xml:space="preserve"> </w:t>
      </w:r>
      <w:r w:rsidRPr="005235FD">
        <w:rPr>
          <w:color w:val="0D0D0D" w:themeColor="text1" w:themeTint="F2"/>
          <w:sz w:val="16"/>
          <w:szCs w:val="16"/>
          <w:lang w:val="en-GB"/>
        </w:rPr>
        <w:t>All year-on-year rates of growth of retail sales are stated in constant prices and adjusted for calendar effects, quarter-on-quarter as well as month-on-month rates are adjusted for seasonal effects (including the number of working days). Retail includes branch CZ</w:t>
      </w:r>
      <w:r w:rsidRPr="005235FD">
        <w:rPr>
          <w:color w:val="0D0D0D" w:themeColor="text1" w:themeTint="F2"/>
          <w:sz w:val="16"/>
          <w:szCs w:val="16"/>
          <w:lang w:val="en-GB"/>
        </w:rPr>
        <w:noBreakHyphen/>
        <w:t>NACE 47.</w:t>
      </w:r>
    </w:p>
  </w:footnote>
  <w:footnote w:id="27">
    <w:p w14:paraId="28406609" w14:textId="4F981AE0" w:rsidR="008C5AA7" w:rsidRPr="009D164D" w:rsidRDefault="008C5AA7" w:rsidP="005235FD">
      <w:pPr>
        <w:pStyle w:val="Textpoznpodarou"/>
        <w:jc w:val="both"/>
        <w:rPr>
          <w:sz w:val="16"/>
          <w:szCs w:val="16"/>
          <w:lang w:val="en-GB"/>
        </w:rPr>
      </w:pPr>
      <w:r w:rsidRPr="005235FD">
        <w:rPr>
          <w:rStyle w:val="Znakapoznpodarou"/>
          <w:sz w:val="16"/>
          <w:szCs w:val="16"/>
          <w:lang w:val="en-GB"/>
        </w:rPr>
        <w:footnoteRef/>
      </w:r>
      <w:r w:rsidRPr="005235FD">
        <w:rPr>
          <w:sz w:val="16"/>
          <w:szCs w:val="16"/>
          <w:lang w:val="en-GB"/>
        </w:rPr>
        <w:t xml:space="preserve"> </w:t>
      </w:r>
      <w:r w:rsidRPr="009D164D">
        <w:rPr>
          <w:sz w:val="16"/>
          <w:szCs w:val="16"/>
          <w:lang w:val="en-GB"/>
        </w:rPr>
        <w:t>It reached the highest value since the crisis year last year in October.</w:t>
      </w:r>
      <w:r>
        <w:rPr>
          <w:sz w:val="16"/>
          <w:szCs w:val="16"/>
          <w:lang w:val="en-GB"/>
        </w:rPr>
        <w:t xml:space="preserve"> The household confidence gradually increased in the subsequent months also in connection to the improvement of accessibility and price development of key energy commodities in Europe. The pessimism of consumers thus attained practically the lowest level since the beginning of the Russian invasion to Ukraine this year in July</w:t>
      </w:r>
      <w:r w:rsidRPr="009D164D">
        <w:rPr>
          <w:sz w:val="16"/>
          <w:szCs w:val="16"/>
          <w:lang w:val="en-GB"/>
        </w:rPr>
        <w:t xml:space="preserve">. </w:t>
      </w:r>
    </w:p>
  </w:footnote>
  <w:footnote w:id="28">
    <w:p w14:paraId="49972FF3" w14:textId="027B9251" w:rsidR="008C5AA7" w:rsidRPr="005235FD" w:rsidRDefault="008C5AA7" w:rsidP="005235FD">
      <w:pPr>
        <w:pStyle w:val="Textpoznpodarou"/>
        <w:jc w:val="both"/>
        <w:rPr>
          <w:sz w:val="16"/>
          <w:szCs w:val="16"/>
          <w:lang w:val="en-GB"/>
        </w:rPr>
      </w:pPr>
      <w:r w:rsidRPr="009D164D">
        <w:rPr>
          <w:rStyle w:val="Znakapoznpodarou"/>
          <w:sz w:val="16"/>
          <w:szCs w:val="16"/>
          <w:lang w:val="en-GB"/>
        </w:rPr>
        <w:footnoteRef/>
      </w:r>
      <w:r w:rsidRPr="009D164D">
        <w:rPr>
          <w:sz w:val="16"/>
          <w:szCs w:val="16"/>
          <w:lang w:val="en-GB"/>
        </w:rPr>
        <w:t xml:space="preserve"> </w:t>
      </w:r>
      <w:r>
        <w:rPr>
          <w:sz w:val="16"/>
          <w:szCs w:val="16"/>
          <w:lang w:val="en-GB"/>
        </w:rPr>
        <w:t xml:space="preserve">If we do not regard the period of pandemic economic shutdowns, the current confidence in trade was the lowest since the half of year </w:t>
      </w:r>
      <w:r w:rsidRPr="009D164D">
        <w:rPr>
          <w:sz w:val="16"/>
          <w:szCs w:val="16"/>
          <w:lang w:val="en-GB"/>
        </w:rPr>
        <w:t>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1AB3" w14:textId="4DEBDFFB" w:rsidR="008C5AA7" w:rsidRPr="00314B30" w:rsidRDefault="008C5AA7" w:rsidP="00937AE2">
    <w:pPr>
      <w:pStyle w:val="Zhlav"/>
      <w:rPr>
        <w:lang w:val="en-GB"/>
      </w:rPr>
    </w:pPr>
    <w:r w:rsidRPr="00314B30">
      <w:rPr>
        <w:lang w:val="en-GB"/>
      </w:rPr>
      <w:t>The Czech Economy Development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5385DC29" w:rsidR="008C5AA7" w:rsidRPr="00E37097" w:rsidRDefault="008C5AA7" w:rsidP="00937AE2">
    <w:pPr>
      <w:pStyle w:val="Zhlav"/>
      <w:rPr>
        <w:lang w:val="en-GB"/>
      </w:rPr>
    </w:pPr>
    <w:r w:rsidRPr="00E37097">
      <w:rPr>
        <w:lang w:val="en-GB"/>
      </w:rPr>
      <w:t>The Czech Economy Development</w:t>
    </w:r>
  </w:p>
  <w:p w14:paraId="57266714" w14:textId="77777777" w:rsidR="008C5AA7" w:rsidRPr="006F5416" w:rsidRDefault="008C5A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02B"/>
    <w:rsid w:val="000005AF"/>
    <w:rsid w:val="00000994"/>
    <w:rsid w:val="00000B55"/>
    <w:rsid w:val="0000172F"/>
    <w:rsid w:val="000017E7"/>
    <w:rsid w:val="0000209D"/>
    <w:rsid w:val="00002275"/>
    <w:rsid w:val="00002538"/>
    <w:rsid w:val="00002566"/>
    <w:rsid w:val="00002C8F"/>
    <w:rsid w:val="0000370A"/>
    <w:rsid w:val="00003849"/>
    <w:rsid w:val="00003F5C"/>
    <w:rsid w:val="000045C4"/>
    <w:rsid w:val="0000468A"/>
    <w:rsid w:val="00004D5A"/>
    <w:rsid w:val="00004F7F"/>
    <w:rsid w:val="00005219"/>
    <w:rsid w:val="000056D5"/>
    <w:rsid w:val="000056DD"/>
    <w:rsid w:val="0000594E"/>
    <w:rsid w:val="00005D9E"/>
    <w:rsid w:val="0000614B"/>
    <w:rsid w:val="000063D5"/>
    <w:rsid w:val="00006625"/>
    <w:rsid w:val="00006899"/>
    <w:rsid w:val="00006ABD"/>
    <w:rsid w:val="00006B67"/>
    <w:rsid w:val="00006C0B"/>
    <w:rsid w:val="000073A0"/>
    <w:rsid w:val="0000767A"/>
    <w:rsid w:val="0000771A"/>
    <w:rsid w:val="00007ABE"/>
    <w:rsid w:val="00010107"/>
    <w:rsid w:val="00010256"/>
    <w:rsid w:val="000102D9"/>
    <w:rsid w:val="00010702"/>
    <w:rsid w:val="000107F8"/>
    <w:rsid w:val="0001083F"/>
    <w:rsid w:val="00010A2C"/>
    <w:rsid w:val="0001128E"/>
    <w:rsid w:val="00011539"/>
    <w:rsid w:val="00011912"/>
    <w:rsid w:val="000124E7"/>
    <w:rsid w:val="0001261C"/>
    <w:rsid w:val="000129B7"/>
    <w:rsid w:val="0001387D"/>
    <w:rsid w:val="00013C4C"/>
    <w:rsid w:val="0001466D"/>
    <w:rsid w:val="00014731"/>
    <w:rsid w:val="00014898"/>
    <w:rsid w:val="00014B9D"/>
    <w:rsid w:val="00014ED0"/>
    <w:rsid w:val="00015DEB"/>
    <w:rsid w:val="00016420"/>
    <w:rsid w:val="00016423"/>
    <w:rsid w:val="00016BDB"/>
    <w:rsid w:val="00017407"/>
    <w:rsid w:val="0001799A"/>
    <w:rsid w:val="00017B01"/>
    <w:rsid w:val="000200BE"/>
    <w:rsid w:val="000205D1"/>
    <w:rsid w:val="00020782"/>
    <w:rsid w:val="000207D3"/>
    <w:rsid w:val="00020950"/>
    <w:rsid w:val="00020F22"/>
    <w:rsid w:val="0002195D"/>
    <w:rsid w:val="00021F9B"/>
    <w:rsid w:val="000228AE"/>
    <w:rsid w:val="000233D1"/>
    <w:rsid w:val="000234D6"/>
    <w:rsid w:val="00023985"/>
    <w:rsid w:val="00023D29"/>
    <w:rsid w:val="00024348"/>
    <w:rsid w:val="000245D6"/>
    <w:rsid w:val="00024D0A"/>
    <w:rsid w:val="00025664"/>
    <w:rsid w:val="00025A00"/>
    <w:rsid w:val="000260D2"/>
    <w:rsid w:val="00026109"/>
    <w:rsid w:val="0002622B"/>
    <w:rsid w:val="00026389"/>
    <w:rsid w:val="0002669F"/>
    <w:rsid w:val="00026F76"/>
    <w:rsid w:val="000279E5"/>
    <w:rsid w:val="00027C33"/>
    <w:rsid w:val="000305E0"/>
    <w:rsid w:val="00030A12"/>
    <w:rsid w:val="000317F0"/>
    <w:rsid w:val="00031AE0"/>
    <w:rsid w:val="00031BB2"/>
    <w:rsid w:val="000322EF"/>
    <w:rsid w:val="000328F0"/>
    <w:rsid w:val="00033605"/>
    <w:rsid w:val="00033BFC"/>
    <w:rsid w:val="00033FCD"/>
    <w:rsid w:val="000348AF"/>
    <w:rsid w:val="00034B70"/>
    <w:rsid w:val="00034DF7"/>
    <w:rsid w:val="00034E68"/>
    <w:rsid w:val="000350C8"/>
    <w:rsid w:val="00035B6F"/>
    <w:rsid w:val="00035C7C"/>
    <w:rsid w:val="00036098"/>
    <w:rsid w:val="00036195"/>
    <w:rsid w:val="00036817"/>
    <w:rsid w:val="000374B2"/>
    <w:rsid w:val="000376C0"/>
    <w:rsid w:val="000403A7"/>
    <w:rsid w:val="00040632"/>
    <w:rsid w:val="00040E53"/>
    <w:rsid w:val="0004131B"/>
    <w:rsid w:val="00041AFC"/>
    <w:rsid w:val="00041CEC"/>
    <w:rsid w:val="00041D02"/>
    <w:rsid w:val="00042596"/>
    <w:rsid w:val="00042A4A"/>
    <w:rsid w:val="00044183"/>
    <w:rsid w:val="0004428D"/>
    <w:rsid w:val="0004431D"/>
    <w:rsid w:val="00044AAC"/>
    <w:rsid w:val="00045447"/>
    <w:rsid w:val="0004694F"/>
    <w:rsid w:val="0004695D"/>
    <w:rsid w:val="00046F2F"/>
    <w:rsid w:val="00047AD4"/>
    <w:rsid w:val="00047BAF"/>
    <w:rsid w:val="00047C70"/>
    <w:rsid w:val="00047D54"/>
    <w:rsid w:val="00047ED0"/>
    <w:rsid w:val="00050541"/>
    <w:rsid w:val="0005054A"/>
    <w:rsid w:val="00050A87"/>
    <w:rsid w:val="00050AFA"/>
    <w:rsid w:val="00051506"/>
    <w:rsid w:val="000522E4"/>
    <w:rsid w:val="00053713"/>
    <w:rsid w:val="0005434E"/>
    <w:rsid w:val="00055CB6"/>
    <w:rsid w:val="000572DD"/>
    <w:rsid w:val="00057B1E"/>
    <w:rsid w:val="00057D0F"/>
    <w:rsid w:val="00060195"/>
    <w:rsid w:val="0006033F"/>
    <w:rsid w:val="00060425"/>
    <w:rsid w:val="00060821"/>
    <w:rsid w:val="00060F88"/>
    <w:rsid w:val="000610E1"/>
    <w:rsid w:val="0006145F"/>
    <w:rsid w:val="000616AD"/>
    <w:rsid w:val="0006210C"/>
    <w:rsid w:val="000622A6"/>
    <w:rsid w:val="000627BD"/>
    <w:rsid w:val="00062A8F"/>
    <w:rsid w:val="00062C40"/>
    <w:rsid w:val="00062D70"/>
    <w:rsid w:val="00062E83"/>
    <w:rsid w:val="00062EC5"/>
    <w:rsid w:val="00062F22"/>
    <w:rsid w:val="0006375F"/>
    <w:rsid w:val="00063975"/>
    <w:rsid w:val="00063CEA"/>
    <w:rsid w:val="0006444D"/>
    <w:rsid w:val="000645FC"/>
    <w:rsid w:val="00064886"/>
    <w:rsid w:val="00065296"/>
    <w:rsid w:val="0006533F"/>
    <w:rsid w:val="00065348"/>
    <w:rsid w:val="00065406"/>
    <w:rsid w:val="0006551C"/>
    <w:rsid w:val="00065539"/>
    <w:rsid w:val="0006558D"/>
    <w:rsid w:val="00065907"/>
    <w:rsid w:val="00065910"/>
    <w:rsid w:val="00065A75"/>
    <w:rsid w:val="00065BAA"/>
    <w:rsid w:val="000663F0"/>
    <w:rsid w:val="00066558"/>
    <w:rsid w:val="000666B4"/>
    <w:rsid w:val="000671DB"/>
    <w:rsid w:val="00067833"/>
    <w:rsid w:val="00067982"/>
    <w:rsid w:val="00070A87"/>
    <w:rsid w:val="00070F6B"/>
    <w:rsid w:val="000711D6"/>
    <w:rsid w:val="000712B3"/>
    <w:rsid w:val="000715E5"/>
    <w:rsid w:val="00071A7C"/>
    <w:rsid w:val="00071E38"/>
    <w:rsid w:val="00071F50"/>
    <w:rsid w:val="00071FDC"/>
    <w:rsid w:val="000722A6"/>
    <w:rsid w:val="000725A8"/>
    <w:rsid w:val="00072829"/>
    <w:rsid w:val="00072FF5"/>
    <w:rsid w:val="00073065"/>
    <w:rsid w:val="00073A5A"/>
    <w:rsid w:val="00074588"/>
    <w:rsid w:val="0007471C"/>
    <w:rsid w:val="0007474E"/>
    <w:rsid w:val="00074988"/>
    <w:rsid w:val="0007512B"/>
    <w:rsid w:val="000751FF"/>
    <w:rsid w:val="00075551"/>
    <w:rsid w:val="00075DB8"/>
    <w:rsid w:val="000761CA"/>
    <w:rsid w:val="000763FD"/>
    <w:rsid w:val="000767F5"/>
    <w:rsid w:val="00076D90"/>
    <w:rsid w:val="000779E7"/>
    <w:rsid w:val="00077FF0"/>
    <w:rsid w:val="00081206"/>
    <w:rsid w:val="0008185C"/>
    <w:rsid w:val="00081A55"/>
    <w:rsid w:val="0008263E"/>
    <w:rsid w:val="00082C19"/>
    <w:rsid w:val="00082F89"/>
    <w:rsid w:val="00083457"/>
    <w:rsid w:val="000834ED"/>
    <w:rsid w:val="000837CD"/>
    <w:rsid w:val="00083B7F"/>
    <w:rsid w:val="0008454D"/>
    <w:rsid w:val="00084BFF"/>
    <w:rsid w:val="000851B8"/>
    <w:rsid w:val="00085395"/>
    <w:rsid w:val="0008629F"/>
    <w:rsid w:val="00086896"/>
    <w:rsid w:val="00086AC1"/>
    <w:rsid w:val="00086D19"/>
    <w:rsid w:val="00087634"/>
    <w:rsid w:val="00087EB4"/>
    <w:rsid w:val="00087F2B"/>
    <w:rsid w:val="00090694"/>
    <w:rsid w:val="00090EE2"/>
    <w:rsid w:val="00090FC6"/>
    <w:rsid w:val="0009122C"/>
    <w:rsid w:val="000913B1"/>
    <w:rsid w:val="00091F2E"/>
    <w:rsid w:val="0009210B"/>
    <w:rsid w:val="0009290F"/>
    <w:rsid w:val="00093241"/>
    <w:rsid w:val="00093868"/>
    <w:rsid w:val="00094A84"/>
    <w:rsid w:val="00095025"/>
    <w:rsid w:val="00095135"/>
    <w:rsid w:val="00095152"/>
    <w:rsid w:val="00095360"/>
    <w:rsid w:val="0009581D"/>
    <w:rsid w:val="00095CE0"/>
    <w:rsid w:val="000961E8"/>
    <w:rsid w:val="0009626E"/>
    <w:rsid w:val="0009644D"/>
    <w:rsid w:val="00096B52"/>
    <w:rsid w:val="0009709E"/>
    <w:rsid w:val="00097191"/>
    <w:rsid w:val="000974D1"/>
    <w:rsid w:val="00097784"/>
    <w:rsid w:val="0009799E"/>
    <w:rsid w:val="000A01E8"/>
    <w:rsid w:val="000A07CB"/>
    <w:rsid w:val="000A0BC0"/>
    <w:rsid w:val="000A1183"/>
    <w:rsid w:val="000A12ED"/>
    <w:rsid w:val="000A1B1A"/>
    <w:rsid w:val="000A1D49"/>
    <w:rsid w:val="000A212B"/>
    <w:rsid w:val="000A242D"/>
    <w:rsid w:val="000A256D"/>
    <w:rsid w:val="000A2643"/>
    <w:rsid w:val="000A2E5F"/>
    <w:rsid w:val="000A34B6"/>
    <w:rsid w:val="000A385C"/>
    <w:rsid w:val="000A3A2C"/>
    <w:rsid w:val="000A3D9E"/>
    <w:rsid w:val="000A44A7"/>
    <w:rsid w:val="000A4A54"/>
    <w:rsid w:val="000A4E47"/>
    <w:rsid w:val="000A4ED9"/>
    <w:rsid w:val="000A5DB7"/>
    <w:rsid w:val="000A6546"/>
    <w:rsid w:val="000A6753"/>
    <w:rsid w:val="000A6764"/>
    <w:rsid w:val="000A6D94"/>
    <w:rsid w:val="000A6DB7"/>
    <w:rsid w:val="000A70CD"/>
    <w:rsid w:val="000A72BC"/>
    <w:rsid w:val="000A7377"/>
    <w:rsid w:val="000A74A4"/>
    <w:rsid w:val="000A775A"/>
    <w:rsid w:val="000A7D63"/>
    <w:rsid w:val="000A7FF4"/>
    <w:rsid w:val="000B03CC"/>
    <w:rsid w:val="000B311B"/>
    <w:rsid w:val="000B382D"/>
    <w:rsid w:val="000B410B"/>
    <w:rsid w:val="000B4212"/>
    <w:rsid w:val="000B5E32"/>
    <w:rsid w:val="000B617A"/>
    <w:rsid w:val="000B61FF"/>
    <w:rsid w:val="000B67B7"/>
    <w:rsid w:val="000B6A0A"/>
    <w:rsid w:val="000B7BBB"/>
    <w:rsid w:val="000B7F46"/>
    <w:rsid w:val="000C0127"/>
    <w:rsid w:val="000C08B1"/>
    <w:rsid w:val="000C0CA6"/>
    <w:rsid w:val="000C0EA8"/>
    <w:rsid w:val="000C0FFC"/>
    <w:rsid w:val="000C13A2"/>
    <w:rsid w:val="000C18ED"/>
    <w:rsid w:val="000C1948"/>
    <w:rsid w:val="000C1D27"/>
    <w:rsid w:val="000C1D64"/>
    <w:rsid w:val="000C21E7"/>
    <w:rsid w:val="000C23EC"/>
    <w:rsid w:val="000C26A2"/>
    <w:rsid w:val="000C290E"/>
    <w:rsid w:val="000C30C3"/>
    <w:rsid w:val="000C3408"/>
    <w:rsid w:val="000C35AB"/>
    <w:rsid w:val="000C3988"/>
    <w:rsid w:val="000C3F7B"/>
    <w:rsid w:val="000C4769"/>
    <w:rsid w:val="000C4D56"/>
    <w:rsid w:val="000C5DFA"/>
    <w:rsid w:val="000C6AFD"/>
    <w:rsid w:val="000C6C90"/>
    <w:rsid w:val="000C7030"/>
    <w:rsid w:val="000C72B7"/>
    <w:rsid w:val="000C7757"/>
    <w:rsid w:val="000C7A79"/>
    <w:rsid w:val="000C7A83"/>
    <w:rsid w:val="000D0300"/>
    <w:rsid w:val="000D0A26"/>
    <w:rsid w:val="000D13CB"/>
    <w:rsid w:val="000D2196"/>
    <w:rsid w:val="000D2854"/>
    <w:rsid w:val="000D2C2E"/>
    <w:rsid w:val="000D2F4C"/>
    <w:rsid w:val="000D3058"/>
    <w:rsid w:val="000D310A"/>
    <w:rsid w:val="000D3EF4"/>
    <w:rsid w:val="000D4341"/>
    <w:rsid w:val="000D4761"/>
    <w:rsid w:val="000D4DC0"/>
    <w:rsid w:val="000D55BA"/>
    <w:rsid w:val="000D5637"/>
    <w:rsid w:val="000D5A03"/>
    <w:rsid w:val="000D5ED3"/>
    <w:rsid w:val="000D6028"/>
    <w:rsid w:val="000D6F4E"/>
    <w:rsid w:val="000D6FDA"/>
    <w:rsid w:val="000D73BB"/>
    <w:rsid w:val="000D7AC7"/>
    <w:rsid w:val="000D7DC0"/>
    <w:rsid w:val="000E04FD"/>
    <w:rsid w:val="000E0E96"/>
    <w:rsid w:val="000E12B0"/>
    <w:rsid w:val="000E1B49"/>
    <w:rsid w:val="000E1DDC"/>
    <w:rsid w:val="000E298B"/>
    <w:rsid w:val="000E2C7D"/>
    <w:rsid w:val="000E3E56"/>
    <w:rsid w:val="000E440D"/>
    <w:rsid w:val="000E4AC5"/>
    <w:rsid w:val="000E542C"/>
    <w:rsid w:val="000E57A8"/>
    <w:rsid w:val="000E6253"/>
    <w:rsid w:val="000E6AC4"/>
    <w:rsid w:val="000E6E4D"/>
    <w:rsid w:val="000E6EBE"/>
    <w:rsid w:val="000E6FBD"/>
    <w:rsid w:val="000E6FCB"/>
    <w:rsid w:val="000E7F98"/>
    <w:rsid w:val="000F090B"/>
    <w:rsid w:val="000F0D9A"/>
    <w:rsid w:val="000F0E60"/>
    <w:rsid w:val="000F1174"/>
    <w:rsid w:val="000F15F7"/>
    <w:rsid w:val="000F1654"/>
    <w:rsid w:val="000F1AA2"/>
    <w:rsid w:val="000F240E"/>
    <w:rsid w:val="000F378E"/>
    <w:rsid w:val="000F3B04"/>
    <w:rsid w:val="000F3CB6"/>
    <w:rsid w:val="000F3F3B"/>
    <w:rsid w:val="000F4721"/>
    <w:rsid w:val="000F47E8"/>
    <w:rsid w:val="000F5A6A"/>
    <w:rsid w:val="000F656A"/>
    <w:rsid w:val="000F6A76"/>
    <w:rsid w:val="000F6B09"/>
    <w:rsid w:val="000F70E4"/>
    <w:rsid w:val="000F76EA"/>
    <w:rsid w:val="0010034B"/>
    <w:rsid w:val="00100A8B"/>
    <w:rsid w:val="00100F5C"/>
    <w:rsid w:val="00100FBC"/>
    <w:rsid w:val="00101B15"/>
    <w:rsid w:val="00101CDA"/>
    <w:rsid w:val="0010200A"/>
    <w:rsid w:val="00102037"/>
    <w:rsid w:val="001022D3"/>
    <w:rsid w:val="00102815"/>
    <w:rsid w:val="00103DCB"/>
    <w:rsid w:val="00103DE1"/>
    <w:rsid w:val="00104C4C"/>
    <w:rsid w:val="00105015"/>
    <w:rsid w:val="001055D2"/>
    <w:rsid w:val="00105643"/>
    <w:rsid w:val="001057C2"/>
    <w:rsid w:val="00106BCC"/>
    <w:rsid w:val="00107124"/>
    <w:rsid w:val="00107DE1"/>
    <w:rsid w:val="0011038E"/>
    <w:rsid w:val="0011053F"/>
    <w:rsid w:val="00110A76"/>
    <w:rsid w:val="00111573"/>
    <w:rsid w:val="00111BBB"/>
    <w:rsid w:val="00111F64"/>
    <w:rsid w:val="00112370"/>
    <w:rsid w:val="0011239B"/>
    <w:rsid w:val="001125EF"/>
    <w:rsid w:val="00112CAB"/>
    <w:rsid w:val="00114349"/>
    <w:rsid w:val="0011440C"/>
    <w:rsid w:val="00114C33"/>
    <w:rsid w:val="00114D5B"/>
    <w:rsid w:val="00115553"/>
    <w:rsid w:val="00115CD6"/>
    <w:rsid w:val="00116ABE"/>
    <w:rsid w:val="00116D3F"/>
    <w:rsid w:val="00117474"/>
    <w:rsid w:val="00117623"/>
    <w:rsid w:val="00117FEA"/>
    <w:rsid w:val="001200CF"/>
    <w:rsid w:val="001208E3"/>
    <w:rsid w:val="00121609"/>
    <w:rsid w:val="0012192F"/>
    <w:rsid w:val="001221BD"/>
    <w:rsid w:val="0012267A"/>
    <w:rsid w:val="00122994"/>
    <w:rsid w:val="00123204"/>
    <w:rsid w:val="00124104"/>
    <w:rsid w:val="00124253"/>
    <w:rsid w:val="001242E7"/>
    <w:rsid w:val="00124B46"/>
    <w:rsid w:val="001255C8"/>
    <w:rsid w:val="001257BE"/>
    <w:rsid w:val="001257E0"/>
    <w:rsid w:val="00125D69"/>
    <w:rsid w:val="001263D2"/>
    <w:rsid w:val="00127256"/>
    <w:rsid w:val="001273CF"/>
    <w:rsid w:val="0012799C"/>
    <w:rsid w:val="00127BC2"/>
    <w:rsid w:val="00127E15"/>
    <w:rsid w:val="001308F1"/>
    <w:rsid w:val="00130ADC"/>
    <w:rsid w:val="00130D9F"/>
    <w:rsid w:val="001326DA"/>
    <w:rsid w:val="00132C4D"/>
    <w:rsid w:val="00133D0B"/>
    <w:rsid w:val="00133FC1"/>
    <w:rsid w:val="00134659"/>
    <w:rsid w:val="00134EF8"/>
    <w:rsid w:val="00135111"/>
    <w:rsid w:val="00135376"/>
    <w:rsid w:val="00135F90"/>
    <w:rsid w:val="0013645A"/>
    <w:rsid w:val="00136A6F"/>
    <w:rsid w:val="00136C1A"/>
    <w:rsid w:val="0013726F"/>
    <w:rsid w:val="00137812"/>
    <w:rsid w:val="001405FA"/>
    <w:rsid w:val="00140D1A"/>
    <w:rsid w:val="00140F93"/>
    <w:rsid w:val="00141184"/>
    <w:rsid w:val="00141315"/>
    <w:rsid w:val="0014152B"/>
    <w:rsid w:val="00141AA0"/>
    <w:rsid w:val="00141E9E"/>
    <w:rsid w:val="00142062"/>
    <w:rsid w:val="00142217"/>
    <w:rsid w:val="001425C3"/>
    <w:rsid w:val="0014262D"/>
    <w:rsid w:val="00142B29"/>
    <w:rsid w:val="00142E2D"/>
    <w:rsid w:val="00144108"/>
    <w:rsid w:val="00144588"/>
    <w:rsid w:val="001447DD"/>
    <w:rsid w:val="001448D8"/>
    <w:rsid w:val="0014517B"/>
    <w:rsid w:val="00145358"/>
    <w:rsid w:val="001458AC"/>
    <w:rsid w:val="001459BC"/>
    <w:rsid w:val="001467FC"/>
    <w:rsid w:val="0014779E"/>
    <w:rsid w:val="00147B13"/>
    <w:rsid w:val="00150ECA"/>
    <w:rsid w:val="0015108F"/>
    <w:rsid w:val="001515F8"/>
    <w:rsid w:val="00151707"/>
    <w:rsid w:val="0015212E"/>
    <w:rsid w:val="00152C86"/>
    <w:rsid w:val="00152F4F"/>
    <w:rsid w:val="00153264"/>
    <w:rsid w:val="0015329F"/>
    <w:rsid w:val="00154325"/>
    <w:rsid w:val="001544A1"/>
    <w:rsid w:val="001553B8"/>
    <w:rsid w:val="00155488"/>
    <w:rsid w:val="001554C2"/>
    <w:rsid w:val="00155882"/>
    <w:rsid w:val="00156B1D"/>
    <w:rsid w:val="00156D04"/>
    <w:rsid w:val="0015715B"/>
    <w:rsid w:val="001571C0"/>
    <w:rsid w:val="00157291"/>
    <w:rsid w:val="001574FE"/>
    <w:rsid w:val="0015753D"/>
    <w:rsid w:val="00157984"/>
    <w:rsid w:val="00157CC9"/>
    <w:rsid w:val="001602D3"/>
    <w:rsid w:val="00160C21"/>
    <w:rsid w:val="001612F4"/>
    <w:rsid w:val="00161553"/>
    <w:rsid w:val="0016187F"/>
    <w:rsid w:val="0016216F"/>
    <w:rsid w:val="0016256B"/>
    <w:rsid w:val="00162DAF"/>
    <w:rsid w:val="00162F81"/>
    <w:rsid w:val="0016311B"/>
    <w:rsid w:val="00163228"/>
    <w:rsid w:val="00163567"/>
    <w:rsid w:val="00163793"/>
    <w:rsid w:val="00163868"/>
    <w:rsid w:val="00163ACE"/>
    <w:rsid w:val="0016440C"/>
    <w:rsid w:val="001648A3"/>
    <w:rsid w:val="00164CA1"/>
    <w:rsid w:val="00164FC1"/>
    <w:rsid w:val="00165313"/>
    <w:rsid w:val="001659C3"/>
    <w:rsid w:val="001665AB"/>
    <w:rsid w:val="00167485"/>
    <w:rsid w:val="001679F5"/>
    <w:rsid w:val="00167B92"/>
    <w:rsid w:val="00167CB9"/>
    <w:rsid w:val="00167DD8"/>
    <w:rsid w:val="00170145"/>
    <w:rsid w:val="001705AD"/>
    <w:rsid w:val="001705ED"/>
    <w:rsid w:val="001706D6"/>
    <w:rsid w:val="0017141F"/>
    <w:rsid w:val="001714F2"/>
    <w:rsid w:val="001718E1"/>
    <w:rsid w:val="00171BA9"/>
    <w:rsid w:val="00171FEA"/>
    <w:rsid w:val="001729A5"/>
    <w:rsid w:val="00173622"/>
    <w:rsid w:val="00173B07"/>
    <w:rsid w:val="0017456C"/>
    <w:rsid w:val="00174AF8"/>
    <w:rsid w:val="001758F3"/>
    <w:rsid w:val="00175B9F"/>
    <w:rsid w:val="00175BF1"/>
    <w:rsid w:val="001762F4"/>
    <w:rsid w:val="001763F9"/>
    <w:rsid w:val="001777BA"/>
    <w:rsid w:val="001801F7"/>
    <w:rsid w:val="00181029"/>
    <w:rsid w:val="001819CB"/>
    <w:rsid w:val="00181BBC"/>
    <w:rsid w:val="0018253B"/>
    <w:rsid w:val="0018273F"/>
    <w:rsid w:val="0018305A"/>
    <w:rsid w:val="0018385F"/>
    <w:rsid w:val="00183BCF"/>
    <w:rsid w:val="00184017"/>
    <w:rsid w:val="001847BB"/>
    <w:rsid w:val="00184B08"/>
    <w:rsid w:val="00185010"/>
    <w:rsid w:val="001854F2"/>
    <w:rsid w:val="00185C22"/>
    <w:rsid w:val="00185C56"/>
    <w:rsid w:val="001869FD"/>
    <w:rsid w:val="00186BA9"/>
    <w:rsid w:val="00187D50"/>
    <w:rsid w:val="001909EA"/>
    <w:rsid w:val="00190B4D"/>
    <w:rsid w:val="001912A0"/>
    <w:rsid w:val="0019159C"/>
    <w:rsid w:val="001915BE"/>
    <w:rsid w:val="0019196C"/>
    <w:rsid w:val="001926A9"/>
    <w:rsid w:val="00192F05"/>
    <w:rsid w:val="00194729"/>
    <w:rsid w:val="00194850"/>
    <w:rsid w:val="00195234"/>
    <w:rsid w:val="0019524B"/>
    <w:rsid w:val="00195EA6"/>
    <w:rsid w:val="00196016"/>
    <w:rsid w:val="00196117"/>
    <w:rsid w:val="001969F0"/>
    <w:rsid w:val="00197A70"/>
    <w:rsid w:val="00197C0F"/>
    <w:rsid w:val="00197D0E"/>
    <w:rsid w:val="001A0487"/>
    <w:rsid w:val="001A0675"/>
    <w:rsid w:val="001A0773"/>
    <w:rsid w:val="001A0A0C"/>
    <w:rsid w:val="001A0A37"/>
    <w:rsid w:val="001A0EAD"/>
    <w:rsid w:val="001A15DD"/>
    <w:rsid w:val="001A164B"/>
    <w:rsid w:val="001A1F68"/>
    <w:rsid w:val="001A21FA"/>
    <w:rsid w:val="001A252C"/>
    <w:rsid w:val="001A3329"/>
    <w:rsid w:val="001A3529"/>
    <w:rsid w:val="001A40EA"/>
    <w:rsid w:val="001A432A"/>
    <w:rsid w:val="001A4D7C"/>
    <w:rsid w:val="001A4EF0"/>
    <w:rsid w:val="001A552F"/>
    <w:rsid w:val="001A5977"/>
    <w:rsid w:val="001A70B1"/>
    <w:rsid w:val="001A71F1"/>
    <w:rsid w:val="001A7672"/>
    <w:rsid w:val="001B045D"/>
    <w:rsid w:val="001B0738"/>
    <w:rsid w:val="001B10F1"/>
    <w:rsid w:val="001B1216"/>
    <w:rsid w:val="001B1235"/>
    <w:rsid w:val="001B158D"/>
    <w:rsid w:val="001B1A66"/>
    <w:rsid w:val="001B1BBB"/>
    <w:rsid w:val="001B2CA9"/>
    <w:rsid w:val="001B2EB2"/>
    <w:rsid w:val="001B2F90"/>
    <w:rsid w:val="001B3110"/>
    <w:rsid w:val="001B3E38"/>
    <w:rsid w:val="001B40F5"/>
    <w:rsid w:val="001B4729"/>
    <w:rsid w:val="001B4A56"/>
    <w:rsid w:val="001B4F0E"/>
    <w:rsid w:val="001B5064"/>
    <w:rsid w:val="001B5F40"/>
    <w:rsid w:val="001B6310"/>
    <w:rsid w:val="001B6C09"/>
    <w:rsid w:val="001B6E12"/>
    <w:rsid w:val="001B718E"/>
    <w:rsid w:val="001B77D2"/>
    <w:rsid w:val="001B78B1"/>
    <w:rsid w:val="001C05CD"/>
    <w:rsid w:val="001C082B"/>
    <w:rsid w:val="001C0C6D"/>
    <w:rsid w:val="001C0F17"/>
    <w:rsid w:val="001C11A6"/>
    <w:rsid w:val="001C1978"/>
    <w:rsid w:val="001C1B24"/>
    <w:rsid w:val="001C1B66"/>
    <w:rsid w:val="001C1BB5"/>
    <w:rsid w:val="001C1C1D"/>
    <w:rsid w:val="001C25F9"/>
    <w:rsid w:val="001C2732"/>
    <w:rsid w:val="001C31A2"/>
    <w:rsid w:val="001C351D"/>
    <w:rsid w:val="001C3794"/>
    <w:rsid w:val="001C3855"/>
    <w:rsid w:val="001C39D0"/>
    <w:rsid w:val="001C4562"/>
    <w:rsid w:val="001C4B8F"/>
    <w:rsid w:val="001C4BB8"/>
    <w:rsid w:val="001C4D8C"/>
    <w:rsid w:val="001C4FD0"/>
    <w:rsid w:val="001C544D"/>
    <w:rsid w:val="001C59ED"/>
    <w:rsid w:val="001C5E46"/>
    <w:rsid w:val="001C5FF5"/>
    <w:rsid w:val="001C65D6"/>
    <w:rsid w:val="001C6B3B"/>
    <w:rsid w:val="001C79A5"/>
    <w:rsid w:val="001C7A26"/>
    <w:rsid w:val="001C7E3F"/>
    <w:rsid w:val="001D0EF1"/>
    <w:rsid w:val="001D127A"/>
    <w:rsid w:val="001D19DE"/>
    <w:rsid w:val="001D1A44"/>
    <w:rsid w:val="001D22C2"/>
    <w:rsid w:val="001D2C99"/>
    <w:rsid w:val="001D3B75"/>
    <w:rsid w:val="001D4044"/>
    <w:rsid w:val="001D452E"/>
    <w:rsid w:val="001D45D0"/>
    <w:rsid w:val="001D4D0E"/>
    <w:rsid w:val="001D5065"/>
    <w:rsid w:val="001D54C1"/>
    <w:rsid w:val="001D556E"/>
    <w:rsid w:val="001D5D52"/>
    <w:rsid w:val="001D5D75"/>
    <w:rsid w:val="001D5DF2"/>
    <w:rsid w:val="001D6175"/>
    <w:rsid w:val="001D681E"/>
    <w:rsid w:val="001D68B2"/>
    <w:rsid w:val="001D6B3F"/>
    <w:rsid w:val="001D6B62"/>
    <w:rsid w:val="001D7B5E"/>
    <w:rsid w:val="001D7EFD"/>
    <w:rsid w:val="001D7F60"/>
    <w:rsid w:val="001E0794"/>
    <w:rsid w:val="001E0804"/>
    <w:rsid w:val="001E085B"/>
    <w:rsid w:val="001E099C"/>
    <w:rsid w:val="001E149B"/>
    <w:rsid w:val="001E15CB"/>
    <w:rsid w:val="001E1979"/>
    <w:rsid w:val="001E1CD5"/>
    <w:rsid w:val="001E1E57"/>
    <w:rsid w:val="001E2053"/>
    <w:rsid w:val="001E3306"/>
    <w:rsid w:val="001E3AC7"/>
    <w:rsid w:val="001E43D7"/>
    <w:rsid w:val="001E504C"/>
    <w:rsid w:val="001E56AC"/>
    <w:rsid w:val="001E5A17"/>
    <w:rsid w:val="001E663C"/>
    <w:rsid w:val="001E7410"/>
    <w:rsid w:val="001E74C5"/>
    <w:rsid w:val="001F0A78"/>
    <w:rsid w:val="001F0B27"/>
    <w:rsid w:val="001F1236"/>
    <w:rsid w:val="001F1282"/>
    <w:rsid w:val="001F2604"/>
    <w:rsid w:val="001F2637"/>
    <w:rsid w:val="001F26DE"/>
    <w:rsid w:val="001F2F90"/>
    <w:rsid w:val="001F363B"/>
    <w:rsid w:val="001F450F"/>
    <w:rsid w:val="001F4597"/>
    <w:rsid w:val="001F4689"/>
    <w:rsid w:val="001F4826"/>
    <w:rsid w:val="001F4933"/>
    <w:rsid w:val="001F4CF2"/>
    <w:rsid w:val="001F4DD2"/>
    <w:rsid w:val="001F59C8"/>
    <w:rsid w:val="001F5BE8"/>
    <w:rsid w:val="001F6360"/>
    <w:rsid w:val="001F6483"/>
    <w:rsid w:val="001F6CD3"/>
    <w:rsid w:val="001F75DA"/>
    <w:rsid w:val="001F7931"/>
    <w:rsid w:val="001F7CE0"/>
    <w:rsid w:val="001F7F06"/>
    <w:rsid w:val="00200085"/>
    <w:rsid w:val="0020044C"/>
    <w:rsid w:val="00200D71"/>
    <w:rsid w:val="00200F46"/>
    <w:rsid w:val="00201633"/>
    <w:rsid w:val="00201CB1"/>
    <w:rsid w:val="00201F53"/>
    <w:rsid w:val="00203332"/>
    <w:rsid w:val="002036E6"/>
    <w:rsid w:val="00203C5D"/>
    <w:rsid w:val="00203CD5"/>
    <w:rsid w:val="00203D8F"/>
    <w:rsid w:val="00203DA4"/>
    <w:rsid w:val="0020461C"/>
    <w:rsid w:val="00204A45"/>
    <w:rsid w:val="00204EA6"/>
    <w:rsid w:val="00204EF3"/>
    <w:rsid w:val="00205052"/>
    <w:rsid w:val="00205186"/>
    <w:rsid w:val="00206516"/>
    <w:rsid w:val="00206747"/>
    <w:rsid w:val="002070CF"/>
    <w:rsid w:val="002071D5"/>
    <w:rsid w:val="002073FD"/>
    <w:rsid w:val="00207AE4"/>
    <w:rsid w:val="00207B00"/>
    <w:rsid w:val="00210806"/>
    <w:rsid w:val="002108D5"/>
    <w:rsid w:val="00210A64"/>
    <w:rsid w:val="00210DCD"/>
    <w:rsid w:val="002111E5"/>
    <w:rsid w:val="00211207"/>
    <w:rsid w:val="0021149E"/>
    <w:rsid w:val="002118B9"/>
    <w:rsid w:val="002120F9"/>
    <w:rsid w:val="00212C92"/>
    <w:rsid w:val="00213691"/>
    <w:rsid w:val="00213FCD"/>
    <w:rsid w:val="002142C0"/>
    <w:rsid w:val="002152FC"/>
    <w:rsid w:val="00215B9B"/>
    <w:rsid w:val="00217418"/>
    <w:rsid w:val="00217BED"/>
    <w:rsid w:val="00217C5B"/>
    <w:rsid w:val="00217D9E"/>
    <w:rsid w:val="00220A43"/>
    <w:rsid w:val="00221139"/>
    <w:rsid w:val="0022139E"/>
    <w:rsid w:val="0022144F"/>
    <w:rsid w:val="00222729"/>
    <w:rsid w:val="0022287B"/>
    <w:rsid w:val="002228DB"/>
    <w:rsid w:val="00223185"/>
    <w:rsid w:val="00223264"/>
    <w:rsid w:val="002233D6"/>
    <w:rsid w:val="002234E7"/>
    <w:rsid w:val="002243AE"/>
    <w:rsid w:val="0022441D"/>
    <w:rsid w:val="00224574"/>
    <w:rsid w:val="00224A24"/>
    <w:rsid w:val="00224E3F"/>
    <w:rsid w:val="00225000"/>
    <w:rsid w:val="0022521D"/>
    <w:rsid w:val="002252E0"/>
    <w:rsid w:val="002255F6"/>
    <w:rsid w:val="00226032"/>
    <w:rsid w:val="002266CC"/>
    <w:rsid w:val="0022699D"/>
    <w:rsid w:val="002270A7"/>
    <w:rsid w:val="0022738D"/>
    <w:rsid w:val="00227605"/>
    <w:rsid w:val="00227850"/>
    <w:rsid w:val="0022794E"/>
    <w:rsid w:val="00227A53"/>
    <w:rsid w:val="00227C6C"/>
    <w:rsid w:val="00227E2E"/>
    <w:rsid w:val="00227F53"/>
    <w:rsid w:val="00230090"/>
    <w:rsid w:val="0023031A"/>
    <w:rsid w:val="00230619"/>
    <w:rsid w:val="00230C6E"/>
    <w:rsid w:val="00230E21"/>
    <w:rsid w:val="00230EF0"/>
    <w:rsid w:val="00231066"/>
    <w:rsid w:val="00231409"/>
    <w:rsid w:val="002316A8"/>
    <w:rsid w:val="00231859"/>
    <w:rsid w:val="002318C6"/>
    <w:rsid w:val="00231FE4"/>
    <w:rsid w:val="002320C9"/>
    <w:rsid w:val="0023288F"/>
    <w:rsid w:val="00233207"/>
    <w:rsid w:val="0023359B"/>
    <w:rsid w:val="00233603"/>
    <w:rsid w:val="002340EF"/>
    <w:rsid w:val="002344DE"/>
    <w:rsid w:val="00234B82"/>
    <w:rsid w:val="00236443"/>
    <w:rsid w:val="0023663C"/>
    <w:rsid w:val="00236700"/>
    <w:rsid w:val="00237C8B"/>
    <w:rsid w:val="00240391"/>
    <w:rsid w:val="00240AF3"/>
    <w:rsid w:val="00240FFF"/>
    <w:rsid w:val="0024175E"/>
    <w:rsid w:val="002418D5"/>
    <w:rsid w:val="00241A9F"/>
    <w:rsid w:val="00241B06"/>
    <w:rsid w:val="002422D6"/>
    <w:rsid w:val="00242A8F"/>
    <w:rsid w:val="00242F0D"/>
    <w:rsid w:val="00243085"/>
    <w:rsid w:val="0024343A"/>
    <w:rsid w:val="002436BA"/>
    <w:rsid w:val="0024376C"/>
    <w:rsid w:val="002438DC"/>
    <w:rsid w:val="00244652"/>
    <w:rsid w:val="00244A15"/>
    <w:rsid w:val="0024527A"/>
    <w:rsid w:val="002452D9"/>
    <w:rsid w:val="002460DA"/>
    <w:rsid w:val="00246D16"/>
    <w:rsid w:val="00247258"/>
    <w:rsid w:val="00247319"/>
    <w:rsid w:val="0024799E"/>
    <w:rsid w:val="00247B13"/>
    <w:rsid w:val="00247E60"/>
    <w:rsid w:val="002512B7"/>
    <w:rsid w:val="00251496"/>
    <w:rsid w:val="00251B08"/>
    <w:rsid w:val="00251C53"/>
    <w:rsid w:val="00252AB9"/>
    <w:rsid w:val="00252CBF"/>
    <w:rsid w:val="002532B1"/>
    <w:rsid w:val="00253C0F"/>
    <w:rsid w:val="00253F48"/>
    <w:rsid w:val="002546EC"/>
    <w:rsid w:val="00254865"/>
    <w:rsid w:val="00254E62"/>
    <w:rsid w:val="00254FC3"/>
    <w:rsid w:val="0025522B"/>
    <w:rsid w:val="002558C1"/>
    <w:rsid w:val="00256207"/>
    <w:rsid w:val="0025637A"/>
    <w:rsid w:val="002575F3"/>
    <w:rsid w:val="002601B4"/>
    <w:rsid w:val="002603E1"/>
    <w:rsid w:val="002605FE"/>
    <w:rsid w:val="0026072D"/>
    <w:rsid w:val="00260887"/>
    <w:rsid w:val="0026120E"/>
    <w:rsid w:val="002617EE"/>
    <w:rsid w:val="0026237D"/>
    <w:rsid w:val="00262582"/>
    <w:rsid w:val="00262588"/>
    <w:rsid w:val="0026291D"/>
    <w:rsid w:val="00262CF3"/>
    <w:rsid w:val="002632B0"/>
    <w:rsid w:val="00263CC7"/>
    <w:rsid w:val="00264309"/>
    <w:rsid w:val="00264713"/>
    <w:rsid w:val="00264992"/>
    <w:rsid w:val="00264B4F"/>
    <w:rsid w:val="00264B85"/>
    <w:rsid w:val="0026564B"/>
    <w:rsid w:val="002658BF"/>
    <w:rsid w:val="00265ABC"/>
    <w:rsid w:val="00265C83"/>
    <w:rsid w:val="00265E85"/>
    <w:rsid w:val="00267B49"/>
    <w:rsid w:val="00267C51"/>
    <w:rsid w:val="002700D9"/>
    <w:rsid w:val="0027025F"/>
    <w:rsid w:val="002704BD"/>
    <w:rsid w:val="002709CC"/>
    <w:rsid w:val="00270D25"/>
    <w:rsid w:val="00271022"/>
    <w:rsid w:val="002710ED"/>
    <w:rsid w:val="00271465"/>
    <w:rsid w:val="002716C7"/>
    <w:rsid w:val="00271A07"/>
    <w:rsid w:val="00271C6A"/>
    <w:rsid w:val="00271E47"/>
    <w:rsid w:val="00271F98"/>
    <w:rsid w:val="002721F5"/>
    <w:rsid w:val="002726A8"/>
    <w:rsid w:val="00272DF4"/>
    <w:rsid w:val="0027306A"/>
    <w:rsid w:val="00273D2B"/>
    <w:rsid w:val="00273FB3"/>
    <w:rsid w:val="00274240"/>
    <w:rsid w:val="002742A7"/>
    <w:rsid w:val="002744DB"/>
    <w:rsid w:val="0027485F"/>
    <w:rsid w:val="00274EA7"/>
    <w:rsid w:val="00275062"/>
    <w:rsid w:val="00275758"/>
    <w:rsid w:val="0027583D"/>
    <w:rsid w:val="002759C7"/>
    <w:rsid w:val="00275DEF"/>
    <w:rsid w:val="00275E43"/>
    <w:rsid w:val="002763A2"/>
    <w:rsid w:val="00276498"/>
    <w:rsid w:val="00276928"/>
    <w:rsid w:val="00276B33"/>
    <w:rsid w:val="00276E20"/>
    <w:rsid w:val="00276F97"/>
    <w:rsid w:val="00277669"/>
    <w:rsid w:val="002803A5"/>
    <w:rsid w:val="00280ACB"/>
    <w:rsid w:val="002812E3"/>
    <w:rsid w:val="00281576"/>
    <w:rsid w:val="00282AD4"/>
    <w:rsid w:val="0028341F"/>
    <w:rsid w:val="00283770"/>
    <w:rsid w:val="002837AE"/>
    <w:rsid w:val="00283C13"/>
    <w:rsid w:val="00283F7B"/>
    <w:rsid w:val="0028431A"/>
    <w:rsid w:val="002853FA"/>
    <w:rsid w:val="00285412"/>
    <w:rsid w:val="00286220"/>
    <w:rsid w:val="00286AAC"/>
    <w:rsid w:val="00286DC2"/>
    <w:rsid w:val="002870F0"/>
    <w:rsid w:val="00287DD1"/>
    <w:rsid w:val="002903D4"/>
    <w:rsid w:val="00290531"/>
    <w:rsid w:val="0029110B"/>
    <w:rsid w:val="00291640"/>
    <w:rsid w:val="00291882"/>
    <w:rsid w:val="00291B77"/>
    <w:rsid w:val="002922DC"/>
    <w:rsid w:val="0029237E"/>
    <w:rsid w:val="0029268D"/>
    <w:rsid w:val="00292997"/>
    <w:rsid w:val="002934D6"/>
    <w:rsid w:val="00293B8C"/>
    <w:rsid w:val="00293D24"/>
    <w:rsid w:val="002944A6"/>
    <w:rsid w:val="0029461A"/>
    <w:rsid w:val="0029509B"/>
    <w:rsid w:val="00295430"/>
    <w:rsid w:val="0029574D"/>
    <w:rsid w:val="0029588F"/>
    <w:rsid w:val="00295E96"/>
    <w:rsid w:val="002971C4"/>
    <w:rsid w:val="00297256"/>
    <w:rsid w:val="00297A5C"/>
    <w:rsid w:val="00297D51"/>
    <w:rsid w:val="002A0122"/>
    <w:rsid w:val="002A016B"/>
    <w:rsid w:val="002A103E"/>
    <w:rsid w:val="002A16D4"/>
    <w:rsid w:val="002A1E4F"/>
    <w:rsid w:val="002A1E96"/>
    <w:rsid w:val="002A230C"/>
    <w:rsid w:val="002A2376"/>
    <w:rsid w:val="002A25B5"/>
    <w:rsid w:val="002A2AF7"/>
    <w:rsid w:val="002A30ED"/>
    <w:rsid w:val="002A3209"/>
    <w:rsid w:val="002A34B5"/>
    <w:rsid w:val="002A377D"/>
    <w:rsid w:val="002A3898"/>
    <w:rsid w:val="002A38F3"/>
    <w:rsid w:val="002A3EA2"/>
    <w:rsid w:val="002A3FAB"/>
    <w:rsid w:val="002A3FBA"/>
    <w:rsid w:val="002A51AC"/>
    <w:rsid w:val="002A532A"/>
    <w:rsid w:val="002A5342"/>
    <w:rsid w:val="002A5846"/>
    <w:rsid w:val="002A5D97"/>
    <w:rsid w:val="002A603E"/>
    <w:rsid w:val="002A63B9"/>
    <w:rsid w:val="002A7089"/>
    <w:rsid w:val="002A7709"/>
    <w:rsid w:val="002A79B3"/>
    <w:rsid w:val="002A7B5E"/>
    <w:rsid w:val="002B0692"/>
    <w:rsid w:val="002B1182"/>
    <w:rsid w:val="002B118D"/>
    <w:rsid w:val="002B1619"/>
    <w:rsid w:val="002B1A42"/>
    <w:rsid w:val="002B1C3B"/>
    <w:rsid w:val="002B1D9D"/>
    <w:rsid w:val="002B20D1"/>
    <w:rsid w:val="002B2379"/>
    <w:rsid w:val="002B3401"/>
    <w:rsid w:val="002B3EF4"/>
    <w:rsid w:val="002B4845"/>
    <w:rsid w:val="002B4C6C"/>
    <w:rsid w:val="002B4EE6"/>
    <w:rsid w:val="002B5567"/>
    <w:rsid w:val="002B5812"/>
    <w:rsid w:val="002B5833"/>
    <w:rsid w:val="002B72AA"/>
    <w:rsid w:val="002B75C0"/>
    <w:rsid w:val="002C0572"/>
    <w:rsid w:val="002C1110"/>
    <w:rsid w:val="002C15ED"/>
    <w:rsid w:val="002C1BC2"/>
    <w:rsid w:val="002C1F09"/>
    <w:rsid w:val="002C22A4"/>
    <w:rsid w:val="002C260B"/>
    <w:rsid w:val="002C27A6"/>
    <w:rsid w:val="002C31E4"/>
    <w:rsid w:val="002C398D"/>
    <w:rsid w:val="002C3A03"/>
    <w:rsid w:val="002C40D2"/>
    <w:rsid w:val="002C43BD"/>
    <w:rsid w:val="002C5245"/>
    <w:rsid w:val="002C564A"/>
    <w:rsid w:val="002C59D8"/>
    <w:rsid w:val="002C5FEB"/>
    <w:rsid w:val="002C6494"/>
    <w:rsid w:val="002C7573"/>
    <w:rsid w:val="002C7B33"/>
    <w:rsid w:val="002D00F7"/>
    <w:rsid w:val="002D0599"/>
    <w:rsid w:val="002D05CB"/>
    <w:rsid w:val="002D0C51"/>
    <w:rsid w:val="002D0E59"/>
    <w:rsid w:val="002D1ED6"/>
    <w:rsid w:val="002D20A4"/>
    <w:rsid w:val="002D24AC"/>
    <w:rsid w:val="002D2C4F"/>
    <w:rsid w:val="002D3800"/>
    <w:rsid w:val="002D3EBB"/>
    <w:rsid w:val="002D455C"/>
    <w:rsid w:val="002D48A1"/>
    <w:rsid w:val="002D55FA"/>
    <w:rsid w:val="002D6066"/>
    <w:rsid w:val="002D67B7"/>
    <w:rsid w:val="002D6A4C"/>
    <w:rsid w:val="002D743D"/>
    <w:rsid w:val="002E02A1"/>
    <w:rsid w:val="002E196A"/>
    <w:rsid w:val="002E1E2B"/>
    <w:rsid w:val="002E1F8A"/>
    <w:rsid w:val="002E20C7"/>
    <w:rsid w:val="002E20CD"/>
    <w:rsid w:val="002E222E"/>
    <w:rsid w:val="002E28D8"/>
    <w:rsid w:val="002E3036"/>
    <w:rsid w:val="002E3638"/>
    <w:rsid w:val="002E37D1"/>
    <w:rsid w:val="002E3BEE"/>
    <w:rsid w:val="002E3C41"/>
    <w:rsid w:val="002E4482"/>
    <w:rsid w:val="002E4DCE"/>
    <w:rsid w:val="002E4E4C"/>
    <w:rsid w:val="002E4EA7"/>
    <w:rsid w:val="002E564B"/>
    <w:rsid w:val="002E5846"/>
    <w:rsid w:val="002E5884"/>
    <w:rsid w:val="002E631B"/>
    <w:rsid w:val="002E792B"/>
    <w:rsid w:val="002E7AEB"/>
    <w:rsid w:val="002E7B79"/>
    <w:rsid w:val="002F06E2"/>
    <w:rsid w:val="002F1B09"/>
    <w:rsid w:val="002F1D56"/>
    <w:rsid w:val="002F1DCB"/>
    <w:rsid w:val="002F1DE4"/>
    <w:rsid w:val="002F333D"/>
    <w:rsid w:val="002F351A"/>
    <w:rsid w:val="002F357F"/>
    <w:rsid w:val="002F3A2C"/>
    <w:rsid w:val="002F428F"/>
    <w:rsid w:val="002F44EF"/>
    <w:rsid w:val="002F4631"/>
    <w:rsid w:val="002F46D6"/>
    <w:rsid w:val="002F498A"/>
    <w:rsid w:val="002F4AD8"/>
    <w:rsid w:val="002F5285"/>
    <w:rsid w:val="002F52CE"/>
    <w:rsid w:val="002F5820"/>
    <w:rsid w:val="002F64BB"/>
    <w:rsid w:val="002F7D9B"/>
    <w:rsid w:val="00300901"/>
    <w:rsid w:val="003009B1"/>
    <w:rsid w:val="00300C31"/>
    <w:rsid w:val="00300D42"/>
    <w:rsid w:val="00300E7D"/>
    <w:rsid w:val="00300FA9"/>
    <w:rsid w:val="00301127"/>
    <w:rsid w:val="00301294"/>
    <w:rsid w:val="003017EC"/>
    <w:rsid w:val="003018D9"/>
    <w:rsid w:val="00302165"/>
    <w:rsid w:val="00302706"/>
    <w:rsid w:val="003036CE"/>
    <w:rsid w:val="00303BB4"/>
    <w:rsid w:val="00303DE8"/>
    <w:rsid w:val="00304771"/>
    <w:rsid w:val="00304F9C"/>
    <w:rsid w:val="003052D4"/>
    <w:rsid w:val="00305863"/>
    <w:rsid w:val="003060D6"/>
    <w:rsid w:val="003060E9"/>
    <w:rsid w:val="00306C5B"/>
    <w:rsid w:val="00307529"/>
    <w:rsid w:val="003077F5"/>
    <w:rsid w:val="00307DB3"/>
    <w:rsid w:val="00307ED2"/>
    <w:rsid w:val="0031010B"/>
    <w:rsid w:val="0031076D"/>
    <w:rsid w:val="003107F8"/>
    <w:rsid w:val="0031169A"/>
    <w:rsid w:val="00311AA6"/>
    <w:rsid w:val="00311C4D"/>
    <w:rsid w:val="003121AB"/>
    <w:rsid w:val="00312A85"/>
    <w:rsid w:val="003136D6"/>
    <w:rsid w:val="00314B30"/>
    <w:rsid w:val="00315067"/>
    <w:rsid w:val="00315169"/>
    <w:rsid w:val="003153C8"/>
    <w:rsid w:val="00315524"/>
    <w:rsid w:val="00315561"/>
    <w:rsid w:val="00316442"/>
    <w:rsid w:val="00316B3D"/>
    <w:rsid w:val="0031701C"/>
    <w:rsid w:val="00320454"/>
    <w:rsid w:val="0032058C"/>
    <w:rsid w:val="0032069E"/>
    <w:rsid w:val="003208D0"/>
    <w:rsid w:val="003209D6"/>
    <w:rsid w:val="00320ACF"/>
    <w:rsid w:val="00320D58"/>
    <w:rsid w:val="003217B9"/>
    <w:rsid w:val="00321924"/>
    <w:rsid w:val="00321AF1"/>
    <w:rsid w:val="00321EB6"/>
    <w:rsid w:val="003220A5"/>
    <w:rsid w:val="003238E0"/>
    <w:rsid w:val="00323A1C"/>
    <w:rsid w:val="00323A2F"/>
    <w:rsid w:val="00323A8E"/>
    <w:rsid w:val="003247E1"/>
    <w:rsid w:val="00324B59"/>
    <w:rsid w:val="0032509D"/>
    <w:rsid w:val="00325967"/>
    <w:rsid w:val="00325E46"/>
    <w:rsid w:val="003260B5"/>
    <w:rsid w:val="0032656E"/>
    <w:rsid w:val="0032788F"/>
    <w:rsid w:val="00330067"/>
    <w:rsid w:val="00330A2C"/>
    <w:rsid w:val="00332190"/>
    <w:rsid w:val="00332761"/>
    <w:rsid w:val="00332A98"/>
    <w:rsid w:val="00332B6A"/>
    <w:rsid w:val="003334BD"/>
    <w:rsid w:val="00333973"/>
    <w:rsid w:val="00333CD0"/>
    <w:rsid w:val="00333F27"/>
    <w:rsid w:val="0033427A"/>
    <w:rsid w:val="0033448D"/>
    <w:rsid w:val="00334AD2"/>
    <w:rsid w:val="00334CB6"/>
    <w:rsid w:val="00335B33"/>
    <w:rsid w:val="0033709C"/>
    <w:rsid w:val="003370C5"/>
    <w:rsid w:val="003373C6"/>
    <w:rsid w:val="0033753A"/>
    <w:rsid w:val="003375E0"/>
    <w:rsid w:val="00337A31"/>
    <w:rsid w:val="00337A36"/>
    <w:rsid w:val="00337B16"/>
    <w:rsid w:val="00337E38"/>
    <w:rsid w:val="00340122"/>
    <w:rsid w:val="003409CA"/>
    <w:rsid w:val="00340BF3"/>
    <w:rsid w:val="00340D3D"/>
    <w:rsid w:val="0034193A"/>
    <w:rsid w:val="00341C6C"/>
    <w:rsid w:val="00341D26"/>
    <w:rsid w:val="00341E9A"/>
    <w:rsid w:val="00341F05"/>
    <w:rsid w:val="00342CDF"/>
    <w:rsid w:val="00342CE7"/>
    <w:rsid w:val="0034335E"/>
    <w:rsid w:val="00343CD0"/>
    <w:rsid w:val="0034464E"/>
    <w:rsid w:val="00344668"/>
    <w:rsid w:val="00344940"/>
    <w:rsid w:val="0034506D"/>
    <w:rsid w:val="0034514C"/>
    <w:rsid w:val="00345489"/>
    <w:rsid w:val="00346234"/>
    <w:rsid w:val="003462D9"/>
    <w:rsid w:val="00346475"/>
    <w:rsid w:val="0034723F"/>
    <w:rsid w:val="00347247"/>
    <w:rsid w:val="003472DE"/>
    <w:rsid w:val="003472E0"/>
    <w:rsid w:val="003474B6"/>
    <w:rsid w:val="00347DD4"/>
    <w:rsid w:val="003512A5"/>
    <w:rsid w:val="00352B43"/>
    <w:rsid w:val="00352C28"/>
    <w:rsid w:val="00353485"/>
    <w:rsid w:val="00353ACC"/>
    <w:rsid w:val="003541BB"/>
    <w:rsid w:val="00354502"/>
    <w:rsid w:val="003546F0"/>
    <w:rsid w:val="00354F89"/>
    <w:rsid w:val="0035506D"/>
    <w:rsid w:val="00357940"/>
    <w:rsid w:val="003579A1"/>
    <w:rsid w:val="0036077F"/>
    <w:rsid w:val="00360A35"/>
    <w:rsid w:val="00360C86"/>
    <w:rsid w:val="00360DEC"/>
    <w:rsid w:val="00360F7A"/>
    <w:rsid w:val="00360FBC"/>
    <w:rsid w:val="00361537"/>
    <w:rsid w:val="00361B2D"/>
    <w:rsid w:val="00361E1B"/>
    <w:rsid w:val="00361FB7"/>
    <w:rsid w:val="0036242A"/>
    <w:rsid w:val="00362C23"/>
    <w:rsid w:val="00362DCA"/>
    <w:rsid w:val="00362E90"/>
    <w:rsid w:val="00363152"/>
    <w:rsid w:val="00364324"/>
    <w:rsid w:val="00364967"/>
    <w:rsid w:val="00364C69"/>
    <w:rsid w:val="00364FA0"/>
    <w:rsid w:val="003650A2"/>
    <w:rsid w:val="003651C5"/>
    <w:rsid w:val="003657F3"/>
    <w:rsid w:val="00365844"/>
    <w:rsid w:val="00365F61"/>
    <w:rsid w:val="0036624C"/>
    <w:rsid w:val="003666B1"/>
    <w:rsid w:val="00367F84"/>
    <w:rsid w:val="0037057F"/>
    <w:rsid w:val="003712BC"/>
    <w:rsid w:val="00371C3E"/>
    <w:rsid w:val="00372164"/>
    <w:rsid w:val="003724CE"/>
    <w:rsid w:val="003738BD"/>
    <w:rsid w:val="00374263"/>
    <w:rsid w:val="003746F0"/>
    <w:rsid w:val="00374A20"/>
    <w:rsid w:val="00374B96"/>
    <w:rsid w:val="00374E21"/>
    <w:rsid w:val="00374E8C"/>
    <w:rsid w:val="0037520A"/>
    <w:rsid w:val="0037537A"/>
    <w:rsid w:val="0037670D"/>
    <w:rsid w:val="00377B2E"/>
    <w:rsid w:val="00380C9B"/>
    <w:rsid w:val="003810F0"/>
    <w:rsid w:val="003815D4"/>
    <w:rsid w:val="003818DC"/>
    <w:rsid w:val="0038214B"/>
    <w:rsid w:val="00382513"/>
    <w:rsid w:val="003827B3"/>
    <w:rsid w:val="00383388"/>
    <w:rsid w:val="0038346A"/>
    <w:rsid w:val="003834F8"/>
    <w:rsid w:val="0038370D"/>
    <w:rsid w:val="003838D0"/>
    <w:rsid w:val="003840C2"/>
    <w:rsid w:val="00384327"/>
    <w:rsid w:val="00384A89"/>
    <w:rsid w:val="00384F9F"/>
    <w:rsid w:val="00385086"/>
    <w:rsid w:val="00385344"/>
    <w:rsid w:val="003856A6"/>
    <w:rsid w:val="00385C7B"/>
    <w:rsid w:val="00385D98"/>
    <w:rsid w:val="00386076"/>
    <w:rsid w:val="00386CDE"/>
    <w:rsid w:val="00390306"/>
    <w:rsid w:val="003908A6"/>
    <w:rsid w:val="0039099B"/>
    <w:rsid w:val="00390A99"/>
    <w:rsid w:val="0039109D"/>
    <w:rsid w:val="00391989"/>
    <w:rsid w:val="00391A6C"/>
    <w:rsid w:val="00391DE6"/>
    <w:rsid w:val="003927F6"/>
    <w:rsid w:val="00392AB8"/>
    <w:rsid w:val="00392C79"/>
    <w:rsid w:val="0039398D"/>
    <w:rsid w:val="00393B3F"/>
    <w:rsid w:val="0039402D"/>
    <w:rsid w:val="00396739"/>
    <w:rsid w:val="003978B1"/>
    <w:rsid w:val="00397C50"/>
    <w:rsid w:val="00397C8B"/>
    <w:rsid w:val="003A0023"/>
    <w:rsid w:val="003A04F6"/>
    <w:rsid w:val="003A07ED"/>
    <w:rsid w:val="003A0837"/>
    <w:rsid w:val="003A17E1"/>
    <w:rsid w:val="003A1FE1"/>
    <w:rsid w:val="003A20E8"/>
    <w:rsid w:val="003A2B4D"/>
    <w:rsid w:val="003A2D12"/>
    <w:rsid w:val="003A2EBA"/>
    <w:rsid w:val="003A30C0"/>
    <w:rsid w:val="003A32DB"/>
    <w:rsid w:val="003A4153"/>
    <w:rsid w:val="003A45E3"/>
    <w:rsid w:val="003A46B8"/>
    <w:rsid w:val="003A478C"/>
    <w:rsid w:val="003A4A38"/>
    <w:rsid w:val="003A4B47"/>
    <w:rsid w:val="003A4E88"/>
    <w:rsid w:val="003A5295"/>
    <w:rsid w:val="003A537D"/>
    <w:rsid w:val="003A5525"/>
    <w:rsid w:val="003A5889"/>
    <w:rsid w:val="003A5C8C"/>
    <w:rsid w:val="003A620D"/>
    <w:rsid w:val="003A6B38"/>
    <w:rsid w:val="003A6B83"/>
    <w:rsid w:val="003A6C97"/>
    <w:rsid w:val="003A722F"/>
    <w:rsid w:val="003A7373"/>
    <w:rsid w:val="003A7D09"/>
    <w:rsid w:val="003A7E41"/>
    <w:rsid w:val="003B0067"/>
    <w:rsid w:val="003B019E"/>
    <w:rsid w:val="003B039F"/>
    <w:rsid w:val="003B0DF4"/>
    <w:rsid w:val="003B1F9D"/>
    <w:rsid w:val="003B2A8D"/>
    <w:rsid w:val="003B2AD1"/>
    <w:rsid w:val="003B2D2E"/>
    <w:rsid w:val="003B376A"/>
    <w:rsid w:val="003B403E"/>
    <w:rsid w:val="003B461F"/>
    <w:rsid w:val="003B483F"/>
    <w:rsid w:val="003B4998"/>
    <w:rsid w:val="003B5A32"/>
    <w:rsid w:val="003B5A37"/>
    <w:rsid w:val="003B5B59"/>
    <w:rsid w:val="003B68B7"/>
    <w:rsid w:val="003B6BAF"/>
    <w:rsid w:val="003B709D"/>
    <w:rsid w:val="003B7B50"/>
    <w:rsid w:val="003C0526"/>
    <w:rsid w:val="003C06D9"/>
    <w:rsid w:val="003C0B07"/>
    <w:rsid w:val="003C1B43"/>
    <w:rsid w:val="003C2363"/>
    <w:rsid w:val="003C2CE7"/>
    <w:rsid w:val="003C2DB8"/>
    <w:rsid w:val="003C3490"/>
    <w:rsid w:val="003C3608"/>
    <w:rsid w:val="003C3A87"/>
    <w:rsid w:val="003C3AE8"/>
    <w:rsid w:val="003C3D2C"/>
    <w:rsid w:val="003C4058"/>
    <w:rsid w:val="003C4E13"/>
    <w:rsid w:val="003C5015"/>
    <w:rsid w:val="003C53DC"/>
    <w:rsid w:val="003C58A5"/>
    <w:rsid w:val="003C6221"/>
    <w:rsid w:val="003C63D7"/>
    <w:rsid w:val="003C658F"/>
    <w:rsid w:val="003C68CC"/>
    <w:rsid w:val="003C6E3A"/>
    <w:rsid w:val="003C7E62"/>
    <w:rsid w:val="003D12B9"/>
    <w:rsid w:val="003D1B0D"/>
    <w:rsid w:val="003D1E2E"/>
    <w:rsid w:val="003D1E7A"/>
    <w:rsid w:val="003D240E"/>
    <w:rsid w:val="003D242B"/>
    <w:rsid w:val="003D2492"/>
    <w:rsid w:val="003D26DF"/>
    <w:rsid w:val="003D29AA"/>
    <w:rsid w:val="003D2A99"/>
    <w:rsid w:val="003D3525"/>
    <w:rsid w:val="003D38BE"/>
    <w:rsid w:val="003D40FC"/>
    <w:rsid w:val="003D4927"/>
    <w:rsid w:val="003D4C3C"/>
    <w:rsid w:val="003D5175"/>
    <w:rsid w:val="003D59D5"/>
    <w:rsid w:val="003D5EBF"/>
    <w:rsid w:val="003D6920"/>
    <w:rsid w:val="003D7396"/>
    <w:rsid w:val="003E0249"/>
    <w:rsid w:val="003E08A4"/>
    <w:rsid w:val="003E105C"/>
    <w:rsid w:val="003E1EF8"/>
    <w:rsid w:val="003E2754"/>
    <w:rsid w:val="003E294B"/>
    <w:rsid w:val="003E2DFB"/>
    <w:rsid w:val="003E41C6"/>
    <w:rsid w:val="003E4466"/>
    <w:rsid w:val="003E4C91"/>
    <w:rsid w:val="003E52D8"/>
    <w:rsid w:val="003E62F1"/>
    <w:rsid w:val="003E64C8"/>
    <w:rsid w:val="003E6DE2"/>
    <w:rsid w:val="003E6ED5"/>
    <w:rsid w:val="003E6F84"/>
    <w:rsid w:val="003E72FF"/>
    <w:rsid w:val="003E7B8A"/>
    <w:rsid w:val="003F0148"/>
    <w:rsid w:val="003F0F37"/>
    <w:rsid w:val="003F139A"/>
    <w:rsid w:val="003F18BB"/>
    <w:rsid w:val="003F1F13"/>
    <w:rsid w:val="003F275B"/>
    <w:rsid w:val="003F2DE7"/>
    <w:rsid w:val="003F313C"/>
    <w:rsid w:val="003F31D2"/>
    <w:rsid w:val="003F33B1"/>
    <w:rsid w:val="003F33B9"/>
    <w:rsid w:val="003F37FC"/>
    <w:rsid w:val="003F3E76"/>
    <w:rsid w:val="003F4318"/>
    <w:rsid w:val="003F4B2C"/>
    <w:rsid w:val="003F551C"/>
    <w:rsid w:val="003F5E2D"/>
    <w:rsid w:val="003F626D"/>
    <w:rsid w:val="003F6380"/>
    <w:rsid w:val="003F72ED"/>
    <w:rsid w:val="003F7793"/>
    <w:rsid w:val="003F7D23"/>
    <w:rsid w:val="00400050"/>
    <w:rsid w:val="004002C8"/>
    <w:rsid w:val="00400468"/>
    <w:rsid w:val="00400885"/>
    <w:rsid w:val="0040099D"/>
    <w:rsid w:val="00401441"/>
    <w:rsid w:val="004016CB"/>
    <w:rsid w:val="00401B23"/>
    <w:rsid w:val="00402ADB"/>
    <w:rsid w:val="00402E33"/>
    <w:rsid w:val="0040368D"/>
    <w:rsid w:val="00403BBF"/>
    <w:rsid w:val="00403D1D"/>
    <w:rsid w:val="00403F57"/>
    <w:rsid w:val="00404244"/>
    <w:rsid w:val="004042F6"/>
    <w:rsid w:val="004046BD"/>
    <w:rsid w:val="00404BAB"/>
    <w:rsid w:val="00405318"/>
    <w:rsid w:val="004059D2"/>
    <w:rsid w:val="00405DCB"/>
    <w:rsid w:val="004060C9"/>
    <w:rsid w:val="004066D0"/>
    <w:rsid w:val="00406C2E"/>
    <w:rsid w:val="00406CDA"/>
    <w:rsid w:val="00406EB0"/>
    <w:rsid w:val="00407101"/>
    <w:rsid w:val="00407711"/>
    <w:rsid w:val="00407C13"/>
    <w:rsid w:val="004103F6"/>
    <w:rsid w:val="00410638"/>
    <w:rsid w:val="00410D14"/>
    <w:rsid w:val="00410EDB"/>
    <w:rsid w:val="004115CE"/>
    <w:rsid w:val="00412511"/>
    <w:rsid w:val="004125C2"/>
    <w:rsid w:val="00412885"/>
    <w:rsid w:val="00412DFA"/>
    <w:rsid w:val="00413465"/>
    <w:rsid w:val="004140A6"/>
    <w:rsid w:val="004149AC"/>
    <w:rsid w:val="0041501E"/>
    <w:rsid w:val="00415452"/>
    <w:rsid w:val="004159C3"/>
    <w:rsid w:val="00415A57"/>
    <w:rsid w:val="00416BAF"/>
    <w:rsid w:val="00416DAC"/>
    <w:rsid w:val="00417106"/>
    <w:rsid w:val="00417997"/>
    <w:rsid w:val="00417B6C"/>
    <w:rsid w:val="00420880"/>
    <w:rsid w:val="00421179"/>
    <w:rsid w:val="004225D2"/>
    <w:rsid w:val="004225D7"/>
    <w:rsid w:val="00423623"/>
    <w:rsid w:val="004241B3"/>
    <w:rsid w:val="0042470E"/>
    <w:rsid w:val="00424E0F"/>
    <w:rsid w:val="00424E7C"/>
    <w:rsid w:val="00425352"/>
    <w:rsid w:val="00425E71"/>
    <w:rsid w:val="00426C99"/>
    <w:rsid w:val="004272BE"/>
    <w:rsid w:val="00430C96"/>
    <w:rsid w:val="0043174F"/>
    <w:rsid w:val="00431BFF"/>
    <w:rsid w:val="00431C82"/>
    <w:rsid w:val="00432199"/>
    <w:rsid w:val="00432A58"/>
    <w:rsid w:val="004331C3"/>
    <w:rsid w:val="004333DF"/>
    <w:rsid w:val="0043369F"/>
    <w:rsid w:val="004337D8"/>
    <w:rsid w:val="00433C17"/>
    <w:rsid w:val="00434171"/>
    <w:rsid w:val="00434617"/>
    <w:rsid w:val="00434DE9"/>
    <w:rsid w:val="00435051"/>
    <w:rsid w:val="00435C69"/>
    <w:rsid w:val="00435EBF"/>
    <w:rsid w:val="004360FB"/>
    <w:rsid w:val="00437CED"/>
    <w:rsid w:val="004401D0"/>
    <w:rsid w:val="004407BF"/>
    <w:rsid w:val="00440900"/>
    <w:rsid w:val="00440AC0"/>
    <w:rsid w:val="00440D2A"/>
    <w:rsid w:val="0044121D"/>
    <w:rsid w:val="00441BF6"/>
    <w:rsid w:val="00441D2B"/>
    <w:rsid w:val="00441F8B"/>
    <w:rsid w:val="00442085"/>
    <w:rsid w:val="00442136"/>
    <w:rsid w:val="0044279E"/>
    <w:rsid w:val="00442882"/>
    <w:rsid w:val="00443519"/>
    <w:rsid w:val="00443C06"/>
    <w:rsid w:val="004441A0"/>
    <w:rsid w:val="00444A2C"/>
    <w:rsid w:val="0044519E"/>
    <w:rsid w:val="00445861"/>
    <w:rsid w:val="00445A8E"/>
    <w:rsid w:val="00446D44"/>
    <w:rsid w:val="00447099"/>
    <w:rsid w:val="0045078A"/>
    <w:rsid w:val="0045086D"/>
    <w:rsid w:val="004509CE"/>
    <w:rsid w:val="00450DAB"/>
    <w:rsid w:val="0045125B"/>
    <w:rsid w:val="004519E2"/>
    <w:rsid w:val="00451E25"/>
    <w:rsid w:val="00451EF1"/>
    <w:rsid w:val="00452985"/>
    <w:rsid w:val="00452E60"/>
    <w:rsid w:val="00452FE9"/>
    <w:rsid w:val="0045321B"/>
    <w:rsid w:val="00453DDF"/>
    <w:rsid w:val="00455833"/>
    <w:rsid w:val="00456065"/>
    <w:rsid w:val="00456FB5"/>
    <w:rsid w:val="00456FE5"/>
    <w:rsid w:val="00457490"/>
    <w:rsid w:val="0045778B"/>
    <w:rsid w:val="0045786C"/>
    <w:rsid w:val="004578E9"/>
    <w:rsid w:val="00457953"/>
    <w:rsid w:val="00457F3C"/>
    <w:rsid w:val="004604D8"/>
    <w:rsid w:val="00460656"/>
    <w:rsid w:val="00460700"/>
    <w:rsid w:val="00460FB3"/>
    <w:rsid w:val="00461ED4"/>
    <w:rsid w:val="00462187"/>
    <w:rsid w:val="00463D3C"/>
    <w:rsid w:val="00464851"/>
    <w:rsid w:val="00464BF5"/>
    <w:rsid w:val="00466595"/>
    <w:rsid w:val="00466A50"/>
    <w:rsid w:val="00466B3E"/>
    <w:rsid w:val="00467174"/>
    <w:rsid w:val="0046746A"/>
    <w:rsid w:val="00467B14"/>
    <w:rsid w:val="00467F8C"/>
    <w:rsid w:val="00467FDC"/>
    <w:rsid w:val="00467FF8"/>
    <w:rsid w:val="00470235"/>
    <w:rsid w:val="004707FE"/>
    <w:rsid w:val="00470ACF"/>
    <w:rsid w:val="00470BB7"/>
    <w:rsid w:val="00470EDC"/>
    <w:rsid w:val="00472418"/>
    <w:rsid w:val="0047276D"/>
    <w:rsid w:val="00472AF6"/>
    <w:rsid w:val="004731E6"/>
    <w:rsid w:val="00473482"/>
    <w:rsid w:val="004734C8"/>
    <w:rsid w:val="00473BF0"/>
    <w:rsid w:val="00474646"/>
    <w:rsid w:val="00474A04"/>
    <w:rsid w:val="00474D39"/>
    <w:rsid w:val="00476240"/>
    <w:rsid w:val="00476439"/>
    <w:rsid w:val="00476450"/>
    <w:rsid w:val="004769BF"/>
    <w:rsid w:val="004769E1"/>
    <w:rsid w:val="00476AEE"/>
    <w:rsid w:val="0047735C"/>
    <w:rsid w:val="00477469"/>
    <w:rsid w:val="004775F8"/>
    <w:rsid w:val="004776BC"/>
    <w:rsid w:val="00477820"/>
    <w:rsid w:val="00477B96"/>
    <w:rsid w:val="00480061"/>
    <w:rsid w:val="00480802"/>
    <w:rsid w:val="004808EA"/>
    <w:rsid w:val="00480BAE"/>
    <w:rsid w:val="00480D7F"/>
    <w:rsid w:val="0048103A"/>
    <w:rsid w:val="0048139F"/>
    <w:rsid w:val="004819D1"/>
    <w:rsid w:val="00481E40"/>
    <w:rsid w:val="00481F13"/>
    <w:rsid w:val="00482047"/>
    <w:rsid w:val="00482405"/>
    <w:rsid w:val="004826A7"/>
    <w:rsid w:val="004828DA"/>
    <w:rsid w:val="0048368C"/>
    <w:rsid w:val="0048372F"/>
    <w:rsid w:val="0048399F"/>
    <w:rsid w:val="00483A0C"/>
    <w:rsid w:val="00483C6A"/>
    <w:rsid w:val="004841CC"/>
    <w:rsid w:val="00484612"/>
    <w:rsid w:val="00484ECE"/>
    <w:rsid w:val="00485366"/>
    <w:rsid w:val="004854F5"/>
    <w:rsid w:val="00485DB6"/>
    <w:rsid w:val="00485E82"/>
    <w:rsid w:val="00486132"/>
    <w:rsid w:val="00486171"/>
    <w:rsid w:val="0048686D"/>
    <w:rsid w:val="00486A4D"/>
    <w:rsid w:val="004873A9"/>
    <w:rsid w:val="00487BA1"/>
    <w:rsid w:val="004915CB"/>
    <w:rsid w:val="00491A2B"/>
    <w:rsid w:val="004924DC"/>
    <w:rsid w:val="00492879"/>
    <w:rsid w:val="00493000"/>
    <w:rsid w:val="004934E3"/>
    <w:rsid w:val="00493E85"/>
    <w:rsid w:val="00494821"/>
    <w:rsid w:val="00495145"/>
    <w:rsid w:val="0049531F"/>
    <w:rsid w:val="004979A5"/>
    <w:rsid w:val="004A0144"/>
    <w:rsid w:val="004A036E"/>
    <w:rsid w:val="004A0389"/>
    <w:rsid w:val="004A046D"/>
    <w:rsid w:val="004A0498"/>
    <w:rsid w:val="004A0620"/>
    <w:rsid w:val="004A06B0"/>
    <w:rsid w:val="004A076F"/>
    <w:rsid w:val="004A07FB"/>
    <w:rsid w:val="004A0D0E"/>
    <w:rsid w:val="004A14E4"/>
    <w:rsid w:val="004A1C12"/>
    <w:rsid w:val="004A1DD6"/>
    <w:rsid w:val="004A204E"/>
    <w:rsid w:val="004A26A5"/>
    <w:rsid w:val="004A27F0"/>
    <w:rsid w:val="004A2BFC"/>
    <w:rsid w:val="004A3212"/>
    <w:rsid w:val="004A37CD"/>
    <w:rsid w:val="004A3BE4"/>
    <w:rsid w:val="004A3E64"/>
    <w:rsid w:val="004A40D9"/>
    <w:rsid w:val="004A49A5"/>
    <w:rsid w:val="004A4C97"/>
    <w:rsid w:val="004A4EB7"/>
    <w:rsid w:val="004A4F8A"/>
    <w:rsid w:val="004A513A"/>
    <w:rsid w:val="004A52AB"/>
    <w:rsid w:val="004A5373"/>
    <w:rsid w:val="004A5494"/>
    <w:rsid w:val="004A5CBF"/>
    <w:rsid w:val="004A5D4E"/>
    <w:rsid w:val="004A61C5"/>
    <w:rsid w:val="004A62A0"/>
    <w:rsid w:val="004A77DF"/>
    <w:rsid w:val="004A7DC0"/>
    <w:rsid w:val="004A7E9A"/>
    <w:rsid w:val="004A7F11"/>
    <w:rsid w:val="004B017D"/>
    <w:rsid w:val="004B059C"/>
    <w:rsid w:val="004B1417"/>
    <w:rsid w:val="004B1627"/>
    <w:rsid w:val="004B1AB1"/>
    <w:rsid w:val="004B1F08"/>
    <w:rsid w:val="004B2B05"/>
    <w:rsid w:val="004B2C28"/>
    <w:rsid w:val="004B305C"/>
    <w:rsid w:val="004B3094"/>
    <w:rsid w:val="004B31B8"/>
    <w:rsid w:val="004B339A"/>
    <w:rsid w:val="004B3DC0"/>
    <w:rsid w:val="004B4958"/>
    <w:rsid w:val="004B4C83"/>
    <w:rsid w:val="004B53BB"/>
    <w:rsid w:val="004B55B7"/>
    <w:rsid w:val="004B564C"/>
    <w:rsid w:val="004B591D"/>
    <w:rsid w:val="004B5BFA"/>
    <w:rsid w:val="004B619E"/>
    <w:rsid w:val="004B6468"/>
    <w:rsid w:val="004B67FA"/>
    <w:rsid w:val="004B6C4C"/>
    <w:rsid w:val="004B6EF8"/>
    <w:rsid w:val="004B7125"/>
    <w:rsid w:val="004B71D4"/>
    <w:rsid w:val="004B74CA"/>
    <w:rsid w:val="004B756A"/>
    <w:rsid w:val="004B7FB1"/>
    <w:rsid w:val="004C0233"/>
    <w:rsid w:val="004C0272"/>
    <w:rsid w:val="004C0970"/>
    <w:rsid w:val="004C0A27"/>
    <w:rsid w:val="004C0B3F"/>
    <w:rsid w:val="004C0CA8"/>
    <w:rsid w:val="004C0F87"/>
    <w:rsid w:val="004C13E4"/>
    <w:rsid w:val="004C25F9"/>
    <w:rsid w:val="004C2794"/>
    <w:rsid w:val="004C2BB6"/>
    <w:rsid w:val="004C2C2D"/>
    <w:rsid w:val="004C3027"/>
    <w:rsid w:val="004C384C"/>
    <w:rsid w:val="004C3867"/>
    <w:rsid w:val="004C3CE4"/>
    <w:rsid w:val="004C3DB0"/>
    <w:rsid w:val="004C4221"/>
    <w:rsid w:val="004C439A"/>
    <w:rsid w:val="004C4720"/>
    <w:rsid w:val="004C4950"/>
    <w:rsid w:val="004C4CD0"/>
    <w:rsid w:val="004C5060"/>
    <w:rsid w:val="004C5165"/>
    <w:rsid w:val="004C589C"/>
    <w:rsid w:val="004C5AE8"/>
    <w:rsid w:val="004C6CC7"/>
    <w:rsid w:val="004C6E0E"/>
    <w:rsid w:val="004C70DC"/>
    <w:rsid w:val="004C74CC"/>
    <w:rsid w:val="004D0211"/>
    <w:rsid w:val="004D0794"/>
    <w:rsid w:val="004D148A"/>
    <w:rsid w:val="004D2D31"/>
    <w:rsid w:val="004D2E03"/>
    <w:rsid w:val="004D3296"/>
    <w:rsid w:val="004D360E"/>
    <w:rsid w:val="004D4056"/>
    <w:rsid w:val="004D483B"/>
    <w:rsid w:val="004D4CB0"/>
    <w:rsid w:val="004D4F03"/>
    <w:rsid w:val="004D5447"/>
    <w:rsid w:val="004D5B0F"/>
    <w:rsid w:val="004D6916"/>
    <w:rsid w:val="004D7385"/>
    <w:rsid w:val="004D7626"/>
    <w:rsid w:val="004D78CD"/>
    <w:rsid w:val="004E07F5"/>
    <w:rsid w:val="004E085C"/>
    <w:rsid w:val="004E12DF"/>
    <w:rsid w:val="004E1368"/>
    <w:rsid w:val="004E13D2"/>
    <w:rsid w:val="004E186A"/>
    <w:rsid w:val="004E18B0"/>
    <w:rsid w:val="004E1A40"/>
    <w:rsid w:val="004E1DB2"/>
    <w:rsid w:val="004E200A"/>
    <w:rsid w:val="004E23FC"/>
    <w:rsid w:val="004E2409"/>
    <w:rsid w:val="004E261D"/>
    <w:rsid w:val="004E3012"/>
    <w:rsid w:val="004E36C5"/>
    <w:rsid w:val="004E3901"/>
    <w:rsid w:val="004E3927"/>
    <w:rsid w:val="004E3B7F"/>
    <w:rsid w:val="004E3BC4"/>
    <w:rsid w:val="004E4882"/>
    <w:rsid w:val="004E50BF"/>
    <w:rsid w:val="004E57BF"/>
    <w:rsid w:val="004E5F41"/>
    <w:rsid w:val="004E6011"/>
    <w:rsid w:val="004E6DE6"/>
    <w:rsid w:val="004E765E"/>
    <w:rsid w:val="004E7815"/>
    <w:rsid w:val="004E79D0"/>
    <w:rsid w:val="004E7C93"/>
    <w:rsid w:val="004F06F5"/>
    <w:rsid w:val="004F0866"/>
    <w:rsid w:val="004F12A4"/>
    <w:rsid w:val="004F1557"/>
    <w:rsid w:val="004F17E7"/>
    <w:rsid w:val="004F253F"/>
    <w:rsid w:val="004F2693"/>
    <w:rsid w:val="004F33A0"/>
    <w:rsid w:val="004F3873"/>
    <w:rsid w:val="004F38A6"/>
    <w:rsid w:val="004F3BD2"/>
    <w:rsid w:val="004F3D8D"/>
    <w:rsid w:val="004F46ED"/>
    <w:rsid w:val="004F49A3"/>
    <w:rsid w:val="004F4C99"/>
    <w:rsid w:val="004F5358"/>
    <w:rsid w:val="004F5FB4"/>
    <w:rsid w:val="004F601B"/>
    <w:rsid w:val="004F6484"/>
    <w:rsid w:val="004F6539"/>
    <w:rsid w:val="004F664A"/>
    <w:rsid w:val="004F72C6"/>
    <w:rsid w:val="004F7A3B"/>
    <w:rsid w:val="004F7B9B"/>
    <w:rsid w:val="00500B90"/>
    <w:rsid w:val="0050155B"/>
    <w:rsid w:val="005036DC"/>
    <w:rsid w:val="00503D54"/>
    <w:rsid w:val="00504215"/>
    <w:rsid w:val="00504513"/>
    <w:rsid w:val="005048E2"/>
    <w:rsid w:val="00504987"/>
    <w:rsid w:val="00504EA4"/>
    <w:rsid w:val="0050586D"/>
    <w:rsid w:val="00505FC8"/>
    <w:rsid w:val="00506603"/>
    <w:rsid w:val="0050668E"/>
    <w:rsid w:val="0050689D"/>
    <w:rsid w:val="005077F5"/>
    <w:rsid w:val="00507E9B"/>
    <w:rsid w:val="005108C0"/>
    <w:rsid w:val="0051094F"/>
    <w:rsid w:val="00511217"/>
    <w:rsid w:val="00511873"/>
    <w:rsid w:val="00511BAF"/>
    <w:rsid w:val="00511EBB"/>
    <w:rsid w:val="00512461"/>
    <w:rsid w:val="00512585"/>
    <w:rsid w:val="005125B8"/>
    <w:rsid w:val="00512A2F"/>
    <w:rsid w:val="005138E7"/>
    <w:rsid w:val="00513B7E"/>
    <w:rsid w:val="00513E9D"/>
    <w:rsid w:val="0051475D"/>
    <w:rsid w:val="00514B11"/>
    <w:rsid w:val="00514BAE"/>
    <w:rsid w:val="00514D48"/>
    <w:rsid w:val="00514DED"/>
    <w:rsid w:val="00515485"/>
    <w:rsid w:val="00515AA7"/>
    <w:rsid w:val="00515BE9"/>
    <w:rsid w:val="00515C74"/>
    <w:rsid w:val="00515CEB"/>
    <w:rsid w:val="0051630F"/>
    <w:rsid w:val="00516FB5"/>
    <w:rsid w:val="00517113"/>
    <w:rsid w:val="005177ED"/>
    <w:rsid w:val="00517C20"/>
    <w:rsid w:val="0052007E"/>
    <w:rsid w:val="0052032E"/>
    <w:rsid w:val="00521CAD"/>
    <w:rsid w:val="0052200D"/>
    <w:rsid w:val="00522425"/>
    <w:rsid w:val="00522A1B"/>
    <w:rsid w:val="00522E01"/>
    <w:rsid w:val="0052337A"/>
    <w:rsid w:val="005235FD"/>
    <w:rsid w:val="00523CBE"/>
    <w:rsid w:val="00524385"/>
    <w:rsid w:val="005246BE"/>
    <w:rsid w:val="00524C43"/>
    <w:rsid w:val="0052504E"/>
    <w:rsid w:val="00525137"/>
    <w:rsid w:val="005251DD"/>
    <w:rsid w:val="00525843"/>
    <w:rsid w:val="00525A38"/>
    <w:rsid w:val="0052635B"/>
    <w:rsid w:val="0052659F"/>
    <w:rsid w:val="00526711"/>
    <w:rsid w:val="00526BE8"/>
    <w:rsid w:val="005271FB"/>
    <w:rsid w:val="0052762C"/>
    <w:rsid w:val="0052792D"/>
    <w:rsid w:val="0053012B"/>
    <w:rsid w:val="005301A6"/>
    <w:rsid w:val="00530A68"/>
    <w:rsid w:val="00530AD4"/>
    <w:rsid w:val="00530CB5"/>
    <w:rsid w:val="0053129F"/>
    <w:rsid w:val="00531C5A"/>
    <w:rsid w:val="005320D6"/>
    <w:rsid w:val="00532C8A"/>
    <w:rsid w:val="00532CE7"/>
    <w:rsid w:val="00532D8B"/>
    <w:rsid w:val="0053324C"/>
    <w:rsid w:val="00533A8D"/>
    <w:rsid w:val="00534A28"/>
    <w:rsid w:val="00535018"/>
    <w:rsid w:val="00535782"/>
    <w:rsid w:val="0053595E"/>
    <w:rsid w:val="00535DF6"/>
    <w:rsid w:val="00535EFB"/>
    <w:rsid w:val="005364EE"/>
    <w:rsid w:val="00536864"/>
    <w:rsid w:val="00537571"/>
    <w:rsid w:val="0053786B"/>
    <w:rsid w:val="00540056"/>
    <w:rsid w:val="005403FA"/>
    <w:rsid w:val="005410E2"/>
    <w:rsid w:val="00541145"/>
    <w:rsid w:val="005413E9"/>
    <w:rsid w:val="00541508"/>
    <w:rsid w:val="0054156A"/>
    <w:rsid w:val="00541AE3"/>
    <w:rsid w:val="00542011"/>
    <w:rsid w:val="00542795"/>
    <w:rsid w:val="00543000"/>
    <w:rsid w:val="00543498"/>
    <w:rsid w:val="00544011"/>
    <w:rsid w:val="00544376"/>
    <w:rsid w:val="00544BE5"/>
    <w:rsid w:val="005453A3"/>
    <w:rsid w:val="00545529"/>
    <w:rsid w:val="005455F6"/>
    <w:rsid w:val="0054582F"/>
    <w:rsid w:val="005459C3"/>
    <w:rsid w:val="00545A09"/>
    <w:rsid w:val="0054603A"/>
    <w:rsid w:val="0054632B"/>
    <w:rsid w:val="005463CF"/>
    <w:rsid w:val="00546982"/>
    <w:rsid w:val="00546FC7"/>
    <w:rsid w:val="00547D48"/>
    <w:rsid w:val="005500F9"/>
    <w:rsid w:val="00550102"/>
    <w:rsid w:val="00550160"/>
    <w:rsid w:val="00550249"/>
    <w:rsid w:val="00550540"/>
    <w:rsid w:val="00551910"/>
    <w:rsid w:val="005519E2"/>
    <w:rsid w:val="00551E16"/>
    <w:rsid w:val="005523A8"/>
    <w:rsid w:val="005525F5"/>
    <w:rsid w:val="00552F2C"/>
    <w:rsid w:val="00553A25"/>
    <w:rsid w:val="00553F4E"/>
    <w:rsid w:val="005547EB"/>
    <w:rsid w:val="00554863"/>
    <w:rsid w:val="005554C7"/>
    <w:rsid w:val="005555E0"/>
    <w:rsid w:val="0055599F"/>
    <w:rsid w:val="00556D68"/>
    <w:rsid w:val="0055707B"/>
    <w:rsid w:val="005570D6"/>
    <w:rsid w:val="0055784A"/>
    <w:rsid w:val="00557E0E"/>
    <w:rsid w:val="00557E45"/>
    <w:rsid w:val="0056056B"/>
    <w:rsid w:val="005605F3"/>
    <w:rsid w:val="00560C41"/>
    <w:rsid w:val="00560C68"/>
    <w:rsid w:val="00560CAC"/>
    <w:rsid w:val="00561639"/>
    <w:rsid w:val="00561F44"/>
    <w:rsid w:val="00562B4D"/>
    <w:rsid w:val="00562DB1"/>
    <w:rsid w:val="005636FF"/>
    <w:rsid w:val="00563EB8"/>
    <w:rsid w:val="005647BF"/>
    <w:rsid w:val="00564AF1"/>
    <w:rsid w:val="00564C19"/>
    <w:rsid w:val="005651B3"/>
    <w:rsid w:val="005655DB"/>
    <w:rsid w:val="00565E88"/>
    <w:rsid w:val="005669F6"/>
    <w:rsid w:val="00567339"/>
    <w:rsid w:val="005678EE"/>
    <w:rsid w:val="00567910"/>
    <w:rsid w:val="00570270"/>
    <w:rsid w:val="00570464"/>
    <w:rsid w:val="00570601"/>
    <w:rsid w:val="00570A34"/>
    <w:rsid w:val="00570BC3"/>
    <w:rsid w:val="0057113A"/>
    <w:rsid w:val="00571766"/>
    <w:rsid w:val="0057182A"/>
    <w:rsid w:val="00571E59"/>
    <w:rsid w:val="00572079"/>
    <w:rsid w:val="005726E2"/>
    <w:rsid w:val="005726EE"/>
    <w:rsid w:val="00572900"/>
    <w:rsid w:val="00573602"/>
    <w:rsid w:val="00573612"/>
    <w:rsid w:val="0057364B"/>
    <w:rsid w:val="00574773"/>
    <w:rsid w:val="005761E8"/>
    <w:rsid w:val="005761EC"/>
    <w:rsid w:val="005766AD"/>
    <w:rsid w:val="00576E34"/>
    <w:rsid w:val="0057727A"/>
    <w:rsid w:val="00577C07"/>
    <w:rsid w:val="00577DB1"/>
    <w:rsid w:val="00577FEB"/>
    <w:rsid w:val="0058035D"/>
    <w:rsid w:val="00580AD3"/>
    <w:rsid w:val="00580DE7"/>
    <w:rsid w:val="005810E1"/>
    <w:rsid w:val="00581680"/>
    <w:rsid w:val="005820CB"/>
    <w:rsid w:val="005820CD"/>
    <w:rsid w:val="0058276F"/>
    <w:rsid w:val="00583BDD"/>
    <w:rsid w:val="00583E52"/>
    <w:rsid w:val="00583FFD"/>
    <w:rsid w:val="00584241"/>
    <w:rsid w:val="00584252"/>
    <w:rsid w:val="005848DD"/>
    <w:rsid w:val="0058519A"/>
    <w:rsid w:val="005856BD"/>
    <w:rsid w:val="00585983"/>
    <w:rsid w:val="00585A37"/>
    <w:rsid w:val="00585BD9"/>
    <w:rsid w:val="0058658B"/>
    <w:rsid w:val="00586BCA"/>
    <w:rsid w:val="00586D16"/>
    <w:rsid w:val="00586E11"/>
    <w:rsid w:val="00587038"/>
    <w:rsid w:val="00590390"/>
    <w:rsid w:val="00590608"/>
    <w:rsid w:val="00590B28"/>
    <w:rsid w:val="005911BE"/>
    <w:rsid w:val="00591273"/>
    <w:rsid w:val="00591E9E"/>
    <w:rsid w:val="005927A4"/>
    <w:rsid w:val="005929EB"/>
    <w:rsid w:val="00592DB2"/>
    <w:rsid w:val="00593152"/>
    <w:rsid w:val="00593389"/>
    <w:rsid w:val="00593A52"/>
    <w:rsid w:val="00593FE6"/>
    <w:rsid w:val="005956A3"/>
    <w:rsid w:val="00595958"/>
    <w:rsid w:val="00595CAB"/>
    <w:rsid w:val="0059622E"/>
    <w:rsid w:val="0059696C"/>
    <w:rsid w:val="00596EAC"/>
    <w:rsid w:val="00597671"/>
    <w:rsid w:val="00597BBF"/>
    <w:rsid w:val="00597BF9"/>
    <w:rsid w:val="00597E2F"/>
    <w:rsid w:val="005A040C"/>
    <w:rsid w:val="005A0463"/>
    <w:rsid w:val="005A05DF"/>
    <w:rsid w:val="005A0948"/>
    <w:rsid w:val="005A0A03"/>
    <w:rsid w:val="005A0BB7"/>
    <w:rsid w:val="005A10F2"/>
    <w:rsid w:val="005A16C0"/>
    <w:rsid w:val="005A1B32"/>
    <w:rsid w:val="005A2156"/>
    <w:rsid w:val="005A21E0"/>
    <w:rsid w:val="005A2401"/>
    <w:rsid w:val="005A28FF"/>
    <w:rsid w:val="005A2C09"/>
    <w:rsid w:val="005A2C72"/>
    <w:rsid w:val="005A3778"/>
    <w:rsid w:val="005A37A5"/>
    <w:rsid w:val="005A37B0"/>
    <w:rsid w:val="005A3DF8"/>
    <w:rsid w:val="005A4787"/>
    <w:rsid w:val="005A5549"/>
    <w:rsid w:val="005A566A"/>
    <w:rsid w:val="005A56E0"/>
    <w:rsid w:val="005A586B"/>
    <w:rsid w:val="005A66B8"/>
    <w:rsid w:val="005A6FEE"/>
    <w:rsid w:val="005A70CA"/>
    <w:rsid w:val="005A7375"/>
    <w:rsid w:val="005A7990"/>
    <w:rsid w:val="005A7ABD"/>
    <w:rsid w:val="005A7CF8"/>
    <w:rsid w:val="005B07B3"/>
    <w:rsid w:val="005B0EDA"/>
    <w:rsid w:val="005B121D"/>
    <w:rsid w:val="005B16DB"/>
    <w:rsid w:val="005B1705"/>
    <w:rsid w:val="005B1B45"/>
    <w:rsid w:val="005B26B0"/>
    <w:rsid w:val="005B39CA"/>
    <w:rsid w:val="005B41C9"/>
    <w:rsid w:val="005B44E6"/>
    <w:rsid w:val="005B4853"/>
    <w:rsid w:val="005B4ECD"/>
    <w:rsid w:val="005B5629"/>
    <w:rsid w:val="005B591B"/>
    <w:rsid w:val="005B6768"/>
    <w:rsid w:val="005B6CA1"/>
    <w:rsid w:val="005B770C"/>
    <w:rsid w:val="005B7910"/>
    <w:rsid w:val="005C06ED"/>
    <w:rsid w:val="005C0CE1"/>
    <w:rsid w:val="005C11B8"/>
    <w:rsid w:val="005C15CC"/>
    <w:rsid w:val="005C216C"/>
    <w:rsid w:val="005C2609"/>
    <w:rsid w:val="005C2B30"/>
    <w:rsid w:val="005C3A0C"/>
    <w:rsid w:val="005C3B1F"/>
    <w:rsid w:val="005C412B"/>
    <w:rsid w:val="005C43EC"/>
    <w:rsid w:val="005C45DD"/>
    <w:rsid w:val="005C460B"/>
    <w:rsid w:val="005C4704"/>
    <w:rsid w:val="005C4CB1"/>
    <w:rsid w:val="005C4EE8"/>
    <w:rsid w:val="005C4F6D"/>
    <w:rsid w:val="005C68DA"/>
    <w:rsid w:val="005C6AE9"/>
    <w:rsid w:val="005C70AB"/>
    <w:rsid w:val="005D015C"/>
    <w:rsid w:val="005D0706"/>
    <w:rsid w:val="005D0B1D"/>
    <w:rsid w:val="005D14DD"/>
    <w:rsid w:val="005D1679"/>
    <w:rsid w:val="005D3F06"/>
    <w:rsid w:val="005D4608"/>
    <w:rsid w:val="005D47A1"/>
    <w:rsid w:val="005D47BF"/>
    <w:rsid w:val="005D4B73"/>
    <w:rsid w:val="005D533D"/>
    <w:rsid w:val="005D5544"/>
    <w:rsid w:val="005D5645"/>
    <w:rsid w:val="005D5802"/>
    <w:rsid w:val="005D5AA9"/>
    <w:rsid w:val="005D5B60"/>
    <w:rsid w:val="005D66E6"/>
    <w:rsid w:val="005D7119"/>
    <w:rsid w:val="005D76C8"/>
    <w:rsid w:val="005D7890"/>
    <w:rsid w:val="005D7AAF"/>
    <w:rsid w:val="005E026B"/>
    <w:rsid w:val="005E0C09"/>
    <w:rsid w:val="005E19C1"/>
    <w:rsid w:val="005E200E"/>
    <w:rsid w:val="005E2194"/>
    <w:rsid w:val="005E24F0"/>
    <w:rsid w:val="005E2E02"/>
    <w:rsid w:val="005E3113"/>
    <w:rsid w:val="005E343F"/>
    <w:rsid w:val="005E36FE"/>
    <w:rsid w:val="005E3F66"/>
    <w:rsid w:val="005E440B"/>
    <w:rsid w:val="005E490F"/>
    <w:rsid w:val="005E4BC9"/>
    <w:rsid w:val="005E4C45"/>
    <w:rsid w:val="005E5314"/>
    <w:rsid w:val="005E5DE7"/>
    <w:rsid w:val="005E61A1"/>
    <w:rsid w:val="005E6F6A"/>
    <w:rsid w:val="005E73E3"/>
    <w:rsid w:val="005E764D"/>
    <w:rsid w:val="005E7724"/>
    <w:rsid w:val="005E7C78"/>
    <w:rsid w:val="005E7FCA"/>
    <w:rsid w:val="005F008C"/>
    <w:rsid w:val="005F04A7"/>
    <w:rsid w:val="005F114F"/>
    <w:rsid w:val="005F121E"/>
    <w:rsid w:val="005F18C5"/>
    <w:rsid w:val="005F216C"/>
    <w:rsid w:val="005F247B"/>
    <w:rsid w:val="005F2A08"/>
    <w:rsid w:val="005F2D46"/>
    <w:rsid w:val="005F36CC"/>
    <w:rsid w:val="005F3825"/>
    <w:rsid w:val="005F3EB1"/>
    <w:rsid w:val="005F413E"/>
    <w:rsid w:val="005F466B"/>
    <w:rsid w:val="005F46D8"/>
    <w:rsid w:val="005F480F"/>
    <w:rsid w:val="005F5271"/>
    <w:rsid w:val="005F5469"/>
    <w:rsid w:val="005F63F3"/>
    <w:rsid w:val="005F66F0"/>
    <w:rsid w:val="005F6A77"/>
    <w:rsid w:val="005F6D7F"/>
    <w:rsid w:val="005F6DFE"/>
    <w:rsid w:val="005F7174"/>
    <w:rsid w:val="005F740B"/>
    <w:rsid w:val="005F7834"/>
    <w:rsid w:val="005F7AD7"/>
    <w:rsid w:val="00600DDA"/>
    <w:rsid w:val="0060120D"/>
    <w:rsid w:val="0060176B"/>
    <w:rsid w:val="006017C1"/>
    <w:rsid w:val="006017FD"/>
    <w:rsid w:val="00601ADE"/>
    <w:rsid w:val="00601EEF"/>
    <w:rsid w:val="0060255A"/>
    <w:rsid w:val="00602583"/>
    <w:rsid w:val="006026D4"/>
    <w:rsid w:val="00602998"/>
    <w:rsid w:val="00602D2B"/>
    <w:rsid w:val="00602EB3"/>
    <w:rsid w:val="006033A4"/>
    <w:rsid w:val="00603C3F"/>
    <w:rsid w:val="00603CF2"/>
    <w:rsid w:val="00603E9E"/>
    <w:rsid w:val="00604307"/>
    <w:rsid w:val="0060487F"/>
    <w:rsid w:val="0060498C"/>
    <w:rsid w:val="00604EAD"/>
    <w:rsid w:val="0060513F"/>
    <w:rsid w:val="0060587A"/>
    <w:rsid w:val="00605AEB"/>
    <w:rsid w:val="00606269"/>
    <w:rsid w:val="006065E2"/>
    <w:rsid w:val="0060694B"/>
    <w:rsid w:val="006070F7"/>
    <w:rsid w:val="00607E1D"/>
    <w:rsid w:val="00610131"/>
    <w:rsid w:val="006104FB"/>
    <w:rsid w:val="006116FF"/>
    <w:rsid w:val="0061176D"/>
    <w:rsid w:val="0061200F"/>
    <w:rsid w:val="00612756"/>
    <w:rsid w:val="00612A2F"/>
    <w:rsid w:val="00612AAE"/>
    <w:rsid w:val="00612ADD"/>
    <w:rsid w:val="00612B07"/>
    <w:rsid w:val="00612C5E"/>
    <w:rsid w:val="00612FD9"/>
    <w:rsid w:val="006131CA"/>
    <w:rsid w:val="006133DA"/>
    <w:rsid w:val="006139E0"/>
    <w:rsid w:val="00613D41"/>
    <w:rsid w:val="006147AA"/>
    <w:rsid w:val="00614D35"/>
    <w:rsid w:val="00614D60"/>
    <w:rsid w:val="006156B4"/>
    <w:rsid w:val="00615DAF"/>
    <w:rsid w:val="00615EBF"/>
    <w:rsid w:val="006160AC"/>
    <w:rsid w:val="00616254"/>
    <w:rsid w:val="00616424"/>
    <w:rsid w:val="0061672A"/>
    <w:rsid w:val="00616E05"/>
    <w:rsid w:val="00617985"/>
    <w:rsid w:val="006201BC"/>
    <w:rsid w:val="006204E0"/>
    <w:rsid w:val="00620641"/>
    <w:rsid w:val="006208EE"/>
    <w:rsid w:val="006209F8"/>
    <w:rsid w:val="00620B77"/>
    <w:rsid w:val="00620CEF"/>
    <w:rsid w:val="00621190"/>
    <w:rsid w:val="0062131B"/>
    <w:rsid w:val="00621533"/>
    <w:rsid w:val="00621E26"/>
    <w:rsid w:val="00621EDD"/>
    <w:rsid w:val="006224EA"/>
    <w:rsid w:val="0062263A"/>
    <w:rsid w:val="0062276B"/>
    <w:rsid w:val="006227DF"/>
    <w:rsid w:val="006234A0"/>
    <w:rsid w:val="006236C8"/>
    <w:rsid w:val="00624093"/>
    <w:rsid w:val="0062415E"/>
    <w:rsid w:val="00624A61"/>
    <w:rsid w:val="006252C0"/>
    <w:rsid w:val="00625A84"/>
    <w:rsid w:val="00626079"/>
    <w:rsid w:val="006268C3"/>
    <w:rsid w:val="006272C4"/>
    <w:rsid w:val="006275B5"/>
    <w:rsid w:val="00627725"/>
    <w:rsid w:val="00631698"/>
    <w:rsid w:val="0063177C"/>
    <w:rsid w:val="00631E44"/>
    <w:rsid w:val="00632280"/>
    <w:rsid w:val="0063385B"/>
    <w:rsid w:val="00634898"/>
    <w:rsid w:val="00634C57"/>
    <w:rsid w:val="00634CE7"/>
    <w:rsid w:val="006350D5"/>
    <w:rsid w:val="006350FD"/>
    <w:rsid w:val="00635EBE"/>
    <w:rsid w:val="0063642C"/>
    <w:rsid w:val="006367CA"/>
    <w:rsid w:val="006369D5"/>
    <w:rsid w:val="00636DDD"/>
    <w:rsid w:val="00636EA3"/>
    <w:rsid w:val="006376B3"/>
    <w:rsid w:val="00637858"/>
    <w:rsid w:val="00637B24"/>
    <w:rsid w:val="00637E46"/>
    <w:rsid w:val="006404A7"/>
    <w:rsid w:val="00640A38"/>
    <w:rsid w:val="00640E6B"/>
    <w:rsid w:val="006413FC"/>
    <w:rsid w:val="00641787"/>
    <w:rsid w:val="0064179B"/>
    <w:rsid w:val="00642338"/>
    <w:rsid w:val="006423CE"/>
    <w:rsid w:val="0064247B"/>
    <w:rsid w:val="00642489"/>
    <w:rsid w:val="00643D34"/>
    <w:rsid w:val="00643DFB"/>
    <w:rsid w:val="00644055"/>
    <w:rsid w:val="00644137"/>
    <w:rsid w:val="006442DB"/>
    <w:rsid w:val="006445A3"/>
    <w:rsid w:val="0064478C"/>
    <w:rsid w:val="00644867"/>
    <w:rsid w:val="0064492A"/>
    <w:rsid w:val="00644938"/>
    <w:rsid w:val="006450A3"/>
    <w:rsid w:val="00645160"/>
    <w:rsid w:val="006451E4"/>
    <w:rsid w:val="006453B2"/>
    <w:rsid w:val="0064574B"/>
    <w:rsid w:val="00645B33"/>
    <w:rsid w:val="00647D36"/>
    <w:rsid w:val="00647EDC"/>
    <w:rsid w:val="006502AB"/>
    <w:rsid w:val="0065070F"/>
    <w:rsid w:val="0065153D"/>
    <w:rsid w:val="006516CB"/>
    <w:rsid w:val="00652444"/>
    <w:rsid w:val="00652E30"/>
    <w:rsid w:val="00653BD0"/>
    <w:rsid w:val="00653D96"/>
    <w:rsid w:val="00654110"/>
    <w:rsid w:val="006544E5"/>
    <w:rsid w:val="00654605"/>
    <w:rsid w:val="00656B48"/>
    <w:rsid w:val="00656C5D"/>
    <w:rsid w:val="00656CFB"/>
    <w:rsid w:val="00656D25"/>
    <w:rsid w:val="00657077"/>
    <w:rsid w:val="00657099"/>
    <w:rsid w:val="006576BB"/>
    <w:rsid w:val="00657E87"/>
    <w:rsid w:val="006607D7"/>
    <w:rsid w:val="00660AA1"/>
    <w:rsid w:val="00660D2D"/>
    <w:rsid w:val="00660D4A"/>
    <w:rsid w:val="0066110B"/>
    <w:rsid w:val="00661C41"/>
    <w:rsid w:val="00661EC9"/>
    <w:rsid w:val="00662469"/>
    <w:rsid w:val="0066294E"/>
    <w:rsid w:val="006633C7"/>
    <w:rsid w:val="006636BD"/>
    <w:rsid w:val="0066411C"/>
    <w:rsid w:val="00664205"/>
    <w:rsid w:val="00664647"/>
    <w:rsid w:val="00664803"/>
    <w:rsid w:val="0066502F"/>
    <w:rsid w:val="006653CC"/>
    <w:rsid w:val="00665501"/>
    <w:rsid w:val="00665982"/>
    <w:rsid w:val="00665BA4"/>
    <w:rsid w:val="006660CE"/>
    <w:rsid w:val="006661C5"/>
    <w:rsid w:val="00666BF3"/>
    <w:rsid w:val="0066701F"/>
    <w:rsid w:val="006674A5"/>
    <w:rsid w:val="00667856"/>
    <w:rsid w:val="00667888"/>
    <w:rsid w:val="00667AF2"/>
    <w:rsid w:val="00667C83"/>
    <w:rsid w:val="006702E9"/>
    <w:rsid w:val="00670489"/>
    <w:rsid w:val="006710C9"/>
    <w:rsid w:val="006712D8"/>
    <w:rsid w:val="00671C2B"/>
    <w:rsid w:val="00671D85"/>
    <w:rsid w:val="00671FFC"/>
    <w:rsid w:val="006721E0"/>
    <w:rsid w:val="00672586"/>
    <w:rsid w:val="006727BC"/>
    <w:rsid w:val="00673231"/>
    <w:rsid w:val="006741CD"/>
    <w:rsid w:val="006745DF"/>
    <w:rsid w:val="00674BAC"/>
    <w:rsid w:val="00674D89"/>
    <w:rsid w:val="00674FE8"/>
    <w:rsid w:val="0067514E"/>
    <w:rsid w:val="006756C1"/>
    <w:rsid w:val="00675CB1"/>
    <w:rsid w:val="00675E37"/>
    <w:rsid w:val="0067635D"/>
    <w:rsid w:val="00676556"/>
    <w:rsid w:val="00676736"/>
    <w:rsid w:val="006769A4"/>
    <w:rsid w:val="006769C6"/>
    <w:rsid w:val="00676A86"/>
    <w:rsid w:val="00676D76"/>
    <w:rsid w:val="00676F9F"/>
    <w:rsid w:val="0067701A"/>
    <w:rsid w:val="00677385"/>
    <w:rsid w:val="00677519"/>
    <w:rsid w:val="00677591"/>
    <w:rsid w:val="00677594"/>
    <w:rsid w:val="00677FA3"/>
    <w:rsid w:val="00677FC7"/>
    <w:rsid w:val="0068032F"/>
    <w:rsid w:val="006807C7"/>
    <w:rsid w:val="006809DE"/>
    <w:rsid w:val="00680D37"/>
    <w:rsid w:val="0068174E"/>
    <w:rsid w:val="00681DCE"/>
    <w:rsid w:val="00682110"/>
    <w:rsid w:val="0068260E"/>
    <w:rsid w:val="0068316D"/>
    <w:rsid w:val="00683FEC"/>
    <w:rsid w:val="006846B3"/>
    <w:rsid w:val="006849F8"/>
    <w:rsid w:val="00684B9B"/>
    <w:rsid w:val="00684D59"/>
    <w:rsid w:val="00684E25"/>
    <w:rsid w:val="006856A4"/>
    <w:rsid w:val="006858A4"/>
    <w:rsid w:val="00685C08"/>
    <w:rsid w:val="00685C8C"/>
    <w:rsid w:val="006862C6"/>
    <w:rsid w:val="00686718"/>
    <w:rsid w:val="00686BFA"/>
    <w:rsid w:val="00686DED"/>
    <w:rsid w:val="006873FF"/>
    <w:rsid w:val="006875A0"/>
    <w:rsid w:val="006878C6"/>
    <w:rsid w:val="00687D27"/>
    <w:rsid w:val="006906C6"/>
    <w:rsid w:val="00690EAD"/>
    <w:rsid w:val="00691943"/>
    <w:rsid w:val="00691DDB"/>
    <w:rsid w:val="00692D4C"/>
    <w:rsid w:val="00693319"/>
    <w:rsid w:val="00693550"/>
    <w:rsid w:val="006935DA"/>
    <w:rsid w:val="00693F2E"/>
    <w:rsid w:val="00694622"/>
    <w:rsid w:val="00694F90"/>
    <w:rsid w:val="00695065"/>
    <w:rsid w:val="00695BEF"/>
    <w:rsid w:val="00696251"/>
    <w:rsid w:val="006966C7"/>
    <w:rsid w:val="006968C1"/>
    <w:rsid w:val="006977F6"/>
    <w:rsid w:val="00697827"/>
    <w:rsid w:val="00697A13"/>
    <w:rsid w:val="00697A4F"/>
    <w:rsid w:val="006A065C"/>
    <w:rsid w:val="006A0DD4"/>
    <w:rsid w:val="006A109C"/>
    <w:rsid w:val="006A231B"/>
    <w:rsid w:val="006A2942"/>
    <w:rsid w:val="006A3CAF"/>
    <w:rsid w:val="006A3DDC"/>
    <w:rsid w:val="006A4E91"/>
    <w:rsid w:val="006A5072"/>
    <w:rsid w:val="006A5F4B"/>
    <w:rsid w:val="006A60DC"/>
    <w:rsid w:val="006A6114"/>
    <w:rsid w:val="006A6151"/>
    <w:rsid w:val="006A6565"/>
    <w:rsid w:val="006A6BEA"/>
    <w:rsid w:val="006A7665"/>
    <w:rsid w:val="006A7691"/>
    <w:rsid w:val="006A7EE2"/>
    <w:rsid w:val="006B0402"/>
    <w:rsid w:val="006B0514"/>
    <w:rsid w:val="006B0F92"/>
    <w:rsid w:val="006B133E"/>
    <w:rsid w:val="006B1AAE"/>
    <w:rsid w:val="006B21A0"/>
    <w:rsid w:val="006B2785"/>
    <w:rsid w:val="006B27C7"/>
    <w:rsid w:val="006B2BC2"/>
    <w:rsid w:val="006B31E5"/>
    <w:rsid w:val="006B344A"/>
    <w:rsid w:val="006B5324"/>
    <w:rsid w:val="006B55A2"/>
    <w:rsid w:val="006B58C9"/>
    <w:rsid w:val="006B60ED"/>
    <w:rsid w:val="006B65B4"/>
    <w:rsid w:val="006B6CC5"/>
    <w:rsid w:val="006B6DFA"/>
    <w:rsid w:val="006B74AC"/>
    <w:rsid w:val="006B78D8"/>
    <w:rsid w:val="006B79AD"/>
    <w:rsid w:val="006B79EA"/>
    <w:rsid w:val="006B7B00"/>
    <w:rsid w:val="006B7EB2"/>
    <w:rsid w:val="006C013D"/>
    <w:rsid w:val="006C03E1"/>
    <w:rsid w:val="006C0C5D"/>
    <w:rsid w:val="006C113F"/>
    <w:rsid w:val="006C123E"/>
    <w:rsid w:val="006C15A1"/>
    <w:rsid w:val="006C1752"/>
    <w:rsid w:val="006C17CA"/>
    <w:rsid w:val="006C1984"/>
    <w:rsid w:val="006C19E6"/>
    <w:rsid w:val="006C1DDC"/>
    <w:rsid w:val="006C28CA"/>
    <w:rsid w:val="006C2BBF"/>
    <w:rsid w:val="006C2DBE"/>
    <w:rsid w:val="006C2FBD"/>
    <w:rsid w:val="006C30B9"/>
    <w:rsid w:val="006C3336"/>
    <w:rsid w:val="006C3495"/>
    <w:rsid w:val="006C3A4A"/>
    <w:rsid w:val="006C40C6"/>
    <w:rsid w:val="006C4355"/>
    <w:rsid w:val="006C4587"/>
    <w:rsid w:val="006C469D"/>
    <w:rsid w:val="006C46B5"/>
    <w:rsid w:val="006C4818"/>
    <w:rsid w:val="006C484F"/>
    <w:rsid w:val="006C52EC"/>
    <w:rsid w:val="006C5506"/>
    <w:rsid w:val="006C56D4"/>
    <w:rsid w:val="006C6272"/>
    <w:rsid w:val="006C6681"/>
    <w:rsid w:val="006C683C"/>
    <w:rsid w:val="006C6847"/>
    <w:rsid w:val="006C6924"/>
    <w:rsid w:val="006C6C1E"/>
    <w:rsid w:val="006C7076"/>
    <w:rsid w:val="006C7981"/>
    <w:rsid w:val="006C7AEC"/>
    <w:rsid w:val="006C7CA6"/>
    <w:rsid w:val="006C7E90"/>
    <w:rsid w:val="006D045E"/>
    <w:rsid w:val="006D0DE1"/>
    <w:rsid w:val="006D15D3"/>
    <w:rsid w:val="006D18B3"/>
    <w:rsid w:val="006D192C"/>
    <w:rsid w:val="006D1E89"/>
    <w:rsid w:val="006D26CE"/>
    <w:rsid w:val="006D2850"/>
    <w:rsid w:val="006D317E"/>
    <w:rsid w:val="006D388D"/>
    <w:rsid w:val="006D3E8A"/>
    <w:rsid w:val="006D4040"/>
    <w:rsid w:val="006D47D9"/>
    <w:rsid w:val="006D57A6"/>
    <w:rsid w:val="006D61F6"/>
    <w:rsid w:val="006D63B1"/>
    <w:rsid w:val="006D665F"/>
    <w:rsid w:val="006D6B1A"/>
    <w:rsid w:val="006E1081"/>
    <w:rsid w:val="006E1332"/>
    <w:rsid w:val="006E19CB"/>
    <w:rsid w:val="006E20A5"/>
    <w:rsid w:val="006E234C"/>
    <w:rsid w:val="006E279A"/>
    <w:rsid w:val="006E2A7F"/>
    <w:rsid w:val="006E313B"/>
    <w:rsid w:val="006E34B2"/>
    <w:rsid w:val="006E3A45"/>
    <w:rsid w:val="006E4078"/>
    <w:rsid w:val="006E483A"/>
    <w:rsid w:val="006E51C4"/>
    <w:rsid w:val="006E53AD"/>
    <w:rsid w:val="006E58CB"/>
    <w:rsid w:val="006E6182"/>
    <w:rsid w:val="006E6A93"/>
    <w:rsid w:val="006E6BD5"/>
    <w:rsid w:val="006E70BA"/>
    <w:rsid w:val="006E7227"/>
    <w:rsid w:val="006E7275"/>
    <w:rsid w:val="006E761A"/>
    <w:rsid w:val="006E7794"/>
    <w:rsid w:val="006E7C3B"/>
    <w:rsid w:val="006E7DB5"/>
    <w:rsid w:val="006E7F07"/>
    <w:rsid w:val="006F0646"/>
    <w:rsid w:val="006F0741"/>
    <w:rsid w:val="006F08B6"/>
    <w:rsid w:val="006F0D61"/>
    <w:rsid w:val="006F0F78"/>
    <w:rsid w:val="006F1C27"/>
    <w:rsid w:val="006F2A65"/>
    <w:rsid w:val="006F2EA1"/>
    <w:rsid w:val="006F3DD6"/>
    <w:rsid w:val="006F40DF"/>
    <w:rsid w:val="006F42BB"/>
    <w:rsid w:val="006F438E"/>
    <w:rsid w:val="006F440B"/>
    <w:rsid w:val="006F4638"/>
    <w:rsid w:val="006F48A3"/>
    <w:rsid w:val="006F4DA4"/>
    <w:rsid w:val="006F5416"/>
    <w:rsid w:val="006F564E"/>
    <w:rsid w:val="006F5929"/>
    <w:rsid w:val="006F624B"/>
    <w:rsid w:val="006F64EC"/>
    <w:rsid w:val="006F674E"/>
    <w:rsid w:val="006F6D87"/>
    <w:rsid w:val="006F6FF2"/>
    <w:rsid w:val="006F79FB"/>
    <w:rsid w:val="0070016C"/>
    <w:rsid w:val="007008A9"/>
    <w:rsid w:val="00700E8A"/>
    <w:rsid w:val="007018A4"/>
    <w:rsid w:val="007032D4"/>
    <w:rsid w:val="0070398A"/>
    <w:rsid w:val="00704D20"/>
    <w:rsid w:val="00705242"/>
    <w:rsid w:val="007055E0"/>
    <w:rsid w:val="007056ED"/>
    <w:rsid w:val="00705F4E"/>
    <w:rsid w:val="0070658E"/>
    <w:rsid w:val="007065C5"/>
    <w:rsid w:val="007068E1"/>
    <w:rsid w:val="00706AA0"/>
    <w:rsid w:val="00706AD4"/>
    <w:rsid w:val="00707150"/>
    <w:rsid w:val="007124D7"/>
    <w:rsid w:val="0071275A"/>
    <w:rsid w:val="00712C20"/>
    <w:rsid w:val="00712CD7"/>
    <w:rsid w:val="00713549"/>
    <w:rsid w:val="007140BE"/>
    <w:rsid w:val="007147AB"/>
    <w:rsid w:val="00715502"/>
    <w:rsid w:val="00715D01"/>
    <w:rsid w:val="00715E4D"/>
    <w:rsid w:val="00715F12"/>
    <w:rsid w:val="0071677A"/>
    <w:rsid w:val="00716974"/>
    <w:rsid w:val="00716F48"/>
    <w:rsid w:val="007170FB"/>
    <w:rsid w:val="00717114"/>
    <w:rsid w:val="00717127"/>
    <w:rsid w:val="0071779F"/>
    <w:rsid w:val="00717A77"/>
    <w:rsid w:val="007201A6"/>
    <w:rsid w:val="00720310"/>
    <w:rsid w:val="0072080A"/>
    <w:rsid w:val="00720D7A"/>
    <w:rsid w:val="007211F5"/>
    <w:rsid w:val="007213C3"/>
    <w:rsid w:val="00721601"/>
    <w:rsid w:val="00722777"/>
    <w:rsid w:val="00723435"/>
    <w:rsid w:val="00723436"/>
    <w:rsid w:val="007240E2"/>
    <w:rsid w:val="0072420F"/>
    <w:rsid w:val="0072454C"/>
    <w:rsid w:val="0072583E"/>
    <w:rsid w:val="00725BB5"/>
    <w:rsid w:val="00725E58"/>
    <w:rsid w:val="00726AB2"/>
    <w:rsid w:val="007278B8"/>
    <w:rsid w:val="00727C02"/>
    <w:rsid w:val="0073008E"/>
    <w:rsid w:val="00730A8B"/>
    <w:rsid w:val="00730AE8"/>
    <w:rsid w:val="00730F1B"/>
    <w:rsid w:val="0073131F"/>
    <w:rsid w:val="0073136D"/>
    <w:rsid w:val="0073186D"/>
    <w:rsid w:val="00731921"/>
    <w:rsid w:val="007320DE"/>
    <w:rsid w:val="00732344"/>
    <w:rsid w:val="0073261D"/>
    <w:rsid w:val="0073263E"/>
    <w:rsid w:val="0073333D"/>
    <w:rsid w:val="007343C9"/>
    <w:rsid w:val="007343D9"/>
    <w:rsid w:val="00734A46"/>
    <w:rsid w:val="00734F71"/>
    <w:rsid w:val="00735448"/>
    <w:rsid w:val="00736143"/>
    <w:rsid w:val="00736F07"/>
    <w:rsid w:val="007377BD"/>
    <w:rsid w:val="00737A53"/>
    <w:rsid w:val="00737DEC"/>
    <w:rsid w:val="0074004D"/>
    <w:rsid w:val="0074121F"/>
    <w:rsid w:val="007413E4"/>
    <w:rsid w:val="00741493"/>
    <w:rsid w:val="00741F2A"/>
    <w:rsid w:val="007434E5"/>
    <w:rsid w:val="00743884"/>
    <w:rsid w:val="007445B4"/>
    <w:rsid w:val="007448A7"/>
    <w:rsid w:val="0074499B"/>
    <w:rsid w:val="007449D6"/>
    <w:rsid w:val="0074501E"/>
    <w:rsid w:val="007450BF"/>
    <w:rsid w:val="0074598E"/>
    <w:rsid w:val="0074599A"/>
    <w:rsid w:val="007463DA"/>
    <w:rsid w:val="00746EE5"/>
    <w:rsid w:val="00746F45"/>
    <w:rsid w:val="007471A1"/>
    <w:rsid w:val="007477BD"/>
    <w:rsid w:val="007477DA"/>
    <w:rsid w:val="007479D0"/>
    <w:rsid w:val="00747EE9"/>
    <w:rsid w:val="007507E8"/>
    <w:rsid w:val="00750B95"/>
    <w:rsid w:val="00751676"/>
    <w:rsid w:val="007520B6"/>
    <w:rsid w:val="00752180"/>
    <w:rsid w:val="00752323"/>
    <w:rsid w:val="0075325D"/>
    <w:rsid w:val="00753270"/>
    <w:rsid w:val="007532B7"/>
    <w:rsid w:val="00753CAB"/>
    <w:rsid w:val="007548B1"/>
    <w:rsid w:val="00754A70"/>
    <w:rsid w:val="00754BC9"/>
    <w:rsid w:val="00755202"/>
    <w:rsid w:val="0075554A"/>
    <w:rsid w:val="00755D3A"/>
    <w:rsid w:val="00756F00"/>
    <w:rsid w:val="00757241"/>
    <w:rsid w:val="0075751D"/>
    <w:rsid w:val="0075763E"/>
    <w:rsid w:val="007578D3"/>
    <w:rsid w:val="00757CC1"/>
    <w:rsid w:val="007602CF"/>
    <w:rsid w:val="00760391"/>
    <w:rsid w:val="007609C6"/>
    <w:rsid w:val="007615F3"/>
    <w:rsid w:val="0076175D"/>
    <w:rsid w:val="00761CB5"/>
    <w:rsid w:val="00762978"/>
    <w:rsid w:val="007629D5"/>
    <w:rsid w:val="00763534"/>
    <w:rsid w:val="007635F8"/>
    <w:rsid w:val="00763A88"/>
    <w:rsid w:val="00763B36"/>
    <w:rsid w:val="00763B85"/>
    <w:rsid w:val="00763C57"/>
    <w:rsid w:val="00763D45"/>
    <w:rsid w:val="00764423"/>
    <w:rsid w:val="007644A2"/>
    <w:rsid w:val="00764974"/>
    <w:rsid w:val="00764D18"/>
    <w:rsid w:val="00764E6D"/>
    <w:rsid w:val="007651DB"/>
    <w:rsid w:val="0076521E"/>
    <w:rsid w:val="00765222"/>
    <w:rsid w:val="0076579C"/>
    <w:rsid w:val="00765887"/>
    <w:rsid w:val="00765928"/>
    <w:rsid w:val="00765964"/>
    <w:rsid w:val="00765BCC"/>
    <w:rsid w:val="0076600D"/>
    <w:rsid w:val="007661E9"/>
    <w:rsid w:val="00766460"/>
    <w:rsid w:val="0076692D"/>
    <w:rsid w:val="00766A34"/>
    <w:rsid w:val="00767062"/>
    <w:rsid w:val="00767601"/>
    <w:rsid w:val="00767629"/>
    <w:rsid w:val="00767777"/>
    <w:rsid w:val="0076789E"/>
    <w:rsid w:val="00767933"/>
    <w:rsid w:val="00770AB9"/>
    <w:rsid w:val="00770CFC"/>
    <w:rsid w:val="0077130E"/>
    <w:rsid w:val="007713A6"/>
    <w:rsid w:val="007715EE"/>
    <w:rsid w:val="007718D7"/>
    <w:rsid w:val="00771972"/>
    <w:rsid w:val="00771AC5"/>
    <w:rsid w:val="00772279"/>
    <w:rsid w:val="00772DAB"/>
    <w:rsid w:val="00772FF9"/>
    <w:rsid w:val="0077348B"/>
    <w:rsid w:val="00773E63"/>
    <w:rsid w:val="007743DB"/>
    <w:rsid w:val="00774430"/>
    <w:rsid w:val="00774D2C"/>
    <w:rsid w:val="00775327"/>
    <w:rsid w:val="00775E00"/>
    <w:rsid w:val="0077605B"/>
    <w:rsid w:val="00776169"/>
    <w:rsid w:val="007763D0"/>
    <w:rsid w:val="00776527"/>
    <w:rsid w:val="00776858"/>
    <w:rsid w:val="00776ED7"/>
    <w:rsid w:val="00777040"/>
    <w:rsid w:val="00777815"/>
    <w:rsid w:val="00777CE6"/>
    <w:rsid w:val="00777D57"/>
    <w:rsid w:val="0078042D"/>
    <w:rsid w:val="00780BF0"/>
    <w:rsid w:val="00780EF1"/>
    <w:rsid w:val="00780FDA"/>
    <w:rsid w:val="00781A91"/>
    <w:rsid w:val="00781AD3"/>
    <w:rsid w:val="00781F36"/>
    <w:rsid w:val="00783576"/>
    <w:rsid w:val="00784980"/>
    <w:rsid w:val="0078539D"/>
    <w:rsid w:val="007853FD"/>
    <w:rsid w:val="00785778"/>
    <w:rsid w:val="0078653D"/>
    <w:rsid w:val="00786C87"/>
    <w:rsid w:val="0078755E"/>
    <w:rsid w:val="007877C9"/>
    <w:rsid w:val="007903EA"/>
    <w:rsid w:val="00790408"/>
    <w:rsid w:val="00790764"/>
    <w:rsid w:val="00790781"/>
    <w:rsid w:val="0079085F"/>
    <w:rsid w:val="00790B2B"/>
    <w:rsid w:val="00790E96"/>
    <w:rsid w:val="00791005"/>
    <w:rsid w:val="00791D9E"/>
    <w:rsid w:val="007923FF"/>
    <w:rsid w:val="00792596"/>
    <w:rsid w:val="00793684"/>
    <w:rsid w:val="00793776"/>
    <w:rsid w:val="00793C8D"/>
    <w:rsid w:val="00793D78"/>
    <w:rsid w:val="0079420B"/>
    <w:rsid w:val="0079453C"/>
    <w:rsid w:val="00794677"/>
    <w:rsid w:val="0079495C"/>
    <w:rsid w:val="00794FFF"/>
    <w:rsid w:val="0079505F"/>
    <w:rsid w:val="00795759"/>
    <w:rsid w:val="00795C85"/>
    <w:rsid w:val="00796993"/>
    <w:rsid w:val="00796F41"/>
    <w:rsid w:val="00797767"/>
    <w:rsid w:val="007A0358"/>
    <w:rsid w:val="007A0AB6"/>
    <w:rsid w:val="007A0B5E"/>
    <w:rsid w:val="007A170B"/>
    <w:rsid w:val="007A1D5E"/>
    <w:rsid w:val="007A20EB"/>
    <w:rsid w:val="007A22D4"/>
    <w:rsid w:val="007A282C"/>
    <w:rsid w:val="007A293C"/>
    <w:rsid w:val="007A2A3A"/>
    <w:rsid w:val="007A3108"/>
    <w:rsid w:val="007A33E2"/>
    <w:rsid w:val="007A3AEA"/>
    <w:rsid w:val="007A3C7D"/>
    <w:rsid w:val="007A3CAF"/>
    <w:rsid w:val="007A3DF9"/>
    <w:rsid w:val="007A4664"/>
    <w:rsid w:val="007A4782"/>
    <w:rsid w:val="007A516D"/>
    <w:rsid w:val="007A5E65"/>
    <w:rsid w:val="007A65E1"/>
    <w:rsid w:val="007A6A6E"/>
    <w:rsid w:val="007A6AAA"/>
    <w:rsid w:val="007A7033"/>
    <w:rsid w:val="007A74C1"/>
    <w:rsid w:val="007A775D"/>
    <w:rsid w:val="007B04B0"/>
    <w:rsid w:val="007B0834"/>
    <w:rsid w:val="007B0D2A"/>
    <w:rsid w:val="007B0E83"/>
    <w:rsid w:val="007B112A"/>
    <w:rsid w:val="007B11FA"/>
    <w:rsid w:val="007B1396"/>
    <w:rsid w:val="007B168D"/>
    <w:rsid w:val="007B16D6"/>
    <w:rsid w:val="007B1D1B"/>
    <w:rsid w:val="007B2011"/>
    <w:rsid w:val="007B2CFE"/>
    <w:rsid w:val="007B309B"/>
    <w:rsid w:val="007B3D5E"/>
    <w:rsid w:val="007B3DCB"/>
    <w:rsid w:val="007B4C01"/>
    <w:rsid w:val="007B4EA5"/>
    <w:rsid w:val="007B530A"/>
    <w:rsid w:val="007B54AE"/>
    <w:rsid w:val="007B5725"/>
    <w:rsid w:val="007B5B4F"/>
    <w:rsid w:val="007B5C1F"/>
    <w:rsid w:val="007B5D71"/>
    <w:rsid w:val="007B6689"/>
    <w:rsid w:val="007B6747"/>
    <w:rsid w:val="007B6F72"/>
    <w:rsid w:val="007B72A4"/>
    <w:rsid w:val="007B72F7"/>
    <w:rsid w:val="007B74AA"/>
    <w:rsid w:val="007C091B"/>
    <w:rsid w:val="007C10BD"/>
    <w:rsid w:val="007C162D"/>
    <w:rsid w:val="007C1A03"/>
    <w:rsid w:val="007C1B8B"/>
    <w:rsid w:val="007C1F0C"/>
    <w:rsid w:val="007C1FFB"/>
    <w:rsid w:val="007C2D94"/>
    <w:rsid w:val="007C382F"/>
    <w:rsid w:val="007C3BF7"/>
    <w:rsid w:val="007C4281"/>
    <w:rsid w:val="007C43A7"/>
    <w:rsid w:val="007C4A6B"/>
    <w:rsid w:val="007C4B3E"/>
    <w:rsid w:val="007C5055"/>
    <w:rsid w:val="007C5F92"/>
    <w:rsid w:val="007C6002"/>
    <w:rsid w:val="007C6227"/>
    <w:rsid w:val="007C64F7"/>
    <w:rsid w:val="007C6A5C"/>
    <w:rsid w:val="007C6BBD"/>
    <w:rsid w:val="007C6D89"/>
    <w:rsid w:val="007C6F5E"/>
    <w:rsid w:val="007D0382"/>
    <w:rsid w:val="007D0F6B"/>
    <w:rsid w:val="007D1467"/>
    <w:rsid w:val="007D14FE"/>
    <w:rsid w:val="007D1627"/>
    <w:rsid w:val="007D1A1F"/>
    <w:rsid w:val="007D1A29"/>
    <w:rsid w:val="007D213B"/>
    <w:rsid w:val="007D2783"/>
    <w:rsid w:val="007D2E18"/>
    <w:rsid w:val="007D3EF3"/>
    <w:rsid w:val="007D40DF"/>
    <w:rsid w:val="007D42E5"/>
    <w:rsid w:val="007D4458"/>
    <w:rsid w:val="007D58BD"/>
    <w:rsid w:val="007D61BF"/>
    <w:rsid w:val="007D6851"/>
    <w:rsid w:val="007D6861"/>
    <w:rsid w:val="007D6AF9"/>
    <w:rsid w:val="007D7763"/>
    <w:rsid w:val="007E0535"/>
    <w:rsid w:val="007E07F2"/>
    <w:rsid w:val="007E0D4A"/>
    <w:rsid w:val="007E0F2A"/>
    <w:rsid w:val="007E1443"/>
    <w:rsid w:val="007E15E3"/>
    <w:rsid w:val="007E1788"/>
    <w:rsid w:val="007E1EE3"/>
    <w:rsid w:val="007E29B4"/>
    <w:rsid w:val="007E2F12"/>
    <w:rsid w:val="007E3627"/>
    <w:rsid w:val="007E435A"/>
    <w:rsid w:val="007E445C"/>
    <w:rsid w:val="007E49F7"/>
    <w:rsid w:val="007E4AF6"/>
    <w:rsid w:val="007E4C70"/>
    <w:rsid w:val="007E4FF4"/>
    <w:rsid w:val="007E5149"/>
    <w:rsid w:val="007E5815"/>
    <w:rsid w:val="007E5B5F"/>
    <w:rsid w:val="007E5FFD"/>
    <w:rsid w:val="007E69C6"/>
    <w:rsid w:val="007E6F9A"/>
    <w:rsid w:val="007E713A"/>
    <w:rsid w:val="007E78B6"/>
    <w:rsid w:val="007E7978"/>
    <w:rsid w:val="007E7E61"/>
    <w:rsid w:val="007F0845"/>
    <w:rsid w:val="007F0873"/>
    <w:rsid w:val="007F0DFD"/>
    <w:rsid w:val="007F0E1D"/>
    <w:rsid w:val="007F1D62"/>
    <w:rsid w:val="007F20F3"/>
    <w:rsid w:val="007F2353"/>
    <w:rsid w:val="007F2390"/>
    <w:rsid w:val="007F2456"/>
    <w:rsid w:val="007F2CAC"/>
    <w:rsid w:val="007F3AB3"/>
    <w:rsid w:val="007F3CB6"/>
    <w:rsid w:val="007F452F"/>
    <w:rsid w:val="007F4740"/>
    <w:rsid w:val="007F5691"/>
    <w:rsid w:val="007F595A"/>
    <w:rsid w:val="007F5C38"/>
    <w:rsid w:val="007F708D"/>
    <w:rsid w:val="007F7E3F"/>
    <w:rsid w:val="007F7E65"/>
    <w:rsid w:val="008006B3"/>
    <w:rsid w:val="00800B63"/>
    <w:rsid w:val="0080158A"/>
    <w:rsid w:val="008015FF"/>
    <w:rsid w:val="00801AD3"/>
    <w:rsid w:val="00801D2D"/>
    <w:rsid w:val="00801E13"/>
    <w:rsid w:val="00803008"/>
    <w:rsid w:val="00803069"/>
    <w:rsid w:val="0080346B"/>
    <w:rsid w:val="008037A0"/>
    <w:rsid w:val="00803B5C"/>
    <w:rsid w:val="00803BDB"/>
    <w:rsid w:val="00804155"/>
    <w:rsid w:val="00804C9F"/>
    <w:rsid w:val="0080524F"/>
    <w:rsid w:val="0080559E"/>
    <w:rsid w:val="00805920"/>
    <w:rsid w:val="00805928"/>
    <w:rsid w:val="00805AF3"/>
    <w:rsid w:val="008065B0"/>
    <w:rsid w:val="00806C9C"/>
    <w:rsid w:val="008071B1"/>
    <w:rsid w:val="0080734C"/>
    <w:rsid w:val="00807C82"/>
    <w:rsid w:val="008100EB"/>
    <w:rsid w:val="008107EE"/>
    <w:rsid w:val="008117CC"/>
    <w:rsid w:val="00811FF8"/>
    <w:rsid w:val="008120E1"/>
    <w:rsid w:val="00812E3E"/>
    <w:rsid w:val="00812F19"/>
    <w:rsid w:val="0081398C"/>
    <w:rsid w:val="00813D58"/>
    <w:rsid w:val="00813DCA"/>
    <w:rsid w:val="008140E8"/>
    <w:rsid w:val="00815A7D"/>
    <w:rsid w:val="008161A6"/>
    <w:rsid w:val="0081621D"/>
    <w:rsid w:val="008165B8"/>
    <w:rsid w:val="00816905"/>
    <w:rsid w:val="00816D98"/>
    <w:rsid w:val="00816E42"/>
    <w:rsid w:val="00816FCB"/>
    <w:rsid w:val="00817040"/>
    <w:rsid w:val="00817106"/>
    <w:rsid w:val="008172FC"/>
    <w:rsid w:val="00817A17"/>
    <w:rsid w:val="00817EC1"/>
    <w:rsid w:val="0082112D"/>
    <w:rsid w:val="0082113D"/>
    <w:rsid w:val="0082143A"/>
    <w:rsid w:val="00821624"/>
    <w:rsid w:val="00821A86"/>
    <w:rsid w:val="00821FF6"/>
    <w:rsid w:val="008222A7"/>
    <w:rsid w:val="00822574"/>
    <w:rsid w:val="00822738"/>
    <w:rsid w:val="00822980"/>
    <w:rsid w:val="00822F08"/>
    <w:rsid w:val="008246D7"/>
    <w:rsid w:val="008249A7"/>
    <w:rsid w:val="00824BA6"/>
    <w:rsid w:val="00825007"/>
    <w:rsid w:val="00825120"/>
    <w:rsid w:val="00825C4D"/>
    <w:rsid w:val="00826A08"/>
    <w:rsid w:val="00826AC0"/>
    <w:rsid w:val="00826D45"/>
    <w:rsid w:val="00827186"/>
    <w:rsid w:val="00827C8E"/>
    <w:rsid w:val="00830569"/>
    <w:rsid w:val="00830834"/>
    <w:rsid w:val="00830AEA"/>
    <w:rsid w:val="00830E86"/>
    <w:rsid w:val="0083143E"/>
    <w:rsid w:val="008315B8"/>
    <w:rsid w:val="008315D5"/>
    <w:rsid w:val="00831809"/>
    <w:rsid w:val="008318E5"/>
    <w:rsid w:val="00831CDE"/>
    <w:rsid w:val="00831F2B"/>
    <w:rsid w:val="008320C2"/>
    <w:rsid w:val="008320CF"/>
    <w:rsid w:val="008324A3"/>
    <w:rsid w:val="00832600"/>
    <w:rsid w:val="00832F77"/>
    <w:rsid w:val="0083324F"/>
    <w:rsid w:val="008332D0"/>
    <w:rsid w:val="008333AF"/>
    <w:rsid w:val="0083349E"/>
    <w:rsid w:val="00833FD6"/>
    <w:rsid w:val="00834131"/>
    <w:rsid w:val="00834304"/>
    <w:rsid w:val="008343CE"/>
    <w:rsid w:val="0083471A"/>
    <w:rsid w:val="00834E25"/>
    <w:rsid w:val="00834FAA"/>
    <w:rsid w:val="008351FE"/>
    <w:rsid w:val="00835495"/>
    <w:rsid w:val="008354FB"/>
    <w:rsid w:val="00835EC8"/>
    <w:rsid w:val="00835FF1"/>
    <w:rsid w:val="00836065"/>
    <w:rsid w:val="00836086"/>
    <w:rsid w:val="00836243"/>
    <w:rsid w:val="0083630F"/>
    <w:rsid w:val="00836A06"/>
    <w:rsid w:val="008374BC"/>
    <w:rsid w:val="00837652"/>
    <w:rsid w:val="008379D6"/>
    <w:rsid w:val="00837E48"/>
    <w:rsid w:val="00840013"/>
    <w:rsid w:val="00840293"/>
    <w:rsid w:val="008402AD"/>
    <w:rsid w:val="008408D4"/>
    <w:rsid w:val="00840F9E"/>
    <w:rsid w:val="008417B5"/>
    <w:rsid w:val="00841901"/>
    <w:rsid w:val="00841C64"/>
    <w:rsid w:val="0084327A"/>
    <w:rsid w:val="00844D5B"/>
    <w:rsid w:val="0084535F"/>
    <w:rsid w:val="008458BD"/>
    <w:rsid w:val="00846121"/>
    <w:rsid w:val="008461C2"/>
    <w:rsid w:val="008462F1"/>
    <w:rsid w:val="008466C6"/>
    <w:rsid w:val="00846B51"/>
    <w:rsid w:val="0084708F"/>
    <w:rsid w:val="008477C8"/>
    <w:rsid w:val="008478A6"/>
    <w:rsid w:val="008502F6"/>
    <w:rsid w:val="0085036C"/>
    <w:rsid w:val="008504EE"/>
    <w:rsid w:val="00850B02"/>
    <w:rsid w:val="00850E83"/>
    <w:rsid w:val="0085114D"/>
    <w:rsid w:val="00851163"/>
    <w:rsid w:val="008520A8"/>
    <w:rsid w:val="00852217"/>
    <w:rsid w:val="00852B5E"/>
    <w:rsid w:val="00852BA8"/>
    <w:rsid w:val="00853282"/>
    <w:rsid w:val="0085334C"/>
    <w:rsid w:val="00853717"/>
    <w:rsid w:val="008539B9"/>
    <w:rsid w:val="00854291"/>
    <w:rsid w:val="008544E8"/>
    <w:rsid w:val="00854F32"/>
    <w:rsid w:val="00855408"/>
    <w:rsid w:val="00855D03"/>
    <w:rsid w:val="00856D65"/>
    <w:rsid w:val="00856FA4"/>
    <w:rsid w:val="00857701"/>
    <w:rsid w:val="00857995"/>
    <w:rsid w:val="00860967"/>
    <w:rsid w:val="00860D79"/>
    <w:rsid w:val="00861B41"/>
    <w:rsid w:val="00861B9F"/>
    <w:rsid w:val="00861BE3"/>
    <w:rsid w:val="00861DA8"/>
    <w:rsid w:val="00861EB6"/>
    <w:rsid w:val="008624BC"/>
    <w:rsid w:val="008625D3"/>
    <w:rsid w:val="00862C0A"/>
    <w:rsid w:val="00862D2B"/>
    <w:rsid w:val="00863270"/>
    <w:rsid w:val="00863434"/>
    <w:rsid w:val="0086344F"/>
    <w:rsid w:val="00863F9E"/>
    <w:rsid w:val="008641AC"/>
    <w:rsid w:val="00864EFE"/>
    <w:rsid w:val="00865794"/>
    <w:rsid w:val="00865E4C"/>
    <w:rsid w:val="00865ED4"/>
    <w:rsid w:val="00866074"/>
    <w:rsid w:val="00867546"/>
    <w:rsid w:val="0086796D"/>
    <w:rsid w:val="00867DAB"/>
    <w:rsid w:val="00867EE9"/>
    <w:rsid w:val="0087000B"/>
    <w:rsid w:val="008701E4"/>
    <w:rsid w:val="00870329"/>
    <w:rsid w:val="008704E9"/>
    <w:rsid w:val="00870509"/>
    <w:rsid w:val="008705FB"/>
    <w:rsid w:val="00870BBE"/>
    <w:rsid w:val="00870ECD"/>
    <w:rsid w:val="00871F67"/>
    <w:rsid w:val="00872E59"/>
    <w:rsid w:val="00872F4B"/>
    <w:rsid w:val="0087347C"/>
    <w:rsid w:val="008734E7"/>
    <w:rsid w:val="0087368D"/>
    <w:rsid w:val="00873F9E"/>
    <w:rsid w:val="008740CC"/>
    <w:rsid w:val="0087442A"/>
    <w:rsid w:val="00874578"/>
    <w:rsid w:val="00874C72"/>
    <w:rsid w:val="00874FE8"/>
    <w:rsid w:val="00875A32"/>
    <w:rsid w:val="00875AA2"/>
    <w:rsid w:val="00875CC1"/>
    <w:rsid w:val="00876086"/>
    <w:rsid w:val="0087650D"/>
    <w:rsid w:val="00876651"/>
    <w:rsid w:val="00876E83"/>
    <w:rsid w:val="00877216"/>
    <w:rsid w:val="0087722C"/>
    <w:rsid w:val="008772BC"/>
    <w:rsid w:val="00877DEF"/>
    <w:rsid w:val="00880001"/>
    <w:rsid w:val="00880523"/>
    <w:rsid w:val="008808F6"/>
    <w:rsid w:val="00880A0E"/>
    <w:rsid w:val="008817FE"/>
    <w:rsid w:val="00881CD7"/>
    <w:rsid w:val="00882911"/>
    <w:rsid w:val="00882EEB"/>
    <w:rsid w:val="00882F6E"/>
    <w:rsid w:val="008831BD"/>
    <w:rsid w:val="00883202"/>
    <w:rsid w:val="008833D6"/>
    <w:rsid w:val="00883FF0"/>
    <w:rsid w:val="00884E02"/>
    <w:rsid w:val="0088502B"/>
    <w:rsid w:val="0088588B"/>
    <w:rsid w:val="00885D40"/>
    <w:rsid w:val="0088679E"/>
    <w:rsid w:val="00886B1E"/>
    <w:rsid w:val="008873D4"/>
    <w:rsid w:val="008902A5"/>
    <w:rsid w:val="00890CB1"/>
    <w:rsid w:val="008915C7"/>
    <w:rsid w:val="00891EDF"/>
    <w:rsid w:val="00892872"/>
    <w:rsid w:val="0089296D"/>
    <w:rsid w:val="00893E85"/>
    <w:rsid w:val="00893EBE"/>
    <w:rsid w:val="00894031"/>
    <w:rsid w:val="00894C5D"/>
    <w:rsid w:val="00894F4F"/>
    <w:rsid w:val="00895508"/>
    <w:rsid w:val="00895797"/>
    <w:rsid w:val="00895CB0"/>
    <w:rsid w:val="008967E9"/>
    <w:rsid w:val="00896A5C"/>
    <w:rsid w:val="00896ECF"/>
    <w:rsid w:val="00897155"/>
    <w:rsid w:val="008972D2"/>
    <w:rsid w:val="0089754C"/>
    <w:rsid w:val="00897CFA"/>
    <w:rsid w:val="008A0367"/>
    <w:rsid w:val="008A0659"/>
    <w:rsid w:val="008A0A58"/>
    <w:rsid w:val="008A0ADD"/>
    <w:rsid w:val="008A0D27"/>
    <w:rsid w:val="008A1543"/>
    <w:rsid w:val="008A1C59"/>
    <w:rsid w:val="008A1FFE"/>
    <w:rsid w:val="008A2254"/>
    <w:rsid w:val="008A37E2"/>
    <w:rsid w:val="008A388E"/>
    <w:rsid w:val="008A394E"/>
    <w:rsid w:val="008A3CBA"/>
    <w:rsid w:val="008A428D"/>
    <w:rsid w:val="008A4B59"/>
    <w:rsid w:val="008A63E1"/>
    <w:rsid w:val="008A66B7"/>
    <w:rsid w:val="008A68BB"/>
    <w:rsid w:val="008A6AA5"/>
    <w:rsid w:val="008A7127"/>
    <w:rsid w:val="008A737C"/>
    <w:rsid w:val="008A77C8"/>
    <w:rsid w:val="008B0781"/>
    <w:rsid w:val="008B0CBA"/>
    <w:rsid w:val="008B17C8"/>
    <w:rsid w:val="008B1850"/>
    <w:rsid w:val="008B2639"/>
    <w:rsid w:val="008B3454"/>
    <w:rsid w:val="008B3537"/>
    <w:rsid w:val="008B35C1"/>
    <w:rsid w:val="008B3690"/>
    <w:rsid w:val="008B3A80"/>
    <w:rsid w:val="008B3AEC"/>
    <w:rsid w:val="008B3C07"/>
    <w:rsid w:val="008B3C6E"/>
    <w:rsid w:val="008B3E7A"/>
    <w:rsid w:val="008B3F7B"/>
    <w:rsid w:val="008B43CA"/>
    <w:rsid w:val="008B4B38"/>
    <w:rsid w:val="008B5324"/>
    <w:rsid w:val="008B5C99"/>
    <w:rsid w:val="008B6106"/>
    <w:rsid w:val="008B6241"/>
    <w:rsid w:val="008B64BF"/>
    <w:rsid w:val="008B6605"/>
    <w:rsid w:val="008B66C9"/>
    <w:rsid w:val="008B6EBD"/>
    <w:rsid w:val="008B71F2"/>
    <w:rsid w:val="008B7C02"/>
    <w:rsid w:val="008B7D2B"/>
    <w:rsid w:val="008B7EF9"/>
    <w:rsid w:val="008C0049"/>
    <w:rsid w:val="008C025A"/>
    <w:rsid w:val="008C0314"/>
    <w:rsid w:val="008C0E88"/>
    <w:rsid w:val="008C0EBE"/>
    <w:rsid w:val="008C1717"/>
    <w:rsid w:val="008C17F0"/>
    <w:rsid w:val="008C2B57"/>
    <w:rsid w:val="008C32AE"/>
    <w:rsid w:val="008C3A32"/>
    <w:rsid w:val="008C3B05"/>
    <w:rsid w:val="008C3FCC"/>
    <w:rsid w:val="008C43B6"/>
    <w:rsid w:val="008C4B4D"/>
    <w:rsid w:val="008C4B50"/>
    <w:rsid w:val="008C5A37"/>
    <w:rsid w:val="008C5AA7"/>
    <w:rsid w:val="008C5BD3"/>
    <w:rsid w:val="008C5DD4"/>
    <w:rsid w:val="008C652D"/>
    <w:rsid w:val="008C7569"/>
    <w:rsid w:val="008C79C3"/>
    <w:rsid w:val="008D006F"/>
    <w:rsid w:val="008D033D"/>
    <w:rsid w:val="008D0344"/>
    <w:rsid w:val="008D06A2"/>
    <w:rsid w:val="008D0DBD"/>
    <w:rsid w:val="008D0F76"/>
    <w:rsid w:val="008D117E"/>
    <w:rsid w:val="008D127E"/>
    <w:rsid w:val="008D1956"/>
    <w:rsid w:val="008D1CA8"/>
    <w:rsid w:val="008D1E0A"/>
    <w:rsid w:val="008D1E6A"/>
    <w:rsid w:val="008D1EE4"/>
    <w:rsid w:val="008D1F3D"/>
    <w:rsid w:val="008D2407"/>
    <w:rsid w:val="008D2A16"/>
    <w:rsid w:val="008D2AEC"/>
    <w:rsid w:val="008D3295"/>
    <w:rsid w:val="008D3384"/>
    <w:rsid w:val="008D33F5"/>
    <w:rsid w:val="008D35E4"/>
    <w:rsid w:val="008D3611"/>
    <w:rsid w:val="008D3ACD"/>
    <w:rsid w:val="008D4172"/>
    <w:rsid w:val="008D52AA"/>
    <w:rsid w:val="008D5D64"/>
    <w:rsid w:val="008D6C3A"/>
    <w:rsid w:val="008D6FA1"/>
    <w:rsid w:val="008D70E2"/>
    <w:rsid w:val="008D7F47"/>
    <w:rsid w:val="008E0001"/>
    <w:rsid w:val="008E039E"/>
    <w:rsid w:val="008E07C9"/>
    <w:rsid w:val="008E0C45"/>
    <w:rsid w:val="008E192B"/>
    <w:rsid w:val="008E2842"/>
    <w:rsid w:val="008E292B"/>
    <w:rsid w:val="008E2C57"/>
    <w:rsid w:val="008E2C6F"/>
    <w:rsid w:val="008E31FF"/>
    <w:rsid w:val="008E3287"/>
    <w:rsid w:val="008E38E4"/>
    <w:rsid w:val="008E3DFA"/>
    <w:rsid w:val="008E419B"/>
    <w:rsid w:val="008E488D"/>
    <w:rsid w:val="008E51EB"/>
    <w:rsid w:val="008E5746"/>
    <w:rsid w:val="008E5E8E"/>
    <w:rsid w:val="008E64D7"/>
    <w:rsid w:val="008E68DF"/>
    <w:rsid w:val="008E6DCB"/>
    <w:rsid w:val="008E6E5D"/>
    <w:rsid w:val="008E6F06"/>
    <w:rsid w:val="008E7000"/>
    <w:rsid w:val="008E723E"/>
    <w:rsid w:val="008E750C"/>
    <w:rsid w:val="008E7A3F"/>
    <w:rsid w:val="008E7B8E"/>
    <w:rsid w:val="008E7FC9"/>
    <w:rsid w:val="008F0107"/>
    <w:rsid w:val="008F017C"/>
    <w:rsid w:val="008F029B"/>
    <w:rsid w:val="008F0589"/>
    <w:rsid w:val="008F0F23"/>
    <w:rsid w:val="008F130B"/>
    <w:rsid w:val="008F2A5D"/>
    <w:rsid w:val="008F2BC7"/>
    <w:rsid w:val="008F2E48"/>
    <w:rsid w:val="008F2E83"/>
    <w:rsid w:val="008F3636"/>
    <w:rsid w:val="008F37C2"/>
    <w:rsid w:val="008F3B3F"/>
    <w:rsid w:val="008F3FC9"/>
    <w:rsid w:val="008F509F"/>
    <w:rsid w:val="008F525A"/>
    <w:rsid w:val="008F5383"/>
    <w:rsid w:val="008F576A"/>
    <w:rsid w:val="008F585B"/>
    <w:rsid w:val="008F6577"/>
    <w:rsid w:val="008F6614"/>
    <w:rsid w:val="008F6F78"/>
    <w:rsid w:val="008F7FB0"/>
    <w:rsid w:val="009003A8"/>
    <w:rsid w:val="009004AD"/>
    <w:rsid w:val="009005E4"/>
    <w:rsid w:val="00900977"/>
    <w:rsid w:val="00901790"/>
    <w:rsid w:val="00901DE6"/>
    <w:rsid w:val="009021DA"/>
    <w:rsid w:val="00902500"/>
    <w:rsid w:val="00902EFF"/>
    <w:rsid w:val="009032D3"/>
    <w:rsid w:val="00903A8E"/>
    <w:rsid w:val="00903EAD"/>
    <w:rsid w:val="0090432C"/>
    <w:rsid w:val="009043B1"/>
    <w:rsid w:val="0090458B"/>
    <w:rsid w:val="00904F96"/>
    <w:rsid w:val="009052A3"/>
    <w:rsid w:val="00905314"/>
    <w:rsid w:val="00905395"/>
    <w:rsid w:val="009056D7"/>
    <w:rsid w:val="00905B8D"/>
    <w:rsid w:val="00906401"/>
    <w:rsid w:val="009065CB"/>
    <w:rsid w:val="009067EA"/>
    <w:rsid w:val="009068A8"/>
    <w:rsid w:val="00906B79"/>
    <w:rsid w:val="00907606"/>
    <w:rsid w:val="0090786F"/>
    <w:rsid w:val="0091001E"/>
    <w:rsid w:val="0091059E"/>
    <w:rsid w:val="00910C18"/>
    <w:rsid w:val="009110F7"/>
    <w:rsid w:val="009112E3"/>
    <w:rsid w:val="0091155E"/>
    <w:rsid w:val="00912242"/>
    <w:rsid w:val="009122D0"/>
    <w:rsid w:val="0091240B"/>
    <w:rsid w:val="00912437"/>
    <w:rsid w:val="00912A92"/>
    <w:rsid w:val="00913237"/>
    <w:rsid w:val="009133E7"/>
    <w:rsid w:val="00913B36"/>
    <w:rsid w:val="009141AA"/>
    <w:rsid w:val="0091476D"/>
    <w:rsid w:val="00915D07"/>
    <w:rsid w:val="009162AE"/>
    <w:rsid w:val="00917154"/>
    <w:rsid w:val="00917251"/>
    <w:rsid w:val="0091728D"/>
    <w:rsid w:val="00917D0D"/>
    <w:rsid w:val="00917DDF"/>
    <w:rsid w:val="00917FBC"/>
    <w:rsid w:val="009200DE"/>
    <w:rsid w:val="009201F3"/>
    <w:rsid w:val="0092036B"/>
    <w:rsid w:val="009203CC"/>
    <w:rsid w:val="00920EC4"/>
    <w:rsid w:val="0092180B"/>
    <w:rsid w:val="00921F14"/>
    <w:rsid w:val="00922775"/>
    <w:rsid w:val="0092292F"/>
    <w:rsid w:val="00922D28"/>
    <w:rsid w:val="009233E7"/>
    <w:rsid w:val="009237C4"/>
    <w:rsid w:val="00923862"/>
    <w:rsid w:val="00923CB0"/>
    <w:rsid w:val="00923D8C"/>
    <w:rsid w:val="00924871"/>
    <w:rsid w:val="00924AC8"/>
    <w:rsid w:val="00925429"/>
    <w:rsid w:val="0092543F"/>
    <w:rsid w:val="00925615"/>
    <w:rsid w:val="0092597A"/>
    <w:rsid w:val="00926520"/>
    <w:rsid w:val="00926CF0"/>
    <w:rsid w:val="009273A9"/>
    <w:rsid w:val="00930251"/>
    <w:rsid w:val="0093033E"/>
    <w:rsid w:val="009305FC"/>
    <w:rsid w:val="00930FB1"/>
    <w:rsid w:val="00931338"/>
    <w:rsid w:val="0093139F"/>
    <w:rsid w:val="00931BBB"/>
    <w:rsid w:val="00932239"/>
    <w:rsid w:val="00932443"/>
    <w:rsid w:val="00932B32"/>
    <w:rsid w:val="0093305E"/>
    <w:rsid w:val="00933F4A"/>
    <w:rsid w:val="009341F1"/>
    <w:rsid w:val="0093451E"/>
    <w:rsid w:val="00934FF2"/>
    <w:rsid w:val="009355E2"/>
    <w:rsid w:val="009358D7"/>
    <w:rsid w:val="00935BD4"/>
    <w:rsid w:val="00935DFE"/>
    <w:rsid w:val="00935E9D"/>
    <w:rsid w:val="00935F70"/>
    <w:rsid w:val="009360FA"/>
    <w:rsid w:val="0093648B"/>
    <w:rsid w:val="00937017"/>
    <w:rsid w:val="0093734C"/>
    <w:rsid w:val="009373B2"/>
    <w:rsid w:val="009377DF"/>
    <w:rsid w:val="00937AE2"/>
    <w:rsid w:val="009402A1"/>
    <w:rsid w:val="0094061F"/>
    <w:rsid w:val="00940F0F"/>
    <w:rsid w:val="00941912"/>
    <w:rsid w:val="00941A54"/>
    <w:rsid w:val="00942514"/>
    <w:rsid w:val="00942851"/>
    <w:rsid w:val="00943004"/>
    <w:rsid w:val="00943BA9"/>
    <w:rsid w:val="00943CDC"/>
    <w:rsid w:val="0094416B"/>
    <w:rsid w:val="0094427A"/>
    <w:rsid w:val="009449C6"/>
    <w:rsid w:val="00944C7C"/>
    <w:rsid w:val="00945245"/>
    <w:rsid w:val="009453E8"/>
    <w:rsid w:val="00945433"/>
    <w:rsid w:val="00945523"/>
    <w:rsid w:val="009463E1"/>
    <w:rsid w:val="0094683A"/>
    <w:rsid w:val="00946C43"/>
    <w:rsid w:val="009479A6"/>
    <w:rsid w:val="009500F7"/>
    <w:rsid w:val="0095042D"/>
    <w:rsid w:val="00950921"/>
    <w:rsid w:val="00951AF8"/>
    <w:rsid w:val="00951D68"/>
    <w:rsid w:val="00951E5B"/>
    <w:rsid w:val="00952050"/>
    <w:rsid w:val="00952315"/>
    <w:rsid w:val="009523D9"/>
    <w:rsid w:val="00952B7B"/>
    <w:rsid w:val="0095357B"/>
    <w:rsid w:val="00953660"/>
    <w:rsid w:val="009538B3"/>
    <w:rsid w:val="00953E13"/>
    <w:rsid w:val="00954F39"/>
    <w:rsid w:val="009555FD"/>
    <w:rsid w:val="00955BAD"/>
    <w:rsid w:val="00955BD4"/>
    <w:rsid w:val="00955F12"/>
    <w:rsid w:val="009561A5"/>
    <w:rsid w:val="0095664B"/>
    <w:rsid w:val="00956737"/>
    <w:rsid w:val="00956894"/>
    <w:rsid w:val="009568DC"/>
    <w:rsid w:val="00956B8B"/>
    <w:rsid w:val="00957140"/>
    <w:rsid w:val="00957445"/>
    <w:rsid w:val="0095759C"/>
    <w:rsid w:val="009604C7"/>
    <w:rsid w:val="009606FA"/>
    <w:rsid w:val="00961563"/>
    <w:rsid w:val="00961880"/>
    <w:rsid w:val="009618EE"/>
    <w:rsid w:val="00961A4C"/>
    <w:rsid w:val="00961DDD"/>
    <w:rsid w:val="00961E67"/>
    <w:rsid w:val="009624D2"/>
    <w:rsid w:val="009628D9"/>
    <w:rsid w:val="0096300D"/>
    <w:rsid w:val="009637AE"/>
    <w:rsid w:val="00963A06"/>
    <w:rsid w:val="00964068"/>
    <w:rsid w:val="009640F6"/>
    <w:rsid w:val="0096469D"/>
    <w:rsid w:val="00964776"/>
    <w:rsid w:val="00964A4E"/>
    <w:rsid w:val="00964B35"/>
    <w:rsid w:val="009651C7"/>
    <w:rsid w:val="00965504"/>
    <w:rsid w:val="00965797"/>
    <w:rsid w:val="00965A10"/>
    <w:rsid w:val="00965AD0"/>
    <w:rsid w:val="009670A3"/>
    <w:rsid w:val="009674BE"/>
    <w:rsid w:val="00967A4F"/>
    <w:rsid w:val="00967ED4"/>
    <w:rsid w:val="00970B25"/>
    <w:rsid w:val="00970E2C"/>
    <w:rsid w:val="00970EC8"/>
    <w:rsid w:val="00970FB5"/>
    <w:rsid w:val="00971405"/>
    <w:rsid w:val="00971710"/>
    <w:rsid w:val="009717D0"/>
    <w:rsid w:val="00971B87"/>
    <w:rsid w:val="00971C77"/>
    <w:rsid w:val="00971D14"/>
    <w:rsid w:val="00971D19"/>
    <w:rsid w:val="0097203A"/>
    <w:rsid w:val="00972FCD"/>
    <w:rsid w:val="00973324"/>
    <w:rsid w:val="009736DF"/>
    <w:rsid w:val="009741AE"/>
    <w:rsid w:val="009741FC"/>
    <w:rsid w:val="00974782"/>
    <w:rsid w:val="00974923"/>
    <w:rsid w:val="00975140"/>
    <w:rsid w:val="00975909"/>
    <w:rsid w:val="0097633D"/>
    <w:rsid w:val="00977C33"/>
    <w:rsid w:val="00977C3D"/>
    <w:rsid w:val="009808A9"/>
    <w:rsid w:val="00980B56"/>
    <w:rsid w:val="00980D3D"/>
    <w:rsid w:val="0098103E"/>
    <w:rsid w:val="0098157D"/>
    <w:rsid w:val="00982E92"/>
    <w:rsid w:val="00983101"/>
    <w:rsid w:val="00983E41"/>
    <w:rsid w:val="009844B1"/>
    <w:rsid w:val="009845E1"/>
    <w:rsid w:val="00984CE5"/>
    <w:rsid w:val="00984D1B"/>
    <w:rsid w:val="00985CAB"/>
    <w:rsid w:val="00986246"/>
    <w:rsid w:val="009867E7"/>
    <w:rsid w:val="00986858"/>
    <w:rsid w:val="009876AB"/>
    <w:rsid w:val="00987A30"/>
    <w:rsid w:val="00987F3F"/>
    <w:rsid w:val="00990312"/>
    <w:rsid w:val="009908AF"/>
    <w:rsid w:val="0099182E"/>
    <w:rsid w:val="00991D45"/>
    <w:rsid w:val="00991FDF"/>
    <w:rsid w:val="009928A6"/>
    <w:rsid w:val="00992B49"/>
    <w:rsid w:val="00992BB3"/>
    <w:rsid w:val="00992CF3"/>
    <w:rsid w:val="00993194"/>
    <w:rsid w:val="009931C3"/>
    <w:rsid w:val="0099321E"/>
    <w:rsid w:val="0099370F"/>
    <w:rsid w:val="00993875"/>
    <w:rsid w:val="00993BE7"/>
    <w:rsid w:val="00993ECA"/>
    <w:rsid w:val="00994171"/>
    <w:rsid w:val="00994868"/>
    <w:rsid w:val="00994976"/>
    <w:rsid w:val="00994D28"/>
    <w:rsid w:val="00994F2C"/>
    <w:rsid w:val="00995472"/>
    <w:rsid w:val="009954EC"/>
    <w:rsid w:val="00995720"/>
    <w:rsid w:val="009957CC"/>
    <w:rsid w:val="00995960"/>
    <w:rsid w:val="00995C90"/>
    <w:rsid w:val="00996017"/>
    <w:rsid w:val="00996614"/>
    <w:rsid w:val="009968D6"/>
    <w:rsid w:val="009974E0"/>
    <w:rsid w:val="00997953"/>
    <w:rsid w:val="00997D55"/>
    <w:rsid w:val="009A04D4"/>
    <w:rsid w:val="009A09E1"/>
    <w:rsid w:val="009A0BFF"/>
    <w:rsid w:val="009A10A0"/>
    <w:rsid w:val="009A12B7"/>
    <w:rsid w:val="009A1CAB"/>
    <w:rsid w:val="009A2359"/>
    <w:rsid w:val="009A24F1"/>
    <w:rsid w:val="009A27E0"/>
    <w:rsid w:val="009A3047"/>
    <w:rsid w:val="009A30B2"/>
    <w:rsid w:val="009A4D57"/>
    <w:rsid w:val="009A51A5"/>
    <w:rsid w:val="009A5309"/>
    <w:rsid w:val="009A5759"/>
    <w:rsid w:val="009A5A36"/>
    <w:rsid w:val="009A5C68"/>
    <w:rsid w:val="009A60D1"/>
    <w:rsid w:val="009A6225"/>
    <w:rsid w:val="009A64F5"/>
    <w:rsid w:val="009A6828"/>
    <w:rsid w:val="009A74DC"/>
    <w:rsid w:val="009A7A5B"/>
    <w:rsid w:val="009B00D2"/>
    <w:rsid w:val="009B05B3"/>
    <w:rsid w:val="009B07C8"/>
    <w:rsid w:val="009B0CAF"/>
    <w:rsid w:val="009B1324"/>
    <w:rsid w:val="009B1861"/>
    <w:rsid w:val="009B1EC3"/>
    <w:rsid w:val="009B2558"/>
    <w:rsid w:val="009B27ED"/>
    <w:rsid w:val="009B284F"/>
    <w:rsid w:val="009B35C8"/>
    <w:rsid w:val="009B3659"/>
    <w:rsid w:val="009B3764"/>
    <w:rsid w:val="009B3840"/>
    <w:rsid w:val="009B3D4A"/>
    <w:rsid w:val="009B47F6"/>
    <w:rsid w:val="009B485A"/>
    <w:rsid w:val="009B52AC"/>
    <w:rsid w:val="009B553D"/>
    <w:rsid w:val="009B5629"/>
    <w:rsid w:val="009B5861"/>
    <w:rsid w:val="009B59EA"/>
    <w:rsid w:val="009B5B6E"/>
    <w:rsid w:val="009B66CE"/>
    <w:rsid w:val="009B6939"/>
    <w:rsid w:val="009B6A56"/>
    <w:rsid w:val="009B6F8F"/>
    <w:rsid w:val="009B6FD3"/>
    <w:rsid w:val="009B72BE"/>
    <w:rsid w:val="009B78A4"/>
    <w:rsid w:val="009B7DB2"/>
    <w:rsid w:val="009C03DB"/>
    <w:rsid w:val="009C0585"/>
    <w:rsid w:val="009C15AF"/>
    <w:rsid w:val="009C1750"/>
    <w:rsid w:val="009C205B"/>
    <w:rsid w:val="009C2C39"/>
    <w:rsid w:val="009C2E29"/>
    <w:rsid w:val="009C3376"/>
    <w:rsid w:val="009C3684"/>
    <w:rsid w:val="009C3E8F"/>
    <w:rsid w:val="009C4B3A"/>
    <w:rsid w:val="009C554B"/>
    <w:rsid w:val="009C5E83"/>
    <w:rsid w:val="009C7126"/>
    <w:rsid w:val="009C719E"/>
    <w:rsid w:val="009C744C"/>
    <w:rsid w:val="009C7457"/>
    <w:rsid w:val="009C7799"/>
    <w:rsid w:val="009D0225"/>
    <w:rsid w:val="009D07A9"/>
    <w:rsid w:val="009D0AE2"/>
    <w:rsid w:val="009D0D9F"/>
    <w:rsid w:val="009D0EBB"/>
    <w:rsid w:val="009D0F6F"/>
    <w:rsid w:val="009D1169"/>
    <w:rsid w:val="009D1647"/>
    <w:rsid w:val="009D164D"/>
    <w:rsid w:val="009D2C46"/>
    <w:rsid w:val="009D3ACD"/>
    <w:rsid w:val="009D3EC7"/>
    <w:rsid w:val="009D40A7"/>
    <w:rsid w:val="009D4254"/>
    <w:rsid w:val="009D4F21"/>
    <w:rsid w:val="009D5012"/>
    <w:rsid w:val="009D587D"/>
    <w:rsid w:val="009D59E6"/>
    <w:rsid w:val="009D5CAD"/>
    <w:rsid w:val="009D6581"/>
    <w:rsid w:val="009D6EA6"/>
    <w:rsid w:val="009D72F8"/>
    <w:rsid w:val="009D7731"/>
    <w:rsid w:val="009D779F"/>
    <w:rsid w:val="009D78C3"/>
    <w:rsid w:val="009D7CC3"/>
    <w:rsid w:val="009E027B"/>
    <w:rsid w:val="009E1120"/>
    <w:rsid w:val="009E1393"/>
    <w:rsid w:val="009E1796"/>
    <w:rsid w:val="009E1922"/>
    <w:rsid w:val="009E1A3D"/>
    <w:rsid w:val="009E245A"/>
    <w:rsid w:val="009E274E"/>
    <w:rsid w:val="009E34C4"/>
    <w:rsid w:val="009E3657"/>
    <w:rsid w:val="009E4715"/>
    <w:rsid w:val="009E49FD"/>
    <w:rsid w:val="009E4A58"/>
    <w:rsid w:val="009E5273"/>
    <w:rsid w:val="009E52C3"/>
    <w:rsid w:val="009E57A8"/>
    <w:rsid w:val="009E5B85"/>
    <w:rsid w:val="009E5DDB"/>
    <w:rsid w:val="009E7501"/>
    <w:rsid w:val="009E7667"/>
    <w:rsid w:val="009E7EA7"/>
    <w:rsid w:val="009F032E"/>
    <w:rsid w:val="009F13D3"/>
    <w:rsid w:val="009F1CA6"/>
    <w:rsid w:val="009F218B"/>
    <w:rsid w:val="009F2921"/>
    <w:rsid w:val="009F3217"/>
    <w:rsid w:val="009F3D5C"/>
    <w:rsid w:val="009F42CF"/>
    <w:rsid w:val="009F4982"/>
    <w:rsid w:val="009F4CA7"/>
    <w:rsid w:val="009F4F6A"/>
    <w:rsid w:val="009F5554"/>
    <w:rsid w:val="009F55BA"/>
    <w:rsid w:val="009F5694"/>
    <w:rsid w:val="009F5C36"/>
    <w:rsid w:val="009F6097"/>
    <w:rsid w:val="009F6A42"/>
    <w:rsid w:val="009F7B14"/>
    <w:rsid w:val="009F7D36"/>
    <w:rsid w:val="009F7D61"/>
    <w:rsid w:val="00A0032F"/>
    <w:rsid w:val="00A00470"/>
    <w:rsid w:val="00A0069E"/>
    <w:rsid w:val="00A00E71"/>
    <w:rsid w:val="00A0187B"/>
    <w:rsid w:val="00A02969"/>
    <w:rsid w:val="00A02E8B"/>
    <w:rsid w:val="00A0306F"/>
    <w:rsid w:val="00A03511"/>
    <w:rsid w:val="00A03B10"/>
    <w:rsid w:val="00A03E2E"/>
    <w:rsid w:val="00A04616"/>
    <w:rsid w:val="00A04717"/>
    <w:rsid w:val="00A04D56"/>
    <w:rsid w:val="00A04F83"/>
    <w:rsid w:val="00A05577"/>
    <w:rsid w:val="00A05CF1"/>
    <w:rsid w:val="00A05D8F"/>
    <w:rsid w:val="00A05EB1"/>
    <w:rsid w:val="00A05EE4"/>
    <w:rsid w:val="00A06CA7"/>
    <w:rsid w:val="00A06D1D"/>
    <w:rsid w:val="00A06F99"/>
    <w:rsid w:val="00A07153"/>
    <w:rsid w:val="00A07316"/>
    <w:rsid w:val="00A073FD"/>
    <w:rsid w:val="00A07B79"/>
    <w:rsid w:val="00A1053B"/>
    <w:rsid w:val="00A10D66"/>
    <w:rsid w:val="00A113A4"/>
    <w:rsid w:val="00A12A8E"/>
    <w:rsid w:val="00A13367"/>
    <w:rsid w:val="00A133F9"/>
    <w:rsid w:val="00A14114"/>
    <w:rsid w:val="00A147AC"/>
    <w:rsid w:val="00A14F4D"/>
    <w:rsid w:val="00A16413"/>
    <w:rsid w:val="00A16545"/>
    <w:rsid w:val="00A16A1A"/>
    <w:rsid w:val="00A16A9F"/>
    <w:rsid w:val="00A16AED"/>
    <w:rsid w:val="00A16BD3"/>
    <w:rsid w:val="00A16C37"/>
    <w:rsid w:val="00A16E1D"/>
    <w:rsid w:val="00A16E4C"/>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BB7"/>
    <w:rsid w:val="00A23E43"/>
    <w:rsid w:val="00A242C7"/>
    <w:rsid w:val="00A24425"/>
    <w:rsid w:val="00A245CC"/>
    <w:rsid w:val="00A24726"/>
    <w:rsid w:val="00A24BEF"/>
    <w:rsid w:val="00A24DEB"/>
    <w:rsid w:val="00A24ED9"/>
    <w:rsid w:val="00A251DB"/>
    <w:rsid w:val="00A25216"/>
    <w:rsid w:val="00A2597D"/>
    <w:rsid w:val="00A259CC"/>
    <w:rsid w:val="00A25A28"/>
    <w:rsid w:val="00A25AA3"/>
    <w:rsid w:val="00A25FC3"/>
    <w:rsid w:val="00A2601E"/>
    <w:rsid w:val="00A2628E"/>
    <w:rsid w:val="00A266BF"/>
    <w:rsid w:val="00A26777"/>
    <w:rsid w:val="00A269AB"/>
    <w:rsid w:val="00A2731E"/>
    <w:rsid w:val="00A27D06"/>
    <w:rsid w:val="00A309AC"/>
    <w:rsid w:val="00A30EA4"/>
    <w:rsid w:val="00A30F65"/>
    <w:rsid w:val="00A315CD"/>
    <w:rsid w:val="00A315D0"/>
    <w:rsid w:val="00A3279E"/>
    <w:rsid w:val="00A33DB1"/>
    <w:rsid w:val="00A33EEB"/>
    <w:rsid w:val="00A34132"/>
    <w:rsid w:val="00A341CD"/>
    <w:rsid w:val="00A34FCE"/>
    <w:rsid w:val="00A351C8"/>
    <w:rsid w:val="00A35900"/>
    <w:rsid w:val="00A35BC9"/>
    <w:rsid w:val="00A35F33"/>
    <w:rsid w:val="00A375ED"/>
    <w:rsid w:val="00A401A3"/>
    <w:rsid w:val="00A40EAC"/>
    <w:rsid w:val="00A418BC"/>
    <w:rsid w:val="00A419FF"/>
    <w:rsid w:val="00A41FCF"/>
    <w:rsid w:val="00A423DE"/>
    <w:rsid w:val="00A42936"/>
    <w:rsid w:val="00A4328D"/>
    <w:rsid w:val="00A4393F"/>
    <w:rsid w:val="00A43CF8"/>
    <w:rsid w:val="00A43DF2"/>
    <w:rsid w:val="00A44336"/>
    <w:rsid w:val="00A445A8"/>
    <w:rsid w:val="00A44964"/>
    <w:rsid w:val="00A44B0D"/>
    <w:rsid w:val="00A44D21"/>
    <w:rsid w:val="00A44E3F"/>
    <w:rsid w:val="00A45014"/>
    <w:rsid w:val="00A45087"/>
    <w:rsid w:val="00A45366"/>
    <w:rsid w:val="00A45487"/>
    <w:rsid w:val="00A45489"/>
    <w:rsid w:val="00A45858"/>
    <w:rsid w:val="00A45CED"/>
    <w:rsid w:val="00A465E9"/>
    <w:rsid w:val="00A468E7"/>
    <w:rsid w:val="00A46DA0"/>
    <w:rsid w:val="00A46DE0"/>
    <w:rsid w:val="00A47240"/>
    <w:rsid w:val="00A476A5"/>
    <w:rsid w:val="00A478BA"/>
    <w:rsid w:val="00A50D73"/>
    <w:rsid w:val="00A514CC"/>
    <w:rsid w:val="00A518BB"/>
    <w:rsid w:val="00A52A88"/>
    <w:rsid w:val="00A52CAD"/>
    <w:rsid w:val="00A53340"/>
    <w:rsid w:val="00A53560"/>
    <w:rsid w:val="00A53FC7"/>
    <w:rsid w:val="00A54AAF"/>
    <w:rsid w:val="00A55569"/>
    <w:rsid w:val="00A55ABC"/>
    <w:rsid w:val="00A55C36"/>
    <w:rsid w:val="00A5661B"/>
    <w:rsid w:val="00A566A0"/>
    <w:rsid w:val="00A56F74"/>
    <w:rsid w:val="00A57594"/>
    <w:rsid w:val="00A601AA"/>
    <w:rsid w:val="00A601E7"/>
    <w:rsid w:val="00A609BD"/>
    <w:rsid w:val="00A60AC1"/>
    <w:rsid w:val="00A60FF7"/>
    <w:rsid w:val="00A620A9"/>
    <w:rsid w:val="00A62162"/>
    <w:rsid w:val="00A62555"/>
    <w:rsid w:val="00A626FF"/>
    <w:rsid w:val="00A62CE1"/>
    <w:rsid w:val="00A63449"/>
    <w:rsid w:val="00A65469"/>
    <w:rsid w:val="00A65528"/>
    <w:rsid w:val="00A655D3"/>
    <w:rsid w:val="00A662D9"/>
    <w:rsid w:val="00A6630C"/>
    <w:rsid w:val="00A6741E"/>
    <w:rsid w:val="00A67605"/>
    <w:rsid w:val="00A676F1"/>
    <w:rsid w:val="00A67E29"/>
    <w:rsid w:val="00A7016A"/>
    <w:rsid w:val="00A7018D"/>
    <w:rsid w:val="00A709DE"/>
    <w:rsid w:val="00A7108C"/>
    <w:rsid w:val="00A71181"/>
    <w:rsid w:val="00A7191D"/>
    <w:rsid w:val="00A71E82"/>
    <w:rsid w:val="00A72154"/>
    <w:rsid w:val="00A722F9"/>
    <w:rsid w:val="00A72347"/>
    <w:rsid w:val="00A72D42"/>
    <w:rsid w:val="00A746C9"/>
    <w:rsid w:val="00A747D4"/>
    <w:rsid w:val="00A74C2A"/>
    <w:rsid w:val="00A75684"/>
    <w:rsid w:val="00A75E40"/>
    <w:rsid w:val="00A76353"/>
    <w:rsid w:val="00A76818"/>
    <w:rsid w:val="00A77D1D"/>
    <w:rsid w:val="00A77E6B"/>
    <w:rsid w:val="00A809AD"/>
    <w:rsid w:val="00A81374"/>
    <w:rsid w:val="00A81652"/>
    <w:rsid w:val="00A822F8"/>
    <w:rsid w:val="00A82ADA"/>
    <w:rsid w:val="00A82BF0"/>
    <w:rsid w:val="00A82C91"/>
    <w:rsid w:val="00A83150"/>
    <w:rsid w:val="00A83398"/>
    <w:rsid w:val="00A83D6E"/>
    <w:rsid w:val="00A83FD5"/>
    <w:rsid w:val="00A84C1D"/>
    <w:rsid w:val="00A84FB7"/>
    <w:rsid w:val="00A8521A"/>
    <w:rsid w:val="00A8552B"/>
    <w:rsid w:val="00A85537"/>
    <w:rsid w:val="00A857C0"/>
    <w:rsid w:val="00A85ACB"/>
    <w:rsid w:val="00A9036F"/>
    <w:rsid w:val="00A904C6"/>
    <w:rsid w:val="00A9092B"/>
    <w:rsid w:val="00A90F2C"/>
    <w:rsid w:val="00A90FED"/>
    <w:rsid w:val="00A9142F"/>
    <w:rsid w:val="00A91482"/>
    <w:rsid w:val="00A9189D"/>
    <w:rsid w:val="00A91E71"/>
    <w:rsid w:val="00A91EAD"/>
    <w:rsid w:val="00A925B1"/>
    <w:rsid w:val="00A92A3E"/>
    <w:rsid w:val="00A934F9"/>
    <w:rsid w:val="00A93735"/>
    <w:rsid w:val="00A9383D"/>
    <w:rsid w:val="00A939EE"/>
    <w:rsid w:val="00A940E3"/>
    <w:rsid w:val="00A94983"/>
    <w:rsid w:val="00A9532C"/>
    <w:rsid w:val="00A95F1A"/>
    <w:rsid w:val="00A96026"/>
    <w:rsid w:val="00A96116"/>
    <w:rsid w:val="00A96118"/>
    <w:rsid w:val="00A9614E"/>
    <w:rsid w:val="00A96422"/>
    <w:rsid w:val="00A96C0F"/>
    <w:rsid w:val="00A97075"/>
    <w:rsid w:val="00A97542"/>
    <w:rsid w:val="00AA0E80"/>
    <w:rsid w:val="00AA0F90"/>
    <w:rsid w:val="00AA16F4"/>
    <w:rsid w:val="00AA1756"/>
    <w:rsid w:val="00AA17CD"/>
    <w:rsid w:val="00AA1D4D"/>
    <w:rsid w:val="00AA1D85"/>
    <w:rsid w:val="00AA1F81"/>
    <w:rsid w:val="00AA212B"/>
    <w:rsid w:val="00AA212F"/>
    <w:rsid w:val="00AA26A9"/>
    <w:rsid w:val="00AA28CE"/>
    <w:rsid w:val="00AA2996"/>
    <w:rsid w:val="00AA2AF4"/>
    <w:rsid w:val="00AA4272"/>
    <w:rsid w:val="00AA4282"/>
    <w:rsid w:val="00AA4291"/>
    <w:rsid w:val="00AA43F2"/>
    <w:rsid w:val="00AA4790"/>
    <w:rsid w:val="00AA49E1"/>
    <w:rsid w:val="00AA52BF"/>
    <w:rsid w:val="00AA559A"/>
    <w:rsid w:val="00AA5DE4"/>
    <w:rsid w:val="00AA65D0"/>
    <w:rsid w:val="00AA6C31"/>
    <w:rsid w:val="00AA7752"/>
    <w:rsid w:val="00AA7CE8"/>
    <w:rsid w:val="00AB0243"/>
    <w:rsid w:val="00AB078A"/>
    <w:rsid w:val="00AB1457"/>
    <w:rsid w:val="00AB2531"/>
    <w:rsid w:val="00AB2AF1"/>
    <w:rsid w:val="00AB32CB"/>
    <w:rsid w:val="00AB3405"/>
    <w:rsid w:val="00AB3AD7"/>
    <w:rsid w:val="00AB3B8E"/>
    <w:rsid w:val="00AB3BA7"/>
    <w:rsid w:val="00AB3EC7"/>
    <w:rsid w:val="00AB44DA"/>
    <w:rsid w:val="00AB4BC1"/>
    <w:rsid w:val="00AB51D2"/>
    <w:rsid w:val="00AB5A64"/>
    <w:rsid w:val="00AB5CA1"/>
    <w:rsid w:val="00AB640C"/>
    <w:rsid w:val="00AB6456"/>
    <w:rsid w:val="00AB719D"/>
    <w:rsid w:val="00AB75C5"/>
    <w:rsid w:val="00AC044E"/>
    <w:rsid w:val="00AC0CE9"/>
    <w:rsid w:val="00AC1487"/>
    <w:rsid w:val="00AC2118"/>
    <w:rsid w:val="00AC2395"/>
    <w:rsid w:val="00AC2960"/>
    <w:rsid w:val="00AC2AC4"/>
    <w:rsid w:val="00AC37F9"/>
    <w:rsid w:val="00AC39AD"/>
    <w:rsid w:val="00AC3AE1"/>
    <w:rsid w:val="00AC40BF"/>
    <w:rsid w:val="00AC4284"/>
    <w:rsid w:val="00AC45BD"/>
    <w:rsid w:val="00AC50BB"/>
    <w:rsid w:val="00AC5256"/>
    <w:rsid w:val="00AC5333"/>
    <w:rsid w:val="00AC6FE4"/>
    <w:rsid w:val="00AC78F1"/>
    <w:rsid w:val="00AC7B96"/>
    <w:rsid w:val="00AD0B22"/>
    <w:rsid w:val="00AD0EE7"/>
    <w:rsid w:val="00AD168E"/>
    <w:rsid w:val="00AD2218"/>
    <w:rsid w:val="00AD2FCF"/>
    <w:rsid w:val="00AD2FF2"/>
    <w:rsid w:val="00AD306C"/>
    <w:rsid w:val="00AD3FE3"/>
    <w:rsid w:val="00AD432F"/>
    <w:rsid w:val="00AD43B0"/>
    <w:rsid w:val="00AD44CD"/>
    <w:rsid w:val="00AD47A7"/>
    <w:rsid w:val="00AD4C41"/>
    <w:rsid w:val="00AD5AD2"/>
    <w:rsid w:val="00AD5FF2"/>
    <w:rsid w:val="00AD6462"/>
    <w:rsid w:val="00AD66C5"/>
    <w:rsid w:val="00AD68C4"/>
    <w:rsid w:val="00AD71F9"/>
    <w:rsid w:val="00AE09B3"/>
    <w:rsid w:val="00AE14A7"/>
    <w:rsid w:val="00AE1767"/>
    <w:rsid w:val="00AE1A83"/>
    <w:rsid w:val="00AE27E3"/>
    <w:rsid w:val="00AE2A78"/>
    <w:rsid w:val="00AE2AE9"/>
    <w:rsid w:val="00AE2FF9"/>
    <w:rsid w:val="00AE30BE"/>
    <w:rsid w:val="00AE3E6A"/>
    <w:rsid w:val="00AE417E"/>
    <w:rsid w:val="00AE4A50"/>
    <w:rsid w:val="00AE5099"/>
    <w:rsid w:val="00AE56EE"/>
    <w:rsid w:val="00AE59E8"/>
    <w:rsid w:val="00AE6414"/>
    <w:rsid w:val="00AE7087"/>
    <w:rsid w:val="00AE7269"/>
    <w:rsid w:val="00AE75C1"/>
    <w:rsid w:val="00AE77B2"/>
    <w:rsid w:val="00AE797C"/>
    <w:rsid w:val="00AE7CE7"/>
    <w:rsid w:val="00AE7E8D"/>
    <w:rsid w:val="00AE7FAB"/>
    <w:rsid w:val="00AF0DE4"/>
    <w:rsid w:val="00AF0F32"/>
    <w:rsid w:val="00AF12A0"/>
    <w:rsid w:val="00AF1D38"/>
    <w:rsid w:val="00AF1E87"/>
    <w:rsid w:val="00AF25DA"/>
    <w:rsid w:val="00AF31F3"/>
    <w:rsid w:val="00AF33D9"/>
    <w:rsid w:val="00AF4181"/>
    <w:rsid w:val="00AF422A"/>
    <w:rsid w:val="00AF436B"/>
    <w:rsid w:val="00AF5179"/>
    <w:rsid w:val="00AF5CC2"/>
    <w:rsid w:val="00AF660D"/>
    <w:rsid w:val="00AF6776"/>
    <w:rsid w:val="00AF6F98"/>
    <w:rsid w:val="00AF7277"/>
    <w:rsid w:val="00B0001C"/>
    <w:rsid w:val="00B00550"/>
    <w:rsid w:val="00B00913"/>
    <w:rsid w:val="00B00D4D"/>
    <w:rsid w:val="00B01197"/>
    <w:rsid w:val="00B014F7"/>
    <w:rsid w:val="00B01593"/>
    <w:rsid w:val="00B01D0F"/>
    <w:rsid w:val="00B01F1A"/>
    <w:rsid w:val="00B01FF9"/>
    <w:rsid w:val="00B023F2"/>
    <w:rsid w:val="00B026FE"/>
    <w:rsid w:val="00B0271F"/>
    <w:rsid w:val="00B02A45"/>
    <w:rsid w:val="00B03883"/>
    <w:rsid w:val="00B038CA"/>
    <w:rsid w:val="00B0454F"/>
    <w:rsid w:val="00B05375"/>
    <w:rsid w:val="00B05BB6"/>
    <w:rsid w:val="00B05BEC"/>
    <w:rsid w:val="00B05F00"/>
    <w:rsid w:val="00B0601B"/>
    <w:rsid w:val="00B06DB4"/>
    <w:rsid w:val="00B06DDF"/>
    <w:rsid w:val="00B0750D"/>
    <w:rsid w:val="00B07850"/>
    <w:rsid w:val="00B0799C"/>
    <w:rsid w:val="00B102CE"/>
    <w:rsid w:val="00B10A4D"/>
    <w:rsid w:val="00B10C90"/>
    <w:rsid w:val="00B11002"/>
    <w:rsid w:val="00B1114F"/>
    <w:rsid w:val="00B117D9"/>
    <w:rsid w:val="00B1192D"/>
    <w:rsid w:val="00B121B2"/>
    <w:rsid w:val="00B131B1"/>
    <w:rsid w:val="00B13571"/>
    <w:rsid w:val="00B1382F"/>
    <w:rsid w:val="00B13A1C"/>
    <w:rsid w:val="00B141A5"/>
    <w:rsid w:val="00B141B6"/>
    <w:rsid w:val="00B145F1"/>
    <w:rsid w:val="00B14BC1"/>
    <w:rsid w:val="00B14EC9"/>
    <w:rsid w:val="00B154DE"/>
    <w:rsid w:val="00B162C3"/>
    <w:rsid w:val="00B16CD9"/>
    <w:rsid w:val="00B16DD1"/>
    <w:rsid w:val="00B16EB8"/>
    <w:rsid w:val="00B1700A"/>
    <w:rsid w:val="00B174AF"/>
    <w:rsid w:val="00B17625"/>
    <w:rsid w:val="00B17E71"/>
    <w:rsid w:val="00B17FDE"/>
    <w:rsid w:val="00B20632"/>
    <w:rsid w:val="00B21AE3"/>
    <w:rsid w:val="00B21EA4"/>
    <w:rsid w:val="00B2379C"/>
    <w:rsid w:val="00B23D5D"/>
    <w:rsid w:val="00B23E6E"/>
    <w:rsid w:val="00B2450C"/>
    <w:rsid w:val="00B24790"/>
    <w:rsid w:val="00B25531"/>
    <w:rsid w:val="00B25AD0"/>
    <w:rsid w:val="00B25B56"/>
    <w:rsid w:val="00B2687D"/>
    <w:rsid w:val="00B27EAC"/>
    <w:rsid w:val="00B27EC6"/>
    <w:rsid w:val="00B3082E"/>
    <w:rsid w:val="00B30C8B"/>
    <w:rsid w:val="00B3108D"/>
    <w:rsid w:val="00B32DDB"/>
    <w:rsid w:val="00B32F57"/>
    <w:rsid w:val="00B33300"/>
    <w:rsid w:val="00B3345C"/>
    <w:rsid w:val="00B343C4"/>
    <w:rsid w:val="00B34528"/>
    <w:rsid w:val="00B34750"/>
    <w:rsid w:val="00B34CC9"/>
    <w:rsid w:val="00B34CCE"/>
    <w:rsid w:val="00B34CDA"/>
    <w:rsid w:val="00B34EB6"/>
    <w:rsid w:val="00B34EFD"/>
    <w:rsid w:val="00B35160"/>
    <w:rsid w:val="00B3563B"/>
    <w:rsid w:val="00B36BDC"/>
    <w:rsid w:val="00B36C14"/>
    <w:rsid w:val="00B37975"/>
    <w:rsid w:val="00B37D3A"/>
    <w:rsid w:val="00B37D96"/>
    <w:rsid w:val="00B40066"/>
    <w:rsid w:val="00B402FC"/>
    <w:rsid w:val="00B41961"/>
    <w:rsid w:val="00B42127"/>
    <w:rsid w:val="00B422E2"/>
    <w:rsid w:val="00B42517"/>
    <w:rsid w:val="00B42902"/>
    <w:rsid w:val="00B42D5F"/>
    <w:rsid w:val="00B43216"/>
    <w:rsid w:val="00B439DA"/>
    <w:rsid w:val="00B4411A"/>
    <w:rsid w:val="00B44234"/>
    <w:rsid w:val="00B456FD"/>
    <w:rsid w:val="00B45FE8"/>
    <w:rsid w:val="00B4612C"/>
    <w:rsid w:val="00B46382"/>
    <w:rsid w:val="00B46604"/>
    <w:rsid w:val="00B47089"/>
    <w:rsid w:val="00B4753D"/>
    <w:rsid w:val="00B47587"/>
    <w:rsid w:val="00B50D6C"/>
    <w:rsid w:val="00B5150A"/>
    <w:rsid w:val="00B51A05"/>
    <w:rsid w:val="00B51B78"/>
    <w:rsid w:val="00B52151"/>
    <w:rsid w:val="00B52CA5"/>
    <w:rsid w:val="00B530CD"/>
    <w:rsid w:val="00B532B1"/>
    <w:rsid w:val="00B53639"/>
    <w:rsid w:val="00B53C7D"/>
    <w:rsid w:val="00B53D7F"/>
    <w:rsid w:val="00B53E56"/>
    <w:rsid w:val="00B5427F"/>
    <w:rsid w:val="00B545CC"/>
    <w:rsid w:val="00B55311"/>
    <w:rsid w:val="00B55601"/>
    <w:rsid w:val="00B55922"/>
    <w:rsid w:val="00B55A97"/>
    <w:rsid w:val="00B55E7E"/>
    <w:rsid w:val="00B55F5E"/>
    <w:rsid w:val="00B5601B"/>
    <w:rsid w:val="00B56231"/>
    <w:rsid w:val="00B5642C"/>
    <w:rsid w:val="00B564F1"/>
    <w:rsid w:val="00B5658D"/>
    <w:rsid w:val="00B56B6F"/>
    <w:rsid w:val="00B5701A"/>
    <w:rsid w:val="00B5752E"/>
    <w:rsid w:val="00B604FF"/>
    <w:rsid w:val="00B608B7"/>
    <w:rsid w:val="00B60AC1"/>
    <w:rsid w:val="00B6167A"/>
    <w:rsid w:val="00B61FF6"/>
    <w:rsid w:val="00B62316"/>
    <w:rsid w:val="00B62635"/>
    <w:rsid w:val="00B6274C"/>
    <w:rsid w:val="00B62A84"/>
    <w:rsid w:val="00B6329D"/>
    <w:rsid w:val="00B63A11"/>
    <w:rsid w:val="00B63C9F"/>
    <w:rsid w:val="00B63D32"/>
    <w:rsid w:val="00B64425"/>
    <w:rsid w:val="00B64A44"/>
    <w:rsid w:val="00B64C24"/>
    <w:rsid w:val="00B64E72"/>
    <w:rsid w:val="00B655D8"/>
    <w:rsid w:val="00B65CC4"/>
    <w:rsid w:val="00B65CEF"/>
    <w:rsid w:val="00B6608F"/>
    <w:rsid w:val="00B668D7"/>
    <w:rsid w:val="00B674C7"/>
    <w:rsid w:val="00B67749"/>
    <w:rsid w:val="00B679FB"/>
    <w:rsid w:val="00B703DD"/>
    <w:rsid w:val="00B70570"/>
    <w:rsid w:val="00B71FBF"/>
    <w:rsid w:val="00B72E6D"/>
    <w:rsid w:val="00B734A0"/>
    <w:rsid w:val="00B7356B"/>
    <w:rsid w:val="00B7374C"/>
    <w:rsid w:val="00B73A14"/>
    <w:rsid w:val="00B73AB1"/>
    <w:rsid w:val="00B73FE8"/>
    <w:rsid w:val="00B740A0"/>
    <w:rsid w:val="00B74606"/>
    <w:rsid w:val="00B746AB"/>
    <w:rsid w:val="00B748BD"/>
    <w:rsid w:val="00B74964"/>
    <w:rsid w:val="00B7564A"/>
    <w:rsid w:val="00B75719"/>
    <w:rsid w:val="00B76100"/>
    <w:rsid w:val="00B7680F"/>
    <w:rsid w:val="00B76B48"/>
    <w:rsid w:val="00B76D1E"/>
    <w:rsid w:val="00B771E5"/>
    <w:rsid w:val="00B77201"/>
    <w:rsid w:val="00B77543"/>
    <w:rsid w:val="00B77584"/>
    <w:rsid w:val="00B77E34"/>
    <w:rsid w:val="00B805D8"/>
    <w:rsid w:val="00B809F3"/>
    <w:rsid w:val="00B80D44"/>
    <w:rsid w:val="00B80D89"/>
    <w:rsid w:val="00B80EC6"/>
    <w:rsid w:val="00B81288"/>
    <w:rsid w:val="00B81D70"/>
    <w:rsid w:val="00B82420"/>
    <w:rsid w:val="00B833B9"/>
    <w:rsid w:val="00B836F7"/>
    <w:rsid w:val="00B83AAF"/>
    <w:rsid w:val="00B83E07"/>
    <w:rsid w:val="00B84CF6"/>
    <w:rsid w:val="00B85016"/>
    <w:rsid w:val="00B8561A"/>
    <w:rsid w:val="00B86628"/>
    <w:rsid w:val="00B86643"/>
    <w:rsid w:val="00B868F7"/>
    <w:rsid w:val="00B86BBA"/>
    <w:rsid w:val="00B86EB1"/>
    <w:rsid w:val="00B86EB2"/>
    <w:rsid w:val="00B871A7"/>
    <w:rsid w:val="00B87A70"/>
    <w:rsid w:val="00B87F5D"/>
    <w:rsid w:val="00B900FB"/>
    <w:rsid w:val="00B90131"/>
    <w:rsid w:val="00B904F3"/>
    <w:rsid w:val="00B907BE"/>
    <w:rsid w:val="00B90DE0"/>
    <w:rsid w:val="00B91EBE"/>
    <w:rsid w:val="00B92951"/>
    <w:rsid w:val="00B92D1D"/>
    <w:rsid w:val="00B92D7E"/>
    <w:rsid w:val="00B930CE"/>
    <w:rsid w:val="00B938C5"/>
    <w:rsid w:val="00B93EC3"/>
    <w:rsid w:val="00B940A8"/>
    <w:rsid w:val="00B9554A"/>
    <w:rsid w:val="00B95940"/>
    <w:rsid w:val="00B95ACA"/>
    <w:rsid w:val="00B95C12"/>
    <w:rsid w:val="00B95DA7"/>
    <w:rsid w:val="00B96949"/>
    <w:rsid w:val="00B96D74"/>
    <w:rsid w:val="00B9720E"/>
    <w:rsid w:val="00B97320"/>
    <w:rsid w:val="00B97ACC"/>
    <w:rsid w:val="00B97FE2"/>
    <w:rsid w:val="00BA0986"/>
    <w:rsid w:val="00BA0E0B"/>
    <w:rsid w:val="00BA0F7D"/>
    <w:rsid w:val="00BA1B6F"/>
    <w:rsid w:val="00BA201A"/>
    <w:rsid w:val="00BA21DF"/>
    <w:rsid w:val="00BA2B7C"/>
    <w:rsid w:val="00BA361D"/>
    <w:rsid w:val="00BA3787"/>
    <w:rsid w:val="00BA403A"/>
    <w:rsid w:val="00BA46E8"/>
    <w:rsid w:val="00BA49DB"/>
    <w:rsid w:val="00BA4AE9"/>
    <w:rsid w:val="00BA4CC9"/>
    <w:rsid w:val="00BA4E19"/>
    <w:rsid w:val="00BA52D4"/>
    <w:rsid w:val="00BA5EFC"/>
    <w:rsid w:val="00BA6397"/>
    <w:rsid w:val="00BA6436"/>
    <w:rsid w:val="00BA64F2"/>
    <w:rsid w:val="00BA65BE"/>
    <w:rsid w:val="00BA684E"/>
    <w:rsid w:val="00BA6C2B"/>
    <w:rsid w:val="00BA7B64"/>
    <w:rsid w:val="00BA7D5F"/>
    <w:rsid w:val="00BB02A3"/>
    <w:rsid w:val="00BB0351"/>
    <w:rsid w:val="00BB15C3"/>
    <w:rsid w:val="00BB1A13"/>
    <w:rsid w:val="00BB1AF4"/>
    <w:rsid w:val="00BB2202"/>
    <w:rsid w:val="00BB298E"/>
    <w:rsid w:val="00BB3153"/>
    <w:rsid w:val="00BB3C6B"/>
    <w:rsid w:val="00BB3E48"/>
    <w:rsid w:val="00BB3FD6"/>
    <w:rsid w:val="00BB453F"/>
    <w:rsid w:val="00BB46C6"/>
    <w:rsid w:val="00BB46F3"/>
    <w:rsid w:val="00BB4A71"/>
    <w:rsid w:val="00BB4CB1"/>
    <w:rsid w:val="00BB4E47"/>
    <w:rsid w:val="00BB4F98"/>
    <w:rsid w:val="00BB50C0"/>
    <w:rsid w:val="00BB5AB2"/>
    <w:rsid w:val="00BB5ABF"/>
    <w:rsid w:val="00BB5F94"/>
    <w:rsid w:val="00BB6EA2"/>
    <w:rsid w:val="00BB7142"/>
    <w:rsid w:val="00BB71D2"/>
    <w:rsid w:val="00BB76F3"/>
    <w:rsid w:val="00BB7B5B"/>
    <w:rsid w:val="00BB7E0B"/>
    <w:rsid w:val="00BB7EB1"/>
    <w:rsid w:val="00BC003F"/>
    <w:rsid w:val="00BC0930"/>
    <w:rsid w:val="00BC0D79"/>
    <w:rsid w:val="00BC14B0"/>
    <w:rsid w:val="00BC223A"/>
    <w:rsid w:val="00BC2340"/>
    <w:rsid w:val="00BC327F"/>
    <w:rsid w:val="00BC3512"/>
    <w:rsid w:val="00BC3D26"/>
    <w:rsid w:val="00BC4010"/>
    <w:rsid w:val="00BC48A2"/>
    <w:rsid w:val="00BC493B"/>
    <w:rsid w:val="00BC4B35"/>
    <w:rsid w:val="00BC4F86"/>
    <w:rsid w:val="00BC50BE"/>
    <w:rsid w:val="00BC5332"/>
    <w:rsid w:val="00BC557F"/>
    <w:rsid w:val="00BC5636"/>
    <w:rsid w:val="00BC5715"/>
    <w:rsid w:val="00BC5BBD"/>
    <w:rsid w:val="00BC5C12"/>
    <w:rsid w:val="00BC641B"/>
    <w:rsid w:val="00BC7154"/>
    <w:rsid w:val="00BC731E"/>
    <w:rsid w:val="00BC7614"/>
    <w:rsid w:val="00BC7652"/>
    <w:rsid w:val="00BC7EFA"/>
    <w:rsid w:val="00BD041B"/>
    <w:rsid w:val="00BD1B66"/>
    <w:rsid w:val="00BD25BB"/>
    <w:rsid w:val="00BD2AF8"/>
    <w:rsid w:val="00BD366B"/>
    <w:rsid w:val="00BD3C09"/>
    <w:rsid w:val="00BD410B"/>
    <w:rsid w:val="00BD4310"/>
    <w:rsid w:val="00BD4A73"/>
    <w:rsid w:val="00BD4EDD"/>
    <w:rsid w:val="00BD4EF4"/>
    <w:rsid w:val="00BD57E9"/>
    <w:rsid w:val="00BD5A1B"/>
    <w:rsid w:val="00BD5D0F"/>
    <w:rsid w:val="00BD6659"/>
    <w:rsid w:val="00BD6C75"/>
    <w:rsid w:val="00BD6D4D"/>
    <w:rsid w:val="00BD6D50"/>
    <w:rsid w:val="00BD7105"/>
    <w:rsid w:val="00BD73D2"/>
    <w:rsid w:val="00BE00D1"/>
    <w:rsid w:val="00BE0ACB"/>
    <w:rsid w:val="00BE0AD1"/>
    <w:rsid w:val="00BE0D18"/>
    <w:rsid w:val="00BE0EF9"/>
    <w:rsid w:val="00BE10A1"/>
    <w:rsid w:val="00BE18B9"/>
    <w:rsid w:val="00BE190A"/>
    <w:rsid w:val="00BE2495"/>
    <w:rsid w:val="00BE24DD"/>
    <w:rsid w:val="00BE2DB0"/>
    <w:rsid w:val="00BE34BB"/>
    <w:rsid w:val="00BE386D"/>
    <w:rsid w:val="00BE4B6B"/>
    <w:rsid w:val="00BE4DA9"/>
    <w:rsid w:val="00BE54BF"/>
    <w:rsid w:val="00BE557B"/>
    <w:rsid w:val="00BE55EF"/>
    <w:rsid w:val="00BE59C5"/>
    <w:rsid w:val="00BE652B"/>
    <w:rsid w:val="00BE6C26"/>
    <w:rsid w:val="00BE7F5F"/>
    <w:rsid w:val="00BF02C8"/>
    <w:rsid w:val="00BF08EA"/>
    <w:rsid w:val="00BF0FD7"/>
    <w:rsid w:val="00BF1578"/>
    <w:rsid w:val="00BF15CA"/>
    <w:rsid w:val="00BF1D12"/>
    <w:rsid w:val="00BF1D3A"/>
    <w:rsid w:val="00BF267B"/>
    <w:rsid w:val="00BF2B5B"/>
    <w:rsid w:val="00BF2D41"/>
    <w:rsid w:val="00BF3201"/>
    <w:rsid w:val="00BF3274"/>
    <w:rsid w:val="00BF32DC"/>
    <w:rsid w:val="00BF35C9"/>
    <w:rsid w:val="00BF4329"/>
    <w:rsid w:val="00BF4DCD"/>
    <w:rsid w:val="00BF4E43"/>
    <w:rsid w:val="00BF5C4C"/>
    <w:rsid w:val="00BF6B0D"/>
    <w:rsid w:val="00BF71E7"/>
    <w:rsid w:val="00BF765C"/>
    <w:rsid w:val="00BF77FC"/>
    <w:rsid w:val="00BF7BB2"/>
    <w:rsid w:val="00BF7D00"/>
    <w:rsid w:val="00BF7DAD"/>
    <w:rsid w:val="00C006D6"/>
    <w:rsid w:val="00C008FE"/>
    <w:rsid w:val="00C00BD7"/>
    <w:rsid w:val="00C00EBF"/>
    <w:rsid w:val="00C0103E"/>
    <w:rsid w:val="00C01410"/>
    <w:rsid w:val="00C024BB"/>
    <w:rsid w:val="00C0259E"/>
    <w:rsid w:val="00C027E4"/>
    <w:rsid w:val="00C02D23"/>
    <w:rsid w:val="00C03D4D"/>
    <w:rsid w:val="00C0436A"/>
    <w:rsid w:val="00C044F4"/>
    <w:rsid w:val="00C04B78"/>
    <w:rsid w:val="00C04F46"/>
    <w:rsid w:val="00C052AA"/>
    <w:rsid w:val="00C05608"/>
    <w:rsid w:val="00C06EE3"/>
    <w:rsid w:val="00C07279"/>
    <w:rsid w:val="00C07749"/>
    <w:rsid w:val="00C07B3F"/>
    <w:rsid w:val="00C07C67"/>
    <w:rsid w:val="00C10099"/>
    <w:rsid w:val="00C107A7"/>
    <w:rsid w:val="00C10805"/>
    <w:rsid w:val="00C11244"/>
    <w:rsid w:val="00C1186C"/>
    <w:rsid w:val="00C118A9"/>
    <w:rsid w:val="00C11D48"/>
    <w:rsid w:val="00C12304"/>
    <w:rsid w:val="00C12316"/>
    <w:rsid w:val="00C1246C"/>
    <w:rsid w:val="00C1493E"/>
    <w:rsid w:val="00C1494A"/>
    <w:rsid w:val="00C14D39"/>
    <w:rsid w:val="00C152DE"/>
    <w:rsid w:val="00C15444"/>
    <w:rsid w:val="00C15537"/>
    <w:rsid w:val="00C15954"/>
    <w:rsid w:val="00C15DBD"/>
    <w:rsid w:val="00C161C5"/>
    <w:rsid w:val="00C172F7"/>
    <w:rsid w:val="00C1798F"/>
    <w:rsid w:val="00C2010D"/>
    <w:rsid w:val="00C2030A"/>
    <w:rsid w:val="00C20906"/>
    <w:rsid w:val="00C20CB5"/>
    <w:rsid w:val="00C21430"/>
    <w:rsid w:val="00C21559"/>
    <w:rsid w:val="00C216DF"/>
    <w:rsid w:val="00C21E61"/>
    <w:rsid w:val="00C21F51"/>
    <w:rsid w:val="00C21F94"/>
    <w:rsid w:val="00C224BD"/>
    <w:rsid w:val="00C2272B"/>
    <w:rsid w:val="00C232ED"/>
    <w:rsid w:val="00C234DB"/>
    <w:rsid w:val="00C23796"/>
    <w:rsid w:val="00C23C5C"/>
    <w:rsid w:val="00C240A1"/>
    <w:rsid w:val="00C2479A"/>
    <w:rsid w:val="00C24903"/>
    <w:rsid w:val="00C2590D"/>
    <w:rsid w:val="00C25D9C"/>
    <w:rsid w:val="00C26086"/>
    <w:rsid w:val="00C27913"/>
    <w:rsid w:val="00C27C96"/>
    <w:rsid w:val="00C27FA7"/>
    <w:rsid w:val="00C300E2"/>
    <w:rsid w:val="00C3198A"/>
    <w:rsid w:val="00C31BCC"/>
    <w:rsid w:val="00C31F21"/>
    <w:rsid w:val="00C3220D"/>
    <w:rsid w:val="00C32631"/>
    <w:rsid w:val="00C33301"/>
    <w:rsid w:val="00C33311"/>
    <w:rsid w:val="00C333A0"/>
    <w:rsid w:val="00C33B68"/>
    <w:rsid w:val="00C34AD4"/>
    <w:rsid w:val="00C350C5"/>
    <w:rsid w:val="00C35570"/>
    <w:rsid w:val="00C35A2A"/>
    <w:rsid w:val="00C36A79"/>
    <w:rsid w:val="00C36D19"/>
    <w:rsid w:val="00C4018E"/>
    <w:rsid w:val="00C401A9"/>
    <w:rsid w:val="00C401D2"/>
    <w:rsid w:val="00C401DA"/>
    <w:rsid w:val="00C4031A"/>
    <w:rsid w:val="00C405D4"/>
    <w:rsid w:val="00C408AE"/>
    <w:rsid w:val="00C419D5"/>
    <w:rsid w:val="00C41D54"/>
    <w:rsid w:val="00C41F2C"/>
    <w:rsid w:val="00C42EBB"/>
    <w:rsid w:val="00C431E3"/>
    <w:rsid w:val="00C435E8"/>
    <w:rsid w:val="00C4362A"/>
    <w:rsid w:val="00C4513B"/>
    <w:rsid w:val="00C45502"/>
    <w:rsid w:val="00C46517"/>
    <w:rsid w:val="00C46769"/>
    <w:rsid w:val="00C4755A"/>
    <w:rsid w:val="00C475E8"/>
    <w:rsid w:val="00C50A88"/>
    <w:rsid w:val="00C50B73"/>
    <w:rsid w:val="00C50E79"/>
    <w:rsid w:val="00C5197D"/>
    <w:rsid w:val="00C52250"/>
    <w:rsid w:val="00C525FB"/>
    <w:rsid w:val="00C527AD"/>
    <w:rsid w:val="00C53239"/>
    <w:rsid w:val="00C5390B"/>
    <w:rsid w:val="00C53C9F"/>
    <w:rsid w:val="00C54257"/>
    <w:rsid w:val="00C54697"/>
    <w:rsid w:val="00C550CE"/>
    <w:rsid w:val="00C55344"/>
    <w:rsid w:val="00C553A5"/>
    <w:rsid w:val="00C55402"/>
    <w:rsid w:val="00C55B08"/>
    <w:rsid w:val="00C55E3B"/>
    <w:rsid w:val="00C5603B"/>
    <w:rsid w:val="00C6020C"/>
    <w:rsid w:val="00C60AE3"/>
    <w:rsid w:val="00C60C19"/>
    <w:rsid w:val="00C61F47"/>
    <w:rsid w:val="00C62828"/>
    <w:rsid w:val="00C631B2"/>
    <w:rsid w:val="00C63DD1"/>
    <w:rsid w:val="00C64454"/>
    <w:rsid w:val="00C645CD"/>
    <w:rsid w:val="00C6479C"/>
    <w:rsid w:val="00C655DA"/>
    <w:rsid w:val="00C672C1"/>
    <w:rsid w:val="00C67D88"/>
    <w:rsid w:val="00C706D2"/>
    <w:rsid w:val="00C7090E"/>
    <w:rsid w:val="00C715CC"/>
    <w:rsid w:val="00C719A3"/>
    <w:rsid w:val="00C71D2F"/>
    <w:rsid w:val="00C72227"/>
    <w:rsid w:val="00C72984"/>
    <w:rsid w:val="00C72C99"/>
    <w:rsid w:val="00C73885"/>
    <w:rsid w:val="00C73C93"/>
    <w:rsid w:val="00C741EF"/>
    <w:rsid w:val="00C7435A"/>
    <w:rsid w:val="00C747B1"/>
    <w:rsid w:val="00C74CEA"/>
    <w:rsid w:val="00C75110"/>
    <w:rsid w:val="00C75510"/>
    <w:rsid w:val="00C755F9"/>
    <w:rsid w:val="00C75752"/>
    <w:rsid w:val="00C75B60"/>
    <w:rsid w:val="00C761EC"/>
    <w:rsid w:val="00C770C9"/>
    <w:rsid w:val="00C8019E"/>
    <w:rsid w:val="00C81070"/>
    <w:rsid w:val="00C81259"/>
    <w:rsid w:val="00C8174E"/>
    <w:rsid w:val="00C82191"/>
    <w:rsid w:val="00C830D3"/>
    <w:rsid w:val="00C83134"/>
    <w:rsid w:val="00C831E7"/>
    <w:rsid w:val="00C832F3"/>
    <w:rsid w:val="00C83B4C"/>
    <w:rsid w:val="00C84307"/>
    <w:rsid w:val="00C845A4"/>
    <w:rsid w:val="00C85545"/>
    <w:rsid w:val="00C855B5"/>
    <w:rsid w:val="00C85C86"/>
    <w:rsid w:val="00C85F0E"/>
    <w:rsid w:val="00C867F9"/>
    <w:rsid w:val="00C872AA"/>
    <w:rsid w:val="00C873F3"/>
    <w:rsid w:val="00C875BD"/>
    <w:rsid w:val="00C87C6B"/>
    <w:rsid w:val="00C90357"/>
    <w:rsid w:val="00C9063B"/>
    <w:rsid w:val="00C90CF4"/>
    <w:rsid w:val="00C917A7"/>
    <w:rsid w:val="00C91C20"/>
    <w:rsid w:val="00C922DE"/>
    <w:rsid w:val="00C92843"/>
    <w:rsid w:val="00C929FE"/>
    <w:rsid w:val="00C92EB6"/>
    <w:rsid w:val="00C9300A"/>
    <w:rsid w:val="00C93389"/>
    <w:rsid w:val="00C948E6"/>
    <w:rsid w:val="00C94CDD"/>
    <w:rsid w:val="00C95123"/>
    <w:rsid w:val="00C95DA9"/>
    <w:rsid w:val="00C96A7B"/>
    <w:rsid w:val="00C96EF5"/>
    <w:rsid w:val="00C97588"/>
    <w:rsid w:val="00C97E0D"/>
    <w:rsid w:val="00CA0346"/>
    <w:rsid w:val="00CA073C"/>
    <w:rsid w:val="00CA09F3"/>
    <w:rsid w:val="00CA0BD5"/>
    <w:rsid w:val="00CA0DA1"/>
    <w:rsid w:val="00CA12D2"/>
    <w:rsid w:val="00CA1A21"/>
    <w:rsid w:val="00CA1BD6"/>
    <w:rsid w:val="00CA2EF5"/>
    <w:rsid w:val="00CA37FF"/>
    <w:rsid w:val="00CA423A"/>
    <w:rsid w:val="00CA47BC"/>
    <w:rsid w:val="00CA4B39"/>
    <w:rsid w:val="00CA557E"/>
    <w:rsid w:val="00CA5EAD"/>
    <w:rsid w:val="00CA6AB4"/>
    <w:rsid w:val="00CA7255"/>
    <w:rsid w:val="00CA752E"/>
    <w:rsid w:val="00CA79E2"/>
    <w:rsid w:val="00CA7D68"/>
    <w:rsid w:val="00CB111E"/>
    <w:rsid w:val="00CB1BEE"/>
    <w:rsid w:val="00CB2224"/>
    <w:rsid w:val="00CB2351"/>
    <w:rsid w:val="00CB3605"/>
    <w:rsid w:val="00CB3FC8"/>
    <w:rsid w:val="00CB4022"/>
    <w:rsid w:val="00CB4257"/>
    <w:rsid w:val="00CB4930"/>
    <w:rsid w:val="00CB4BA9"/>
    <w:rsid w:val="00CB4C48"/>
    <w:rsid w:val="00CB4C63"/>
    <w:rsid w:val="00CB5398"/>
    <w:rsid w:val="00CB57F9"/>
    <w:rsid w:val="00CB5895"/>
    <w:rsid w:val="00CB5A48"/>
    <w:rsid w:val="00CB5E10"/>
    <w:rsid w:val="00CB5E2E"/>
    <w:rsid w:val="00CB613B"/>
    <w:rsid w:val="00CB6152"/>
    <w:rsid w:val="00CB61FC"/>
    <w:rsid w:val="00CB63BE"/>
    <w:rsid w:val="00CB64E1"/>
    <w:rsid w:val="00CB6C6F"/>
    <w:rsid w:val="00CB6E4D"/>
    <w:rsid w:val="00CB7495"/>
    <w:rsid w:val="00CB76F1"/>
    <w:rsid w:val="00CC009B"/>
    <w:rsid w:val="00CC0156"/>
    <w:rsid w:val="00CC0834"/>
    <w:rsid w:val="00CC0AEA"/>
    <w:rsid w:val="00CC12C7"/>
    <w:rsid w:val="00CC1901"/>
    <w:rsid w:val="00CC1DF8"/>
    <w:rsid w:val="00CC20FE"/>
    <w:rsid w:val="00CC225C"/>
    <w:rsid w:val="00CC2342"/>
    <w:rsid w:val="00CC2E7D"/>
    <w:rsid w:val="00CC433B"/>
    <w:rsid w:val="00CC469E"/>
    <w:rsid w:val="00CC5BE8"/>
    <w:rsid w:val="00CC612B"/>
    <w:rsid w:val="00CC6145"/>
    <w:rsid w:val="00CC655F"/>
    <w:rsid w:val="00CC65EC"/>
    <w:rsid w:val="00CC66F9"/>
    <w:rsid w:val="00CC6C2A"/>
    <w:rsid w:val="00CC6F4D"/>
    <w:rsid w:val="00CC6F84"/>
    <w:rsid w:val="00CC6FE5"/>
    <w:rsid w:val="00CC7458"/>
    <w:rsid w:val="00CC76BD"/>
    <w:rsid w:val="00CC7A87"/>
    <w:rsid w:val="00CC7F1E"/>
    <w:rsid w:val="00CD08BF"/>
    <w:rsid w:val="00CD0D6B"/>
    <w:rsid w:val="00CD0F7F"/>
    <w:rsid w:val="00CD1060"/>
    <w:rsid w:val="00CD10A5"/>
    <w:rsid w:val="00CD1129"/>
    <w:rsid w:val="00CD1388"/>
    <w:rsid w:val="00CD1A80"/>
    <w:rsid w:val="00CD1CB5"/>
    <w:rsid w:val="00CD1E14"/>
    <w:rsid w:val="00CD2076"/>
    <w:rsid w:val="00CD24B5"/>
    <w:rsid w:val="00CD24CE"/>
    <w:rsid w:val="00CD29B5"/>
    <w:rsid w:val="00CD2B78"/>
    <w:rsid w:val="00CD3866"/>
    <w:rsid w:val="00CD3FAB"/>
    <w:rsid w:val="00CD5456"/>
    <w:rsid w:val="00CD5C3E"/>
    <w:rsid w:val="00CD5C57"/>
    <w:rsid w:val="00CD5CC4"/>
    <w:rsid w:val="00CD5F0F"/>
    <w:rsid w:val="00CD6331"/>
    <w:rsid w:val="00CD636A"/>
    <w:rsid w:val="00CD6AD0"/>
    <w:rsid w:val="00CD79E0"/>
    <w:rsid w:val="00CD7E9E"/>
    <w:rsid w:val="00CE0AB1"/>
    <w:rsid w:val="00CE14BE"/>
    <w:rsid w:val="00CE150B"/>
    <w:rsid w:val="00CE17A4"/>
    <w:rsid w:val="00CE1BA9"/>
    <w:rsid w:val="00CE2D8F"/>
    <w:rsid w:val="00CE3532"/>
    <w:rsid w:val="00CE3BA9"/>
    <w:rsid w:val="00CE3C09"/>
    <w:rsid w:val="00CE3E48"/>
    <w:rsid w:val="00CE46C0"/>
    <w:rsid w:val="00CE47B8"/>
    <w:rsid w:val="00CE4F32"/>
    <w:rsid w:val="00CE54FD"/>
    <w:rsid w:val="00CE5C92"/>
    <w:rsid w:val="00CE5E12"/>
    <w:rsid w:val="00CE62FA"/>
    <w:rsid w:val="00CE670B"/>
    <w:rsid w:val="00CE6833"/>
    <w:rsid w:val="00CE7562"/>
    <w:rsid w:val="00CF020B"/>
    <w:rsid w:val="00CF074A"/>
    <w:rsid w:val="00CF0E03"/>
    <w:rsid w:val="00CF15BF"/>
    <w:rsid w:val="00CF2E4D"/>
    <w:rsid w:val="00CF35A7"/>
    <w:rsid w:val="00CF3B83"/>
    <w:rsid w:val="00CF4205"/>
    <w:rsid w:val="00CF4367"/>
    <w:rsid w:val="00CF4908"/>
    <w:rsid w:val="00CF4B5B"/>
    <w:rsid w:val="00CF4D64"/>
    <w:rsid w:val="00CF51EC"/>
    <w:rsid w:val="00CF545D"/>
    <w:rsid w:val="00CF5873"/>
    <w:rsid w:val="00CF626D"/>
    <w:rsid w:val="00CF6AB7"/>
    <w:rsid w:val="00CF6E87"/>
    <w:rsid w:val="00CF73AE"/>
    <w:rsid w:val="00CF7777"/>
    <w:rsid w:val="00CF7BCB"/>
    <w:rsid w:val="00D003BD"/>
    <w:rsid w:val="00D0085A"/>
    <w:rsid w:val="00D0197F"/>
    <w:rsid w:val="00D01B31"/>
    <w:rsid w:val="00D0220F"/>
    <w:rsid w:val="00D0242D"/>
    <w:rsid w:val="00D026A8"/>
    <w:rsid w:val="00D02716"/>
    <w:rsid w:val="00D02CFF"/>
    <w:rsid w:val="00D03A72"/>
    <w:rsid w:val="00D040DD"/>
    <w:rsid w:val="00D0410D"/>
    <w:rsid w:val="00D04134"/>
    <w:rsid w:val="00D0544B"/>
    <w:rsid w:val="00D05C65"/>
    <w:rsid w:val="00D06884"/>
    <w:rsid w:val="00D0694C"/>
    <w:rsid w:val="00D06B56"/>
    <w:rsid w:val="00D06D68"/>
    <w:rsid w:val="00D075BE"/>
    <w:rsid w:val="00D07AFF"/>
    <w:rsid w:val="00D07CC2"/>
    <w:rsid w:val="00D105FD"/>
    <w:rsid w:val="00D10C15"/>
    <w:rsid w:val="00D11011"/>
    <w:rsid w:val="00D112D2"/>
    <w:rsid w:val="00D11476"/>
    <w:rsid w:val="00D12029"/>
    <w:rsid w:val="00D120BD"/>
    <w:rsid w:val="00D1276D"/>
    <w:rsid w:val="00D12C25"/>
    <w:rsid w:val="00D12FCD"/>
    <w:rsid w:val="00D133B4"/>
    <w:rsid w:val="00D13986"/>
    <w:rsid w:val="00D13F3E"/>
    <w:rsid w:val="00D1464E"/>
    <w:rsid w:val="00D14AF3"/>
    <w:rsid w:val="00D14AF9"/>
    <w:rsid w:val="00D14C5B"/>
    <w:rsid w:val="00D15468"/>
    <w:rsid w:val="00D15D3A"/>
    <w:rsid w:val="00D15FED"/>
    <w:rsid w:val="00D16712"/>
    <w:rsid w:val="00D16EF9"/>
    <w:rsid w:val="00D174E0"/>
    <w:rsid w:val="00D17AD2"/>
    <w:rsid w:val="00D17B4D"/>
    <w:rsid w:val="00D214EF"/>
    <w:rsid w:val="00D215B0"/>
    <w:rsid w:val="00D2192C"/>
    <w:rsid w:val="00D21B36"/>
    <w:rsid w:val="00D21D6D"/>
    <w:rsid w:val="00D21D83"/>
    <w:rsid w:val="00D2243B"/>
    <w:rsid w:val="00D22A03"/>
    <w:rsid w:val="00D22A47"/>
    <w:rsid w:val="00D235B7"/>
    <w:rsid w:val="00D23A99"/>
    <w:rsid w:val="00D23B39"/>
    <w:rsid w:val="00D23EA4"/>
    <w:rsid w:val="00D23FAE"/>
    <w:rsid w:val="00D250EB"/>
    <w:rsid w:val="00D25F28"/>
    <w:rsid w:val="00D25FDC"/>
    <w:rsid w:val="00D26071"/>
    <w:rsid w:val="00D260B0"/>
    <w:rsid w:val="00D260C7"/>
    <w:rsid w:val="00D26133"/>
    <w:rsid w:val="00D2628C"/>
    <w:rsid w:val="00D269B9"/>
    <w:rsid w:val="00D27973"/>
    <w:rsid w:val="00D27B07"/>
    <w:rsid w:val="00D27F07"/>
    <w:rsid w:val="00D27F3A"/>
    <w:rsid w:val="00D31537"/>
    <w:rsid w:val="00D31E1E"/>
    <w:rsid w:val="00D322A0"/>
    <w:rsid w:val="00D32824"/>
    <w:rsid w:val="00D32C69"/>
    <w:rsid w:val="00D3300D"/>
    <w:rsid w:val="00D33297"/>
    <w:rsid w:val="00D333A3"/>
    <w:rsid w:val="00D334E2"/>
    <w:rsid w:val="00D335E5"/>
    <w:rsid w:val="00D33EE0"/>
    <w:rsid w:val="00D348FD"/>
    <w:rsid w:val="00D350B1"/>
    <w:rsid w:val="00D35AD6"/>
    <w:rsid w:val="00D35B69"/>
    <w:rsid w:val="00D35BBB"/>
    <w:rsid w:val="00D35E1A"/>
    <w:rsid w:val="00D362B1"/>
    <w:rsid w:val="00D36779"/>
    <w:rsid w:val="00D36B0A"/>
    <w:rsid w:val="00D36DFB"/>
    <w:rsid w:val="00D36E1C"/>
    <w:rsid w:val="00D3722F"/>
    <w:rsid w:val="00D372D7"/>
    <w:rsid w:val="00D373AF"/>
    <w:rsid w:val="00D37DBD"/>
    <w:rsid w:val="00D40162"/>
    <w:rsid w:val="00D40441"/>
    <w:rsid w:val="00D40556"/>
    <w:rsid w:val="00D40E1F"/>
    <w:rsid w:val="00D41495"/>
    <w:rsid w:val="00D418E9"/>
    <w:rsid w:val="00D41BCD"/>
    <w:rsid w:val="00D41F74"/>
    <w:rsid w:val="00D42399"/>
    <w:rsid w:val="00D428C8"/>
    <w:rsid w:val="00D43034"/>
    <w:rsid w:val="00D43D3C"/>
    <w:rsid w:val="00D43ED2"/>
    <w:rsid w:val="00D4653E"/>
    <w:rsid w:val="00D46F11"/>
    <w:rsid w:val="00D47806"/>
    <w:rsid w:val="00D47A67"/>
    <w:rsid w:val="00D47C12"/>
    <w:rsid w:val="00D47C4E"/>
    <w:rsid w:val="00D50016"/>
    <w:rsid w:val="00D50A79"/>
    <w:rsid w:val="00D50F46"/>
    <w:rsid w:val="00D51FA0"/>
    <w:rsid w:val="00D5302A"/>
    <w:rsid w:val="00D531F2"/>
    <w:rsid w:val="00D533C4"/>
    <w:rsid w:val="00D5384E"/>
    <w:rsid w:val="00D544E7"/>
    <w:rsid w:val="00D5499F"/>
    <w:rsid w:val="00D55602"/>
    <w:rsid w:val="00D5560A"/>
    <w:rsid w:val="00D56250"/>
    <w:rsid w:val="00D56892"/>
    <w:rsid w:val="00D56EE1"/>
    <w:rsid w:val="00D56FBF"/>
    <w:rsid w:val="00D57129"/>
    <w:rsid w:val="00D57677"/>
    <w:rsid w:val="00D5781F"/>
    <w:rsid w:val="00D579B2"/>
    <w:rsid w:val="00D60415"/>
    <w:rsid w:val="00D60515"/>
    <w:rsid w:val="00D60D0C"/>
    <w:rsid w:val="00D60DAE"/>
    <w:rsid w:val="00D60E3C"/>
    <w:rsid w:val="00D60FA7"/>
    <w:rsid w:val="00D612BF"/>
    <w:rsid w:val="00D61332"/>
    <w:rsid w:val="00D61FAB"/>
    <w:rsid w:val="00D62180"/>
    <w:rsid w:val="00D625DF"/>
    <w:rsid w:val="00D629FA"/>
    <w:rsid w:val="00D62C4E"/>
    <w:rsid w:val="00D62FE9"/>
    <w:rsid w:val="00D63947"/>
    <w:rsid w:val="00D63BE5"/>
    <w:rsid w:val="00D6475F"/>
    <w:rsid w:val="00D650A2"/>
    <w:rsid w:val="00D652EB"/>
    <w:rsid w:val="00D655D4"/>
    <w:rsid w:val="00D661A0"/>
    <w:rsid w:val="00D66223"/>
    <w:rsid w:val="00D667B8"/>
    <w:rsid w:val="00D66CCD"/>
    <w:rsid w:val="00D677BC"/>
    <w:rsid w:val="00D679AE"/>
    <w:rsid w:val="00D67D55"/>
    <w:rsid w:val="00D70130"/>
    <w:rsid w:val="00D70289"/>
    <w:rsid w:val="00D7041F"/>
    <w:rsid w:val="00D70822"/>
    <w:rsid w:val="00D708E1"/>
    <w:rsid w:val="00D71B96"/>
    <w:rsid w:val="00D71E35"/>
    <w:rsid w:val="00D72076"/>
    <w:rsid w:val="00D721B4"/>
    <w:rsid w:val="00D726A9"/>
    <w:rsid w:val="00D72986"/>
    <w:rsid w:val="00D72C66"/>
    <w:rsid w:val="00D72DBA"/>
    <w:rsid w:val="00D743E0"/>
    <w:rsid w:val="00D74667"/>
    <w:rsid w:val="00D7469D"/>
    <w:rsid w:val="00D7490C"/>
    <w:rsid w:val="00D74F03"/>
    <w:rsid w:val="00D756D1"/>
    <w:rsid w:val="00D75AC1"/>
    <w:rsid w:val="00D763CF"/>
    <w:rsid w:val="00D77252"/>
    <w:rsid w:val="00D80129"/>
    <w:rsid w:val="00D8084C"/>
    <w:rsid w:val="00D8088C"/>
    <w:rsid w:val="00D8125F"/>
    <w:rsid w:val="00D81809"/>
    <w:rsid w:val="00D8210B"/>
    <w:rsid w:val="00D82EF1"/>
    <w:rsid w:val="00D84470"/>
    <w:rsid w:val="00D84CC9"/>
    <w:rsid w:val="00D84F3F"/>
    <w:rsid w:val="00D84F43"/>
    <w:rsid w:val="00D85114"/>
    <w:rsid w:val="00D85821"/>
    <w:rsid w:val="00D8598C"/>
    <w:rsid w:val="00D85BF3"/>
    <w:rsid w:val="00D861DB"/>
    <w:rsid w:val="00D8755D"/>
    <w:rsid w:val="00D87793"/>
    <w:rsid w:val="00D87AC8"/>
    <w:rsid w:val="00D87C06"/>
    <w:rsid w:val="00D90924"/>
    <w:rsid w:val="00D90DF2"/>
    <w:rsid w:val="00D91271"/>
    <w:rsid w:val="00D915EA"/>
    <w:rsid w:val="00D919ED"/>
    <w:rsid w:val="00D922A1"/>
    <w:rsid w:val="00D928BE"/>
    <w:rsid w:val="00D92CD7"/>
    <w:rsid w:val="00D932B8"/>
    <w:rsid w:val="00D932F0"/>
    <w:rsid w:val="00D936C6"/>
    <w:rsid w:val="00D93CDB"/>
    <w:rsid w:val="00D93E70"/>
    <w:rsid w:val="00D95302"/>
    <w:rsid w:val="00D95889"/>
    <w:rsid w:val="00D95C5D"/>
    <w:rsid w:val="00D95CBE"/>
    <w:rsid w:val="00D95E17"/>
    <w:rsid w:val="00D95E7F"/>
    <w:rsid w:val="00D96FA4"/>
    <w:rsid w:val="00D97BD8"/>
    <w:rsid w:val="00D97D00"/>
    <w:rsid w:val="00D97DD2"/>
    <w:rsid w:val="00DA0121"/>
    <w:rsid w:val="00DA096C"/>
    <w:rsid w:val="00DA1AB6"/>
    <w:rsid w:val="00DA2E65"/>
    <w:rsid w:val="00DA3479"/>
    <w:rsid w:val="00DA37DE"/>
    <w:rsid w:val="00DA3ADF"/>
    <w:rsid w:val="00DA3CEF"/>
    <w:rsid w:val="00DA4174"/>
    <w:rsid w:val="00DA4FA8"/>
    <w:rsid w:val="00DA544C"/>
    <w:rsid w:val="00DA5F8E"/>
    <w:rsid w:val="00DA6364"/>
    <w:rsid w:val="00DA656E"/>
    <w:rsid w:val="00DA7114"/>
    <w:rsid w:val="00DA7BC3"/>
    <w:rsid w:val="00DA7C0C"/>
    <w:rsid w:val="00DA7E2F"/>
    <w:rsid w:val="00DB03DD"/>
    <w:rsid w:val="00DB05B4"/>
    <w:rsid w:val="00DB08A9"/>
    <w:rsid w:val="00DB0B33"/>
    <w:rsid w:val="00DB0EBD"/>
    <w:rsid w:val="00DB0FD9"/>
    <w:rsid w:val="00DB1273"/>
    <w:rsid w:val="00DB13EF"/>
    <w:rsid w:val="00DB2DFA"/>
    <w:rsid w:val="00DB2EC8"/>
    <w:rsid w:val="00DB321D"/>
    <w:rsid w:val="00DB459B"/>
    <w:rsid w:val="00DB46D6"/>
    <w:rsid w:val="00DB47FD"/>
    <w:rsid w:val="00DB56F9"/>
    <w:rsid w:val="00DB5E3A"/>
    <w:rsid w:val="00DB5E9A"/>
    <w:rsid w:val="00DB613B"/>
    <w:rsid w:val="00DB657E"/>
    <w:rsid w:val="00DB6604"/>
    <w:rsid w:val="00DB699D"/>
    <w:rsid w:val="00DB7093"/>
    <w:rsid w:val="00DB7342"/>
    <w:rsid w:val="00DB7489"/>
    <w:rsid w:val="00DB74D3"/>
    <w:rsid w:val="00DB76E7"/>
    <w:rsid w:val="00DC07DB"/>
    <w:rsid w:val="00DC0B4D"/>
    <w:rsid w:val="00DC0CBB"/>
    <w:rsid w:val="00DC0DCD"/>
    <w:rsid w:val="00DC17D0"/>
    <w:rsid w:val="00DC1E5D"/>
    <w:rsid w:val="00DC24EE"/>
    <w:rsid w:val="00DC25C7"/>
    <w:rsid w:val="00DC2B41"/>
    <w:rsid w:val="00DC2BF2"/>
    <w:rsid w:val="00DC2EA7"/>
    <w:rsid w:val="00DC3128"/>
    <w:rsid w:val="00DC3A96"/>
    <w:rsid w:val="00DC3E4E"/>
    <w:rsid w:val="00DC435B"/>
    <w:rsid w:val="00DC4A76"/>
    <w:rsid w:val="00DC4AC4"/>
    <w:rsid w:val="00DC53D8"/>
    <w:rsid w:val="00DC56FE"/>
    <w:rsid w:val="00DC5B3B"/>
    <w:rsid w:val="00DC5E13"/>
    <w:rsid w:val="00DC5F11"/>
    <w:rsid w:val="00DC6C2D"/>
    <w:rsid w:val="00DC744D"/>
    <w:rsid w:val="00DC7B1A"/>
    <w:rsid w:val="00DC7DC1"/>
    <w:rsid w:val="00DD01BD"/>
    <w:rsid w:val="00DD04B0"/>
    <w:rsid w:val="00DD0A53"/>
    <w:rsid w:val="00DD129F"/>
    <w:rsid w:val="00DD13FC"/>
    <w:rsid w:val="00DD1A3F"/>
    <w:rsid w:val="00DD29B5"/>
    <w:rsid w:val="00DD32DD"/>
    <w:rsid w:val="00DD33E8"/>
    <w:rsid w:val="00DD4BC8"/>
    <w:rsid w:val="00DD4EFD"/>
    <w:rsid w:val="00DD5287"/>
    <w:rsid w:val="00DD54CD"/>
    <w:rsid w:val="00DD5688"/>
    <w:rsid w:val="00DD58E5"/>
    <w:rsid w:val="00DD5B36"/>
    <w:rsid w:val="00DD6230"/>
    <w:rsid w:val="00DD64A4"/>
    <w:rsid w:val="00DD6D61"/>
    <w:rsid w:val="00DD6E6B"/>
    <w:rsid w:val="00DD7849"/>
    <w:rsid w:val="00DD7D30"/>
    <w:rsid w:val="00DE03DE"/>
    <w:rsid w:val="00DE0453"/>
    <w:rsid w:val="00DE0D8B"/>
    <w:rsid w:val="00DE1237"/>
    <w:rsid w:val="00DE1346"/>
    <w:rsid w:val="00DE140F"/>
    <w:rsid w:val="00DE17E9"/>
    <w:rsid w:val="00DE1A4A"/>
    <w:rsid w:val="00DE1A98"/>
    <w:rsid w:val="00DE1FC3"/>
    <w:rsid w:val="00DE2491"/>
    <w:rsid w:val="00DE273F"/>
    <w:rsid w:val="00DE27CD"/>
    <w:rsid w:val="00DE3231"/>
    <w:rsid w:val="00DE3E22"/>
    <w:rsid w:val="00DE3E5D"/>
    <w:rsid w:val="00DE450F"/>
    <w:rsid w:val="00DE45A0"/>
    <w:rsid w:val="00DE4865"/>
    <w:rsid w:val="00DE4882"/>
    <w:rsid w:val="00DE513B"/>
    <w:rsid w:val="00DE5CA6"/>
    <w:rsid w:val="00DE5E55"/>
    <w:rsid w:val="00DE6209"/>
    <w:rsid w:val="00DE63AE"/>
    <w:rsid w:val="00DE7156"/>
    <w:rsid w:val="00DE7AC8"/>
    <w:rsid w:val="00DF0830"/>
    <w:rsid w:val="00DF18D0"/>
    <w:rsid w:val="00DF2814"/>
    <w:rsid w:val="00DF29E5"/>
    <w:rsid w:val="00DF2C5D"/>
    <w:rsid w:val="00DF2CD3"/>
    <w:rsid w:val="00DF3643"/>
    <w:rsid w:val="00DF3702"/>
    <w:rsid w:val="00DF3C29"/>
    <w:rsid w:val="00DF42FF"/>
    <w:rsid w:val="00DF4369"/>
    <w:rsid w:val="00DF4423"/>
    <w:rsid w:val="00DF47E2"/>
    <w:rsid w:val="00DF497B"/>
    <w:rsid w:val="00DF4ADF"/>
    <w:rsid w:val="00DF5317"/>
    <w:rsid w:val="00DF57D6"/>
    <w:rsid w:val="00DF5D1E"/>
    <w:rsid w:val="00DF7501"/>
    <w:rsid w:val="00DF77E4"/>
    <w:rsid w:val="00DF7F88"/>
    <w:rsid w:val="00E000C0"/>
    <w:rsid w:val="00E005AD"/>
    <w:rsid w:val="00E00B88"/>
    <w:rsid w:val="00E01C0E"/>
    <w:rsid w:val="00E01DBF"/>
    <w:rsid w:val="00E02027"/>
    <w:rsid w:val="00E031C0"/>
    <w:rsid w:val="00E0368F"/>
    <w:rsid w:val="00E03778"/>
    <w:rsid w:val="00E03A92"/>
    <w:rsid w:val="00E03D73"/>
    <w:rsid w:val="00E03F9A"/>
    <w:rsid w:val="00E040A9"/>
    <w:rsid w:val="00E040DA"/>
    <w:rsid w:val="00E04694"/>
    <w:rsid w:val="00E04DDA"/>
    <w:rsid w:val="00E05333"/>
    <w:rsid w:val="00E05CB1"/>
    <w:rsid w:val="00E064FF"/>
    <w:rsid w:val="00E0660F"/>
    <w:rsid w:val="00E07A69"/>
    <w:rsid w:val="00E10898"/>
    <w:rsid w:val="00E11682"/>
    <w:rsid w:val="00E1168B"/>
    <w:rsid w:val="00E11B09"/>
    <w:rsid w:val="00E12191"/>
    <w:rsid w:val="00E129E7"/>
    <w:rsid w:val="00E12AB3"/>
    <w:rsid w:val="00E12ABE"/>
    <w:rsid w:val="00E12B1E"/>
    <w:rsid w:val="00E12B8A"/>
    <w:rsid w:val="00E135EB"/>
    <w:rsid w:val="00E13995"/>
    <w:rsid w:val="00E13DE7"/>
    <w:rsid w:val="00E13E90"/>
    <w:rsid w:val="00E14333"/>
    <w:rsid w:val="00E1444C"/>
    <w:rsid w:val="00E15065"/>
    <w:rsid w:val="00E155BB"/>
    <w:rsid w:val="00E159C6"/>
    <w:rsid w:val="00E16D15"/>
    <w:rsid w:val="00E17262"/>
    <w:rsid w:val="00E173A7"/>
    <w:rsid w:val="00E173F2"/>
    <w:rsid w:val="00E17611"/>
    <w:rsid w:val="00E17F36"/>
    <w:rsid w:val="00E20016"/>
    <w:rsid w:val="00E20064"/>
    <w:rsid w:val="00E2009B"/>
    <w:rsid w:val="00E2039D"/>
    <w:rsid w:val="00E2039E"/>
    <w:rsid w:val="00E2077A"/>
    <w:rsid w:val="00E20BB9"/>
    <w:rsid w:val="00E20BCC"/>
    <w:rsid w:val="00E210D8"/>
    <w:rsid w:val="00E21CA5"/>
    <w:rsid w:val="00E2251C"/>
    <w:rsid w:val="00E23134"/>
    <w:rsid w:val="00E232E0"/>
    <w:rsid w:val="00E2363D"/>
    <w:rsid w:val="00E23C6A"/>
    <w:rsid w:val="00E24411"/>
    <w:rsid w:val="00E24805"/>
    <w:rsid w:val="00E2484B"/>
    <w:rsid w:val="00E253A2"/>
    <w:rsid w:val="00E25943"/>
    <w:rsid w:val="00E260F6"/>
    <w:rsid w:val="00E26A73"/>
    <w:rsid w:val="00E27127"/>
    <w:rsid w:val="00E27233"/>
    <w:rsid w:val="00E274BB"/>
    <w:rsid w:val="00E27AFE"/>
    <w:rsid w:val="00E27F48"/>
    <w:rsid w:val="00E30279"/>
    <w:rsid w:val="00E30F15"/>
    <w:rsid w:val="00E31771"/>
    <w:rsid w:val="00E3186D"/>
    <w:rsid w:val="00E31A3E"/>
    <w:rsid w:val="00E31A84"/>
    <w:rsid w:val="00E32080"/>
    <w:rsid w:val="00E32778"/>
    <w:rsid w:val="00E32DD9"/>
    <w:rsid w:val="00E3309D"/>
    <w:rsid w:val="00E332CF"/>
    <w:rsid w:val="00E333C5"/>
    <w:rsid w:val="00E337F0"/>
    <w:rsid w:val="00E3384A"/>
    <w:rsid w:val="00E34CA5"/>
    <w:rsid w:val="00E34DA9"/>
    <w:rsid w:val="00E34E3F"/>
    <w:rsid w:val="00E350B1"/>
    <w:rsid w:val="00E35A53"/>
    <w:rsid w:val="00E35C5E"/>
    <w:rsid w:val="00E3621D"/>
    <w:rsid w:val="00E3634A"/>
    <w:rsid w:val="00E3656B"/>
    <w:rsid w:val="00E37097"/>
    <w:rsid w:val="00E3712B"/>
    <w:rsid w:val="00E3724A"/>
    <w:rsid w:val="00E37801"/>
    <w:rsid w:val="00E378B1"/>
    <w:rsid w:val="00E41131"/>
    <w:rsid w:val="00E41179"/>
    <w:rsid w:val="00E417BE"/>
    <w:rsid w:val="00E41A3F"/>
    <w:rsid w:val="00E41CD5"/>
    <w:rsid w:val="00E41F01"/>
    <w:rsid w:val="00E42054"/>
    <w:rsid w:val="00E425BA"/>
    <w:rsid w:val="00E4372D"/>
    <w:rsid w:val="00E43A9E"/>
    <w:rsid w:val="00E43E06"/>
    <w:rsid w:val="00E44243"/>
    <w:rsid w:val="00E445D7"/>
    <w:rsid w:val="00E44908"/>
    <w:rsid w:val="00E453F9"/>
    <w:rsid w:val="00E455A7"/>
    <w:rsid w:val="00E45D7D"/>
    <w:rsid w:val="00E46090"/>
    <w:rsid w:val="00E4623F"/>
    <w:rsid w:val="00E4665D"/>
    <w:rsid w:val="00E47854"/>
    <w:rsid w:val="00E478E2"/>
    <w:rsid w:val="00E47A7C"/>
    <w:rsid w:val="00E47EBA"/>
    <w:rsid w:val="00E50156"/>
    <w:rsid w:val="00E504EB"/>
    <w:rsid w:val="00E5076C"/>
    <w:rsid w:val="00E50D2E"/>
    <w:rsid w:val="00E50D7D"/>
    <w:rsid w:val="00E51EF0"/>
    <w:rsid w:val="00E51F14"/>
    <w:rsid w:val="00E53470"/>
    <w:rsid w:val="00E5368D"/>
    <w:rsid w:val="00E539F6"/>
    <w:rsid w:val="00E54503"/>
    <w:rsid w:val="00E54698"/>
    <w:rsid w:val="00E54BE9"/>
    <w:rsid w:val="00E54D22"/>
    <w:rsid w:val="00E54FB4"/>
    <w:rsid w:val="00E5539A"/>
    <w:rsid w:val="00E55482"/>
    <w:rsid w:val="00E55791"/>
    <w:rsid w:val="00E559DE"/>
    <w:rsid w:val="00E55DE0"/>
    <w:rsid w:val="00E55E1A"/>
    <w:rsid w:val="00E56222"/>
    <w:rsid w:val="00E56F48"/>
    <w:rsid w:val="00E56F7E"/>
    <w:rsid w:val="00E577C5"/>
    <w:rsid w:val="00E578A2"/>
    <w:rsid w:val="00E579ED"/>
    <w:rsid w:val="00E60043"/>
    <w:rsid w:val="00E60463"/>
    <w:rsid w:val="00E60C6A"/>
    <w:rsid w:val="00E61740"/>
    <w:rsid w:val="00E61C16"/>
    <w:rsid w:val="00E61EB5"/>
    <w:rsid w:val="00E63031"/>
    <w:rsid w:val="00E6312E"/>
    <w:rsid w:val="00E63157"/>
    <w:rsid w:val="00E6324D"/>
    <w:rsid w:val="00E63B6E"/>
    <w:rsid w:val="00E647C1"/>
    <w:rsid w:val="00E64893"/>
    <w:rsid w:val="00E65084"/>
    <w:rsid w:val="00E6519D"/>
    <w:rsid w:val="00E65320"/>
    <w:rsid w:val="00E65A4D"/>
    <w:rsid w:val="00E66062"/>
    <w:rsid w:val="00E662B7"/>
    <w:rsid w:val="00E6660E"/>
    <w:rsid w:val="00E66634"/>
    <w:rsid w:val="00E66768"/>
    <w:rsid w:val="00E669D7"/>
    <w:rsid w:val="00E67305"/>
    <w:rsid w:val="00E67696"/>
    <w:rsid w:val="00E7024B"/>
    <w:rsid w:val="00E70812"/>
    <w:rsid w:val="00E709AF"/>
    <w:rsid w:val="00E70C5F"/>
    <w:rsid w:val="00E71A3C"/>
    <w:rsid w:val="00E71A58"/>
    <w:rsid w:val="00E728D7"/>
    <w:rsid w:val="00E72A26"/>
    <w:rsid w:val="00E72A7A"/>
    <w:rsid w:val="00E72BA4"/>
    <w:rsid w:val="00E72C0C"/>
    <w:rsid w:val="00E73065"/>
    <w:rsid w:val="00E7326D"/>
    <w:rsid w:val="00E7335A"/>
    <w:rsid w:val="00E735DB"/>
    <w:rsid w:val="00E73986"/>
    <w:rsid w:val="00E744ED"/>
    <w:rsid w:val="00E7467D"/>
    <w:rsid w:val="00E747DC"/>
    <w:rsid w:val="00E74A2D"/>
    <w:rsid w:val="00E7590D"/>
    <w:rsid w:val="00E75C94"/>
    <w:rsid w:val="00E767BF"/>
    <w:rsid w:val="00E76A08"/>
    <w:rsid w:val="00E76B9B"/>
    <w:rsid w:val="00E76C69"/>
    <w:rsid w:val="00E76E61"/>
    <w:rsid w:val="00E76EE4"/>
    <w:rsid w:val="00E7709B"/>
    <w:rsid w:val="00E775DE"/>
    <w:rsid w:val="00E77CC0"/>
    <w:rsid w:val="00E80B3D"/>
    <w:rsid w:val="00E80CA3"/>
    <w:rsid w:val="00E815D7"/>
    <w:rsid w:val="00E81AAA"/>
    <w:rsid w:val="00E82618"/>
    <w:rsid w:val="00E82A42"/>
    <w:rsid w:val="00E82D05"/>
    <w:rsid w:val="00E846A5"/>
    <w:rsid w:val="00E84E09"/>
    <w:rsid w:val="00E858F0"/>
    <w:rsid w:val="00E8745E"/>
    <w:rsid w:val="00E87CE2"/>
    <w:rsid w:val="00E87D3D"/>
    <w:rsid w:val="00E87D5B"/>
    <w:rsid w:val="00E90156"/>
    <w:rsid w:val="00E90CA8"/>
    <w:rsid w:val="00E911C6"/>
    <w:rsid w:val="00E91633"/>
    <w:rsid w:val="00E91A1C"/>
    <w:rsid w:val="00E91DEE"/>
    <w:rsid w:val="00E920DE"/>
    <w:rsid w:val="00E92B68"/>
    <w:rsid w:val="00E930A1"/>
    <w:rsid w:val="00E93820"/>
    <w:rsid w:val="00E94A86"/>
    <w:rsid w:val="00E951AB"/>
    <w:rsid w:val="00E953B8"/>
    <w:rsid w:val="00E953F6"/>
    <w:rsid w:val="00E95A06"/>
    <w:rsid w:val="00E96143"/>
    <w:rsid w:val="00E96833"/>
    <w:rsid w:val="00E97072"/>
    <w:rsid w:val="00E97506"/>
    <w:rsid w:val="00E97BB5"/>
    <w:rsid w:val="00E97D5B"/>
    <w:rsid w:val="00E97F14"/>
    <w:rsid w:val="00EA0C68"/>
    <w:rsid w:val="00EA0E39"/>
    <w:rsid w:val="00EA1130"/>
    <w:rsid w:val="00EA13A3"/>
    <w:rsid w:val="00EA1BE8"/>
    <w:rsid w:val="00EA1D0E"/>
    <w:rsid w:val="00EA2072"/>
    <w:rsid w:val="00EA2841"/>
    <w:rsid w:val="00EA32BC"/>
    <w:rsid w:val="00EA33F4"/>
    <w:rsid w:val="00EA35A7"/>
    <w:rsid w:val="00EA3B32"/>
    <w:rsid w:val="00EA3CEB"/>
    <w:rsid w:val="00EA3D05"/>
    <w:rsid w:val="00EA4222"/>
    <w:rsid w:val="00EA4402"/>
    <w:rsid w:val="00EA4507"/>
    <w:rsid w:val="00EA4B8D"/>
    <w:rsid w:val="00EA513E"/>
    <w:rsid w:val="00EA57C0"/>
    <w:rsid w:val="00EA5C4B"/>
    <w:rsid w:val="00EA7419"/>
    <w:rsid w:val="00EA7C51"/>
    <w:rsid w:val="00EB02B0"/>
    <w:rsid w:val="00EB0887"/>
    <w:rsid w:val="00EB0E32"/>
    <w:rsid w:val="00EB1CDC"/>
    <w:rsid w:val="00EB1D89"/>
    <w:rsid w:val="00EB1E1E"/>
    <w:rsid w:val="00EB3023"/>
    <w:rsid w:val="00EB3502"/>
    <w:rsid w:val="00EB385E"/>
    <w:rsid w:val="00EB3922"/>
    <w:rsid w:val="00EB3E60"/>
    <w:rsid w:val="00EB4511"/>
    <w:rsid w:val="00EB48D7"/>
    <w:rsid w:val="00EB49F1"/>
    <w:rsid w:val="00EB4A8E"/>
    <w:rsid w:val="00EB4BC5"/>
    <w:rsid w:val="00EB4E68"/>
    <w:rsid w:val="00EB5872"/>
    <w:rsid w:val="00EB5A64"/>
    <w:rsid w:val="00EB5BF7"/>
    <w:rsid w:val="00EB5E79"/>
    <w:rsid w:val="00EB5FAA"/>
    <w:rsid w:val="00EB6473"/>
    <w:rsid w:val="00EB6A51"/>
    <w:rsid w:val="00EB6DA6"/>
    <w:rsid w:val="00EB6FAC"/>
    <w:rsid w:val="00EB7AAD"/>
    <w:rsid w:val="00EB7BAC"/>
    <w:rsid w:val="00EB7CC9"/>
    <w:rsid w:val="00EC03D7"/>
    <w:rsid w:val="00EC09B2"/>
    <w:rsid w:val="00EC13A0"/>
    <w:rsid w:val="00EC13A7"/>
    <w:rsid w:val="00EC1744"/>
    <w:rsid w:val="00EC2414"/>
    <w:rsid w:val="00EC2EB6"/>
    <w:rsid w:val="00EC3A3B"/>
    <w:rsid w:val="00EC3E77"/>
    <w:rsid w:val="00EC4FFF"/>
    <w:rsid w:val="00EC5517"/>
    <w:rsid w:val="00EC5B17"/>
    <w:rsid w:val="00EC6E8C"/>
    <w:rsid w:val="00EC79DD"/>
    <w:rsid w:val="00ED0424"/>
    <w:rsid w:val="00ED08BD"/>
    <w:rsid w:val="00ED0962"/>
    <w:rsid w:val="00ED0EF0"/>
    <w:rsid w:val="00ED0F73"/>
    <w:rsid w:val="00ED12B9"/>
    <w:rsid w:val="00ED15D9"/>
    <w:rsid w:val="00ED16B8"/>
    <w:rsid w:val="00ED17D8"/>
    <w:rsid w:val="00ED1959"/>
    <w:rsid w:val="00ED1A00"/>
    <w:rsid w:val="00ED1DF0"/>
    <w:rsid w:val="00ED229E"/>
    <w:rsid w:val="00ED2386"/>
    <w:rsid w:val="00ED2525"/>
    <w:rsid w:val="00ED2B13"/>
    <w:rsid w:val="00ED2D26"/>
    <w:rsid w:val="00ED2EA1"/>
    <w:rsid w:val="00ED3851"/>
    <w:rsid w:val="00ED3D4A"/>
    <w:rsid w:val="00ED3E51"/>
    <w:rsid w:val="00ED3F10"/>
    <w:rsid w:val="00ED3F9B"/>
    <w:rsid w:val="00ED3FB3"/>
    <w:rsid w:val="00ED4D04"/>
    <w:rsid w:val="00ED4E87"/>
    <w:rsid w:val="00ED5153"/>
    <w:rsid w:val="00ED566D"/>
    <w:rsid w:val="00ED5907"/>
    <w:rsid w:val="00ED5F5B"/>
    <w:rsid w:val="00ED62C6"/>
    <w:rsid w:val="00ED64C1"/>
    <w:rsid w:val="00ED781F"/>
    <w:rsid w:val="00ED7A91"/>
    <w:rsid w:val="00EE0E7E"/>
    <w:rsid w:val="00EE1E87"/>
    <w:rsid w:val="00EE226A"/>
    <w:rsid w:val="00EE249F"/>
    <w:rsid w:val="00EE2674"/>
    <w:rsid w:val="00EE2EB4"/>
    <w:rsid w:val="00EE3446"/>
    <w:rsid w:val="00EE3655"/>
    <w:rsid w:val="00EE3E78"/>
    <w:rsid w:val="00EE41FD"/>
    <w:rsid w:val="00EE460E"/>
    <w:rsid w:val="00EE4B1B"/>
    <w:rsid w:val="00EE5DCA"/>
    <w:rsid w:val="00EE5FBA"/>
    <w:rsid w:val="00EE601C"/>
    <w:rsid w:val="00EE6137"/>
    <w:rsid w:val="00EE6382"/>
    <w:rsid w:val="00EE64EC"/>
    <w:rsid w:val="00EE65DE"/>
    <w:rsid w:val="00EE6A09"/>
    <w:rsid w:val="00EE6E06"/>
    <w:rsid w:val="00EE7179"/>
    <w:rsid w:val="00EF0A4D"/>
    <w:rsid w:val="00EF0D90"/>
    <w:rsid w:val="00EF150D"/>
    <w:rsid w:val="00EF1931"/>
    <w:rsid w:val="00EF19E9"/>
    <w:rsid w:val="00EF1F5A"/>
    <w:rsid w:val="00EF232A"/>
    <w:rsid w:val="00EF232B"/>
    <w:rsid w:val="00EF23B5"/>
    <w:rsid w:val="00EF2DDB"/>
    <w:rsid w:val="00EF2E64"/>
    <w:rsid w:val="00EF2F71"/>
    <w:rsid w:val="00EF318D"/>
    <w:rsid w:val="00EF326A"/>
    <w:rsid w:val="00EF34A0"/>
    <w:rsid w:val="00EF3898"/>
    <w:rsid w:val="00EF47BF"/>
    <w:rsid w:val="00EF52F7"/>
    <w:rsid w:val="00EF54CF"/>
    <w:rsid w:val="00EF583F"/>
    <w:rsid w:val="00EF58B0"/>
    <w:rsid w:val="00EF5989"/>
    <w:rsid w:val="00EF59B1"/>
    <w:rsid w:val="00EF5A13"/>
    <w:rsid w:val="00EF5FF9"/>
    <w:rsid w:val="00EF77D4"/>
    <w:rsid w:val="00EF7CC7"/>
    <w:rsid w:val="00EF7DF6"/>
    <w:rsid w:val="00F00535"/>
    <w:rsid w:val="00F00853"/>
    <w:rsid w:val="00F00866"/>
    <w:rsid w:val="00F00EC8"/>
    <w:rsid w:val="00F0160B"/>
    <w:rsid w:val="00F017B4"/>
    <w:rsid w:val="00F0193E"/>
    <w:rsid w:val="00F02019"/>
    <w:rsid w:val="00F033CB"/>
    <w:rsid w:val="00F037C8"/>
    <w:rsid w:val="00F03B76"/>
    <w:rsid w:val="00F03E2F"/>
    <w:rsid w:val="00F03F61"/>
    <w:rsid w:val="00F03F8D"/>
    <w:rsid w:val="00F04427"/>
    <w:rsid w:val="00F04811"/>
    <w:rsid w:val="00F0488C"/>
    <w:rsid w:val="00F04955"/>
    <w:rsid w:val="00F04C39"/>
    <w:rsid w:val="00F052D2"/>
    <w:rsid w:val="00F05501"/>
    <w:rsid w:val="00F06002"/>
    <w:rsid w:val="00F067B8"/>
    <w:rsid w:val="00F06C78"/>
    <w:rsid w:val="00F07075"/>
    <w:rsid w:val="00F0730A"/>
    <w:rsid w:val="00F073ED"/>
    <w:rsid w:val="00F07478"/>
    <w:rsid w:val="00F07C4C"/>
    <w:rsid w:val="00F07E45"/>
    <w:rsid w:val="00F10F11"/>
    <w:rsid w:val="00F11159"/>
    <w:rsid w:val="00F1149B"/>
    <w:rsid w:val="00F1152E"/>
    <w:rsid w:val="00F115E4"/>
    <w:rsid w:val="00F11AC4"/>
    <w:rsid w:val="00F11FDC"/>
    <w:rsid w:val="00F120A5"/>
    <w:rsid w:val="00F12CFB"/>
    <w:rsid w:val="00F13649"/>
    <w:rsid w:val="00F137EC"/>
    <w:rsid w:val="00F1396C"/>
    <w:rsid w:val="00F13E60"/>
    <w:rsid w:val="00F13FDB"/>
    <w:rsid w:val="00F14922"/>
    <w:rsid w:val="00F149C3"/>
    <w:rsid w:val="00F14FCA"/>
    <w:rsid w:val="00F15143"/>
    <w:rsid w:val="00F158B1"/>
    <w:rsid w:val="00F15AAA"/>
    <w:rsid w:val="00F15BEF"/>
    <w:rsid w:val="00F15DCA"/>
    <w:rsid w:val="00F16ACA"/>
    <w:rsid w:val="00F16BE5"/>
    <w:rsid w:val="00F16DE3"/>
    <w:rsid w:val="00F16E14"/>
    <w:rsid w:val="00F170E6"/>
    <w:rsid w:val="00F1770C"/>
    <w:rsid w:val="00F17898"/>
    <w:rsid w:val="00F17B0D"/>
    <w:rsid w:val="00F17C5C"/>
    <w:rsid w:val="00F204BF"/>
    <w:rsid w:val="00F207C2"/>
    <w:rsid w:val="00F20A12"/>
    <w:rsid w:val="00F21337"/>
    <w:rsid w:val="00F213CF"/>
    <w:rsid w:val="00F214F3"/>
    <w:rsid w:val="00F219A1"/>
    <w:rsid w:val="00F21BB8"/>
    <w:rsid w:val="00F2378B"/>
    <w:rsid w:val="00F23927"/>
    <w:rsid w:val="00F23E20"/>
    <w:rsid w:val="00F24407"/>
    <w:rsid w:val="00F2482C"/>
    <w:rsid w:val="00F249CE"/>
    <w:rsid w:val="00F24FAA"/>
    <w:rsid w:val="00F25040"/>
    <w:rsid w:val="00F259A8"/>
    <w:rsid w:val="00F26385"/>
    <w:rsid w:val="00F269D7"/>
    <w:rsid w:val="00F26FB5"/>
    <w:rsid w:val="00F27071"/>
    <w:rsid w:val="00F27331"/>
    <w:rsid w:val="00F276D3"/>
    <w:rsid w:val="00F27EE5"/>
    <w:rsid w:val="00F27FB1"/>
    <w:rsid w:val="00F27FD6"/>
    <w:rsid w:val="00F307CB"/>
    <w:rsid w:val="00F30C0C"/>
    <w:rsid w:val="00F30C65"/>
    <w:rsid w:val="00F31EBD"/>
    <w:rsid w:val="00F321D2"/>
    <w:rsid w:val="00F32448"/>
    <w:rsid w:val="00F32550"/>
    <w:rsid w:val="00F32649"/>
    <w:rsid w:val="00F32B8A"/>
    <w:rsid w:val="00F32D8D"/>
    <w:rsid w:val="00F3313E"/>
    <w:rsid w:val="00F33523"/>
    <w:rsid w:val="00F3364D"/>
    <w:rsid w:val="00F33914"/>
    <w:rsid w:val="00F341AC"/>
    <w:rsid w:val="00F349BF"/>
    <w:rsid w:val="00F34DDC"/>
    <w:rsid w:val="00F34E04"/>
    <w:rsid w:val="00F36191"/>
    <w:rsid w:val="00F3629F"/>
    <w:rsid w:val="00F36DF3"/>
    <w:rsid w:val="00F37362"/>
    <w:rsid w:val="00F37EDC"/>
    <w:rsid w:val="00F4066D"/>
    <w:rsid w:val="00F41290"/>
    <w:rsid w:val="00F42241"/>
    <w:rsid w:val="00F437CC"/>
    <w:rsid w:val="00F43C45"/>
    <w:rsid w:val="00F44537"/>
    <w:rsid w:val="00F44DAE"/>
    <w:rsid w:val="00F4606B"/>
    <w:rsid w:val="00F46185"/>
    <w:rsid w:val="00F461C3"/>
    <w:rsid w:val="00F462F4"/>
    <w:rsid w:val="00F46423"/>
    <w:rsid w:val="00F4660F"/>
    <w:rsid w:val="00F4696A"/>
    <w:rsid w:val="00F4703A"/>
    <w:rsid w:val="00F47067"/>
    <w:rsid w:val="00F47234"/>
    <w:rsid w:val="00F47709"/>
    <w:rsid w:val="00F503BC"/>
    <w:rsid w:val="00F506A6"/>
    <w:rsid w:val="00F51ADD"/>
    <w:rsid w:val="00F525AB"/>
    <w:rsid w:val="00F525EB"/>
    <w:rsid w:val="00F52BCB"/>
    <w:rsid w:val="00F52CB5"/>
    <w:rsid w:val="00F53378"/>
    <w:rsid w:val="00F53757"/>
    <w:rsid w:val="00F53917"/>
    <w:rsid w:val="00F53A68"/>
    <w:rsid w:val="00F53AA4"/>
    <w:rsid w:val="00F53BA3"/>
    <w:rsid w:val="00F545F4"/>
    <w:rsid w:val="00F54934"/>
    <w:rsid w:val="00F55A92"/>
    <w:rsid w:val="00F5615B"/>
    <w:rsid w:val="00F56250"/>
    <w:rsid w:val="00F56611"/>
    <w:rsid w:val="00F575D3"/>
    <w:rsid w:val="00F57983"/>
    <w:rsid w:val="00F57A76"/>
    <w:rsid w:val="00F57D57"/>
    <w:rsid w:val="00F57DF8"/>
    <w:rsid w:val="00F610B1"/>
    <w:rsid w:val="00F6178B"/>
    <w:rsid w:val="00F618AD"/>
    <w:rsid w:val="00F61E6C"/>
    <w:rsid w:val="00F62BFF"/>
    <w:rsid w:val="00F62CCE"/>
    <w:rsid w:val="00F63092"/>
    <w:rsid w:val="00F6385D"/>
    <w:rsid w:val="00F638FE"/>
    <w:rsid w:val="00F63AAE"/>
    <w:rsid w:val="00F63DDE"/>
    <w:rsid w:val="00F63FB7"/>
    <w:rsid w:val="00F6421B"/>
    <w:rsid w:val="00F647F1"/>
    <w:rsid w:val="00F649D2"/>
    <w:rsid w:val="00F64D5A"/>
    <w:rsid w:val="00F6576E"/>
    <w:rsid w:val="00F6602B"/>
    <w:rsid w:val="00F66FCB"/>
    <w:rsid w:val="00F6716B"/>
    <w:rsid w:val="00F6765B"/>
    <w:rsid w:val="00F6799D"/>
    <w:rsid w:val="00F67DE0"/>
    <w:rsid w:val="00F70E52"/>
    <w:rsid w:val="00F710A4"/>
    <w:rsid w:val="00F71487"/>
    <w:rsid w:val="00F7150B"/>
    <w:rsid w:val="00F717E4"/>
    <w:rsid w:val="00F71DE6"/>
    <w:rsid w:val="00F7232B"/>
    <w:rsid w:val="00F72B83"/>
    <w:rsid w:val="00F72D71"/>
    <w:rsid w:val="00F736AF"/>
    <w:rsid w:val="00F7381C"/>
    <w:rsid w:val="00F73A0C"/>
    <w:rsid w:val="00F740BA"/>
    <w:rsid w:val="00F741EA"/>
    <w:rsid w:val="00F752DC"/>
    <w:rsid w:val="00F7549F"/>
    <w:rsid w:val="00F756DB"/>
    <w:rsid w:val="00F75C5B"/>
    <w:rsid w:val="00F766BE"/>
    <w:rsid w:val="00F767A8"/>
    <w:rsid w:val="00F77590"/>
    <w:rsid w:val="00F7786F"/>
    <w:rsid w:val="00F77A50"/>
    <w:rsid w:val="00F82750"/>
    <w:rsid w:val="00F829F5"/>
    <w:rsid w:val="00F82D14"/>
    <w:rsid w:val="00F82D84"/>
    <w:rsid w:val="00F8473D"/>
    <w:rsid w:val="00F84E7D"/>
    <w:rsid w:val="00F85034"/>
    <w:rsid w:val="00F85066"/>
    <w:rsid w:val="00F85CC1"/>
    <w:rsid w:val="00F8633B"/>
    <w:rsid w:val="00F874F8"/>
    <w:rsid w:val="00F87A4D"/>
    <w:rsid w:val="00F90968"/>
    <w:rsid w:val="00F90BEF"/>
    <w:rsid w:val="00F90C35"/>
    <w:rsid w:val="00F90EEB"/>
    <w:rsid w:val="00F912CB"/>
    <w:rsid w:val="00F9135C"/>
    <w:rsid w:val="00F91B66"/>
    <w:rsid w:val="00F9354A"/>
    <w:rsid w:val="00F93688"/>
    <w:rsid w:val="00F939E3"/>
    <w:rsid w:val="00F939F3"/>
    <w:rsid w:val="00F93C6E"/>
    <w:rsid w:val="00F93F2C"/>
    <w:rsid w:val="00F940DC"/>
    <w:rsid w:val="00F947E9"/>
    <w:rsid w:val="00F95A4E"/>
    <w:rsid w:val="00F962AD"/>
    <w:rsid w:val="00F9644E"/>
    <w:rsid w:val="00F974AA"/>
    <w:rsid w:val="00F97C60"/>
    <w:rsid w:val="00FA0105"/>
    <w:rsid w:val="00FA05A0"/>
    <w:rsid w:val="00FA0AEF"/>
    <w:rsid w:val="00FA1474"/>
    <w:rsid w:val="00FA17CC"/>
    <w:rsid w:val="00FA1CFE"/>
    <w:rsid w:val="00FA1EE7"/>
    <w:rsid w:val="00FA1F01"/>
    <w:rsid w:val="00FA26DF"/>
    <w:rsid w:val="00FA2C07"/>
    <w:rsid w:val="00FA2F0B"/>
    <w:rsid w:val="00FA32BC"/>
    <w:rsid w:val="00FA3FA8"/>
    <w:rsid w:val="00FA4059"/>
    <w:rsid w:val="00FA4574"/>
    <w:rsid w:val="00FA488C"/>
    <w:rsid w:val="00FA48A4"/>
    <w:rsid w:val="00FA4CB7"/>
    <w:rsid w:val="00FA50CB"/>
    <w:rsid w:val="00FA5112"/>
    <w:rsid w:val="00FA5479"/>
    <w:rsid w:val="00FA5526"/>
    <w:rsid w:val="00FA5BF4"/>
    <w:rsid w:val="00FA5D42"/>
    <w:rsid w:val="00FA5D4D"/>
    <w:rsid w:val="00FA6C27"/>
    <w:rsid w:val="00FA6CB6"/>
    <w:rsid w:val="00FA6DD8"/>
    <w:rsid w:val="00FA7089"/>
    <w:rsid w:val="00FA70D3"/>
    <w:rsid w:val="00FA7AEC"/>
    <w:rsid w:val="00FB0AEA"/>
    <w:rsid w:val="00FB0EE2"/>
    <w:rsid w:val="00FB100C"/>
    <w:rsid w:val="00FB1A79"/>
    <w:rsid w:val="00FB1BA4"/>
    <w:rsid w:val="00FB1C0B"/>
    <w:rsid w:val="00FB208B"/>
    <w:rsid w:val="00FB20BC"/>
    <w:rsid w:val="00FB2B2D"/>
    <w:rsid w:val="00FB4AC5"/>
    <w:rsid w:val="00FB4D91"/>
    <w:rsid w:val="00FB542E"/>
    <w:rsid w:val="00FB5580"/>
    <w:rsid w:val="00FB564F"/>
    <w:rsid w:val="00FB6A41"/>
    <w:rsid w:val="00FB6F54"/>
    <w:rsid w:val="00FB79D5"/>
    <w:rsid w:val="00FB7DBB"/>
    <w:rsid w:val="00FC01BC"/>
    <w:rsid w:val="00FC05F8"/>
    <w:rsid w:val="00FC0651"/>
    <w:rsid w:val="00FC077B"/>
    <w:rsid w:val="00FC0E5F"/>
    <w:rsid w:val="00FC1070"/>
    <w:rsid w:val="00FC1266"/>
    <w:rsid w:val="00FC1A5D"/>
    <w:rsid w:val="00FC1A95"/>
    <w:rsid w:val="00FC1ED4"/>
    <w:rsid w:val="00FC2E56"/>
    <w:rsid w:val="00FC2EBA"/>
    <w:rsid w:val="00FC3BEC"/>
    <w:rsid w:val="00FC42C5"/>
    <w:rsid w:val="00FC440B"/>
    <w:rsid w:val="00FC4FB6"/>
    <w:rsid w:val="00FC56C6"/>
    <w:rsid w:val="00FC56DE"/>
    <w:rsid w:val="00FC606F"/>
    <w:rsid w:val="00FC6100"/>
    <w:rsid w:val="00FC63D9"/>
    <w:rsid w:val="00FC64DE"/>
    <w:rsid w:val="00FC6785"/>
    <w:rsid w:val="00FC680C"/>
    <w:rsid w:val="00FC684B"/>
    <w:rsid w:val="00FC6A52"/>
    <w:rsid w:val="00FC6CCA"/>
    <w:rsid w:val="00FC6D2D"/>
    <w:rsid w:val="00FC7BC8"/>
    <w:rsid w:val="00FC7D98"/>
    <w:rsid w:val="00FD0792"/>
    <w:rsid w:val="00FD1135"/>
    <w:rsid w:val="00FD3265"/>
    <w:rsid w:val="00FD3BBD"/>
    <w:rsid w:val="00FD3CF7"/>
    <w:rsid w:val="00FD3EF2"/>
    <w:rsid w:val="00FD3F1C"/>
    <w:rsid w:val="00FD4124"/>
    <w:rsid w:val="00FD4372"/>
    <w:rsid w:val="00FD4916"/>
    <w:rsid w:val="00FD4D12"/>
    <w:rsid w:val="00FD4F73"/>
    <w:rsid w:val="00FD595E"/>
    <w:rsid w:val="00FD771F"/>
    <w:rsid w:val="00FD7767"/>
    <w:rsid w:val="00FD7802"/>
    <w:rsid w:val="00FD7D3B"/>
    <w:rsid w:val="00FD7FBE"/>
    <w:rsid w:val="00FE27C7"/>
    <w:rsid w:val="00FE2C7E"/>
    <w:rsid w:val="00FE2D10"/>
    <w:rsid w:val="00FE2F78"/>
    <w:rsid w:val="00FE3137"/>
    <w:rsid w:val="00FE346A"/>
    <w:rsid w:val="00FE346B"/>
    <w:rsid w:val="00FE346F"/>
    <w:rsid w:val="00FE431E"/>
    <w:rsid w:val="00FE460E"/>
    <w:rsid w:val="00FE46DB"/>
    <w:rsid w:val="00FE48E4"/>
    <w:rsid w:val="00FE5466"/>
    <w:rsid w:val="00FE54EE"/>
    <w:rsid w:val="00FE634C"/>
    <w:rsid w:val="00FE63D8"/>
    <w:rsid w:val="00FE6E69"/>
    <w:rsid w:val="00FE6F59"/>
    <w:rsid w:val="00FE7677"/>
    <w:rsid w:val="00FE77EF"/>
    <w:rsid w:val="00FF01B6"/>
    <w:rsid w:val="00FF03A6"/>
    <w:rsid w:val="00FF0989"/>
    <w:rsid w:val="00FF0F79"/>
    <w:rsid w:val="00FF1136"/>
    <w:rsid w:val="00FF1D4F"/>
    <w:rsid w:val="00FF363B"/>
    <w:rsid w:val="00FF3D76"/>
    <w:rsid w:val="00FF4CF2"/>
    <w:rsid w:val="00FF4E3F"/>
    <w:rsid w:val="00FF535A"/>
    <w:rsid w:val="00FF556A"/>
    <w:rsid w:val="00FF5B8C"/>
    <w:rsid w:val="00FF63E6"/>
    <w:rsid w:val="00FF72DC"/>
    <w:rsid w:val="00FF7B96"/>
    <w:rsid w:val="019CB78C"/>
    <w:rsid w:val="0523CDF2"/>
    <w:rsid w:val="06B1A837"/>
    <w:rsid w:val="08A648BF"/>
    <w:rsid w:val="0EBE9DEC"/>
    <w:rsid w:val="0FBB85B6"/>
    <w:rsid w:val="12650F4E"/>
    <w:rsid w:val="1394E51D"/>
    <w:rsid w:val="17513AF8"/>
    <w:rsid w:val="1B53A8C8"/>
    <w:rsid w:val="1BEE6986"/>
    <w:rsid w:val="20D21749"/>
    <w:rsid w:val="224482AD"/>
    <w:rsid w:val="23E0530E"/>
    <w:rsid w:val="24FC0D77"/>
    <w:rsid w:val="2A0E9F3A"/>
    <w:rsid w:val="2A2A6298"/>
    <w:rsid w:val="37D604A5"/>
    <w:rsid w:val="38C72AFC"/>
    <w:rsid w:val="3C7646FC"/>
    <w:rsid w:val="3E4A9713"/>
    <w:rsid w:val="3E77F3B4"/>
    <w:rsid w:val="40C3BF09"/>
    <w:rsid w:val="47207A7B"/>
    <w:rsid w:val="48038D4B"/>
    <w:rsid w:val="49E8263C"/>
    <w:rsid w:val="4A567F3C"/>
    <w:rsid w:val="50A35788"/>
    <w:rsid w:val="52944939"/>
    <w:rsid w:val="53942896"/>
    <w:rsid w:val="5536E42E"/>
    <w:rsid w:val="58FD3BB8"/>
    <w:rsid w:val="5CF587E8"/>
    <w:rsid w:val="5DD689BF"/>
    <w:rsid w:val="60B2C930"/>
    <w:rsid w:val="67F8BB57"/>
    <w:rsid w:val="6AEA4E8B"/>
    <w:rsid w:val="6AEC8A78"/>
    <w:rsid w:val="6D951AA9"/>
    <w:rsid w:val="7059F910"/>
    <w:rsid w:val="74EA3077"/>
    <w:rsid w:val="75B5B795"/>
    <w:rsid w:val="78058569"/>
    <w:rsid w:val="785B85D1"/>
    <w:rsid w:val="78E73CD1"/>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styleId="Sledovanodkaz">
    <w:name w:val="FollowedHyperlink"/>
    <w:basedOn w:val="Standardnpsmoodstavce"/>
    <w:uiPriority w:val="99"/>
    <w:semiHidden/>
    <w:unhideWhenUsed/>
    <w:rsid w:val="00960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158735115">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0204932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44068063">
      <w:bodyDiv w:val="1"/>
      <w:marLeft w:val="0"/>
      <w:marRight w:val="0"/>
      <w:marTop w:val="0"/>
      <w:marBottom w:val="0"/>
      <w:divBdr>
        <w:top w:val="none" w:sz="0" w:space="0" w:color="auto"/>
        <w:left w:val="none" w:sz="0" w:space="0" w:color="auto"/>
        <w:bottom w:val="none" w:sz="0" w:space="0" w:color="auto"/>
        <w:right w:val="none" w:sz="0" w:space="0" w:color="auto"/>
      </w:divBdr>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Odv&#283;tv&#237;_grafy-2q-2023-akt-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Odv&#283;tv&#237;_grafy-2q-2023-akt-ENG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Odv&#283;tv&#237;_grafy-2q-2023-akt-ENG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Odv&#283;tv&#237;_grafy-2q-2023-akt-ENG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menicky3604\JKAM%20CSU\PUBLIKACE\PUBLIKACE\2023\Qmakro\ENGL-2q2023\Odv&#283;tv&#237;_grafy-2q-2023-akt-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054E-2"/>
          <c:y val="1.5804777005479873E-2"/>
          <c:w val="0.8441910279518956"/>
          <c:h val="0.69135712481071809"/>
        </c:manualLayout>
      </c:layout>
      <c:barChart>
        <c:barDir val="col"/>
        <c:grouping val="stacked"/>
        <c:varyColors val="0"/>
        <c:ser>
          <c:idx val="0"/>
          <c:order val="0"/>
          <c:tx>
            <c:strRef>
              <c:f>'GRAF příspěvky IPP'!$A$27</c:f>
              <c:strCache>
                <c:ptCount val="1"/>
                <c:pt idx="0">
                  <c:v>Manufacture of transport equip. (29, 30)</c:v>
                </c:pt>
              </c:strCache>
            </c:strRef>
          </c:tx>
          <c:spPr>
            <a:solidFill>
              <a:srgbClr val="E8AFB2"/>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IPP'!$R$27:$AY$27</c:f>
              <c:numCache>
                <c:formatCode>0.0</c:formatCode>
                <c:ptCount val="34"/>
                <c:pt idx="0">
                  <c:v>1.5414336001551852</c:v>
                </c:pt>
                <c:pt idx="1">
                  <c:v>2.1741500812415593</c:v>
                </c:pt>
                <c:pt idx="2">
                  <c:v>2.3807451285231713</c:v>
                </c:pt>
                <c:pt idx="3">
                  <c:v>2.8689756615217954</c:v>
                </c:pt>
                <c:pt idx="4">
                  <c:v>3.3341210196737845</c:v>
                </c:pt>
                <c:pt idx="5">
                  <c:v>2.686672264317759</c:v>
                </c:pt>
                <c:pt idx="6">
                  <c:v>1.480949197612129</c:v>
                </c:pt>
                <c:pt idx="7">
                  <c:v>1.0295786410238907</c:v>
                </c:pt>
                <c:pt idx="8">
                  <c:v>1.7176851530772042</c:v>
                </c:pt>
                <c:pt idx="9">
                  <c:v>2.162430036953364</c:v>
                </c:pt>
                <c:pt idx="10">
                  <c:v>1.6010808371876544</c:v>
                </c:pt>
                <c:pt idx="11">
                  <c:v>1.6765308689366027</c:v>
                </c:pt>
                <c:pt idx="12">
                  <c:v>0.76463369901420963</c:v>
                </c:pt>
                <c:pt idx="13">
                  <c:v>0.53745054525373026</c:v>
                </c:pt>
                <c:pt idx="14">
                  <c:v>0.24390176608722342</c:v>
                </c:pt>
                <c:pt idx="15">
                  <c:v>0.97145099568383697</c:v>
                </c:pt>
                <c:pt idx="16">
                  <c:v>-0.22653642884122754</c:v>
                </c:pt>
                <c:pt idx="17">
                  <c:v>0.48861091853368621</c:v>
                </c:pt>
                <c:pt idx="18">
                  <c:v>0.80855917746087225</c:v>
                </c:pt>
                <c:pt idx="19">
                  <c:v>-1.0897983527427608</c:v>
                </c:pt>
                <c:pt idx="20">
                  <c:v>-1.54355438519358</c:v>
                </c:pt>
                <c:pt idx="21">
                  <c:v>-9.4039632081130193</c:v>
                </c:pt>
                <c:pt idx="22">
                  <c:v>-0.18743733484121544</c:v>
                </c:pt>
                <c:pt idx="23">
                  <c:v>2.0451875585567265</c:v>
                </c:pt>
                <c:pt idx="24">
                  <c:v>1.8998981300154267</c:v>
                </c:pt>
                <c:pt idx="25">
                  <c:v>10.981696435394747</c:v>
                </c:pt>
                <c:pt idx="26">
                  <c:v>-3.777744730919939</c:v>
                </c:pt>
                <c:pt idx="27">
                  <c:v>-3.2745552925864509</c:v>
                </c:pt>
                <c:pt idx="28">
                  <c:v>-1.9134308617559559</c:v>
                </c:pt>
                <c:pt idx="29">
                  <c:v>6.7346726305186511E-2</c:v>
                </c:pt>
                <c:pt idx="30">
                  <c:v>5.6261275361156686</c:v>
                </c:pt>
                <c:pt idx="31">
                  <c:v>4.0481059565611357</c:v>
                </c:pt>
                <c:pt idx="32">
                  <c:v>4.8724307805941303</c:v>
                </c:pt>
                <c:pt idx="33">
                  <c:v>4.8421310753709612</c:v>
                </c:pt>
              </c:numCache>
            </c:numRef>
          </c:val>
          <c:extLst>
            <c:ext xmlns:c16="http://schemas.microsoft.com/office/drawing/2014/chart" uri="{C3380CC4-5D6E-409C-BE32-E72D297353CC}">
              <c16:uniqueId val="{00000000-3D19-4C70-85B8-BF6C4DC78FF4}"/>
            </c:ext>
          </c:extLst>
        </c:ser>
        <c:ser>
          <c:idx val="1"/>
          <c:order val="1"/>
          <c:tx>
            <c:strRef>
              <c:f>'GRAF příspěvky IPP'!$A$28</c:f>
              <c:strCache>
                <c:ptCount val="1"/>
                <c:pt idx="0">
                  <c:v>Rubber, electro technical ind. (22, 27)</c:v>
                </c:pt>
              </c:strCache>
            </c:strRef>
          </c:tx>
          <c:spPr>
            <a:solidFill>
              <a:srgbClr val="BD1B21"/>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IPP'!$R$28:$AY$28</c:f>
              <c:numCache>
                <c:formatCode>0.0</c:formatCode>
                <c:ptCount val="34"/>
                <c:pt idx="0">
                  <c:v>1.0327842576995627</c:v>
                </c:pt>
                <c:pt idx="1">
                  <c:v>1.2398193770878816</c:v>
                </c:pt>
                <c:pt idx="2">
                  <c:v>1.4194520754584405</c:v>
                </c:pt>
                <c:pt idx="3">
                  <c:v>0.62945179373892213</c:v>
                </c:pt>
                <c:pt idx="4">
                  <c:v>0.81066950070394839</c:v>
                </c:pt>
                <c:pt idx="5">
                  <c:v>0.15910929112689293</c:v>
                </c:pt>
                <c:pt idx="6">
                  <c:v>0.27430884251769166</c:v>
                </c:pt>
                <c:pt idx="7">
                  <c:v>0.4296681239712602</c:v>
                </c:pt>
                <c:pt idx="8">
                  <c:v>0.81190885185629913</c:v>
                </c:pt>
                <c:pt idx="9">
                  <c:v>1.447816278357023</c:v>
                </c:pt>
                <c:pt idx="10">
                  <c:v>0.86831270392558846</c:v>
                </c:pt>
                <c:pt idx="11">
                  <c:v>1.6467937182997421</c:v>
                </c:pt>
                <c:pt idx="12">
                  <c:v>0.99355825089752003</c:v>
                </c:pt>
                <c:pt idx="13">
                  <c:v>0.32981714268582174</c:v>
                </c:pt>
                <c:pt idx="14">
                  <c:v>0.43066392508053103</c:v>
                </c:pt>
                <c:pt idx="15">
                  <c:v>-5.4042637097958549E-2</c:v>
                </c:pt>
                <c:pt idx="16">
                  <c:v>0.52511448325990218</c:v>
                </c:pt>
                <c:pt idx="17">
                  <c:v>0.41827161057405121</c:v>
                </c:pt>
                <c:pt idx="18">
                  <c:v>0.20321919004157385</c:v>
                </c:pt>
                <c:pt idx="19">
                  <c:v>0.40664545615593151</c:v>
                </c:pt>
                <c:pt idx="20">
                  <c:v>-0.5451880349918935</c:v>
                </c:pt>
                <c:pt idx="21">
                  <c:v>-4.0594843067761079</c:v>
                </c:pt>
                <c:pt idx="22">
                  <c:v>-0.42308415860457249</c:v>
                </c:pt>
                <c:pt idx="23">
                  <c:v>0.57531703991443739</c:v>
                </c:pt>
                <c:pt idx="24">
                  <c:v>0.72127374997619464</c:v>
                </c:pt>
                <c:pt idx="25">
                  <c:v>5.5133080211538443</c:v>
                </c:pt>
                <c:pt idx="26">
                  <c:v>0.63109141066247343</c:v>
                </c:pt>
                <c:pt idx="27">
                  <c:v>-0.40575686667122407</c:v>
                </c:pt>
                <c:pt idx="28">
                  <c:v>9.4281733767757558E-2</c:v>
                </c:pt>
                <c:pt idx="29">
                  <c:v>0.14521370184093593</c:v>
                </c:pt>
                <c:pt idx="30">
                  <c:v>0.53336582814257549</c:v>
                </c:pt>
                <c:pt idx="31">
                  <c:v>0.60873804206286186</c:v>
                </c:pt>
                <c:pt idx="32">
                  <c:v>0.18587396804024281</c:v>
                </c:pt>
                <c:pt idx="33">
                  <c:v>7.4362013451117592E-2</c:v>
                </c:pt>
              </c:numCache>
            </c:numRef>
          </c:val>
          <c:extLst>
            <c:ext xmlns:c16="http://schemas.microsoft.com/office/drawing/2014/chart" uri="{C3380CC4-5D6E-409C-BE32-E72D297353CC}">
              <c16:uniqueId val="{00000001-3D19-4C70-85B8-BF6C4DC78FF4}"/>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IPP'!$R$29:$AY$29</c:f>
              <c:numCache>
                <c:formatCode>0.0</c:formatCode>
                <c:ptCount val="34"/>
                <c:pt idx="0">
                  <c:v>0.27352741322260471</c:v>
                </c:pt>
                <c:pt idx="1">
                  <c:v>0.29435778863230133</c:v>
                </c:pt>
                <c:pt idx="2">
                  <c:v>0.3838190189382153</c:v>
                </c:pt>
                <c:pt idx="3">
                  <c:v>1.9907538862099908E-2</c:v>
                </c:pt>
                <c:pt idx="4">
                  <c:v>0.36213267281302258</c:v>
                </c:pt>
                <c:pt idx="5">
                  <c:v>-6.5064708510287728E-2</c:v>
                </c:pt>
                <c:pt idx="6">
                  <c:v>0.19502661099256183</c:v>
                </c:pt>
                <c:pt idx="7">
                  <c:v>0.31976595271137093</c:v>
                </c:pt>
                <c:pt idx="8">
                  <c:v>0.36260721751312486</c:v>
                </c:pt>
                <c:pt idx="9">
                  <c:v>1.0676230430151594</c:v>
                </c:pt>
                <c:pt idx="10">
                  <c:v>0.84856622097502943</c:v>
                </c:pt>
                <c:pt idx="11">
                  <c:v>0.8011679796708624</c:v>
                </c:pt>
                <c:pt idx="12">
                  <c:v>0.47154480134890669</c:v>
                </c:pt>
                <c:pt idx="13">
                  <c:v>0.14539794495792585</c:v>
                </c:pt>
                <c:pt idx="14">
                  <c:v>0.18518957990291948</c:v>
                </c:pt>
                <c:pt idx="15">
                  <c:v>-0.19190856298894729</c:v>
                </c:pt>
                <c:pt idx="16">
                  <c:v>0.14248219231403364</c:v>
                </c:pt>
                <c:pt idx="17">
                  <c:v>-2.1421773901395595E-2</c:v>
                </c:pt>
                <c:pt idx="18">
                  <c:v>-0.25698546548398382</c:v>
                </c:pt>
                <c:pt idx="19">
                  <c:v>-0.1385976419695116</c:v>
                </c:pt>
                <c:pt idx="20">
                  <c:v>-0.69677730727295717</c:v>
                </c:pt>
                <c:pt idx="21">
                  <c:v>-2.1434069100206701</c:v>
                </c:pt>
                <c:pt idx="22">
                  <c:v>-0.80071965285565583</c:v>
                </c:pt>
                <c:pt idx="23">
                  <c:v>-0.53337369043417571</c:v>
                </c:pt>
                <c:pt idx="24">
                  <c:v>7.0388429332234645E-2</c:v>
                </c:pt>
                <c:pt idx="25">
                  <c:v>2.1082132332125232</c:v>
                </c:pt>
                <c:pt idx="26">
                  <c:v>0.54002718228061808</c:v>
                </c:pt>
                <c:pt idx="27">
                  <c:v>0.28651169955913558</c:v>
                </c:pt>
                <c:pt idx="28">
                  <c:v>0.38093703992586564</c:v>
                </c:pt>
                <c:pt idx="29">
                  <c:v>0.10479825284280025</c:v>
                </c:pt>
                <c:pt idx="30">
                  <c:v>0.49700568632045095</c:v>
                </c:pt>
                <c:pt idx="31">
                  <c:v>0.65908299677033788</c:v>
                </c:pt>
                <c:pt idx="32">
                  <c:v>0.33218182522755224</c:v>
                </c:pt>
                <c:pt idx="33">
                  <c:v>0.34822668483431446</c:v>
                </c:pt>
              </c:numCache>
            </c:numRef>
          </c:val>
          <c:extLst>
            <c:ext xmlns:c16="http://schemas.microsoft.com/office/drawing/2014/chart" uri="{C3380CC4-5D6E-409C-BE32-E72D297353CC}">
              <c16:uniqueId val="{00000002-3D19-4C70-85B8-BF6C4DC78FF4}"/>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IPP'!$R$30:$AY$30</c:f>
              <c:numCache>
                <c:formatCode>0.0</c:formatCode>
                <c:ptCount val="34"/>
                <c:pt idx="0">
                  <c:v>0.69497691812608653</c:v>
                </c:pt>
                <c:pt idx="1">
                  <c:v>0.78508725997594475</c:v>
                </c:pt>
                <c:pt idx="2">
                  <c:v>0.99073344247385242</c:v>
                </c:pt>
                <c:pt idx="3">
                  <c:v>0.60112803930591452</c:v>
                </c:pt>
                <c:pt idx="4">
                  <c:v>0.80565108552423126</c:v>
                </c:pt>
                <c:pt idx="5">
                  <c:v>0.37292975928366573</c:v>
                </c:pt>
                <c:pt idx="6">
                  <c:v>0.22874403118707295</c:v>
                </c:pt>
                <c:pt idx="7">
                  <c:v>0.25105221227274938</c:v>
                </c:pt>
                <c:pt idx="8">
                  <c:v>0.3985956654395556</c:v>
                </c:pt>
                <c:pt idx="9">
                  <c:v>0.93860836876068798</c:v>
                </c:pt>
                <c:pt idx="10">
                  <c:v>0.85733344200421946</c:v>
                </c:pt>
                <c:pt idx="11">
                  <c:v>0.96180148351524508</c:v>
                </c:pt>
                <c:pt idx="12">
                  <c:v>0.6638239940502253</c:v>
                </c:pt>
                <c:pt idx="13">
                  <c:v>0.46639173271760564</c:v>
                </c:pt>
                <c:pt idx="14">
                  <c:v>0.40419840691742392</c:v>
                </c:pt>
                <c:pt idx="15">
                  <c:v>0.14440932883616298</c:v>
                </c:pt>
                <c:pt idx="16">
                  <c:v>0.25807569584954437</c:v>
                </c:pt>
                <c:pt idx="17">
                  <c:v>1.4459010693799904E-2</c:v>
                </c:pt>
                <c:pt idx="18">
                  <c:v>-0.25651049213587412</c:v>
                </c:pt>
                <c:pt idx="19">
                  <c:v>-0.34928328908715428</c:v>
                </c:pt>
                <c:pt idx="20">
                  <c:v>-0.60808014688232792</c:v>
                </c:pt>
                <c:pt idx="21">
                  <c:v>-2.0880437771647515</c:v>
                </c:pt>
                <c:pt idx="22">
                  <c:v>-0.5397213489370003</c:v>
                </c:pt>
                <c:pt idx="23">
                  <c:v>0.14511452076092651</c:v>
                </c:pt>
                <c:pt idx="24">
                  <c:v>0.49633095542560085</c:v>
                </c:pt>
                <c:pt idx="25">
                  <c:v>3.0129249260537714</c:v>
                </c:pt>
                <c:pt idx="26">
                  <c:v>0.73648478182031074</c:v>
                </c:pt>
                <c:pt idx="27">
                  <c:v>-5.6080447887036436E-2</c:v>
                </c:pt>
                <c:pt idx="28">
                  <c:v>0.14988190046361907</c:v>
                </c:pt>
                <c:pt idx="29">
                  <c:v>-0.43552695875331843</c:v>
                </c:pt>
                <c:pt idx="30">
                  <c:v>-0.39400819775201001</c:v>
                </c:pt>
                <c:pt idx="31">
                  <c:v>-0.25505671304535255</c:v>
                </c:pt>
                <c:pt idx="32">
                  <c:v>-0.35367147519159647</c:v>
                </c:pt>
                <c:pt idx="33">
                  <c:v>-0.15009408753219911</c:v>
                </c:pt>
              </c:numCache>
            </c:numRef>
          </c:val>
          <c:extLst>
            <c:ext xmlns:c16="http://schemas.microsoft.com/office/drawing/2014/chart" uri="{C3380CC4-5D6E-409C-BE32-E72D297353CC}">
              <c16:uniqueId val="{00000003-3D19-4C70-85B8-BF6C4DC78FF4}"/>
            </c:ext>
          </c:extLst>
        </c:ser>
        <c:ser>
          <c:idx val="4"/>
          <c:order val="4"/>
          <c:tx>
            <c:strRef>
              <c:f>'GRAF příspěvky IPP'!$A$31</c:f>
              <c:strCache>
                <c:ptCount val="1"/>
                <c:pt idx="0">
                  <c:v>PC, electronic and optical products (26)</c:v>
                </c:pt>
              </c:strCache>
            </c:strRef>
          </c:tx>
          <c:spPr>
            <a:solidFill>
              <a:srgbClr val="FDDEB3"/>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IPP'!$R$31:$AY$31</c:f>
              <c:numCache>
                <c:formatCode>0.0</c:formatCode>
                <c:ptCount val="34"/>
                <c:pt idx="0">
                  <c:v>0.10273275765267489</c:v>
                </c:pt>
                <c:pt idx="1">
                  <c:v>1.7022273503113708E-2</c:v>
                </c:pt>
                <c:pt idx="2">
                  <c:v>3.14516785151049E-2</c:v>
                </c:pt>
                <c:pt idx="3">
                  <c:v>-6.7148299810871712E-2</c:v>
                </c:pt>
                <c:pt idx="4">
                  <c:v>-1.2685476667277826E-2</c:v>
                </c:pt>
                <c:pt idx="5">
                  <c:v>7.6588175669583008E-2</c:v>
                </c:pt>
                <c:pt idx="6">
                  <c:v>4.5204856094121497E-2</c:v>
                </c:pt>
                <c:pt idx="7">
                  <c:v>0.16194666355811338</c:v>
                </c:pt>
                <c:pt idx="8">
                  <c:v>0.16169573185966199</c:v>
                </c:pt>
                <c:pt idx="9">
                  <c:v>0.34034954986554045</c:v>
                </c:pt>
                <c:pt idx="10">
                  <c:v>0.22387493834902861</c:v>
                </c:pt>
                <c:pt idx="11">
                  <c:v>0.23474883574173058</c:v>
                </c:pt>
                <c:pt idx="12">
                  <c:v>0.37691682805498228</c:v>
                </c:pt>
                <c:pt idx="13">
                  <c:v>0.16170745152429053</c:v>
                </c:pt>
                <c:pt idx="14">
                  <c:v>0.6354136856022391</c:v>
                </c:pt>
                <c:pt idx="15">
                  <c:v>0.32151776055716902</c:v>
                </c:pt>
                <c:pt idx="16">
                  <c:v>-0.11432204894408431</c:v>
                </c:pt>
                <c:pt idx="17">
                  <c:v>-5.1757146500390386E-2</c:v>
                </c:pt>
                <c:pt idx="18">
                  <c:v>-0.58706510968263703</c:v>
                </c:pt>
                <c:pt idx="19">
                  <c:v>-0.35487188237441031</c:v>
                </c:pt>
                <c:pt idx="20">
                  <c:v>-8.5397778834990529E-2</c:v>
                </c:pt>
                <c:pt idx="21">
                  <c:v>-0.27817734072291866</c:v>
                </c:pt>
                <c:pt idx="22">
                  <c:v>-2.9065624151318084E-3</c:v>
                </c:pt>
                <c:pt idx="23">
                  <c:v>-5.9498285904227661E-3</c:v>
                </c:pt>
                <c:pt idx="24">
                  <c:v>0.12344573775217317</c:v>
                </c:pt>
                <c:pt idx="25">
                  <c:v>0.16503598968244623</c:v>
                </c:pt>
                <c:pt idx="26">
                  <c:v>0.2187690869142794</c:v>
                </c:pt>
                <c:pt idx="27">
                  <c:v>-0.21769009003114986</c:v>
                </c:pt>
                <c:pt idx="28">
                  <c:v>1.6785548675397836E-2</c:v>
                </c:pt>
                <c:pt idx="29">
                  <c:v>-1.1662751079334675E-2</c:v>
                </c:pt>
                <c:pt idx="30">
                  <c:v>6.608920861821449E-2</c:v>
                </c:pt>
                <c:pt idx="31">
                  <c:v>0.43636866713601108</c:v>
                </c:pt>
                <c:pt idx="32">
                  <c:v>0.15424282771829342</c:v>
                </c:pt>
                <c:pt idx="33">
                  <c:v>6.4644984673718306E-2</c:v>
                </c:pt>
              </c:numCache>
            </c:numRef>
          </c:val>
          <c:extLst>
            <c:ext xmlns:c16="http://schemas.microsoft.com/office/drawing/2014/chart" uri="{C3380CC4-5D6E-409C-BE32-E72D297353CC}">
              <c16:uniqueId val="{00000004-3D19-4C70-85B8-BF6C4DC78FF4}"/>
            </c:ext>
          </c:extLst>
        </c:ser>
        <c:ser>
          <c:idx val="5"/>
          <c:order val="5"/>
          <c:tx>
            <c:strRef>
              <c:f>'GRAF příspěvky IPP'!$A$32</c:f>
              <c:strCache>
                <c:ptCount val="1"/>
                <c:pt idx="0">
                  <c:v>Chemical, pharmaceutical ind. (20, 21)</c:v>
                </c:pt>
              </c:strCache>
            </c:strRef>
          </c:tx>
          <c:spPr>
            <a:solidFill>
              <a:srgbClr val="F8A124"/>
            </a:solidFill>
            <a:ln>
              <a:noFill/>
            </a:ln>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IPP'!$R$32:$AY$32</c:f>
              <c:numCache>
                <c:formatCode>0.0</c:formatCode>
                <c:ptCount val="34"/>
                <c:pt idx="0">
                  <c:v>7.7208317080078276E-2</c:v>
                </c:pt>
                <c:pt idx="1">
                  <c:v>0.23592866818826697</c:v>
                </c:pt>
                <c:pt idx="2">
                  <c:v>-0.16336143877828857</c:v>
                </c:pt>
                <c:pt idx="3">
                  <c:v>-0.33439989501657991</c:v>
                </c:pt>
                <c:pt idx="4">
                  <c:v>-0.41779515285163249</c:v>
                </c:pt>
                <c:pt idx="5">
                  <c:v>-0.42569819359762023</c:v>
                </c:pt>
                <c:pt idx="6">
                  <c:v>-0.10788089066016893</c:v>
                </c:pt>
                <c:pt idx="7">
                  <c:v>0.23743965472329742</c:v>
                </c:pt>
                <c:pt idx="8">
                  <c:v>0.52311070740015475</c:v>
                </c:pt>
                <c:pt idx="9">
                  <c:v>0.82341422334347203</c:v>
                </c:pt>
                <c:pt idx="10">
                  <c:v>0.65076836480306144</c:v>
                </c:pt>
                <c:pt idx="11">
                  <c:v>0.50493978173151843</c:v>
                </c:pt>
                <c:pt idx="12">
                  <c:v>0.40295639892988067</c:v>
                </c:pt>
                <c:pt idx="13">
                  <c:v>8.0557374992047126E-2</c:v>
                </c:pt>
                <c:pt idx="14">
                  <c:v>-5.3154805616806716E-2</c:v>
                </c:pt>
                <c:pt idx="15">
                  <c:v>-6.7994611415210252E-2</c:v>
                </c:pt>
                <c:pt idx="16">
                  <c:v>0.10386183133359356</c:v>
                </c:pt>
                <c:pt idx="17">
                  <c:v>4.7610492592970455E-2</c:v>
                </c:pt>
                <c:pt idx="18">
                  <c:v>0.23071819932128132</c:v>
                </c:pt>
                <c:pt idx="19">
                  <c:v>3.0462943071166648E-2</c:v>
                </c:pt>
                <c:pt idx="20">
                  <c:v>-3.121877831637726E-2</c:v>
                </c:pt>
                <c:pt idx="21">
                  <c:v>-0.54858975903434926</c:v>
                </c:pt>
                <c:pt idx="22">
                  <c:v>-0.21411469460909963</c:v>
                </c:pt>
                <c:pt idx="23">
                  <c:v>0.43233148897113949</c:v>
                </c:pt>
                <c:pt idx="24">
                  <c:v>0.28829426971776501</c:v>
                </c:pt>
                <c:pt idx="25">
                  <c:v>0.79933281321603356</c:v>
                </c:pt>
                <c:pt idx="26">
                  <c:v>0.31192170113272516</c:v>
                </c:pt>
                <c:pt idx="27">
                  <c:v>7.2471498351694613E-2</c:v>
                </c:pt>
                <c:pt idx="28">
                  <c:v>0.2517135468280205</c:v>
                </c:pt>
                <c:pt idx="29">
                  <c:v>0.17148055035811022</c:v>
                </c:pt>
                <c:pt idx="30">
                  <c:v>-8.8890710060444078E-2</c:v>
                </c:pt>
                <c:pt idx="31">
                  <c:v>-0.26763149558872612</c:v>
                </c:pt>
                <c:pt idx="32">
                  <c:v>-0.57253174056875167</c:v>
                </c:pt>
                <c:pt idx="33">
                  <c:v>-0.14472420150223325</c:v>
                </c:pt>
              </c:numCache>
            </c:numRef>
          </c:val>
          <c:extLst>
            <c:ext xmlns:c16="http://schemas.microsoft.com/office/drawing/2014/chart" uri="{C3380CC4-5D6E-409C-BE32-E72D297353CC}">
              <c16:uniqueId val="{00000005-3D19-4C70-85B8-BF6C4DC78FF4}"/>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IPP'!$R$33:$AY$33</c:f>
              <c:numCache>
                <c:formatCode>0.0</c:formatCode>
                <c:ptCount val="34"/>
                <c:pt idx="0">
                  <c:v>0.98358746940884245</c:v>
                </c:pt>
                <c:pt idx="1">
                  <c:v>0.89923246363091325</c:v>
                </c:pt>
                <c:pt idx="2">
                  <c:v>1.0053837817799574</c:v>
                </c:pt>
                <c:pt idx="3">
                  <c:v>-0.19974639261354676</c:v>
                </c:pt>
                <c:pt idx="4">
                  <c:v>0.24329990001740021</c:v>
                </c:pt>
                <c:pt idx="5">
                  <c:v>-0.35930073634947618</c:v>
                </c:pt>
                <c:pt idx="6">
                  <c:v>5.4611870755817526E-2</c:v>
                </c:pt>
                <c:pt idx="7">
                  <c:v>0.57938738739229823</c:v>
                </c:pt>
                <c:pt idx="8">
                  <c:v>0.10796722998385244</c:v>
                </c:pt>
                <c:pt idx="9">
                  <c:v>1.484966796227404</c:v>
                </c:pt>
                <c:pt idx="10">
                  <c:v>0.76494329225869084</c:v>
                </c:pt>
                <c:pt idx="11">
                  <c:v>0.9298110177603145</c:v>
                </c:pt>
                <c:pt idx="12">
                  <c:v>1.1595945228996394</c:v>
                </c:pt>
                <c:pt idx="13">
                  <c:v>0.67905455733759479</c:v>
                </c:pt>
                <c:pt idx="14">
                  <c:v>1.1071544502276871</c:v>
                </c:pt>
                <c:pt idx="15">
                  <c:v>0.4584448107077318</c:v>
                </c:pt>
                <c:pt idx="16">
                  <c:v>-4.2034374602800018E-2</c:v>
                </c:pt>
                <c:pt idx="17">
                  <c:v>4.7080538912348396E-2</c:v>
                </c:pt>
                <c:pt idx="18">
                  <c:v>-0.67715517865176933</c:v>
                </c:pt>
                <c:pt idx="19">
                  <c:v>-0.19783909206023381</c:v>
                </c:pt>
                <c:pt idx="20">
                  <c:v>7.5330777097780563E-2</c:v>
                </c:pt>
                <c:pt idx="21">
                  <c:v>-2.8438492263065807</c:v>
                </c:pt>
                <c:pt idx="22">
                  <c:v>8.8873578450232471E-2</c:v>
                </c:pt>
                <c:pt idx="23">
                  <c:v>0.13876281570829019</c:v>
                </c:pt>
                <c:pt idx="24">
                  <c:v>0.21014615403229484</c:v>
                </c:pt>
                <c:pt idx="25">
                  <c:v>5.1936386612240169</c:v>
                </c:pt>
                <c:pt idx="26">
                  <c:v>1.0321859362308032</c:v>
                </c:pt>
                <c:pt idx="27">
                  <c:v>0.89717493659966907</c:v>
                </c:pt>
                <c:pt idx="28">
                  <c:v>1.4486041643537613</c:v>
                </c:pt>
                <c:pt idx="29">
                  <c:v>0.43152950164995829</c:v>
                </c:pt>
                <c:pt idx="30">
                  <c:v>-0.55860056263710622</c:v>
                </c:pt>
                <c:pt idx="31">
                  <c:v>-0.67902760551175556</c:v>
                </c:pt>
                <c:pt idx="32">
                  <c:v>-2.249774013086582</c:v>
                </c:pt>
                <c:pt idx="33">
                  <c:v>-2.4285915196989674</c:v>
                </c:pt>
              </c:numCache>
            </c:numRef>
          </c:val>
          <c:extLst>
            <c:ext xmlns:c16="http://schemas.microsoft.com/office/drawing/2014/chart" uri="{C3380CC4-5D6E-409C-BE32-E72D297353CC}">
              <c16:uniqueId val="{00000006-3D19-4C70-85B8-BF6C4DC78FF4}"/>
            </c:ext>
          </c:extLst>
        </c:ser>
        <c:ser>
          <c:idx val="7"/>
          <c:order val="7"/>
          <c:tx>
            <c:strRef>
              <c:f>'GRAF příspěvky IPP'!$A$34</c:f>
              <c:strCache>
                <c:ptCount val="1"/>
                <c:pt idx="0">
                  <c:v>Mining and energetics (B, D)</c:v>
                </c:pt>
              </c:strCache>
            </c:strRef>
          </c:tx>
          <c:spPr>
            <a:solidFill>
              <a:srgbClr val="808080"/>
            </a:solidFill>
          </c:spPr>
          <c:invertIfNegative val="0"/>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IPP'!$R$34:$AY$34</c:f>
              <c:numCache>
                <c:formatCode>0.0</c:formatCode>
                <c:ptCount val="34"/>
                <c:pt idx="0">
                  <c:v>0.14536897805497162</c:v>
                </c:pt>
                <c:pt idx="1">
                  <c:v>-0.33983324755997268</c:v>
                </c:pt>
                <c:pt idx="2">
                  <c:v>-0.39725135811041795</c:v>
                </c:pt>
                <c:pt idx="3">
                  <c:v>-1.114644115487744</c:v>
                </c:pt>
                <c:pt idx="4">
                  <c:v>-0.64587487131351107</c:v>
                </c:pt>
                <c:pt idx="5">
                  <c:v>9.8834575359488031E-2</c:v>
                </c:pt>
                <c:pt idx="6">
                  <c:v>-0.47676721369922492</c:v>
                </c:pt>
                <c:pt idx="7">
                  <c:v>0.50385695934700236</c:v>
                </c:pt>
                <c:pt idx="8">
                  <c:v>0.66227118757014092</c:v>
                </c:pt>
                <c:pt idx="9">
                  <c:v>-0.18254891472265217</c:v>
                </c:pt>
                <c:pt idx="10">
                  <c:v>0.77170124339672286</c:v>
                </c:pt>
                <c:pt idx="11">
                  <c:v>0.73276064564397903</c:v>
                </c:pt>
                <c:pt idx="12">
                  <c:v>-0.53888499639537091</c:v>
                </c:pt>
                <c:pt idx="13">
                  <c:v>4.2147847309763065E-3</c:v>
                </c:pt>
                <c:pt idx="14">
                  <c:v>0.78783573859879075</c:v>
                </c:pt>
                <c:pt idx="15">
                  <c:v>0.33124933161720838</c:v>
                </c:pt>
                <c:pt idx="16">
                  <c:v>0.21326825173098596</c:v>
                </c:pt>
                <c:pt idx="17">
                  <c:v>4.5891627194929563E-2</c:v>
                </c:pt>
                <c:pt idx="18">
                  <c:v>-0.66559651426949951</c:v>
                </c:pt>
                <c:pt idx="19">
                  <c:v>-0.33090808889302359</c:v>
                </c:pt>
                <c:pt idx="20">
                  <c:v>-0.97342506810566587</c:v>
                </c:pt>
                <c:pt idx="21">
                  <c:v>-1.5875613971615949</c:v>
                </c:pt>
                <c:pt idx="22">
                  <c:v>-0.71564578738754847</c:v>
                </c:pt>
                <c:pt idx="23">
                  <c:v>-0.69506985368693841</c:v>
                </c:pt>
                <c:pt idx="24">
                  <c:v>0.48072477574831768</c:v>
                </c:pt>
                <c:pt idx="25">
                  <c:v>0.46331760076263306</c:v>
                </c:pt>
                <c:pt idx="26">
                  <c:v>0.22196846067872936</c:v>
                </c:pt>
                <c:pt idx="27">
                  <c:v>0.81349879426535543</c:v>
                </c:pt>
                <c:pt idx="28">
                  <c:v>-0.17516130075846131</c:v>
                </c:pt>
                <c:pt idx="29">
                  <c:v>0.27453065253565601</c:v>
                </c:pt>
                <c:pt idx="30">
                  <c:v>0.37988207575265759</c:v>
                </c:pt>
                <c:pt idx="31">
                  <c:v>-1.3729548731845103</c:v>
                </c:pt>
                <c:pt idx="32">
                  <c:v>-1.2157081226332949</c:v>
                </c:pt>
                <c:pt idx="33">
                  <c:v>-1.5181989153967126</c:v>
                </c:pt>
              </c:numCache>
            </c:numRef>
          </c:val>
          <c:extLst>
            <c:ext xmlns:c16="http://schemas.microsoft.com/office/drawing/2014/chart" uri="{C3380CC4-5D6E-409C-BE32-E72D297353CC}">
              <c16:uniqueId val="{00000007-3D19-4C70-85B8-BF6C4DC78FF4}"/>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output in industry (NACE B to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IPP'!$R$35:$AY$35</c:f>
              <c:numCache>
                <c:formatCode>0.0</c:formatCode>
                <c:ptCount val="34"/>
                <c:pt idx="0">
                  <c:v>4.8516197114000059</c:v>
                </c:pt>
                <c:pt idx="1">
                  <c:v>5.3057646647000078</c:v>
                </c:pt>
                <c:pt idx="2">
                  <c:v>5.6509723288000364</c:v>
                </c:pt>
                <c:pt idx="3">
                  <c:v>2.4035243304999891</c:v>
                </c:pt>
                <c:pt idx="4">
                  <c:v>4.4795186778999661</c:v>
                </c:pt>
                <c:pt idx="5">
                  <c:v>2.5440704273000043</c:v>
                </c:pt>
                <c:pt idx="6">
                  <c:v>1.6941973048000005</c:v>
                </c:pt>
                <c:pt idx="7">
                  <c:v>3.512695594999983</c:v>
                </c:pt>
                <c:pt idx="8">
                  <c:v>4.7458417446999945</c:v>
                </c:pt>
                <c:pt idx="9">
                  <c:v>8.0826593817999992</c:v>
                </c:pt>
                <c:pt idx="10">
                  <c:v>6.5865810428999962</c:v>
                </c:pt>
                <c:pt idx="11">
                  <c:v>7.4885543312999943</c:v>
                </c:pt>
                <c:pt idx="12">
                  <c:v>4.2941434987999934</c:v>
                </c:pt>
                <c:pt idx="13">
                  <c:v>2.4045915341999926</c:v>
                </c:pt>
                <c:pt idx="14">
                  <c:v>3.7412027468000084</c:v>
                </c:pt>
                <c:pt idx="15">
                  <c:v>1.913126415899993</c:v>
                </c:pt>
                <c:pt idx="16">
                  <c:v>0.85990960209994793</c:v>
                </c:pt>
                <c:pt idx="17">
                  <c:v>0.98874527809999968</c:v>
                </c:pt>
                <c:pt idx="18">
                  <c:v>-1.2008161934000363</c:v>
                </c:pt>
                <c:pt idx="19">
                  <c:v>-2.0241899478999965</c:v>
                </c:pt>
                <c:pt idx="20">
                  <c:v>-4.408310722500012</c:v>
                </c:pt>
                <c:pt idx="21">
                  <c:v>-22.953075925300002</c:v>
                </c:pt>
                <c:pt idx="22">
                  <c:v>-2.7947559611999915</c:v>
                </c:pt>
                <c:pt idx="23">
                  <c:v>2.1023200511999836</c:v>
                </c:pt>
                <c:pt idx="24">
                  <c:v>4.2905022020000079</c:v>
                </c:pt>
                <c:pt idx="25">
                  <c:v>28.237467680700014</c:v>
                </c:pt>
                <c:pt idx="26">
                  <c:v>-8.5296171199999715E-2</c:v>
                </c:pt>
                <c:pt idx="27">
                  <c:v>-1.8829755502000003</c:v>
                </c:pt>
                <c:pt idx="28">
                  <c:v>0.25361177150000458</c:v>
                </c:pt>
                <c:pt idx="29">
                  <c:v>0.74770967569999414</c:v>
                </c:pt>
                <c:pt idx="30">
                  <c:v>6.0622390109000008</c:v>
                </c:pt>
                <c:pt idx="31">
                  <c:v>3.1781753375999955</c:v>
                </c:pt>
                <c:pt idx="32">
                  <c:v>1.153044050099993</c:v>
                </c:pt>
                <c:pt idx="33">
                  <c:v>1.0877560341999981</c:v>
                </c:pt>
              </c:numCache>
            </c:numRef>
          </c:val>
          <c:smooth val="0"/>
          <c:extLst>
            <c:ext xmlns:c16="http://schemas.microsoft.com/office/drawing/2014/chart" uri="{C3380CC4-5D6E-409C-BE32-E72D297353CC}">
              <c16:uniqueId val="{00000008-3D19-4C70-85B8-BF6C4DC78FF4}"/>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IPP'!$R$36:$AY$36</c:f>
              <c:numCache>
                <c:formatCode>General</c:formatCode>
                <c:ptCount val="34"/>
              </c:numCache>
            </c:numRef>
          </c:val>
          <c:smooth val="0"/>
          <c:extLst>
            <c:ext xmlns:c16="http://schemas.microsoft.com/office/drawing/2014/chart" uri="{C3380CC4-5D6E-409C-BE32-E72D297353CC}">
              <c16:uniqueId val="{00000009-3D19-4C70-85B8-BF6C4DC78FF4}"/>
            </c:ext>
          </c:extLst>
        </c:ser>
        <c:ser>
          <c:idx val="10"/>
          <c:order val="10"/>
          <c:tx>
            <c:strRef>
              <c:f>'GRAF příspěvky IPP'!$A$37</c:f>
              <c:strCache>
                <c:ptCount val="1"/>
                <c:pt idx="0">
                  <c:v>Output, total industry CR (basis 2015=100)</c:v>
                </c:pt>
              </c:strCache>
            </c:strRef>
          </c:tx>
          <c:spPr>
            <a:ln w="15875">
              <a:solidFill>
                <a:schemeClr val="tx1">
                  <a:lumMod val="95000"/>
                  <a:lumOff val="5000"/>
                </a:schemeClr>
              </a:solidFill>
            </a:ln>
          </c:spPr>
          <c:marker>
            <c:symbol val="none"/>
          </c:marker>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IPP'!$R$37:$AY$37</c:f>
              <c:numCache>
                <c:formatCode>##0.0</c:formatCode>
                <c:ptCount val="34"/>
                <c:pt idx="0">
                  <c:v>98.645602479999994</c:v>
                </c:pt>
                <c:pt idx="1">
                  <c:v>100.18242374</c:v>
                </c:pt>
                <c:pt idx="2">
                  <c:v>101.2850845633</c:v>
                </c:pt>
                <c:pt idx="3">
                  <c:v>100.52111345</c:v>
                </c:pt>
                <c:pt idx="4">
                  <c:v>103.0563593</c:v>
                </c:pt>
                <c:pt idx="5">
                  <c:v>102.5992794233</c:v>
                </c:pt>
                <c:pt idx="6">
                  <c:v>102.83954233670001</c:v>
                </c:pt>
                <c:pt idx="7">
                  <c:v>104.07328304329999</c:v>
                </c:pt>
                <c:pt idx="8">
                  <c:v>107.56794223670001</c:v>
                </c:pt>
                <c:pt idx="9">
                  <c:v>110.67653848</c:v>
                </c:pt>
                <c:pt idx="10">
                  <c:v>109.9586102967</c:v>
                </c:pt>
                <c:pt idx="11">
                  <c:v>112.16043972999999</c:v>
                </c:pt>
                <c:pt idx="12">
                  <c:v>112.4788675433</c:v>
                </c:pt>
                <c:pt idx="13">
                  <c:v>113.5077588267</c:v>
                </c:pt>
                <c:pt idx="14">
                  <c:v>114.2538401133</c:v>
                </c:pt>
                <c:pt idx="15">
                  <c:v>113.8813012367</c:v>
                </c:pt>
                <c:pt idx="16">
                  <c:v>113.3884428333</c:v>
                </c:pt>
                <c:pt idx="17">
                  <c:v>115.08486213330001</c:v>
                </c:pt>
                <c:pt idx="18">
                  <c:v>112.5355021167</c:v>
                </c:pt>
                <c:pt idx="19">
                  <c:v>111.4403992933</c:v>
                </c:pt>
                <c:pt idx="20">
                  <c:v>108.6749157867</c:v>
                </c:pt>
                <c:pt idx="21">
                  <c:v>88.9758235133</c:v>
                </c:pt>
                <c:pt idx="22">
                  <c:v>109.4050159767</c:v>
                </c:pt>
                <c:pt idx="23">
                  <c:v>113.95534517</c:v>
                </c:pt>
                <c:pt idx="24">
                  <c:v>112.2920782133</c:v>
                </c:pt>
                <c:pt idx="25">
                  <c:v>113.25779428</c:v>
                </c:pt>
                <c:pt idx="26">
                  <c:v>110.3519137733</c:v>
                </c:pt>
                <c:pt idx="27">
                  <c:v>111.22766090330001</c:v>
                </c:pt>
                <c:pt idx="28">
                  <c:v>113.38530769330001</c:v>
                </c:pt>
                <c:pt idx="29">
                  <c:v>114.35851683999999</c:v>
                </c:pt>
                <c:pt idx="30">
                  <c:v>116.57853470329999</c:v>
                </c:pt>
                <c:pt idx="31">
                  <c:v>115.05557292330001</c:v>
                </c:pt>
                <c:pt idx="32">
                  <c:v>114.4414711567</c:v>
                </c:pt>
                <c:pt idx="33">
                  <c:v>115.3566483</c:v>
                </c:pt>
              </c:numCache>
            </c:numRef>
          </c:val>
          <c:smooth val="0"/>
          <c:extLst>
            <c:ext xmlns:c16="http://schemas.microsoft.com/office/drawing/2014/chart" uri="{C3380CC4-5D6E-409C-BE32-E72D297353CC}">
              <c16:uniqueId val="{0000000A-3D19-4C70-85B8-BF6C4DC78FF4}"/>
            </c:ext>
          </c:extLst>
        </c:ser>
        <c:ser>
          <c:idx val="11"/>
          <c:order val="11"/>
          <c:tx>
            <c:strRef>
              <c:f>'GRAF příspěvky IPP'!$A$38</c:f>
              <c:strCache>
                <c:ptCount val="1"/>
                <c:pt idx="0">
                  <c:v>Output, total industry EU27 (2015=100)</c:v>
                </c:pt>
              </c:strCache>
            </c:strRef>
          </c:tx>
          <c:spPr>
            <a:ln w="15875">
              <a:solidFill>
                <a:schemeClr val="tx1">
                  <a:lumMod val="50000"/>
                  <a:lumOff val="50000"/>
                </a:schemeClr>
              </a:solidFill>
              <a:prstDash val="sysDash"/>
            </a:ln>
          </c:spPr>
          <c:marker>
            <c:symbol val="none"/>
          </c:marker>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IPP'!$R$38:$AY$38</c:f>
              <c:numCache>
                <c:formatCode>##0.0</c:formatCode>
                <c:ptCount val="34"/>
                <c:pt idx="0">
                  <c:v>99.3</c:v>
                </c:pt>
                <c:pt idx="1">
                  <c:v>100</c:v>
                </c:pt>
                <c:pt idx="2">
                  <c:v>100.4</c:v>
                </c:pt>
                <c:pt idx="3">
                  <c:v>100.4</c:v>
                </c:pt>
                <c:pt idx="4">
                  <c:v>101.5</c:v>
                </c:pt>
                <c:pt idx="5">
                  <c:v>101.2</c:v>
                </c:pt>
                <c:pt idx="6">
                  <c:v>101.4</c:v>
                </c:pt>
                <c:pt idx="7">
                  <c:v>102.9</c:v>
                </c:pt>
                <c:pt idx="8">
                  <c:v>102.9</c:v>
                </c:pt>
                <c:pt idx="9">
                  <c:v>104.1</c:v>
                </c:pt>
                <c:pt idx="10">
                  <c:v>105.6</c:v>
                </c:pt>
                <c:pt idx="11">
                  <c:v>107.8</c:v>
                </c:pt>
                <c:pt idx="12">
                  <c:v>106.1</c:v>
                </c:pt>
                <c:pt idx="13">
                  <c:v>106.7</c:v>
                </c:pt>
                <c:pt idx="14">
                  <c:v>106.4</c:v>
                </c:pt>
                <c:pt idx="15">
                  <c:v>106.5</c:v>
                </c:pt>
                <c:pt idx="16">
                  <c:v>107</c:v>
                </c:pt>
                <c:pt idx="17">
                  <c:v>106.7</c:v>
                </c:pt>
                <c:pt idx="18">
                  <c:v>105.9</c:v>
                </c:pt>
                <c:pt idx="19">
                  <c:v>105.1</c:v>
                </c:pt>
                <c:pt idx="20">
                  <c:v>102.3</c:v>
                </c:pt>
                <c:pt idx="21">
                  <c:v>86.5</c:v>
                </c:pt>
                <c:pt idx="22">
                  <c:v>100.5</c:v>
                </c:pt>
                <c:pt idx="23">
                  <c:v>105.5</c:v>
                </c:pt>
                <c:pt idx="24">
                  <c:v>107.2</c:v>
                </c:pt>
                <c:pt idx="25">
                  <c:v>107.2</c:v>
                </c:pt>
                <c:pt idx="26">
                  <c:v>107</c:v>
                </c:pt>
                <c:pt idx="27">
                  <c:v>108.9</c:v>
                </c:pt>
                <c:pt idx="28">
                  <c:v>110.2</c:v>
                </c:pt>
                <c:pt idx="29">
                  <c:v>110.7</c:v>
                </c:pt>
                <c:pt idx="30">
                  <c:v>111.5</c:v>
                </c:pt>
                <c:pt idx="31">
                  <c:v>110.9</c:v>
                </c:pt>
                <c:pt idx="32">
                  <c:v>110.6</c:v>
                </c:pt>
                <c:pt idx="33">
                  <c:v>109.5</c:v>
                </c:pt>
              </c:numCache>
            </c:numRef>
          </c:val>
          <c:smooth val="0"/>
          <c:extLst>
            <c:ext xmlns:c16="http://schemas.microsoft.com/office/drawing/2014/chart" uri="{C3380CC4-5D6E-409C-BE32-E72D297353CC}">
              <c16:uniqueId val="{0000000B-3D19-4C70-85B8-BF6C4DC78FF4}"/>
            </c:ext>
          </c:extLst>
        </c:ser>
        <c:ser>
          <c:idx val="12"/>
          <c:order val="12"/>
          <c:tx>
            <c:strRef>
              <c:f>'GRAF příspěvky IPP'!$A$39</c:f>
              <c:strCache>
                <c:ptCount val="1"/>
                <c:pt idx="0">
                  <c:v>Output, total industry Germany (2015=100)</c:v>
                </c:pt>
              </c:strCache>
            </c:strRef>
          </c:tx>
          <c:spPr>
            <a:ln w="15875">
              <a:solidFill>
                <a:srgbClr val="996633"/>
              </a:solidFill>
              <a:prstDash val="dash"/>
            </a:ln>
          </c:spPr>
          <c:marker>
            <c:symbol val="none"/>
          </c:marker>
          <c:cat>
            <c:multiLvlStrRef>
              <c:f>'GRAF příspěvky IPP'!$R$25:$AY$26</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IPP'!$R$39:$AY$39</c:f>
              <c:numCache>
                <c:formatCode>##0.0</c:formatCode>
                <c:ptCount val="34"/>
                <c:pt idx="0">
                  <c:v>99.1</c:v>
                </c:pt>
                <c:pt idx="1">
                  <c:v>100.3</c:v>
                </c:pt>
                <c:pt idx="2">
                  <c:v>100.1</c:v>
                </c:pt>
                <c:pt idx="3">
                  <c:v>99.6</c:v>
                </c:pt>
                <c:pt idx="4">
                  <c:v>100.7</c:v>
                </c:pt>
                <c:pt idx="5">
                  <c:v>100.3</c:v>
                </c:pt>
                <c:pt idx="6">
                  <c:v>100.6</c:v>
                </c:pt>
                <c:pt idx="7">
                  <c:v>100.7</c:v>
                </c:pt>
                <c:pt idx="8">
                  <c:v>101.2</c:v>
                </c:pt>
                <c:pt idx="9">
                  <c:v>103.2</c:v>
                </c:pt>
                <c:pt idx="10">
                  <c:v>104.9</c:v>
                </c:pt>
                <c:pt idx="11">
                  <c:v>105.7</c:v>
                </c:pt>
                <c:pt idx="12">
                  <c:v>105.1</c:v>
                </c:pt>
                <c:pt idx="13">
                  <c:v>105.9</c:v>
                </c:pt>
                <c:pt idx="14">
                  <c:v>104.8</c:v>
                </c:pt>
                <c:pt idx="15">
                  <c:v>103.3</c:v>
                </c:pt>
                <c:pt idx="16">
                  <c:v>103.2</c:v>
                </c:pt>
                <c:pt idx="17">
                  <c:v>102</c:v>
                </c:pt>
                <c:pt idx="18">
                  <c:v>100.8</c:v>
                </c:pt>
                <c:pt idx="19">
                  <c:v>99.2</c:v>
                </c:pt>
                <c:pt idx="20">
                  <c:v>97.7</c:v>
                </c:pt>
                <c:pt idx="21">
                  <c:v>80</c:v>
                </c:pt>
                <c:pt idx="22">
                  <c:v>91.4</c:v>
                </c:pt>
                <c:pt idx="23">
                  <c:v>97.3</c:v>
                </c:pt>
                <c:pt idx="24">
                  <c:v>97</c:v>
                </c:pt>
                <c:pt idx="25">
                  <c:v>96.4</c:v>
                </c:pt>
                <c:pt idx="26">
                  <c:v>93.8</c:v>
                </c:pt>
                <c:pt idx="27">
                  <c:v>96.1</c:v>
                </c:pt>
                <c:pt idx="28">
                  <c:v>95.8</c:v>
                </c:pt>
                <c:pt idx="29">
                  <c:v>95.2</c:v>
                </c:pt>
                <c:pt idx="30">
                  <c:v>95.7</c:v>
                </c:pt>
                <c:pt idx="31">
                  <c:v>95.3</c:v>
                </c:pt>
                <c:pt idx="32">
                  <c:v>96.2</c:v>
                </c:pt>
                <c:pt idx="33">
                  <c:v>95.1</c:v>
                </c:pt>
              </c:numCache>
            </c:numRef>
          </c:val>
          <c:smooth val="0"/>
          <c:extLst>
            <c:ext xmlns:c16="http://schemas.microsoft.com/office/drawing/2014/chart" uri="{C3380CC4-5D6E-409C-BE32-E72D297353CC}">
              <c16:uniqueId val="{0000000C-3D19-4C70-85B8-BF6C4DC78FF4}"/>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0"/>
          <c:min val="-25"/>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Industrial prod</a:t>
                </a:r>
                <a:r>
                  <a:rPr lang="cs-CZ" sz="700" i="1">
                    <a:effectLst/>
                  </a:rPr>
                  <a:t>.</a:t>
                </a:r>
                <a:r>
                  <a:rPr lang="en-GB" sz="700" i="1">
                    <a:effectLst/>
                  </a:rPr>
                  <a:t> in sub-branches in the CR (contribution to growth)</a:t>
                </a:r>
                <a:endParaRPr lang="cs-CZ" sz="700">
                  <a:effectLst/>
                </a:endParaRPr>
              </a:p>
            </c:rich>
          </c:tx>
          <c:layout>
            <c:manualLayout>
              <c:xMode val="edge"/>
              <c:yMode val="edge"/>
              <c:x val="0"/>
              <c:y val="2.7826493469629527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513729024"/>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en-GB" sz="700" b="0" i="1" u="none" strike="noStrike" baseline="0">
                    <a:effectLst/>
                  </a:rPr>
                  <a:t>Output in industry (basis 2015=100)</a:t>
                </a:r>
                <a:endParaRPr lang="cs-CZ" sz="700" b="0" i="1">
                  <a:latin typeface="Arial" panose="020B0604020202020204" pitchFamily="34" charset="0"/>
                  <a:cs typeface="Arial" panose="020B0604020202020204" pitchFamily="34" charset="0"/>
                </a:endParaRPr>
              </a:p>
            </c:rich>
          </c:tx>
          <c:layout>
            <c:manualLayout>
              <c:xMode val="edge"/>
              <c:yMode val="edge"/>
              <c:x val="0.97040158454025283"/>
              <c:y val="0.16649922312229412"/>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6"/>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6E-3"/>
          <c:y val="0.78956533796177808"/>
          <c:w val="0.98866589538224925"/>
          <c:h val="0.20327688625655532"/>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52E-2"/>
          <c:w val="0.84974974879787502"/>
          <c:h val="0.750636022143085"/>
        </c:manualLayout>
      </c:layout>
      <c:barChart>
        <c:barDir val="col"/>
        <c:grouping val="clustered"/>
        <c:varyColors val="0"/>
        <c:ser>
          <c:idx val="0"/>
          <c:order val="0"/>
          <c:tx>
            <c:strRef>
              <c:f>'výkonnost odvětví 2'!$A$36</c:f>
              <c:strCache>
                <c:ptCount val="1"/>
                <c:pt idx="0">
                  <c:v>Total orders (all industry)</c:v>
                </c:pt>
              </c:strCache>
            </c:strRef>
          </c:tx>
          <c:spPr>
            <a:solidFill>
              <a:schemeClr val="bg1">
                <a:lumMod val="75000"/>
              </a:schemeClr>
            </a:solidFill>
            <a:ln>
              <a:noFill/>
            </a:ln>
          </c:spPr>
          <c:invertIfNegative val="0"/>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2'!$R$36:$AZ$36</c:f>
              <c:numCache>
                <c:formatCode>##0.0</c:formatCode>
                <c:ptCount val="35"/>
                <c:pt idx="0">
                  <c:v>8.5353894547999971</c:v>
                </c:pt>
                <c:pt idx="1">
                  <c:v>6.3740032441999972</c:v>
                </c:pt>
                <c:pt idx="2">
                  <c:v>6.0540271236999956</c:v>
                </c:pt>
                <c:pt idx="3">
                  <c:v>5.2610868973000038</c:v>
                </c:pt>
                <c:pt idx="4">
                  <c:v>2.6398924801000021</c:v>
                </c:pt>
                <c:pt idx="5">
                  <c:v>7.5233833736999998</c:v>
                </c:pt>
                <c:pt idx="6">
                  <c:v>2.3667401951999949</c:v>
                </c:pt>
                <c:pt idx="7">
                  <c:v>6.6372980220999978</c:v>
                </c:pt>
                <c:pt idx="8">
                  <c:v>7.264263741700006</c:v>
                </c:pt>
                <c:pt idx="9">
                  <c:v>8.2151073244999964</c:v>
                </c:pt>
                <c:pt idx="10">
                  <c:v>7.9541665196999958</c:v>
                </c:pt>
                <c:pt idx="11">
                  <c:v>7.3518853409999991</c:v>
                </c:pt>
                <c:pt idx="12">
                  <c:v>3.4479253911000001</c:v>
                </c:pt>
                <c:pt idx="13">
                  <c:v>3.7095478141000058</c:v>
                </c:pt>
                <c:pt idx="14">
                  <c:v>3.8047927777000012</c:v>
                </c:pt>
                <c:pt idx="15">
                  <c:v>3.0958525626000011</c:v>
                </c:pt>
                <c:pt idx="16">
                  <c:v>3.2186335616000008</c:v>
                </c:pt>
                <c:pt idx="17">
                  <c:v>1.4218114762000056</c:v>
                </c:pt>
                <c:pt idx="18">
                  <c:v>-0.25322037120000118</c:v>
                </c:pt>
                <c:pt idx="19">
                  <c:v>-3.8029715272000004</c:v>
                </c:pt>
                <c:pt idx="20">
                  <c:v>-2.0918519482000022</c:v>
                </c:pt>
                <c:pt idx="21">
                  <c:v>-27.667187618300005</c:v>
                </c:pt>
                <c:pt idx="22">
                  <c:v>-1.310591588500003</c:v>
                </c:pt>
                <c:pt idx="23">
                  <c:v>7.1560873369000007</c:v>
                </c:pt>
                <c:pt idx="24">
                  <c:v>8.4043556738999996</c:v>
                </c:pt>
                <c:pt idx="25">
                  <c:v>47.896596400899995</c:v>
                </c:pt>
                <c:pt idx="26">
                  <c:v>7.3132490553000054</c:v>
                </c:pt>
                <c:pt idx="27">
                  <c:v>3.5534586679000029</c:v>
                </c:pt>
                <c:pt idx="28">
                  <c:v>6.0307372501000032</c:v>
                </c:pt>
                <c:pt idx="29">
                  <c:v>9.7702291395000032</c:v>
                </c:pt>
                <c:pt idx="30">
                  <c:v>14.900137869199995</c:v>
                </c:pt>
                <c:pt idx="31">
                  <c:v>12.536924903200003</c:v>
                </c:pt>
                <c:pt idx="32">
                  <c:v>2.105044401699999</c:v>
                </c:pt>
                <c:pt idx="33">
                  <c:v>-2.5827554574999994</c:v>
                </c:pt>
              </c:numCache>
            </c:numRef>
          </c:val>
          <c:extLst>
            <c:ext xmlns:c16="http://schemas.microsoft.com/office/drawing/2014/chart" uri="{C3380CC4-5D6E-409C-BE32-E72D297353CC}">
              <c16:uniqueId val="{00000000-B796-47F9-A0F4-B6C9EDBC4B22}"/>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2'!$A$37</c:f>
              <c:strCache>
                <c:ptCount val="1"/>
                <c:pt idx="0">
                  <c:v>In that: domestic orders</c:v>
                </c:pt>
              </c:strCache>
            </c:strRef>
          </c:tx>
          <c:spPr>
            <a:ln w="15875">
              <a:noFill/>
              <a:prstDash val="sysDot"/>
            </a:ln>
          </c:spPr>
          <c:marker>
            <c:symbol val="diamond"/>
            <c:size val="5"/>
            <c:spPr>
              <a:solidFill>
                <a:srgbClr val="984807"/>
              </a:solidFill>
              <a:ln>
                <a:noFill/>
              </a:ln>
            </c:spPr>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2'!$R$37:$AZ$37</c:f>
              <c:numCache>
                <c:formatCode>#\ ##0.0</c:formatCode>
                <c:ptCount val="35"/>
                <c:pt idx="0">
                  <c:v>4.3680291455000031</c:v>
                </c:pt>
                <c:pt idx="1">
                  <c:v>9.933767529299999</c:v>
                </c:pt>
                <c:pt idx="2">
                  <c:v>-2.8164715103000049</c:v>
                </c:pt>
                <c:pt idx="3">
                  <c:v>-0.26717379199999414</c:v>
                </c:pt>
                <c:pt idx="4">
                  <c:v>1.5962247260000026</c:v>
                </c:pt>
                <c:pt idx="5">
                  <c:v>1.3728557044999974</c:v>
                </c:pt>
                <c:pt idx="6">
                  <c:v>0.22425600770000642</c:v>
                </c:pt>
                <c:pt idx="7">
                  <c:v>2.8114611785999983</c:v>
                </c:pt>
                <c:pt idx="8">
                  <c:v>12.524366763299994</c:v>
                </c:pt>
                <c:pt idx="9">
                  <c:v>15.8456049001</c:v>
                </c:pt>
                <c:pt idx="10">
                  <c:v>15.9060172943</c:v>
                </c:pt>
                <c:pt idx="11">
                  <c:v>15.434615524600005</c:v>
                </c:pt>
                <c:pt idx="12">
                  <c:v>1.4469604142999941</c:v>
                </c:pt>
                <c:pt idx="13">
                  <c:v>2.4870435246999989</c:v>
                </c:pt>
                <c:pt idx="14">
                  <c:v>4.7255448690000037</c:v>
                </c:pt>
                <c:pt idx="15">
                  <c:v>3.4943150181999982</c:v>
                </c:pt>
                <c:pt idx="16">
                  <c:v>8.0495745223000057</c:v>
                </c:pt>
                <c:pt idx="17">
                  <c:v>5.3160296459000023</c:v>
                </c:pt>
                <c:pt idx="18">
                  <c:v>0.34661811540000542</c:v>
                </c:pt>
                <c:pt idx="19">
                  <c:v>-1.3207332955000055</c:v>
                </c:pt>
                <c:pt idx="20">
                  <c:v>5.5377026294000018</c:v>
                </c:pt>
                <c:pt idx="21">
                  <c:v>-25.895568979299995</c:v>
                </c:pt>
                <c:pt idx="22">
                  <c:v>-3.0276470073000041</c:v>
                </c:pt>
                <c:pt idx="23">
                  <c:v>6.9204263800999968</c:v>
                </c:pt>
                <c:pt idx="24">
                  <c:v>-2.8106372719999939</c:v>
                </c:pt>
                <c:pt idx="25">
                  <c:v>43.420786243099997</c:v>
                </c:pt>
                <c:pt idx="26">
                  <c:v>9.3034312719999974</c:v>
                </c:pt>
                <c:pt idx="27">
                  <c:v>5.3772359177000055</c:v>
                </c:pt>
                <c:pt idx="28">
                  <c:v>8.297580932200006</c:v>
                </c:pt>
                <c:pt idx="29">
                  <c:v>15.096545960499995</c:v>
                </c:pt>
                <c:pt idx="30">
                  <c:v>25.947982424900005</c:v>
                </c:pt>
                <c:pt idx="31">
                  <c:v>19.229193864400003</c:v>
                </c:pt>
                <c:pt idx="32">
                  <c:v>11.623446557099996</c:v>
                </c:pt>
                <c:pt idx="33">
                  <c:v>2.095125947300005</c:v>
                </c:pt>
              </c:numCache>
            </c:numRef>
          </c:val>
          <c:smooth val="0"/>
          <c:extLst>
            <c:ext xmlns:c16="http://schemas.microsoft.com/office/drawing/2014/chart" uri="{C3380CC4-5D6E-409C-BE32-E72D297353CC}">
              <c16:uniqueId val="{00000001-B796-47F9-A0F4-B6C9EDBC4B22}"/>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2'!$A$38</c:f>
              <c:strCache>
                <c:ptCount val="1"/>
                <c:pt idx="0">
                  <c:v>Utilisation of prod. capacities (all industry)</c:v>
                </c:pt>
              </c:strCache>
            </c:strRef>
          </c:tx>
          <c:spPr>
            <a:ln w="15875">
              <a:solidFill>
                <a:schemeClr val="accent6">
                  <a:lumMod val="75000"/>
                </a:schemeClr>
              </a:solidFill>
            </a:ln>
          </c:spPr>
          <c:marker>
            <c:symbol val="none"/>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2'!$R$38:$AZ$38</c:f>
              <c:numCache>
                <c:formatCode>##0.0</c:formatCode>
                <c:ptCount val="35"/>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c:v>
                </c:pt>
                <c:pt idx="27">
                  <c:v>77.599999999999994</c:v>
                </c:pt>
                <c:pt idx="28">
                  <c:v>83.6</c:v>
                </c:pt>
                <c:pt idx="29">
                  <c:v>82.17</c:v>
                </c:pt>
                <c:pt idx="30">
                  <c:v>83.5</c:v>
                </c:pt>
                <c:pt idx="31">
                  <c:v>81.099999999999994</c:v>
                </c:pt>
                <c:pt idx="32">
                  <c:v>81.400000000000006</c:v>
                </c:pt>
                <c:pt idx="33">
                  <c:v>83.7</c:v>
                </c:pt>
                <c:pt idx="34">
                  <c:v>83.5</c:v>
                </c:pt>
              </c:numCache>
            </c:numRef>
          </c:val>
          <c:smooth val="0"/>
          <c:extLst>
            <c:ext xmlns:c16="http://schemas.microsoft.com/office/drawing/2014/chart" uri="{C3380CC4-5D6E-409C-BE32-E72D297353CC}">
              <c16:uniqueId val="{00000002-B796-47F9-A0F4-B6C9EDBC4B22}"/>
            </c:ext>
          </c:extLst>
        </c:ser>
        <c:ser>
          <c:idx val="3"/>
          <c:order val="3"/>
          <c:tx>
            <c:strRef>
              <c:f>'výkonnost odvětví 2'!$A$39</c:f>
              <c:strCache>
                <c:ptCount val="1"/>
                <c:pt idx="0">
                  <c:v>Utilisation of capacities (motor vehicles ind.)</c:v>
                </c:pt>
              </c:strCache>
            </c:strRef>
          </c:tx>
          <c:spPr>
            <a:ln w="15875">
              <a:solidFill>
                <a:schemeClr val="accent6">
                  <a:lumMod val="75000"/>
                </a:schemeClr>
              </a:solidFill>
              <a:prstDash val="sysDash"/>
            </a:ln>
          </c:spPr>
          <c:marker>
            <c:symbol val="none"/>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2'!$R$39:$AZ$39</c:f>
              <c:numCache>
                <c:formatCode>##0.0</c:formatCode>
                <c:ptCount val="35"/>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numCache>
            </c:numRef>
          </c:val>
          <c:smooth val="0"/>
          <c:extLst>
            <c:ext xmlns:c16="http://schemas.microsoft.com/office/drawing/2014/chart" uri="{C3380CC4-5D6E-409C-BE32-E72D297353CC}">
              <c16:uniqueId val="{00000003-B796-47F9-A0F4-B6C9EDBC4B22}"/>
            </c:ext>
          </c:extLst>
        </c:ser>
        <c:ser>
          <c:idx val="4"/>
          <c:order val="4"/>
          <c:tx>
            <c:strRef>
              <c:f>'výkonnost odvětví 2'!$A$40</c:f>
              <c:strCache>
                <c:ptCount val="1"/>
                <c:pt idx="0">
                  <c:v>Growth barrier: inadequate demand</c:v>
                </c:pt>
              </c:strCache>
            </c:strRef>
          </c:tx>
          <c:spPr>
            <a:ln w="15875">
              <a:solidFill>
                <a:srgbClr val="00B050"/>
              </a:solidFill>
              <a:prstDash val="solid"/>
            </a:ln>
          </c:spPr>
          <c:marker>
            <c:symbol val="none"/>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2'!$R$40:$AZ$40</c:f>
              <c:numCache>
                <c:formatCode>#\ ##0.0</c:formatCode>
                <c:ptCount val="35"/>
                <c:pt idx="0">
                  <c:v>45.3</c:v>
                </c:pt>
                <c:pt idx="1">
                  <c:v>49.6</c:v>
                </c:pt>
                <c:pt idx="2">
                  <c:v>49.7</c:v>
                </c:pt>
                <c:pt idx="3">
                  <c:v>46.4</c:v>
                </c:pt>
                <c:pt idx="4">
                  <c:v>45.9</c:v>
                </c:pt>
                <c:pt idx="5">
                  <c:v>44.6</c:v>
                </c:pt>
                <c:pt idx="6">
                  <c:v>43.8</c:v>
                </c:pt>
                <c:pt idx="7">
                  <c:v>42.9</c:v>
                </c:pt>
                <c:pt idx="8">
                  <c:v>42.7</c:v>
                </c:pt>
                <c:pt idx="9">
                  <c:v>41</c:v>
                </c:pt>
                <c:pt idx="10">
                  <c:v>41.2</c:v>
                </c:pt>
                <c:pt idx="11">
                  <c:v>35.799999999999997</c:v>
                </c:pt>
                <c:pt idx="12">
                  <c:v>35.4</c:v>
                </c:pt>
                <c:pt idx="13">
                  <c:v>36.299999999999997</c:v>
                </c:pt>
                <c:pt idx="14">
                  <c:v>32.4</c:v>
                </c:pt>
                <c:pt idx="15">
                  <c:v>32.9</c:v>
                </c:pt>
                <c:pt idx="16">
                  <c:v>33.799999999999997</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numCache>
            </c:numRef>
          </c:val>
          <c:smooth val="0"/>
          <c:extLst>
            <c:ext xmlns:c16="http://schemas.microsoft.com/office/drawing/2014/chart" uri="{C3380CC4-5D6E-409C-BE32-E72D297353CC}">
              <c16:uniqueId val="{00000004-B796-47F9-A0F4-B6C9EDBC4B22}"/>
            </c:ext>
          </c:extLst>
        </c:ser>
        <c:ser>
          <c:idx val="5"/>
          <c:order val="5"/>
          <c:tx>
            <c:strRef>
              <c:f>'výkonnost odvětví 2'!$A$41</c:f>
              <c:strCache>
                <c:ptCount val="1"/>
                <c:pt idx="0">
                  <c:v>Growth barrier: lack of workers</c:v>
                </c:pt>
              </c:strCache>
            </c:strRef>
          </c:tx>
          <c:spPr>
            <a:ln w="15875">
              <a:solidFill>
                <a:schemeClr val="accent3">
                  <a:lumMod val="75000"/>
                </a:schemeClr>
              </a:solidFill>
              <a:prstDash val="sysDash"/>
            </a:ln>
          </c:spPr>
          <c:marker>
            <c:symbol val="none"/>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2'!$R$41:$AZ$41</c:f>
              <c:numCache>
                <c:formatCode>#\ ##0.0</c:formatCode>
                <c:ptCount val="35"/>
                <c:pt idx="0">
                  <c:v>6.1</c:v>
                </c:pt>
                <c:pt idx="1">
                  <c:v>6.9</c:v>
                </c:pt>
                <c:pt idx="2">
                  <c:v>8.6999999999999993</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numCache>
            </c:numRef>
          </c:val>
          <c:smooth val="0"/>
          <c:extLst>
            <c:ext xmlns:c16="http://schemas.microsoft.com/office/drawing/2014/chart" uri="{C3380CC4-5D6E-409C-BE32-E72D297353CC}">
              <c16:uniqueId val="{00000005-B796-47F9-A0F4-B6C9EDBC4B22}"/>
            </c:ext>
          </c:extLst>
        </c:ser>
        <c:ser>
          <c:idx val="6"/>
          <c:order val="6"/>
          <c:tx>
            <c:strRef>
              <c:f>'výkonnost odvětví 2'!$A$42</c:f>
              <c:strCache>
                <c:ptCount val="1"/>
                <c:pt idx="0">
                  <c:v>Growth barrier: shortage of material/equip.</c:v>
                </c:pt>
              </c:strCache>
            </c:strRef>
          </c:tx>
          <c:spPr>
            <a:ln w="15875">
              <a:solidFill>
                <a:srgbClr val="1EB222"/>
              </a:solidFill>
              <a:prstDash val="dashDot"/>
            </a:ln>
          </c:spPr>
          <c:marker>
            <c:symbol val="none"/>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2'!$R$42:$AZ$42</c:f>
              <c:numCache>
                <c:formatCode>#\ ##0.0</c:formatCode>
                <c:ptCount val="35"/>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10.199999999999999</c:v>
                </c:pt>
                <c:pt idx="22">
                  <c:v>6.7</c:v>
                </c:pt>
                <c:pt idx="23">
                  <c:v>10.9</c:v>
                </c:pt>
                <c:pt idx="24">
                  <c:v>23.1</c:v>
                </c:pt>
                <c:pt idx="25">
                  <c:v>32.1</c:v>
                </c:pt>
                <c:pt idx="26">
                  <c:v>45.9</c:v>
                </c:pt>
                <c:pt idx="27">
                  <c:v>41.2</c:v>
                </c:pt>
                <c:pt idx="28">
                  <c:v>39.299999999999997</c:v>
                </c:pt>
                <c:pt idx="29">
                  <c:v>47.8</c:v>
                </c:pt>
                <c:pt idx="30">
                  <c:v>53.4</c:v>
                </c:pt>
                <c:pt idx="31">
                  <c:v>46.4</c:v>
                </c:pt>
                <c:pt idx="32">
                  <c:v>37.4</c:v>
                </c:pt>
                <c:pt idx="33">
                  <c:v>32.5</c:v>
                </c:pt>
                <c:pt idx="34">
                  <c:v>20.6</c:v>
                </c:pt>
              </c:numCache>
            </c:numRef>
          </c:val>
          <c:smooth val="0"/>
          <c:extLst>
            <c:ext xmlns:c16="http://schemas.microsoft.com/office/drawing/2014/chart" uri="{C3380CC4-5D6E-409C-BE32-E72D297353CC}">
              <c16:uniqueId val="{00000006-B796-47F9-A0F4-B6C9EDBC4B22}"/>
            </c:ext>
          </c:extLst>
        </c:ser>
        <c:ser>
          <c:idx val="7"/>
          <c:order val="7"/>
          <c:tx>
            <c:strRef>
              <c:f>'výkonnost odvětví 2'!$A$43</c:f>
              <c:strCache>
                <c:ptCount val="1"/>
                <c:pt idx="0">
                  <c:v>Total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2'!$R$34:$AZ$35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2'!$R$43:$AZ$43</c:f>
              <c:numCache>
                <c:formatCode>#\ ##0.0</c:formatCode>
                <c:ptCount val="35"/>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pt idx="29">
                  <c:v>8.3000000000000007</c:v>
                </c:pt>
                <c:pt idx="30">
                  <c:v>-1.7</c:v>
                </c:pt>
                <c:pt idx="31">
                  <c:v>-8.3000000000000007</c:v>
                </c:pt>
                <c:pt idx="32">
                  <c:v>-10.1</c:v>
                </c:pt>
                <c:pt idx="33">
                  <c:v>-7</c:v>
                </c:pt>
                <c:pt idx="34">
                  <c:v>-7</c:v>
                </c:pt>
              </c:numCache>
            </c:numRef>
          </c:val>
          <c:smooth val="0"/>
          <c:extLst>
            <c:ext xmlns:c16="http://schemas.microsoft.com/office/drawing/2014/chart" uri="{C3380CC4-5D6E-409C-BE32-E72D297353CC}">
              <c16:uniqueId val="{00000007-B796-47F9-A0F4-B6C9EDBC4B22}"/>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Orders</a:t>
                </a:r>
              </a:p>
            </c:rich>
          </c:tx>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Utilisation of prod</a:t>
                </a:r>
                <a:r>
                  <a:rPr lang="cs-CZ" sz="700" i="1">
                    <a:effectLst/>
                  </a:rPr>
                  <a:t>.</a:t>
                </a:r>
                <a:r>
                  <a:rPr lang="en-GB" sz="700" i="1">
                    <a:effectLst/>
                  </a:rPr>
                  <a:t> capacities, growth barriers, confidence</a:t>
                </a:r>
                <a:endParaRPr lang="cs-CZ" sz="700">
                  <a:effectLst/>
                </a:endParaRPr>
              </a:p>
            </c:rich>
          </c:tx>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623952307722555E-2"/>
          <c:y val="0.85586448957034"/>
          <c:w val="0.98342327494608206"/>
          <c:h val="0.14063307954958187"/>
        </c:manualLayout>
      </c:layout>
      <c:overlay val="0"/>
      <c:spPr>
        <a:ln w="6350">
          <a:solidFill>
            <a:prstClr val="black">
              <a:lumMod val="95000"/>
              <a:lumOff val="5000"/>
            </a:prstClr>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312E-2"/>
          <c:y val="1.5663550999370279E-2"/>
          <c:w val="0.85237839893753009"/>
          <c:h val="0.75413191483370345"/>
        </c:manualLayout>
      </c:layout>
      <c:barChart>
        <c:barDir val="col"/>
        <c:grouping val="stacked"/>
        <c:varyColors val="0"/>
        <c:ser>
          <c:idx val="1"/>
          <c:order val="1"/>
          <c:tx>
            <c:strRef>
              <c:f>'výkonnost odvětví 3'!$Y$10</c:f>
              <c:strCache>
                <c:ptCount val="1"/>
                <c:pt idx="0">
                  <c:v>Building construction (contribution)</c:v>
                </c:pt>
              </c:strCache>
            </c:strRef>
          </c:tx>
          <c:spPr>
            <a:solidFill>
              <a:schemeClr val="accent5">
                <a:lumMod val="60000"/>
                <a:lumOff val="40000"/>
              </a:schemeClr>
            </a:solidFill>
            <a:ln>
              <a:noFill/>
            </a:ln>
          </c:spPr>
          <c:invertIfNegative val="0"/>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3'!$Y$31:$Y$65</c:f>
              <c:numCache>
                <c:formatCode>0.0</c:formatCode>
                <c:ptCount val="35"/>
                <c:pt idx="0">
                  <c:v>6.1608280021117059</c:v>
                </c:pt>
                <c:pt idx="1">
                  <c:v>5.233145758167141</c:v>
                </c:pt>
                <c:pt idx="2">
                  <c:v>0.80759607612224849</c:v>
                </c:pt>
                <c:pt idx="3">
                  <c:v>-1.7801931736017562</c:v>
                </c:pt>
                <c:pt idx="4">
                  <c:v>-4.9260426394610795</c:v>
                </c:pt>
                <c:pt idx="5">
                  <c:v>-5.3893761554105222</c:v>
                </c:pt>
                <c:pt idx="6">
                  <c:v>0.86353074351830095</c:v>
                </c:pt>
                <c:pt idx="7">
                  <c:v>4.0249196212832841</c:v>
                </c:pt>
                <c:pt idx="8">
                  <c:v>1.9522274027606874</c:v>
                </c:pt>
                <c:pt idx="9">
                  <c:v>10.53618103638459</c:v>
                </c:pt>
                <c:pt idx="10">
                  <c:v>3.6081127397870372</c:v>
                </c:pt>
                <c:pt idx="11">
                  <c:v>2.5440603272321791</c:v>
                </c:pt>
                <c:pt idx="12">
                  <c:v>13.904954514953612</c:v>
                </c:pt>
                <c:pt idx="13">
                  <c:v>6.2181132474761158</c:v>
                </c:pt>
                <c:pt idx="14">
                  <c:v>7.7210558178298569</c:v>
                </c:pt>
                <c:pt idx="15">
                  <c:v>2.6259550657116648</c:v>
                </c:pt>
                <c:pt idx="16">
                  <c:v>2.9182336777181717</c:v>
                </c:pt>
                <c:pt idx="17">
                  <c:v>2.5364056565930473</c:v>
                </c:pt>
                <c:pt idx="18">
                  <c:v>-0.98563922125675008</c:v>
                </c:pt>
                <c:pt idx="19">
                  <c:v>2.5504281086949963</c:v>
                </c:pt>
                <c:pt idx="20">
                  <c:v>-0.49220764984023602</c:v>
                </c:pt>
                <c:pt idx="21">
                  <c:v>-7.4230457928670921</c:v>
                </c:pt>
                <c:pt idx="22">
                  <c:v>-7.0813271193038068</c:v>
                </c:pt>
                <c:pt idx="23">
                  <c:v>-8.6028814784154495</c:v>
                </c:pt>
                <c:pt idx="24">
                  <c:v>-5.1009695388914089</c:v>
                </c:pt>
                <c:pt idx="25">
                  <c:v>3.0560581093700785</c:v>
                </c:pt>
                <c:pt idx="26">
                  <c:v>3.0719025371360345</c:v>
                </c:pt>
                <c:pt idx="27">
                  <c:v>5.9460478744023355</c:v>
                </c:pt>
                <c:pt idx="28">
                  <c:v>7.6819685361320653</c:v>
                </c:pt>
                <c:pt idx="29">
                  <c:v>3.7814576445833739</c:v>
                </c:pt>
                <c:pt idx="30">
                  <c:v>-0.8532714293578485</c:v>
                </c:pt>
                <c:pt idx="31">
                  <c:v>-1.0455707862924815</c:v>
                </c:pt>
                <c:pt idx="32">
                  <c:v>1.2183773602147598</c:v>
                </c:pt>
                <c:pt idx="33">
                  <c:v>-1.442007466314668</c:v>
                </c:pt>
              </c:numCache>
            </c:numRef>
          </c:val>
          <c:extLst>
            <c:ext xmlns:c16="http://schemas.microsoft.com/office/drawing/2014/chart" uri="{C3380CC4-5D6E-409C-BE32-E72D297353CC}">
              <c16:uniqueId val="{00000000-12C0-4CBB-81B4-37CF6A8FB33E}"/>
            </c:ext>
          </c:extLst>
        </c:ser>
        <c:ser>
          <c:idx val="2"/>
          <c:order val="2"/>
          <c:tx>
            <c:strRef>
              <c:f>'výkonnost odvětví 3'!$Z$10</c:f>
              <c:strCache>
                <c:ptCount val="1"/>
                <c:pt idx="0">
                  <c:v>Civil engineering works (contribution)</c:v>
                </c:pt>
              </c:strCache>
            </c:strRef>
          </c:tx>
          <c:spPr>
            <a:solidFill>
              <a:schemeClr val="accent2">
                <a:lumMod val="60000"/>
                <a:lumOff val="40000"/>
              </a:schemeClr>
            </a:solidFill>
            <a:ln>
              <a:noFill/>
            </a:ln>
          </c:spPr>
          <c:invertIfNegative val="0"/>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3'!$Z$31:$Z$65</c:f>
              <c:numCache>
                <c:formatCode>0.0</c:formatCode>
                <c:ptCount val="35"/>
                <c:pt idx="0">
                  <c:v>3.0705403267338025</c:v>
                </c:pt>
                <c:pt idx="1">
                  <c:v>6.8741631874170235</c:v>
                </c:pt>
                <c:pt idx="2">
                  <c:v>6.9999177914089747</c:v>
                </c:pt>
                <c:pt idx="3">
                  <c:v>2.7886022034567057</c:v>
                </c:pt>
                <c:pt idx="4">
                  <c:v>-1.1526078736731089</c:v>
                </c:pt>
                <c:pt idx="5">
                  <c:v>-5.3513808653344856</c:v>
                </c:pt>
                <c:pt idx="6">
                  <c:v>-6.6686113975825858</c:v>
                </c:pt>
                <c:pt idx="7">
                  <c:v>-5.6971134882260328</c:v>
                </c:pt>
                <c:pt idx="8">
                  <c:v>-3.3555905673646329</c:v>
                </c:pt>
                <c:pt idx="9">
                  <c:v>-0.90415176747402504</c:v>
                </c:pt>
                <c:pt idx="10">
                  <c:v>-1.376901288471623</c:v>
                </c:pt>
                <c:pt idx="11">
                  <c:v>0.14984865454421992</c:v>
                </c:pt>
                <c:pt idx="12">
                  <c:v>1.8661234617319289</c:v>
                </c:pt>
                <c:pt idx="13">
                  <c:v>1.1653457222281625</c:v>
                </c:pt>
                <c:pt idx="14">
                  <c:v>4.7441915436444759</c:v>
                </c:pt>
                <c:pt idx="15">
                  <c:v>1.6256258958971179</c:v>
                </c:pt>
                <c:pt idx="16">
                  <c:v>0.73895008865178236</c:v>
                </c:pt>
                <c:pt idx="17">
                  <c:v>1.9508614834308369</c:v>
                </c:pt>
                <c:pt idx="18">
                  <c:v>0.52155296100802995</c:v>
                </c:pt>
                <c:pt idx="19">
                  <c:v>0.95967685432478556</c:v>
                </c:pt>
                <c:pt idx="20">
                  <c:v>3.1388269340693769</c:v>
                </c:pt>
                <c:pt idx="21">
                  <c:v>1.2056036060568245</c:v>
                </c:pt>
                <c:pt idx="22">
                  <c:v>-1.7953878786263235</c:v>
                </c:pt>
                <c:pt idx="23">
                  <c:v>0.41205027286168128</c:v>
                </c:pt>
                <c:pt idx="24">
                  <c:v>-3.6947321791003254E-2</c:v>
                </c:pt>
                <c:pt idx="25">
                  <c:v>0.86454694955435607</c:v>
                </c:pt>
                <c:pt idx="26">
                  <c:v>-0.16377223085432216</c:v>
                </c:pt>
                <c:pt idx="27">
                  <c:v>-0.95395400670827846</c:v>
                </c:pt>
                <c:pt idx="28">
                  <c:v>3.6238163873298963</c:v>
                </c:pt>
                <c:pt idx="29">
                  <c:v>0.20346823864492566</c:v>
                </c:pt>
                <c:pt idx="30">
                  <c:v>2.9020734708543463E-2</c:v>
                </c:pt>
                <c:pt idx="31">
                  <c:v>0.93743664957589101</c:v>
                </c:pt>
                <c:pt idx="32">
                  <c:v>-2.3836667110268435</c:v>
                </c:pt>
                <c:pt idx="33">
                  <c:v>-1.5467627595305431</c:v>
                </c:pt>
              </c:numCache>
            </c:numRef>
          </c:val>
          <c:extLst>
            <c:ext xmlns:c16="http://schemas.microsoft.com/office/drawing/2014/chart" uri="{C3380CC4-5D6E-409C-BE32-E72D297353CC}">
              <c16:uniqueId val="{00000001-12C0-4CBB-81B4-37CF6A8FB33E}"/>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Total construction output</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3'!$X$31:$X$65</c:f>
              <c:numCache>
                <c:formatCode>0.0</c:formatCode>
                <c:ptCount val="35"/>
                <c:pt idx="0">
                  <c:v>9.2313683288455053</c:v>
                </c:pt>
                <c:pt idx="1">
                  <c:v>12.107308945584165</c:v>
                </c:pt>
                <c:pt idx="2">
                  <c:v>7.807513867531199</c:v>
                </c:pt>
                <c:pt idx="3">
                  <c:v>1.0084090298549313</c:v>
                </c:pt>
                <c:pt idx="4">
                  <c:v>-6.0786505131341926</c:v>
                </c:pt>
                <c:pt idx="5">
                  <c:v>-10.740757020745008</c:v>
                </c:pt>
                <c:pt idx="6">
                  <c:v>-5.8050806540642697</c:v>
                </c:pt>
                <c:pt idx="7">
                  <c:v>-1.6721938669427345</c:v>
                </c:pt>
                <c:pt idx="8">
                  <c:v>-1.4033631646039169</c:v>
                </c:pt>
                <c:pt idx="9">
                  <c:v>9.6320292689105571</c:v>
                </c:pt>
                <c:pt idx="10">
                  <c:v>2.2312114513154171</c:v>
                </c:pt>
                <c:pt idx="11">
                  <c:v>2.6939089817763744</c:v>
                </c:pt>
                <c:pt idx="12">
                  <c:v>15.771077976685532</c:v>
                </c:pt>
                <c:pt idx="13">
                  <c:v>7.3834589697042929</c:v>
                </c:pt>
                <c:pt idx="14">
                  <c:v>12.465247361474326</c:v>
                </c:pt>
                <c:pt idx="15">
                  <c:v>4.2515809616087807</c:v>
                </c:pt>
                <c:pt idx="16">
                  <c:v>3.6571837663699256</c:v>
                </c:pt>
                <c:pt idx="17">
                  <c:v>4.4872671400238744</c:v>
                </c:pt>
                <c:pt idx="18">
                  <c:v>-0.46408626024870614</c:v>
                </c:pt>
                <c:pt idx="19">
                  <c:v>3.5101049630197991</c:v>
                </c:pt>
                <c:pt idx="20">
                  <c:v>2.6466192842291605</c:v>
                </c:pt>
                <c:pt idx="21">
                  <c:v>-6.2174421868102741</c:v>
                </c:pt>
                <c:pt idx="22">
                  <c:v>-8.8767149979301365</c:v>
                </c:pt>
                <c:pt idx="23">
                  <c:v>-8.1908312055537777</c:v>
                </c:pt>
                <c:pt idx="24">
                  <c:v>-5.1379168606824095</c:v>
                </c:pt>
                <c:pt idx="25">
                  <c:v>3.920605058924437</c:v>
                </c:pt>
                <c:pt idx="26">
                  <c:v>2.9081303062816914</c:v>
                </c:pt>
                <c:pt idx="27">
                  <c:v>4.9920938676940523</c:v>
                </c:pt>
                <c:pt idx="28">
                  <c:v>11.305784923461971</c:v>
                </c:pt>
                <c:pt idx="29">
                  <c:v>3.9849258832282999</c:v>
                </c:pt>
                <c:pt idx="30">
                  <c:v>-0.82425069464929379</c:v>
                </c:pt>
                <c:pt idx="31">
                  <c:v>-0.10813413671660044</c:v>
                </c:pt>
                <c:pt idx="32">
                  <c:v>-1.1652893508120883</c:v>
                </c:pt>
                <c:pt idx="33">
                  <c:v>-2.9887702258452151</c:v>
                </c:pt>
              </c:numCache>
            </c:numRef>
          </c:val>
          <c:smooth val="0"/>
          <c:extLst>
            <c:ext xmlns:c16="http://schemas.microsoft.com/office/drawing/2014/chart" uri="{C3380CC4-5D6E-409C-BE32-E72D297353CC}">
              <c16:uniqueId val="{00000002-12C0-4CBB-81B4-37CF6A8FB33E}"/>
            </c:ext>
          </c:extLst>
        </c:ser>
        <c:ser>
          <c:idx val="3"/>
          <c:order val="3"/>
          <c:tx>
            <c:strRef>
              <c:f>'výkonnost odvětví 3'!$AA$10</c:f>
              <c:strCache>
                <c:ptCount val="1"/>
                <c:pt idx="0">
                  <c:v>New domestic construction orders</c:v>
                </c:pt>
              </c:strCache>
            </c:strRef>
          </c:tx>
          <c:spPr>
            <a:ln w="15875">
              <a:solidFill>
                <a:srgbClr val="984807"/>
              </a:solidFill>
            </a:ln>
          </c:spPr>
          <c:marker>
            <c:symbol val="none"/>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3'!$AA$31:$AA$65</c:f>
              <c:numCache>
                <c:formatCode>0.0</c:formatCode>
                <c:ptCount val="35"/>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28.856340981154403</c:v>
                </c:pt>
                <c:pt idx="25">
                  <c:v>22.047871359987184</c:v>
                </c:pt>
                <c:pt idx="26">
                  <c:v>10.015015612184257</c:v>
                </c:pt>
                <c:pt idx="27">
                  <c:v>1.0053213537781147</c:v>
                </c:pt>
                <c:pt idx="28">
                  <c:v>13.067478460417874</c:v>
                </c:pt>
                <c:pt idx="29">
                  <c:v>17.619163607261129</c:v>
                </c:pt>
                <c:pt idx="30">
                  <c:v>12.421954480552543</c:v>
                </c:pt>
                <c:pt idx="31">
                  <c:v>13.031852753748723</c:v>
                </c:pt>
                <c:pt idx="32">
                  <c:v>-11.830812069596632</c:v>
                </c:pt>
                <c:pt idx="33">
                  <c:v>-18.746380023175078</c:v>
                </c:pt>
              </c:numCache>
            </c:numRef>
          </c:val>
          <c:smooth val="0"/>
          <c:extLst>
            <c:ext xmlns:c16="http://schemas.microsoft.com/office/drawing/2014/chart" uri="{C3380CC4-5D6E-409C-BE32-E72D297353CC}">
              <c16:uniqueId val="{00000003-12C0-4CBB-81B4-37CF6A8FB33E}"/>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4"/>
          <c:order val="4"/>
          <c:tx>
            <c:strRef>
              <c:f>'výkonnost odvětví 3'!$AB$10</c:f>
              <c:strCache>
                <c:ptCount val="1"/>
                <c:pt idx="0">
                  <c:v>Barrier: inadequate demand</c:v>
                </c:pt>
              </c:strCache>
            </c:strRef>
          </c:tx>
          <c:spPr>
            <a:ln w="15875">
              <a:solidFill>
                <a:srgbClr val="00B050"/>
              </a:solidFill>
              <a:prstDash val="solid"/>
            </a:ln>
          </c:spPr>
          <c:marker>
            <c:symbol val="none"/>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3'!$AB$31:$AB$65</c:f>
              <c:numCache>
                <c:formatCode>#\ ##0.0</c:formatCode>
                <c:ptCount val="35"/>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32.299999999999997</c:v>
                </c:pt>
                <c:pt idx="34">
                  <c:v>36.299999999999997</c:v>
                </c:pt>
              </c:numCache>
            </c:numRef>
          </c:val>
          <c:smooth val="0"/>
          <c:extLst>
            <c:ext xmlns:c16="http://schemas.microsoft.com/office/drawing/2014/chart" uri="{C3380CC4-5D6E-409C-BE32-E72D297353CC}">
              <c16:uniqueId val="{00000004-12C0-4CBB-81B4-37CF6A8FB33E}"/>
            </c:ext>
          </c:extLst>
        </c:ser>
        <c:ser>
          <c:idx val="5"/>
          <c:order val="5"/>
          <c:tx>
            <c:strRef>
              <c:f>'výkonnost odvětví 3'!$AC$10</c:f>
              <c:strCache>
                <c:ptCount val="1"/>
                <c:pt idx="0">
                  <c:v>Growth barrier: lack of workers</c:v>
                </c:pt>
              </c:strCache>
            </c:strRef>
          </c:tx>
          <c:spPr>
            <a:ln w="15875">
              <a:solidFill>
                <a:srgbClr val="00B050"/>
              </a:solidFill>
              <a:prstDash val="dash"/>
            </a:ln>
          </c:spPr>
          <c:marker>
            <c:symbol val="none"/>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3'!$AC$31:$AC$65</c:f>
              <c:numCache>
                <c:formatCode>#\ ##0.0</c:formatCode>
                <c:ptCount val="35"/>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35.299999999999997</c:v>
                </c:pt>
                <c:pt idx="23" formatCode="0.0">
                  <c:v>31.9</c:v>
                </c:pt>
                <c:pt idx="24">
                  <c:v>48.6</c:v>
                </c:pt>
                <c:pt idx="25">
                  <c:v>31.6</c:v>
                </c:pt>
                <c:pt idx="26">
                  <c:v>40.700000000000003</c:v>
                </c:pt>
                <c:pt idx="27">
                  <c:v>42</c:v>
                </c:pt>
                <c:pt idx="28">
                  <c:v>57.7</c:v>
                </c:pt>
                <c:pt idx="29">
                  <c:v>44.4</c:v>
                </c:pt>
                <c:pt idx="30">
                  <c:v>39.1</c:v>
                </c:pt>
                <c:pt idx="31">
                  <c:v>46.7</c:v>
                </c:pt>
                <c:pt idx="32">
                  <c:v>39.9</c:v>
                </c:pt>
                <c:pt idx="33">
                  <c:v>35.5</c:v>
                </c:pt>
                <c:pt idx="34">
                  <c:v>30.1</c:v>
                </c:pt>
              </c:numCache>
            </c:numRef>
          </c:val>
          <c:smooth val="0"/>
          <c:extLst>
            <c:ext xmlns:c16="http://schemas.microsoft.com/office/drawing/2014/chart" uri="{C3380CC4-5D6E-409C-BE32-E72D297353CC}">
              <c16:uniqueId val="{00000005-12C0-4CBB-81B4-37CF6A8FB33E}"/>
            </c:ext>
          </c:extLst>
        </c:ser>
        <c:ser>
          <c:idx val="6"/>
          <c:order val="6"/>
          <c:tx>
            <c:strRef>
              <c:f>'výkonnost odvětví 3'!$AD$10</c:f>
              <c:strCache>
                <c:ptCount val="1"/>
                <c:pt idx="0">
                  <c:v>Barrier: shortage of material/equipment</c:v>
                </c:pt>
              </c:strCache>
            </c:strRef>
          </c:tx>
          <c:spPr>
            <a:ln w="15875">
              <a:solidFill>
                <a:srgbClr val="37DD3B"/>
              </a:solidFill>
              <a:prstDash val="sysDash"/>
            </a:ln>
          </c:spPr>
          <c:marker>
            <c:symbol val="none"/>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3'!$AD$31:$AD$65</c:f>
              <c:numCache>
                <c:formatCode>#\ ##0.0</c:formatCode>
                <c:ptCount val="35"/>
                <c:pt idx="0">
                  <c:v>0.1</c:v>
                </c:pt>
                <c:pt idx="1">
                  <c:v>0.4</c:v>
                </c:pt>
                <c:pt idx="2">
                  <c:v>4</c:v>
                </c:pt>
                <c:pt idx="3">
                  <c:v>0.5</c:v>
                </c:pt>
                <c:pt idx="4">
                  <c:v>0.4</c:v>
                </c:pt>
                <c:pt idx="5">
                  <c:v>0.5</c:v>
                </c:pt>
                <c:pt idx="6">
                  <c:v>0.5</c:v>
                </c:pt>
                <c:pt idx="7">
                  <c:v>1.5</c:v>
                </c:pt>
                <c:pt idx="8">
                  <c:v>0.3</c:v>
                </c:pt>
                <c:pt idx="9">
                  <c:v>0.3</c:v>
                </c:pt>
                <c:pt idx="10">
                  <c:v>3.3</c:v>
                </c:pt>
                <c:pt idx="11">
                  <c:v>4.2</c:v>
                </c:pt>
                <c:pt idx="12">
                  <c:v>5.5</c:v>
                </c:pt>
                <c:pt idx="13">
                  <c:v>1.2</c:v>
                </c:pt>
                <c:pt idx="14">
                  <c:v>6.8</c:v>
                </c:pt>
                <c:pt idx="15">
                  <c:v>3.5</c:v>
                </c:pt>
                <c:pt idx="16">
                  <c:v>4.3</c:v>
                </c:pt>
                <c:pt idx="17">
                  <c:v>5.7</c:v>
                </c:pt>
                <c:pt idx="18">
                  <c:v>5.3</c:v>
                </c:pt>
                <c:pt idx="19">
                  <c:v>4</c:v>
                </c:pt>
                <c:pt idx="20">
                  <c:v>1.9</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numCache>
            </c:numRef>
          </c:val>
          <c:smooth val="0"/>
          <c:extLst>
            <c:ext xmlns:c16="http://schemas.microsoft.com/office/drawing/2014/chart" uri="{C3380CC4-5D6E-409C-BE32-E72D297353CC}">
              <c16:uniqueId val="{00000006-12C0-4CBB-81B4-37CF6A8FB33E}"/>
            </c:ext>
          </c:extLst>
        </c:ser>
        <c:ser>
          <c:idx val="7"/>
          <c:order val="7"/>
          <c:tx>
            <c:strRef>
              <c:f>'výkonnost odvětví 3'!$AE$10</c:f>
              <c:strCache>
                <c:ptCount val="1"/>
                <c:pt idx="0">
                  <c:v>Confidence indicator in construction</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3'!$V$31:$W$65</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3'!$AE$31:$AE$65</c:f>
              <c:numCache>
                <c:formatCode>0.0</c:formatCode>
                <c:ptCount val="35"/>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numCache>
            </c:numRef>
          </c:val>
          <c:smooth val="0"/>
          <c:extLst>
            <c:ext xmlns:c16="http://schemas.microsoft.com/office/drawing/2014/chart" uri="{C3380CC4-5D6E-409C-BE32-E72D297353CC}">
              <c16:uniqueId val="{00000007-12C0-4CBB-81B4-37CF6A8FB33E}"/>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Orders, Construction output (contribution to growth)</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0"/>
      </c:valAx>
      <c:valAx>
        <c:axId val="1118080463"/>
        <c:scaling>
          <c:orientation val="minMax"/>
          <c:max val="100"/>
          <c:min val="-1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effectLst/>
                    <a:latin typeface="Arial" panose="020B0604020202020204" pitchFamily="34" charset="0"/>
                    <a:cs typeface="Arial" panose="020B0604020202020204" pitchFamily="34" charset="0"/>
                  </a:rPr>
                  <a:t>C</a:t>
                </a:r>
                <a:r>
                  <a:rPr lang="en-GB" sz="700" b="0" i="1">
                    <a:effectLst/>
                    <a:latin typeface="Arial" panose="020B0604020202020204" pitchFamily="34" charset="0"/>
                    <a:cs typeface="Arial" panose="020B0604020202020204" pitchFamily="34" charset="0"/>
                  </a:rPr>
                  <a:t>onfidence indicator, Growth barriers</a:t>
                </a:r>
                <a:endParaRPr lang="cs-CZ" sz="700" b="0">
                  <a:effectLst/>
                  <a:latin typeface="Arial" panose="020B0604020202020204" pitchFamily="34" charset="0"/>
                  <a:cs typeface="Arial" panose="020B0604020202020204" pitchFamily="34" charset="0"/>
                </a:endParaRP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20"/>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850105788531439E-2"/>
          <c:y val="0.86289673926033716"/>
          <c:w val="0.96925714241885397"/>
          <c:h val="0.1336282177894255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2669172932331E-2"/>
          <c:y val="1.5803328678987455E-2"/>
          <c:w val="0.84775483743554747"/>
          <c:h val="0.69902590308489432"/>
        </c:manualLayout>
      </c:layout>
      <c:barChart>
        <c:barDir val="col"/>
        <c:grouping val="stacked"/>
        <c:varyColors val="0"/>
        <c:ser>
          <c:idx val="0"/>
          <c:order val="1"/>
          <c:tx>
            <c:strRef>
              <c:f>'Služby-příspěvkyk růstu-4'!$D$33</c:f>
              <c:strCache>
                <c:ptCount val="1"/>
                <c:pt idx="0">
                  <c:v>Transportation &amp; storage (contribution)</c:v>
                </c:pt>
              </c:strCache>
            </c:strRef>
          </c:tx>
          <c:spPr>
            <a:solidFill>
              <a:srgbClr val="92D050"/>
            </a:solidFill>
            <a:ln>
              <a:noFill/>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růstu-4'!$D$46:$D$80</c:f>
              <c:numCache>
                <c:formatCode>0.0</c:formatCode>
                <c:ptCount val="35"/>
                <c:pt idx="0">
                  <c:v>0.17627373165999941</c:v>
                </c:pt>
                <c:pt idx="1">
                  <c:v>-4.1398260783598456E-2</c:v>
                </c:pt>
                <c:pt idx="2">
                  <c:v>0.20127676583260182</c:v>
                </c:pt>
                <c:pt idx="3">
                  <c:v>4.2331882175001848E-2</c:v>
                </c:pt>
                <c:pt idx="4">
                  <c:v>0.2604828945619988</c:v>
                </c:pt>
                <c:pt idx="5">
                  <c:v>0.2004471947790982</c:v>
                </c:pt>
                <c:pt idx="6">
                  <c:v>0.14004615678000035</c:v>
                </c:pt>
                <c:pt idx="7">
                  <c:v>0.860592831148001</c:v>
                </c:pt>
                <c:pt idx="8">
                  <c:v>1.6559965627289983</c:v>
                </c:pt>
                <c:pt idx="9">
                  <c:v>1.093454887462999</c:v>
                </c:pt>
                <c:pt idx="10">
                  <c:v>1.1374484601479997</c:v>
                </c:pt>
                <c:pt idx="11">
                  <c:v>0.60470809717899932</c:v>
                </c:pt>
                <c:pt idx="12">
                  <c:v>1.7518533558900011</c:v>
                </c:pt>
                <c:pt idx="13">
                  <c:v>1.9191714775479998</c:v>
                </c:pt>
                <c:pt idx="14">
                  <c:v>1.4689069805629986</c:v>
                </c:pt>
                <c:pt idx="15">
                  <c:v>0.49822211685500045</c:v>
                </c:pt>
                <c:pt idx="16">
                  <c:v>0.75210969494300106</c:v>
                </c:pt>
                <c:pt idx="17">
                  <c:v>-7.8943058121998602E-2</c:v>
                </c:pt>
                <c:pt idx="18">
                  <c:v>-0.67615596099700137</c:v>
                </c:pt>
                <c:pt idx="19">
                  <c:v>-0.53883087511919869</c:v>
                </c:pt>
                <c:pt idx="20">
                  <c:v>-1.7873099078691994</c:v>
                </c:pt>
                <c:pt idx="21">
                  <c:v>-6.8790162520431002</c:v>
                </c:pt>
                <c:pt idx="22">
                  <c:v>-4.2156758486250006</c:v>
                </c:pt>
                <c:pt idx="23">
                  <c:v>-1.7596921701599992</c:v>
                </c:pt>
                <c:pt idx="24">
                  <c:v>-0.15017138784059969</c:v>
                </c:pt>
                <c:pt idx="25">
                  <c:v>6.9506599035744001</c:v>
                </c:pt>
                <c:pt idx="26">
                  <c:v>4.0996709945155994</c:v>
                </c:pt>
                <c:pt idx="27">
                  <c:v>4.5444705336066278</c:v>
                </c:pt>
                <c:pt idx="28">
                  <c:v>4.6413485285034968</c:v>
                </c:pt>
                <c:pt idx="29">
                  <c:v>4.7978183130189853</c:v>
                </c:pt>
                <c:pt idx="30">
                  <c:v>3.7715119455304702</c:v>
                </c:pt>
                <c:pt idx="31">
                  <c:v>-0.10260527547599901</c:v>
                </c:pt>
                <c:pt idx="32">
                  <c:v>-1.3478319744959981</c:v>
                </c:pt>
                <c:pt idx="33">
                  <c:v>-3.6318517020952465</c:v>
                </c:pt>
              </c:numCache>
            </c:numRef>
          </c:val>
          <c:extLst>
            <c:ext xmlns:c16="http://schemas.microsoft.com/office/drawing/2014/chart" uri="{C3380CC4-5D6E-409C-BE32-E72D297353CC}">
              <c16:uniqueId val="{00000000-93B7-41C3-A7CD-06C10D592C42}"/>
            </c:ext>
          </c:extLst>
        </c:ser>
        <c:ser>
          <c:idx val="1"/>
          <c:order val="2"/>
          <c:tx>
            <c:strRef>
              <c:f>'Služby-příspěvkyk růstu-4'!$E$33</c:f>
              <c:strCache>
                <c:ptCount val="1"/>
                <c:pt idx="0">
                  <c:v>Accommodation, food service (contribution)</c:v>
                </c:pt>
              </c:strCache>
            </c:strRef>
          </c:tx>
          <c:spPr>
            <a:solidFill>
              <a:srgbClr val="00B0F0"/>
            </a:solidFill>
            <a:ln>
              <a:noFill/>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růstu-4'!$E$46:$E$80</c:f>
              <c:numCache>
                <c:formatCode>0.0</c:formatCode>
                <c:ptCount val="35"/>
                <c:pt idx="0">
                  <c:v>0.23064326026020021</c:v>
                </c:pt>
                <c:pt idx="1">
                  <c:v>0.65490030172000013</c:v>
                </c:pt>
                <c:pt idx="2">
                  <c:v>0.65615704203699965</c:v>
                </c:pt>
                <c:pt idx="3">
                  <c:v>0.40198126828160025</c:v>
                </c:pt>
                <c:pt idx="4">
                  <c:v>0.47264498177679992</c:v>
                </c:pt>
                <c:pt idx="5">
                  <c:v>0.16809598308499973</c:v>
                </c:pt>
                <c:pt idx="6">
                  <c:v>0.56785028038259988</c:v>
                </c:pt>
                <c:pt idx="7">
                  <c:v>0.60026021753880032</c:v>
                </c:pt>
                <c:pt idx="8">
                  <c:v>0.9071617575674995</c:v>
                </c:pt>
                <c:pt idx="9">
                  <c:v>1.2351843183736004</c:v>
                </c:pt>
                <c:pt idx="10">
                  <c:v>0.55372633890920031</c:v>
                </c:pt>
                <c:pt idx="11">
                  <c:v>0.45414701226059961</c:v>
                </c:pt>
                <c:pt idx="12">
                  <c:v>0.20562277238639989</c:v>
                </c:pt>
                <c:pt idx="13">
                  <c:v>4.6481198053399883E-2</c:v>
                </c:pt>
                <c:pt idx="14">
                  <c:v>5.8790755202600166E-2</c:v>
                </c:pt>
                <c:pt idx="15">
                  <c:v>-3.8611122396599744E-2</c:v>
                </c:pt>
                <c:pt idx="16">
                  <c:v>0.19877668230760023</c:v>
                </c:pt>
                <c:pt idx="17">
                  <c:v>0.19106550885020049</c:v>
                </c:pt>
                <c:pt idx="18">
                  <c:v>-2.1031638824599897E-2</c:v>
                </c:pt>
                <c:pt idx="19">
                  <c:v>-1.8881872245599823E-2</c:v>
                </c:pt>
                <c:pt idx="20">
                  <c:v>-1.157864857912162</c:v>
                </c:pt>
                <c:pt idx="21">
                  <c:v>-4.9674966649835008</c:v>
                </c:pt>
                <c:pt idx="22">
                  <c:v>-1.9520417393251031</c:v>
                </c:pt>
                <c:pt idx="23">
                  <c:v>-4.5017067627894241</c:v>
                </c:pt>
                <c:pt idx="24">
                  <c:v>-3.6933845036437498</c:v>
                </c:pt>
                <c:pt idx="25">
                  <c:v>1.372408212714985</c:v>
                </c:pt>
                <c:pt idx="26">
                  <c:v>0.63617916285749976</c:v>
                </c:pt>
                <c:pt idx="27">
                  <c:v>2.8391165022808131</c:v>
                </c:pt>
                <c:pt idx="28">
                  <c:v>2.9561078391669002</c:v>
                </c:pt>
                <c:pt idx="29">
                  <c:v>2.6813701390722935</c:v>
                </c:pt>
                <c:pt idx="30">
                  <c:v>-0.42126370124067808</c:v>
                </c:pt>
                <c:pt idx="31">
                  <c:v>0.60066614945780028</c:v>
                </c:pt>
                <c:pt idx="32">
                  <c:v>0.54106440281159984</c:v>
                </c:pt>
                <c:pt idx="33">
                  <c:v>3.7104883741050136E-2</c:v>
                </c:pt>
              </c:numCache>
            </c:numRef>
          </c:val>
          <c:extLst>
            <c:ext xmlns:c16="http://schemas.microsoft.com/office/drawing/2014/chart" uri="{C3380CC4-5D6E-409C-BE32-E72D297353CC}">
              <c16:uniqueId val="{00000001-93B7-41C3-A7CD-06C10D592C42}"/>
            </c:ext>
          </c:extLst>
        </c:ser>
        <c:ser>
          <c:idx val="2"/>
          <c:order val="3"/>
          <c:tx>
            <c:strRef>
              <c:f>'Služby-příspěvkyk růstu-4'!$F$33</c:f>
              <c:strCache>
                <c:ptCount val="1"/>
                <c:pt idx="0">
                  <c:v>Information &amp; communication (contribution)</c:v>
                </c:pt>
              </c:strCache>
            </c:strRef>
          </c:tx>
          <c:spPr>
            <a:solidFill>
              <a:srgbClr val="E6E100"/>
            </a:solidFill>
            <a:ln>
              <a:noFill/>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růstu-4'!$F$46:$F$80</c:f>
              <c:numCache>
                <c:formatCode>0.0</c:formatCode>
                <c:ptCount val="35"/>
                <c:pt idx="0">
                  <c:v>1.4083798915137009</c:v>
                </c:pt>
                <c:pt idx="1">
                  <c:v>0.82540650715499964</c:v>
                </c:pt>
                <c:pt idx="2">
                  <c:v>0.80424272675400077</c:v>
                </c:pt>
                <c:pt idx="3">
                  <c:v>1.3174140502479994</c:v>
                </c:pt>
                <c:pt idx="4">
                  <c:v>0.35985664064800121</c:v>
                </c:pt>
                <c:pt idx="5">
                  <c:v>0.1575138368199987</c:v>
                </c:pt>
                <c:pt idx="6">
                  <c:v>0.32598498922399954</c:v>
                </c:pt>
                <c:pt idx="7">
                  <c:v>0.17761340848900062</c:v>
                </c:pt>
                <c:pt idx="8">
                  <c:v>0.76438636704000096</c:v>
                </c:pt>
                <c:pt idx="9">
                  <c:v>0.98207704425299935</c:v>
                </c:pt>
                <c:pt idx="10">
                  <c:v>0.7709388166100013</c:v>
                </c:pt>
                <c:pt idx="11">
                  <c:v>0.58294315828299903</c:v>
                </c:pt>
                <c:pt idx="12">
                  <c:v>1.4398200028309998</c:v>
                </c:pt>
                <c:pt idx="13">
                  <c:v>0.76531943813199921</c:v>
                </c:pt>
                <c:pt idx="14">
                  <c:v>1.415831001736001</c:v>
                </c:pt>
                <c:pt idx="15">
                  <c:v>0.98684323348800107</c:v>
                </c:pt>
                <c:pt idx="16">
                  <c:v>1.2348474246799988</c:v>
                </c:pt>
                <c:pt idx="17">
                  <c:v>1.1603884990619995</c:v>
                </c:pt>
                <c:pt idx="18">
                  <c:v>0.91591834325400012</c:v>
                </c:pt>
                <c:pt idx="19">
                  <c:v>1.1621880049516005</c:v>
                </c:pt>
                <c:pt idx="20">
                  <c:v>0.8191341781949999</c:v>
                </c:pt>
                <c:pt idx="21">
                  <c:v>1.3223529237600361E-2</c:v>
                </c:pt>
                <c:pt idx="22">
                  <c:v>-0.20840783961799986</c:v>
                </c:pt>
                <c:pt idx="23">
                  <c:v>-0.54142483054800161</c:v>
                </c:pt>
                <c:pt idx="24">
                  <c:v>0.71316924858200104</c:v>
                </c:pt>
                <c:pt idx="25">
                  <c:v>1.548640695590165</c:v>
                </c:pt>
                <c:pt idx="26">
                  <c:v>1.4405780988855996</c:v>
                </c:pt>
                <c:pt idx="27">
                  <c:v>1.9065499671602735</c:v>
                </c:pt>
                <c:pt idx="28">
                  <c:v>1.4241015860772992</c:v>
                </c:pt>
                <c:pt idx="29">
                  <c:v>0.86579080876800041</c:v>
                </c:pt>
                <c:pt idx="30">
                  <c:v>0.69569690090645042</c:v>
                </c:pt>
                <c:pt idx="31">
                  <c:v>0.23551368312941098</c:v>
                </c:pt>
                <c:pt idx="32">
                  <c:v>0.50979013389719985</c:v>
                </c:pt>
                <c:pt idx="33">
                  <c:v>-0.21067253915528883</c:v>
                </c:pt>
              </c:numCache>
            </c:numRef>
          </c:val>
          <c:extLst>
            <c:ext xmlns:c16="http://schemas.microsoft.com/office/drawing/2014/chart" uri="{C3380CC4-5D6E-409C-BE32-E72D297353CC}">
              <c16:uniqueId val="{00000002-93B7-41C3-A7CD-06C10D592C42}"/>
            </c:ext>
          </c:extLst>
        </c:ser>
        <c:ser>
          <c:idx val="4"/>
          <c:order val="4"/>
          <c:tx>
            <c:strRef>
              <c:f>'Služby-příspěvkyk růstu-4'!$G$33</c:f>
              <c:strCache>
                <c:ptCount val="1"/>
                <c:pt idx="0">
                  <c:v>Real estate activities (contribution)</c:v>
                </c:pt>
              </c:strCache>
            </c:strRef>
          </c:tx>
          <c:spPr>
            <a:solidFill>
              <a:schemeClr val="accent5">
                <a:lumMod val="60000"/>
                <a:lumOff val="40000"/>
              </a:schemeClr>
            </a:solidFill>
            <a:ln>
              <a:noFill/>
              <a:prstDash val="sysDash"/>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růstu-4'!$G$46:$G$80</c:f>
              <c:numCache>
                <c:formatCode>0.0</c:formatCode>
                <c:ptCount val="35"/>
                <c:pt idx="0">
                  <c:v>4.7588818498199993E-2</c:v>
                </c:pt>
                <c:pt idx="1">
                  <c:v>-7.3007550905993803E-3</c:v>
                </c:pt>
                <c:pt idx="2">
                  <c:v>0.12810762983039936</c:v>
                </c:pt>
                <c:pt idx="3">
                  <c:v>2.4617916117599462E-2</c:v>
                </c:pt>
                <c:pt idx="4">
                  <c:v>0.25752090895739993</c:v>
                </c:pt>
                <c:pt idx="5">
                  <c:v>-4.2228184845005496E-3</c:v>
                </c:pt>
                <c:pt idx="6">
                  <c:v>0.1499318310138007</c:v>
                </c:pt>
                <c:pt idx="7">
                  <c:v>-6.6530028186599532E-2</c:v>
                </c:pt>
                <c:pt idx="8">
                  <c:v>0.20977398058900024</c:v>
                </c:pt>
                <c:pt idx="9">
                  <c:v>0.44953617213779962</c:v>
                </c:pt>
                <c:pt idx="10">
                  <c:v>-2.2338348474500478E-2</c:v>
                </c:pt>
                <c:pt idx="11">
                  <c:v>0.13984723093739981</c:v>
                </c:pt>
                <c:pt idx="12">
                  <c:v>2.6966101253399585E-2</c:v>
                </c:pt>
                <c:pt idx="13">
                  <c:v>-0.24884766500039976</c:v>
                </c:pt>
                <c:pt idx="14">
                  <c:v>-0.12645184379759991</c:v>
                </c:pt>
                <c:pt idx="15">
                  <c:v>-0.22378801642200052</c:v>
                </c:pt>
                <c:pt idx="16">
                  <c:v>0.14753986907940025</c:v>
                </c:pt>
                <c:pt idx="17">
                  <c:v>-7.379708629200365E-3</c:v>
                </c:pt>
                <c:pt idx="18">
                  <c:v>-0.23287434101939938</c:v>
                </c:pt>
                <c:pt idx="19">
                  <c:v>-0.10147037326200034</c:v>
                </c:pt>
                <c:pt idx="20">
                  <c:v>0.42431890762080055</c:v>
                </c:pt>
                <c:pt idx="21">
                  <c:v>-0.29919163957060046</c:v>
                </c:pt>
                <c:pt idx="22">
                  <c:v>-0.26426338474666694</c:v>
                </c:pt>
                <c:pt idx="23">
                  <c:v>-0.23118426949069976</c:v>
                </c:pt>
                <c:pt idx="24">
                  <c:v>-0.2008543847649007</c:v>
                </c:pt>
                <c:pt idx="25">
                  <c:v>0.43434705815385044</c:v>
                </c:pt>
                <c:pt idx="26">
                  <c:v>2.9423998310004152E-3</c:v>
                </c:pt>
                <c:pt idx="27">
                  <c:v>0.23837123738399993</c:v>
                </c:pt>
                <c:pt idx="28">
                  <c:v>0.9317798842872006</c:v>
                </c:pt>
                <c:pt idx="29">
                  <c:v>0.47103938028000014</c:v>
                </c:pt>
                <c:pt idx="30">
                  <c:v>0.2414818328289475</c:v>
                </c:pt>
                <c:pt idx="31">
                  <c:v>0.36276827914999998</c:v>
                </c:pt>
                <c:pt idx="32">
                  <c:v>-2.9053651535999963E-2</c:v>
                </c:pt>
                <c:pt idx="33">
                  <c:v>-0.21207411126600276</c:v>
                </c:pt>
              </c:numCache>
            </c:numRef>
          </c:val>
          <c:extLst>
            <c:ext xmlns:c16="http://schemas.microsoft.com/office/drawing/2014/chart" uri="{C3380CC4-5D6E-409C-BE32-E72D297353CC}">
              <c16:uniqueId val="{00000003-93B7-41C3-A7CD-06C10D592C42}"/>
            </c:ext>
          </c:extLst>
        </c:ser>
        <c:ser>
          <c:idx val="5"/>
          <c:order val="5"/>
          <c:tx>
            <c:strRef>
              <c:f>'Služby-příspěvkyk růstu-4'!$H$33</c:f>
              <c:strCache>
                <c:ptCount val="1"/>
                <c:pt idx="0">
                  <c:v>Professional, scientific &amp; technic. act. (contr.)</c:v>
                </c:pt>
              </c:strCache>
            </c:strRef>
          </c:tx>
          <c:spPr>
            <a:solidFill>
              <a:schemeClr val="accent6">
                <a:lumMod val="60000"/>
                <a:lumOff val="40000"/>
              </a:schemeClr>
            </a:solidFill>
            <a:ln>
              <a:noFill/>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růstu-4'!$H$46:$H$80</c:f>
              <c:numCache>
                <c:formatCode>0.0</c:formatCode>
                <c:ptCount val="35"/>
                <c:pt idx="0">
                  <c:v>1.0468505532869989</c:v>
                </c:pt>
                <c:pt idx="1">
                  <c:v>0.72007462619999962</c:v>
                </c:pt>
                <c:pt idx="2">
                  <c:v>1.0906393004400001</c:v>
                </c:pt>
                <c:pt idx="3">
                  <c:v>-4.2990021238901367E-2</c:v>
                </c:pt>
                <c:pt idx="4">
                  <c:v>-0.43098075353700094</c:v>
                </c:pt>
                <c:pt idx="5">
                  <c:v>-1.3389465804999987</c:v>
                </c:pt>
                <c:pt idx="6">
                  <c:v>3.0728374200130306E-4</c:v>
                </c:pt>
                <c:pt idx="7">
                  <c:v>-0.3121071665494991</c:v>
                </c:pt>
                <c:pt idx="8">
                  <c:v>0.95807798756000018</c:v>
                </c:pt>
                <c:pt idx="9">
                  <c:v>0.59447839488779997</c:v>
                </c:pt>
                <c:pt idx="10">
                  <c:v>0.30863690562089996</c:v>
                </c:pt>
                <c:pt idx="11">
                  <c:v>0.42814590144940085</c:v>
                </c:pt>
                <c:pt idx="12">
                  <c:v>1.0521629274264988</c:v>
                </c:pt>
                <c:pt idx="13">
                  <c:v>0.5501113250554992</c:v>
                </c:pt>
                <c:pt idx="14">
                  <c:v>0.3596254694963989</c:v>
                </c:pt>
                <c:pt idx="15">
                  <c:v>-0.26680052765060136</c:v>
                </c:pt>
                <c:pt idx="16">
                  <c:v>0.70988848618690059</c:v>
                </c:pt>
                <c:pt idx="17">
                  <c:v>0.59156625867140045</c:v>
                </c:pt>
                <c:pt idx="18">
                  <c:v>-0.77754044718210014</c:v>
                </c:pt>
                <c:pt idx="19">
                  <c:v>-0.56889162351999967</c:v>
                </c:pt>
                <c:pt idx="20">
                  <c:v>-0.8629875625277994</c:v>
                </c:pt>
                <c:pt idx="21">
                  <c:v>-3.1826786933129991</c:v>
                </c:pt>
                <c:pt idx="22">
                  <c:v>-1.495126859429508</c:v>
                </c:pt>
                <c:pt idx="23">
                  <c:v>-1.5495215129057995</c:v>
                </c:pt>
                <c:pt idx="24">
                  <c:v>-1.5897570854689647</c:v>
                </c:pt>
                <c:pt idx="25">
                  <c:v>2.7177633580318017</c:v>
                </c:pt>
                <c:pt idx="26">
                  <c:v>1.7630975025485993</c:v>
                </c:pt>
                <c:pt idx="27">
                  <c:v>2.0930310136979364</c:v>
                </c:pt>
                <c:pt idx="28">
                  <c:v>2.2703464324548008</c:v>
                </c:pt>
                <c:pt idx="29">
                  <c:v>1.2338620529777764</c:v>
                </c:pt>
                <c:pt idx="30">
                  <c:v>1.0045707012391294</c:v>
                </c:pt>
                <c:pt idx="31">
                  <c:v>3.1260807364285527E-2</c:v>
                </c:pt>
                <c:pt idx="32">
                  <c:v>0.49853595385350025</c:v>
                </c:pt>
                <c:pt idx="33">
                  <c:v>0.80402607013840077</c:v>
                </c:pt>
              </c:numCache>
            </c:numRef>
          </c:val>
          <c:extLst>
            <c:ext xmlns:c16="http://schemas.microsoft.com/office/drawing/2014/chart" uri="{C3380CC4-5D6E-409C-BE32-E72D297353CC}">
              <c16:uniqueId val="{00000004-93B7-41C3-A7CD-06C10D592C42}"/>
            </c:ext>
          </c:extLst>
        </c:ser>
        <c:ser>
          <c:idx val="6"/>
          <c:order val="6"/>
          <c:tx>
            <c:strRef>
              <c:f>'Služby-příspěvkyk růstu-4'!$I$33</c:f>
              <c:strCache>
                <c:ptCount val="1"/>
                <c:pt idx="0">
                  <c:v>Administrative &amp; support service act. (contr.)</c:v>
                </c:pt>
              </c:strCache>
            </c:strRef>
          </c:tx>
          <c:spPr>
            <a:solidFill>
              <a:schemeClr val="accent1">
                <a:lumMod val="20000"/>
                <a:lumOff val="80000"/>
              </a:schemeClr>
            </a:solidFill>
            <a:ln>
              <a:noFill/>
            </a:ln>
          </c:spPr>
          <c:invertIfNegative val="0"/>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růstu-4'!$I$46:$I$80</c:f>
              <c:numCache>
                <c:formatCode>0.0</c:formatCode>
                <c:ptCount val="35"/>
                <c:pt idx="0">
                  <c:v>0.51550370389650024</c:v>
                </c:pt>
                <c:pt idx="1">
                  <c:v>0.62101310773750029</c:v>
                </c:pt>
                <c:pt idx="2">
                  <c:v>0.43506961802500044</c:v>
                </c:pt>
                <c:pt idx="3">
                  <c:v>0.50168865387909933</c:v>
                </c:pt>
                <c:pt idx="4">
                  <c:v>0.4550707532813994</c:v>
                </c:pt>
                <c:pt idx="5">
                  <c:v>0.16398578688570073</c:v>
                </c:pt>
                <c:pt idx="6">
                  <c:v>0.26977885261849965</c:v>
                </c:pt>
                <c:pt idx="7">
                  <c:v>0.51378188366290034</c:v>
                </c:pt>
                <c:pt idx="8">
                  <c:v>1.3201331730339996</c:v>
                </c:pt>
                <c:pt idx="9">
                  <c:v>1.0879288678141008</c:v>
                </c:pt>
                <c:pt idx="10">
                  <c:v>0.6413410787324999</c:v>
                </c:pt>
                <c:pt idx="11">
                  <c:v>0.30531118010650066</c:v>
                </c:pt>
                <c:pt idx="12">
                  <c:v>0.53332072309840028</c:v>
                </c:pt>
                <c:pt idx="13">
                  <c:v>0.3784029238782004</c:v>
                </c:pt>
                <c:pt idx="14">
                  <c:v>0.43569101400389965</c:v>
                </c:pt>
                <c:pt idx="15">
                  <c:v>-1.3079338160200678E-2</c:v>
                </c:pt>
                <c:pt idx="16">
                  <c:v>0.47288540072630031</c:v>
                </c:pt>
                <c:pt idx="17">
                  <c:v>0.12968213694649977</c:v>
                </c:pt>
                <c:pt idx="18">
                  <c:v>-0.12322397481159968</c:v>
                </c:pt>
                <c:pt idx="19">
                  <c:v>-0.21537552647130032</c:v>
                </c:pt>
                <c:pt idx="20">
                  <c:v>-1.1051686942920007</c:v>
                </c:pt>
                <c:pt idx="21">
                  <c:v>-4.3129281059486004</c:v>
                </c:pt>
                <c:pt idx="22">
                  <c:v>-4.446067523157895</c:v>
                </c:pt>
                <c:pt idx="23">
                  <c:v>-2.3716048373778</c:v>
                </c:pt>
                <c:pt idx="24">
                  <c:v>-1.4732703403764005</c:v>
                </c:pt>
                <c:pt idx="25">
                  <c:v>1.7697809683939403</c:v>
                </c:pt>
                <c:pt idx="26">
                  <c:v>1.8505450464600004</c:v>
                </c:pt>
                <c:pt idx="27">
                  <c:v>1.0498709638992363</c:v>
                </c:pt>
                <c:pt idx="28">
                  <c:v>1.842231904701936</c:v>
                </c:pt>
                <c:pt idx="29">
                  <c:v>2.1447223452546726</c:v>
                </c:pt>
                <c:pt idx="30">
                  <c:v>1.8858572291093003</c:v>
                </c:pt>
                <c:pt idx="31">
                  <c:v>0.46980802110479969</c:v>
                </c:pt>
                <c:pt idx="32">
                  <c:v>-0.4120820693496004</c:v>
                </c:pt>
                <c:pt idx="33">
                  <c:v>-0.12512264228690917</c:v>
                </c:pt>
              </c:numCache>
            </c:numRef>
          </c:val>
          <c:extLst>
            <c:ext xmlns:c16="http://schemas.microsoft.com/office/drawing/2014/chart" uri="{C3380CC4-5D6E-409C-BE32-E72D297353CC}">
              <c16:uniqueId val="{00000005-93B7-41C3-A7CD-06C10D592C42}"/>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Total services sales (y-o-y change)</c:v>
                </c:pt>
              </c:strCache>
            </c:strRef>
          </c:tx>
          <c:spPr>
            <a:ln>
              <a:noFill/>
            </a:ln>
          </c:spPr>
          <c:marker>
            <c:symbol val="dot"/>
            <c:size val="7"/>
            <c:spPr>
              <a:solidFill>
                <a:schemeClr val="tx1">
                  <a:lumMod val="95000"/>
                  <a:lumOff val="5000"/>
                </a:schemeClr>
              </a:solidFill>
              <a:ln>
                <a:noFill/>
              </a:ln>
            </c:spPr>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růstu-4'!$C$46:$C$80</c:f>
              <c:numCache>
                <c:formatCode>0.0</c:formatCode>
                <c:ptCount val="35"/>
                <c:pt idx="0">
                  <c:v>3.3389757055000047</c:v>
                </c:pt>
                <c:pt idx="1">
                  <c:v>2.7067050277999982</c:v>
                </c:pt>
                <c:pt idx="2">
                  <c:v>3.2709178655999978</c:v>
                </c:pt>
                <c:pt idx="3">
                  <c:v>2.2089354800999956</c:v>
                </c:pt>
                <c:pt idx="4">
                  <c:v>1.3188134916999985</c:v>
                </c:pt>
                <c:pt idx="5">
                  <c:v>-0.87184735920000378</c:v>
                </c:pt>
                <c:pt idx="6">
                  <c:v>1.4329163225999935</c:v>
                </c:pt>
                <c:pt idx="7">
                  <c:v>1.6231078297000039</c:v>
                </c:pt>
                <c:pt idx="8">
                  <c:v>5.6612801194000042</c:v>
                </c:pt>
                <c:pt idx="9">
                  <c:v>5.4428853814000036</c:v>
                </c:pt>
                <c:pt idx="10">
                  <c:v>3.3993920882000026</c:v>
                </c:pt>
                <c:pt idx="11">
                  <c:v>2.5070727970000064</c:v>
                </c:pt>
                <c:pt idx="12">
                  <c:v>5.0684890596999992</c:v>
                </c:pt>
                <c:pt idx="13">
                  <c:v>3.4835722000999993</c:v>
                </c:pt>
                <c:pt idx="14">
                  <c:v>3.6922427452000051</c:v>
                </c:pt>
                <c:pt idx="15">
                  <c:v>1.0703178197999961</c:v>
                </c:pt>
                <c:pt idx="16">
                  <c:v>3.577388802599998</c:v>
                </c:pt>
                <c:pt idx="17">
                  <c:v>1.9755475901000068</c:v>
                </c:pt>
                <c:pt idx="18">
                  <c:v>-0.812461414699996</c:v>
                </c:pt>
                <c:pt idx="19">
                  <c:v>-0.15760277260000066</c:v>
                </c:pt>
                <c:pt idx="20">
                  <c:v>-3.7058485394999963</c:v>
                </c:pt>
                <c:pt idx="21">
                  <c:v>-19.646669998500002</c:v>
                </c:pt>
                <c:pt idx="22">
                  <c:v>-12.602196924200001</c:v>
                </c:pt>
                <c:pt idx="23">
                  <c:v>-10.913780029099996</c:v>
                </c:pt>
                <c:pt idx="24">
                  <c:v>-6.4008194153999938</c:v>
                </c:pt>
                <c:pt idx="25">
                  <c:v>14.785941922700005</c:v>
                </c:pt>
                <c:pt idx="26">
                  <c:v>9.8363909517999986</c:v>
                </c:pt>
                <c:pt idx="27">
                  <c:v>12.659313517100003</c:v>
                </c:pt>
                <c:pt idx="28">
                  <c:v>14.074786841800005</c:v>
                </c:pt>
                <c:pt idx="29">
                  <c:v>12.2638927088</c:v>
                </c:pt>
                <c:pt idx="30">
                  <c:v>7.1865401442999968</c:v>
                </c:pt>
                <c:pt idx="31">
                  <c:v>1.6032947772999933</c:v>
                </c:pt>
                <c:pt idx="32">
                  <c:v>-0.26218876490000298</c:v>
                </c:pt>
                <c:pt idx="33">
                  <c:v>-3.3386251069999986</c:v>
                </c:pt>
              </c:numCache>
            </c:numRef>
          </c:val>
          <c:smooth val="0"/>
          <c:extLst>
            <c:ext xmlns:c16="http://schemas.microsoft.com/office/drawing/2014/chart" uri="{C3380CC4-5D6E-409C-BE32-E72D297353CC}">
              <c16:uniqueId val="{00000006-93B7-41C3-A7CD-06C10D592C4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Confidence indicator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růstu-4'!$J$46:$J$80</c:f>
              <c:numCache>
                <c:formatCode>#\ ##0.0</c:formatCode>
                <c:ptCount val="35"/>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numCache>
            </c:numRef>
          </c:val>
          <c:smooth val="0"/>
          <c:extLst>
            <c:ext xmlns:c16="http://schemas.microsoft.com/office/drawing/2014/chart" uri="{C3380CC4-5D6E-409C-BE32-E72D297353CC}">
              <c16:uniqueId val="{00000007-93B7-41C3-A7CD-06C10D592C42}"/>
            </c:ext>
          </c:extLst>
        </c:ser>
        <c:ser>
          <c:idx val="8"/>
          <c:order val="8"/>
          <c:tx>
            <c:strRef>
              <c:f>'Služby-příspěvkyk růstu-4'!$K$33</c:f>
              <c:strCache>
                <c:ptCount val="1"/>
                <c:pt idx="0">
                  <c:v>Growth barrier: inadequate demand</c:v>
                </c:pt>
              </c:strCache>
            </c:strRef>
          </c:tx>
          <c:spPr>
            <a:ln w="15875">
              <a:solidFill>
                <a:srgbClr val="CA945E"/>
              </a:solidFill>
              <a:prstDash val="solid"/>
            </a:ln>
          </c:spPr>
          <c:marker>
            <c:symbol val="none"/>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růstu-4'!$K$46:$K$80</c:f>
              <c:numCache>
                <c:formatCode>#\ ##0.0</c:formatCode>
                <c:ptCount val="35"/>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numCache>
            </c:numRef>
          </c:val>
          <c:smooth val="0"/>
          <c:extLst>
            <c:ext xmlns:c16="http://schemas.microsoft.com/office/drawing/2014/chart" uri="{C3380CC4-5D6E-409C-BE32-E72D297353CC}">
              <c16:uniqueId val="{00000008-93B7-41C3-A7CD-06C10D592C42}"/>
            </c:ext>
          </c:extLst>
        </c:ser>
        <c:ser>
          <c:idx val="9"/>
          <c:order val="9"/>
          <c:tx>
            <c:strRef>
              <c:f>'Služby-příspěvkyk růstu-4'!$L$33</c:f>
              <c:strCache>
                <c:ptCount val="1"/>
                <c:pt idx="0">
                  <c:v>Growth barrier: lack of workers</c:v>
                </c:pt>
              </c:strCache>
            </c:strRef>
          </c:tx>
          <c:spPr>
            <a:ln w="15875">
              <a:solidFill>
                <a:srgbClr val="CA945E"/>
              </a:solidFill>
              <a:prstDash val="lgDash"/>
            </a:ln>
          </c:spPr>
          <c:marker>
            <c:symbol val="none"/>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růstu-4'!$L$46:$L$80</c:f>
              <c:numCache>
                <c:formatCode>#\ ##0.0</c:formatCode>
                <c:ptCount val="35"/>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9.6999999999999993</c:v>
                </c:pt>
                <c:pt idx="34">
                  <c:v>9.1999999999999993</c:v>
                </c:pt>
              </c:numCache>
            </c:numRef>
          </c:val>
          <c:smooth val="0"/>
          <c:extLst>
            <c:ext xmlns:c16="http://schemas.microsoft.com/office/drawing/2014/chart" uri="{C3380CC4-5D6E-409C-BE32-E72D297353CC}">
              <c16:uniqueId val="{00000009-93B7-41C3-A7CD-06C10D592C42}"/>
            </c:ext>
          </c:extLst>
        </c:ser>
        <c:ser>
          <c:idx val="10"/>
          <c:order val="10"/>
          <c:tx>
            <c:strRef>
              <c:f>'Služby-příspěvkyk růstu-4'!$M$33</c:f>
              <c:strCache>
                <c:ptCount val="1"/>
                <c:pt idx="0">
                  <c:v>Total sales (2015 = 100), constant prices)</c:v>
                </c:pt>
              </c:strCache>
            </c:strRef>
          </c:tx>
          <c:spPr>
            <a:ln w="15875">
              <a:solidFill>
                <a:schemeClr val="tx1"/>
              </a:solidFill>
            </a:ln>
          </c:spPr>
          <c:marker>
            <c:symbol val="none"/>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růstu-4'!$M$46:$M$80</c:f>
              <c:numCache>
                <c:formatCode>0.0</c:formatCode>
                <c:ptCount val="35"/>
                <c:pt idx="0">
                  <c:v>98.9058694</c:v>
                </c:pt>
                <c:pt idx="1">
                  <c:v>99.939744966700005</c:v>
                </c:pt>
                <c:pt idx="2">
                  <c:v>100.46069412999999</c:v>
                </c:pt>
                <c:pt idx="3">
                  <c:v>100.69369150670001</c:v>
                </c:pt>
                <c:pt idx="4">
                  <c:v>99.506269489999994</c:v>
                </c:pt>
                <c:pt idx="5">
                  <c:v>99.882932769999996</c:v>
                </c:pt>
                <c:pt idx="6">
                  <c:v>101.6454132667</c:v>
                </c:pt>
                <c:pt idx="7">
                  <c:v>103.1425757933</c:v>
                </c:pt>
                <c:pt idx="8">
                  <c:v>103.7536856167</c:v>
                </c:pt>
                <c:pt idx="9">
                  <c:v>105.1986778867</c:v>
                </c:pt>
                <c:pt idx="10">
                  <c:v>105.3356622867</c:v>
                </c:pt>
                <c:pt idx="11">
                  <c:v>106.72097377670001</c:v>
                </c:pt>
                <c:pt idx="12">
                  <c:v>107.9153511367</c:v>
                </c:pt>
                <c:pt idx="13">
                  <c:v>108.70616911330001</c:v>
                </c:pt>
                <c:pt idx="14">
                  <c:v>109.3727816967</c:v>
                </c:pt>
                <c:pt idx="15">
                  <c:v>108.8880568167</c:v>
                </c:pt>
                <c:pt idx="16">
                  <c:v>110.44627128330001</c:v>
                </c:pt>
                <c:pt idx="17">
                  <c:v>110.87756216</c:v>
                </c:pt>
                <c:pt idx="18">
                  <c:v>109.1647310367</c:v>
                </c:pt>
                <c:pt idx="19">
                  <c:v>108.93584104999999</c:v>
                </c:pt>
                <c:pt idx="20">
                  <c:v>105.3679302367</c:v>
                </c:pt>
                <c:pt idx="21">
                  <c:v>90.203880830000003</c:v>
                </c:pt>
                <c:pt idx="22">
                  <c:v>97.528267896700001</c:v>
                </c:pt>
                <c:pt idx="23">
                  <c:v>95.952761640000006</c:v>
                </c:pt>
                <c:pt idx="24">
                  <c:v>97.5220549533</c:v>
                </c:pt>
                <c:pt idx="25">
                  <c:v>102.23534626670001</c:v>
                </c:pt>
                <c:pt idx="26">
                  <c:v>106.43087342</c:v>
                </c:pt>
                <c:pt idx="27">
                  <c:v>109.46740578000001</c:v>
                </c:pt>
                <c:pt idx="28">
                  <c:v>111.4959124467</c:v>
                </c:pt>
                <c:pt idx="29">
                  <c:v>114.0583342467</c:v>
                </c:pt>
                <c:pt idx="30">
                  <c:v>113.47681789000001</c:v>
                </c:pt>
                <c:pt idx="31">
                  <c:v>112.0620536767</c:v>
                </c:pt>
                <c:pt idx="32">
                  <c:v>111.33107182000001</c:v>
                </c:pt>
                <c:pt idx="33">
                  <c:v>109.8464367167</c:v>
                </c:pt>
              </c:numCache>
            </c:numRef>
          </c:val>
          <c:smooth val="0"/>
          <c:extLst>
            <c:ext xmlns:c16="http://schemas.microsoft.com/office/drawing/2014/chart" uri="{C3380CC4-5D6E-409C-BE32-E72D297353CC}">
              <c16:uniqueId val="{0000000A-93B7-41C3-A7CD-06C10D592C42}"/>
            </c:ext>
          </c:extLst>
        </c:ser>
        <c:ser>
          <c:idx val="11"/>
          <c:order val="11"/>
          <c:tx>
            <c:strRef>
              <c:f>'Služby-příspěvkyk růstu-4'!$N$33</c:f>
              <c:strCache>
                <c:ptCount val="1"/>
                <c:pt idx="0">
                  <c:v>Total sales (2015 = 100, current prices)</c:v>
                </c:pt>
              </c:strCache>
            </c:strRef>
          </c:tx>
          <c:spPr>
            <a:ln w="15875">
              <a:solidFill>
                <a:schemeClr val="bg2">
                  <a:lumMod val="25000"/>
                </a:schemeClr>
              </a:solidFill>
              <a:prstDash val="sysDash"/>
            </a:ln>
          </c:spPr>
          <c:marker>
            <c:symbol val="none"/>
          </c:marker>
          <c:cat>
            <c:multiLvlStrRef>
              <c:f>'Služby-příspěvkyk růstu-4'!$A$46:$B$80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růstu-4'!$N$46:$N$80</c:f>
              <c:numCache>
                <c:formatCode>0.0</c:formatCode>
                <c:ptCount val="35"/>
                <c:pt idx="0">
                  <c:v>98.878809526699996</c:v>
                </c:pt>
                <c:pt idx="1">
                  <c:v>99.932801119999993</c:v>
                </c:pt>
                <c:pt idx="2">
                  <c:v>100.47612456</c:v>
                </c:pt>
                <c:pt idx="3">
                  <c:v>100.71226479000001</c:v>
                </c:pt>
                <c:pt idx="4">
                  <c:v>99.601623459999999</c:v>
                </c:pt>
                <c:pt idx="5">
                  <c:v>100.2234790433</c:v>
                </c:pt>
                <c:pt idx="6">
                  <c:v>102.13593758</c:v>
                </c:pt>
                <c:pt idx="7">
                  <c:v>103.9538192433</c:v>
                </c:pt>
                <c:pt idx="8">
                  <c:v>105.2833983</c:v>
                </c:pt>
                <c:pt idx="9">
                  <c:v>107.13280340670001</c:v>
                </c:pt>
                <c:pt idx="10">
                  <c:v>107.78245525</c:v>
                </c:pt>
                <c:pt idx="11">
                  <c:v>109.74135017</c:v>
                </c:pt>
                <c:pt idx="12">
                  <c:v>111.4458726133</c:v>
                </c:pt>
                <c:pt idx="13">
                  <c:v>112.9675431333</c:v>
                </c:pt>
                <c:pt idx="14">
                  <c:v>114.3275498367</c:v>
                </c:pt>
                <c:pt idx="15">
                  <c:v>114.6762978367</c:v>
                </c:pt>
                <c:pt idx="16">
                  <c:v>116.72200621330001</c:v>
                </c:pt>
                <c:pt idx="17">
                  <c:v>118.4237964933</c:v>
                </c:pt>
                <c:pt idx="18">
                  <c:v>117.19000776670001</c:v>
                </c:pt>
                <c:pt idx="19">
                  <c:v>117.1905607767</c:v>
                </c:pt>
                <c:pt idx="20">
                  <c:v>113.2309142367</c:v>
                </c:pt>
                <c:pt idx="21">
                  <c:v>96.647774276700005</c:v>
                </c:pt>
                <c:pt idx="22">
                  <c:v>105.48850793</c:v>
                </c:pt>
                <c:pt idx="23">
                  <c:v>103.67207354999999</c:v>
                </c:pt>
                <c:pt idx="24">
                  <c:v>105.5127988667</c:v>
                </c:pt>
                <c:pt idx="25">
                  <c:v>111.35872838</c:v>
                </c:pt>
                <c:pt idx="26">
                  <c:v>117.05419338670001</c:v>
                </c:pt>
                <c:pt idx="27">
                  <c:v>121.5423597267</c:v>
                </c:pt>
                <c:pt idx="28">
                  <c:v>126.65151452329999</c:v>
                </c:pt>
                <c:pt idx="29">
                  <c:v>132.08979573670001</c:v>
                </c:pt>
                <c:pt idx="30">
                  <c:v>134.49142177670001</c:v>
                </c:pt>
                <c:pt idx="31">
                  <c:v>134.99990681329999</c:v>
                </c:pt>
                <c:pt idx="32">
                  <c:v>137.0085421233</c:v>
                </c:pt>
                <c:pt idx="33" formatCode="General">
                  <c:v>137.4746201733</c:v>
                </c:pt>
              </c:numCache>
            </c:numRef>
          </c:val>
          <c:smooth val="0"/>
          <c:extLst>
            <c:ext xmlns:c16="http://schemas.microsoft.com/office/drawing/2014/chart" uri="{C3380CC4-5D6E-409C-BE32-E72D297353CC}">
              <c16:uniqueId val="{0000000B-93B7-41C3-A7CD-06C10D592C42}"/>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change of sales in services</a:t>
                </a: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40"/>
          <c:min val="-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i="1">
                    <a:effectLst/>
                  </a:rPr>
                  <a:t>S</a:t>
                </a:r>
                <a:r>
                  <a:rPr lang="en-GB" sz="700" i="1">
                    <a:effectLst/>
                  </a:rPr>
                  <a:t>ales (2015 = 100</a:t>
                </a:r>
                <a:r>
                  <a:rPr lang="cs-CZ" sz="700" i="1">
                    <a:effectLst/>
                  </a:rPr>
                  <a:t>),</a:t>
                </a:r>
                <a:r>
                  <a:rPr lang="cs-CZ" sz="700" i="1" baseline="0">
                    <a:effectLst/>
                  </a:rPr>
                  <a:t> C</a:t>
                </a:r>
                <a:r>
                  <a:rPr lang="en-GB" sz="700" i="1">
                    <a:effectLst/>
                  </a:rPr>
                  <a:t>onfidence indicator, Growth barriers</a:t>
                </a:r>
                <a:endParaRPr lang="cs-CZ" sz="700">
                  <a:effectLst/>
                </a:endParaRPr>
              </a:p>
            </c:rich>
          </c:tx>
          <c:layout>
            <c:manualLayout>
              <c:xMode val="edge"/>
              <c:yMode val="edge"/>
              <c:x val="0.9705997154062983"/>
              <c:y val="1.8415267943787516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5082101335719373"/>
          <c:h val="0.74167997750452275"/>
        </c:manualLayout>
      </c:layout>
      <c:barChart>
        <c:barDir val="col"/>
        <c:grouping val="stacked"/>
        <c:varyColors val="0"/>
        <c:ser>
          <c:idx val="0"/>
          <c:order val="1"/>
          <c:tx>
            <c:strRef>
              <c:f>'výkonnost odvětví 5a'!$E$66</c:f>
              <c:strCache>
                <c:ptCount val="1"/>
                <c:pt idx="0">
                  <c:v>Retail with food (contribution)</c:v>
                </c:pt>
              </c:strCache>
            </c:strRef>
          </c:tx>
          <c:spPr>
            <a:solidFill>
              <a:srgbClr val="92D050"/>
            </a:solidFill>
            <a:ln w="15875">
              <a:noFill/>
            </a:ln>
          </c:spPr>
          <c:invertIfNegative val="0"/>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5a'!$E$67:$E$101</c:f>
              <c:numCache>
                <c:formatCode>#\ ##0.0</c:formatCode>
                <c:ptCount val="35"/>
                <c:pt idx="0">
                  <c:v>1.7968525782652018</c:v>
                </c:pt>
                <c:pt idx="1">
                  <c:v>1.1791224568789191</c:v>
                </c:pt>
                <c:pt idx="2">
                  <c:v>1.9051719303199943</c:v>
                </c:pt>
                <c:pt idx="3">
                  <c:v>1.4451215295824849</c:v>
                </c:pt>
                <c:pt idx="4">
                  <c:v>1.7447279503492545</c:v>
                </c:pt>
                <c:pt idx="5">
                  <c:v>1.4640451669330603</c:v>
                </c:pt>
                <c:pt idx="6">
                  <c:v>0.97147083630208275</c:v>
                </c:pt>
                <c:pt idx="7">
                  <c:v>-7.5069133018737216E-2</c:v>
                </c:pt>
                <c:pt idx="8">
                  <c:v>0.73425778243231121</c:v>
                </c:pt>
                <c:pt idx="9">
                  <c:v>1.3336221651849498</c:v>
                </c:pt>
                <c:pt idx="10">
                  <c:v>1.1482640679355656</c:v>
                </c:pt>
                <c:pt idx="11">
                  <c:v>0.8954293037390092</c:v>
                </c:pt>
                <c:pt idx="12">
                  <c:v>1.5129556035207505</c:v>
                </c:pt>
                <c:pt idx="13">
                  <c:v>0.53724684179172943</c:v>
                </c:pt>
                <c:pt idx="14">
                  <c:v>0.98097838613194555</c:v>
                </c:pt>
                <c:pt idx="15">
                  <c:v>0.45895493544282623</c:v>
                </c:pt>
                <c:pt idx="16">
                  <c:v>0.67460527770247669</c:v>
                </c:pt>
                <c:pt idx="17">
                  <c:v>1.1938610134109739</c:v>
                </c:pt>
                <c:pt idx="18">
                  <c:v>0.63015847733735897</c:v>
                </c:pt>
                <c:pt idx="19">
                  <c:v>0.62923634699872177</c:v>
                </c:pt>
                <c:pt idx="20">
                  <c:v>0.9469594125582822</c:v>
                </c:pt>
                <c:pt idx="21">
                  <c:v>-1.187802120106032</c:v>
                </c:pt>
                <c:pt idx="22">
                  <c:v>-0.39836946074768875</c:v>
                </c:pt>
                <c:pt idx="23">
                  <c:v>0.24484515142503144</c:v>
                </c:pt>
                <c:pt idx="24">
                  <c:v>-0.44870069660916562</c:v>
                </c:pt>
                <c:pt idx="25">
                  <c:v>0.43470456459783835</c:v>
                </c:pt>
                <c:pt idx="26">
                  <c:v>-0.30638524812564816</c:v>
                </c:pt>
                <c:pt idx="27">
                  <c:v>-0.18456896753972296</c:v>
                </c:pt>
                <c:pt idx="28">
                  <c:v>-0.2644332124970542</c:v>
                </c:pt>
                <c:pt idx="29">
                  <c:v>-1.298273733857183</c:v>
                </c:pt>
                <c:pt idx="30">
                  <c:v>-2.2978022374091576</c:v>
                </c:pt>
                <c:pt idx="31">
                  <c:v>-3.2183996089311839</c:v>
                </c:pt>
                <c:pt idx="32">
                  <c:v>-3.0573440803694303</c:v>
                </c:pt>
                <c:pt idx="33">
                  <c:v>-2.6835328353129495</c:v>
                </c:pt>
              </c:numCache>
            </c:numRef>
          </c:val>
          <c:extLst>
            <c:ext xmlns:c16="http://schemas.microsoft.com/office/drawing/2014/chart" uri="{C3380CC4-5D6E-409C-BE32-E72D297353CC}">
              <c16:uniqueId val="{00000000-CC5C-47AB-A226-BF8016023522}"/>
            </c:ext>
          </c:extLst>
        </c:ser>
        <c:ser>
          <c:idx val="1"/>
          <c:order val="2"/>
          <c:tx>
            <c:strRef>
              <c:f>'výkonnost odvětví 5a'!$F$66</c:f>
              <c:strCache>
                <c:ptCount val="1"/>
                <c:pt idx="0">
                  <c:v>Retail with non-food goods (contribution)</c:v>
                </c:pt>
              </c:strCache>
            </c:strRef>
          </c:tx>
          <c:spPr>
            <a:solidFill>
              <a:schemeClr val="accent1">
                <a:lumMod val="40000"/>
                <a:lumOff val="60000"/>
              </a:schemeClr>
            </a:solidFill>
            <a:ln w="15875">
              <a:noFill/>
            </a:ln>
          </c:spPr>
          <c:invertIfNegative val="0"/>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5a'!$F$67:$F$101</c:f>
              <c:numCache>
                <c:formatCode>#\ ##0.0</c:formatCode>
                <c:ptCount val="35"/>
                <c:pt idx="0">
                  <c:v>3.5337647628605193</c:v>
                </c:pt>
                <c:pt idx="1">
                  <c:v>4.0403269648807054</c:v>
                </c:pt>
                <c:pt idx="2">
                  <c:v>2.8414781046087674</c:v>
                </c:pt>
                <c:pt idx="3">
                  <c:v>3.7696029154089445</c:v>
                </c:pt>
                <c:pt idx="4">
                  <c:v>2.8247932220754692</c:v>
                </c:pt>
                <c:pt idx="5">
                  <c:v>2.6799731375621909</c:v>
                </c:pt>
                <c:pt idx="6">
                  <c:v>3.347941642924769</c:v>
                </c:pt>
                <c:pt idx="7">
                  <c:v>3.640236296846036</c:v>
                </c:pt>
                <c:pt idx="8">
                  <c:v>4.3767111447936164</c:v>
                </c:pt>
                <c:pt idx="9">
                  <c:v>4.6063896710500032</c:v>
                </c:pt>
                <c:pt idx="10">
                  <c:v>4.1933467197549055</c:v>
                </c:pt>
                <c:pt idx="11">
                  <c:v>4.824847593961052</c:v>
                </c:pt>
                <c:pt idx="12">
                  <c:v>4.1828625238720027</c:v>
                </c:pt>
                <c:pt idx="13">
                  <c:v>3.505448480316792</c:v>
                </c:pt>
                <c:pt idx="14">
                  <c:v>2.8194389746795405</c:v>
                </c:pt>
                <c:pt idx="15">
                  <c:v>3.9553867638573217</c:v>
                </c:pt>
                <c:pt idx="16">
                  <c:v>4.4354535369958423</c:v>
                </c:pt>
                <c:pt idx="17">
                  <c:v>3.3723462442148247</c:v>
                </c:pt>
                <c:pt idx="18">
                  <c:v>3.7256703958918869</c:v>
                </c:pt>
                <c:pt idx="19">
                  <c:v>3.4440592495195479</c:v>
                </c:pt>
                <c:pt idx="20">
                  <c:v>-2.8251709833996521E-2</c:v>
                </c:pt>
                <c:pt idx="21">
                  <c:v>0.37120321946990453</c:v>
                </c:pt>
                <c:pt idx="22">
                  <c:v>1.7529788946207687</c:v>
                </c:pt>
                <c:pt idx="23">
                  <c:v>-1.0606589154268822</c:v>
                </c:pt>
                <c:pt idx="24">
                  <c:v>1.1032352547156203</c:v>
                </c:pt>
                <c:pt idx="25">
                  <c:v>5.7270426184807528</c:v>
                </c:pt>
                <c:pt idx="26">
                  <c:v>3.8044410655375258</c:v>
                </c:pt>
                <c:pt idx="27">
                  <c:v>5.2471277682417368</c:v>
                </c:pt>
                <c:pt idx="28">
                  <c:v>5.410120611589333</c:v>
                </c:pt>
                <c:pt idx="29">
                  <c:v>-1.1295059503721883</c:v>
                </c:pt>
                <c:pt idx="30">
                  <c:v>-3.8961561368469955</c:v>
                </c:pt>
                <c:pt idx="31">
                  <c:v>-5.6070211315812966</c:v>
                </c:pt>
                <c:pt idx="32">
                  <c:v>-4.8173300878479868</c:v>
                </c:pt>
                <c:pt idx="33">
                  <c:v>-4.4692976001873239</c:v>
                </c:pt>
              </c:numCache>
            </c:numRef>
          </c:val>
          <c:extLst>
            <c:ext xmlns:c16="http://schemas.microsoft.com/office/drawing/2014/chart" uri="{C3380CC4-5D6E-409C-BE32-E72D297353CC}">
              <c16:uniqueId val="{00000001-CC5C-47AB-A226-BF8016023522}"/>
            </c:ext>
          </c:extLst>
        </c:ser>
        <c:ser>
          <c:idx val="4"/>
          <c:order val="3"/>
          <c:tx>
            <c:strRef>
              <c:f>'výkonnost odvětví 5a'!$G$66</c:f>
              <c:strCache>
                <c:ptCount val="1"/>
                <c:pt idx="0">
                  <c:v>Retail sale of fuels (contribution)</c:v>
                </c:pt>
              </c:strCache>
            </c:strRef>
          </c:tx>
          <c:spPr>
            <a:solidFill>
              <a:schemeClr val="accent6">
                <a:lumMod val="40000"/>
                <a:lumOff val="60000"/>
              </a:schemeClr>
            </a:solidFill>
            <a:ln w="15875">
              <a:noFill/>
            </a:ln>
          </c:spPr>
          <c:invertIfNegative val="0"/>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5a'!$G$67:$G$101</c:f>
              <c:numCache>
                <c:formatCode>#\ ##0.0</c:formatCode>
                <c:ptCount val="35"/>
                <c:pt idx="0">
                  <c:v>0.75359194510045113</c:v>
                </c:pt>
                <c:pt idx="1">
                  <c:v>0.58821183102713304</c:v>
                </c:pt>
                <c:pt idx="2">
                  <c:v>0.79399459687356011</c:v>
                </c:pt>
                <c:pt idx="3">
                  <c:v>0.93961068819571214</c:v>
                </c:pt>
                <c:pt idx="4">
                  <c:v>0.69214098521927592</c:v>
                </c:pt>
                <c:pt idx="5">
                  <c:v>0.70440464135882053</c:v>
                </c:pt>
                <c:pt idx="6">
                  <c:v>0.62814320050368622</c:v>
                </c:pt>
                <c:pt idx="7">
                  <c:v>0.6256127692880088</c:v>
                </c:pt>
                <c:pt idx="8">
                  <c:v>0.51956983975724702</c:v>
                </c:pt>
                <c:pt idx="9">
                  <c:v>0.77336135806484252</c:v>
                </c:pt>
                <c:pt idx="10">
                  <c:v>0.84841829183324202</c:v>
                </c:pt>
                <c:pt idx="11">
                  <c:v>0.68454565742255169</c:v>
                </c:pt>
                <c:pt idx="12">
                  <c:v>0.6756119584809902</c:v>
                </c:pt>
                <c:pt idx="13">
                  <c:v>0.59075079613408321</c:v>
                </c:pt>
                <c:pt idx="14">
                  <c:v>0.37399713498271248</c:v>
                </c:pt>
                <c:pt idx="15">
                  <c:v>0.42674113172704509</c:v>
                </c:pt>
                <c:pt idx="16">
                  <c:v>0.55629349987096444</c:v>
                </c:pt>
                <c:pt idx="17">
                  <c:v>0.26295616202476935</c:v>
                </c:pt>
                <c:pt idx="18">
                  <c:v>0.19423130649799922</c:v>
                </c:pt>
                <c:pt idx="19">
                  <c:v>5.5904565164944221E-2</c:v>
                </c:pt>
                <c:pt idx="20">
                  <c:v>-0.75350296737444378</c:v>
                </c:pt>
                <c:pt idx="21">
                  <c:v>-2.0525680822481136</c:v>
                </c:pt>
                <c:pt idx="22">
                  <c:v>-4.8140542119499564E-2</c:v>
                </c:pt>
                <c:pt idx="23">
                  <c:v>-1.2048671034914455</c:v>
                </c:pt>
                <c:pt idx="24">
                  <c:v>-0.8126773100519713</c:v>
                </c:pt>
                <c:pt idx="25">
                  <c:v>1.034082935213182</c:v>
                </c:pt>
                <c:pt idx="26">
                  <c:v>0.39031023614333377</c:v>
                </c:pt>
                <c:pt idx="27">
                  <c:v>0.99584083683099456</c:v>
                </c:pt>
                <c:pt idx="28">
                  <c:v>1.37794030286432</c:v>
                </c:pt>
                <c:pt idx="29">
                  <c:v>-0.54234422696138451</c:v>
                </c:pt>
                <c:pt idx="30">
                  <c:v>-1.2771841004606979</c:v>
                </c:pt>
                <c:pt idx="31">
                  <c:v>-0.33373215205594292</c:v>
                </c:pt>
                <c:pt idx="32">
                  <c:v>0.10805669220757913</c:v>
                </c:pt>
                <c:pt idx="33">
                  <c:v>0.99136450755943051</c:v>
                </c:pt>
              </c:numCache>
            </c:numRef>
          </c:val>
          <c:extLst>
            <c:ext xmlns:c16="http://schemas.microsoft.com/office/drawing/2014/chart" uri="{C3380CC4-5D6E-409C-BE32-E72D297353CC}">
              <c16:uniqueId val="{00000002-CC5C-47AB-A226-BF8016023522}"/>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Total retail sales (y-o-y change)</c:v>
                </c:pt>
              </c:strCache>
            </c:strRef>
          </c:tx>
          <c:spPr>
            <a:ln>
              <a:noFill/>
            </a:ln>
          </c:spPr>
          <c:marker>
            <c:symbol val="dash"/>
            <c:size val="7"/>
            <c:spPr>
              <a:solidFill>
                <a:schemeClr val="tx1">
                  <a:lumMod val="85000"/>
                  <a:lumOff val="15000"/>
                </a:schemeClr>
              </a:solidFill>
              <a:ln w="6350">
                <a:noFill/>
              </a:ln>
            </c:spPr>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5a'!$D$67:$D$101</c:f>
              <c:numCache>
                <c:formatCode>#\ ##0.0</c:formatCode>
                <c:ptCount val="35"/>
                <c:pt idx="0">
                  <c:v>5.9636205444000012</c:v>
                </c:pt>
                <c:pt idx="1">
                  <c:v>5.5921884395999939</c:v>
                </c:pt>
                <c:pt idx="2">
                  <c:v>5.5022460545000058</c:v>
                </c:pt>
                <c:pt idx="3">
                  <c:v>6.0250321769999999</c:v>
                </c:pt>
                <c:pt idx="4">
                  <c:v>5.2059376711000027</c:v>
                </c:pt>
                <c:pt idx="5">
                  <c:v>4.7779836855000042</c:v>
                </c:pt>
                <c:pt idx="6">
                  <c:v>4.7634220096000064</c:v>
                </c:pt>
                <c:pt idx="7">
                  <c:v>3.906217172500007</c:v>
                </c:pt>
                <c:pt idx="8">
                  <c:v>5.3191682382000067</c:v>
                </c:pt>
                <c:pt idx="9">
                  <c:v>6.4643894590000031</c:v>
                </c:pt>
                <c:pt idx="10">
                  <c:v>5.9751578492000021</c:v>
                </c:pt>
                <c:pt idx="11">
                  <c:v>6.1621326276000019</c:v>
                </c:pt>
                <c:pt idx="12">
                  <c:v>6.3390670470000003</c:v>
                </c:pt>
                <c:pt idx="13">
                  <c:v>4.6648962081000036</c:v>
                </c:pt>
                <c:pt idx="14">
                  <c:v>4.1971443662999945</c:v>
                </c:pt>
                <c:pt idx="15">
                  <c:v>4.8161135707999989</c:v>
                </c:pt>
                <c:pt idx="16">
                  <c:v>5.6537188418</c:v>
                </c:pt>
                <c:pt idx="17">
                  <c:v>4.8265636037999968</c:v>
                </c:pt>
                <c:pt idx="18">
                  <c:v>4.5452014836999979</c:v>
                </c:pt>
                <c:pt idx="19">
                  <c:v>4.1996486233999946</c:v>
                </c:pt>
                <c:pt idx="20">
                  <c:v>6.049173830000143E-2</c:v>
                </c:pt>
                <c:pt idx="21">
                  <c:v>-2.8962995720000038</c:v>
                </c:pt>
                <c:pt idx="22">
                  <c:v>1.3291675252000061</c:v>
                </c:pt>
                <c:pt idx="23">
                  <c:v>-2.0263752827000019</c:v>
                </c:pt>
                <c:pt idx="24">
                  <c:v>-0.18412703469999769</c:v>
                </c:pt>
                <c:pt idx="25">
                  <c:v>7.2801836782000038</c:v>
                </c:pt>
                <c:pt idx="26">
                  <c:v>3.9051822130000033</c:v>
                </c:pt>
                <c:pt idx="27">
                  <c:v>6.1725521780000037</c:v>
                </c:pt>
                <c:pt idx="28">
                  <c:v>6.5192475478000063</c:v>
                </c:pt>
                <c:pt idx="29">
                  <c:v>-2.9723923762000055</c:v>
                </c:pt>
                <c:pt idx="30">
                  <c:v>-7.4744015895000047</c:v>
                </c:pt>
                <c:pt idx="31">
                  <c:v>-9.1621347523000054</c:v>
                </c:pt>
                <c:pt idx="32">
                  <c:v>-7.7693666181999959</c:v>
                </c:pt>
                <c:pt idx="33">
                  <c:v>-6.1613365768999984</c:v>
                </c:pt>
              </c:numCache>
            </c:numRef>
          </c:val>
          <c:smooth val="0"/>
          <c:extLst>
            <c:ext xmlns:c16="http://schemas.microsoft.com/office/drawing/2014/chart" uri="{C3380CC4-5D6E-409C-BE32-E72D297353CC}">
              <c16:uniqueId val="{00000003-CC5C-47AB-A226-BF8016023522}"/>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Retail, without motor vehicles (2015=100)</c:v>
                </c:pt>
              </c:strCache>
            </c:strRef>
          </c:tx>
          <c:spPr>
            <a:ln w="15875">
              <a:solidFill>
                <a:schemeClr val="tx1">
                  <a:lumMod val="95000"/>
                  <a:lumOff val="5000"/>
                </a:schemeClr>
              </a:solidFill>
              <a:prstDash val="solid"/>
            </a:ln>
          </c:spPr>
          <c:marker>
            <c:symbol val="none"/>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5a'!$H$67:$H$101</c:f>
              <c:numCache>
                <c:formatCode>#\ ##0.0</c:formatCode>
                <c:ptCount val="35"/>
                <c:pt idx="0">
                  <c:v>98.108903473300003</c:v>
                </c:pt>
                <c:pt idx="1">
                  <c:v>99.176423353299995</c:v>
                </c:pt>
                <c:pt idx="2">
                  <c:v>100.24040488</c:v>
                </c:pt>
                <c:pt idx="3">
                  <c:v>102.4742682967</c:v>
                </c:pt>
                <c:pt idx="4">
                  <c:v>103.00654075999999</c:v>
                </c:pt>
                <c:pt idx="5">
                  <c:v>104.00728415330001</c:v>
                </c:pt>
                <c:pt idx="6">
                  <c:v>105.24950234329999</c:v>
                </c:pt>
                <c:pt idx="7">
                  <c:v>106.61154646670001</c:v>
                </c:pt>
                <c:pt idx="8">
                  <c:v>108.19528997</c:v>
                </c:pt>
                <c:pt idx="9">
                  <c:v>110.67867868</c:v>
                </c:pt>
                <c:pt idx="10">
                  <c:v>111.78129380670001</c:v>
                </c:pt>
                <c:pt idx="11">
                  <c:v>113.06724078329999</c:v>
                </c:pt>
                <c:pt idx="12">
                  <c:v>114.63997826000001</c:v>
                </c:pt>
                <c:pt idx="13">
                  <c:v>116.1216541833</c:v>
                </c:pt>
                <c:pt idx="14">
                  <c:v>116.8100051867</c:v>
                </c:pt>
                <c:pt idx="15">
                  <c:v>118.44840057330001</c:v>
                </c:pt>
                <c:pt idx="16">
                  <c:v>120.6281121367</c:v>
                </c:pt>
                <c:pt idx="17">
                  <c:v>122.0140614733</c:v>
                </c:pt>
                <c:pt idx="18">
                  <c:v>122.3425145833</c:v>
                </c:pt>
                <c:pt idx="19">
                  <c:v>123.4531821267</c:v>
                </c:pt>
                <c:pt idx="20">
                  <c:v>120.2493864533</c:v>
                </c:pt>
                <c:pt idx="21">
                  <c:v>118.9229640667</c:v>
                </c:pt>
                <c:pt idx="22">
                  <c:v>124.4986336633</c:v>
                </c:pt>
                <c:pt idx="23">
                  <c:v>120.6687672467</c:v>
                </c:pt>
                <c:pt idx="24">
                  <c:v>118.2547494033</c:v>
                </c:pt>
                <c:pt idx="25">
                  <c:v>127.38867849330001</c:v>
                </c:pt>
                <c:pt idx="26">
                  <c:v>129.8092831333</c:v>
                </c:pt>
                <c:pt idx="27">
                  <c:v>128.80356586330001</c:v>
                </c:pt>
                <c:pt idx="28">
                  <c:v>126.7213985133</c:v>
                </c:pt>
                <c:pt idx="29">
                  <c:v>123.46006303670001</c:v>
                </c:pt>
                <c:pt idx="30">
                  <c:v>119.72144556000001</c:v>
                </c:pt>
                <c:pt idx="31">
                  <c:v>117.7221057167</c:v>
                </c:pt>
                <c:pt idx="32">
                  <c:v>117.3039514</c:v>
                </c:pt>
                <c:pt idx="33">
                  <c:v>115.9634734933</c:v>
                </c:pt>
              </c:numCache>
            </c:numRef>
          </c:val>
          <c:smooth val="0"/>
          <c:extLst>
            <c:ext xmlns:c16="http://schemas.microsoft.com/office/drawing/2014/chart" uri="{C3380CC4-5D6E-409C-BE32-E72D297353CC}">
              <c16:uniqueId val="{00000004-CC5C-47AB-A226-BF8016023522}"/>
            </c:ext>
          </c:extLst>
        </c:ser>
        <c:ser>
          <c:idx val="2"/>
          <c:order val="5"/>
          <c:tx>
            <c:strRef>
              <c:f>'výkonnost odvětví 5a'!$I$66</c:f>
              <c:strCache>
                <c:ptCount val="1"/>
                <c:pt idx="0">
                  <c:v>Retail sale of fuels (2015=100)</c:v>
                </c:pt>
              </c:strCache>
            </c:strRef>
          </c:tx>
          <c:spPr>
            <a:ln w="15875">
              <a:solidFill>
                <a:schemeClr val="bg2">
                  <a:lumMod val="50000"/>
                </a:schemeClr>
              </a:solidFill>
              <a:prstDash val="sysDash"/>
            </a:ln>
          </c:spPr>
          <c:marker>
            <c:symbol val="none"/>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5a'!$I$67:$I$101</c:f>
              <c:numCache>
                <c:formatCode>#\ ##0.0</c:formatCode>
                <c:ptCount val="35"/>
                <c:pt idx="0">
                  <c:v>98.902861683300003</c:v>
                </c:pt>
                <c:pt idx="1">
                  <c:v>98.641762076700005</c:v>
                </c:pt>
                <c:pt idx="2">
                  <c:v>99.862770576700001</c:v>
                </c:pt>
                <c:pt idx="3">
                  <c:v>102.59260566</c:v>
                </c:pt>
                <c:pt idx="4">
                  <c:v>103.8285317033</c:v>
                </c:pt>
                <c:pt idx="5">
                  <c:v>104.32379247</c:v>
                </c:pt>
                <c:pt idx="6">
                  <c:v>104.5221357667</c:v>
                </c:pt>
                <c:pt idx="7">
                  <c:v>107.6023051833</c:v>
                </c:pt>
                <c:pt idx="8">
                  <c:v>108.0502921967</c:v>
                </c:pt>
                <c:pt idx="9">
                  <c:v>110.9173406033</c:v>
                </c:pt>
                <c:pt idx="10">
                  <c:v>110.9835808433</c:v>
                </c:pt>
                <c:pt idx="11">
                  <c:v>114.18133895</c:v>
                </c:pt>
                <c:pt idx="12">
                  <c:v>114.0189565133</c:v>
                </c:pt>
                <c:pt idx="13">
                  <c:v>116.6800979633</c:v>
                </c:pt>
                <c:pt idx="14">
                  <c:v>114.09303906</c:v>
                </c:pt>
                <c:pt idx="15">
                  <c:v>117.57587906329999</c:v>
                </c:pt>
                <c:pt idx="16">
                  <c:v>119.1994867133</c:v>
                </c:pt>
                <c:pt idx="17">
                  <c:v>120.0230451167</c:v>
                </c:pt>
                <c:pt idx="18">
                  <c:v>115.19566012999999</c:v>
                </c:pt>
                <c:pt idx="19">
                  <c:v>118.16034127</c:v>
                </c:pt>
                <c:pt idx="20">
                  <c:v>111.2296162433</c:v>
                </c:pt>
                <c:pt idx="21">
                  <c:v>100.0761487333</c:v>
                </c:pt>
                <c:pt idx="22">
                  <c:v>114.00860915</c:v>
                </c:pt>
                <c:pt idx="23">
                  <c:v>104.65409344</c:v>
                </c:pt>
                <c:pt idx="24">
                  <c:v>102.30890399</c:v>
                </c:pt>
                <c:pt idx="25">
                  <c:v>111.00930954330001</c:v>
                </c:pt>
                <c:pt idx="26">
                  <c:v>117.89445022</c:v>
                </c:pt>
                <c:pt idx="27">
                  <c:v>114.65352857329999</c:v>
                </c:pt>
                <c:pt idx="28">
                  <c:v>114.9526703933</c:v>
                </c:pt>
                <c:pt idx="29">
                  <c:v>105.8215033167</c:v>
                </c:pt>
                <c:pt idx="30">
                  <c:v>105.88666473000001</c:v>
                </c:pt>
                <c:pt idx="31">
                  <c:v>111.18406157</c:v>
                </c:pt>
                <c:pt idx="32">
                  <c:v>115.6996360333</c:v>
                </c:pt>
                <c:pt idx="33">
                  <c:v>115.7992331367</c:v>
                </c:pt>
              </c:numCache>
            </c:numRef>
          </c:val>
          <c:smooth val="0"/>
          <c:extLst>
            <c:ext xmlns:c16="http://schemas.microsoft.com/office/drawing/2014/chart" uri="{C3380CC4-5D6E-409C-BE32-E72D297353CC}">
              <c16:uniqueId val="{00000005-CC5C-47AB-A226-BF8016023522}"/>
            </c:ext>
          </c:extLst>
        </c:ser>
        <c:ser>
          <c:idx val="6"/>
          <c:order val="6"/>
          <c:tx>
            <c:strRef>
              <c:f>'výkonnost odvětví 5a'!$J$66</c:f>
              <c:strCache>
                <c:ptCount val="1"/>
                <c:pt idx="0">
                  <c:v>Sale and repair of motor vehicles (2015=100)</c:v>
                </c:pt>
              </c:strCache>
            </c:strRef>
          </c:tx>
          <c:spPr>
            <a:ln w="15875">
              <a:solidFill>
                <a:srgbClr val="984807"/>
              </a:solidFill>
              <a:prstDash val="solid"/>
            </a:ln>
          </c:spPr>
          <c:marker>
            <c:symbol val="none"/>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5a'!$J$67:$J$101</c:f>
              <c:numCache>
                <c:formatCode>#\ ##0.0</c:formatCode>
                <c:ptCount val="35"/>
                <c:pt idx="0">
                  <c:v>95.674913026699997</c:v>
                </c:pt>
                <c:pt idx="1">
                  <c:v>98.560016843300005</c:v>
                </c:pt>
                <c:pt idx="2">
                  <c:v>101.3110491433</c:v>
                </c:pt>
                <c:pt idx="3">
                  <c:v>104.4540209833</c:v>
                </c:pt>
                <c:pt idx="4">
                  <c:v>105.0998844667</c:v>
                </c:pt>
                <c:pt idx="5">
                  <c:v>106.7466534533</c:v>
                </c:pt>
                <c:pt idx="6">
                  <c:v>108.98378878</c:v>
                </c:pt>
                <c:pt idx="7">
                  <c:v>109.86758091</c:v>
                </c:pt>
                <c:pt idx="8">
                  <c:v>110.82769768</c:v>
                </c:pt>
                <c:pt idx="9">
                  <c:v>111.3855907467</c:v>
                </c:pt>
                <c:pt idx="10">
                  <c:v>109.70167963</c:v>
                </c:pt>
                <c:pt idx="11">
                  <c:v>112.16470217</c:v>
                </c:pt>
                <c:pt idx="12">
                  <c:v>110.27402299000001</c:v>
                </c:pt>
                <c:pt idx="13">
                  <c:v>109.89581527670001</c:v>
                </c:pt>
                <c:pt idx="14">
                  <c:v>109.1303319867</c:v>
                </c:pt>
                <c:pt idx="15">
                  <c:v>106.65518174</c:v>
                </c:pt>
                <c:pt idx="16">
                  <c:v>109.01463176999999</c:v>
                </c:pt>
                <c:pt idx="17">
                  <c:v>110.7507360833</c:v>
                </c:pt>
                <c:pt idx="18">
                  <c:v>109.8768517733</c:v>
                </c:pt>
                <c:pt idx="19">
                  <c:v>110.48031871000001</c:v>
                </c:pt>
                <c:pt idx="20">
                  <c:v>95.676395003300001</c:v>
                </c:pt>
                <c:pt idx="21">
                  <c:v>77.407445156700007</c:v>
                </c:pt>
                <c:pt idx="22">
                  <c:v>101.0189567533</c:v>
                </c:pt>
                <c:pt idx="23">
                  <c:v>102.6341597167</c:v>
                </c:pt>
                <c:pt idx="24">
                  <c:v>101.92430179</c:v>
                </c:pt>
                <c:pt idx="25">
                  <c:v>104.87521293</c:v>
                </c:pt>
                <c:pt idx="26">
                  <c:v>99.9690871233</c:v>
                </c:pt>
                <c:pt idx="27">
                  <c:v>98.537373770000002</c:v>
                </c:pt>
                <c:pt idx="28">
                  <c:v>98.516458040000003</c:v>
                </c:pt>
                <c:pt idx="29">
                  <c:v>97.982255116700003</c:v>
                </c:pt>
                <c:pt idx="30">
                  <c:v>96.567339416699994</c:v>
                </c:pt>
                <c:pt idx="31">
                  <c:v>97.582321260000001</c:v>
                </c:pt>
                <c:pt idx="32">
                  <c:v>102.41315423</c:v>
                </c:pt>
                <c:pt idx="33">
                  <c:v>99.666500956700006</c:v>
                </c:pt>
              </c:numCache>
            </c:numRef>
          </c:val>
          <c:smooth val="0"/>
          <c:extLst>
            <c:ext xmlns:c16="http://schemas.microsoft.com/office/drawing/2014/chart" uri="{C3380CC4-5D6E-409C-BE32-E72D297353CC}">
              <c16:uniqueId val="{00000006-CC5C-47AB-A226-BF8016023522}"/>
            </c:ext>
          </c:extLst>
        </c:ser>
        <c:ser>
          <c:idx val="7"/>
          <c:order val="7"/>
          <c:tx>
            <c:strRef>
              <c:f>'výkonnost odvětví 5a'!$K$66</c:f>
              <c:strCache>
                <c:ptCount val="1"/>
              </c:strCache>
            </c:strRef>
          </c:tx>
          <c:spPr>
            <a:ln w="3175">
              <a:noFill/>
              <a:prstDash val="sysDash"/>
            </a:ln>
          </c:spPr>
          <c:marker>
            <c:symbol val="none"/>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5a'!$K$67:$K$101</c:f>
              <c:numCache>
                <c:formatCode>General</c:formatCode>
                <c:ptCount val="35"/>
              </c:numCache>
            </c:numRef>
          </c:val>
          <c:smooth val="0"/>
          <c:extLst>
            <c:ext xmlns:c16="http://schemas.microsoft.com/office/drawing/2014/chart" uri="{C3380CC4-5D6E-409C-BE32-E72D297353CC}">
              <c16:uniqueId val="{00000007-CC5C-47AB-A226-BF8016023522}"/>
            </c:ext>
          </c:extLst>
        </c:ser>
        <c:ser>
          <c:idx val="8"/>
          <c:order val="8"/>
          <c:tx>
            <c:strRef>
              <c:f>'výkonnost odvětví 5a'!$L$66</c:f>
              <c:strCache>
                <c:ptCount val="1"/>
                <c:pt idx="0">
                  <c:v>Consumer confidence indicator</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5a'!$L$67:$L$101</c:f>
              <c:numCache>
                <c:formatCode>0.0</c:formatCode>
                <c:ptCount val="35"/>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numCache>
            </c:numRef>
          </c:val>
          <c:smooth val="0"/>
          <c:extLst>
            <c:ext xmlns:c16="http://schemas.microsoft.com/office/drawing/2014/chart" uri="{C3380CC4-5D6E-409C-BE32-E72D297353CC}">
              <c16:uniqueId val="{00000008-CC5C-47AB-A226-BF8016023522}"/>
            </c:ext>
          </c:extLst>
        </c:ser>
        <c:ser>
          <c:idx val="9"/>
          <c:order val="9"/>
          <c:tx>
            <c:strRef>
              <c:f>'výkonnost odvětví 5a'!$M$66</c:f>
              <c:strCache>
                <c:ptCount val="1"/>
                <c:pt idx="0">
                  <c:v>Confidence indicator in retail trade</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5a'!$B$67:$C$101</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5a'!$M$67:$M$101</c:f>
              <c:numCache>
                <c:formatCode>0.0</c:formatCode>
                <c:ptCount val="35"/>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numCache>
            </c:numRef>
          </c:val>
          <c:smooth val="0"/>
          <c:extLst>
            <c:ext xmlns:c16="http://schemas.microsoft.com/office/drawing/2014/chart" uri="{C3380CC4-5D6E-409C-BE32-E72D297353CC}">
              <c16:uniqueId val="{00000009-CC5C-47AB-A226-BF8016023522}"/>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Contribution to the change of sales in retail</a:t>
                </a:r>
                <a:endParaRPr lang="cs-CZ" sz="700">
                  <a:effectLst/>
                </a:endParaRPr>
              </a:p>
            </c:rich>
          </c:tx>
          <c:layout>
            <c:manualLayout>
              <c:xMode val="edge"/>
              <c:yMode val="edge"/>
              <c:x val="2.6087397333118146E-3"/>
              <c:y val="0.11010118623789662"/>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40"/>
          <c:min val="-4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en-GB" sz="700" i="1">
                    <a:effectLst/>
                  </a:rPr>
                  <a:t>Sales (2015 = 100), </a:t>
                </a:r>
                <a:r>
                  <a:rPr lang="cs-CZ" sz="700" i="1">
                    <a:effectLst/>
                  </a:rPr>
                  <a:t>consumer</a:t>
                </a:r>
                <a:r>
                  <a:rPr lang="en-GB" sz="700" i="1">
                    <a:effectLst/>
                  </a:rPr>
                  <a:t> </a:t>
                </a:r>
                <a:r>
                  <a:rPr lang="cs-CZ" sz="700" i="1">
                    <a:effectLst/>
                  </a:rPr>
                  <a:t>and retail</a:t>
                </a:r>
                <a:r>
                  <a:rPr lang="cs-CZ" sz="700" i="1" baseline="0">
                    <a:effectLst/>
                  </a:rPr>
                  <a:t> </a:t>
                </a:r>
                <a:r>
                  <a:rPr lang="en-GB" sz="700" i="1">
                    <a:effectLst/>
                  </a:rPr>
                  <a:t>confidence </a:t>
                </a:r>
                <a:endParaRPr lang="cs-CZ" sz="700">
                  <a:effectLst/>
                </a:endParaRPr>
              </a:p>
            </c:rich>
          </c:tx>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0"/>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7.8026315789473683E-3"/>
          <c:y val="0.837216076019483"/>
          <c:w val="0.98158751044277359"/>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3" ma:contentTypeDescription="Vytvoří nový dokument" ma:contentTypeScope="" ma:versionID="3072f6f3e77686ec6964bf5712aff85a">
  <xsd:schema xmlns:xsd="http://www.w3.org/2001/XMLSchema" xmlns:xs="http://www.w3.org/2001/XMLSchema" xmlns:p="http://schemas.microsoft.com/office/2006/metadata/properties" xmlns:ns2="eabc42bd-08fe-4a27-9645-04f6ad96d74a" targetNamespace="http://schemas.microsoft.com/office/2006/metadata/properties" ma:root="true" ma:fieldsID="572e7ed591a9b745512fd70b2662d46d" ns2:_="">
    <xsd:import namespace="eabc42bd-08fe-4a27-9645-04f6ad96d7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0CFD8-CD6F-4E0C-A345-781C95A8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A5582-E746-4A43-A90C-8FB54877DB1B}">
  <ds:schemaRefs>
    <ds:schemaRef ds:uri="http://schemas.openxmlformats.org/officeDocument/2006/bibliography"/>
  </ds:schemaRefs>
</ds:datastoreItem>
</file>

<file path=customXml/itemProps5.xml><?xml version="1.0" encoding="utf-8"?>
<ds:datastoreItem xmlns:ds="http://schemas.openxmlformats.org/officeDocument/2006/customXml" ds:itemID="{D6A7A30B-3336-4579-94F7-2D6F60C1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6</TotalTime>
  <Pages>11</Pages>
  <Words>5318</Words>
  <Characters>31382</Characters>
  <Application>Microsoft Office Word</Application>
  <DocSecurity>0</DocSecurity>
  <Lines>261</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2023-06-09T17:23:00Z</cp:lastPrinted>
  <dcterms:created xsi:type="dcterms:W3CDTF">2023-10-17T10:13:00Z</dcterms:created>
  <dcterms:modified xsi:type="dcterms:W3CDTF">2023-10-17T10:24:00Z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y fmtid="{D5CDD505-2E9C-101B-9397-08002B2CF9AE}" pid="3" name="MSIP_Label_29db9e61-aac5-4f6e-805d-ceb8cb9983a1_Enabled">
    <vt:lpwstr>true</vt:lpwstr>
  </property>
  <property fmtid="{D5CDD505-2E9C-101B-9397-08002B2CF9AE}" pid="4" name="MSIP_Label_29db9e61-aac5-4f6e-805d-ceb8cb9983a1_SetDate">
    <vt:lpwstr>2023-09-17T16:05:15Z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bc2e51ea-0f16-4c13-bd82-d5a39cb11630</vt:lpwstr>
  </property>
  <property fmtid="{D5CDD505-2E9C-101B-9397-08002B2CF9AE}" pid="9" name="MSIP_Label_29db9e61-aac5-4f6e-805d-ceb8cb9983a1_ContentBits">
    <vt:lpwstr>0</vt:lpwstr>
  </property>
</Properties>
</file>