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98" w:rsidRPr="00CB09D5" w:rsidRDefault="00624198" w:rsidP="00D94859">
      <w:pPr>
        <w:rPr>
          <w:sz w:val="2"/>
          <w:szCs w:val="2"/>
          <w:lang w:val="en-GB"/>
        </w:rPr>
      </w:pPr>
    </w:p>
    <w:p w:rsidR="00EB6063" w:rsidRDefault="00092BD9" w:rsidP="00111303">
      <w:pPr>
        <w:pStyle w:val="Nadpis1"/>
        <w:numPr>
          <w:ilvl w:val="0"/>
          <w:numId w:val="21"/>
        </w:numPr>
        <w:jc w:val="both"/>
        <w:rPr>
          <w:lang w:val="en-GB"/>
        </w:rPr>
      </w:pPr>
      <w:bookmarkStart w:id="0" w:name="_Toc469299936"/>
      <w:bookmarkStart w:id="1" w:name="_Toc469327805"/>
      <w:r w:rsidRPr="00CB09D5">
        <w:rPr>
          <w:lang w:val="en-GB"/>
        </w:rPr>
        <w:t>State Budget</w:t>
      </w:r>
      <w:bookmarkEnd w:id="0"/>
      <w:bookmarkEnd w:id="1"/>
    </w:p>
    <w:tbl>
      <w:tblPr>
        <w:tblW w:w="5000" w:type="pct"/>
        <w:tblCellMar>
          <w:left w:w="28" w:type="dxa"/>
          <w:right w:w="28" w:type="dxa"/>
        </w:tblCellMar>
        <w:tblLook w:val="04A0"/>
      </w:tblPr>
      <w:tblGrid>
        <w:gridCol w:w="2044"/>
        <w:gridCol w:w="275"/>
        <w:gridCol w:w="7375"/>
      </w:tblGrid>
      <w:tr w:rsidR="008A03DE" w:rsidRPr="00CB09D5" w:rsidTr="008A03DE">
        <w:tc>
          <w:tcPr>
            <w:tcW w:w="1054" w:type="pct"/>
          </w:tcPr>
          <w:p w:rsidR="008A03DE" w:rsidRPr="00CB09D5" w:rsidRDefault="00FE5BCA" w:rsidP="00FE5BCA">
            <w:pPr>
              <w:spacing w:line="240" w:lineRule="auto"/>
              <w:rPr>
                <w:rFonts w:cs="Arial"/>
                <w:color w:val="0D0D0D"/>
                <w:spacing w:val="-4"/>
                <w:sz w:val="16"/>
                <w:szCs w:val="16"/>
                <w:lang w:val="en-GB"/>
              </w:rPr>
            </w:pPr>
            <w:r w:rsidRPr="00CB09D5">
              <w:rPr>
                <w:rFonts w:cs="Arial"/>
                <w:color w:val="0D0D0D"/>
                <w:spacing w:val="-4"/>
                <w:sz w:val="16"/>
                <w:szCs w:val="16"/>
                <w:lang w:val="en-GB"/>
              </w:rPr>
              <w:t xml:space="preserve">The state budget </w:t>
            </w:r>
            <w:r w:rsidR="008A03DE" w:rsidRPr="00CB09D5">
              <w:rPr>
                <w:rFonts w:cs="Arial"/>
                <w:color w:val="0D0D0D"/>
                <w:spacing w:val="-4"/>
                <w:sz w:val="16"/>
                <w:szCs w:val="16"/>
                <w:lang w:val="en-GB"/>
              </w:rPr>
              <w:t>(S</w:t>
            </w:r>
            <w:r w:rsidRPr="00CB09D5">
              <w:rPr>
                <w:rFonts w:cs="Arial"/>
                <w:color w:val="0D0D0D"/>
                <w:spacing w:val="-4"/>
                <w:sz w:val="16"/>
                <w:szCs w:val="16"/>
                <w:lang w:val="en-GB"/>
              </w:rPr>
              <w:t>B</w:t>
            </w:r>
            <w:r w:rsidR="008A03DE" w:rsidRPr="00CB09D5">
              <w:rPr>
                <w:rFonts w:cs="Arial"/>
                <w:color w:val="0D0D0D"/>
                <w:spacing w:val="-4"/>
                <w:sz w:val="16"/>
                <w:szCs w:val="16"/>
                <w:lang w:val="en-GB"/>
              </w:rPr>
              <w:t>)</w:t>
            </w:r>
            <w:r w:rsidRPr="00CB09D5">
              <w:rPr>
                <w:rFonts w:cs="Arial"/>
                <w:color w:val="0D0D0D"/>
                <w:spacing w:val="-4"/>
                <w:sz w:val="16"/>
                <w:szCs w:val="16"/>
                <w:lang w:val="en-GB"/>
              </w:rPr>
              <w:t xml:space="preserve"> was driven to the record surplus by the income from the EU (mostly due to strong completion of drawing on funds in </w:t>
            </w:r>
            <w:r w:rsidR="00AB2797" w:rsidRPr="00CB09D5">
              <w:rPr>
                <w:rFonts w:cs="Arial"/>
                <w:color w:val="0D0D0D"/>
                <w:spacing w:val="-4"/>
                <w:sz w:val="16"/>
                <w:szCs w:val="16"/>
                <w:lang w:val="en-GB"/>
              </w:rPr>
              <w:t xml:space="preserve">the </w:t>
            </w:r>
            <w:r w:rsidRPr="00CB09D5">
              <w:rPr>
                <w:rFonts w:cs="Arial"/>
                <w:color w:val="0D0D0D"/>
                <w:spacing w:val="-4"/>
                <w:sz w:val="16"/>
                <w:szCs w:val="16"/>
                <w:lang w:val="en-GB"/>
              </w:rPr>
              <w:t xml:space="preserve">year 2015) accompanied by the effects of continuing economic growth last year.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111303" w:rsidRDefault="00FE5BCA" w:rsidP="008A03DE">
            <w:pPr>
              <w:pStyle w:val="Textpoznpodarou"/>
              <w:jc w:val="both"/>
              <w:rPr>
                <w:rFonts w:cs="Arial"/>
                <w:color w:val="0D0D0D"/>
                <w:lang w:val="en-GB"/>
              </w:rPr>
            </w:pPr>
            <w:r w:rsidRPr="00111303">
              <w:rPr>
                <w:rFonts w:cs="Arial"/>
                <w:color w:val="0D0D0D"/>
                <w:lang w:val="en-GB"/>
              </w:rPr>
              <w:t xml:space="preserve">The state budget (SB) ended </w:t>
            </w:r>
            <w:r w:rsidR="008C2BDA" w:rsidRPr="00111303">
              <w:rPr>
                <w:rFonts w:cs="Arial"/>
                <w:color w:val="0D0D0D"/>
                <w:lang w:val="en-GB"/>
              </w:rPr>
              <w:t>according</w:t>
            </w:r>
            <w:r w:rsidRPr="00111303">
              <w:rPr>
                <w:rFonts w:cs="Arial"/>
                <w:color w:val="0D0D0D"/>
                <w:lang w:val="en-GB"/>
              </w:rPr>
              <w:t xml:space="preserve"> to the cash fulfilment in surplus in the amount of </w:t>
            </w:r>
            <w:r w:rsidR="000A68A7" w:rsidRPr="00111303">
              <w:rPr>
                <w:rFonts w:cs="Arial"/>
                <w:color w:val="0D0D0D"/>
                <w:lang w:val="en-GB"/>
              </w:rPr>
              <w:t>61</w:t>
            </w:r>
            <w:r w:rsidR="00705CA7" w:rsidRPr="00111303">
              <w:rPr>
                <w:rFonts w:cs="Arial"/>
                <w:color w:val="0D0D0D"/>
                <w:lang w:val="en-GB"/>
              </w:rPr>
              <w:t>.</w:t>
            </w:r>
            <w:r w:rsidR="000A68A7" w:rsidRPr="00111303">
              <w:rPr>
                <w:rFonts w:cs="Arial"/>
                <w:color w:val="0D0D0D"/>
                <w:lang w:val="en-GB"/>
              </w:rPr>
              <w:t xml:space="preserve">8 </w:t>
            </w:r>
            <w:r w:rsidR="00C4216C" w:rsidRPr="00111303">
              <w:rPr>
                <w:rFonts w:cs="Arial"/>
                <w:color w:val="0D0D0D"/>
                <w:lang w:val="en-GB"/>
              </w:rPr>
              <w:t>CZK bn</w:t>
            </w:r>
            <w:r w:rsidR="00D75E60" w:rsidRPr="00111303">
              <w:rPr>
                <w:rFonts w:cs="Arial"/>
                <w:color w:val="0D0D0D"/>
                <w:lang w:val="en-GB"/>
              </w:rPr>
              <w:t xml:space="preserve"> in 2016 </w:t>
            </w:r>
            <w:r w:rsidR="000A68A7" w:rsidRPr="00111303">
              <w:rPr>
                <w:rFonts w:cs="Arial"/>
                <w:color w:val="0D0D0D"/>
                <w:lang w:val="en-GB"/>
              </w:rPr>
              <w:t>(</w:t>
            </w:r>
            <w:r w:rsidR="00FD419D" w:rsidRPr="00111303">
              <w:rPr>
                <w:rFonts w:cs="Arial"/>
                <w:color w:val="0D0D0D"/>
                <w:lang w:val="en-GB"/>
              </w:rPr>
              <w:t xml:space="preserve">it was a deficit of 62.8 bn in </w:t>
            </w:r>
            <w:r w:rsidR="000A68A7" w:rsidRPr="00111303">
              <w:rPr>
                <w:rFonts w:cs="Arial"/>
                <w:color w:val="0D0D0D"/>
                <w:lang w:val="en-GB"/>
              </w:rPr>
              <w:t>2015</w:t>
            </w:r>
            <w:r w:rsidR="008A03DE" w:rsidRPr="00111303">
              <w:rPr>
                <w:rFonts w:cs="Arial"/>
                <w:color w:val="0D0D0D"/>
                <w:lang w:val="en-GB"/>
              </w:rPr>
              <w:t xml:space="preserve">). </w:t>
            </w:r>
            <w:r w:rsidR="00F164A8" w:rsidRPr="00111303">
              <w:rPr>
                <w:rFonts w:cs="Arial"/>
                <w:color w:val="0D0D0D"/>
                <w:lang w:val="en-GB"/>
              </w:rPr>
              <w:t>The budget surplus was last achieved in the history of the independ</w:t>
            </w:r>
            <w:r w:rsidR="008C2BDA" w:rsidRPr="00111303">
              <w:rPr>
                <w:rFonts w:cs="Arial"/>
                <w:color w:val="0D0D0D"/>
                <w:lang w:val="en-GB"/>
              </w:rPr>
              <w:t>ent</w:t>
            </w:r>
            <w:r w:rsidR="00F164A8" w:rsidRPr="00111303">
              <w:rPr>
                <w:rFonts w:cs="Arial"/>
                <w:color w:val="0D0D0D"/>
                <w:lang w:val="en-GB"/>
              </w:rPr>
              <w:t xml:space="preserve"> CR in th</w:t>
            </w:r>
            <w:r w:rsidR="008C2BDA" w:rsidRPr="00111303">
              <w:rPr>
                <w:rFonts w:cs="Arial"/>
                <w:color w:val="0D0D0D"/>
                <w:lang w:val="en-GB"/>
              </w:rPr>
              <w:t>e</w:t>
            </w:r>
            <w:r w:rsidR="00F164A8" w:rsidRPr="00111303">
              <w:rPr>
                <w:rFonts w:cs="Arial"/>
                <w:color w:val="0D0D0D"/>
                <w:lang w:val="en-GB"/>
              </w:rPr>
              <w:t xml:space="preserve"> period of </w:t>
            </w:r>
            <w:r w:rsidR="00AB2797" w:rsidRPr="00111303">
              <w:rPr>
                <w:rFonts w:cs="Arial"/>
                <w:color w:val="0D0D0D"/>
                <w:lang w:val="en-GB"/>
              </w:rPr>
              <w:t xml:space="preserve">the </w:t>
            </w:r>
            <w:r w:rsidR="00F164A8" w:rsidRPr="00111303">
              <w:rPr>
                <w:rFonts w:cs="Arial"/>
                <w:color w:val="0D0D0D"/>
                <w:lang w:val="en-GB"/>
              </w:rPr>
              <w:t xml:space="preserve">years </w:t>
            </w:r>
            <w:r w:rsidR="00494AAB" w:rsidRPr="00111303">
              <w:rPr>
                <w:rFonts w:cs="Arial"/>
                <w:color w:val="0D0D0D"/>
                <w:lang w:val="en-GB"/>
              </w:rPr>
              <w:t>1993</w:t>
            </w:r>
            <w:r w:rsidR="00494AAB" w:rsidRPr="00111303">
              <w:rPr>
                <w:rFonts w:cs="Arial"/>
                <w:color w:val="0D0D0D" w:themeColor="text1" w:themeTint="F2"/>
                <w:lang w:val="en-GB"/>
              </w:rPr>
              <w:t>–</w:t>
            </w:r>
            <w:r w:rsidR="008A03DE" w:rsidRPr="00111303">
              <w:rPr>
                <w:rFonts w:cs="Arial"/>
                <w:color w:val="0D0D0D"/>
                <w:lang w:val="en-GB"/>
              </w:rPr>
              <w:t>1995.</w:t>
            </w:r>
            <w:r w:rsidR="00F164A8" w:rsidRPr="00111303">
              <w:rPr>
                <w:rFonts w:cs="Arial"/>
                <w:color w:val="0D0D0D"/>
                <w:lang w:val="en-GB"/>
              </w:rPr>
              <w:t xml:space="preserve"> </w:t>
            </w:r>
            <w:r w:rsidR="00C975FC" w:rsidRPr="00111303">
              <w:rPr>
                <w:rFonts w:cs="Arial"/>
                <w:color w:val="0D0D0D"/>
                <w:lang w:val="en-GB"/>
              </w:rPr>
              <w:t>The irregularities in the drawing on European funds</w:t>
            </w:r>
            <w:r w:rsidR="00D50ED8" w:rsidRPr="00111303">
              <w:rPr>
                <w:rFonts w:cs="Arial"/>
                <w:color w:val="0D0D0D"/>
                <w:lang w:val="en-GB"/>
              </w:rPr>
              <w:t xml:space="preserve"> at the turn of th</w:t>
            </w:r>
            <w:r w:rsidR="00C975FC" w:rsidRPr="00111303">
              <w:rPr>
                <w:rFonts w:cs="Arial"/>
                <w:color w:val="0D0D0D"/>
                <w:lang w:val="en-GB"/>
              </w:rPr>
              <w:t xml:space="preserve">e EU programme periods were majorly reflected in the last year’s result. On the </w:t>
            </w:r>
            <w:r w:rsidRPr="00111303">
              <w:rPr>
                <w:rFonts w:cs="Arial"/>
                <w:color w:val="000000"/>
                <w:lang w:val="en-GB"/>
              </w:rPr>
              <w:t>income</w:t>
            </w:r>
            <w:r w:rsidR="00C975FC" w:rsidRPr="00111303">
              <w:rPr>
                <w:rFonts w:cs="Arial"/>
                <w:color w:val="000000"/>
                <w:lang w:val="en-GB"/>
              </w:rPr>
              <w:t xml:space="preserve"> side </w:t>
            </w:r>
            <w:r w:rsidR="008A03DE" w:rsidRPr="00111303">
              <w:rPr>
                <w:rFonts w:cs="Arial"/>
                <w:color w:val="000000"/>
                <w:lang w:val="en-GB"/>
              </w:rPr>
              <w:t>(157</w:t>
            </w:r>
            <w:r w:rsidR="00C975FC" w:rsidRPr="00111303">
              <w:rPr>
                <w:rFonts w:cs="Arial"/>
                <w:color w:val="000000"/>
                <w:lang w:val="en-GB"/>
              </w:rPr>
              <w:t>.</w:t>
            </w:r>
            <w:r w:rsidR="008A03DE" w:rsidRPr="00111303">
              <w:rPr>
                <w:rFonts w:cs="Arial"/>
                <w:color w:val="000000"/>
                <w:lang w:val="en-GB"/>
              </w:rPr>
              <w:t xml:space="preserve">8 </w:t>
            </w:r>
            <w:r w:rsidR="00C4216C" w:rsidRPr="00111303">
              <w:rPr>
                <w:rFonts w:cs="Arial"/>
                <w:color w:val="000000"/>
                <w:lang w:val="en-GB"/>
              </w:rPr>
              <w:t>CZK bn</w:t>
            </w:r>
            <w:r w:rsidR="008A03DE" w:rsidRPr="00111303">
              <w:rPr>
                <w:rFonts w:cs="Arial"/>
                <w:color w:val="000000"/>
                <w:lang w:val="en-GB"/>
              </w:rPr>
              <w:t>)</w:t>
            </w:r>
            <w:r w:rsidR="00C975FC" w:rsidRPr="00111303">
              <w:rPr>
                <w:rFonts w:cs="Arial"/>
                <w:color w:val="000000"/>
                <w:lang w:val="en-GB"/>
              </w:rPr>
              <w:t>, it presented for the most part funds still bound to the</w:t>
            </w:r>
            <w:r w:rsidR="00D50ED8" w:rsidRPr="00111303">
              <w:rPr>
                <w:rFonts w:cs="Arial"/>
                <w:color w:val="000000"/>
                <w:lang w:val="en-GB"/>
              </w:rPr>
              <w:t xml:space="preserve"> expiring</w:t>
            </w:r>
            <w:r w:rsidR="00C975FC" w:rsidRPr="00111303">
              <w:rPr>
                <w:rFonts w:cs="Arial"/>
                <w:color w:val="000000"/>
                <w:lang w:val="en-GB"/>
              </w:rPr>
              <w:t xml:space="preserve"> programme period </w:t>
            </w:r>
            <w:r w:rsidR="00494AAB" w:rsidRPr="00111303">
              <w:rPr>
                <w:rFonts w:cs="Arial"/>
                <w:color w:val="000000"/>
                <w:lang w:val="en-GB"/>
              </w:rPr>
              <w:t>(2007</w:t>
            </w:r>
            <w:r w:rsidR="00494AAB" w:rsidRPr="00111303">
              <w:rPr>
                <w:rFonts w:cs="Arial"/>
                <w:color w:val="0D0D0D" w:themeColor="text1" w:themeTint="F2"/>
                <w:lang w:val="en-GB"/>
              </w:rPr>
              <w:t>–</w:t>
            </w:r>
            <w:r w:rsidR="008A03DE" w:rsidRPr="00111303">
              <w:rPr>
                <w:rFonts w:cs="Arial"/>
                <w:color w:val="000000"/>
                <w:lang w:val="en-GB"/>
              </w:rPr>
              <w:t xml:space="preserve">2013), </w:t>
            </w:r>
            <w:r w:rsidR="00C975FC" w:rsidRPr="00111303">
              <w:rPr>
                <w:rFonts w:cs="Arial"/>
                <w:color w:val="000000"/>
                <w:lang w:val="en-GB"/>
              </w:rPr>
              <w:t xml:space="preserve">while among the investment expenditure of the SB </w:t>
            </w:r>
            <w:r w:rsidR="008A03DE" w:rsidRPr="00111303">
              <w:rPr>
                <w:rFonts w:cs="Arial"/>
                <w:color w:val="000000"/>
                <w:lang w:val="en-GB"/>
              </w:rPr>
              <w:t>(84</w:t>
            </w:r>
            <w:r w:rsidR="00C975FC" w:rsidRPr="00111303">
              <w:rPr>
                <w:rFonts w:cs="Arial"/>
                <w:color w:val="000000"/>
                <w:lang w:val="en-GB"/>
              </w:rPr>
              <w:t>.</w:t>
            </w:r>
            <w:r w:rsidR="008A03DE" w:rsidRPr="00111303">
              <w:rPr>
                <w:rFonts w:cs="Arial"/>
                <w:color w:val="000000"/>
                <w:lang w:val="en-GB"/>
              </w:rPr>
              <w:t xml:space="preserve">7 </w:t>
            </w:r>
            <w:r w:rsidR="00C975FC" w:rsidRPr="00111303">
              <w:rPr>
                <w:rFonts w:cs="Arial"/>
                <w:color w:val="000000"/>
                <w:lang w:val="en-GB"/>
              </w:rPr>
              <w:t>bn</w:t>
            </w:r>
            <w:r w:rsidR="008A03DE" w:rsidRPr="00111303">
              <w:rPr>
                <w:rFonts w:cs="Arial"/>
                <w:color w:val="000000"/>
                <w:lang w:val="en-GB"/>
              </w:rPr>
              <w:t>)</w:t>
            </w:r>
            <w:r w:rsidR="00C975FC" w:rsidRPr="00111303">
              <w:rPr>
                <w:rFonts w:cs="Arial"/>
                <w:color w:val="000000"/>
                <w:lang w:val="en-GB"/>
              </w:rPr>
              <w:t xml:space="preserve"> the lower total readiness of projects on the start of the new programme period had an impact. </w:t>
            </w:r>
            <w:r w:rsidR="0081100A" w:rsidRPr="00111303">
              <w:rPr>
                <w:rFonts w:cs="Arial"/>
                <w:color w:val="000000"/>
                <w:lang w:val="en-GB"/>
              </w:rPr>
              <w:t xml:space="preserve">The continuing expansion of the economy also played a role in the last year SB balance, when all the tax incomes </w:t>
            </w:r>
            <w:r w:rsidR="008A03DE" w:rsidRPr="00111303">
              <w:rPr>
                <w:rFonts w:cs="Arial"/>
                <w:color w:val="000000"/>
                <w:lang w:val="en-GB"/>
              </w:rPr>
              <w:t>(</w:t>
            </w:r>
            <w:r w:rsidR="0081100A" w:rsidRPr="00111303">
              <w:rPr>
                <w:rFonts w:cs="Arial"/>
                <w:color w:val="000000"/>
                <w:lang w:val="en-GB"/>
              </w:rPr>
              <w:t>excluding insurance</w:t>
            </w:r>
            <w:r w:rsidR="008A03DE" w:rsidRPr="00111303">
              <w:rPr>
                <w:rFonts w:cs="Arial"/>
                <w:color w:val="000000"/>
                <w:lang w:val="en-GB"/>
              </w:rPr>
              <w:t xml:space="preserve">) </w:t>
            </w:r>
            <w:r w:rsidR="0081100A" w:rsidRPr="00111303">
              <w:rPr>
                <w:rFonts w:cs="Arial"/>
                <w:color w:val="000000"/>
                <w:lang w:val="en-GB"/>
              </w:rPr>
              <w:t xml:space="preserve">strengthened by </w:t>
            </w:r>
            <w:r w:rsidR="008A03DE" w:rsidRPr="00111303">
              <w:rPr>
                <w:rFonts w:cs="Arial"/>
                <w:color w:val="000000"/>
                <w:lang w:val="en-GB"/>
              </w:rPr>
              <w:t>7</w:t>
            </w:r>
            <w:r w:rsidR="0081100A" w:rsidRPr="00111303">
              <w:rPr>
                <w:rFonts w:cs="Arial"/>
                <w:color w:val="000000"/>
                <w:lang w:val="en-GB"/>
              </w:rPr>
              <w:t>.</w:t>
            </w:r>
            <w:r w:rsidR="00DD003B" w:rsidRPr="00111303">
              <w:rPr>
                <w:rFonts w:cs="Arial"/>
                <w:color w:val="000000"/>
                <w:lang w:val="en-GB"/>
              </w:rPr>
              <w:t>5</w:t>
            </w:r>
            <w:r w:rsidR="008A03DE" w:rsidRPr="00111303">
              <w:rPr>
                <w:rFonts w:cs="Arial"/>
                <w:color w:val="000000"/>
                <w:lang w:val="en-GB"/>
              </w:rPr>
              <w:t>%</w:t>
            </w:r>
            <w:r w:rsidR="008A03DE" w:rsidRPr="00111303">
              <w:rPr>
                <w:rStyle w:val="Znakapoznpodarou"/>
                <w:color w:val="000000"/>
                <w:lang w:val="en-GB"/>
              </w:rPr>
              <w:footnoteReference w:id="1"/>
            </w:r>
            <w:r w:rsidR="008A03DE" w:rsidRPr="00111303">
              <w:rPr>
                <w:rFonts w:cs="Arial"/>
                <w:color w:val="000000"/>
                <w:lang w:val="en-GB"/>
              </w:rPr>
              <w:t xml:space="preserve"> </w:t>
            </w:r>
            <w:r w:rsidR="0081100A" w:rsidRPr="00111303">
              <w:rPr>
                <w:rFonts w:cs="Arial"/>
                <w:color w:val="000000"/>
                <w:lang w:val="en-GB"/>
              </w:rPr>
              <w:t>year-on-ye</w:t>
            </w:r>
            <w:r w:rsidR="006325CC" w:rsidRPr="00111303">
              <w:rPr>
                <w:rFonts w:cs="Arial"/>
                <w:color w:val="000000"/>
                <w:lang w:val="en-GB"/>
              </w:rPr>
              <w:t>a</w:t>
            </w:r>
            <w:r w:rsidR="0081100A" w:rsidRPr="00111303">
              <w:rPr>
                <w:rFonts w:cs="Arial"/>
                <w:color w:val="000000"/>
                <w:lang w:val="en-GB"/>
              </w:rPr>
              <w:t xml:space="preserve">r and were by 22.3 </w:t>
            </w:r>
            <w:r w:rsidR="00C4216C" w:rsidRPr="00111303">
              <w:rPr>
                <w:rFonts w:cs="Arial"/>
                <w:color w:val="000000"/>
                <w:lang w:val="en-GB"/>
              </w:rPr>
              <w:t>CZK bn</w:t>
            </w:r>
            <w:r w:rsidR="0081100A" w:rsidRPr="00111303">
              <w:rPr>
                <w:rFonts w:cs="Arial"/>
                <w:color w:val="000000"/>
                <w:lang w:val="en-GB"/>
              </w:rPr>
              <w:t xml:space="preserve"> higher in comparison to the budget anticipations </w:t>
            </w:r>
            <w:r w:rsidR="008A03DE" w:rsidRPr="00111303">
              <w:rPr>
                <w:rFonts w:cs="Arial"/>
                <w:color w:val="000000"/>
                <w:lang w:val="en-GB"/>
              </w:rPr>
              <w:t>(</w:t>
            </w:r>
            <w:r w:rsidR="0081100A" w:rsidRPr="00111303">
              <w:rPr>
                <w:rFonts w:cs="Arial"/>
                <w:color w:val="000000"/>
                <w:lang w:val="en-GB"/>
              </w:rPr>
              <w:t>i.e. the approved budget</w:t>
            </w:r>
            <w:r w:rsidR="008A03DE" w:rsidRPr="00111303">
              <w:rPr>
                <w:rFonts w:cs="Arial"/>
                <w:color w:val="000000"/>
                <w:lang w:val="en-GB"/>
              </w:rPr>
              <w:t xml:space="preserve">). </w:t>
            </w:r>
            <w:r w:rsidR="00F164A8" w:rsidRPr="00111303">
              <w:rPr>
                <w:rFonts w:cs="Arial"/>
                <w:color w:val="000000"/>
                <w:lang w:val="en-GB"/>
              </w:rPr>
              <w:t xml:space="preserve">The SB balance in relation to the nominal GDP arrived at </w:t>
            </w:r>
            <w:r w:rsidR="008A03DE" w:rsidRPr="00111303">
              <w:rPr>
                <w:rFonts w:cs="Arial"/>
                <w:color w:val="000000"/>
                <w:lang w:val="en-GB"/>
              </w:rPr>
              <w:t>+1</w:t>
            </w:r>
            <w:r w:rsidR="00F164A8" w:rsidRPr="00111303">
              <w:rPr>
                <w:rFonts w:cs="Arial"/>
                <w:color w:val="000000"/>
                <w:lang w:val="en-GB"/>
              </w:rPr>
              <w:t>.</w:t>
            </w:r>
            <w:r w:rsidR="008A03DE" w:rsidRPr="00111303">
              <w:rPr>
                <w:rFonts w:cs="Arial"/>
                <w:color w:val="000000"/>
                <w:lang w:val="en-GB"/>
              </w:rPr>
              <w:t>3%</w:t>
            </w:r>
            <w:r w:rsidR="00F164A8" w:rsidRPr="00111303">
              <w:rPr>
                <w:rFonts w:cs="Arial"/>
                <w:color w:val="000000"/>
                <w:lang w:val="en-GB"/>
              </w:rPr>
              <w:t xml:space="preserve"> last year and was nearly double compared to the so far record year </w:t>
            </w:r>
            <w:r w:rsidR="008A03DE" w:rsidRPr="00111303">
              <w:rPr>
                <w:rFonts w:cs="Arial"/>
                <w:color w:val="000000"/>
                <w:lang w:val="en-GB"/>
              </w:rPr>
              <w:t>1994.</w:t>
            </w:r>
          </w:p>
          <w:p w:rsidR="008A03DE" w:rsidRPr="00111303" w:rsidRDefault="008A03DE" w:rsidP="008A03DE">
            <w:pPr>
              <w:pStyle w:val="Textpoznpodarou"/>
              <w:jc w:val="both"/>
              <w:rPr>
                <w:rFonts w:cs="Arial"/>
                <w:color w:val="0D0D0D"/>
                <w:sz w:val="13"/>
                <w:szCs w:val="13"/>
                <w:lang w:val="en-GB"/>
              </w:rPr>
            </w:pPr>
          </w:p>
        </w:tc>
      </w:tr>
      <w:tr w:rsidR="008A03DE" w:rsidRPr="00CB09D5" w:rsidTr="008A03DE">
        <w:tc>
          <w:tcPr>
            <w:tcW w:w="1054" w:type="pct"/>
          </w:tcPr>
          <w:p w:rsidR="008A03DE" w:rsidRPr="00CB09D5" w:rsidRDefault="00D006AD" w:rsidP="00D006AD">
            <w:pPr>
              <w:spacing w:line="240" w:lineRule="auto"/>
              <w:rPr>
                <w:rFonts w:cs="Arial"/>
                <w:bCs/>
                <w:iCs/>
                <w:color w:val="0D0D0D"/>
                <w:spacing w:val="-2"/>
                <w:szCs w:val="20"/>
                <w:lang w:val="en-GB"/>
              </w:rPr>
            </w:pPr>
            <w:r w:rsidRPr="00CB09D5">
              <w:rPr>
                <w:rFonts w:cs="Arial"/>
                <w:bCs/>
                <w:iCs/>
                <w:color w:val="0D0D0D"/>
                <w:spacing w:val="-2"/>
                <w:sz w:val="16"/>
                <w:szCs w:val="16"/>
                <w:lang w:val="en-GB"/>
              </w:rPr>
              <w:t xml:space="preserve">High year-on-year growth of total final consumption expenditure was reflected in the VAT collection.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111303" w:rsidRDefault="008C0595" w:rsidP="008A03DE">
            <w:pPr>
              <w:pStyle w:val="Textpoznpodarou"/>
              <w:jc w:val="both"/>
              <w:rPr>
                <w:rFonts w:cs="Arial"/>
                <w:color w:val="0D0D0D"/>
                <w:lang w:val="en-GB"/>
              </w:rPr>
            </w:pPr>
            <w:r w:rsidRPr="00111303">
              <w:rPr>
                <w:rFonts w:cs="Arial"/>
                <w:color w:val="0D0D0D"/>
                <w:lang w:val="en-GB"/>
              </w:rPr>
              <w:t>State wide</w:t>
            </w:r>
            <w:r w:rsidR="00D006AD" w:rsidRPr="00111303">
              <w:rPr>
                <w:rFonts w:cs="Arial"/>
                <w:color w:val="0D0D0D"/>
                <w:lang w:val="en-GB"/>
              </w:rPr>
              <w:t xml:space="preserve"> VAT collection </w:t>
            </w:r>
            <w:r w:rsidRPr="00111303">
              <w:rPr>
                <w:rFonts w:cs="Arial"/>
                <w:color w:val="0D0D0D"/>
                <w:lang w:val="en-GB"/>
              </w:rPr>
              <w:t>strengthened</w:t>
            </w:r>
            <w:r w:rsidR="00D006AD" w:rsidRPr="00111303">
              <w:rPr>
                <w:rFonts w:cs="Arial"/>
                <w:color w:val="0D0D0D"/>
                <w:lang w:val="en-GB"/>
              </w:rPr>
              <w:t xml:space="preserve"> by </w:t>
            </w:r>
            <w:r w:rsidR="008A03DE" w:rsidRPr="00111303">
              <w:rPr>
                <w:rFonts w:cs="Arial"/>
                <w:color w:val="0D0D0D"/>
                <w:lang w:val="en-GB"/>
              </w:rPr>
              <w:t>5</w:t>
            </w:r>
            <w:r w:rsidR="00D006AD" w:rsidRPr="00111303">
              <w:rPr>
                <w:rFonts w:cs="Arial"/>
                <w:color w:val="0D0D0D"/>
                <w:lang w:val="en-GB"/>
              </w:rPr>
              <w:t>.</w:t>
            </w:r>
            <w:r w:rsidR="00DD003B" w:rsidRPr="00111303">
              <w:rPr>
                <w:rFonts w:cs="Arial"/>
                <w:color w:val="0D0D0D"/>
                <w:lang w:val="en-GB"/>
              </w:rPr>
              <w:t>4</w:t>
            </w:r>
            <w:r w:rsidR="008A03DE" w:rsidRPr="00111303">
              <w:rPr>
                <w:rFonts w:cs="Arial"/>
                <w:color w:val="0D0D0D"/>
                <w:lang w:val="en-GB"/>
              </w:rPr>
              <w:t>%</w:t>
            </w:r>
            <w:r w:rsidR="00D006AD" w:rsidRPr="00111303">
              <w:rPr>
                <w:rFonts w:cs="Arial"/>
                <w:color w:val="0D0D0D"/>
                <w:lang w:val="en-GB"/>
              </w:rPr>
              <w:t xml:space="preserve"> last year</w:t>
            </w:r>
            <w:r w:rsidR="008A03DE" w:rsidRPr="00111303">
              <w:rPr>
                <w:rFonts w:cs="Arial"/>
                <w:color w:val="0D0D0D"/>
                <w:lang w:val="en-GB"/>
              </w:rPr>
              <w:t xml:space="preserve">. </w:t>
            </w:r>
            <w:r w:rsidR="00DF2847" w:rsidRPr="00111303">
              <w:rPr>
                <w:rFonts w:cs="Arial"/>
                <w:color w:val="0D0D0D"/>
                <w:lang w:val="en-GB"/>
              </w:rPr>
              <w:t xml:space="preserve">Even though the year-on-year rate of growth of the collection </w:t>
            </w:r>
            <w:r w:rsidR="00705CA7" w:rsidRPr="00111303">
              <w:rPr>
                <w:rFonts w:cs="Arial"/>
                <w:color w:val="0D0D0D"/>
                <w:lang w:val="en-GB"/>
              </w:rPr>
              <w:t>(</w:t>
            </w:r>
            <w:r w:rsidR="00DF2847" w:rsidRPr="00111303">
              <w:rPr>
                <w:rFonts w:cs="Arial"/>
                <w:color w:val="0D0D0D"/>
                <w:lang w:val="en-GB"/>
              </w:rPr>
              <w:t>of this most significant tax by weight</w:t>
            </w:r>
            <w:r w:rsidR="00705CA7" w:rsidRPr="00111303">
              <w:rPr>
                <w:rFonts w:cs="Arial"/>
                <w:color w:val="0D0D0D"/>
                <w:lang w:val="en-GB"/>
              </w:rPr>
              <w:t>)</w:t>
            </w:r>
            <w:r w:rsidR="00DF2847" w:rsidRPr="00111303">
              <w:rPr>
                <w:rFonts w:cs="Arial"/>
                <w:color w:val="0D0D0D"/>
                <w:lang w:val="en-GB"/>
              </w:rPr>
              <w:t xml:space="preserve"> nearly doubled compared to the preceding year, its last year’s collection </w:t>
            </w:r>
            <w:r w:rsidR="008A03DE" w:rsidRPr="00111303">
              <w:rPr>
                <w:rFonts w:cs="Arial"/>
                <w:color w:val="0D0D0D"/>
                <w:lang w:val="en-GB"/>
              </w:rPr>
              <w:t xml:space="preserve">– </w:t>
            </w:r>
            <w:r w:rsidR="00DF2847" w:rsidRPr="00111303">
              <w:rPr>
                <w:rFonts w:cs="Arial"/>
                <w:color w:val="0D0D0D"/>
                <w:lang w:val="en-GB"/>
              </w:rPr>
              <w:t xml:space="preserve">in contrast to all other taxes significant in volume </w:t>
            </w:r>
            <w:r w:rsidR="008A03DE" w:rsidRPr="00111303">
              <w:rPr>
                <w:rFonts w:cs="Arial"/>
                <w:color w:val="0D0D0D"/>
                <w:lang w:val="en-GB"/>
              </w:rPr>
              <w:t xml:space="preserve">– </w:t>
            </w:r>
            <w:r w:rsidR="00DF2847" w:rsidRPr="00111303">
              <w:rPr>
                <w:rFonts w:cs="Arial"/>
                <w:color w:val="0D0D0D"/>
                <w:lang w:val="en-GB"/>
              </w:rPr>
              <w:t xml:space="preserve">stayed mildly </w:t>
            </w:r>
            <w:r w:rsidR="008A03DE" w:rsidRPr="00111303">
              <w:rPr>
                <w:rFonts w:cs="Arial"/>
                <w:color w:val="0D0D0D"/>
                <w:lang w:val="en-GB"/>
              </w:rPr>
              <w:t>(</w:t>
            </w:r>
            <w:r w:rsidR="00DF2847" w:rsidRPr="00111303">
              <w:rPr>
                <w:rFonts w:cs="Arial"/>
                <w:color w:val="0D0D0D"/>
                <w:lang w:val="en-GB"/>
              </w:rPr>
              <w:t>by</w:t>
            </w:r>
            <w:r w:rsidR="008A03DE" w:rsidRPr="00111303">
              <w:rPr>
                <w:color w:val="0D0D0D"/>
                <w:lang w:val="en-GB"/>
              </w:rPr>
              <w:t> </w:t>
            </w:r>
            <w:r w:rsidR="008A03DE" w:rsidRPr="00111303">
              <w:rPr>
                <w:rFonts w:cs="Arial"/>
                <w:color w:val="0D0D0D"/>
                <w:lang w:val="en-GB"/>
              </w:rPr>
              <w:t>0</w:t>
            </w:r>
            <w:r w:rsidR="00DF2847" w:rsidRPr="00111303">
              <w:rPr>
                <w:rFonts w:cs="Arial"/>
                <w:color w:val="0D0D0D"/>
                <w:lang w:val="en-GB"/>
              </w:rPr>
              <w:t>.</w:t>
            </w:r>
            <w:r w:rsidR="00DD003B" w:rsidRPr="00111303">
              <w:rPr>
                <w:rFonts w:cs="Arial"/>
                <w:color w:val="0D0D0D"/>
                <w:lang w:val="en-GB"/>
              </w:rPr>
              <w:t>8</w:t>
            </w:r>
            <w:r w:rsidR="008A03DE" w:rsidRPr="00111303">
              <w:rPr>
                <w:rFonts w:cs="Arial"/>
                <w:color w:val="0D0D0D"/>
                <w:lang w:val="en-GB"/>
              </w:rPr>
              <w:t xml:space="preserve">%) </w:t>
            </w:r>
            <w:r w:rsidR="00DF2847" w:rsidRPr="00111303">
              <w:rPr>
                <w:rFonts w:cs="Arial"/>
                <w:color w:val="0D0D0D"/>
                <w:lang w:val="en-GB"/>
              </w:rPr>
              <w:t xml:space="preserve">behind the budget anticipations. </w:t>
            </w:r>
            <w:r w:rsidRPr="00111303">
              <w:rPr>
                <w:rFonts w:cs="Arial"/>
                <w:color w:val="0D0D0D"/>
                <w:lang w:val="en-GB"/>
              </w:rPr>
              <w:t xml:space="preserve">Higher collection reflected the nominal growth of final consumption expenditure </w:t>
            </w:r>
            <w:r w:rsidR="008A03DE" w:rsidRPr="00111303">
              <w:rPr>
                <w:rFonts w:cs="Arial"/>
                <w:color w:val="0D0D0D"/>
                <w:lang w:val="en-GB"/>
              </w:rPr>
              <w:t>(</w:t>
            </w:r>
            <w:r w:rsidR="00DD003B" w:rsidRPr="00111303">
              <w:rPr>
                <w:rFonts w:cs="Arial"/>
                <w:color w:val="0D0D0D"/>
                <w:lang w:val="en-GB"/>
              </w:rPr>
              <w:t>by 3.5% for households in, by 3.4</w:t>
            </w:r>
            <w:r w:rsidRPr="00111303">
              <w:rPr>
                <w:rFonts w:cs="Arial"/>
                <w:color w:val="0D0D0D"/>
                <w:lang w:val="en-GB"/>
              </w:rPr>
              <w:t>% for government institutions</w:t>
            </w:r>
            <w:r w:rsidR="008A03DE" w:rsidRPr="00111303">
              <w:rPr>
                <w:rFonts w:cs="Arial"/>
                <w:color w:val="0D0D0D"/>
                <w:lang w:val="en-GB"/>
              </w:rPr>
              <w:t>).</w:t>
            </w:r>
          </w:p>
          <w:p w:rsidR="008A03DE" w:rsidRPr="00111303" w:rsidRDefault="008A03DE" w:rsidP="008A03DE">
            <w:pPr>
              <w:pStyle w:val="Textpoznpodarou"/>
              <w:jc w:val="both"/>
              <w:rPr>
                <w:rFonts w:cs="Arial"/>
                <w:color w:val="0D0D0D"/>
                <w:sz w:val="13"/>
                <w:szCs w:val="13"/>
                <w:lang w:val="en-GB"/>
              </w:rPr>
            </w:pPr>
          </w:p>
        </w:tc>
      </w:tr>
      <w:tr w:rsidR="008A03DE" w:rsidRPr="00CB09D5" w:rsidTr="008A03DE">
        <w:tc>
          <w:tcPr>
            <w:tcW w:w="1054" w:type="pct"/>
          </w:tcPr>
          <w:p w:rsidR="008A03DE" w:rsidRPr="00CB09D5" w:rsidRDefault="008C0595" w:rsidP="008A03DE">
            <w:pPr>
              <w:spacing w:line="240" w:lineRule="auto"/>
              <w:rPr>
                <w:rFonts w:cs="Arial"/>
                <w:color w:val="0D0D0D"/>
                <w:spacing w:val="-4"/>
                <w:sz w:val="16"/>
                <w:szCs w:val="16"/>
                <w:lang w:val="en-GB"/>
              </w:rPr>
            </w:pPr>
            <w:r w:rsidRPr="00CB09D5">
              <w:rPr>
                <w:rFonts w:cs="Arial"/>
                <w:color w:val="0D0D0D"/>
                <w:spacing w:val="-4"/>
                <w:sz w:val="16"/>
                <w:szCs w:val="16"/>
                <w:lang w:val="en-GB"/>
              </w:rPr>
              <w:t>Taxes on tobacco products and taxes on mineral oils both contributed equally to the higher collection of consum</w:t>
            </w:r>
            <w:r w:rsidR="00994C29" w:rsidRPr="00CB09D5">
              <w:rPr>
                <w:rFonts w:cs="Arial"/>
                <w:color w:val="0D0D0D"/>
                <w:spacing w:val="-4"/>
                <w:sz w:val="16"/>
                <w:szCs w:val="16"/>
                <w:lang w:val="en-GB"/>
              </w:rPr>
              <w:t>ption</w:t>
            </w:r>
            <w:r w:rsidRPr="00CB09D5">
              <w:rPr>
                <w:rFonts w:cs="Arial"/>
                <w:color w:val="0D0D0D"/>
                <w:spacing w:val="-4"/>
                <w:sz w:val="16"/>
                <w:szCs w:val="16"/>
                <w:lang w:val="en-GB"/>
              </w:rPr>
              <w:t xml:space="preserve"> taxes year-on-year. </w:t>
            </w:r>
          </w:p>
          <w:p w:rsidR="008A03DE" w:rsidRPr="00CB09D5" w:rsidRDefault="008A03DE" w:rsidP="008A03DE">
            <w:pPr>
              <w:spacing w:line="240" w:lineRule="auto"/>
              <w:rPr>
                <w:rFonts w:cs="Arial"/>
                <w:color w:val="0D0D0D"/>
                <w:spacing w:val="-4"/>
                <w:sz w:val="16"/>
                <w:szCs w:val="16"/>
                <w:lang w:val="en-GB"/>
              </w:rPr>
            </w:pP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111303" w:rsidRDefault="00E2196F" w:rsidP="008A03DE">
            <w:pPr>
              <w:pStyle w:val="Textpoznpodarou"/>
              <w:jc w:val="both"/>
              <w:rPr>
                <w:rFonts w:cs="Arial"/>
                <w:color w:val="0D0D0D"/>
                <w:lang w:val="en-GB"/>
              </w:rPr>
            </w:pPr>
            <w:r w:rsidRPr="00111303">
              <w:rPr>
                <w:rFonts w:cs="Arial"/>
                <w:color w:val="0D0D0D"/>
                <w:lang w:val="en-GB"/>
              </w:rPr>
              <w:t xml:space="preserve">Income </w:t>
            </w:r>
            <w:r w:rsidR="00C42F9C" w:rsidRPr="00111303">
              <w:rPr>
                <w:rFonts w:cs="Arial"/>
                <w:color w:val="0D0D0D"/>
                <w:lang w:val="en-GB"/>
              </w:rPr>
              <w:t>inflow from the consum</w:t>
            </w:r>
            <w:r w:rsidR="002B1AA2" w:rsidRPr="00111303">
              <w:rPr>
                <w:rFonts w:cs="Arial"/>
                <w:color w:val="0D0D0D"/>
                <w:lang w:val="en-GB"/>
              </w:rPr>
              <w:t>ption</w:t>
            </w:r>
            <w:r w:rsidR="00DD003B" w:rsidRPr="00111303">
              <w:rPr>
                <w:rFonts w:cs="Arial"/>
                <w:color w:val="0D0D0D"/>
                <w:lang w:val="en-GB"/>
              </w:rPr>
              <w:t xml:space="preserve"> taxes to the SB was by 5.2</w:t>
            </w:r>
            <w:r w:rsidR="00C42F9C" w:rsidRPr="00111303">
              <w:rPr>
                <w:rFonts w:cs="Arial"/>
                <w:color w:val="0D0D0D"/>
                <w:lang w:val="en-GB"/>
              </w:rPr>
              <w:t>% higher year-on-year. Both stronger collection o</w:t>
            </w:r>
            <w:r w:rsidR="00DD003B" w:rsidRPr="00111303">
              <w:rPr>
                <w:rFonts w:cs="Arial"/>
                <w:color w:val="0D0D0D"/>
                <w:lang w:val="en-GB"/>
              </w:rPr>
              <w:t>f taxes on tobacco products (+7</w:t>
            </w:r>
            <w:r w:rsidR="00C42F9C" w:rsidRPr="00111303">
              <w:rPr>
                <w:rFonts w:cs="Arial"/>
                <w:color w:val="0D0D0D"/>
                <w:lang w:val="en-GB"/>
              </w:rPr>
              <w:t xml:space="preserve">%, driven mostly by the increase of the tax rate) and the higher income </w:t>
            </w:r>
            <w:r w:rsidR="009D2958" w:rsidRPr="00111303">
              <w:rPr>
                <w:rFonts w:cs="Arial"/>
                <w:color w:val="0D0D0D"/>
                <w:lang w:val="en-GB"/>
              </w:rPr>
              <w:t>from</w:t>
            </w:r>
            <w:r w:rsidR="00C42F9C" w:rsidRPr="00111303">
              <w:rPr>
                <w:rFonts w:cs="Arial"/>
                <w:color w:val="0D0D0D"/>
                <w:lang w:val="en-GB"/>
              </w:rPr>
              <w:t xml:space="preserve"> the tax on the mineral oil</w:t>
            </w:r>
            <w:r w:rsidR="00DD003B" w:rsidRPr="00111303">
              <w:rPr>
                <w:rFonts w:cs="Arial"/>
                <w:color w:val="0D0D0D"/>
                <w:lang w:val="en-GB"/>
              </w:rPr>
              <w:t>s, whose collection grew by 4.7</w:t>
            </w:r>
            <w:r w:rsidR="00C42F9C" w:rsidRPr="00111303">
              <w:rPr>
                <w:rFonts w:cs="Arial"/>
                <w:color w:val="0D0D0D"/>
                <w:lang w:val="en-GB"/>
              </w:rPr>
              <w:t>% year-on-year, were behind this rise</w:t>
            </w:r>
            <w:r w:rsidR="008A03DE" w:rsidRPr="00111303">
              <w:rPr>
                <w:rFonts w:cs="Arial"/>
                <w:color w:val="0D0D0D"/>
                <w:lang w:val="en-GB"/>
              </w:rPr>
              <w:t xml:space="preserve">. </w:t>
            </w:r>
            <w:r w:rsidR="00C42F9C" w:rsidRPr="00111303">
              <w:rPr>
                <w:rFonts w:cs="Arial"/>
                <w:color w:val="0D0D0D"/>
                <w:lang w:val="en-GB"/>
              </w:rPr>
              <w:t>It was caused by the growing consumption of</w:t>
            </w:r>
            <w:r w:rsidR="00705CA7" w:rsidRPr="00111303">
              <w:rPr>
                <w:rFonts w:cs="Arial"/>
                <w:color w:val="0D0D0D"/>
                <w:lang w:val="en-GB"/>
              </w:rPr>
              <w:t xml:space="preserve"> motor gasoline</w:t>
            </w:r>
            <w:r w:rsidR="00A80E64" w:rsidRPr="00111303">
              <w:rPr>
                <w:rFonts w:cs="Arial"/>
                <w:color w:val="0D0D0D"/>
                <w:lang w:val="en-GB"/>
              </w:rPr>
              <w:t xml:space="preserve"> </w:t>
            </w:r>
            <w:r w:rsidR="00C42F9C" w:rsidRPr="00111303">
              <w:rPr>
                <w:rFonts w:cs="Arial"/>
                <w:color w:val="0D0D0D"/>
                <w:lang w:val="en-GB"/>
              </w:rPr>
              <w:t xml:space="preserve">as well as the </w:t>
            </w:r>
            <w:r w:rsidR="00A80E64" w:rsidRPr="00111303">
              <w:rPr>
                <w:rFonts w:cs="Arial"/>
                <w:color w:val="0D0D0D"/>
                <w:lang w:val="en-GB"/>
              </w:rPr>
              <w:t xml:space="preserve">diesel </w:t>
            </w:r>
            <w:r w:rsidR="00705CA7" w:rsidRPr="00111303">
              <w:rPr>
                <w:rFonts w:cs="Arial"/>
                <w:color w:val="0D0D0D"/>
                <w:lang w:val="en-GB"/>
              </w:rPr>
              <w:t>oil</w:t>
            </w:r>
            <w:r w:rsidR="008A03DE" w:rsidRPr="00111303">
              <w:rPr>
                <w:rStyle w:val="Znakapoznpodarou"/>
                <w:color w:val="0D0D0D"/>
                <w:lang w:val="en-GB"/>
              </w:rPr>
              <w:footnoteReference w:id="2"/>
            </w:r>
            <w:r w:rsidR="00C42F9C" w:rsidRPr="00111303">
              <w:rPr>
                <w:rFonts w:cs="Arial"/>
                <w:color w:val="0D0D0D"/>
                <w:lang w:val="en-GB"/>
              </w:rPr>
              <w:t xml:space="preserve"> stimulated by th</w:t>
            </w:r>
            <w:r w:rsidR="00280E67" w:rsidRPr="00111303">
              <w:rPr>
                <w:rFonts w:cs="Arial"/>
                <w:color w:val="0D0D0D"/>
                <w:lang w:val="en-GB"/>
              </w:rPr>
              <w:t>e</w:t>
            </w:r>
            <w:r w:rsidR="00C42F9C" w:rsidRPr="00111303">
              <w:rPr>
                <w:rFonts w:cs="Arial"/>
                <w:color w:val="0D0D0D"/>
                <w:lang w:val="en-GB"/>
              </w:rPr>
              <w:t xml:space="preserve"> favourable prices of automotive fuels (esp</w:t>
            </w:r>
            <w:r w:rsidR="00124430" w:rsidRPr="00111303">
              <w:rPr>
                <w:rFonts w:cs="Arial"/>
                <w:color w:val="0D0D0D"/>
                <w:lang w:val="en-GB"/>
              </w:rPr>
              <w:t>ecially in the first half of the year</w:t>
            </w:r>
            <w:r w:rsidR="008A03DE" w:rsidRPr="00111303">
              <w:rPr>
                <w:rFonts w:cs="Arial"/>
                <w:color w:val="0D0D0D"/>
                <w:lang w:val="en-GB"/>
              </w:rPr>
              <w:t xml:space="preserve">) </w:t>
            </w:r>
            <w:r w:rsidR="00280E67" w:rsidRPr="00111303">
              <w:rPr>
                <w:rFonts w:cs="Arial"/>
                <w:color w:val="0D0D0D"/>
                <w:lang w:val="en-GB"/>
              </w:rPr>
              <w:t xml:space="preserve">as well as the long-term growth of demand for transportation with the continuing economic expansion. </w:t>
            </w:r>
          </w:p>
          <w:p w:rsidR="008A03DE" w:rsidRPr="00111303" w:rsidRDefault="008A03DE" w:rsidP="008A03DE">
            <w:pPr>
              <w:pStyle w:val="Textpoznpodarou"/>
              <w:jc w:val="both"/>
              <w:rPr>
                <w:rFonts w:cs="Arial"/>
                <w:color w:val="0D0D0D"/>
                <w:sz w:val="13"/>
                <w:szCs w:val="13"/>
                <w:lang w:val="en-GB"/>
              </w:rPr>
            </w:pPr>
          </w:p>
        </w:tc>
      </w:tr>
      <w:tr w:rsidR="008A03DE" w:rsidRPr="00CB09D5" w:rsidTr="008A03DE">
        <w:tc>
          <w:tcPr>
            <w:tcW w:w="1054" w:type="pct"/>
          </w:tcPr>
          <w:p w:rsidR="008A03DE" w:rsidRPr="00CB09D5" w:rsidRDefault="00A950B5"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Collection of </w:t>
            </w:r>
            <w:r w:rsidR="002B1AA2" w:rsidRPr="00CB09D5">
              <w:rPr>
                <w:rFonts w:cs="Arial"/>
                <w:bCs/>
                <w:iCs/>
                <w:color w:val="0D0D0D"/>
                <w:sz w:val="16"/>
                <w:szCs w:val="16"/>
                <w:lang w:val="en-GB"/>
              </w:rPr>
              <w:t xml:space="preserve">corporate taxes </w:t>
            </w:r>
            <w:r w:rsidR="008A03DE" w:rsidRPr="00CB09D5">
              <w:rPr>
                <w:rFonts w:cs="Arial"/>
                <w:bCs/>
                <w:iCs/>
                <w:color w:val="0D0D0D"/>
                <w:sz w:val="16"/>
                <w:szCs w:val="16"/>
                <w:lang w:val="en-GB"/>
              </w:rPr>
              <w:t>ro</w:t>
            </w:r>
            <w:r w:rsidRPr="00CB09D5">
              <w:rPr>
                <w:rFonts w:cs="Arial"/>
                <w:bCs/>
                <w:iCs/>
                <w:color w:val="0D0D0D"/>
                <w:sz w:val="16"/>
                <w:szCs w:val="16"/>
                <w:lang w:val="en-GB"/>
              </w:rPr>
              <w:t xml:space="preserve">se the fastest since the peak year </w:t>
            </w:r>
            <w:r w:rsidR="008A03DE" w:rsidRPr="00CB09D5">
              <w:rPr>
                <w:rFonts w:cs="Arial"/>
                <w:bCs/>
                <w:iCs/>
                <w:color w:val="0D0D0D"/>
                <w:sz w:val="16"/>
                <w:szCs w:val="16"/>
                <w:lang w:val="en-GB"/>
              </w:rPr>
              <w:t xml:space="preserve">2008, </w:t>
            </w:r>
            <w:r w:rsidRPr="00CB09D5">
              <w:rPr>
                <w:rFonts w:cs="Arial"/>
                <w:bCs/>
                <w:iCs/>
                <w:color w:val="0D0D0D"/>
                <w:sz w:val="16"/>
                <w:szCs w:val="16"/>
                <w:lang w:val="en-GB"/>
              </w:rPr>
              <w:t xml:space="preserve">benefited mainly from the strengthening profits of businesses in </w:t>
            </w:r>
            <w:r w:rsidR="00AB2797" w:rsidRPr="00CB09D5">
              <w:rPr>
                <w:rFonts w:cs="Arial"/>
                <w:bCs/>
                <w:iCs/>
                <w:color w:val="0D0D0D"/>
                <w:sz w:val="16"/>
                <w:szCs w:val="16"/>
                <w:lang w:val="en-GB"/>
              </w:rPr>
              <w:t xml:space="preserve">the </w:t>
            </w:r>
            <w:r w:rsidRPr="00CB09D5">
              <w:rPr>
                <w:rFonts w:cs="Arial"/>
                <w:bCs/>
                <w:iCs/>
                <w:color w:val="0D0D0D"/>
                <w:sz w:val="16"/>
                <w:szCs w:val="16"/>
                <w:lang w:val="en-GB"/>
              </w:rPr>
              <w:t xml:space="preserve">years </w:t>
            </w:r>
            <w:r w:rsidR="008A03DE" w:rsidRPr="00CB09D5">
              <w:rPr>
                <w:rFonts w:cs="Arial"/>
                <w:spacing w:val="-4"/>
                <w:sz w:val="16"/>
                <w:szCs w:val="16"/>
                <w:lang w:val="en-GB"/>
              </w:rPr>
              <w:t>2014</w:t>
            </w:r>
            <w:r w:rsidRPr="00CB09D5">
              <w:rPr>
                <w:rFonts w:cs="Arial"/>
                <w:spacing w:val="-4"/>
                <w:sz w:val="16"/>
                <w:szCs w:val="16"/>
                <w:lang w:val="en-GB"/>
              </w:rPr>
              <w:t xml:space="preserve"> and </w:t>
            </w:r>
            <w:r w:rsidR="008A03DE" w:rsidRPr="00CB09D5">
              <w:rPr>
                <w:rFonts w:cs="Arial"/>
                <w:spacing w:val="-4"/>
                <w:sz w:val="16"/>
                <w:szCs w:val="16"/>
                <w:lang w:val="en-GB"/>
              </w:rPr>
              <w:t>2015.</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111303" w:rsidRDefault="00124430" w:rsidP="008A03DE">
            <w:pPr>
              <w:pStyle w:val="Textpoznpodarou"/>
              <w:jc w:val="both"/>
              <w:rPr>
                <w:rFonts w:cs="Arial"/>
                <w:color w:val="0D0D0D"/>
                <w:lang w:val="en-GB"/>
              </w:rPr>
            </w:pPr>
            <w:r w:rsidRPr="00111303">
              <w:rPr>
                <w:rFonts w:cs="Arial"/>
                <w:color w:val="0D0D0D"/>
                <w:lang w:val="en-GB"/>
              </w:rPr>
              <w:t xml:space="preserve">State wide collection of the corporate taxes continued to grow by a swift pace. It </w:t>
            </w:r>
            <w:r w:rsidR="00612192" w:rsidRPr="00111303">
              <w:rPr>
                <w:rFonts w:cs="Arial"/>
                <w:color w:val="0D0D0D"/>
                <w:lang w:val="en-GB"/>
              </w:rPr>
              <w:t>further</w:t>
            </w:r>
            <w:r w:rsidRPr="00111303">
              <w:rPr>
                <w:rFonts w:cs="Arial"/>
                <w:color w:val="0D0D0D"/>
                <w:lang w:val="en-GB"/>
              </w:rPr>
              <w:t xml:space="preserve"> accelerated to </w:t>
            </w:r>
            <w:r w:rsidR="008A03DE" w:rsidRPr="00111303">
              <w:rPr>
                <w:rFonts w:cs="Arial"/>
                <w:color w:val="0D0D0D"/>
                <w:lang w:val="en-GB"/>
              </w:rPr>
              <w:t>11</w:t>
            </w:r>
            <w:r w:rsidRPr="00111303">
              <w:rPr>
                <w:rFonts w:cs="Arial"/>
                <w:color w:val="0D0D0D"/>
                <w:lang w:val="en-GB"/>
              </w:rPr>
              <w:t>.</w:t>
            </w:r>
            <w:r w:rsidR="00DD003B" w:rsidRPr="00111303">
              <w:rPr>
                <w:rFonts w:cs="Arial"/>
                <w:color w:val="0D0D0D"/>
                <w:lang w:val="en-GB"/>
              </w:rPr>
              <w:t>7</w:t>
            </w:r>
            <w:r w:rsidR="008A03DE" w:rsidRPr="00111303">
              <w:rPr>
                <w:rFonts w:cs="Arial"/>
                <w:color w:val="0D0D0D"/>
                <w:lang w:val="en-GB"/>
              </w:rPr>
              <w:t>%</w:t>
            </w:r>
            <w:r w:rsidRPr="00111303">
              <w:rPr>
                <w:rFonts w:cs="Arial"/>
                <w:color w:val="0D0D0D"/>
                <w:lang w:val="en-GB"/>
              </w:rPr>
              <w:t xml:space="preserve"> in 2016</w:t>
            </w:r>
            <w:r w:rsidR="008A03DE" w:rsidRPr="00111303">
              <w:rPr>
                <w:rFonts w:cs="Arial"/>
                <w:color w:val="0D0D0D"/>
                <w:lang w:val="en-GB"/>
              </w:rPr>
              <w:t xml:space="preserve"> (</w:t>
            </w:r>
            <w:r w:rsidR="00DD003B" w:rsidRPr="00111303">
              <w:rPr>
                <w:rFonts w:cs="Arial"/>
                <w:color w:val="0D0D0D"/>
                <w:lang w:val="en-GB"/>
              </w:rPr>
              <w:t>from 11.4</w:t>
            </w:r>
            <w:r w:rsidRPr="00111303">
              <w:rPr>
                <w:rFonts w:cs="Arial"/>
                <w:color w:val="0D0D0D"/>
                <w:lang w:val="en-GB"/>
              </w:rPr>
              <w:t>% in</w:t>
            </w:r>
            <w:r w:rsidR="00705CA7" w:rsidRPr="00111303">
              <w:rPr>
                <w:rFonts w:cs="Arial"/>
                <w:color w:val="0D0D0D"/>
                <w:lang w:val="en-GB"/>
              </w:rPr>
              <w:t xml:space="preserve"> 2015</w:t>
            </w:r>
            <w:r w:rsidRPr="00111303">
              <w:rPr>
                <w:rFonts w:cs="Arial"/>
                <w:color w:val="0D0D0D"/>
                <w:lang w:val="en-GB"/>
              </w:rPr>
              <w:t>) and it exceeded the budget anticipations by nearly one tenth (14.</w:t>
            </w:r>
            <w:r w:rsidR="008A03DE" w:rsidRPr="00111303">
              <w:rPr>
                <w:rFonts w:cs="Arial"/>
                <w:color w:val="0D0D0D"/>
                <w:lang w:val="en-GB"/>
              </w:rPr>
              <w:t xml:space="preserve">5 </w:t>
            </w:r>
            <w:r w:rsidR="00C4216C" w:rsidRPr="00111303">
              <w:rPr>
                <w:rFonts w:cs="Arial"/>
                <w:color w:val="0D0D0D"/>
                <w:lang w:val="en-GB"/>
              </w:rPr>
              <w:t>CZK bn</w:t>
            </w:r>
            <w:r w:rsidR="008A03DE" w:rsidRPr="00111303">
              <w:rPr>
                <w:rFonts w:cs="Arial"/>
                <w:color w:val="0D0D0D"/>
                <w:lang w:val="en-GB"/>
              </w:rPr>
              <w:t xml:space="preserve">). </w:t>
            </w:r>
            <w:r w:rsidR="00612192" w:rsidRPr="00111303">
              <w:rPr>
                <w:rFonts w:cs="Arial"/>
                <w:color w:val="0D0D0D"/>
                <w:lang w:val="en-GB"/>
              </w:rPr>
              <w:t xml:space="preserve">In contrast to other types of taxes, it was not significantly affected by the legislative effects in the last five years and more clearly thus reflected the favourable development of the profit rate of businesses after </w:t>
            </w:r>
            <w:r w:rsidR="005703D0" w:rsidRPr="00111303">
              <w:rPr>
                <w:rFonts w:cs="Arial"/>
                <w:color w:val="0D0D0D"/>
                <w:lang w:val="en-GB"/>
              </w:rPr>
              <w:t xml:space="preserve">the </w:t>
            </w:r>
            <w:r w:rsidR="00612192" w:rsidRPr="00111303">
              <w:rPr>
                <w:rFonts w:cs="Arial"/>
                <w:color w:val="0D0D0D"/>
                <w:lang w:val="en-GB"/>
              </w:rPr>
              <w:t xml:space="preserve">year </w:t>
            </w:r>
            <w:r w:rsidR="008A03DE" w:rsidRPr="00111303">
              <w:rPr>
                <w:rFonts w:cs="Arial"/>
                <w:color w:val="0D0D0D"/>
                <w:lang w:val="en-GB"/>
              </w:rPr>
              <w:t xml:space="preserve">2013. </w:t>
            </w:r>
            <w:r w:rsidR="00410FF4" w:rsidRPr="00111303">
              <w:rPr>
                <w:rFonts w:cs="Arial"/>
                <w:color w:val="0D0D0D"/>
                <w:lang w:val="en-GB"/>
              </w:rPr>
              <w:t xml:space="preserve">Despite of this development, the last year’s collection of taxes </w:t>
            </w:r>
            <w:r w:rsidR="008A03DE" w:rsidRPr="00111303">
              <w:rPr>
                <w:rFonts w:cs="Arial"/>
                <w:color w:val="0D0D0D"/>
                <w:lang w:val="en-GB"/>
              </w:rPr>
              <w:t>(164</w:t>
            </w:r>
            <w:r w:rsidR="00410FF4" w:rsidRPr="00111303">
              <w:rPr>
                <w:rFonts w:cs="Arial"/>
                <w:color w:val="0D0D0D"/>
                <w:lang w:val="en-GB"/>
              </w:rPr>
              <w:t>.</w:t>
            </w:r>
            <w:r w:rsidR="008A03DE" w:rsidRPr="00111303">
              <w:rPr>
                <w:rFonts w:cs="Arial"/>
                <w:color w:val="0D0D0D"/>
                <w:lang w:val="en-GB"/>
              </w:rPr>
              <w:t xml:space="preserve">7 </w:t>
            </w:r>
            <w:r w:rsidR="00410FF4" w:rsidRPr="00111303">
              <w:rPr>
                <w:rFonts w:cs="Arial"/>
                <w:color w:val="0D0D0D"/>
                <w:lang w:val="en-GB"/>
              </w:rPr>
              <w:t>bn</w:t>
            </w:r>
            <w:r w:rsidR="008A03DE" w:rsidRPr="00111303">
              <w:rPr>
                <w:rFonts w:cs="Arial"/>
                <w:color w:val="0D0D0D"/>
                <w:lang w:val="en-GB"/>
              </w:rPr>
              <w:t xml:space="preserve">) </w:t>
            </w:r>
            <w:r w:rsidR="00277C94" w:rsidRPr="00111303">
              <w:rPr>
                <w:rFonts w:cs="Arial"/>
                <w:color w:val="0D0D0D"/>
                <w:lang w:val="en-GB"/>
              </w:rPr>
              <w:t xml:space="preserve">still hovered one tenth below its pre-crisis maximum from </w:t>
            </w:r>
            <w:r w:rsidR="005703D0" w:rsidRPr="00111303">
              <w:rPr>
                <w:rFonts w:cs="Arial"/>
                <w:color w:val="0D0D0D"/>
                <w:lang w:val="en-GB"/>
              </w:rPr>
              <w:t xml:space="preserve">the </w:t>
            </w:r>
            <w:r w:rsidR="00277C94" w:rsidRPr="00111303">
              <w:rPr>
                <w:rFonts w:cs="Arial"/>
                <w:color w:val="0D0D0D"/>
                <w:lang w:val="en-GB"/>
              </w:rPr>
              <w:t>year 2</w:t>
            </w:r>
            <w:r w:rsidR="008A03DE" w:rsidRPr="00111303">
              <w:rPr>
                <w:rFonts w:cs="Arial"/>
                <w:color w:val="0D0D0D"/>
                <w:lang w:val="en-GB"/>
              </w:rPr>
              <w:t>008</w:t>
            </w:r>
            <w:r w:rsidR="008A03DE" w:rsidRPr="00111303">
              <w:rPr>
                <w:rStyle w:val="Znakapoznpodarou"/>
                <w:color w:val="0D0D0D"/>
                <w:lang w:val="en-GB"/>
              </w:rPr>
              <w:footnoteReference w:id="3"/>
            </w:r>
            <w:r w:rsidR="008A03DE" w:rsidRPr="00111303">
              <w:rPr>
                <w:rFonts w:cs="Arial"/>
                <w:color w:val="0D0D0D"/>
                <w:lang w:val="en-GB"/>
              </w:rPr>
              <w:t>.</w:t>
            </w:r>
          </w:p>
          <w:p w:rsidR="008A03DE" w:rsidRPr="00111303" w:rsidRDefault="008A03DE" w:rsidP="008A03DE">
            <w:pPr>
              <w:pStyle w:val="Textpoznpodarou"/>
              <w:jc w:val="both"/>
              <w:rPr>
                <w:rFonts w:cs="Arial"/>
                <w:color w:val="0D0D0D"/>
                <w:sz w:val="13"/>
                <w:szCs w:val="13"/>
                <w:lang w:val="en-GB"/>
              </w:rPr>
            </w:pPr>
          </w:p>
        </w:tc>
      </w:tr>
      <w:tr w:rsidR="008A03DE" w:rsidRPr="00CB09D5" w:rsidTr="008A03DE">
        <w:tc>
          <w:tcPr>
            <w:tcW w:w="1054" w:type="pct"/>
          </w:tcPr>
          <w:p w:rsidR="008A03DE" w:rsidRPr="00CB09D5" w:rsidRDefault="008F2342"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Collection of</w:t>
            </w:r>
            <w:r w:rsidR="00650260" w:rsidRPr="00CB09D5">
              <w:rPr>
                <w:rFonts w:cs="Arial"/>
                <w:bCs/>
                <w:iCs/>
                <w:color w:val="0D0D0D"/>
                <w:spacing w:val="-4"/>
                <w:sz w:val="16"/>
                <w:szCs w:val="16"/>
                <w:lang w:val="en-GB"/>
              </w:rPr>
              <w:t xml:space="preserve"> ITNP f</w:t>
            </w:r>
            <w:r w:rsidRPr="00CB09D5">
              <w:rPr>
                <w:rFonts w:cs="Arial"/>
                <w:bCs/>
                <w:iCs/>
                <w:color w:val="0D0D0D"/>
                <w:spacing w:val="-4"/>
                <w:sz w:val="16"/>
                <w:szCs w:val="16"/>
                <w:lang w:val="en-GB"/>
              </w:rPr>
              <w:t xml:space="preserve">rom the dependent </w:t>
            </w:r>
            <w:r w:rsidR="00B9183E" w:rsidRPr="00CB09D5">
              <w:rPr>
                <w:rFonts w:cs="Arial"/>
                <w:bCs/>
                <w:iCs/>
                <w:color w:val="0D0D0D"/>
                <w:spacing w:val="-4"/>
                <w:sz w:val="16"/>
                <w:szCs w:val="16"/>
                <w:lang w:val="en-GB"/>
              </w:rPr>
              <w:t>activity</w:t>
            </w:r>
            <w:r w:rsidRPr="00CB09D5">
              <w:rPr>
                <w:rFonts w:cs="Arial"/>
                <w:bCs/>
                <w:iCs/>
                <w:color w:val="0D0D0D"/>
                <w:spacing w:val="-4"/>
                <w:sz w:val="16"/>
                <w:szCs w:val="16"/>
                <w:lang w:val="en-GB"/>
              </w:rPr>
              <w:t xml:space="preserve"> grew the most since </w:t>
            </w:r>
            <w:r w:rsidR="005703D0" w:rsidRPr="00CB09D5">
              <w:rPr>
                <w:rFonts w:cs="Arial"/>
                <w:bCs/>
                <w:iCs/>
                <w:color w:val="0D0D0D"/>
                <w:spacing w:val="-4"/>
                <w:sz w:val="16"/>
                <w:szCs w:val="16"/>
                <w:lang w:val="en-GB"/>
              </w:rPr>
              <w:t xml:space="preserve">the </w:t>
            </w:r>
            <w:r w:rsidRPr="00CB09D5">
              <w:rPr>
                <w:rFonts w:cs="Arial"/>
                <w:bCs/>
                <w:iCs/>
                <w:color w:val="0D0D0D"/>
                <w:spacing w:val="-4"/>
                <w:sz w:val="16"/>
                <w:szCs w:val="16"/>
                <w:lang w:val="en-GB"/>
              </w:rPr>
              <w:t xml:space="preserve">year </w:t>
            </w:r>
            <w:r w:rsidR="008A03DE" w:rsidRPr="00CB09D5">
              <w:rPr>
                <w:rFonts w:cs="Arial"/>
                <w:bCs/>
                <w:iCs/>
                <w:color w:val="0D0D0D"/>
                <w:spacing w:val="-4"/>
                <w:sz w:val="16"/>
                <w:szCs w:val="16"/>
                <w:lang w:val="en-GB"/>
              </w:rPr>
              <w:t xml:space="preserve">2007 </w:t>
            </w:r>
            <w:r w:rsidRPr="00CB09D5">
              <w:rPr>
                <w:rFonts w:cs="Arial"/>
                <w:bCs/>
                <w:iCs/>
                <w:color w:val="0D0D0D"/>
                <w:spacing w:val="-4"/>
                <w:sz w:val="16"/>
                <w:szCs w:val="16"/>
                <w:lang w:val="en-GB"/>
              </w:rPr>
              <w:t xml:space="preserve">due to a </w:t>
            </w:r>
            <w:r w:rsidR="00705CA7">
              <w:rPr>
                <w:rFonts w:cs="Arial"/>
                <w:bCs/>
                <w:iCs/>
                <w:color w:val="0D0D0D"/>
                <w:spacing w:val="-4"/>
                <w:sz w:val="16"/>
                <w:szCs w:val="16"/>
                <w:lang w:val="en-GB"/>
              </w:rPr>
              <w:t>favourable</w:t>
            </w:r>
            <w:r w:rsidRPr="00CB09D5">
              <w:rPr>
                <w:rFonts w:cs="Arial"/>
                <w:bCs/>
                <w:iCs/>
                <w:color w:val="0D0D0D"/>
                <w:spacing w:val="-4"/>
                <w:sz w:val="16"/>
                <w:szCs w:val="16"/>
                <w:lang w:val="en-GB"/>
              </w:rPr>
              <w:t xml:space="preserve"> condition of the labour market, the collection of taxes from self-employed natural persons</w:t>
            </w:r>
            <w:r w:rsidR="00B9183E" w:rsidRPr="00CB09D5">
              <w:rPr>
                <w:rFonts w:cs="Arial"/>
                <w:bCs/>
                <w:iCs/>
                <w:color w:val="0D0D0D"/>
                <w:spacing w:val="-4"/>
                <w:sz w:val="16"/>
                <w:szCs w:val="16"/>
                <w:lang w:val="en-GB"/>
              </w:rPr>
              <w:t xml:space="preserve"> </w:t>
            </w:r>
            <w:r w:rsidRPr="00CB09D5">
              <w:rPr>
                <w:rFonts w:cs="Arial"/>
                <w:bCs/>
                <w:iCs/>
                <w:color w:val="0D0D0D"/>
                <w:spacing w:val="-4"/>
                <w:sz w:val="16"/>
                <w:szCs w:val="16"/>
                <w:lang w:val="en-GB"/>
              </w:rPr>
              <w:t>also increased</w:t>
            </w:r>
            <w:r w:rsidR="008A03DE" w:rsidRPr="00CB09D5">
              <w:rPr>
                <w:rFonts w:cs="Arial"/>
                <w:bCs/>
                <w:iCs/>
                <w:color w:val="0D0D0D"/>
                <w:spacing w:val="-4"/>
                <w:sz w:val="16"/>
                <w:szCs w:val="16"/>
                <w:lang w:val="en-GB"/>
              </w:rPr>
              <w:t>…</w:t>
            </w:r>
          </w:p>
          <w:p w:rsidR="008A03DE" w:rsidRDefault="008A03DE" w:rsidP="008A03DE">
            <w:pPr>
              <w:spacing w:line="240" w:lineRule="auto"/>
              <w:rPr>
                <w:rFonts w:cs="Arial"/>
                <w:bCs/>
                <w:iCs/>
                <w:color w:val="0D0D0D"/>
                <w:spacing w:val="-4"/>
                <w:sz w:val="16"/>
                <w:szCs w:val="16"/>
                <w:lang w:val="en-GB"/>
              </w:rPr>
            </w:pPr>
          </w:p>
          <w:p w:rsidR="00111303" w:rsidRPr="00CB09D5" w:rsidRDefault="00111303" w:rsidP="008A03DE">
            <w:pPr>
              <w:spacing w:line="240" w:lineRule="auto"/>
              <w:rPr>
                <w:rFonts w:cs="Arial"/>
                <w:bCs/>
                <w:iCs/>
                <w:color w:val="0D0D0D"/>
                <w:spacing w:val="-4"/>
                <w:sz w:val="16"/>
                <w:szCs w:val="16"/>
                <w:lang w:val="en-GB"/>
              </w:rPr>
            </w:pPr>
          </w:p>
          <w:p w:rsidR="008A03DE" w:rsidRPr="00CB09D5" w:rsidRDefault="008A03DE" w:rsidP="008A03DE">
            <w:pPr>
              <w:spacing w:line="240" w:lineRule="auto"/>
              <w:rPr>
                <w:rFonts w:cs="Arial"/>
                <w:bCs/>
                <w:iCs/>
                <w:color w:val="0D0D0D"/>
                <w:spacing w:val="-2"/>
                <w:sz w:val="16"/>
                <w:szCs w:val="16"/>
                <w:lang w:val="en-GB"/>
              </w:rPr>
            </w:pPr>
            <w:r w:rsidRPr="00CB09D5">
              <w:rPr>
                <w:rFonts w:cs="Arial"/>
                <w:bCs/>
                <w:iCs/>
                <w:color w:val="0D0D0D"/>
                <w:spacing w:val="-4"/>
                <w:sz w:val="16"/>
                <w:szCs w:val="16"/>
                <w:lang w:val="en-GB"/>
              </w:rPr>
              <w:lastRenderedPageBreak/>
              <w:t>…</w:t>
            </w:r>
            <w:r w:rsidR="00576B86" w:rsidRPr="00CB09D5">
              <w:rPr>
                <w:rFonts w:cs="Arial"/>
                <w:bCs/>
                <w:iCs/>
                <w:color w:val="0D0D0D"/>
                <w:spacing w:val="-4"/>
                <w:sz w:val="16"/>
                <w:szCs w:val="16"/>
                <w:lang w:val="en-GB"/>
              </w:rPr>
              <w:t xml:space="preserve">on the </w:t>
            </w:r>
            <w:r w:rsidR="004A2A16" w:rsidRPr="00CB09D5">
              <w:rPr>
                <w:rFonts w:cs="Arial"/>
                <w:bCs/>
                <w:iCs/>
                <w:color w:val="0D0D0D"/>
                <w:spacing w:val="-4"/>
                <w:sz w:val="16"/>
                <w:szCs w:val="16"/>
                <w:lang w:val="en-GB"/>
              </w:rPr>
              <w:t>contrary,</w:t>
            </w:r>
            <w:r w:rsidR="00576B86" w:rsidRPr="00CB09D5">
              <w:rPr>
                <w:rFonts w:cs="Arial"/>
                <w:bCs/>
                <w:iCs/>
                <w:color w:val="0D0D0D"/>
                <w:spacing w:val="-4"/>
                <w:sz w:val="16"/>
                <w:szCs w:val="16"/>
                <w:lang w:val="en-GB"/>
              </w:rPr>
              <w:t xml:space="preserve"> the dynamics for </w:t>
            </w:r>
            <w:r w:rsidR="00650260" w:rsidRPr="00CB09D5">
              <w:rPr>
                <w:rFonts w:cs="Arial"/>
                <w:bCs/>
                <w:iCs/>
                <w:color w:val="0D0D0D"/>
                <w:spacing w:val="-4"/>
                <w:sz w:val="16"/>
                <w:szCs w:val="16"/>
                <w:lang w:val="en-GB"/>
              </w:rPr>
              <w:t>ITNP</w:t>
            </w:r>
            <w:r w:rsidR="00576B86" w:rsidRPr="00CB09D5">
              <w:rPr>
                <w:rFonts w:cs="Arial"/>
                <w:bCs/>
                <w:iCs/>
                <w:color w:val="0D0D0D"/>
                <w:spacing w:val="-4"/>
                <w:sz w:val="16"/>
                <w:szCs w:val="16"/>
                <w:lang w:val="en-GB"/>
              </w:rPr>
              <w:t xml:space="preserve"> from capital yields was modest and remained tight</w:t>
            </w:r>
            <w:r w:rsidR="00AF581A" w:rsidRPr="00CB09D5">
              <w:rPr>
                <w:rFonts w:cs="Arial"/>
                <w:bCs/>
                <w:iCs/>
                <w:color w:val="0D0D0D"/>
                <w:spacing w:val="-4"/>
                <w:sz w:val="16"/>
                <w:szCs w:val="16"/>
                <w:lang w:val="en-GB"/>
              </w:rPr>
              <w:t>ly</w:t>
            </w:r>
            <w:r w:rsidR="00576B86" w:rsidRPr="00CB09D5">
              <w:rPr>
                <w:rFonts w:cs="Arial"/>
                <w:bCs/>
                <w:iCs/>
                <w:color w:val="0D0D0D"/>
                <w:spacing w:val="-4"/>
                <w:sz w:val="16"/>
                <w:szCs w:val="16"/>
                <w:lang w:val="en-GB"/>
              </w:rPr>
              <w:t xml:space="preserve"> behind the budget anticipations. </w:t>
            </w:r>
          </w:p>
        </w:tc>
        <w:tc>
          <w:tcPr>
            <w:tcW w:w="142" w:type="pct"/>
          </w:tcPr>
          <w:p w:rsidR="008A03DE" w:rsidRPr="00CB09D5" w:rsidRDefault="008A03DE" w:rsidP="008A03DE">
            <w:pPr>
              <w:pStyle w:val="Textpoznpodarou"/>
              <w:jc w:val="both"/>
              <w:rPr>
                <w:rFonts w:cs="Arial"/>
                <w:color w:val="0D0D0D"/>
                <w:spacing w:val="-4"/>
                <w:lang w:val="en-GB"/>
              </w:rPr>
            </w:pPr>
          </w:p>
        </w:tc>
        <w:tc>
          <w:tcPr>
            <w:tcW w:w="3804" w:type="pct"/>
          </w:tcPr>
          <w:p w:rsidR="008A03DE" w:rsidRPr="00111303" w:rsidRDefault="007B58A7" w:rsidP="008A03DE">
            <w:pPr>
              <w:pStyle w:val="Textpoznpodarou"/>
              <w:jc w:val="both"/>
              <w:rPr>
                <w:rFonts w:cs="Arial"/>
                <w:lang w:val="en-GB"/>
              </w:rPr>
            </w:pPr>
            <w:r w:rsidRPr="00111303">
              <w:rPr>
                <w:rFonts w:cs="Arial"/>
                <w:lang w:val="en-GB"/>
              </w:rPr>
              <w:t xml:space="preserve">Year-on-year rate of growth of the </w:t>
            </w:r>
            <w:r w:rsidR="00421E7A" w:rsidRPr="00111303">
              <w:rPr>
                <w:rFonts w:cs="Arial"/>
                <w:lang w:val="en-GB"/>
              </w:rPr>
              <w:t>state-wide</w:t>
            </w:r>
            <w:r w:rsidRPr="00111303">
              <w:rPr>
                <w:rFonts w:cs="Arial"/>
                <w:lang w:val="en-GB"/>
              </w:rPr>
              <w:t xml:space="preserve"> collection of </w:t>
            </w:r>
            <w:r w:rsidR="00724428" w:rsidRPr="00111303">
              <w:rPr>
                <w:lang w:val="en-GB"/>
              </w:rPr>
              <w:t xml:space="preserve">income taxes of natural persons (ITNP) </w:t>
            </w:r>
            <w:r w:rsidR="006F69A1" w:rsidRPr="00111303">
              <w:rPr>
                <w:rFonts w:cs="Arial"/>
                <w:lang w:val="en-GB"/>
              </w:rPr>
              <w:t xml:space="preserve">more than doubled </w:t>
            </w:r>
            <w:r w:rsidR="008A03DE" w:rsidRPr="00111303">
              <w:rPr>
                <w:rFonts w:cs="Arial"/>
                <w:lang w:val="en-GB"/>
              </w:rPr>
              <w:t>(</w:t>
            </w:r>
            <w:r w:rsidR="006F69A1" w:rsidRPr="00111303">
              <w:rPr>
                <w:rFonts w:cs="Arial"/>
                <w:lang w:val="en-GB"/>
              </w:rPr>
              <w:t xml:space="preserve">to </w:t>
            </w:r>
            <w:r w:rsidR="008A03DE" w:rsidRPr="00111303">
              <w:rPr>
                <w:rFonts w:cs="Arial"/>
                <w:lang w:val="en-GB"/>
              </w:rPr>
              <w:t>11</w:t>
            </w:r>
            <w:r w:rsidR="006F69A1" w:rsidRPr="00111303">
              <w:rPr>
                <w:rFonts w:cs="Arial"/>
                <w:lang w:val="en-GB"/>
              </w:rPr>
              <w:t>.</w:t>
            </w:r>
            <w:r w:rsidR="00DD003B" w:rsidRPr="00111303">
              <w:rPr>
                <w:rFonts w:cs="Arial"/>
                <w:lang w:val="en-GB"/>
              </w:rPr>
              <w:t>7</w:t>
            </w:r>
            <w:r w:rsidR="008A03DE" w:rsidRPr="00111303">
              <w:rPr>
                <w:rFonts w:cs="Arial"/>
                <w:lang w:val="en-GB"/>
              </w:rPr>
              <w:t>%), prim</w:t>
            </w:r>
            <w:r w:rsidR="006F69A1" w:rsidRPr="00111303">
              <w:rPr>
                <w:rFonts w:cs="Arial"/>
                <w:lang w:val="en-GB"/>
              </w:rPr>
              <w:t xml:space="preserve">arily due to the tax </w:t>
            </w:r>
            <w:r w:rsidR="00A80E64" w:rsidRPr="00111303">
              <w:rPr>
                <w:rFonts w:cs="Arial"/>
                <w:lang w:val="en-GB"/>
              </w:rPr>
              <w:t xml:space="preserve">payments </w:t>
            </w:r>
            <w:r w:rsidR="006F69A1" w:rsidRPr="00111303">
              <w:rPr>
                <w:rFonts w:cs="Arial"/>
                <w:lang w:val="en-GB"/>
              </w:rPr>
              <w:t>from the dependent activity</w:t>
            </w:r>
            <w:r w:rsidR="008A03DE" w:rsidRPr="00111303">
              <w:rPr>
                <w:rFonts w:cs="Arial"/>
                <w:lang w:val="en-GB"/>
              </w:rPr>
              <w:t xml:space="preserve">. </w:t>
            </w:r>
            <w:r w:rsidR="00AB6383" w:rsidRPr="00111303">
              <w:rPr>
                <w:rFonts w:cs="Arial"/>
                <w:lang w:val="en-GB"/>
              </w:rPr>
              <w:t>Record number of employed persons as well as the continuing reduction of the number of unemployed contributed to this development, as well as the strengthening wage dynamics in most branches</w:t>
            </w:r>
            <w:r w:rsidR="008A03DE" w:rsidRPr="00111303">
              <w:rPr>
                <w:rStyle w:val="Znakapoznpodarou"/>
                <w:lang w:val="en-GB"/>
              </w:rPr>
              <w:footnoteReference w:id="4"/>
            </w:r>
            <w:r w:rsidR="000916B1" w:rsidRPr="00111303">
              <w:rPr>
                <w:rFonts w:cs="Arial"/>
                <w:lang w:val="en-GB"/>
              </w:rPr>
              <w:t>.</w:t>
            </w:r>
            <w:r w:rsidR="008A03DE" w:rsidRPr="00111303">
              <w:rPr>
                <w:rFonts w:cs="Arial"/>
                <w:lang w:val="en-GB"/>
              </w:rPr>
              <w:t xml:space="preserve"> </w:t>
            </w:r>
            <w:r w:rsidR="00F968ED" w:rsidRPr="00111303">
              <w:rPr>
                <w:rFonts w:cs="Arial"/>
                <w:lang w:val="en-GB"/>
              </w:rPr>
              <w:t>The collection of</w:t>
            </w:r>
            <w:r w:rsidR="00724428" w:rsidRPr="00111303">
              <w:rPr>
                <w:rFonts w:cs="Arial"/>
                <w:lang w:val="en-GB"/>
              </w:rPr>
              <w:t xml:space="preserve"> </w:t>
            </w:r>
            <w:r w:rsidR="00724428" w:rsidRPr="00111303">
              <w:rPr>
                <w:lang w:val="en-GB"/>
              </w:rPr>
              <w:t xml:space="preserve">income taxes of natural persons (ITNP) </w:t>
            </w:r>
            <w:r w:rsidR="00F968ED" w:rsidRPr="00111303">
              <w:rPr>
                <w:rFonts w:cs="Arial"/>
                <w:lang w:val="en-GB"/>
              </w:rPr>
              <w:t xml:space="preserve">based on the </w:t>
            </w:r>
            <w:r w:rsidR="00A80E64" w:rsidRPr="00111303">
              <w:rPr>
                <w:rFonts w:cs="Arial"/>
                <w:lang w:val="en-GB"/>
              </w:rPr>
              <w:t xml:space="preserve">tax returns </w:t>
            </w:r>
            <w:r w:rsidR="00F968ED" w:rsidRPr="00111303">
              <w:rPr>
                <w:rFonts w:cs="Arial"/>
                <w:lang w:val="en-GB"/>
              </w:rPr>
              <w:t xml:space="preserve">significantly increased in the last year </w:t>
            </w:r>
            <w:r w:rsidR="008A03DE" w:rsidRPr="00111303">
              <w:rPr>
                <w:rFonts w:cs="Arial"/>
                <w:lang w:val="en-GB"/>
              </w:rPr>
              <w:t>(</w:t>
            </w:r>
            <w:r w:rsidR="00F968ED" w:rsidRPr="00111303">
              <w:rPr>
                <w:rFonts w:cs="Arial"/>
                <w:lang w:val="en-GB"/>
              </w:rPr>
              <w:t>to nearly 7 bn</w:t>
            </w:r>
            <w:r w:rsidR="008A03DE" w:rsidRPr="00111303">
              <w:rPr>
                <w:rFonts w:cs="Arial"/>
                <w:lang w:val="en-GB"/>
              </w:rPr>
              <w:t xml:space="preserve">, </w:t>
            </w:r>
            <w:r w:rsidR="004A2A16" w:rsidRPr="00111303">
              <w:rPr>
                <w:rFonts w:cs="Arial"/>
                <w:lang w:val="en-GB"/>
              </w:rPr>
              <w:t xml:space="preserve">the highest collection since </w:t>
            </w:r>
            <w:r w:rsidR="005703D0" w:rsidRPr="00111303">
              <w:rPr>
                <w:rFonts w:cs="Arial"/>
                <w:lang w:val="en-GB"/>
              </w:rPr>
              <w:t xml:space="preserve">the </w:t>
            </w:r>
            <w:r w:rsidR="004A2A16" w:rsidRPr="00111303">
              <w:rPr>
                <w:rFonts w:cs="Arial"/>
                <w:lang w:val="en-GB"/>
              </w:rPr>
              <w:t>year 2</w:t>
            </w:r>
            <w:r w:rsidR="008A03DE" w:rsidRPr="00111303">
              <w:rPr>
                <w:rFonts w:cs="Arial"/>
                <w:lang w:val="en-GB"/>
              </w:rPr>
              <w:t xml:space="preserve">010), </w:t>
            </w:r>
            <w:r w:rsidR="004A2A16" w:rsidRPr="00111303">
              <w:rPr>
                <w:rFonts w:cs="Arial"/>
                <w:lang w:val="en-GB"/>
              </w:rPr>
              <w:t>which was associated not only with the profitability of the self-</w:t>
            </w:r>
            <w:r w:rsidR="004A2A16" w:rsidRPr="00111303">
              <w:rPr>
                <w:rFonts w:cs="Arial"/>
                <w:lang w:val="en-GB"/>
              </w:rPr>
              <w:lastRenderedPageBreak/>
              <w:t xml:space="preserve">employed natural persons but also with the limitation of the size of </w:t>
            </w:r>
            <w:r w:rsidR="00A80E64" w:rsidRPr="00111303">
              <w:rPr>
                <w:rFonts w:cs="Arial"/>
                <w:lang w:val="en-GB"/>
              </w:rPr>
              <w:t>expense rates</w:t>
            </w:r>
            <w:r w:rsidR="008A03DE" w:rsidRPr="00111303">
              <w:rPr>
                <w:rFonts w:cs="Arial"/>
                <w:lang w:val="en-GB"/>
              </w:rPr>
              <w:t xml:space="preserve">. </w:t>
            </w:r>
            <w:r w:rsidR="00A00476" w:rsidRPr="00111303">
              <w:rPr>
                <w:rFonts w:cs="Arial"/>
                <w:lang w:val="en-GB"/>
              </w:rPr>
              <w:t xml:space="preserve">The </w:t>
            </w:r>
            <w:r w:rsidR="00A80E64" w:rsidRPr="00111303">
              <w:rPr>
                <w:rFonts w:cs="Arial"/>
                <w:lang w:val="en-GB"/>
              </w:rPr>
              <w:t>double-digit</w:t>
            </w:r>
            <w:r w:rsidR="00A00476" w:rsidRPr="00111303">
              <w:rPr>
                <w:rFonts w:cs="Arial"/>
                <w:lang w:val="en-GB"/>
              </w:rPr>
              <w:t xml:space="preserve"> growth of the collection of tax </w:t>
            </w:r>
            <w:r w:rsidR="00A80E64" w:rsidRPr="00111303">
              <w:rPr>
                <w:rFonts w:cs="Arial"/>
                <w:lang w:val="en-GB"/>
              </w:rPr>
              <w:t xml:space="preserve">from the property acquisition </w:t>
            </w:r>
            <w:r w:rsidR="00A00476" w:rsidRPr="00111303">
              <w:rPr>
                <w:rFonts w:cs="Arial"/>
                <w:lang w:val="en-GB"/>
              </w:rPr>
              <w:t xml:space="preserve">continued last year similarly to </w:t>
            </w:r>
            <w:r w:rsidR="005703D0" w:rsidRPr="00111303">
              <w:rPr>
                <w:rFonts w:cs="Arial"/>
                <w:lang w:val="en-GB"/>
              </w:rPr>
              <w:t xml:space="preserve">the </w:t>
            </w:r>
            <w:r w:rsidR="00A00476" w:rsidRPr="00111303">
              <w:rPr>
                <w:rFonts w:cs="Arial"/>
                <w:lang w:val="en-GB"/>
              </w:rPr>
              <w:t xml:space="preserve">year 2015, </w:t>
            </w:r>
            <w:r w:rsidR="00A80E64" w:rsidRPr="00111303">
              <w:rPr>
                <w:rFonts w:cs="Arial"/>
                <w:lang w:val="en-GB"/>
              </w:rPr>
              <w:t xml:space="preserve">indicating the </w:t>
            </w:r>
            <w:r w:rsidR="0091174F" w:rsidRPr="00111303">
              <w:rPr>
                <w:rFonts w:cs="Arial"/>
                <w:lang w:val="en-GB"/>
              </w:rPr>
              <w:t>further revival of the real estate market due to the growing disposable income of households as well as the prevailing low interest rates.</w:t>
            </w:r>
          </w:p>
          <w:p w:rsidR="008A03DE" w:rsidRPr="00111303" w:rsidRDefault="008A03DE" w:rsidP="008A03DE">
            <w:pPr>
              <w:pStyle w:val="Textpoznpodarou"/>
              <w:jc w:val="both"/>
              <w:rPr>
                <w:rFonts w:cs="Arial"/>
                <w:sz w:val="14"/>
                <w:szCs w:val="14"/>
                <w:lang w:val="en-GB"/>
              </w:rPr>
            </w:pPr>
          </w:p>
        </w:tc>
      </w:tr>
      <w:tr w:rsidR="008A03DE" w:rsidRPr="00CB09D5" w:rsidTr="008A03DE">
        <w:tc>
          <w:tcPr>
            <w:tcW w:w="1054" w:type="pct"/>
          </w:tcPr>
          <w:p w:rsidR="008A03DE" w:rsidRPr="00CB09D5" w:rsidRDefault="008A03DE"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lastRenderedPageBreak/>
              <w:t>R</w:t>
            </w:r>
            <w:r w:rsidR="00AF581A" w:rsidRPr="00CB09D5">
              <w:rPr>
                <w:rFonts w:cs="Arial"/>
                <w:bCs/>
                <w:iCs/>
                <w:color w:val="0D0D0D"/>
                <w:spacing w:val="-2"/>
                <w:sz w:val="16"/>
                <w:szCs w:val="16"/>
                <w:lang w:val="en-GB"/>
              </w:rPr>
              <w:t xml:space="preserve">ecord depth of the fall of total SB expenditure due to year-on-year slump of investment, </w:t>
            </w:r>
            <w:r w:rsidR="00727457" w:rsidRPr="00CB09D5">
              <w:rPr>
                <w:rFonts w:cs="Arial"/>
                <w:bCs/>
                <w:iCs/>
                <w:color w:val="0D0D0D"/>
                <w:spacing w:val="-2"/>
                <w:sz w:val="16"/>
                <w:szCs w:val="16"/>
                <w:lang w:val="en-GB"/>
              </w:rPr>
              <w:t xml:space="preserve">but a modest growth of current expenditure as well. </w:t>
            </w:r>
          </w:p>
        </w:tc>
        <w:tc>
          <w:tcPr>
            <w:tcW w:w="142" w:type="pct"/>
          </w:tcPr>
          <w:p w:rsidR="008A03DE" w:rsidRPr="00CB09D5" w:rsidRDefault="008A03DE" w:rsidP="008A03DE">
            <w:pPr>
              <w:pStyle w:val="Textpoznpodarou"/>
              <w:jc w:val="both"/>
              <w:rPr>
                <w:rFonts w:cs="Arial"/>
                <w:color w:val="0D0D0D"/>
                <w:spacing w:val="-4"/>
                <w:lang w:val="en-GB"/>
              </w:rPr>
            </w:pPr>
          </w:p>
        </w:tc>
        <w:tc>
          <w:tcPr>
            <w:tcW w:w="3804" w:type="pct"/>
          </w:tcPr>
          <w:p w:rsidR="001857D6" w:rsidRPr="00111303" w:rsidRDefault="00CB1F9F" w:rsidP="008A03DE">
            <w:pPr>
              <w:pStyle w:val="Textpoznpodarou"/>
              <w:jc w:val="both"/>
              <w:rPr>
                <w:rFonts w:cs="Arial"/>
                <w:color w:val="0D0D0D"/>
                <w:lang w:val="en-GB"/>
              </w:rPr>
            </w:pPr>
            <w:r w:rsidRPr="00111303">
              <w:rPr>
                <w:rFonts w:cs="Arial"/>
                <w:color w:val="0D0D0D"/>
                <w:lang w:val="en-GB"/>
              </w:rPr>
              <w:t xml:space="preserve">Total SB expenditure decreased by </w:t>
            </w:r>
            <w:r w:rsidR="008A03DE" w:rsidRPr="00111303">
              <w:rPr>
                <w:rFonts w:cs="Arial"/>
                <w:color w:val="0D0D0D"/>
                <w:lang w:val="en-GB"/>
              </w:rPr>
              <w:t>6</w:t>
            </w:r>
            <w:r w:rsidRPr="00111303">
              <w:rPr>
                <w:rFonts w:cs="Arial"/>
                <w:color w:val="0D0D0D"/>
                <w:lang w:val="en-GB"/>
              </w:rPr>
              <w:t>.</w:t>
            </w:r>
            <w:r w:rsidR="00DD003B" w:rsidRPr="00111303">
              <w:rPr>
                <w:rFonts w:cs="Arial"/>
                <w:color w:val="0D0D0D"/>
                <w:lang w:val="en-GB"/>
              </w:rPr>
              <w:t>0</w:t>
            </w:r>
            <w:r w:rsidR="008A03DE" w:rsidRPr="00111303">
              <w:rPr>
                <w:rFonts w:cs="Arial"/>
                <w:color w:val="0D0D0D"/>
                <w:lang w:val="en-GB"/>
              </w:rPr>
              <w:t>%</w:t>
            </w:r>
            <w:r w:rsidRPr="00111303">
              <w:rPr>
                <w:rFonts w:cs="Arial"/>
                <w:color w:val="0D0D0D"/>
                <w:lang w:val="en-GB"/>
              </w:rPr>
              <w:t xml:space="preserve"> last year</w:t>
            </w:r>
            <w:r w:rsidR="008A03DE" w:rsidRPr="00111303">
              <w:rPr>
                <w:rFonts w:cs="Arial"/>
                <w:color w:val="0D0D0D"/>
                <w:lang w:val="en-GB"/>
              </w:rPr>
              <w:t xml:space="preserve">. </w:t>
            </w:r>
            <w:r w:rsidRPr="00111303">
              <w:rPr>
                <w:rFonts w:cs="Arial"/>
                <w:color w:val="0D0D0D"/>
                <w:lang w:val="en-GB"/>
              </w:rPr>
              <w:t xml:space="preserve">It represented the deepest year-on-year fall of expenditure in the </w:t>
            </w:r>
            <w:r w:rsidR="00A80E64" w:rsidRPr="00111303">
              <w:rPr>
                <w:rFonts w:cs="Arial"/>
                <w:color w:val="0D0D0D"/>
                <w:lang w:val="en-GB"/>
              </w:rPr>
              <w:t xml:space="preserve">era </w:t>
            </w:r>
            <w:r w:rsidRPr="00111303">
              <w:rPr>
                <w:rFonts w:cs="Arial"/>
                <w:color w:val="0D0D0D"/>
                <w:lang w:val="en-GB"/>
              </w:rPr>
              <w:t xml:space="preserve">of the independent CR. </w:t>
            </w:r>
            <w:r w:rsidR="001A4A37" w:rsidRPr="00111303">
              <w:rPr>
                <w:rFonts w:cs="Arial"/>
                <w:color w:val="0D0D0D"/>
                <w:lang w:val="en-GB"/>
              </w:rPr>
              <w:t xml:space="preserve">Sharp, however expected slump of investment </w:t>
            </w:r>
            <w:r w:rsidR="008A03DE" w:rsidRPr="00111303">
              <w:rPr>
                <w:rFonts w:cs="Arial"/>
                <w:color w:val="0D0D0D"/>
                <w:lang w:val="en-GB"/>
              </w:rPr>
              <w:t>(</w:t>
            </w:r>
            <w:r w:rsidR="001A4A37" w:rsidRPr="00111303">
              <w:rPr>
                <w:rFonts w:cs="Arial"/>
                <w:color w:val="0D0D0D"/>
                <w:lang w:val="en-GB"/>
              </w:rPr>
              <w:t xml:space="preserve">by </w:t>
            </w:r>
            <w:r w:rsidR="00DD003B" w:rsidRPr="00111303">
              <w:rPr>
                <w:rFonts w:cs="Arial"/>
                <w:color w:val="0D0D0D"/>
                <w:lang w:val="en-GB"/>
              </w:rPr>
              <w:t>52</w:t>
            </w:r>
            <w:r w:rsidR="008A03DE" w:rsidRPr="00111303">
              <w:rPr>
                <w:rFonts w:cs="Arial"/>
                <w:color w:val="0D0D0D"/>
                <w:lang w:val="en-GB"/>
              </w:rPr>
              <w:t>%</w:t>
            </w:r>
            <w:r w:rsidR="001A4A37" w:rsidRPr="00111303">
              <w:rPr>
                <w:rFonts w:cs="Arial"/>
                <w:color w:val="0D0D0D"/>
                <w:lang w:val="en-GB"/>
              </w:rPr>
              <w:t xml:space="preserve"> year-on-year</w:t>
            </w:r>
            <w:r w:rsidR="008A03DE" w:rsidRPr="00111303">
              <w:rPr>
                <w:rFonts w:cs="Arial"/>
                <w:color w:val="0D0D0D"/>
                <w:lang w:val="en-GB"/>
              </w:rPr>
              <w:t xml:space="preserve">) </w:t>
            </w:r>
            <w:r w:rsidR="001A4A37" w:rsidRPr="00111303">
              <w:rPr>
                <w:rFonts w:cs="Arial"/>
                <w:color w:val="0D0D0D"/>
                <w:lang w:val="en-GB"/>
              </w:rPr>
              <w:t xml:space="preserve">was not compensated by a corresponding growth of the current expenditure </w:t>
            </w:r>
            <w:r w:rsidR="008A03DE" w:rsidRPr="00111303">
              <w:rPr>
                <w:rFonts w:cs="Arial"/>
                <w:color w:val="0D0D0D"/>
                <w:lang w:val="en-GB"/>
              </w:rPr>
              <w:t>– t</w:t>
            </w:r>
            <w:r w:rsidR="001A4A37" w:rsidRPr="00111303">
              <w:rPr>
                <w:rFonts w:cs="Arial"/>
                <w:color w:val="0D0D0D"/>
                <w:lang w:val="en-GB"/>
              </w:rPr>
              <w:t xml:space="preserve">hese </w:t>
            </w:r>
            <w:r w:rsidR="003A57A4" w:rsidRPr="00111303">
              <w:rPr>
                <w:rFonts w:cs="Arial"/>
                <w:color w:val="0D0D0D"/>
                <w:lang w:val="en-GB"/>
              </w:rPr>
              <w:t>strengthened</w:t>
            </w:r>
            <w:r w:rsidR="001A4A37" w:rsidRPr="00111303">
              <w:rPr>
                <w:rFonts w:cs="Arial"/>
                <w:color w:val="0D0D0D"/>
                <w:lang w:val="en-GB"/>
              </w:rPr>
              <w:t xml:space="preserve"> by </w:t>
            </w:r>
            <w:r w:rsidR="008A03DE" w:rsidRPr="00111303">
              <w:rPr>
                <w:rFonts w:cs="Arial"/>
                <w:color w:val="0D0D0D"/>
                <w:lang w:val="en-GB"/>
              </w:rPr>
              <w:t>1</w:t>
            </w:r>
            <w:r w:rsidR="001A4A37" w:rsidRPr="00111303">
              <w:rPr>
                <w:rFonts w:cs="Arial"/>
                <w:color w:val="0D0D0D"/>
                <w:lang w:val="en-GB"/>
              </w:rPr>
              <w:t>.</w:t>
            </w:r>
            <w:r w:rsidR="00DD003B" w:rsidRPr="00111303">
              <w:rPr>
                <w:rFonts w:cs="Arial"/>
                <w:color w:val="0D0D0D"/>
                <w:lang w:val="en-GB"/>
              </w:rPr>
              <w:t>2</w:t>
            </w:r>
            <w:r w:rsidR="008A03DE" w:rsidRPr="00111303">
              <w:rPr>
                <w:rFonts w:cs="Arial"/>
                <w:color w:val="0D0D0D"/>
                <w:lang w:val="en-GB"/>
              </w:rPr>
              <w:t>% (</w:t>
            </w:r>
            <w:r w:rsidR="001A4A37" w:rsidRPr="00111303">
              <w:rPr>
                <w:rFonts w:cs="Arial"/>
                <w:color w:val="0D0D0D"/>
                <w:lang w:val="en-GB"/>
              </w:rPr>
              <w:t>the least in the last four years</w:t>
            </w:r>
            <w:r w:rsidR="008A03DE" w:rsidRPr="00111303">
              <w:rPr>
                <w:rFonts w:cs="Arial"/>
                <w:color w:val="0D0D0D"/>
                <w:lang w:val="en-GB"/>
              </w:rPr>
              <w:t xml:space="preserve">), </w:t>
            </w:r>
            <w:r w:rsidR="003A57A4" w:rsidRPr="00111303">
              <w:rPr>
                <w:rFonts w:cs="Arial"/>
                <w:color w:val="0D0D0D"/>
                <w:lang w:val="en-GB"/>
              </w:rPr>
              <w:t xml:space="preserve">when the vast majority of </w:t>
            </w:r>
            <w:r w:rsidR="000A7C02" w:rsidRPr="00111303">
              <w:rPr>
                <w:rFonts w:cs="Arial"/>
                <w:color w:val="0D0D0D"/>
                <w:lang w:val="en-GB"/>
              </w:rPr>
              <w:t>current</w:t>
            </w:r>
            <w:r w:rsidR="003A57A4" w:rsidRPr="00111303">
              <w:rPr>
                <w:rFonts w:cs="Arial"/>
                <w:color w:val="0D0D0D"/>
                <w:lang w:val="en-GB"/>
              </w:rPr>
              <w:t xml:space="preserve"> expenditure </w:t>
            </w:r>
            <w:r w:rsidR="008A03DE" w:rsidRPr="00111303">
              <w:rPr>
                <w:rFonts w:cs="Arial"/>
                <w:color w:val="0D0D0D"/>
                <w:lang w:val="en-GB"/>
              </w:rPr>
              <w:t>(</w:t>
            </w:r>
            <w:r w:rsidR="003A57A4" w:rsidRPr="00111303">
              <w:rPr>
                <w:rFonts w:cs="Arial"/>
                <w:color w:val="0D0D0D"/>
                <w:lang w:val="en-GB"/>
              </w:rPr>
              <w:t>incl. pensions or other social benefits</w:t>
            </w:r>
            <w:r w:rsidR="008A03DE" w:rsidRPr="00111303">
              <w:rPr>
                <w:rFonts w:cs="Arial"/>
                <w:color w:val="0D0D0D"/>
                <w:lang w:val="en-GB"/>
              </w:rPr>
              <w:t xml:space="preserve">) </w:t>
            </w:r>
            <w:r w:rsidR="003A57A4" w:rsidRPr="00111303">
              <w:rPr>
                <w:rFonts w:cs="Arial"/>
                <w:color w:val="0D0D0D"/>
                <w:lang w:val="en-GB"/>
              </w:rPr>
              <w:t xml:space="preserve">did not fulfil the budget anticipations. </w:t>
            </w:r>
          </w:p>
          <w:p w:rsidR="008A03DE" w:rsidRPr="00111303" w:rsidRDefault="008A03DE" w:rsidP="008A03DE">
            <w:pPr>
              <w:pStyle w:val="Textpoznpodarou"/>
              <w:jc w:val="both"/>
              <w:rPr>
                <w:rFonts w:cs="Arial"/>
                <w:color w:val="0D0D0D"/>
                <w:lang w:val="en-GB"/>
              </w:rPr>
            </w:pPr>
            <w:r w:rsidRPr="00111303">
              <w:rPr>
                <w:rFonts w:cs="Arial"/>
                <w:color w:val="0D0D0D"/>
                <w:lang w:val="en-GB"/>
              </w:rPr>
              <w:t xml:space="preserve"> </w:t>
            </w:r>
          </w:p>
        </w:tc>
      </w:tr>
      <w:tr w:rsidR="008A03DE" w:rsidRPr="00CB09D5" w:rsidTr="008A03DE">
        <w:tc>
          <w:tcPr>
            <w:tcW w:w="1054" w:type="pct"/>
          </w:tcPr>
          <w:p w:rsidR="008A03DE" w:rsidRPr="00CB09D5" w:rsidRDefault="007A4FAF"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 xml:space="preserve">Share of investment on all </w:t>
            </w:r>
            <w:r w:rsidR="00DD003B" w:rsidRPr="00CB09D5">
              <w:rPr>
                <w:rFonts w:cs="Arial"/>
                <w:bCs/>
                <w:iCs/>
                <w:color w:val="0D0D0D"/>
                <w:spacing w:val="-4"/>
                <w:sz w:val="16"/>
                <w:szCs w:val="16"/>
                <w:lang w:val="en-GB"/>
              </w:rPr>
              <w:t>SB expenditures dropped below 7</w:t>
            </w:r>
            <w:r w:rsidRPr="00CB09D5">
              <w:rPr>
                <w:rFonts w:cs="Arial"/>
                <w:bCs/>
                <w:iCs/>
                <w:color w:val="0D0D0D"/>
                <w:spacing w:val="-4"/>
                <w:sz w:val="16"/>
                <w:szCs w:val="16"/>
                <w:lang w:val="en-GB"/>
              </w:rPr>
              <w:t xml:space="preserve">% last year, taking into </w:t>
            </w:r>
            <w:r w:rsidR="00A12F7C" w:rsidRPr="00CB09D5">
              <w:rPr>
                <w:rFonts w:cs="Arial"/>
                <w:bCs/>
                <w:iCs/>
                <w:color w:val="0D0D0D"/>
                <w:spacing w:val="-4"/>
                <w:sz w:val="16"/>
                <w:szCs w:val="16"/>
                <w:lang w:val="en-GB"/>
              </w:rPr>
              <w:t>account</w:t>
            </w:r>
            <w:r w:rsidRPr="00CB09D5">
              <w:rPr>
                <w:rFonts w:cs="Arial"/>
                <w:bCs/>
                <w:iCs/>
                <w:color w:val="0D0D0D"/>
                <w:spacing w:val="-4"/>
                <w:sz w:val="16"/>
                <w:szCs w:val="16"/>
                <w:lang w:val="en-GB"/>
              </w:rPr>
              <w:t xml:space="preserve"> the extraordinary year 2015 it however fully fits into the </w:t>
            </w:r>
            <w:r w:rsidR="00A12F7C" w:rsidRPr="00CB09D5">
              <w:rPr>
                <w:rFonts w:cs="Arial"/>
                <w:bCs/>
                <w:iCs/>
                <w:color w:val="0D0D0D"/>
                <w:spacing w:val="-4"/>
                <w:sz w:val="16"/>
                <w:szCs w:val="16"/>
                <w:lang w:val="en-GB"/>
              </w:rPr>
              <w:t>long-term</w:t>
            </w:r>
            <w:r w:rsidRPr="00CB09D5">
              <w:rPr>
                <w:rFonts w:cs="Arial"/>
                <w:bCs/>
                <w:iCs/>
                <w:color w:val="0D0D0D"/>
                <w:spacing w:val="-4"/>
                <w:sz w:val="16"/>
                <w:szCs w:val="16"/>
                <w:lang w:val="en-GB"/>
              </w:rPr>
              <w:t xml:space="preserve"> development. </w:t>
            </w:r>
          </w:p>
        </w:tc>
        <w:tc>
          <w:tcPr>
            <w:tcW w:w="142" w:type="pct"/>
          </w:tcPr>
          <w:p w:rsidR="008A03DE" w:rsidRPr="00CB09D5" w:rsidRDefault="008A03DE" w:rsidP="008A03DE">
            <w:pPr>
              <w:pStyle w:val="Textpoznpodarou"/>
              <w:jc w:val="both"/>
              <w:rPr>
                <w:rFonts w:cs="Arial"/>
                <w:color w:val="000000"/>
                <w:spacing w:val="-4"/>
                <w:lang w:val="en-GB"/>
              </w:rPr>
            </w:pPr>
          </w:p>
        </w:tc>
        <w:tc>
          <w:tcPr>
            <w:tcW w:w="3804" w:type="pct"/>
          </w:tcPr>
          <w:p w:rsidR="008A03DE" w:rsidRPr="00111303" w:rsidRDefault="007A4FAF" w:rsidP="008A03DE">
            <w:pPr>
              <w:pStyle w:val="Textpoznpodarou"/>
              <w:jc w:val="both"/>
              <w:rPr>
                <w:rFonts w:cs="Arial"/>
                <w:color w:val="000000"/>
                <w:lang w:val="en-GB"/>
              </w:rPr>
            </w:pPr>
            <w:r w:rsidRPr="00111303">
              <w:rPr>
                <w:rFonts w:cs="Arial"/>
                <w:color w:val="000000"/>
                <w:lang w:val="en-GB"/>
              </w:rPr>
              <w:t xml:space="preserve">Sharp fall of the capital outlays (by 91 </w:t>
            </w:r>
            <w:r w:rsidR="00C4216C" w:rsidRPr="00111303">
              <w:rPr>
                <w:rFonts w:cs="Arial"/>
                <w:color w:val="000000"/>
                <w:lang w:val="en-GB"/>
              </w:rPr>
              <w:t>CZK bn</w:t>
            </w:r>
            <w:r w:rsidRPr="00111303">
              <w:rPr>
                <w:rFonts w:cs="Arial"/>
                <w:color w:val="000000"/>
                <w:lang w:val="en-GB"/>
              </w:rPr>
              <w:t xml:space="preserve">) was linked to the extraordinarily high basis of </w:t>
            </w:r>
            <w:r w:rsidR="005703D0" w:rsidRPr="00111303">
              <w:rPr>
                <w:rFonts w:cs="Arial"/>
                <w:color w:val="000000"/>
                <w:lang w:val="en-GB"/>
              </w:rPr>
              <w:t xml:space="preserve">the </w:t>
            </w:r>
            <w:r w:rsidRPr="00111303">
              <w:rPr>
                <w:rFonts w:cs="Arial"/>
                <w:color w:val="000000"/>
                <w:lang w:val="en-GB"/>
              </w:rPr>
              <w:t>year 2015 and also the anticipated slower drawing of funds on comm</w:t>
            </w:r>
            <w:r w:rsidR="00B84820" w:rsidRPr="00111303">
              <w:rPr>
                <w:rFonts w:cs="Arial"/>
                <w:color w:val="000000"/>
                <w:lang w:val="en-GB"/>
              </w:rPr>
              <w:t>on</w:t>
            </w:r>
            <w:r w:rsidRPr="00111303">
              <w:rPr>
                <w:rFonts w:cs="Arial"/>
                <w:color w:val="000000"/>
                <w:lang w:val="en-GB"/>
              </w:rPr>
              <w:t xml:space="preserve"> projects of the CR and the EU on the start of the new programme period</w:t>
            </w:r>
            <w:r w:rsidR="008A03DE" w:rsidRPr="00111303">
              <w:rPr>
                <w:rStyle w:val="Znakapoznpodarou"/>
                <w:color w:val="000000"/>
                <w:lang w:val="en-GB"/>
              </w:rPr>
              <w:footnoteReference w:id="5"/>
            </w:r>
            <w:r w:rsidR="008A03DE" w:rsidRPr="00111303">
              <w:rPr>
                <w:rFonts w:cs="Arial"/>
                <w:color w:val="000000"/>
                <w:lang w:val="en-GB"/>
              </w:rPr>
              <w:t>. M</w:t>
            </w:r>
            <w:r w:rsidR="000C2C94" w:rsidRPr="00111303">
              <w:rPr>
                <w:rFonts w:cs="Arial"/>
                <w:color w:val="000000"/>
                <w:lang w:val="en-GB"/>
              </w:rPr>
              <w:t xml:space="preserve">ild acceleration of the investment flow towards the end of the last year ensured meeting the whole year amount anticipated by the SB. </w:t>
            </w:r>
            <w:r w:rsidR="00314808" w:rsidRPr="00111303">
              <w:rPr>
                <w:rFonts w:cs="Arial"/>
                <w:color w:val="000000"/>
                <w:lang w:val="en-GB"/>
              </w:rPr>
              <w:t>The proportion of investment on total budget</w:t>
            </w:r>
            <w:r w:rsidR="00DD003B" w:rsidRPr="00111303">
              <w:rPr>
                <w:rFonts w:cs="Arial"/>
                <w:color w:val="000000"/>
                <w:lang w:val="en-GB"/>
              </w:rPr>
              <w:t xml:space="preserve"> expenditure fell to record 6.9</w:t>
            </w:r>
            <w:r w:rsidR="00314808" w:rsidRPr="00111303">
              <w:rPr>
                <w:rFonts w:cs="Arial"/>
                <w:color w:val="000000"/>
                <w:lang w:val="en-GB"/>
              </w:rPr>
              <w:t xml:space="preserve">% last year. If we however took into account also the year </w:t>
            </w:r>
            <w:r w:rsidR="008A03DE" w:rsidRPr="00111303">
              <w:rPr>
                <w:rFonts w:cs="Arial"/>
                <w:color w:val="000000"/>
                <w:lang w:val="en-GB"/>
              </w:rPr>
              <w:t xml:space="preserve">2015, </w:t>
            </w:r>
            <w:r w:rsidR="00314808" w:rsidRPr="00111303">
              <w:rPr>
                <w:rFonts w:cs="Arial"/>
                <w:color w:val="000000"/>
                <w:lang w:val="en-GB"/>
              </w:rPr>
              <w:t xml:space="preserve">then a similar proportion </w:t>
            </w:r>
            <w:r w:rsidR="000A7C02" w:rsidRPr="00111303">
              <w:rPr>
                <w:rFonts w:cs="Arial"/>
                <w:color w:val="000000"/>
                <w:lang w:val="en-GB"/>
              </w:rPr>
              <w:t xml:space="preserve">(for whole period of 2015-2016) </w:t>
            </w:r>
            <w:r w:rsidR="00314808" w:rsidRPr="00111303">
              <w:rPr>
                <w:rFonts w:cs="Arial"/>
                <w:color w:val="000000"/>
                <w:lang w:val="en-GB"/>
              </w:rPr>
              <w:t xml:space="preserve">would not </w:t>
            </w:r>
            <w:r w:rsidR="00825B92" w:rsidRPr="00111303">
              <w:rPr>
                <w:rFonts w:cs="Arial"/>
                <w:color w:val="000000"/>
                <w:lang w:val="en-GB"/>
              </w:rPr>
              <w:t xml:space="preserve">deviate </w:t>
            </w:r>
            <w:r w:rsidR="00314808" w:rsidRPr="00111303">
              <w:rPr>
                <w:rFonts w:cs="Arial"/>
                <w:color w:val="000000"/>
                <w:lang w:val="en-GB"/>
              </w:rPr>
              <w:t xml:space="preserve">from the </w:t>
            </w:r>
            <w:r w:rsidR="003D15C3" w:rsidRPr="00111303">
              <w:rPr>
                <w:rFonts w:cs="Arial"/>
                <w:color w:val="000000"/>
                <w:lang w:val="en-GB"/>
              </w:rPr>
              <w:t>long-term</w:t>
            </w:r>
            <w:r w:rsidR="00314808" w:rsidRPr="00111303">
              <w:rPr>
                <w:rFonts w:cs="Arial"/>
                <w:color w:val="000000"/>
                <w:lang w:val="en-GB"/>
              </w:rPr>
              <w:t xml:space="preserve"> level in</w:t>
            </w:r>
            <w:r w:rsidR="00A718BC" w:rsidRPr="00111303">
              <w:rPr>
                <w:rFonts w:cs="Arial"/>
                <w:color w:val="000000"/>
                <w:lang w:val="en-GB"/>
              </w:rPr>
              <w:t xml:space="preserve"> any way in</w:t>
            </w:r>
            <w:r w:rsidR="00314808" w:rsidRPr="00111303">
              <w:rPr>
                <w:rFonts w:cs="Arial"/>
                <w:color w:val="000000"/>
                <w:lang w:val="en-GB"/>
              </w:rPr>
              <w:t xml:space="preserve"> this two year period</w:t>
            </w:r>
            <w:r w:rsidR="008A03DE" w:rsidRPr="00111303">
              <w:rPr>
                <w:rStyle w:val="Znakapoznpodarou"/>
                <w:color w:val="000000"/>
                <w:lang w:val="en-GB"/>
              </w:rPr>
              <w:footnoteReference w:id="6"/>
            </w:r>
            <w:r w:rsidR="008A03DE" w:rsidRPr="00111303">
              <w:rPr>
                <w:rFonts w:cs="Arial"/>
                <w:color w:val="000000"/>
                <w:lang w:val="en-GB"/>
              </w:rPr>
              <w:t xml:space="preserve">.  </w:t>
            </w:r>
          </w:p>
          <w:p w:rsidR="008A03DE" w:rsidRPr="00111303" w:rsidRDefault="008A03DE" w:rsidP="008A03DE">
            <w:pPr>
              <w:pStyle w:val="Textpoznpodarou"/>
              <w:jc w:val="both"/>
              <w:rPr>
                <w:rFonts w:cs="Arial"/>
                <w:color w:val="000000"/>
                <w:sz w:val="15"/>
                <w:szCs w:val="15"/>
                <w:lang w:val="en-GB"/>
              </w:rPr>
            </w:pPr>
          </w:p>
        </w:tc>
      </w:tr>
      <w:tr w:rsidR="008A03DE" w:rsidRPr="00CB09D5" w:rsidTr="008A03DE">
        <w:tc>
          <w:tcPr>
            <w:tcW w:w="1054" w:type="pct"/>
          </w:tcPr>
          <w:p w:rsidR="008A03DE" w:rsidRPr="00CB09D5" w:rsidRDefault="00A12F7C" w:rsidP="008A03DE">
            <w:pPr>
              <w:spacing w:line="240" w:lineRule="auto"/>
              <w:rPr>
                <w:rFonts w:cs="Arial"/>
                <w:color w:val="0D0D0D"/>
                <w:spacing w:val="-2"/>
                <w:sz w:val="16"/>
                <w:szCs w:val="16"/>
                <w:lang w:val="en-GB"/>
              </w:rPr>
            </w:pPr>
            <w:r w:rsidRPr="00CB09D5">
              <w:rPr>
                <w:rFonts w:cs="Arial"/>
                <w:color w:val="0D0D0D"/>
                <w:spacing w:val="-2"/>
                <w:sz w:val="16"/>
                <w:szCs w:val="16"/>
                <w:lang w:val="en-GB"/>
              </w:rPr>
              <w:t xml:space="preserve">Moderate growth of expenditure on pensions combined with the dynamic growth of collection of compulsory insurance led to the lowest pension account deficit in the last eight years.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111303" w:rsidRDefault="003A31A9" w:rsidP="008A03DE">
            <w:pPr>
              <w:pStyle w:val="Textpoznpodarou"/>
              <w:jc w:val="both"/>
              <w:rPr>
                <w:rFonts w:cs="Arial"/>
                <w:color w:val="0D0D0D"/>
                <w:lang w:val="en-GB"/>
              </w:rPr>
            </w:pPr>
            <w:r w:rsidRPr="00111303">
              <w:rPr>
                <w:rFonts w:cs="Arial"/>
                <w:color w:val="0D0D0D"/>
                <w:lang w:val="en-GB"/>
              </w:rPr>
              <w:t xml:space="preserve">Full </w:t>
            </w:r>
            <w:r w:rsidR="00DD003B" w:rsidRPr="00111303">
              <w:rPr>
                <w:rFonts w:cs="Arial"/>
                <w:color w:val="0D0D0D"/>
                <w:lang w:val="en-GB"/>
              </w:rPr>
              <w:t>45</w:t>
            </w:r>
            <w:r w:rsidR="000117CA" w:rsidRPr="00111303">
              <w:rPr>
                <w:rFonts w:cs="Arial"/>
                <w:color w:val="0D0D0D"/>
                <w:lang w:val="en-GB"/>
              </w:rPr>
              <w:t xml:space="preserve">% </w:t>
            </w:r>
            <w:r w:rsidRPr="00111303">
              <w:rPr>
                <w:rFonts w:cs="Arial"/>
                <w:color w:val="0D0D0D"/>
                <w:lang w:val="en-GB"/>
              </w:rPr>
              <w:t xml:space="preserve">of current expenditure </w:t>
            </w:r>
            <w:proofErr w:type="gramStart"/>
            <w:r w:rsidRPr="00111303">
              <w:rPr>
                <w:rFonts w:cs="Arial"/>
                <w:color w:val="0D0D0D"/>
                <w:lang w:val="en-GB"/>
              </w:rPr>
              <w:t>wer</w:t>
            </w:r>
            <w:r w:rsidR="00314808" w:rsidRPr="00111303">
              <w:rPr>
                <w:rFonts w:cs="Arial"/>
                <w:color w:val="0D0D0D"/>
                <w:lang w:val="en-GB"/>
              </w:rPr>
              <w:t>e</w:t>
            </w:r>
            <w:proofErr w:type="gramEnd"/>
            <w:r w:rsidRPr="00111303">
              <w:rPr>
                <w:rFonts w:cs="Arial"/>
                <w:color w:val="0D0D0D"/>
                <w:lang w:val="en-GB"/>
              </w:rPr>
              <w:t xml:space="preserve"> directed to social benefits last year, </w:t>
            </w:r>
            <w:r w:rsidR="00FD45DB" w:rsidRPr="00111303">
              <w:rPr>
                <w:rFonts w:cs="Arial"/>
                <w:color w:val="0D0D0D"/>
                <w:lang w:val="en-GB"/>
              </w:rPr>
              <w:t xml:space="preserve">the dominant part was traditionally formed by the expenditure on pensions. </w:t>
            </w:r>
            <w:r w:rsidR="007E7E88" w:rsidRPr="00111303">
              <w:rPr>
                <w:rFonts w:cs="Arial"/>
                <w:color w:val="0D0D0D"/>
                <w:lang w:val="en-GB"/>
              </w:rPr>
              <w:t xml:space="preserve">These also thanks to a </w:t>
            </w:r>
            <w:r w:rsidR="00B84820" w:rsidRPr="00111303">
              <w:rPr>
                <w:rFonts w:cs="Arial"/>
                <w:color w:val="0D0D0D"/>
                <w:lang w:val="en-GB"/>
              </w:rPr>
              <w:t>one-off</w:t>
            </w:r>
            <w:r w:rsidR="007E7E88" w:rsidRPr="00111303">
              <w:rPr>
                <w:rFonts w:cs="Arial"/>
                <w:color w:val="0D0D0D"/>
                <w:lang w:val="en-GB"/>
              </w:rPr>
              <w:t xml:space="preserve"> February contribution (in the total size of 3.5 </w:t>
            </w:r>
            <w:r w:rsidR="00C4216C" w:rsidRPr="00111303">
              <w:rPr>
                <w:rFonts w:cs="Arial"/>
                <w:color w:val="0D0D0D"/>
                <w:lang w:val="en-GB"/>
              </w:rPr>
              <w:t>CZK bn</w:t>
            </w:r>
            <w:r w:rsidR="00DD003B" w:rsidRPr="00111303">
              <w:rPr>
                <w:rFonts w:cs="Arial"/>
                <w:color w:val="0D0D0D"/>
                <w:lang w:val="en-GB"/>
              </w:rPr>
              <w:t>) strengthened by 1.0</w:t>
            </w:r>
            <w:r w:rsidR="007E7E88" w:rsidRPr="00111303">
              <w:rPr>
                <w:rFonts w:cs="Arial"/>
                <w:color w:val="0D0D0D"/>
                <w:lang w:val="en-GB"/>
              </w:rPr>
              <w:t xml:space="preserve">% year-on-year. </w:t>
            </w:r>
            <w:r w:rsidR="00913547" w:rsidRPr="00111303">
              <w:rPr>
                <w:rFonts w:cs="Arial"/>
                <w:color w:val="0D0D0D"/>
                <w:lang w:val="en-GB"/>
              </w:rPr>
              <w:t xml:space="preserve">The year-on-year dynamics was however stronger </w:t>
            </w:r>
            <w:r w:rsidR="008A03DE" w:rsidRPr="00111303">
              <w:rPr>
                <w:rFonts w:cs="Arial"/>
                <w:color w:val="0D0D0D"/>
                <w:lang w:val="en-GB"/>
              </w:rPr>
              <w:t>(2</w:t>
            </w:r>
            <w:r w:rsidR="00913547" w:rsidRPr="00111303">
              <w:rPr>
                <w:rFonts w:cs="Arial"/>
                <w:color w:val="0D0D0D"/>
                <w:lang w:val="en-GB"/>
              </w:rPr>
              <w:t>.</w:t>
            </w:r>
            <w:r w:rsidR="00DD003B" w:rsidRPr="00111303">
              <w:rPr>
                <w:rFonts w:cs="Arial"/>
                <w:color w:val="0D0D0D"/>
                <w:lang w:val="en-GB"/>
              </w:rPr>
              <w:t>4</w:t>
            </w:r>
            <w:r w:rsidR="008A03DE" w:rsidRPr="00111303">
              <w:rPr>
                <w:rFonts w:cs="Arial"/>
                <w:color w:val="0D0D0D"/>
                <w:lang w:val="en-GB"/>
              </w:rPr>
              <w:t>%)</w:t>
            </w:r>
            <w:r w:rsidR="00913547" w:rsidRPr="00111303">
              <w:rPr>
                <w:rFonts w:cs="Arial"/>
                <w:color w:val="0D0D0D"/>
                <w:lang w:val="en-GB"/>
              </w:rPr>
              <w:t xml:space="preserve"> in 2015</w:t>
            </w:r>
            <w:r w:rsidR="008A03DE" w:rsidRPr="00111303">
              <w:rPr>
                <w:rFonts w:cs="Arial"/>
                <w:color w:val="0D0D0D"/>
                <w:lang w:val="en-GB"/>
              </w:rPr>
              <w:t xml:space="preserve">, </w:t>
            </w:r>
            <w:r w:rsidR="00913547" w:rsidRPr="00111303">
              <w:rPr>
                <w:rFonts w:cs="Arial"/>
                <w:color w:val="0D0D0D"/>
                <w:lang w:val="en-GB"/>
              </w:rPr>
              <w:t xml:space="preserve">since it reflected the higher expenditure in connection to the return to the traditional </w:t>
            </w:r>
            <w:r w:rsidR="00A13BA6" w:rsidRPr="00111303">
              <w:rPr>
                <w:rFonts w:cs="Arial"/>
                <w:color w:val="0D0D0D"/>
                <w:lang w:val="en-GB"/>
              </w:rPr>
              <w:t xml:space="preserve">adjustment </w:t>
            </w:r>
            <w:r w:rsidR="00913547" w:rsidRPr="00111303">
              <w:rPr>
                <w:rFonts w:cs="Arial"/>
                <w:color w:val="0D0D0D"/>
                <w:lang w:val="en-GB"/>
              </w:rPr>
              <w:t>scheme of pensions</w:t>
            </w:r>
            <w:r w:rsidR="008A03DE" w:rsidRPr="00111303">
              <w:rPr>
                <w:rStyle w:val="Znakapoznpodarou"/>
                <w:color w:val="0D0D0D"/>
                <w:lang w:val="en-GB"/>
              </w:rPr>
              <w:footnoteReference w:id="7"/>
            </w:r>
            <w:r w:rsidR="008A03DE" w:rsidRPr="00111303">
              <w:rPr>
                <w:rFonts w:cs="Arial"/>
                <w:color w:val="0D0D0D"/>
                <w:lang w:val="en-GB"/>
              </w:rPr>
              <w:t>.</w:t>
            </w:r>
            <w:r w:rsidR="00B506BE" w:rsidRPr="00111303">
              <w:rPr>
                <w:rFonts w:cs="Arial"/>
                <w:color w:val="0D0D0D"/>
                <w:lang w:val="en-GB"/>
              </w:rPr>
              <w:t xml:space="preserve"> </w:t>
            </w:r>
            <w:r w:rsidR="008100E2" w:rsidRPr="00111303">
              <w:rPr>
                <w:rFonts w:cs="Arial"/>
                <w:color w:val="0D0D0D"/>
                <w:lang w:val="en-GB"/>
              </w:rPr>
              <w:t>Mild increase of</w:t>
            </w:r>
            <w:r w:rsidR="00DD003B" w:rsidRPr="00111303">
              <w:rPr>
                <w:rFonts w:cs="Arial"/>
                <w:color w:val="0D0D0D"/>
                <w:lang w:val="en-GB"/>
              </w:rPr>
              <w:t xml:space="preserve"> the number of pensioners (+0.3</w:t>
            </w:r>
            <w:r w:rsidR="008100E2" w:rsidRPr="00111303">
              <w:rPr>
                <w:rFonts w:cs="Arial"/>
                <w:color w:val="0D0D0D"/>
                <w:lang w:val="en-GB"/>
              </w:rPr>
              <w:t xml:space="preserve">%) also manifested in the last year’s </w:t>
            </w:r>
            <w:r w:rsidR="00AE20E2" w:rsidRPr="00111303">
              <w:rPr>
                <w:rFonts w:cs="Arial"/>
                <w:color w:val="0D0D0D"/>
                <w:lang w:val="en-GB"/>
              </w:rPr>
              <w:t>volume of expenditure on pensions. The number of persons with a permanently shortened old-age pension grew more dynamically, their proportion of all rec</w:t>
            </w:r>
            <w:r w:rsidR="00854A82" w:rsidRPr="00111303">
              <w:rPr>
                <w:rFonts w:cs="Arial"/>
                <w:color w:val="0D0D0D"/>
                <w:lang w:val="en-GB"/>
              </w:rPr>
              <w:t>ipients</w:t>
            </w:r>
            <w:r w:rsidR="00DD003B" w:rsidRPr="00111303">
              <w:rPr>
                <w:rFonts w:cs="Arial"/>
                <w:color w:val="0D0D0D"/>
                <w:lang w:val="en-GB"/>
              </w:rPr>
              <w:t xml:space="preserve"> of old age pension crossed 25</w:t>
            </w:r>
            <w:r w:rsidR="00AE20E2" w:rsidRPr="00111303">
              <w:rPr>
                <w:rFonts w:cs="Arial"/>
                <w:color w:val="0D0D0D"/>
                <w:lang w:val="en-GB"/>
              </w:rPr>
              <w:t xml:space="preserve">% for the first time last year. </w:t>
            </w:r>
            <w:r w:rsidR="00C14BDD" w:rsidRPr="00111303">
              <w:rPr>
                <w:rFonts w:cs="Arial"/>
                <w:color w:val="0D0D0D"/>
                <w:lang w:val="en-GB"/>
              </w:rPr>
              <w:t xml:space="preserve">The pension account deficit (difference between incomes and expenditure on pensions from the SB) reached 16.5 </w:t>
            </w:r>
            <w:r w:rsidR="00C4216C" w:rsidRPr="00111303">
              <w:rPr>
                <w:rFonts w:cs="Arial"/>
                <w:color w:val="0D0D0D"/>
                <w:lang w:val="en-GB"/>
              </w:rPr>
              <w:t>CZK bn</w:t>
            </w:r>
            <w:r w:rsidR="00C14BDD" w:rsidRPr="00111303">
              <w:rPr>
                <w:rFonts w:cs="Arial"/>
                <w:color w:val="0D0D0D"/>
                <w:lang w:val="en-GB"/>
              </w:rPr>
              <w:t xml:space="preserve"> and it shrank by more than one half compared to </w:t>
            </w:r>
            <w:r w:rsidR="005703D0" w:rsidRPr="00111303">
              <w:rPr>
                <w:rFonts w:cs="Arial"/>
                <w:color w:val="0D0D0D"/>
                <w:lang w:val="en-GB"/>
              </w:rPr>
              <w:t xml:space="preserve">the </w:t>
            </w:r>
            <w:r w:rsidR="00C14BDD" w:rsidRPr="00111303">
              <w:rPr>
                <w:rFonts w:cs="Arial"/>
                <w:color w:val="0D0D0D"/>
                <w:lang w:val="en-GB"/>
              </w:rPr>
              <w:t xml:space="preserve">year 2015. </w:t>
            </w:r>
          </w:p>
          <w:p w:rsidR="008A03DE" w:rsidRPr="00111303" w:rsidRDefault="008A03DE" w:rsidP="008A03DE">
            <w:pPr>
              <w:pStyle w:val="Textpoznpodarou"/>
              <w:jc w:val="both"/>
              <w:rPr>
                <w:rFonts w:cs="Arial"/>
                <w:color w:val="0D0D0D"/>
                <w:sz w:val="15"/>
                <w:szCs w:val="15"/>
                <w:lang w:val="en-GB"/>
              </w:rPr>
            </w:pPr>
          </w:p>
        </w:tc>
      </w:tr>
      <w:tr w:rsidR="008A03DE" w:rsidRPr="00CB09D5" w:rsidTr="008A03DE">
        <w:tc>
          <w:tcPr>
            <w:tcW w:w="1054" w:type="pct"/>
          </w:tcPr>
          <w:p w:rsidR="008A03DE" w:rsidRPr="00CB09D5" w:rsidRDefault="00CD5E48" w:rsidP="008A03DE">
            <w:pPr>
              <w:spacing w:line="240" w:lineRule="auto"/>
              <w:rPr>
                <w:rFonts w:cs="Arial"/>
                <w:bCs/>
                <w:iCs/>
                <w:color w:val="0D0D0D"/>
                <w:sz w:val="16"/>
                <w:szCs w:val="16"/>
                <w:lang w:val="en-GB"/>
              </w:rPr>
            </w:pPr>
            <w:r w:rsidRPr="00CB09D5">
              <w:rPr>
                <w:rFonts w:cs="Arial"/>
                <w:bCs/>
                <w:iCs/>
                <w:color w:val="0D0D0D"/>
                <w:sz w:val="16"/>
                <w:szCs w:val="16"/>
                <w:lang w:val="en-GB"/>
              </w:rPr>
              <w:t>Expenditure on other social benefits</w:t>
            </w:r>
            <w:r w:rsidR="00DD003B" w:rsidRPr="00CB09D5">
              <w:rPr>
                <w:rFonts w:cs="Arial"/>
                <w:bCs/>
                <w:iCs/>
                <w:color w:val="0D0D0D"/>
                <w:sz w:val="16"/>
                <w:szCs w:val="16"/>
                <w:lang w:val="en-GB"/>
              </w:rPr>
              <w:t xml:space="preserve"> (without pensions) </w:t>
            </w:r>
            <w:proofErr w:type="gramStart"/>
            <w:r w:rsidR="00DD003B" w:rsidRPr="00CB09D5">
              <w:rPr>
                <w:rFonts w:cs="Arial"/>
                <w:bCs/>
                <w:iCs/>
                <w:color w:val="0D0D0D"/>
                <w:sz w:val="16"/>
                <w:szCs w:val="16"/>
                <w:lang w:val="en-GB"/>
              </w:rPr>
              <w:t>were</w:t>
            </w:r>
            <w:proofErr w:type="gramEnd"/>
            <w:r w:rsidR="00DD003B" w:rsidRPr="00CB09D5">
              <w:rPr>
                <w:rFonts w:cs="Arial"/>
                <w:bCs/>
                <w:iCs/>
                <w:color w:val="0D0D0D"/>
                <w:sz w:val="16"/>
                <w:szCs w:val="16"/>
                <w:lang w:val="en-GB"/>
              </w:rPr>
              <w:t xml:space="preserve"> by 2.7</w:t>
            </w:r>
            <w:r w:rsidRPr="00CB09D5">
              <w:rPr>
                <w:rFonts w:cs="Arial"/>
                <w:bCs/>
                <w:iCs/>
                <w:color w:val="0D0D0D"/>
                <w:sz w:val="16"/>
                <w:szCs w:val="16"/>
                <w:lang w:val="en-GB"/>
              </w:rPr>
              <w:t>% higher year-on-year, mostly due to higher sickness benefits</w:t>
            </w:r>
            <w:r w:rsidR="008A03DE" w:rsidRPr="00CB09D5">
              <w:rPr>
                <w:rFonts w:cs="Arial"/>
                <w:bCs/>
                <w:iCs/>
                <w:color w:val="0D0D0D"/>
                <w:sz w:val="16"/>
                <w:szCs w:val="16"/>
                <w:lang w:val="en-GB"/>
              </w:rPr>
              <w:t>.</w:t>
            </w:r>
          </w:p>
          <w:p w:rsidR="008A03DE" w:rsidRPr="00CB09D5" w:rsidRDefault="008A03DE" w:rsidP="008A03DE">
            <w:pPr>
              <w:spacing w:line="240" w:lineRule="auto"/>
              <w:rPr>
                <w:rFonts w:cs="Arial"/>
                <w:bCs/>
                <w:iCs/>
                <w:color w:val="0D0D0D"/>
                <w:sz w:val="16"/>
                <w:szCs w:val="16"/>
                <w:lang w:val="en-GB"/>
              </w:rPr>
            </w:pPr>
          </w:p>
          <w:p w:rsidR="008A03DE" w:rsidRPr="00CB09D5" w:rsidRDefault="008A03DE" w:rsidP="008A03DE">
            <w:pPr>
              <w:spacing w:line="240" w:lineRule="auto"/>
              <w:rPr>
                <w:rFonts w:cs="Arial"/>
                <w:bCs/>
                <w:iCs/>
                <w:color w:val="0D0D0D"/>
                <w:sz w:val="16"/>
                <w:szCs w:val="16"/>
                <w:lang w:val="en-GB"/>
              </w:rPr>
            </w:pPr>
          </w:p>
          <w:p w:rsidR="008A03DE" w:rsidRPr="00CB09D5" w:rsidRDefault="008A03DE" w:rsidP="008A03DE">
            <w:pPr>
              <w:spacing w:line="240" w:lineRule="auto"/>
              <w:rPr>
                <w:rFonts w:cs="Arial"/>
                <w:bCs/>
                <w:iCs/>
                <w:color w:val="0D0D0D"/>
                <w:sz w:val="16"/>
                <w:szCs w:val="16"/>
                <w:lang w:val="en-GB"/>
              </w:rPr>
            </w:pPr>
          </w:p>
          <w:p w:rsidR="008A03DE" w:rsidRPr="00CB09D5" w:rsidRDefault="008A03DE" w:rsidP="008A03DE">
            <w:pPr>
              <w:spacing w:line="240" w:lineRule="auto"/>
              <w:rPr>
                <w:rFonts w:cs="Arial"/>
                <w:bCs/>
                <w:iCs/>
                <w:color w:val="0D0D0D"/>
                <w:sz w:val="16"/>
                <w:szCs w:val="16"/>
                <w:lang w:val="en-GB"/>
              </w:rPr>
            </w:pPr>
          </w:p>
          <w:p w:rsidR="008A03DE" w:rsidRPr="00CB09D5" w:rsidRDefault="00E64CFB" w:rsidP="008A03DE">
            <w:pPr>
              <w:spacing w:line="240" w:lineRule="auto"/>
              <w:rPr>
                <w:rFonts w:cs="Arial"/>
                <w:bCs/>
                <w:iCs/>
                <w:color w:val="0D0D0D"/>
                <w:sz w:val="16"/>
                <w:szCs w:val="16"/>
                <w:lang w:val="en-GB"/>
              </w:rPr>
            </w:pPr>
            <w:r w:rsidRPr="00CB09D5">
              <w:rPr>
                <w:rFonts w:cs="Arial"/>
                <w:bCs/>
                <w:iCs/>
                <w:color w:val="0D0D0D"/>
                <w:sz w:val="16"/>
                <w:szCs w:val="16"/>
                <w:lang w:val="en-GB"/>
              </w:rPr>
              <w:t>Continuing notable fall of the material deprivation benefits evidenced the improving financial situations of households</w:t>
            </w:r>
            <w:r w:rsidR="008A03DE" w:rsidRPr="00CB09D5">
              <w:rPr>
                <w:rFonts w:cs="Arial"/>
                <w:bCs/>
                <w:iCs/>
                <w:color w:val="0D0D0D"/>
                <w:sz w:val="16"/>
                <w:szCs w:val="16"/>
                <w:lang w:val="en-GB"/>
              </w:rPr>
              <w:t>.</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111303" w:rsidRDefault="000A4021" w:rsidP="008A03DE">
            <w:pPr>
              <w:pStyle w:val="Textpoznpodarou"/>
              <w:jc w:val="both"/>
              <w:rPr>
                <w:rFonts w:cs="Arial"/>
                <w:color w:val="0D0D0D"/>
                <w:lang w:val="en-GB"/>
              </w:rPr>
            </w:pPr>
            <w:r w:rsidRPr="00111303">
              <w:rPr>
                <w:rFonts w:cs="Arial"/>
                <w:color w:val="0D0D0D"/>
                <w:lang w:val="en-GB"/>
              </w:rPr>
              <w:t xml:space="preserve">Volume of other social benefits (without pensions) was growing more dynamically than the expenditure on pensions themselves last year in contrast to </w:t>
            </w:r>
            <w:r w:rsidR="005703D0" w:rsidRPr="00111303">
              <w:rPr>
                <w:rFonts w:cs="Arial"/>
                <w:color w:val="0D0D0D"/>
                <w:lang w:val="en-GB"/>
              </w:rPr>
              <w:t xml:space="preserve">the </w:t>
            </w:r>
            <w:r w:rsidRPr="00111303">
              <w:rPr>
                <w:rFonts w:cs="Arial"/>
                <w:color w:val="0D0D0D"/>
                <w:lang w:val="en-GB"/>
              </w:rPr>
              <w:t xml:space="preserve">year 2015. </w:t>
            </w:r>
            <w:r w:rsidR="00446C9F" w:rsidRPr="00111303">
              <w:rPr>
                <w:rFonts w:cs="Arial"/>
                <w:color w:val="0D0D0D"/>
                <w:lang w:val="en-GB"/>
              </w:rPr>
              <w:t xml:space="preserve">Higher drawing of sickness insurance benefits stood </w:t>
            </w:r>
            <w:r w:rsidR="00537737" w:rsidRPr="00111303">
              <w:rPr>
                <w:rFonts w:cs="Arial"/>
                <w:color w:val="0D0D0D"/>
                <w:lang w:val="en-GB"/>
              </w:rPr>
              <w:t>primarily</w:t>
            </w:r>
            <w:r w:rsidR="00446C9F" w:rsidRPr="00111303">
              <w:rPr>
                <w:rFonts w:cs="Arial"/>
                <w:color w:val="0D0D0D"/>
                <w:lang w:val="en-GB"/>
              </w:rPr>
              <w:t xml:space="preserve"> </w:t>
            </w:r>
            <w:r w:rsidR="00DD003B" w:rsidRPr="00111303">
              <w:rPr>
                <w:rFonts w:cs="Arial"/>
                <w:color w:val="0D0D0D"/>
                <w:lang w:val="en-GB"/>
              </w:rPr>
              <w:t>behind this development (by 8.9</w:t>
            </w:r>
            <w:r w:rsidR="00DB36D7" w:rsidRPr="00111303">
              <w:rPr>
                <w:rFonts w:cs="Arial"/>
                <w:color w:val="0D0D0D"/>
                <w:lang w:val="en-GB"/>
              </w:rPr>
              <w:t xml:space="preserve">%), caused by the growth of sickness </w:t>
            </w:r>
            <w:r w:rsidR="008A03DE" w:rsidRPr="00111303">
              <w:rPr>
                <w:rFonts w:cs="Arial"/>
                <w:color w:val="0D0D0D"/>
                <w:lang w:val="en-GB"/>
              </w:rPr>
              <w:t>(</w:t>
            </w:r>
            <w:r w:rsidR="00446C9F" w:rsidRPr="00111303">
              <w:rPr>
                <w:rFonts w:cs="Arial"/>
                <w:color w:val="0D0D0D"/>
                <w:lang w:val="en-GB"/>
              </w:rPr>
              <w:t>in all regions</w:t>
            </w:r>
            <w:r w:rsidR="008A03DE" w:rsidRPr="00111303">
              <w:rPr>
                <w:rFonts w:cs="Arial"/>
                <w:color w:val="0D0D0D"/>
                <w:lang w:val="en-GB"/>
              </w:rPr>
              <w:t xml:space="preserve">) </w:t>
            </w:r>
            <w:r w:rsidR="00446C9F" w:rsidRPr="00111303">
              <w:rPr>
                <w:rFonts w:cs="Arial"/>
                <w:color w:val="0D0D0D"/>
                <w:lang w:val="en-GB"/>
              </w:rPr>
              <w:t xml:space="preserve">as well as more intensive drawing of the </w:t>
            </w:r>
            <w:r w:rsidR="00DB36D7" w:rsidRPr="00111303">
              <w:rPr>
                <w:rFonts w:cs="Arial"/>
                <w:color w:val="0D0D0D"/>
                <w:lang w:val="en-GB"/>
              </w:rPr>
              <w:t>maternity benefit</w:t>
            </w:r>
            <w:r w:rsidR="008A03DE" w:rsidRPr="00111303">
              <w:rPr>
                <w:rFonts w:cs="Arial"/>
                <w:color w:val="0D0D0D"/>
                <w:lang w:val="en-GB"/>
              </w:rPr>
              <w:t xml:space="preserve">. </w:t>
            </w:r>
            <w:r w:rsidR="00DB36D7" w:rsidRPr="00111303">
              <w:rPr>
                <w:rFonts w:cs="Arial"/>
                <w:color w:val="0D0D0D"/>
                <w:lang w:val="en-GB"/>
              </w:rPr>
              <w:t xml:space="preserve">Even though the expenditure on sickness benefits grew already fourth year in a row, </w:t>
            </w:r>
            <w:r w:rsidR="00CE692E" w:rsidRPr="00111303">
              <w:rPr>
                <w:rFonts w:cs="Arial"/>
                <w:color w:val="0D0D0D"/>
                <w:lang w:val="en-GB"/>
              </w:rPr>
              <w:t xml:space="preserve">they were still lower than the volume of collected insurance payments last year (by 2.1 </w:t>
            </w:r>
            <w:r w:rsidR="00C4216C" w:rsidRPr="00111303">
              <w:rPr>
                <w:rFonts w:cs="Arial"/>
                <w:color w:val="0D0D0D"/>
                <w:lang w:val="en-GB"/>
              </w:rPr>
              <w:t>CZK bn</w:t>
            </w:r>
            <w:r w:rsidR="00CE692E" w:rsidRPr="00111303">
              <w:rPr>
                <w:rFonts w:cs="Arial"/>
                <w:color w:val="0D0D0D"/>
                <w:lang w:val="en-GB"/>
              </w:rPr>
              <w:t xml:space="preserve">, by 5.5 bn in </w:t>
            </w:r>
            <w:r w:rsidR="005703D0" w:rsidRPr="00111303">
              <w:rPr>
                <w:rFonts w:cs="Arial"/>
                <w:color w:val="0D0D0D"/>
                <w:lang w:val="en-GB"/>
              </w:rPr>
              <w:t xml:space="preserve">the </w:t>
            </w:r>
            <w:r w:rsidR="00CE692E" w:rsidRPr="00111303">
              <w:rPr>
                <w:rFonts w:cs="Arial"/>
                <w:color w:val="0D0D0D"/>
                <w:lang w:val="en-GB"/>
              </w:rPr>
              <w:t xml:space="preserve">year 2012). </w:t>
            </w:r>
            <w:r w:rsidR="003D2D51" w:rsidRPr="00111303">
              <w:rPr>
                <w:rFonts w:cs="Arial"/>
                <w:color w:val="0D0D0D"/>
                <w:lang w:val="en-GB"/>
              </w:rPr>
              <w:t xml:space="preserve">Social care benefits also slightly increased </w:t>
            </w:r>
            <w:r w:rsidR="008A03DE" w:rsidRPr="00111303">
              <w:rPr>
                <w:rFonts w:cs="Arial"/>
                <w:color w:val="0D0D0D"/>
                <w:lang w:val="en-GB"/>
              </w:rPr>
              <w:t>(</w:t>
            </w:r>
            <w:r w:rsidR="003D2D51" w:rsidRPr="00111303">
              <w:rPr>
                <w:rFonts w:cs="Arial"/>
                <w:color w:val="0D0D0D"/>
                <w:lang w:val="en-GB"/>
              </w:rPr>
              <w:t>by</w:t>
            </w:r>
            <w:r w:rsidR="00DD003B" w:rsidRPr="00111303">
              <w:rPr>
                <w:rFonts w:cs="Arial"/>
                <w:color w:val="0D0D0D"/>
                <w:lang w:val="en-GB"/>
              </w:rPr>
              <w:t xml:space="preserve"> 2</w:t>
            </w:r>
            <w:r w:rsidR="008A03DE" w:rsidRPr="00111303">
              <w:rPr>
                <w:rFonts w:cs="Arial"/>
                <w:color w:val="0D0D0D"/>
                <w:lang w:val="en-GB"/>
              </w:rPr>
              <w:t>%)</w:t>
            </w:r>
            <w:r w:rsidR="003D2D51" w:rsidRPr="00111303">
              <w:rPr>
                <w:rFonts w:cs="Arial"/>
                <w:color w:val="0D0D0D"/>
                <w:lang w:val="en-GB"/>
              </w:rPr>
              <w:t xml:space="preserve">. </w:t>
            </w:r>
            <w:r w:rsidR="00587451" w:rsidRPr="00111303">
              <w:rPr>
                <w:rFonts w:cs="Arial"/>
                <w:color w:val="0D0D0D"/>
                <w:lang w:val="en-GB"/>
              </w:rPr>
              <w:t xml:space="preserve">It was a consequence of the across-the-board increase of the </w:t>
            </w:r>
            <w:r w:rsidR="00A80458" w:rsidRPr="00111303">
              <w:rPr>
                <w:rFonts w:cs="Arial"/>
                <w:color w:val="0D0D0D"/>
                <w:lang w:val="en-GB"/>
              </w:rPr>
              <w:t xml:space="preserve">contribution to </w:t>
            </w:r>
            <w:r w:rsidR="00587451" w:rsidRPr="00111303">
              <w:rPr>
                <w:rFonts w:cs="Arial"/>
                <w:color w:val="0D0D0D"/>
                <w:lang w:val="en-GB"/>
              </w:rPr>
              <w:t xml:space="preserve">care benefits </w:t>
            </w:r>
            <w:r w:rsidR="008A03DE" w:rsidRPr="00111303">
              <w:rPr>
                <w:rFonts w:cs="Arial"/>
                <w:color w:val="0D0D0D"/>
                <w:lang w:val="en-GB"/>
              </w:rPr>
              <w:t>(</w:t>
            </w:r>
            <w:r w:rsidR="00587451" w:rsidRPr="00111303">
              <w:rPr>
                <w:rFonts w:cs="Arial"/>
                <w:color w:val="0D0D0D"/>
                <w:lang w:val="en-GB"/>
              </w:rPr>
              <w:t xml:space="preserve">since August by </w:t>
            </w:r>
            <w:r w:rsidR="00DD003B" w:rsidRPr="00111303">
              <w:rPr>
                <w:rFonts w:cs="Arial"/>
                <w:color w:val="0D0D0D"/>
                <w:lang w:val="en-GB"/>
              </w:rPr>
              <w:t>10</w:t>
            </w:r>
            <w:r w:rsidR="008A03DE" w:rsidRPr="00111303">
              <w:rPr>
                <w:rFonts w:cs="Arial"/>
                <w:color w:val="0D0D0D"/>
                <w:lang w:val="en-GB"/>
              </w:rPr>
              <w:t xml:space="preserve">%), </w:t>
            </w:r>
            <w:r w:rsidR="00587451" w:rsidRPr="00111303">
              <w:rPr>
                <w:rFonts w:cs="Arial"/>
                <w:color w:val="0D0D0D"/>
                <w:lang w:val="en-GB"/>
              </w:rPr>
              <w:t xml:space="preserve">because the </w:t>
            </w:r>
            <w:r w:rsidR="00A80458" w:rsidRPr="00111303">
              <w:rPr>
                <w:rFonts w:cs="Arial"/>
                <w:color w:val="0D0D0D"/>
                <w:lang w:val="en-GB"/>
              </w:rPr>
              <w:t>material deprivation assistance benefits were by one eight lower year-on-</w:t>
            </w:r>
            <w:r w:rsidR="00483BFB" w:rsidRPr="00111303">
              <w:rPr>
                <w:rFonts w:cs="Arial"/>
                <w:color w:val="0D0D0D"/>
                <w:lang w:val="en-GB"/>
              </w:rPr>
              <w:t>year (</w:t>
            </w:r>
            <w:r w:rsidR="00DD003B" w:rsidRPr="00111303">
              <w:rPr>
                <w:rFonts w:cs="Arial"/>
                <w:color w:val="0D0D0D"/>
                <w:lang w:val="en-GB"/>
              </w:rPr>
              <w:t>even by 18</w:t>
            </w:r>
            <w:r w:rsidR="00D821BF" w:rsidRPr="00111303">
              <w:rPr>
                <w:rFonts w:cs="Arial"/>
                <w:color w:val="0D0D0D"/>
                <w:lang w:val="en-GB"/>
              </w:rPr>
              <w:t>% for the two years</w:t>
            </w:r>
            <w:r w:rsidR="008A03DE" w:rsidRPr="00111303">
              <w:rPr>
                <w:rFonts w:cs="Arial"/>
                <w:color w:val="0D0D0D"/>
                <w:lang w:val="en-GB"/>
              </w:rPr>
              <w:t xml:space="preserve">). </w:t>
            </w:r>
            <w:r w:rsidR="00CC41BF" w:rsidRPr="00111303">
              <w:rPr>
                <w:lang w:val="en-GB"/>
              </w:rPr>
              <w:t xml:space="preserve">The volume significant benefits of state social support  stagnated </w:t>
            </w:r>
            <w:r w:rsidR="008A03DE" w:rsidRPr="00111303">
              <w:rPr>
                <w:rFonts w:cs="Arial"/>
                <w:color w:val="0D0D0D"/>
                <w:lang w:val="en-GB"/>
              </w:rPr>
              <w:t>(</w:t>
            </w:r>
            <w:r w:rsidR="00CC41BF" w:rsidRPr="00111303">
              <w:rPr>
                <w:rFonts w:cs="Arial"/>
                <w:color w:val="0D0D0D"/>
                <w:lang w:val="en-GB"/>
              </w:rPr>
              <w:t>around 37.5 bn, already third year in a row</w:t>
            </w:r>
            <w:r w:rsidR="008A03DE" w:rsidRPr="00111303">
              <w:rPr>
                <w:rFonts w:cs="Arial"/>
                <w:color w:val="0D0D0D"/>
                <w:lang w:val="en-GB"/>
              </w:rPr>
              <w:t xml:space="preserve">), </w:t>
            </w:r>
            <w:r w:rsidR="00CC41BF" w:rsidRPr="00111303">
              <w:rPr>
                <w:rFonts w:cs="Arial"/>
                <w:color w:val="0D0D0D"/>
                <w:lang w:val="en-GB"/>
              </w:rPr>
              <w:t xml:space="preserve">when the lower volume of paid out </w:t>
            </w:r>
            <w:r w:rsidR="00590FCF" w:rsidRPr="00111303">
              <w:rPr>
                <w:rFonts w:cs="Arial"/>
                <w:color w:val="0D0D0D"/>
                <w:lang w:val="en-GB"/>
              </w:rPr>
              <w:t xml:space="preserve">child benefits </w:t>
            </w:r>
            <w:r w:rsidR="00483BFB" w:rsidRPr="00111303">
              <w:rPr>
                <w:rFonts w:cs="Arial"/>
                <w:color w:val="0D0D0D"/>
                <w:lang w:val="en-GB"/>
              </w:rPr>
              <w:t xml:space="preserve">was compensated by slightly </w:t>
            </w:r>
            <w:r w:rsidR="007A186E" w:rsidRPr="00111303">
              <w:rPr>
                <w:rFonts w:cs="Arial"/>
                <w:color w:val="0D0D0D"/>
                <w:lang w:val="en-GB"/>
              </w:rPr>
              <w:t xml:space="preserve">higher housing benefits, parental benefits </w:t>
            </w:r>
            <w:r w:rsidR="00483BFB" w:rsidRPr="00111303">
              <w:rPr>
                <w:rFonts w:cs="Arial"/>
                <w:color w:val="0D0D0D"/>
                <w:lang w:val="en-GB"/>
              </w:rPr>
              <w:t xml:space="preserve">as well as the foster care benefits. Despite </w:t>
            </w:r>
            <w:r w:rsidR="000A7C02" w:rsidRPr="00111303">
              <w:rPr>
                <w:rFonts w:cs="Arial"/>
                <w:color w:val="0D0D0D"/>
                <w:lang w:val="en-GB"/>
              </w:rPr>
              <w:t xml:space="preserve">significant </w:t>
            </w:r>
            <w:r w:rsidR="00483BFB" w:rsidRPr="00111303">
              <w:rPr>
                <w:rFonts w:cs="Arial"/>
                <w:color w:val="0D0D0D"/>
                <w:lang w:val="en-GB"/>
              </w:rPr>
              <w:t xml:space="preserve">improvement on the labour market and also the decrease of the number of registered job applicants </w:t>
            </w:r>
            <w:r w:rsidR="008A03DE" w:rsidRPr="00111303">
              <w:rPr>
                <w:rFonts w:cs="Arial"/>
                <w:color w:val="0D0D0D"/>
                <w:lang w:val="en-GB"/>
              </w:rPr>
              <w:t>(</w:t>
            </w:r>
            <w:r w:rsidR="00483BFB" w:rsidRPr="00111303">
              <w:rPr>
                <w:rFonts w:cs="Arial"/>
                <w:color w:val="0D0D0D"/>
                <w:lang w:val="en-GB"/>
              </w:rPr>
              <w:t>by 72 thousand at the end of December year-on-year</w:t>
            </w:r>
            <w:r w:rsidR="008A03DE" w:rsidRPr="00111303">
              <w:rPr>
                <w:rFonts w:cs="Arial"/>
                <w:color w:val="0D0D0D"/>
                <w:lang w:val="en-GB"/>
              </w:rPr>
              <w:t>)</w:t>
            </w:r>
            <w:r w:rsidR="00483BFB" w:rsidRPr="00111303">
              <w:rPr>
                <w:rFonts w:cs="Arial"/>
                <w:color w:val="0D0D0D"/>
                <w:lang w:val="en-GB"/>
              </w:rPr>
              <w:t>, the volume of the</w:t>
            </w:r>
            <w:r w:rsidR="000A7C02" w:rsidRPr="00111303">
              <w:rPr>
                <w:rFonts w:cs="Arial"/>
                <w:color w:val="0D0D0D"/>
                <w:lang w:val="en-GB"/>
              </w:rPr>
              <w:t xml:space="preserve"> unemployment</w:t>
            </w:r>
            <w:r w:rsidR="00DD003B" w:rsidRPr="00111303">
              <w:rPr>
                <w:rFonts w:cs="Arial"/>
                <w:color w:val="0D0D0D"/>
                <w:lang w:val="en-GB"/>
              </w:rPr>
              <w:t xml:space="preserve"> benefits reduced only by 0.7</w:t>
            </w:r>
            <w:r w:rsidR="00483BFB" w:rsidRPr="00111303">
              <w:rPr>
                <w:rFonts w:cs="Arial"/>
                <w:color w:val="0D0D0D"/>
                <w:lang w:val="en-GB"/>
              </w:rPr>
              <w:t>% last year (</w:t>
            </w:r>
            <w:r w:rsidR="000A7C02" w:rsidRPr="00111303">
              <w:rPr>
                <w:rFonts w:cs="Arial"/>
                <w:color w:val="0D0D0D"/>
                <w:lang w:val="en-GB"/>
              </w:rPr>
              <w:t>number</w:t>
            </w:r>
            <w:r w:rsidR="00483BFB" w:rsidRPr="00111303">
              <w:rPr>
                <w:rFonts w:cs="Arial"/>
                <w:color w:val="0D0D0D"/>
                <w:lang w:val="en-GB"/>
              </w:rPr>
              <w:t xml:space="preserve"> of persons with the right to claim support fell only by 5.3 thousand at the same time</w:t>
            </w:r>
            <w:r w:rsidR="008A03DE" w:rsidRPr="00111303">
              <w:rPr>
                <w:rFonts w:cs="Arial"/>
                <w:color w:val="0D0D0D"/>
                <w:lang w:val="en-GB"/>
              </w:rPr>
              <w:t>).</w:t>
            </w:r>
          </w:p>
          <w:p w:rsidR="008A03DE" w:rsidRPr="00111303" w:rsidRDefault="008A03DE" w:rsidP="008A03DE">
            <w:pPr>
              <w:pStyle w:val="Textpoznpodarou"/>
              <w:jc w:val="both"/>
              <w:rPr>
                <w:rFonts w:cs="Arial"/>
                <w:color w:val="0D0D0D"/>
                <w:sz w:val="15"/>
                <w:szCs w:val="15"/>
                <w:lang w:val="en-GB"/>
              </w:rPr>
            </w:pPr>
          </w:p>
        </w:tc>
      </w:tr>
      <w:tr w:rsidR="008A03DE" w:rsidRPr="00CB09D5" w:rsidTr="008A03DE">
        <w:tc>
          <w:tcPr>
            <w:tcW w:w="1054" w:type="pct"/>
          </w:tcPr>
          <w:p w:rsidR="008A03DE" w:rsidRPr="00CB09D5" w:rsidRDefault="00EA2F06" w:rsidP="008A03DE">
            <w:pPr>
              <w:spacing w:line="240" w:lineRule="auto"/>
              <w:rPr>
                <w:rFonts w:cs="Arial"/>
                <w:bCs/>
                <w:iCs/>
                <w:color w:val="0D0D0D"/>
                <w:sz w:val="16"/>
                <w:szCs w:val="16"/>
                <w:lang w:val="en-GB"/>
              </w:rPr>
            </w:pPr>
            <w:r w:rsidRPr="00CB09D5">
              <w:rPr>
                <w:rFonts w:cs="Arial"/>
                <w:bCs/>
                <w:iCs/>
                <w:color w:val="0D0D0D"/>
                <w:sz w:val="16"/>
                <w:szCs w:val="16"/>
                <w:lang w:val="en-GB"/>
              </w:rPr>
              <w:lastRenderedPageBreak/>
              <w:t xml:space="preserve">Lower drawing of </w:t>
            </w:r>
            <w:r w:rsidR="00F36598" w:rsidRPr="00CB09D5">
              <w:rPr>
                <w:rFonts w:cs="Arial"/>
                <w:bCs/>
                <w:iCs/>
                <w:color w:val="0D0D0D"/>
                <w:sz w:val="16"/>
                <w:szCs w:val="16"/>
                <w:lang w:val="en-GB"/>
              </w:rPr>
              <w:t xml:space="preserve">expenditure on non-investment purchases and </w:t>
            </w:r>
            <w:r w:rsidR="00E64CFB" w:rsidRPr="00CB09D5">
              <w:rPr>
                <w:rFonts w:cs="Arial"/>
                <w:bCs/>
                <w:iCs/>
                <w:color w:val="0D0D0D"/>
                <w:sz w:val="16"/>
                <w:szCs w:val="16"/>
                <w:lang w:val="en-GB"/>
              </w:rPr>
              <w:t>further</w:t>
            </w:r>
            <w:r w:rsidR="00F36598" w:rsidRPr="00CB09D5">
              <w:rPr>
                <w:rFonts w:cs="Arial"/>
                <w:bCs/>
                <w:iCs/>
                <w:color w:val="0D0D0D"/>
                <w:sz w:val="16"/>
                <w:szCs w:val="16"/>
                <w:lang w:val="en-GB"/>
              </w:rPr>
              <w:t xml:space="preserve"> reduction of net expenditure on state debt</w:t>
            </w:r>
            <w:r w:rsidR="008A03DE" w:rsidRPr="00CB09D5">
              <w:rPr>
                <w:rFonts w:cs="Arial"/>
                <w:bCs/>
                <w:iCs/>
                <w:color w:val="0D0D0D"/>
                <w:sz w:val="16"/>
                <w:szCs w:val="16"/>
                <w:lang w:val="en-GB"/>
              </w:rPr>
              <w:t>.</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111303" w:rsidRDefault="00F36598" w:rsidP="008A03DE">
            <w:pPr>
              <w:pStyle w:val="Textpoznpodarou"/>
              <w:jc w:val="both"/>
              <w:rPr>
                <w:rFonts w:cs="Arial"/>
                <w:color w:val="0D0D0D"/>
                <w:lang w:val="en-GB"/>
              </w:rPr>
            </w:pPr>
            <w:r w:rsidRPr="00111303">
              <w:rPr>
                <w:rFonts w:cs="Arial"/>
                <w:color w:val="0D0D0D"/>
                <w:lang w:val="en-GB"/>
              </w:rPr>
              <w:t xml:space="preserve">Expenditure on wages of state employees similarly to the non-investment transfers to the regional budgets significant in volume </w:t>
            </w:r>
            <w:r w:rsidR="008A03DE" w:rsidRPr="00111303">
              <w:rPr>
                <w:rFonts w:cs="Arial"/>
                <w:color w:val="0D0D0D"/>
                <w:lang w:val="en-GB"/>
              </w:rPr>
              <w:t>(</w:t>
            </w:r>
            <w:r w:rsidRPr="00111303">
              <w:rPr>
                <w:rFonts w:cs="Arial"/>
                <w:color w:val="0D0D0D"/>
                <w:lang w:val="en-GB"/>
              </w:rPr>
              <w:t>especially to regional education</w:t>
            </w:r>
            <w:r w:rsidR="008A03DE" w:rsidRPr="00111303">
              <w:rPr>
                <w:rFonts w:cs="Arial"/>
                <w:color w:val="0D0D0D"/>
                <w:lang w:val="en-GB"/>
              </w:rPr>
              <w:t xml:space="preserve">) </w:t>
            </w:r>
            <w:r w:rsidR="00DD003B" w:rsidRPr="00111303">
              <w:rPr>
                <w:rFonts w:cs="Arial"/>
                <w:color w:val="0D0D0D"/>
                <w:lang w:val="en-GB"/>
              </w:rPr>
              <w:t>increased by 5</w:t>
            </w:r>
            <w:r w:rsidRPr="00111303">
              <w:rPr>
                <w:rFonts w:cs="Arial"/>
                <w:color w:val="0D0D0D"/>
                <w:lang w:val="en-GB"/>
              </w:rPr>
              <w:t xml:space="preserve">% in </w:t>
            </w:r>
            <w:r w:rsidR="008A03DE" w:rsidRPr="00111303">
              <w:rPr>
                <w:rFonts w:cs="Arial"/>
                <w:color w:val="0D0D0D"/>
                <w:lang w:val="en-GB"/>
              </w:rPr>
              <w:t>2016</w:t>
            </w:r>
            <w:r w:rsidRPr="00111303">
              <w:rPr>
                <w:rFonts w:cs="Arial"/>
                <w:color w:val="0D0D0D"/>
                <w:lang w:val="en-GB"/>
              </w:rPr>
              <w:t>,</w:t>
            </w:r>
            <w:r w:rsidR="008A03DE" w:rsidRPr="00111303">
              <w:rPr>
                <w:rFonts w:cs="Arial"/>
                <w:color w:val="0D0D0D"/>
                <w:lang w:val="en-GB"/>
              </w:rPr>
              <w:t xml:space="preserve"> </w:t>
            </w:r>
            <w:r w:rsidR="000541D1" w:rsidRPr="00111303">
              <w:rPr>
                <w:rFonts w:cs="Arial"/>
                <w:color w:val="0D0D0D"/>
                <w:lang w:val="en-GB"/>
              </w:rPr>
              <w:t xml:space="preserve">in both cases however it represented lower rates of growth than in the previous year. </w:t>
            </w:r>
            <w:r w:rsidR="00441542" w:rsidRPr="00111303">
              <w:rPr>
                <w:rFonts w:cs="Arial"/>
                <w:color w:val="0D0D0D"/>
                <w:lang w:val="en-GB"/>
              </w:rPr>
              <w:t>Budget savings were achieved for non-investment purchases and expenditure on state debt</w:t>
            </w:r>
            <w:r w:rsidR="008A03DE" w:rsidRPr="00111303">
              <w:rPr>
                <w:rFonts w:cs="Arial"/>
                <w:color w:val="0D0D0D"/>
                <w:lang w:val="en-GB"/>
              </w:rPr>
              <w:t xml:space="preserve">. </w:t>
            </w:r>
            <w:r w:rsidR="00441542" w:rsidRPr="00111303">
              <w:rPr>
                <w:rFonts w:cs="Arial"/>
                <w:color w:val="0D0D0D"/>
                <w:lang w:val="en-GB"/>
              </w:rPr>
              <w:t xml:space="preserve">Net expenditure </w:t>
            </w:r>
            <w:r w:rsidR="000A7C02" w:rsidRPr="00111303">
              <w:rPr>
                <w:rFonts w:cs="Arial"/>
                <w:color w:val="0D0D0D"/>
                <w:lang w:val="en-GB"/>
              </w:rPr>
              <w:t>on</w:t>
            </w:r>
            <w:r w:rsidR="00441542" w:rsidRPr="00111303">
              <w:rPr>
                <w:rFonts w:cs="Arial"/>
                <w:color w:val="0D0D0D"/>
                <w:lang w:val="en-GB"/>
              </w:rPr>
              <w:t xml:space="preserve"> </w:t>
            </w:r>
            <w:r w:rsidR="000A7C02" w:rsidRPr="00111303">
              <w:rPr>
                <w:rFonts w:cs="Arial"/>
                <w:color w:val="0D0D0D"/>
                <w:lang w:val="en-GB"/>
              </w:rPr>
              <w:t>state</w:t>
            </w:r>
            <w:r w:rsidR="00441542" w:rsidRPr="00111303">
              <w:rPr>
                <w:rFonts w:cs="Arial"/>
                <w:color w:val="0D0D0D"/>
                <w:lang w:val="en-GB"/>
              </w:rPr>
              <w:t xml:space="preserve"> debt dropped last year already for </w:t>
            </w:r>
            <w:r w:rsidR="003D15C3" w:rsidRPr="00111303">
              <w:rPr>
                <w:rFonts w:cs="Arial"/>
                <w:color w:val="0D0D0D"/>
                <w:lang w:val="en-GB"/>
              </w:rPr>
              <w:t>the</w:t>
            </w:r>
            <w:r w:rsidR="00441542" w:rsidRPr="00111303">
              <w:rPr>
                <w:rFonts w:cs="Arial"/>
                <w:color w:val="0D0D0D"/>
                <w:lang w:val="en-GB"/>
              </w:rPr>
              <w:t xml:space="preserve"> third year in a row </w:t>
            </w:r>
            <w:r w:rsidR="008A03DE" w:rsidRPr="00111303">
              <w:rPr>
                <w:rFonts w:cs="Arial"/>
                <w:color w:val="0D0D0D"/>
                <w:lang w:val="en-GB"/>
              </w:rPr>
              <w:t>(</w:t>
            </w:r>
            <w:r w:rsidR="00441542" w:rsidRPr="00111303">
              <w:rPr>
                <w:rFonts w:cs="Arial"/>
                <w:color w:val="0D0D0D"/>
                <w:lang w:val="en-GB"/>
              </w:rPr>
              <w:t xml:space="preserve">to </w:t>
            </w:r>
            <w:r w:rsidR="008A03DE" w:rsidRPr="00111303">
              <w:rPr>
                <w:rFonts w:cs="Arial"/>
                <w:color w:val="0D0D0D"/>
                <w:lang w:val="en-GB"/>
              </w:rPr>
              <w:t>40</w:t>
            </w:r>
            <w:r w:rsidR="00441542" w:rsidRPr="00111303">
              <w:rPr>
                <w:rFonts w:cs="Arial"/>
                <w:color w:val="0D0D0D"/>
                <w:lang w:val="en-GB"/>
              </w:rPr>
              <w:t>.</w:t>
            </w:r>
            <w:r w:rsidR="008A03DE" w:rsidRPr="00111303">
              <w:rPr>
                <w:rFonts w:cs="Arial"/>
                <w:color w:val="0D0D0D"/>
                <w:lang w:val="en-GB"/>
              </w:rPr>
              <w:t xml:space="preserve">7 </w:t>
            </w:r>
            <w:r w:rsidR="00C4216C" w:rsidRPr="00111303">
              <w:rPr>
                <w:rFonts w:cs="Arial"/>
                <w:color w:val="0D0D0D"/>
                <w:lang w:val="en-GB"/>
              </w:rPr>
              <w:t>CZK bn</w:t>
            </w:r>
            <w:r w:rsidR="008A03DE" w:rsidRPr="00111303">
              <w:rPr>
                <w:rFonts w:cs="Arial"/>
                <w:color w:val="0D0D0D"/>
                <w:lang w:val="en-GB"/>
              </w:rPr>
              <w:t xml:space="preserve">). </w:t>
            </w:r>
            <w:r w:rsidR="00550ACF" w:rsidRPr="00111303">
              <w:rPr>
                <w:rFonts w:cs="Arial"/>
                <w:color w:val="0D0D0D"/>
                <w:lang w:val="en-GB"/>
              </w:rPr>
              <w:t xml:space="preserve">The improving SB balance </w:t>
            </w:r>
            <w:r w:rsidR="008A03DE" w:rsidRPr="00111303">
              <w:rPr>
                <w:rFonts w:cs="Arial"/>
                <w:color w:val="0D0D0D"/>
                <w:lang w:val="en-GB"/>
              </w:rPr>
              <w:t>(a</w:t>
            </w:r>
            <w:r w:rsidR="00550ACF" w:rsidRPr="00111303">
              <w:rPr>
                <w:rFonts w:cs="Arial"/>
                <w:color w:val="0D0D0D"/>
                <w:lang w:val="en-GB"/>
              </w:rPr>
              <w:t>nd connected lower borrowing need of the state</w:t>
            </w:r>
            <w:r w:rsidR="008A03DE" w:rsidRPr="00111303">
              <w:rPr>
                <w:rFonts w:cs="Arial"/>
                <w:color w:val="0D0D0D"/>
                <w:lang w:val="en-GB"/>
              </w:rPr>
              <w:t xml:space="preserve">), </w:t>
            </w:r>
            <w:r w:rsidR="00550ACF" w:rsidRPr="00111303">
              <w:rPr>
                <w:rFonts w:cs="Arial"/>
                <w:color w:val="0D0D0D"/>
                <w:lang w:val="en-GB"/>
              </w:rPr>
              <w:t>as well as the favourable conditions on the markets with government bonds both play a role here</w:t>
            </w:r>
            <w:r w:rsidR="008A03DE" w:rsidRPr="00111303">
              <w:rPr>
                <w:rFonts w:cs="Arial"/>
                <w:color w:val="0D0D0D"/>
                <w:lang w:val="en-GB"/>
              </w:rPr>
              <w:t xml:space="preserve">. </w:t>
            </w:r>
          </w:p>
          <w:p w:rsidR="008A03DE" w:rsidRPr="00111303" w:rsidRDefault="008A03DE" w:rsidP="008A03DE">
            <w:pPr>
              <w:pStyle w:val="Textpoznpodarou"/>
              <w:jc w:val="both"/>
              <w:rPr>
                <w:rFonts w:cs="Arial"/>
                <w:color w:val="0D0D0D"/>
                <w:sz w:val="14"/>
                <w:szCs w:val="14"/>
                <w:lang w:val="en-GB"/>
              </w:rPr>
            </w:pPr>
          </w:p>
        </w:tc>
      </w:tr>
      <w:tr w:rsidR="008A03DE" w:rsidRPr="00CB09D5" w:rsidTr="008A03DE">
        <w:tc>
          <w:tcPr>
            <w:tcW w:w="1054" w:type="pct"/>
          </w:tcPr>
          <w:p w:rsidR="008A03DE" w:rsidRPr="00CB09D5" w:rsidRDefault="003E194E"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Total amount of the state debt lowered after three years of stabilisation in </w:t>
            </w:r>
            <w:r w:rsidR="008D4D5E" w:rsidRPr="00CB09D5">
              <w:rPr>
                <w:rFonts w:cs="Arial"/>
                <w:bCs/>
                <w:iCs/>
                <w:color w:val="0D0D0D"/>
                <w:sz w:val="16"/>
                <w:szCs w:val="16"/>
                <w:lang w:val="en-GB"/>
              </w:rPr>
              <w:t xml:space="preserve">the </w:t>
            </w:r>
            <w:r w:rsidRPr="00CB09D5">
              <w:rPr>
                <w:rFonts w:cs="Arial"/>
                <w:bCs/>
                <w:iCs/>
                <w:color w:val="0D0D0D"/>
                <w:sz w:val="16"/>
                <w:szCs w:val="16"/>
                <w:lang w:val="en-GB"/>
              </w:rPr>
              <w:t xml:space="preserve">year 2016, both the internal and external indebtedness was reduced.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111303" w:rsidRDefault="00BC1D93" w:rsidP="008A03DE">
            <w:pPr>
              <w:pStyle w:val="Textpoznpodarou"/>
              <w:jc w:val="both"/>
              <w:rPr>
                <w:rFonts w:cs="Arial"/>
                <w:color w:val="0D0D0D"/>
                <w:lang w:val="en-GB"/>
              </w:rPr>
            </w:pPr>
            <w:r w:rsidRPr="00111303">
              <w:rPr>
                <w:rFonts w:cs="Arial"/>
                <w:color w:val="0D0D0D"/>
                <w:lang w:val="en-GB"/>
              </w:rPr>
              <w:t xml:space="preserve">While the total size of the state debt increased by 21.7 </w:t>
            </w:r>
            <w:r w:rsidR="00C4216C" w:rsidRPr="00111303">
              <w:rPr>
                <w:rFonts w:cs="Arial"/>
                <w:color w:val="0D0D0D"/>
                <w:lang w:val="en-GB"/>
              </w:rPr>
              <w:t>CZK bn</w:t>
            </w:r>
            <w:r w:rsidRPr="00111303">
              <w:rPr>
                <w:rFonts w:cs="Arial"/>
                <w:color w:val="0D0D0D"/>
                <w:lang w:val="en-GB"/>
              </w:rPr>
              <w:t xml:space="preserve"> during the Q1, the trend turn</w:t>
            </w:r>
            <w:r w:rsidR="00FF1D20" w:rsidRPr="00111303">
              <w:rPr>
                <w:rFonts w:cs="Arial"/>
                <w:color w:val="0D0D0D"/>
                <w:lang w:val="en-GB"/>
              </w:rPr>
              <w:t>e</w:t>
            </w:r>
            <w:r w:rsidRPr="00111303">
              <w:rPr>
                <w:rFonts w:cs="Arial"/>
                <w:color w:val="0D0D0D"/>
                <w:lang w:val="en-GB"/>
              </w:rPr>
              <w:t>d in the remaining part of the ye</w:t>
            </w:r>
            <w:r w:rsidR="00FF1D20" w:rsidRPr="00111303">
              <w:rPr>
                <w:rFonts w:cs="Arial"/>
                <w:color w:val="0D0D0D"/>
                <w:lang w:val="en-GB"/>
              </w:rPr>
              <w:t>a</w:t>
            </w:r>
            <w:r w:rsidR="00DD003B" w:rsidRPr="00111303">
              <w:rPr>
                <w:rFonts w:cs="Arial"/>
                <w:color w:val="0D0D0D"/>
                <w:lang w:val="en-GB"/>
              </w:rPr>
              <w:t>r. The debt lowered by 3.6</w:t>
            </w:r>
            <w:r w:rsidRPr="00111303">
              <w:rPr>
                <w:rFonts w:cs="Arial"/>
                <w:color w:val="0D0D0D"/>
                <w:lang w:val="en-GB"/>
              </w:rPr>
              <w:t xml:space="preserve">% for the whole last year (to 1613 </w:t>
            </w:r>
            <w:r w:rsidR="00C4216C" w:rsidRPr="00111303">
              <w:rPr>
                <w:rFonts w:cs="Arial"/>
                <w:color w:val="0D0D0D"/>
                <w:lang w:val="en-GB"/>
              </w:rPr>
              <w:t>CZK bn</w:t>
            </w:r>
            <w:r w:rsidRPr="00111303">
              <w:rPr>
                <w:rFonts w:cs="Arial"/>
                <w:color w:val="0D0D0D"/>
                <w:lang w:val="en-GB"/>
              </w:rPr>
              <w:t xml:space="preserve">), the most since the inception of the independent CR. It </w:t>
            </w:r>
            <w:r w:rsidR="00FF1D20" w:rsidRPr="00111303">
              <w:rPr>
                <w:rFonts w:cs="Arial"/>
                <w:color w:val="0D0D0D"/>
                <w:lang w:val="en-GB"/>
              </w:rPr>
              <w:t>mirrored</w:t>
            </w:r>
            <w:r w:rsidRPr="00111303">
              <w:rPr>
                <w:rFonts w:cs="Arial"/>
                <w:color w:val="0D0D0D"/>
                <w:lang w:val="en-GB"/>
              </w:rPr>
              <w:t xml:space="preserve"> the reduction of the inner indebtedness (by 45.8 bn)</w:t>
            </w:r>
            <w:proofErr w:type="gramStart"/>
            <w:r w:rsidRPr="00111303">
              <w:rPr>
                <w:rFonts w:cs="Arial"/>
                <w:color w:val="0D0D0D"/>
                <w:lang w:val="en-GB"/>
              </w:rPr>
              <w:t>,</w:t>
            </w:r>
            <w:proofErr w:type="gramEnd"/>
            <w:r w:rsidRPr="00111303">
              <w:rPr>
                <w:rFonts w:cs="Arial"/>
                <w:color w:val="0D0D0D"/>
                <w:lang w:val="en-GB"/>
              </w:rPr>
              <w:t xml:space="preserve"> however the crown value of the external debt was also lower (by 13.8 bn). T</w:t>
            </w:r>
            <w:r w:rsidR="00DD003B" w:rsidRPr="00111303">
              <w:rPr>
                <w:rFonts w:cs="Arial"/>
                <w:color w:val="0D0D0D"/>
                <w:lang w:val="en-GB"/>
              </w:rPr>
              <w:t>he external debt comprised 16.7</w:t>
            </w:r>
            <w:r w:rsidRPr="00111303">
              <w:rPr>
                <w:rFonts w:cs="Arial"/>
                <w:color w:val="0D0D0D"/>
                <w:lang w:val="en-GB"/>
              </w:rPr>
              <w:t xml:space="preserve">% of the total debt at the end of the year, which represented </w:t>
            </w:r>
            <w:r w:rsidR="00FF1D20" w:rsidRPr="00111303">
              <w:rPr>
                <w:rFonts w:cs="Arial"/>
                <w:color w:val="0D0D0D"/>
                <w:lang w:val="en-GB"/>
              </w:rPr>
              <w:t xml:space="preserve">the lowest proportion since the beginning of </w:t>
            </w:r>
            <w:r w:rsidR="008D4D5E" w:rsidRPr="00111303">
              <w:rPr>
                <w:rFonts w:cs="Arial"/>
                <w:color w:val="0D0D0D"/>
                <w:lang w:val="en-GB"/>
              </w:rPr>
              <w:t xml:space="preserve">the </w:t>
            </w:r>
            <w:r w:rsidR="00FF1D20" w:rsidRPr="00111303">
              <w:rPr>
                <w:rFonts w:cs="Arial"/>
                <w:color w:val="0D0D0D"/>
                <w:lang w:val="en-GB"/>
              </w:rPr>
              <w:t xml:space="preserve">year </w:t>
            </w:r>
            <w:r w:rsidR="008A03DE" w:rsidRPr="00111303">
              <w:rPr>
                <w:rFonts w:cs="Arial"/>
                <w:color w:val="0D0D0D"/>
                <w:lang w:val="en-GB"/>
              </w:rPr>
              <w:t xml:space="preserve">2008. </w:t>
            </w:r>
            <w:r w:rsidR="00753518" w:rsidRPr="00111303">
              <w:rPr>
                <w:rFonts w:cs="Arial"/>
                <w:color w:val="0D0D0D"/>
                <w:lang w:val="en-GB"/>
              </w:rPr>
              <w:t xml:space="preserve">Decrease of the total debt was associated with the higher volume of planned </w:t>
            </w:r>
            <w:r w:rsidR="00794216" w:rsidRPr="00111303">
              <w:rPr>
                <w:rFonts w:cs="Arial"/>
                <w:color w:val="0D0D0D"/>
                <w:lang w:val="en-GB"/>
              </w:rPr>
              <w:t xml:space="preserve">repayments </w:t>
            </w:r>
            <w:r w:rsidR="00753518" w:rsidRPr="00111303">
              <w:rPr>
                <w:rFonts w:cs="Arial"/>
                <w:color w:val="0D0D0D"/>
                <w:lang w:val="en-GB"/>
              </w:rPr>
              <w:t>concentrated into the second half of the year. The falling borrowing need of the state also had a positive effect. The state tried to make use of the negative i</w:t>
            </w:r>
            <w:r w:rsidR="00DD003B" w:rsidRPr="00111303">
              <w:rPr>
                <w:rFonts w:cs="Arial"/>
                <w:color w:val="0D0D0D"/>
                <w:lang w:val="en-GB"/>
              </w:rPr>
              <w:t xml:space="preserve">nterest rates in </w:t>
            </w:r>
            <w:r w:rsidR="0064575F" w:rsidRPr="00111303">
              <w:rPr>
                <w:rFonts w:cs="Arial"/>
                <w:color w:val="0D0D0D"/>
                <w:lang w:val="en-GB"/>
              </w:rPr>
              <w:t xml:space="preserve">the </w:t>
            </w:r>
            <w:r w:rsidR="00DD003B" w:rsidRPr="00111303">
              <w:rPr>
                <w:rFonts w:cs="Arial"/>
                <w:color w:val="0D0D0D"/>
                <w:lang w:val="en-GB"/>
              </w:rPr>
              <w:t>year 2016 – 57</w:t>
            </w:r>
            <w:r w:rsidR="00753518" w:rsidRPr="00111303">
              <w:rPr>
                <w:rFonts w:cs="Arial"/>
                <w:color w:val="0D0D0D"/>
                <w:lang w:val="en-GB"/>
              </w:rPr>
              <w:t xml:space="preserve">% of the value of newly issued bonds thus displayed a maturity up to five years and the volume of sales of state bonds with a negative yield reached 145.7 bn. </w:t>
            </w:r>
            <w:r w:rsidR="00414757" w:rsidRPr="00111303">
              <w:rPr>
                <w:rFonts w:cs="Arial"/>
                <w:color w:val="0D0D0D"/>
                <w:lang w:val="en-GB"/>
              </w:rPr>
              <w:t xml:space="preserve">The growth of the volume of Czech bonds held by the foreign investors further fastened. It represented already 424 </w:t>
            </w:r>
            <w:r w:rsidR="00C4216C" w:rsidRPr="00111303">
              <w:rPr>
                <w:rFonts w:cs="Arial"/>
                <w:color w:val="0D0D0D"/>
                <w:lang w:val="en-GB"/>
              </w:rPr>
              <w:t>CZK bn</w:t>
            </w:r>
            <w:r w:rsidR="00414757" w:rsidRPr="00111303">
              <w:rPr>
                <w:rFonts w:cs="Arial"/>
                <w:color w:val="0D0D0D"/>
                <w:lang w:val="en-GB"/>
              </w:rPr>
              <w:t xml:space="preserve"> at the end of December 2</w:t>
            </w:r>
            <w:r w:rsidR="00DD003B" w:rsidRPr="00111303">
              <w:rPr>
                <w:rFonts w:cs="Arial"/>
                <w:color w:val="0D0D0D"/>
                <w:lang w:val="en-GB"/>
              </w:rPr>
              <w:t>016, resp. 31.6</w:t>
            </w:r>
            <w:r w:rsidR="00414757" w:rsidRPr="00111303">
              <w:rPr>
                <w:rFonts w:cs="Arial"/>
                <w:color w:val="0D0D0D"/>
                <w:lang w:val="en-GB"/>
              </w:rPr>
              <w:t xml:space="preserve">% of the value </w:t>
            </w:r>
            <w:r w:rsidR="00DD003B" w:rsidRPr="00111303">
              <w:rPr>
                <w:rFonts w:cs="Arial"/>
                <w:color w:val="0D0D0D"/>
                <w:lang w:val="en-GB"/>
              </w:rPr>
              <w:t>of all crown bonds (it was 14.5</w:t>
            </w:r>
            <w:r w:rsidR="00414757" w:rsidRPr="00111303">
              <w:rPr>
                <w:rFonts w:cs="Arial"/>
                <w:color w:val="0D0D0D"/>
                <w:lang w:val="en-GB"/>
              </w:rPr>
              <w:t>% two years ago</w:t>
            </w:r>
            <w:r w:rsidR="008A03DE" w:rsidRPr="00111303">
              <w:rPr>
                <w:rFonts w:cs="Arial"/>
                <w:color w:val="0D0D0D"/>
                <w:lang w:val="en-GB"/>
              </w:rPr>
              <w:t>)</w:t>
            </w:r>
            <w:r w:rsidR="008A03DE" w:rsidRPr="00111303">
              <w:rPr>
                <w:rStyle w:val="Znakapoznpodarou"/>
                <w:color w:val="0D0D0D"/>
                <w:lang w:val="en-GB"/>
              </w:rPr>
              <w:footnoteReference w:id="8"/>
            </w:r>
            <w:r w:rsidR="008A03DE" w:rsidRPr="00111303">
              <w:rPr>
                <w:rFonts w:cs="Arial"/>
                <w:color w:val="0D0D0D"/>
                <w:lang w:val="en-GB"/>
              </w:rPr>
              <w:t>.</w:t>
            </w:r>
          </w:p>
          <w:p w:rsidR="008A03DE" w:rsidRPr="00111303" w:rsidRDefault="008A03DE" w:rsidP="008A03DE">
            <w:pPr>
              <w:pStyle w:val="Textpoznpodarou"/>
              <w:jc w:val="both"/>
              <w:rPr>
                <w:rFonts w:cs="Arial"/>
                <w:color w:val="0D0D0D"/>
                <w:sz w:val="6"/>
                <w:szCs w:val="6"/>
                <w:lang w:val="en-GB"/>
              </w:rPr>
            </w:pPr>
          </w:p>
        </w:tc>
      </w:tr>
      <w:tr w:rsidR="008A03DE" w:rsidRPr="00CB09D5" w:rsidTr="00111303">
        <w:trPr>
          <w:trHeight w:val="457"/>
        </w:trPr>
        <w:tc>
          <w:tcPr>
            <w:tcW w:w="1054" w:type="pct"/>
          </w:tcPr>
          <w:p w:rsidR="008A03DE" w:rsidRPr="00CB09D5" w:rsidRDefault="00985767"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Value of debt of the whole sector of government </w:t>
            </w:r>
            <w:r w:rsidR="009B093D" w:rsidRPr="00CB09D5">
              <w:rPr>
                <w:rFonts w:cs="Arial"/>
                <w:bCs/>
                <w:iCs/>
                <w:color w:val="0D0D0D"/>
                <w:spacing w:val="-2"/>
                <w:sz w:val="16"/>
                <w:szCs w:val="16"/>
                <w:lang w:val="en-GB"/>
              </w:rPr>
              <w:t>institutions</w:t>
            </w:r>
            <w:r w:rsidRPr="00CB09D5">
              <w:rPr>
                <w:rFonts w:cs="Arial"/>
                <w:bCs/>
                <w:iCs/>
                <w:color w:val="0D0D0D"/>
                <w:spacing w:val="-2"/>
                <w:sz w:val="16"/>
                <w:szCs w:val="16"/>
                <w:lang w:val="en-GB"/>
              </w:rPr>
              <w:t xml:space="preserve"> lowered quarter-on-quarter already second time in a row, it amounted to 1813 crowns at the end of Q3</w:t>
            </w:r>
            <w:r w:rsidR="000A7C02">
              <w:rPr>
                <w:rFonts w:cs="Arial"/>
                <w:bCs/>
                <w:iCs/>
                <w:color w:val="0D0D0D"/>
                <w:spacing w:val="-2"/>
                <w:sz w:val="16"/>
                <w:szCs w:val="16"/>
                <w:lang w:val="en-GB"/>
              </w:rPr>
              <w:t xml:space="preserve"> 2016</w:t>
            </w:r>
          </w:p>
          <w:p w:rsidR="008A03DE" w:rsidRPr="00CB09D5" w:rsidRDefault="008A03DE" w:rsidP="008A03DE">
            <w:pPr>
              <w:spacing w:line="240" w:lineRule="auto"/>
              <w:rPr>
                <w:rFonts w:cs="Arial"/>
                <w:bCs/>
                <w:iCs/>
                <w:color w:val="0D0D0D"/>
                <w:spacing w:val="-2"/>
                <w:sz w:val="16"/>
                <w:szCs w:val="16"/>
                <w:lang w:val="en-GB"/>
              </w:rPr>
            </w:pPr>
          </w:p>
          <w:p w:rsidR="008A03DE" w:rsidRPr="00CB09D5" w:rsidRDefault="008A03DE" w:rsidP="008A03DE">
            <w:pPr>
              <w:spacing w:line="240" w:lineRule="auto"/>
              <w:rPr>
                <w:rFonts w:cs="Arial"/>
                <w:bCs/>
                <w:iCs/>
                <w:color w:val="0D0D0D"/>
                <w:spacing w:val="-2"/>
                <w:sz w:val="16"/>
                <w:szCs w:val="16"/>
                <w:lang w:val="en-GB"/>
              </w:rPr>
            </w:pPr>
          </w:p>
          <w:p w:rsidR="008A03DE" w:rsidRPr="00CB09D5" w:rsidRDefault="00985767"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Only three EU states achieved a </w:t>
            </w:r>
            <w:r w:rsidR="009B093D" w:rsidRPr="00CB09D5">
              <w:rPr>
                <w:rFonts w:cs="Arial"/>
                <w:bCs/>
                <w:iCs/>
                <w:color w:val="0D0D0D"/>
                <w:spacing w:val="-2"/>
                <w:sz w:val="16"/>
                <w:szCs w:val="16"/>
                <w:lang w:val="en-GB"/>
              </w:rPr>
              <w:t>notably</w:t>
            </w:r>
            <w:r w:rsidRPr="00CB09D5">
              <w:rPr>
                <w:rFonts w:cs="Arial"/>
                <w:bCs/>
                <w:iCs/>
                <w:color w:val="0D0D0D"/>
                <w:spacing w:val="-2"/>
                <w:sz w:val="16"/>
                <w:szCs w:val="16"/>
                <w:lang w:val="en-GB"/>
              </w:rPr>
              <w:t xml:space="preserve"> lower indebtedness in relation of debt to </w:t>
            </w:r>
            <w:r w:rsidR="00BE4A3B" w:rsidRPr="00CB09D5">
              <w:rPr>
                <w:rFonts w:cs="Arial"/>
                <w:bCs/>
                <w:iCs/>
                <w:color w:val="0D0D0D"/>
                <w:spacing w:val="-2"/>
                <w:sz w:val="16"/>
                <w:szCs w:val="16"/>
                <w:lang w:val="en-GB"/>
              </w:rPr>
              <w:t xml:space="preserve">the </w:t>
            </w:r>
            <w:r w:rsidRPr="00CB09D5">
              <w:rPr>
                <w:rFonts w:cs="Arial"/>
                <w:bCs/>
                <w:iCs/>
                <w:color w:val="0D0D0D"/>
                <w:spacing w:val="-2"/>
                <w:sz w:val="16"/>
                <w:szCs w:val="16"/>
                <w:lang w:val="en-GB"/>
              </w:rPr>
              <w:t xml:space="preserve">GDP than in the CR. </w:t>
            </w:r>
          </w:p>
          <w:p w:rsidR="008A03DE" w:rsidRPr="00CB09D5" w:rsidRDefault="008A03DE" w:rsidP="008A03DE">
            <w:pPr>
              <w:spacing w:line="240" w:lineRule="auto"/>
              <w:rPr>
                <w:rFonts w:cs="Arial"/>
                <w:bCs/>
                <w:iCs/>
                <w:color w:val="0D0D0D"/>
                <w:spacing w:val="-2"/>
                <w:sz w:val="16"/>
                <w:szCs w:val="16"/>
                <w:lang w:val="en-GB"/>
              </w:rPr>
            </w:pPr>
          </w:p>
          <w:p w:rsidR="008A03DE" w:rsidRPr="00CB09D5" w:rsidRDefault="008A03DE" w:rsidP="008A03DE">
            <w:pPr>
              <w:spacing w:line="240" w:lineRule="auto"/>
              <w:rPr>
                <w:rFonts w:cs="Arial"/>
                <w:bCs/>
                <w:iCs/>
                <w:color w:val="0D0D0D"/>
                <w:spacing w:val="-2"/>
                <w:sz w:val="16"/>
                <w:szCs w:val="16"/>
                <w:lang w:val="en-GB"/>
              </w:rPr>
            </w:pPr>
          </w:p>
          <w:p w:rsidR="008A03DE" w:rsidRPr="00CB09D5" w:rsidRDefault="008A03DE" w:rsidP="008A03DE">
            <w:pPr>
              <w:spacing w:line="240" w:lineRule="auto"/>
              <w:rPr>
                <w:rFonts w:cs="Arial"/>
                <w:bCs/>
                <w:iCs/>
                <w:color w:val="0D0D0D"/>
                <w:spacing w:val="-2"/>
                <w:sz w:val="16"/>
                <w:szCs w:val="16"/>
                <w:lang w:val="en-GB"/>
              </w:rPr>
            </w:pPr>
          </w:p>
          <w:p w:rsidR="008A03DE" w:rsidRDefault="008A03DE" w:rsidP="008A03DE">
            <w:pPr>
              <w:spacing w:line="240" w:lineRule="auto"/>
              <w:rPr>
                <w:rFonts w:cs="Arial"/>
                <w:bCs/>
                <w:iCs/>
                <w:color w:val="0D0D0D"/>
                <w:spacing w:val="-2"/>
                <w:sz w:val="16"/>
                <w:szCs w:val="16"/>
                <w:lang w:val="en-GB"/>
              </w:rPr>
            </w:pPr>
          </w:p>
          <w:p w:rsidR="000A7C02" w:rsidRDefault="000A7C02" w:rsidP="008A03DE">
            <w:pPr>
              <w:spacing w:line="240" w:lineRule="auto"/>
              <w:rPr>
                <w:rFonts w:cs="Arial"/>
                <w:bCs/>
                <w:iCs/>
                <w:color w:val="0D0D0D"/>
                <w:spacing w:val="-2"/>
                <w:sz w:val="16"/>
                <w:szCs w:val="16"/>
                <w:lang w:val="en-GB"/>
              </w:rPr>
            </w:pPr>
          </w:p>
          <w:p w:rsidR="000A7C02" w:rsidRPr="00CB09D5" w:rsidRDefault="000A7C02" w:rsidP="008A03DE">
            <w:pPr>
              <w:spacing w:line="240" w:lineRule="auto"/>
              <w:rPr>
                <w:rFonts w:cs="Arial"/>
                <w:bCs/>
                <w:iCs/>
                <w:color w:val="0D0D0D"/>
                <w:spacing w:val="-2"/>
                <w:sz w:val="16"/>
                <w:szCs w:val="16"/>
                <w:lang w:val="en-GB"/>
              </w:rPr>
            </w:pPr>
          </w:p>
          <w:p w:rsidR="008A03DE" w:rsidRPr="00CB09D5" w:rsidRDefault="00A3041C" w:rsidP="008A03DE">
            <w:pPr>
              <w:spacing w:line="240" w:lineRule="auto"/>
              <w:rPr>
                <w:rFonts w:cs="Arial"/>
                <w:bCs/>
                <w:iCs/>
                <w:color w:val="0D0D0D"/>
                <w:sz w:val="16"/>
                <w:szCs w:val="16"/>
                <w:lang w:val="en-GB"/>
              </w:rPr>
            </w:pPr>
            <w:r w:rsidRPr="00CB09D5">
              <w:rPr>
                <w:rFonts w:cs="Arial"/>
                <w:bCs/>
                <w:iCs/>
                <w:color w:val="0D0D0D"/>
                <w:spacing w:val="-2"/>
                <w:sz w:val="16"/>
                <w:szCs w:val="16"/>
                <w:lang w:val="en-GB"/>
              </w:rPr>
              <w:t xml:space="preserve">All subsectors of government institutions achieved more favourable budget balance for the three last year quarters.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0A7C02" w:rsidRPr="00111303" w:rsidRDefault="00E5515D" w:rsidP="008A03DE">
            <w:pPr>
              <w:pStyle w:val="Textpoznpodarou"/>
              <w:jc w:val="both"/>
              <w:rPr>
                <w:color w:val="0D0D0D"/>
                <w:lang w:val="en-GB"/>
              </w:rPr>
            </w:pPr>
            <w:r w:rsidRPr="00111303">
              <w:rPr>
                <w:color w:val="0D0D0D"/>
                <w:lang w:val="en-GB"/>
              </w:rPr>
              <w:t xml:space="preserve">Consolidated gross debt of the whole sector of </w:t>
            </w:r>
            <w:r w:rsidR="00662E05" w:rsidRPr="00111303">
              <w:rPr>
                <w:color w:val="0D0D0D"/>
                <w:lang w:val="en-GB"/>
              </w:rPr>
              <w:t>government</w:t>
            </w:r>
            <w:r w:rsidRPr="00111303">
              <w:rPr>
                <w:color w:val="0D0D0D"/>
                <w:lang w:val="en-GB"/>
              </w:rPr>
              <w:t xml:space="preserve"> institutions</w:t>
            </w:r>
            <w:r w:rsidR="008A03DE" w:rsidRPr="00111303">
              <w:rPr>
                <w:rStyle w:val="Znakapoznpodarou"/>
                <w:color w:val="0D0D0D"/>
                <w:lang w:val="en-GB"/>
              </w:rPr>
              <w:footnoteReference w:id="9"/>
            </w:r>
            <w:r w:rsidR="008A03DE" w:rsidRPr="00111303">
              <w:rPr>
                <w:color w:val="0D0D0D"/>
                <w:lang w:val="en-GB"/>
              </w:rPr>
              <w:t xml:space="preserve"> </w:t>
            </w:r>
            <w:r w:rsidRPr="00111303">
              <w:rPr>
                <w:color w:val="0D0D0D"/>
                <w:lang w:val="en-GB"/>
              </w:rPr>
              <w:t xml:space="preserve">reached the size of 1 813 </w:t>
            </w:r>
            <w:r w:rsidR="00C4216C" w:rsidRPr="00111303">
              <w:rPr>
                <w:color w:val="0D0D0D"/>
                <w:lang w:val="en-GB"/>
              </w:rPr>
              <w:t>CZK bn</w:t>
            </w:r>
            <w:r w:rsidRPr="00111303">
              <w:rPr>
                <w:color w:val="0D0D0D"/>
                <w:lang w:val="en-GB"/>
              </w:rPr>
              <w:t xml:space="preserve"> based on the newest CZSO data at the end of</w:t>
            </w:r>
            <w:r w:rsidR="00DD003B" w:rsidRPr="00111303">
              <w:rPr>
                <w:color w:val="0D0D0D"/>
                <w:lang w:val="en-GB"/>
              </w:rPr>
              <w:t xml:space="preserve"> Q3 2016 and it arrived at 38.7</w:t>
            </w:r>
            <w:r w:rsidRPr="00111303">
              <w:rPr>
                <w:color w:val="0D0D0D"/>
                <w:lang w:val="en-GB"/>
              </w:rPr>
              <w:t xml:space="preserve">% in relation to </w:t>
            </w:r>
            <w:r w:rsidR="00BE4A3B" w:rsidRPr="00111303">
              <w:rPr>
                <w:color w:val="0D0D0D"/>
                <w:lang w:val="en-GB"/>
              </w:rPr>
              <w:t xml:space="preserve">the </w:t>
            </w:r>
            <w:r w:rsidRPr="00111303">
              <w:rPr>
                <w:color w:val="0D0D0D"/>
                <w:lang w:val="en-GB"/>
              </w:rPr>
              <w:t xml:space="preserve">GDP (it was by 1.9 </w:t>
            </w:r>
            <w:r w:rsidR="00CE4674" w:rsidRPr="00111303">
              <w:rPr>
                <w:color w:val="0D0D0D"/>
                <w:lang w:val="en-GB"/>
              </w:rPr>
              <w:t>p.p.</w:t>
            </w:r>
            <w:r w:rsidRPr="00111303">
              <w:rPr>
                <w:color w:val="0D0D0D"/>
                <w:lang w:val="en-GB"/>
              </w:rPr>
              <w:t xml:space="preserve"> higher in the same period of the previous year). </w:t>
            </w:r>
            <w:r w:rsidR="00662E05" w:rsidRPr="00111303">
              <w:rPr>
                <w:color w:val="0D0D0D"/>
                <w:lang w:val="en-GB"/>
              </w:rPr>
              <w:t xml:space="preserve">The swift growth of the nominal GDP stood behind the year-on-year lowering of the relative level of the debt last year, but the decrease of the absolute size of the debt to a lesser extent as well (by 15.6 </w:t>
            </w:r>
            <w:r w:rsidR="00C4216C" w:rsidRPr="00111303">
              <w:rPr>
                <w:color w:val="0D0D0D"/>
                <w:lang w:val="en-GB"/>
              </w:rPr>
              <w:t>CZK bn</w:t>
            </w:r>
            <w:r w:rsidR="00662E05" w:rsidRPr="00111303">
              <w:rPr>
                <w:color w:val="0D0D0D"/>
                <w:lang w:val="en-GB"/>
              </w:rPr>
              <w:t xml:space="preserve">). The Czech Republic was the seventh less indebted EU country last year, only Estonia, Luxembourg and Bulgaria recorded significantly lower relative debt at the end Q3. The indebtedness fell in 17 EU states in comparison to Q3 2015 </w:t>
            </w:r>
            <w:r w:rsidR="00AC3D02" w:rsidRPr="00111303">
              <w:rPr>
                <w:color w:val="0D0D0D"/>
                <w:lang w:val="en-GB"/>
              </w:rPr>
              <w:t>(</w:t>
            </w:r>
            <w:r w:rsidR="00662E05" w:rsidRPr="00111303">
              <w:rPr>
                <w:color w:val="0D0D0D"/>
                <w:lang w:val="en-GB"/>
              </w:rPr>
              <w:t xml:space="preserve">the most in Ireland from </w:t>
            </w:r>
            <w:r w:rsidR="008A03DE" w:rsidRPr="00111303">
              <w:rPr>
                <w:color w:val="0D0D0D"/>
                <w:lang w:val="en-GB"/>
              </w:rPr>
              <w:t>85</w:t>
            </w:r>
            <w:r w:rsidR="00662E05" w:rsidRPr="00111303">
              <w:rPr>
                <w:color w:val="0D0D0D"/>
                <w:lang w:val="en-GB"/>
              </w:rPr>
              <w:t>.</w:t>
            </w:r>
            <w:r w:rsidR="00DD003B" w:rsidRPr="00111303">
              <w:rPr>
                <w:color w:val="0D0D0D"/>
                <w:lang w:val="en-GB"/>
              </w:rPr>
              <w:t>6</w:t>
            </w:r>
            <w:r w:rsidR="008A03DE" w:rsidRPr="00111303">
              <w:rPr>
                <w:color w:val="0D0D0D"/>
                <w:lang w:val="en-GB"/>
              </w:rPr>
              <w:t xml:space="preserve">% </w:t>
            </w:r>
            <w:r w:rsidR="00662E05" w:rsidRPr="00111303">
              <w:rPr>
                <w:color w:val="0D0D0D"/>
                <w:lang w:val="en-GB"/>
              </w:rPr>
              <w:t xml:space="preserve">to </w:t>
            </w:r>
            <w:r w:rsidR="008A03DE" w:rsidRPr="00111303">
              <w:rPr>
                <w:color w:val="0D0D0D"/>
                <w:lang w:val="en-GB"/>
              </w:rPr>
              <w:t>7</w:t>
            </w:r>
            <w:r w:rsidR="000A7C02" w:rsidRPr="00111303">
              <w:rPr>
                <w:color w:val="0D0D0D"/>
                <w:lang w:val="en-GB"/>
              </w:rPr>
              <w:t>7</w:t>
            </w:r>
            <w:r w:rsidR="00662E05" w:rsidRPr="00111303">
              <w:rPr>
                <w:color w:val="0D0D0D"/>
                <w:lang w:val="en-GB"/>
              </w:rPr>
              <w:t>.</w:t>
            </w:r>
            <w:r w:rsidR="00DD003B" w:rsidRPr="00111303">
              <w:rPr>
                <w:color w:val="0D0D0D"/>
                <w:lang w:val="en-GB"/>
              </w:rPr>
              <w:t>1</w:t>
            </w:r>
            <w:r w:rsidR="008A03DE" w:rsidRPr="00111303">
              <w:rPr>
                <w:color w:val="0D0D0D"/>
                <w:lang w:val="en-GB"/>
              </w:rPr>
              <w:t xml:space="preserve">% </w:t>
            </w:r>
            <w:r w:rsidR="00662E05" w:rsidRPr="00111303">
              <w:rPr>
                <w:color w:val="0D0D0D"/>
                <w:lang w:val="en-GB"/>
              </w:rPr>
              <w:t xml:space="preserve">of </w:t>
            </w:r>
            <w:r w:rsidR="00BE4A3B" w:rsidRPr="00111303">
              <w:rPr>
                <w:color w:val="0D0D0D"/>
                <w:lang w:val="en-GB"/>
              </w:rPr>
              <w:t xml:space="preserve">the </w:t>
            </w:r>
            <w:r w:rsidR="00662E05" w:rsidRPr="00111303">
              <w:rPr>
                <w:color w:val="0D0D0D"/>
                <w:lang w:val="en-GB"/>
              </w:rPr>
              <w:t>GDP</w:t>
            </w:r>
            <w:r w:rsidR="008A03DE" w:rsidRPr="00111303">
              <w:rPr>
                <w:color w:val="0D0D0D"/>
                <w:lang w:val="en-GB"/>
              </w:rPr>
              <w:t xml:space="preserve">). </w:t>
            </w:r>
            <w:r w:rsidR="00662E05" w:rsidRPr="00111303">
              <w:rPr>
                <w:color w:val="0D0D0D"/>
                <w:lang w:val="en-GB"/>
              </w:rPr>
              <w:t>From the seven most hit states</w:t>
            </w:r>
            <w:r w:rsidR="008A03DE" w:rsidRPr="00111303">
              <w:rPr>
                <w:rStyle w:val="Znakapoznpodarou"/>
                <w:color w:val="0D0D0D"/>
                <w:lang w:val="en-GB"/>
              </w:rPr>
              <w:footnoteReference w:id="10"/>
            </w:r>
            <w:r w:rsidR="008A03DE" w:rsidRPr="00111303">
              <w:rPr>
                <w:color w:val="0D0D0D"/>
                <w:lang w:val="en-GB"/>
              </w:rPr>
              <w:t xml:space="preserve"> </w:t>
            </w:r>
            <w:r w:rsidR="00662E05" w:rsidRPr="00111303">
              <w:rPr>
                <w:color w:val="0D0D0D"/>
                <w:lang w:val="en-GB"/>
              </w:rPr>
              <w:t>only Italy however managed to reduce its indebtedness</w:t>
            </w:r>
            <w:r w:rsidR="000A7C02" w:rsidRPr="00111303">
              <w:rPr>
                <w:color w:val="0D0D0D"/>
                <w:lang w:val="en-GB"/>
              </w:rPr>
              <w:t xml:space="preserve"> </w:t>
            </w:r>
            <w:proofErr w:type="gramStart"/>
            <w:r w:rsidR="000A7C02" w:rsidRPr="00111303">
              <w:rPr>
                <w:color w:val="0D0D0D"/>
                <w:lang w:val="en-GB"/>
              </w:rPr>
              <w:t>(by 1.4 p.p.)</w:t>
            </w:r>
            <w:proofErr w:type="gramEnd"/>
            <w:r w:rsidR="006F0367" w:rsidRPr="00111303">
              <w:rPr>
                <w:color w:val="0D0D0D"/>
                <w:lang w:val="en-GB"/>
              </w:rPr>
              <w:t>. Out of the largest EU economies, Germany was the most successful in this respect, when it also thanks to the budget surpluses pushe</w:t>
            </w:r>
            <w:r w:rsidR="00DD003B" w:rsidRPr="00111303">
              <w:rPr>
                <w:color w:val="0D0D0D"/>
                <w:lang w:val="en-GB"/>
              </w:rPr>
              <w:t>d the indebtedness below the 70</w:t>
            </w:r>
            <w:r w:rsidR="006F0367" w:rsidRPr="00111303">
              <w:rPr>
                <w:color w:val="0D0D0D"/>
                <w:lang w:val="en-GB"/>
              </w:rPr>
              <w:t xml:space="preserve">% boundary </w:t>
            </w:r>
            <w:r w:rsidR="008A03DE" w:rsidRPr="00111303">
              <w:rPr>
                <w:color w:val="0D0D0D"/>
                <w:lang w:val="en-GB"/>
              </w:rPr>
              <w:t>(</w:t>
            </w:r>
            <w:r w:rsidR="006F0367" w:rsidRPr="00111303">
              <w:rPr>
                <w:color w:val="0D0D0D"/>
                <w:lang w:val="en-GB"/>
              </w:rPr>
              <w:t xml:space="preserve">the lowest since Q1 2009). </w:t>
            </w:r>
          </w:p>
          <w:p w:rsidR="000A7C02" w:rsidRPr="00111303" w:rsidRDefault="000A7C02" w:rsidP="008A03DE">
            <w:pPr>
              <w:pStyle w:val="Textpoznpodarou"/>
              <w:jc w:val="both"/>
              <w:rPr>
                <w:color w:val="0D0D0D"/>
                <w:lang w:val="en-GB"/>
              </w:rPr>
            </w:pPr>
          </w:p>
          <w:p w:rsidR="008A03DE" w:rsidRPr="00111303" w:rsidRDefault="006F0367" w:rsidP="008A03DE">
            <w:pPr>
              <w:pStyle w:val="Textpoznpodarou"/>
              <w:jc w:val="both"/>
              <w:rPr>
                <w:color w:val="0D0D0D"/>
                <w:lang w:val="en-GB"/>
              </w:rPr>
            </w:pPr>
            <w:r w:rsidRPr="00111303">
              <w:rPr>
                <w:color w:val="0D0D0D"/>
                <w:lang w:val="en-GB"/>
              </w:rPr>
              <w:t xml:space="preserve">Budget of the government institutions ended in the positive balance in the amount of 41.3 </w:t>
            </w:r>
            <w:r w:rsidR="00C4216C" w:rsidRPr="00111303">
              <w:rPr>
                <w:color w:val="0D0D0D"/>
                <w:lang w:val="en-GB"/>
              </w:rPr>
              <w:t>CZK bn</w:t>
            </w:r>
            <w:r w:rsidRPr="00111303">
              <w:rPr>
                <w:color w:val="0D0D0D"/>
                <w:lang w:val="en-GB"/>
              </w:rPr>
              <w:t xml:space="preserve"> in the CR for Q1 to Q3 2016 </w:t>
            </w:r>
            <w:r w:rsidR="008A03DE" w:rsidRPr="00111303">
              <w:rPr>
                <w:color w:val="0D0D0D"/>
                <w:lang w:val="en-GB"/>
              </w:rPr>
              <w:t>(</w:t>
            </w:r>
            <w:r w:rsidRPr="00111303">
              <w:rPr>
                <w:color w:val="0D0D0D"/>
                <w:lang w:val="en-GB"/>
              </w:rPr>
              <w:t>in the accrual expression</w:t>
            </w:r>
            <w:r w:rsidR="008A03DE" w:rsidRPr="00111303">
              <w:rPr>
                <w:color w:val="0D0D0D"/>
                <w:lang w:val="en-GB"/>
              </w:rPr>
              <w:t>)</w:t>
            </w:r>
            <w:r w:rsidR="008A03DE" w:rsidRPr="00111303">
              <w:rPr>
                <w:rStyle w:val="Znakapoznpodarou"/>
                <w:color w:val="0D0D0D"/>
                <w:lang w:val="en-GB"/>
              </w:rPr>
              <w:footnoteReference w:id="11"/>
            </w:r>
            <w:r w:rsidRPr="00111303">
              <w:rPr>
                <w:color w:val="0D0D0D"/>
                <w:lang w:val="en-GB"/>
              </w:rPr>
              <w:t xml:space="preserve">. </w:t>
            </w:r>
            <w:r w:rsidR="003C7928" w:rsidRPr="00111303">
              <w:rPr>
                <w:color w:val="0D0D0D"/>
                <w:lang w:val="en-GB"/>
              </w:rPr>
              <w:t>Especially the l</w:t>
            </w:r>
            <w:r w:rsidR="00D25411" w:rsidRPr="00111303">
              <w:rPr>
                <w:color w:val="0D0D0D"/>
                <w:lang w:val="en-GB"/>
              </w:rPr>
              <w:t>ocal gove</w:t>
            </w:r>
            <w:r w:rsidR="003C7928" w:rsidRPr="00111303">
              <w:rPr>
                <w:color w:val="0D0D0D"/>
                <w:lang w:val="en-GB"/>
              </w:rPr>
              <w:t xml:space="preserve">rnment institutions contributed to the more favourable result year-on-year (by 38.4 bn), their high surplus </w:t>
            </w:r>
            <w:r w:rsidR="008A03DE" w:rsidRPr="00111303">
              <w:rPr>
                <w:color w:val="0D0D0D"/>
                <w:lang w:val="en-GB"/>
              </w:rPr>
              <w:t>(51</w:t>
            </w:r>
            <w:r w:rsidR="003C7928" w:rsidRPr="00111303">
              <w:rPr>
                <w:color w:val="0D0D0D"/>
                <w:lang w:val="en-GB"/>
              </w:rPr>
              <w:t>.</w:t>
            </w:r>
            <w:r w:rsidR="008A03DE" w:rsidRPr="00111303">
              <w:rPr>
                <w:color w:val="0D0D0D"/>
                <w:lang w:val="en-GB"/>
              </w:rPr>
              <w:t xml:space="preserve">8 </w:t>
            </w:r>
            <w:r w:rsidR="003C7928" w:rsidRPr="00111303">
              <w:rPr>
                <w:color w:val="0D0D0D"/>
                <w:lang w:val="en-GB"/>
              </w:rPr>
              <w:t>bn</w:t>
            </w:r>
            <w:r w:rsidR="008A03DE" w:rsidRPr="00111303">
              <w:rPr>
                <w:color w:val="0D0D0D"/>
                <w:lang w:val="en-GB"/>
              </w:rPr>
              <w:t xml:space="preserve">) </w:t>
            </w:r>
            <w:r w:rsidR="003C7928" w:rsidRPr="00111303">
              <w:rPr>
                <w:color w:val="0D0D0D"/>
                <w:lang w:val="en-GB"/>
              </w:rPr>
              <w:t xml:space="preserve">was mainly connected with the restriction of the investment activity. </w:t>
            </w:r>
            <w:r w:rsidR="004F15E5" w:rsidRPr="00111303">
              <w:rPr>
                <w:color w:val="0D0D0D"/>
                <w:lang w:val="en-GB"/>
              </w:rPr>
              <w:t xml:space="preserve">Deficit of the central government institutions reduced by nearly one half year-on-year (to 17 bn), health insurance companies achieved a more favourable budget result as well. </w:t>
            </w:r>
          </w:p>
        </w:tc>
      </w:tr>
    </w:tbl>
    <w:p w:rsidR="00111303" w:rsidRDefault="00111303" w:rsidP="008A03DE">
      <w:pPr>
        <w:pStyle w:val="Textpoznpodarou"/>
        <w:jc w:val="both"/>
        <w:rPr>
          <w:rFonts w:cs="Arial"/>
          <w:color w:val="000000"/>
          <w:spacing w:val="-2"/>
          <w:lang w:val="en-GB"/>
        </w:rPr>
      </w:pPr>
    </w:p>
    <w:p w:rsidR="00111303" w:rsidRDefault="00111303" w:rsidP="008A03DE">
      <w:pPr>
        <w:pStyle w:val="Textpoznpodarou"/>
        <w:jc w:val="both"/>
        <w:rPr>
          <w:rFonts w:cs="Arial"/>
          <w:color w:val="000000"/>
          <w:spacing w:val="-2"/>
          <w:lang w:val="en-GB"/>
        </w:rPr>
      </w:pPr>
    </w:p>
    <w:p w:rsidR="00111303" w:rsidRDefault="00111303" w:rsidP="008A03DE">
      <w:pPr>
        <w:pStyle w:val="Textpoznpodarou"/>
        <w:jc w:val="both"/>
        <w:rPr>
          <w:rFonts w:cs="Arial"/>
          <w:color w:val="000000"/>
          <w:spacing w:val="-2"/>
          <w:lang w:val="en-GB"/>
        </w:rPr>
      </w:pPr>
    </w:p>
    <w:p w:rsidR="00111303" w:rsidRDefault="00111303" w:rsidP="008A03DE">
      <w:pPr>
        <w:pStyle w:val="Textpoznpodarou"/>
        <w:jc w:val="both"/>
        <w:rPr>
          <w:rFonts w:cs="Arial"/>
          <w:color w:val="000000"/>
          <w:spacing w:val="-2"/>
          <w:lang w:val="en-GB"/>
        </w:rPr>
      </w:pPr>
    </w:p>
    <w:p w:rsidR="00111303" w:rsidRPr="00111303" w:rsidRDefault="00111303" w:rsidP="008A03DE">
      <w:pPr>
        <w:pStyle w:val="Textpoznpodarou"/>
        <w:jc w:val="both"/>
        <w:rPr>
          <w:rFonts w:cs="Arial"/>
          <w:color w:val="000000"/>
          <w:spacing w:val="-2"/>
          <w:lang w:val="en-GB"/>
        </w:rPr>
      </w:pPr>
    </w:p>
    <w:tbl>
      <w:tblPr>
        <w:tblW w:w="4986" w:type="pct"/>
        <w:tblCellMar>
          <w:left w:w="28" w:type="dxa"/>
          <w:right w:w="28" w:type="dxa"/>
        </w:tblCellMar>
        <w:tblLook w:val="04A0"/>
      </w:tblPr>
      <w:tblGrid>
        <w:gridCol w:w="594"/>
        <w:gridCol w:w="4289"/>
        <w:gridCol w:w="708"/>
        <w:gridCol w:w="4103"/>
      </w:tblGrid>
      <w:tr w:rsidR="006B2F6D" w:rsidRPr="00CB09D5" w:rsidTr="008A03DE">
        <w:tc>
          <w:tcPr>
            <w:tcW w:w="305" w:type="pct"/>
          </w:tcPr>
          <w:p w:rsidR="008A03DE" w:rsidRPr="00CB09D5" w:rsidRDefault="008A03DE" w:rsidP="001B2B24">
            <w:pPr>
              <w:spacing w:line="240" w:lineRule="auto"/>
              <w:rPr>
                <w:lang w:val="en-GB"/>
              </w:rPr>
            </w:pPr>
            <w:r w:rsidRPr="00CB09D5">
              <w:rPr>
                <w:sz w:val="14"/>
                <w:szCs w:val="14"/>
                <w:lang w:val="en-GB"/>
              </w:rPr>
              <w:lastRenderedPageBreak/>
              <w:br w:type="page"/>
            </w:r>
            <w:r w:rsidR="001B2B24" w:rsidRPr="00CB09D5">
              <w:rPr>
                <w:lang w:val="en-GB"/>
              </w:rPr>
              <w:t xml:space="preserve">Chart </w:t>
            </w:r>
            <w:r w:rsidRPr="00CB09D5">
              <w:rPr>
                <w:lang w:val="en-GB"/>
              </w:rPr>
              <w:t>19</w:t>
            </w:r>
          </w:p>
        </w:tc>
        <w:tc>
          <w:tcPr>
            <w:tcW w:w="2203" w:type="pct"/>
          </w:tcPr>
          <w:p w:rsidR="008A03DE" w:rsidRPr="00CB09D5" w:rsidRDefault="001B2B24" w:rsidP="001B2B24">
            <w:pPr>
              <w:spacing w:line="240" w:lineRule="auto"/>
              <w:rPr>
                <w:rFonts w:cs="Arial"/>
                <w:b/>
                <w:bCs/>
                <w:lang w:val="en-GB"/>
              </w:rPr>
            </w:pPr>
            <w:r w:rsidRPr="00CB09D5">
              <w:rPr>
                <w:rFonts w:cs="Arial"/>
                <w:b/>
                <w:bCs/>
                <w:lang w:val="en-GB"/>
              </w:rPr>
              <w:t xml:space="preserve">State wide collection of tax income </w:t>
            </w:r>
            <w:r w:rsidR="008A03DE" w:rsidRPr="00CB09D5">
              <w:rPr>
                <w:rFonts w:cs="Arial"/>
                <w:bCs/>
                <w:lang w:val="en-GB"/>
              </w:rPr>
              <w:t xml:space="preserve">(y/y </w:t>
            </w:r>
            <w:r w:rsidRPr="00CB09D5">
              <w:rPr>
                <w:rFonts w:cs="Arial"/>
                <w:bCs/>
                <w:lang w:val="en-GB"/>
              </w:rPr>
              <w:t>in</w:t>
            </w:r>
            <w:r w:rsidR="008A03DE" w:rsidRPr="00CB09D5">
              <w:rPr>
                <w:rFonts w:cs="Arial"/>
                <w:bCs/>
                <w:lang w:val="en-GB"/>
              </w:rPr>
              <w:t xml:space="preserve"> %) </w:t>
            </w:r>
            <w:r w:rsidR="008A03DE" w:rsidRPr="00CB09D5">
              <w:rPr>
                <w:rFonts w:cs="Arial"/>
                <w:b/>
                <w:bCs/>
                <w:lang w:val="en-GB"/>
              </w:rPr>
              <w:t>a</w:t>
            </w:r>
            <w:r w:rsidRPr="00CB09D5">
              <w:rPr>
                <w:rFonts w:cs="Arial"/>
                <w:b/>
                <w:bCs/>
                <w:lang w:val="en-GB"/>
              </w:rPr>
              <w:t xml:space="preserve">nd state budget balance </w:t>
            </w:r>
            <w:r w:rsidR="008A03DE" w:rsidRPr="00CB09D5">
              <w:rPr>
                <w:rFonts w:cs="Arial"/>
                <w:bCs/>
                <w:lang w:val="en-GB"/>
              </w:rPr>
              <w:t>(</w:t>
            </w:r>
            <w:r w:rsidRPr="00CB09D5">
              <w:rPr>
                <w:rFonts w:cs="Arial"/>
                <w:bCs/>
                <w:lang w:val="en-GB"/>
              </w:rPr>
              <w:t xml:space="preserve">in </w:t>
            </w:r>
            <w:r w:rsidR="006D0366" w:rsidRPr="00CB09D5">
              <w:rPr>
                <w:rFonts w:cs="Arial"/>
                <w:bCs/>
                <w:lang w:val="en-GB"/>
              </w:rPr>
              <w:t xml:space="preserve">CZK </w:t>
            </w:r>
            <w:r w:rsidRPr="00CB09D5">
              <w:rPr>
                <w:rFonts w:cs="Arial"/>
                <w:bCs/>
                <w:lang w:val="en-GB"/>
              </w:rPr>
              <w:t>bn</w:t>
            </w:r>
            <w:r w:rsidR="008A03DE" w:rsidRPr="00CB09D5">
              <w:rPr>
                <w:rFonts w:cs="Arial"/>
                <w:bCs/>
                <w:lang w:val="en-GB"/>
              </w:rPr>
              <w:t>)</w:t>
            </w:r>
          </w:p>
        </w:tc>
        <w:tc>
          <w:tcPr>
            <w:tcW w:w="366" w:type="pct"/>
          </w:tcPr>
          <w:p w:rsidR="008A03DE" w:rsidRPr="00CB09D5" w:rsidRDefault="006B2F6D" w:rsidP="006B2F6D">
            <w:pPr>
              <w:spacing w:line="240" w:lineRule="auto"/>
              <w:rPr>
                <w:lang w:val="en-GB"/>
              </w:rPr>
            </w:pPr>
            <w:r w:rsidRPr="00CB09D5">
              <w:rPr>
                <w:lang w:val="en-GB"/>
              </w:rPr>
              <w:t xml:space="preserve">Chart  </w:t>
            </w:r>
            <w:r w:rsidR="008A03DE" w:rsidRPr="00CB09D5">
              <w:rPr>
                <w:lang w:val="en-GB"/>
              </w:rPr>
              <w:t>20</w:t>
            </w:r>
          </w:p>
        </w:tc>
        <w:tc>
          <w:tcPr>
            <w:tcW w:w="2126" w:type="pct"/>
          </w:tcPr>
          <w:p w:rsidR="008A03DE" w:rsidRPr="00CB09D5" w:rsidRDefault="006B2F6D" w:rsidP="006B2F6D">
            <w:pPr>
              <w:spacing w:line="240" w:lineRule="auto"/>
              <w:rPr>
                <w:rFonts w:cs="Arial"/>
                <w:b/>
                <w:bCs/>
                <w:spacing w:val="-2"/>
                <w:lang w:val="en-GB"/>
              </w:rPr>
            </w:pPr>
            <w:r w:rsidRPr="00CB09D5">
              <w:rPr>
                <w:rFonts w:cs="Arial"/>
                <w:b/>
                <w:bCs/>
                <w:lang w:val="en-GB"/>
              </w:rPr>
              <w:t>Selected state budget expenditure</w:t>
            </w:r>
            <w:r w:rsidR="003F7F67" w:rsidRPr="00CB09D5">
              <w:rPr>
                <w:rFonts w:cs="Arial"/>
                <w:b/>
                <w:bCs/>
                <w:lang w:val="en-GB"/>
              </w:rPr>
              <w:t>s</w:t>
            </w:r>
            <w:r w:rsidRPr="00CB09D5">
              <w:rPr>
                <w:rFonts w:cs="Arial"/>
                <w:b/>
                <w:bCs/>
                <w:lang w:val="en-GB"/>
              </w:rPr>
              <w:t xml:space="preserve"> </w:t>
            </w:r>
            <w:r w:rsidR="008A03DE" w:rsidRPr="00CB09D5">
              <w:rPr>
                <w:rFonts w:cs="Arial"/>
                <w:bCs/>
                <w:lang w:val="en-GB"/>
              </w:rPr>
              <w:t>(</w:t>
            </w:r>
            <w:r w:rsidRPr="00CB09D5">
              <w:rPr>
                <w:rFonts w:cs="Arial"/>
                <w:bCs/>
                <w:lang w:val="en-GB"/>
              </w:rPr>
              <w:t xml:space="preserve">in </w:t>
            </w:r>
            <w:r w:rsidR="003F7F67" w:rsidRPr="00CB09D5">
              <w:rPr>
                <w:rFonts w:cs="Arial"/>
                <w:bCs/>
                <w:lang w:val="en-GB"/>
              </w:rPr>
              <w:t xml:space="preserve">CZK </w:t>
            </w:r>
            <w:r w:rsidRPr="00CB09D5">
              <w:rPr>
                <w:rFonts w:cs="Arial"/>
                <w:bCs/>
                <w:lang w:val="en-GB"/>
              </w:rPr>
              <w:t>bn</w:t>
            </w:r>
            <w:r w:rsidR="008A03DE" w:rsidRPr="00CB09D5">
              <w:rPr>
                <w:rFonts w:cs="Arial"/>
                <w:bCs/>
                <w:lang w:val="en-GB"/>
              </w:rPr>
              <w:t>)</w:t>
            </w:r>
          </w:p>
        </w:tc>
      </w:tr>
      <w:tr w:rsidR="008A03DE" w:rsidRPr="00CB09D5" w:rsidTr="008A03DE">
        <w:tc>
          <w:tcPr>
            <w:tcW w:w="2508" w:type="pct"/>
            <w:gridSpan w:val="2"/>
          </w:tcPr>
          <w:p w:rsidR="008A03DE" w:rsidRPr="00CB09D5" w:rsidRDefault="0029191C" w:rsidP="008A03DE">
            <w:pPr>
              <w:pStyle w:val="Textpoznpodarou"/>
              <w:jc w:val="both"/>
              <w:rPr>
                <w:lang w:val="en-GB"/>
              </w:rPr>
            </w:pPr>
            <w:r>
              <w:rPr>
                <w:noProof/>
              </w:rPr>
              <w:drawing>
                <wp:inline distT="0" distB="0" distL="0" distR="0">
                  <wp:extent cx="3075940" cy="2256155"/>
                  <wp:effectExtent l="19050" t="0" r="0" b="0"/>
                  <wp:docPr id="2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075940" cy="2256155"/>
                          </a:xfrm>
                          <a:prstGeom prst="rect">
                            <a:avLst/>
                          </a:prstGeom>
                          <a:noFill/>
                          <a:ln w="9525">
                            <a:noFill/>
                            <a:miter lim="800000"/>
                            <a:headEnd/>
                            <a:tailEnd/>
                          </a:ln>
                        </pic:spPr>
                      </pic:pic>
                    </a:graphicData>
                  </a:graphic>
                </wp:inline>
              </w:drawing>
            </w:r>
          </w:p>
        </w:tc>
        <w:tc>
          <w:tcPr>
            <w:tcW w:w="2492" w:type="pct"/>
            <w:gridSpan w:val="2"/>
          </w:tcPr>
          <w:p w:rsidR="008A03DE" w:rsidRPr="00CB09D5" w:rsidRDefault="0029191C" w:rsidP="008A03DE">
            <w:pPr>
              <w:pStyle w:val="Textpoznpodarou"/>
              <w:jc w:val="both"/>
              <w:rPr>
                <w:lang w:val="en-GB"/>
              </w:rPr>
            </w:pPr>
            <w:r>
              <w:rPr>
                <w:noProof/>
              </w:rPr>
              <w:drawing>
                <wp:inline distT="0" distB="0" distL="0" distR="0">
                  <wp:extent cx="3024430" cy="2256312"/>
                  <wp:effectExtent l="19050" t="0" r="4520" b="0"/>
                  <wp:docPr id="2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028315" cy="2259210"/>
                          </a:xfrm>
                          <a:prstGeom prst="rect">
                            <a:avLst/>
                          </a:prstGeom>
                          <a:noFill/>
                          <a:ln w="9525">
                            <a:noFill/>
                            <a:miter lim="800000"/>
                            <a:headEnd/>
                            <a:tailEnd/>
                          </a:ln>
                        </pic:spPr>
                      </pic:pic>
                    </a:graphicData>
                  </a:graphic>
                </wp:inline>
              </w:drawing>
            </w:r>
          </w:p>
        </w:tc>
      </w:tr>
      <w:tr w:rsidR="008A03DE" w:rsidRPr="00CB09D5" w:rsidTr="008A03DE">
        <w:tc>
          <w:tcPr>
            <w:tcW w:w="5000" w:type="pct"/>
            <w:gridSpan w:val="4"/>
          </w:tcPr>
          <w:p w:rsidR="008A03DE" w:rsidRPr="00CB09D5" w:rsidRDefault="003F7F67" w:rsidP="008A03DE">
            <w:pPr>
              <w:pStyle w:val="Textpoznpodarou"/>
              <w:rPr>
                <w:sz w:val="18"/>
                <w:szCs w:val="18"/>
                <w:lang w:val="en-GB"/>
              </w:rPr>
            </w:pPr>
            <w:r w:rsidRPr="00CB09D5">
              <w:rPr>
                <w:sz w:val="18"/>
                <w:szCs w:val="18"/>
                <w:lang w:val="en-GB"/>
              </w:rPr>
              <w:t xml:space="preserve">*including the foster care </w:t>
            </w:r>
            <w:r w:rsidR="004F674E" w:rsidRPr="00CB09D5">
              <w:rPr>
                <w:sz w:val="18"/>
                <w:szCs w:val="18"/>
                <w:lang w:val="en-GB"/>
              </w:rPr>
              <w:t>benefits, *</w:t>
            </w:r>
            <w:r w:rsidR="008A03DE" w:rsidRPr="00CB09D5">
              <w:rPr>
                <w:spacing w:val="-2"/>
                <w:sz w:val="18"/>
                <w:szCs w:val="18"/>
                <w:lang w:val="en-GB"/>
              </w:rPr>
              <w:t>*</w:t>
            </w:r>
            <w:r w:rsidRPr="00CB09D5">
              <w:rPr>
                <w:rFonts w:cs="Arial"/>
                <w:sz w:val="18"/>
                <w:szCs w:val="18"/>
                <w:lang w:val="en-GB"/>
              </w:rPr>
              <w:t xml:space="preserve"> material deprivation assistance benefits</w:t>
            </w:r>
            <w:r w:rsidR="008A03DE" w:rsidRPr="00CB09D5">
              <w:rPr>
                <w:spacing w:val="-2"/>
                <w:sz w:val="18"/>
                <w:szCs w:val="18"/>
                <w:lang w:val="en-GB"/>
              </w:rPr>
              <w:t xml:space="preserve">, </w:t>
            </w:r>
            <w:r w:rsidRPr="00CB09D5">
              <w:rPr>
                <w:rFonts w:cs="Arial"/>
                <w:sz w:val="18"/>
                <w:szCs w:val="18"/>
                <w:lang w:val="en-GB"/>
              </w:rPr>
              <w:t>disability benefits</w:t>
            </w:r>
            <w:r w:rsidR="008A03DE" w:rsidRPr="00CB09D5">
              <w:rPr>
                <w:spacing w:val="-2"/>
                <w:sz w:val="18"/>
                <w:szCs w:val="18"/>
                <w:lang w:val="en-GB"/>
              </w:rPr>
              <w:t xml:space="preserve">, </w:t>
            </w:r>
            <w:r w:rsidRPr="00CB09D5">
              <w:rPr>
                <w:rFonts w:cs="Arial"/>
                <w:sz w:val="18"/>
                <w:szCs w:val="18"/>
                <w:lang w:val="en-GB"/>
              </w:rPr>
              <w:t xml:space="preserve">contribution to care based on Act on State Social </w:t>
            </w:r>
            <w:r w:rsidR="004F674E" w:rsidRPr="00CB09D5">
              <w:rPr>
                <w:rFonts w:cs="Arial"/>
                <w:sz w:val="18"/>
                <w:szCs w:val="18"/>
                <w:lang w:val="en-GB"/>
              </w:rPr>
              <w:t>Support</w:t>
            </w:r>
            <w:r w:rsidR="004F674E" w:rsidRPr="00CB09D5">
              <w:rPr>
                <w:sz w:val="18"/>
                <w:szCs w:val="18"/>
                <w:lang w:val="en-GB"/>
              </w:rPr>
              <w:t>, *</w:t>
            </w:r>
            <w:r w:rsidR="008A03DE" w:rsidRPr="00CB09D5">
              <w:rPr>
                <w:sz w:val="18"/>
                <w:szCs w:val="18"/>
                <w:lang w:val="en-GB"/>
              </w:rPr>
              <w:t xml:space="preserve">** </w:t>
            </w:r>
            <w:r w:rsidR="004F674E" w:rsidRPr="00CB09D5">
              <w:rPr>
                <w:sz w:val="18"/>
                <w:szCs w:val="18"/>
                <w:lang w:val="en-GB"/>
              </w:rPr>
              <w:t>expenditures also include the income of the chapter State debt</w:t>
            </w:r>
          </w:p>
          <w:p w:rsidR="008A03DE" w:rsidRPr="00CB09D5" w:rsidRDefault="008A03DE" w:rsidP="00D50ED8">
            <w:pPr>
              <w:pStyle w:val="Textpoznpodarou"/>
              <w:rPr>
                <w:sz w:val="18"/>
                <w:szCs w:val="18"/>
                <w:lang w:val="en-GB"/>
              </w:rPr>
            </w:pPr>
            <w:r w:rsidRPr="00CB09D5">
              <w:rPr>
                <w:sz w:val="18"/>
                <w:szCs w:val="18"/>
                <w:lang w:val="en-GB"/>
              </w:rPr>
              <w:t xml:space="preserve">**** </w:t>
            </w:r>
            <w:r w:rsidR="008D3F95" w:rsidRPr="00CB09D5">
              <w:rPr>
                <w:sz w:val="18"/>
                <w:szCs w:val="18"/>
                <w:lang w:val="en-GB"/>
              </w:rPr>
              <w:t xml:space="preserve">excluding interest and other financial costs of state debt                                         </w:t>
            </w:r>
            <w:r w:rsidRPr="00CB09D5">
              <w:rPr>
                <w:sz w:val="18"/>
                <w:szCs w:val="18"/>
                <w:lang w:val="en-GB"/>
              </w:rPr>
              <w:t xml:space="preserve">                   </w:t>
            </w:r>
            <w:r w:rsidR="00D50ED8" w:rsidRPr="00CB09D5">
              <w:rPr>
                <w:sz w:val="18"/>
                <w:szCs w:val="18"/>
                <w:lang w:val="en-GB"/>
              </w:rPr>
              <w:t>Source</w:t>
            </w:r>
            <w:r w:rsidRPr="00CB09D5">
              <w:rPr>
                <w:rFonts w:cs="Arial"/>
                <w:sz w:val="18"/>
                <w:szCs w:val="18"/>
                <w:lang w:val="en-GB"/>
              </w:rPr>
              <w:t xml:space="preserve">: MF </w:t>
            </w:r>
            <w:r w:rsidR="00D50ED8" w:rsidRPr="00CB09D5">
              <w:rPr>
                <w:rFonts w:cs="Arial"/>
                <w:sz w:val="18"/>
                <w:szCs w:val="18"/>
                <w:lang w:val="en-GB"/>
              </w:rPr>
              <w:t>C</w:t>
            </w:r>
            <w:r w:rsidRPr="00CB09D5">
              <w:rPr>
                <w:rFonts w:cs="Arial"/>
                <w:sz w:val="18"/>
                <w:szCs w:val="18"/>
                <w:lang w:val="en-GB"/>
              </w:rPr>
              <w:t>R, M</w:t>
            </w:r>
            <w:r w:rsidR="004F674E" w:rsidRPr="00CB09D5">
              <w:rPr>
                <w:rFonts w:cs="Arial"/>
                <w:sz w:val="18"/>
                <w:szCs w:val="18"/>
                <w:lang w:val="en-GB"/>
              </w:rPr>
              <w:t>LSA</w:t>
            </w:r>
          </w:p>
        </w:tc>
      </w:tr>
    </w:tbl>
    <w:p w:rsidR="008A03DE" w:rsidRPr="00CB09D5" w:rsidRDefault="008A03DE" w:rsidP="008A03DE">
      <w:pPr>
        <w:pStyle w:val="Textpoznpodarou"/>
        <w:jc w:val="both"/>
        <w:rPr>
          <w:rFonts w:cs="Arial"/>
          <w:color w:val="000000"/>
          <w:spacing w:val="-2"/>
          <w:sz w:val="10"/>
          <w:szCs w:val="10"/>
          <w:lang w:val="en-GB"/>
        </w:rPr>
      </w:pPr>
    </w:p>
    <w:tbl>
      <w:tblPr>
        <w:tblW w:w="4986" w:type="pct"/>
        <w:tblLayout w:type="fixed"/>
        <w:tblCellMar>
          <w:left w:w="28" w:type="dxa"/>
          <w:right w:w="28" w:type="dxa"/>
        </w:tblCellMar>
        <w:tblLook w:val="04A0"/>
      </w:tblPr>
      <w:tblGrid>
        <w:gridCol w:w="752"/>
        <w:gridCol w:w="4097"/>
        <w:gridCol w:w="566"/>
        <w:gridCol w:w="4252"/>
      </w:tblGrid>
      <w:tr w:rsidR="008A03DE" w:rsidRPr="00CB09D5" w:rsidTr="000A7C02">
        <w:tc>
          <w:tcPr>
            <w:tcW w:w="389" w:type="pct"/>
          </w:tcPr>
          <w:p w:rsidR="008A03DE" w:rsidRPr="00CB09D5" w:rsidRDefault="00994C29" w:rsidP="00994C29">
            <w:pPr>
              <w:spacing w:line="240" w:lineRule="auto"/>
              <w:rPr>
                <w:lang w:val="en-GB"/>
              </w:rPr>
            </w:pPr>
            <w:r w:rsidRPr="00CB09D5">
              <w:rPr>
                <w:lang w:val="en-GB"/>
              </w:rPr>
              <w:t>Chart</w:t>
            </w:r>
            <w:r w:rsidR="008A03DE" w:rsidRPr="00CB09D5">
              <w:rPr>
                <w:lang w:val="en-GB"/>
              </w:rPr>
              <w:t xml:space="preserve"> 21</w:t>
            </w:r>
          </w:p>
        </w:tc>
        <w:tc>
          <w:tcPr>
            <w:tcW w:w="2119" w:type="pct"/>
          </w:tcPr>
          <w:p w:rsidR="008A03DE" w:rsidRPr="00CB09D5" w:rsidRDefault="008A03DE" w:rsidP="00D50ED8">
            <w:pPr>
              <w:spacing w:line="240" w:lineRule="auto"/>
              <w:rPr>
                <w:rFonts w:cs="Arial"/>
                <w:b/>
                <w:bCs/>
                <w:lang w:val="en-GB"/>
              </w:rPr>
            </w:pPr>
            <w:r w:rsidRPr="00CB09D5">
              <w:rPr>
                <w:rFonts w:cs="Arial"/>
                <w:b/>
                <w:bCs/>
                <w:lang w:val="en-GB"/>
              </w:rPr>
              <w:t>St</w:t>
            </w:r>
            <w:r w:rsidR="00D11329" w:rsidRPr="00CB09D5">
              <w:rPr>
                <w:rFonts w:cs="Arial"/>
                <w:b/>
                <w:bCs/>
                <w:lang w:val="en-GB"/>
              </w:rPr>
              <w:t xml:space="preserve">ate debt of the CR according to means of financing </w:t>
            </w:r>
            <w:r w:rsidRPr="00CB09D5">
              <w:rPr>
                <w:rFonts w:cs="Arial"/>
                <w:bCs/>
                <w:lang w:val="en-GB"/>
              </w:rPr>
              <w:t>(</w:t>
            </w:r>
            <w:r w:rsidR="00D50ED8" w:rsidRPr="00CB09D5">
              <w:rPr>
                <w:rFonts w:cs="Arial"/>
                <w:bCs/>
                <w:lang w:val="en-GB"/>
              </w:rPr>
              <w:t xml:space="preserve">in </w:t>
            </w:r>
            <w:r w:rsidR="00E75545" w:rsidRPr="00CB09D5">
              <w:rPr>
                <w:rFonts w:cs="Arial"/>
                <w:bCs/>
                <w:lang w:val="en-GB"/>
              </w:rPr>
              <w:t xml:space="preserve">CZK </w:t>
            </w:r>
            <w:r w:rsidR="00D50ED8" w:rsidRPr="00CB09D5">
              <w:rPr>
                <w:rFonts w:cs="Arial"/>
                <w:bCs/>
                <w:lang w:val="en-GB"/>
              </w:rPr>
              <w:t>bn</w:t>
            </w:r>
            <w:r w:rsidRPr="00CB09D5">
              <w:rPr>
                <w:rFonts w:cs="Arial"/>
                <w:bCs/>
                <w:lang w:val="en-GB"/>
              </w:rPr>
              <w:t xml:space="preserve">) </w:t>
            </w:r>
            <w:r w:rsidRPr="00CB09D5">
              <w:rPr>
                <w:rFonts w:cs="Arial"/>
                <w:b/>
                <w:bCs/>
                <w:lang w:val="en-GB"/>
              </w:rPr>
              <w:t>a</w:t>
            </w:r>
            <w:r w:rsidR="00D11329" w:rsidRPr="00CB09D5">
              <w:rPr>
                <w:rFonts w:cs="Arial"/>
                <w:b/>
                <w:bCs/>
                <w:lang w:val="en-GB"/>
              </w:rPr>
              <w:t xml:space="preserve">nd share of CZK bonds held by </w:t>
            </w:r>
            <w:r w:rsidR="000F4191" w:rsidRPr="00CB09D5">
              <w:rPr>
                <w:rFonts w:cs="Arial"/>
                <w:b/>
                <w:bCs/>
                <w:lang w:val="en-GB"/>
              </w:rPr>
              <w:t>non-residents</w:t>
            </w:r>
            <w:r w:rsidR="00D11329" w:rsidRPr="00CB09D5">
              <w:rPr>
                <w:rFonts w:cs="Arial"/>
                <w:b/>
                <w:bCs/>
                <w:lang w:val="en-GB"/>
              </w:rPr>
              <w:t xml:space="preserve"> </w:t>
            </w:r>
            <w:r w:rsidR="00EB6063" w:rsidRPr="00EB6063">
              <w:rPr>
                <w:rFonts w:cs="Arial"/>
                <w:bCs/>
                <w:lang w:val="en-GB"/>
              </w:rPr>
              <w:t>(</w:t>
            </w:r>
            <w:r w:rsidR="00994C29" w:rsidRPr="00CB09D5">
              <w:rPr>
                <w:rFonts w:cs="Arial"/>
                <w:bCs/>
                <w:lang w:val="en-GB"/>
              </w:rPr>
              <w:t>in</w:t>
            </w:r>
            <w:r w:rsidRPr="00CB09D5">
              <w:rPr>
                <w:rFonts w:cs="Arial"/>
                <w:bCs/>
                <w:lang w:val="en-GB"/>
              </w:rPr>
              <w:t xml:space="preserve"> %)</w:t>
            </w:r>
            <w:r w:rsidRPr="00CB09D5">
              <w:rPr>
                <w:rFonts w:cs="Arial"/>
                <w:b/>
                <w:bCs/>
                <w:lang w:val="en-GB"/>
              </w:rPr>
              <w:t xml:space="preserve"> </w:t>
            </w:r>
          </w:p>
        </w:tc>
        <w:tc>
          <w:tcPr>
            <w:tcW w:w="293" w:type="pct"/>
          </w:tcPr>
          <w:p w:rsidR="008A03DE" w:rsidRPr="00CB09D5" w:rsidRDefault="00994C29" w:rsidP="00994C29">
            <w:pPr>
              <w:spacing w:line="240" w:lineRule="auto"/>
              <w:rPr>
                <w:lang w:val="en-GB"/>
              </w:rPr>
            </w:pPr>
            <w:r w:rsidRPr="00CB09D5">
              <w:rPr>
                <w:lang w:val="en-GB"/>
              </w:rPr>
              <w:t>Chart</w:t>
            </w:r>
            <w:r w:rsidR="008A03DE" w:rsidRPr="00CB09D5">
              <w:rPr>
                <w:lang w:val="en-GB"/>
              </w:rPr>
              <w:t xml:space="preserve"> 22</w:t>
            </w:r>
          </w:p>
        </w:tc>
        <w:tc>
          <w:tcPr>
            <w:tcW w:w="2199" w:type="pct"/>
          </w:tcPr>
          <w:p w:rsidR="008A03DE" w:rsidRPr="00CB09D5" w:rsidRDefault="00EB6063" w:rsidP="00994C29">
            <w:pPr>
              <w:spacing w:line="240" w:lineRule="auto"/>
              <w:rPr>
                <w:rFonts w:cs="Arial"/>
                <w:b/>
                <w:bCs/>
                <w:spacing w:val="-2"/>
                <w:lang w:val="en-GB"/>
              </w:rPr>
            </w:pPr>
            <w:r w:rsidRPr="00EB6063">
              <w:rPr>
                <w:rFonts w:cs="Arial"/>
                <w:b/>
                <w:bCs/>
                <w:spacing w:val="-4"/>
                <w:lang w:val="en-GB"/>
              </w:rPr>
              <w:t>Number of pension recipient</w:t>
            </w:r>
            <w:r w:rsidRPr="00EB6063">
              <w:rPr>
                <w:rFonts w:cs="Arial"/>
                <w:bCs/>
                <w:spacing w:val="-4"/>
                <w:lang w:val="en-GB"/>
              </w:rPr>
              <w:t>s,</w:t>
            </w:r>
            <w:r w:rsidRPr="00EB6063">
              <w:rPr>
                <w:rFonts w:cs="Arial"/>
                <w:b/>
                <w:bCs/>
                <w:spacing w:val="-4"/>
                <w:lang w:val="en-GB"/>
              </w:rPr>
              <w:t xml:space="preserve"> incomes and expenditures on pensions from the SB </w:t>
            </w:r>
            <w:r w:rsidRPr="00EB6063">
              <w:rPr>
                <w:rFonts w:cs="Arial"/>
                <w:bCs/>
                <w:spacing w:val="-4"/>
                <w:lang w:val="en-GB"/>
              </w:rPr>
              <w:t xml:space="preserve">(y/y, in %) </w:t>
            </w:r>
            <w:r w:rsidRPr="00EB6063">
              <w:rPr>
                <w:rFonts w:cs="Arial"/>
                <w:b/>
                <w:bCs/>
                <w:spacing w:val="-4"/>
                <w:lang w:val="en-GB"/>
              </w:rPr>
              <w:t>and pension account balance</w:t>
            </w:r>
            <w:r w:rsidRPr="00EB6063">
              <w:rPr>
                <w:rFonts w:cs="Arial"/>
                <w:bCs/>
                <w:spacing w:val="-4"/>
                <w:lang w:val="en-GB"/>
              </w:rPr>
              <w:t xml:space="preserve"> (in CZK bn)</w:t>
            </w:r>
            <w:r w:rsidR="008A03DE" w:rsidRPr="00CB09D5">
              <w:rPr>
                <w:rFonts w:cs="Arial"/>
                <w:bCs/>
                <w:lang w:val="en-GB"/>
              </w:rPr>
              <w:t xml:space="preserve"> </w:t>
            </w:r>
          </w:p>
        </w:tc>
      </w:tr>
      <w:tr w:rsidR="008A03DE" w:rsidRPr="00CB09D5" w:rsidTr="008A03DE">
        <w:tc>
          <w:tcPr>
            <w:tcW w:w="2508" w:type="pct"/>
            <w:gridSpan w:val="2"/>
          </w:tcPr>
          <w:p w:rsidR="008A03DE" w:rsidRPr="00CB09D5" w:rsidRDefault="0029191C" w:rsidP="008A03DE">
            <w:pPr>
              <w:pStyle w:val="Textpoznpodarou"/>
              <w:jc w:val="both"/>
              <w:rPr>
                <w:lang w:val="en-GB"/>
              </w:rPr>
            </w:pPr>
            <w:r>
              <w:rPr>
                <w:noProof/>
              </w:rPr>
              <w:drawing>
                <wp:inline distT="0" distB="0" distL="0" distR="0">
                  <wp:extent cx="3045642" cy="2214748"/>
                  <wp:effectExtent l="19050" t="0" r="2358"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042920" cy="2212769"/>
                          </a:xfrm>
                          <a:prstGeom prst="rect">
                            <a:avLst/>
                          </a:prstGeom>
                          <a:noFill/>
                          <a:ln w="9525">
                            <a:noFill/>
                            <a:miter lim="800000"/>
                            <a:headEnd/>
                            <a:tailEnd/>
                          </a:ln>
                        </pic:spPr>
                      </pic:pic>
                    </a:graphicData>
                  </a:graphic>
                </wp:inline>
              </w:drawing>
            </w:r>
          </w:p>
        </w:tc>
        <w:tc>
          <w:tcPr>
            <w:tcW w:w="2492" w:type="pct"/>
            <w:gridSpan w:val="2"/>
          </w:tcPr>
          <w:p w:rsidR="008A03DE" w:rsidRPr="00CB09D5" w:rsidRDefault="0029191C" w:rsidP="008A03DE">
            <w:pPr>
              <w:pStyle w:val="Textpoznpodarou"/>
              <w:jc w:val="both"/>
              <w:rPr>
                <w:lang w:val="en-GB"/>
              </w:rPr>
            </w:pPr>
            <w:r>
              <w:rPr>
                <w:noProof/>
              </w:rPr>
              <w:drawing>
                <wp:inline distT="0" distB="0" distL="0" distR="0">
                  <wp:extent cx="3019986" cy="2214748"/>
                  <wp:effectExtent l="19050" t="0" r="8964"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021965" cy="2216199"/>
                          </a:xfrm>
                          <a:prstGeom prst="rect">
                            <a:avLst/>
                          </a:prstGeom>
                          <a:noFill/>
                          <a:ln w="9525">
                            <a:noFill/>
                            <a:miter lim="800000"/>
                            <a:headEnd/>
                            <a:tailEnd/>
                          </a:ln>
                        </pic:spPr>
                      </pic:pic>
                    </a:graphicData>
                  </a:graphic>
                </wp:inline>
              </w:drawing>
            </w:r>
          </w:p>
        </w:tc>
      </w:tr>
      <w:tr w:rsidR="008A03DE" w:rsidRPr="00CB09D5" w:rsidTr="008A03DE">
        <w:tc>
          <w:tcPr>
            <w:tcW w:w="5000" w:type="pct"/>
            <w:gridSpan w:val="4"/>
          </w:tcPr>
          <w:p w:rsidR="00EB6063" w:rsidRDefault="00994C29" w:rsidP="00EB6063">
            <w:pPr>
              <w:autoSpaceDE w:val="0"/>
              <w:autoSpaceDN w:val="0"/>
              <w:adjustRightInd w:val="0"/>
              <w:spacing w:line="240" w:lineRule="auto"/>
              <w:jc w:val="right"/>
              <w:rPr>
                <w:sz w:val="18"/>
                <w:szCs w:val="18"/>
                <w:lang w:val="en-GB" w:eastAsia="ar-SA"/>
              </w:rPr>
            </w:pPr>
            <w:r w:rsidRPr="00CB09D5">
              <w:rPr>
                <w:rFonts w:cs="Arial"/>
                <w:sz w:val="18"/>
                <w:szCs w:val="18"/>
                <w:lang w:val="en-GB"/>
              </w:rPr>
              <w:t>Source</w:t>
            </w:r>
            <w:r w:rsidR="008A03DE" w:rsidRPr="00CB09D5">
              <w:rPr>
                <w:rFonts w:cs="Arial"/>
                <w:sz w:val="18"/>
                <w:szCs w:val="18"/>
                <w:lang w:val="en-GB"/>
              </w:rPr>
              <w:t xml:space="preserve">: MF, </w:t>
            </w:r>
            <w:r w:rsidR="00D50ED8" w:rsidRPr="00CB09D5">
              <w:rPr>
                <w:rFonts w:cs="Arial"/>
                <w:sz w:val="18"/>
                <w:szCs w:val="18"/>
                <w:lang w:val="en-GB"/>
              </w:rPr>
              <w:t>CSSA</w:t>
            </w:r>
          </w:p>
        </w:tc>
      </w:tr>
    </w:tbl>
    <w:p w:rsidR="008A03DE" w:rsidRPr="00CB09D5" w:rsidRDefault="008A03DE" w:rsidP="008A03DE">
      <w:pPr>
        <w:pStyle w:val="Textpoznpodarou"/>
        <w:jc w:val="both"/>
        <w:rPr>
          <w:rFonts w:cs="Arial"/>
          <w:color w:val="000000"/>
          <w:sz w:val="2"/>
          <w:szCs w:val="2"/>
          <w:lang w:val="en-GB"/>
        </w:rPr>
      </w:pPr>
    </w:p>
    <w:sectPr w:rsidR="008A03DE" w:rsidRPr="00CB09D5" w:rsidSect="00111303">
      <w:headerReference w:type="even" r:id="rId13"/>
      <w:headerReference w:type="default" r:id="rId14"/>
      <w:footerReference w:type="even" r:id="rId15"/>
      <w:footerReference w:type="default" r:id="rId16"/>
      <w:type w:val="continuous"/>
      <w:pgSz w:w="11906" w:h="16838" w:code="9"/>
      <w:pgMar w:top="1134" w:right="1134" w:bottom="1418" w:left="1134" w:header="680" w:footer="680"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6DD" w:rsidRDefault="002376DD" w:rsidP="00E71A58">
      <w:r>
        <w:separator/>
      </w:r>
    </w:p>
  </w:endnote>
  <w:endnote w:type="continuationSeparator" w:id="0">
    <w:p w:rsidR="002376DD" w:rsidRDefault="002376DD"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0A7C02"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2100E1" w:rsidRPr="005A21E0">
      <w:rPr>
        <w:rFonts w:ascii="Arial" w:hAnsi="Arial" w:cs="Arial"/>
        <w:sz w:val="16"/>
        <w:szCs w:val="16"/>
      </w:rPr>
      <w:fldChar w:fldCharType="begin"/>
    </w:r>
    <w:r w:rsidRPr="005A21E0">
      <w:rPr>
        <w:rFonts w:ascii="Arial" w:hAnsi="Arial" w:cs="Arial"/>
        <w:sz w:val="16"/>
        <w:szCs w:val="16"/>
      </w:rPr>
      <w:instrText>PAGE   \* MERGEFORMAT</w:instrText>
    </w:r>
    <w:r w:rsidR="002100E1" w:rsidRPr="005A21E0">
      <w:rPr>
        <w:rFonts w:ascii="Arial" w:hAnsi="Arial" w:cs="Arial"/>
        <w:sz w:val="16"/>
        <w:szCs w:val="16"/>
      </w:rPr>
      <w:fldChar w:fldCharType="separate"/>
    </w:r>
    <w:r w:rsidR="00111303">
      <w:rPr>
        <w:rFonts w:ascii="Arial" w:hAnsi="Arial" w:cs="Arial"/>
        <w:noProof/>
        <w:sz w:val="16"/>
        <w:szCs w:val="16"/>
      </w:rPr>
      <w:t>26</w:t>
    </w:r>
    <w:r w:rsidR="002100E1"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9743B9" w:rsidP="00357449">
    <w:pPr>
      <w:pStyle w:val="Zpat"/>
      <w:tabs>
        <w:tab w:val="clear" w:pos="4536"/>
        <w:tab w:val="clear" w:pos="9072"/>
        <w:tab w:val="left" w:pos="1134"/>
        <w:tab w:val="left" w:pos="1920"/>
        <w:tab w:val="center" w:pos="4820"/>
        <w:tab w:val="right" w:pos="9639"/>
      </w:tabs>
    </w:pPr>
    <w:r w:rsidRPr="009743B9">
      <w:rPr>
        <w:noProof/>
        <w:lang w:eastAsia="cs-CZ"/>
      </w:rPr>
      <w:drawing>
        <wp:anchor distT="0" distB="0" distL="114300" distR="114300" simplePos="0" relativeHeight="251662848" behindDoc="0" locked="0" layoutInCell="1" allowOverlap="1">
          <wp:simplePos x="0" y="0"/>
          <wp:positionH relativeFrom="column">
            <wp:posOffset>35560</wp:posOffset>
          </wp:positionH>
          <wp:positionV relativeFrom="paragraph">
            <wp:posOffset>155575</wp:posOffset>
          </wp:positionV>
          <wp:extent cx="692150" cy="203200"/>
          <wp:effectExtent l="19050" t="0" r="0" b="0"/>
          <wp:wrapNone/>
          <wp:docPr id="6"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2150" cy="203200"/>
                  </a:xfrm>
                  <a:prstGeom prst="rect">
                    <a:avLst/>
                  </a:prstGeom>
                  <a:noFill/>
                  <a:ln w="9525">
                    <a:noFill/>
                    <a:miter lim="800000"/>
                    <a:headEnd/>
                    <a:tailEnd/>
                  </a:ln>
                </pic:spPr>
              </pic:pic>
            </a:graphicData>
          </a:graphic>
        </wp:anchor>
      </w:drawing>
    </w:r>
    <w:r w:rsidR="000A7C02">
      <w:tab/>
    </w:r>
    <w:r w:rsidR="000A7C02">
      <w:tab/>
    </w:r>
    <w:r w:rsidR="000A7C02" w:rsidRPr="00DC5B3B">
      <w:t xml:space="preserve">                              </w:t>
    </w:r>
  </w:p>
  <w:p w:rsidR="000A7C02" w:rsidRPr="00223E00" w:rsidRDefault="000A7C0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2100E1"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2100E1" w:rsidRPr="00223E00">
      <w:rPr>
        <w:rFonts w:ascii="Arial" w:hAnsi="Arial" w:cs="Arial"/>
        <w:sz w:val="16"/>
        <w:szCs w:val="16"/>
      </w:rPr>
      <w:fldChar w:fldCharType="separate"/>
    </w:r>
    <w:r w:rsidR="00111303">
      <w:rPr>
        <w:rFonts w:ascii="Arial" w:hAnsi="Arial" w:cs="Arial"/>
        <w:noProof/>
        <w:sz w:val="16"/>
        <w:szCs w:val="16"/>
      </w:rPr>
      <w:t>25</w:t>
    </w:r>
    <w:r w:rsidR="002100E1"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6DD" w:rsidRDefault="002376DD" w:rsidP="00E71A58">
      <w:r>
        <w:separator/>
      </w:r>
    </w:p>
  </w:footnote>
  <w:footnote w:type="continuationSeparator" w:id="0">
    <w:p w:rsidR="002376DD" w:rsidRDefault="002376DD" w:rsidP="00E71A58">
      <w:r>
        <w:continuationSeparator/>
      </w:r>
    </w:p>
  </w:footnote>
  <w:footnote w:id="1">
    <w:p w:rsidR="000A7C02" w:rsidRPr="00B35F7F" w:rsidRDefault="000A7C02" w:rsidP="008A03DE">
      <w:pPr>
        <w:pStyle w:val="Textpoznpodarou"/>
        <w:jc w:val="both"/>
        <w:rPr>
          <w:sz w:val="16"/>
          <w:szCs w:val="16"/>
          <w:lang w:val="en-GB"/>
        </w:rPr>
      </w:pPr>
      <w:r w:rsidRPr="0055240C">
        <w:rPr>
          <w:rStyle w:val="Znakapoznpodarou"/>
          <w:sz w:val="16"/>
          <w:szCs w:val="16"/>
          <w:lang w:val="en-GB"/>
        </w:rPr>
        <w:footnoteRef/>
      </w:r>
      <w:r w:rsidRPr="0055240C">
        <w:rPr>
          <w:sz w:val="16"/>
          <w:szCs w:val="16"/>
          <w:lang w:val="en-GB"/>
        </w:rPr>
        <w:t xml:space="preserve"> </w:t>
      </w:r>
      <w:r w:rsidRPr="00B35F7F">
        <w:rPr>
          <w:sz w:val="16"/>
          <w:szCs w:val="16"/>
          <w:lang w:val="en-GB"/>
        </w:rPr>
        <w:t>State wide collection of tax income (i.e. at the level of all public</w:t>
      </w:r>
      <w:r>
        <w:rPr>
          <w:sz w:val="16"/>
          <w:szCs w:val="16"/>
          <w:lang w:val="en-GB"/>
        </w:rPr>
        <w:t xml:space="preserve"> budgets) increased even by 8.4</w:t>
      </w:r>
      <w:r w:rsidRPr="00B35F7F">
        <w:rPr>
          <w:sz w:val="16"/>
          <w:szCs w:val="16"/>
          <w:lang w:val="en-GB"/>
        </w:rPr>
        <w:t>% compared to year 2015. Tax income of the SB itself were negatively affected by the change of the budget</w:t>
      </w:r>
      <w:r>
        <w:rPr>
          <w:sz w:val="16"/>
          <w:szCs w:val="16"/>
          <w:lang w:val="en-GB"/>
        </w:rPr>
        <w:t xml:space="preserve"> distribution scheme of taxes</w:t>
      </w:r>
      <w:r w:rsidRPr="00B35F7F">
        <w:rPr>
          <w:sz w:val="16"/>
          <w:szCs w:val="16"/>
          <w:lang w:val="en-GB"/>
        </w:rPr>
        <w:t xml:space="preserve"> last year, </w:t>
      </w:r>
      <w:r w:rsidRPr="00B35F7F">
        <w:rPr>
          <w:rFonts w:cs="Arial"/>
          <w:color w:val="000000"/>
          <w:spacing w:val="-2"/>
          <w:sz w:val="16"/>
          <w:szCs w:val="16"/>
          <w:lang w:val="en-GB"/>
        </w:rPr>
        <w:t>when the proportion of the S</w:t>
      </w:r>
      <w:r>
        <w:rPr>
          <w:rFonts w:cs="Arial"/>
          <w:color w:val="000000"/>
          <w:spacing w:val="-2"/>
          <w:sz w:val="16"/>
          <w:szCs w:val="16"/>
          <w:lang w:val="en-GB"/>
        </w:rPr>
        <w:t>B</w:t>
      </w:r>
      <w:r w:rsidRPr="00B35F7F">
        <w:rPr>
          <w:rFonts w:cs="Arial"/>
          <w:color w:val="000000"/>
          <w:spacing w:val="-2"/>
          <w:sz w:val="16"/>
          <w:szCs w:val="16"/>
          <w:lang w:val="en-GB"/>
        </w:rPr>
        <w:t xml:space="preserve"> on the state-wide collection decreased roughly by 1 p.p., both for the VAT and the </w:t>
      </w:r>
      <w:r w:rsidRPr="002B1AA2">
        <w:rPr>
          <w:rFonts w:cs="Arial"/>
          <w:color w:val="000000"/>
          <w:spacing w:val="-2"/>
          <w:sz w:val="16"/>
          <w:szCs w:val="16"/>
          <w:lang w:val="en-GB"/>
        </w:rPr>
        <w:t>income taxes of natural persons (ITNP</w:t>
      </w:r>
      <w:r>
        <w:rPr>
          <w:rFonts w:cs="Arial"/>
          <w:color w:val="000000"/>
          <w:spacing w:val="-2"/>
          <w:sz w:val="16"/>
          <w:szCs w:val="16"/>
          <w:lang w:val="en-GB"/>
        </w:rPr>
        <w:t xml:space="preserve">) from dependent activity. </w:t>
      </w:r>
    </w:p>
  </w:footnote>
  <w:footnote w:id="2">
    <w:p w:rsidR="000A7C02" w:rsidRPr="00B35F7F" w:rsidRDefault="000A7C02" w:rsidP="008A03DE">
      <w:pPr>
        <w:autoSpaceDE w:val="0"/>
        <w:autoSpaceDN w:val="0"/>
        <w:adjustRightInd w:val="0"/>
        <w:spacing w:line="240" w:lineRule="auto"/>
        <w:jc w:val="both"/>
        <w:rPr>
          <w:rFonts w:cs="Arial"/>
          <w:sz w:val="16"/>
          <w:szCs w:val="16"/>
          <w:lang w:val="en-GB"/>
        </w:rPr>
      </w:pPr>
      <w:r w:rsidRPr="00B35F7F">
        <w:rPr>
          <w:rStyle w:val="Znakapoznpodarou"/>
          <w:sz w:val="16"/>
          <w:szCs w:val="16"/>
          <w:lang w:val="en-GB"/>
        </w:rPr>
        <w:footnoteRef/>
      </w:r>
      <w:r w:rsidRPr="00B35F7F">
        <w:rPr>
          <w:sz w:val="16"/>
          <w:szCs w:val="16"/>
          <w:lang w:val="en-GB"/>
        </w:rPr>
        <w:t xml:space="preserve"> </w:t>
      </w:r>
      <w:proofErr w:type="gramStart"/>
      <w:r w:rsidRPr="00B35F7F">
        <w:rPr>
          <w:sz w:val="16"/>
          <w:szCs w:val="16"/>
          <w:lang w:val="en-GB"/>
        </w:rPr>
        <w:t xml:space="preserve">Total consumption of </w:t>
      </w:r>
      <w:r>
        <w:rPr>
          <w:sz w:val="16"/>
          <w:szCs w:val="16"/>
          <w:lang w:val="en-GB"/>
        </w:rPr>
        <w:t>diesel oil increased by 4.0</w:t>
      </w:r>
      <w:r w:rsidRPr="00B35F7F">
        <w:rPr>
          <w:sz w:val="16"/>
          <w:szCs w:val="16"/>
          <w:lang w:val="en-GB"/>
        </w:rPr>
        <w:t>% fro</w:t>
      </w:r>
      <w:r>
        <w:rPr>
          <w:sz w:val="16"/>
          <w:szCs w:val="16"/>
          <w:lang w:val="en-GB"/>
        </w:rPr>
        <w:t>m January till November 2016 (in case of motor gasoline by 1.7</w:t>
      </w:r>
      <w:r w:rsidRPr="00B35F7F">
        <w:rPr>
          <w:sz w:val="16"/>
          <w:szCs w:val="16"/>
          <w:lang w:val="en-GB"/>
        </w:rPr>
        <w:t>%</w:t>
      </w:r>
      <w:r>
        <w:rPr>
          <w:sz w:val="16"/>
          <w:szCs w:val="16"/>
          <w:lang w:val="en-GB"/>
        </w:rPr>
        <w:t>)</w:t>
      </w:r>
      <w:r w:rsidRPr="00B35F7F">
        <w:rPr>
          <w:sz w:val="16"/>
          <w:szCs w:val="16"/>
          <w:lang w:val="en-GB"/>
        </w:rPr>
        <w:t>.</w:t>
      </w:r>
      <w:proofErr w:type="gramEnd"/>
      <w:r w:rsidRPr="00B35F7F">
        <w:rPr>
          <w:sz w:val="16"/>
          <w:szCs w:val="16"/>
          <w:lang w:val="en-GB"/>
        </w:rPr>
        <w:t xml:space="preserve"> </w:t>
      </w:r>
      <w:r>
        <w:rPr>
          <w:sz w:val="16"/>
          <w:szCs w:val="16"/>
          <w:lang w:val="en-GB"/>
        </w:rPr>
        <w:t>Due to the lowering of support of green and high percentage biofuels in transport (since year 2016) it can be assumed</w:t>
      </w:r>
      <w:r w:rsidRPr="00B35F7F">
        <w:rPr>
          <w:rFonts w:cs="Arial"/>
          <w:sz w:val="16"/>
          <w:szCs w:val="16"/>
          <w:lang w:val="en-GB"/>
        </w:rPr>
        <w:t xml:space="preserve">, that part of the consumption transferred to more taxed automotive fuels. Consumer prices of automotive fuels </w:t>
      </w:r>
      <w:proofErr w:type="gramStart"/>
      <w:r w:rsidRPr="00B35F7F">
        <w:rPr>
          <w:rFonts w:cs="Arial"/>
          <w:sz w:val="16"/>
          <w:szCs w:val="16"/>
          <w:lang w:val="en-GB"/>
        </w:rPr>
        <w:t>hovered</w:t>
      </w:r>
      <w:proofErr w:type="gramEnd"/>
      <w:r w:rsidRPr="00B35F7F">
        <w:rPr>
          <w:rFonts w:cs="Arial"/>
          <w:sz w:val="16"/>
          <w:szCs w:val="16"/>
          <w:lang w:val="en-GB"/>
        </w:rPr>
        <w:t xml:space="preserve"> the lowest since the deep recession (2009) in eleven months of the last year. </w:t>
      </w:r>
    </w:p>
  </w:footnote>
  <w:footnote w:id="3">
    <w:p w:rsidR="000A7C02" w:rsidRPr="00B243A3" w:rsidRDefault="000A7C02" w:rsidP="00B243A3">
      <w:pPr>
        <w:pStyle w:val="Textpoznpodarou"/>
        <w:jc w:val="both"/>
        <w:rPr>
          <w:sz w:val="16"/>
          <w:szCs w:val="16"/>
          <w:lang w:val="en-GB"/>
        </w:rPr>
      </w:pPr>
      <w:r w:rsidRPr="00401D00">
        <w:rPr>
          <w:rStyle w:val="Znakapoznpodarou"/>
          <w:sz w:val="16"/>
          <w:szCs w:val="16"/>
        </w:rPr>
        <w:footnoteRef/>
      </w:r>
      <w:r w:rsidRPr="00401D00">
        <w:rPr>
          <w:sz w:val="16"/>
          <w:szCs w:val="16"/>
        </w:rPr>
        <w:t xml:space="preserve"> </w:t>
      </w:r>
      <w:r w:rsidRPr="00B243A3">
        <w:rPr>
          <w:sz w:val="16"/>
          <w:szCs w:val="16"/>
          <w:lang w:val="en-GB"/>
        </w:rPr>
        <w:t xml:space="preserve">The sharp year-on-year fall of collection (by more than one third) in the crisis year </w:t>
      </w:r>
      <w:r>
        <w:rPr>
          <w:sz w:val="16"/>
          <w:szCs w:val="16"/>
          <w:lang w:val="en-GB"/>
        </w:rPr>
        <w:t xml:space="preserve">2009 </w:t>
      </w:r>
      <w:r w:rsidRPr="00B243A3">
        <w:rPr>
          <w:sz w:val="16"/>
          <w:szCs w:val="16"/>
          <w:lang w:val="en-GB"/>
        </w:rPr>
        <w:t>was the reason, the l</w:t>
      </w:r>
      <w:r>
        <w:rPr>
          <w:sz w:val="16"/>
          <w:szCs w:val="16"/>
          <w:lang w:val="en-GB"/>
        </w:rPr>
        <w:t>owering of the tax rate from 21% to 19</w:t>
      </w:r>
      <w:r w:rsidRPr="00B243A3">
        <w:rPr>
          <w:sz w:val="16"/>
          <w:szCs w:val="16"/>
          <w:lang w:val="en-GB"/>
        </w:rPr>
        <w:t xml:space="preserve">% in the period of years 2010 and 2011 also had an effect to a lesser extent. </w:t>
      </w:r>
    </w:p>
  </w:footnote>
  <w:footnote w:id="4">
    <w:p w:rsidR="000A7C02" w:rsidRPr="00B243A3" w:rsidRDefault="000A7C02" w:rsidP="00B243A3">
      <w:pPr>
        <w:pStyle w:val="Textpoznpodarou"/>
        <w:jc w:val="both"/>
        <w:rPr>
          <w:sz w:val="16"/>
          <w:szCs w:val="16"/>
          <w:lang w:val="en-GB"/>
        </w:rPr>
      </w:pPr>
      <w:r w:rsidRPr="00B243A3">
        <w:rPr>
          <w:rStyle w:val="Znakapoznpodarou"/>
          <w:sz w:val="16"/>
          <w:szCs w:val="16"/>
          <w:lang w:val="en-GB"/>
        </w:rPr>
        <w:footnoteRef/>
      </w:r>
      <w:r w:rsidRPr="00B243A3">
        <w:rPr>
          <w:sz w:val="16"/>
          <w:szCs w:val="16"/>
          <w:lang w:val="en-GB"/>
        </w:rPr>
        <w:t xml:space="preserve"> State-wide collection of </w:t>
      </w:r>
      <w:r>
        <w:rPr>
          <w:sz w:val="16"/>
          <w:szCs w:val="16"/>
          <w:lang w:val="en-GB"/>
        </w:rPr>
        <w:t>ITNP</w:t>
      </w:r>
      <w:r w:rsidRPr="00B243A3">
        <w:rPr>
          <w:sz w:val="16"/>
          <w:szCs w:val="16"/>
          <w:lang w:val="en-GB"/>
        </w:rPr>
        <w:t xml:space="preserve"> from dependent activity was negatively impacted by the legislative changes – it was especially </w:t>
      </w:r>
      <w:r>
        <w:rPr>
          <w:sz w:val="16"/>
          <w:szCs w:val="16"/>
          <w:lang w:val="en-GB"/>
        </w:rPr>
        <w:t>the</w:t>
      </w:r>
      <w:r w:rsidRPr="00B243A3">
        <w:rPr>
          <w:sz w:val="16"/>
          <w:szCs w:val="16"/>
          <w:lang w:val="en-GB"/>
        </w:rPr>
        <w:t xml:space="preserve"> further tax deductions on second and further child in the year-on-year comparison. It however represented only a marginal effect with respect to the growth of the economy. </w:t>
      </w:r>
    </w:p>
  </w:footnote>
  <w:footnote w:id="5">
    <w:p w:rsidR="000A7C02" w:rsidRPr="00377FE1" w:rsidRDefault="000A7C02" w:rsidP="00B243A3">
      <w:pPr>
        <w:pStyle w:val="Textpoznpodarou"/>
        <w:jc w:val="both"/>
        <w:rPr>
          <w:sz w:val="16"/>
          <w:szCs w:val="16"/>
          <w:lang w:val="en-GB"/>
        </w:rPr>
      </w:pPr>
      <w:r w:rsidRPr="009E2F88">
        <w:rPr>
          <w:rStyle w:val="Znakapoznpodarou"/>
          <w:sz w:val="16"/>
          <w:szCs w:val="16"/>
        </w:rPr>
        <w:footnoteRef/>
      </w:r>
      <w:r w:rsidRPr="009E2F88">
        <w:rPr>
          <w:sz w:val="16"/>
          <w:szCs w:val="16"/>
        </w:rPr>
        <w:t xml:space="preserve"> </w:t>
      </w:r>
      <w:r w:rsidRPr="00377FE1">
        <w:rPr>
          <w:sz w:val="16"/>
          <w:szCs w:val="16"/>
          <w:lang w:val="en-GB"/>
        </w:rPr>
        <w:t xml:space="preserve">54.3 </w:t>
      </w:r>
      <w:r>
        <w:rPr>
          <w:sz w:val="16"/>
          <w:szCs w:val="16"/>
          <w:lang w:val="en-GB"/>
        </w:rPr>
        <w:t>CZK bn</w:t>
      </w:r>
      <w:r w:rsidRPr="00377FE1">
        <w:rPr>
          <w:sz w:val="16"/>
          <w:szCs w:val="16"/>
          <w:lang w:val="en-GB"/>
        </w:rPr>
        <w:t xml:space="preserve"> was spent </w:t>
      </w:r>
      <w:r>
        <w:rPr>
          <w:sz w:val="16"/>
          <w:szCs w:val="16"/>
          <w:lang w:val="en-GB"/>
        </w:rPr>
        <w:t xml:space="preserve">in 2016 </w:t>
      </w:r>
      <w:r w:rsidRPr="00377FE1">
        <w:rPr>
          <w:sz w:val="16"/>
          <w:szCs w:val="16"/>
          <w:lang w:val="en-GB"/>
        </w:rPr>
        <w:t>on current as well as capital expenditure for common CR and EU programmes (excluding the common agricultural policy) according to the preliminary data (the budget expectation was 70 bn).</w:t>
      </w:r>
    </w:p>
  </w:footnote>
  <w:footnote w:id="6">
    <w:p w:rsidR="000A7C02" w:rsidRPr="00377FE1" w:rsidRDefault="000A7C02" w:rsidP="00B243A3">
      <w:pPr>
        <w:pStyle w:val="Textpoznpodarou"/>
        <w:jc w:val="both"/>
        <w:rPr>
          <w:sz w:val="16"/>
          <w:szCs w:val="16"/>
          <w:lang w:val="en-GB"/>
        </w:rPr>
      </w:pPr>
      <w:r w:rsidRPr="00377FE1">
        <w:rPr>
          <w:rStyle w:val="Znakapoznpodarou"/>
          <w:sz w:val="16"/>
          <w:szCs w:val="16"/>
          <w:lang w:val="en-GB"/>
        </w:rPr>
        <w:footnoteRef/>
      </w:r>
      <w:r w:rsidRPr="00377FE1">
        <w:rPr>
          <w:sz w:val="16"/>
          <w:szCs w:val="16"/>
          <w:lang w:val="en-GB"/>
        </w:rPr>
        <w:t xml:space="preserve"> The share of investment on the SB </w:t>
      </w:r>
      <w:r>
        <w:rPr>
          <w:sz w:val="16"/>
          <w:szCs w:val="16"/>
          <w:lang w:val="en-GB"/>
        </w:rPr>
        <w:t>expenditure was on average 10.2</w:t>
      </w:r>
      <w:r w:rsidRPr="00377FE1">
        <w:rPr>
          <w:sz w:val="16"/>
          <w:szCs w:val="16"/>
          <w:lang w:val="en-GB"/>
        </w:rPr>
        <w:t>% during the period 2015</w:t>
      </w:r>
      <w:r w:rsidRPr="00377FE1">
        <w:rPr>
          <w:rFonts w:cs="Arial"/>
          <w:color w:val="0D0D0D" w:themeColor="text1" w:themeTint="F2"/>
          <w:spacing w:val="-4"/>
          <w:sz w:val="16"/>
          <w:szCs w:val="16"/>
          <w:lang w:val="en-GB"/>
        </w:rPr>
        <w:t>–</w:t>
      </w:r>
      <w:r w:rsidRPr="00377FE1">
        <w:rPr>
          <w:sz w:val="16"/>
          <w:szCs w:val="16"/>
          <w:lang w:val="en-GB"/>
        </w:rPr>
        <w:t>2016, similarly to the preceding decade (2005</w:t>
      </w:r>
      <w:r w:rsidRPr="00377FE1">
        <w:rPr>
          <w:rFonts w:cs="Arial"/>
          <w:color w:val="0D0D0D" w:themeColor="text1" w:themeTint="F2"/>
          <w:spacing w:val="-4"/>
          <w:sz w:val="16"/>
          <w:szCs w:val="16"/>
          <w:lang w:val="en-GB"/>
        </w:rPr>
        <w:t>–</w:t>
      </w:r>
      <w:r w:rsidRPr="00377FE1">
        <w:rPr>
          <w:sz w:val="16"/>
          <w:szCs w:val="16"/>
          <w:lang w:val="en-GB"/>
        </w:rPr>
        <w:t xml:space="preserve">2014). </w:t>
      </w:r>
    </w:p>
  </w:footnote>
  <w:footnote w:id="7">
    <w:p w:rsidR="000A7C02" w:rsidRPr="00C42714" w:rsidRDefault="000A7C02" w:rsidP="00C42714">
      <w:pPr>
        <w:pStyle w:val="Textpoznpodarou"/>
        <w:jc w:val="both"/>
        <w:rPr>
          <w:rFonts w:cs="Arial"/>
          <w:sz w:val="16"/>
          <w:szCs w:val="16"/>
          <w:lang w:val="en-GB"/>
        </w:rPr>
      </w:pPr>
      <w:r w:rsidRPr="009675CE">
        <w:rPr>
          <w:rStyle w:val="Znakapoznpodarou"/>
          <w:rFonts w:cs="Arial"/>
          <w:sz w:val="16"/>
          <w:szCs w:val="16"/>
        </w:rPr>
        <w:footnoteRef/>
      </w:r>
      <w:r w:rsidRPr="009675CE">
        <w:rPr>
          <w:rFonts w:cs="Arial"/>
          <w:sz w:val="16"/>
          <w:szCs w:val="16"/>
        </w:rPr>
        <w:t xml:space="preserve"> </w:t>
      </w:r>
      <w:r w:rsidRPr="00C42714">
        <w:rPr>
          <w:rFonts w:cs="Arial"/>
          <w:sz w:val="16"/>
          <w:szCs w:val="16"/>
          <w:lang w:val="en-GB"/>
        </w:rPr>
        <w:t>Starting January 2015, the full adjustment of pensions returned. They again fully reflect with the current adjustment scheme the increase of the consumer prices and further 1/3 of the increase of the real wage.</w:t>
      </w:r>
    </w:p>
  </w:footnote>
  <w:footnote w:id="8">
    <w:p w:rsidR="000A7C02" w:rsidRPr="00C42714" w:rsidRDefault="000A7C02" w:rsidP="00C42714">
      <w:pPr>
        <w:pStyle w:val="Textpoznpodarou"/>
        <w:jc w:val="both"/>
        <w:rPr>
          <w:sz w:val="16"/>
          <w:szCs w:val="16"/>
          <w:lang w:val="en-GB"/>
        </w:rPr>
      </w:pPr>
      <w:r w:rsidRPr="00C42714">
        <w:rPr>
          <w:rStyle w:val="Znakapoznpodarou"/>
          <w:sz w:val="16"/>
          <w:szCs w:val="16"/>
          <w:lang w:val="en-GB"/>
        </w:rPr>
        <w:footnoteRef/>
      </w:r>
      <w:r w:rsidRPr="00C42714">
        <w:rPr>
          <w:sz w:val="16"/>
          <w:szCs w:val="16"/>
          <w:lang w:val="en-GB"/>
        </w:rPr>
        <w:t xml:space="preserve"> Inflow of the speculative capital in connection with the nearing end of the </w:t>
      </w:r>
      <w:r>
        <w:rPr>
          <w:sz w:val="16"/>
          <w:szCs w:val="16"/>
          <w:lang w:val="en-GB"/>
        </w:rPr>
        <w:t>e</w:t>
      </w:r>
      <w:r w:rsidRPr="00C42714">
        <w:rPr>
          <w:sz w:val="16"/>
          <w:szCs w:val="16"/>
          <w:lang w:val="en-GB"/>
        </w:rPr>
        <w:t xml:space="preserve">xchange rate commitment of the CNB at the beginning of 2017 accelerated. Non-residents owned Czech bonds already in the amount of 538.8 </w:t>
      </w:r>
      <w:r>
        <w:rPr>
          <w:sz w:val="16"/>
          <w:szCs w:val="16"/>
          <w:lang w:val="en-GB"/>
        </w:rPr>
        <w:t>CZK bn</w:t>
      </w:r>
      <w:r w:rsidRPr="00C42714">
        <w:rPr>
          <w:sz w:val="16"/>
          <w:szCs w:val="16"/>
          <w:lang w:val="en-GB"/>
        </w:rPr>
        <w:t xml:space="preserve"> at</w:t>
      </w:r>
      <w:r>
        <w:rPr>
          <w:sz w:val="16"/>
          <w:szCs w:val="16"/>
          <w:lang w:val="en-GB"/>
        </w:rPr>
        <w:t xml:space="preserve"> the end of January, resp. 38.7</w:t>
      </w:r>
      <w:r w:rsidRPr="00C42714">
        <w:rPr>
          <w:sz w:val="16"/>
          <w:szCs w:val="16"/>
          <w:lang w:val="en-GB"/>
        </w:rPr>
        <w:t xml:space="preserve">% of value of all crown bonds. </w:t>
      </w:r>
    </w:p>
  </w:footnote>
  <w:footnote w:id="9">
    <w:p w:rsidR="000A7C02" w:rsidRPr="00C42714" w:rsidRDefault="000A7C02" w:rsidP="00C42714">
      <w:pPr>
        <w:pStyle w:val="Textpoznpodarou"/>
        <w:jc w:val="both"/>
        <w:rPr>
          <w:rFonts w:cs="Arial"/>
          <w:color w:val="0D0D0D" w:themeColor="text1" w:themeTint="F2"/>
          <w:sz w:val="16"/>
          <w:szCs w:val="16"/>
          <w:lang w:val="en-GB"/>
        </w:rPr>
      </w:pPr>
      <w:r w:rsidRPr="00C42714">
        <w:rPr>
          <w:rStyle w:val="Znakapoznpodarou"/>
          <w:color w:val="0D0D0D" w:themeColor="text1" w:themeTint="F2"/>
          <w:sz w:val="16"/>
          <w:lang w:val="en-GB"/>
        </w:rPr>
        <w:footnoteRef/>
      </w:r>
      <w:r w:rsidRPr="00C42714">
        <w:rPr>
          <w:color w:val="0D0D0D" w:themeColor="text1" w:themeTint="F2"/>
          <w:sz w:val="16"/>
          <w:lang w:val="en-GB"/>
        </w:rPr>
        <w:t xml:space="preserve"> Debt of the sector of government institutions includes apart from the central government institutions also the budget of the regional governments or health insurance companies. Preliminary data regarding the debt and deficit of the government institutions sector for the whole year 2016 will be published by the CZSO on 4</w:t>
      </w:r>
      <w:r w:rsidRPr="00C42714">
        <w:rPr>
          <w:color w:val="0D0D0D" w:themeColor="text1" w:themeTint="F2"/>
          <w:sz w:val="16"/>
          <w:vertAlign w:val="superscript"/>
          <w:lang w:val="en-GB"/>
        </w:rPr>
        <w:t>th</w:t>
      </w:r>
      <w:r w:rsidRPr="00C42714">
        <w:rPr>
          <w:color w:val="0D0D0D" w:themeColor="text1" w:themeTint="F2"/>
          <w:sz w:val="16"/>
          <w:lang w:val="en-GB"/>
        </w:rPr>
        <w:t xml:space="preserve"> April 2017 (by Eurostat then on 24</w:t>
      </w:r>
      <w:r w:rsidRPr="00E4152B">
        <w:rPr>
          <w:color w:val="0D0D0D" w:themeColor="text1" w:themeTint="F2"/>
          <w:sz w:val="16"/>
          <w:vertAlign w:val="superscript"/>
          <w:lang w:val="en-GB"/>
        </w:rPr>
        <w:t>th</w:t>
      </w:r>
      <w:r w:rsidRPr="00C42714">
        <w:rPr>
          <w:color w:val="0D0D0D" w:themeColor="text1" w:themeTint="F2"/>
          <w:sz w:val="16"/>
          <w:lang w:val="en-GB"/>
        </w:rPr>
        <w:t xml:space="preserve"> April). </w:t>
      </w:r>
    </w:p>
  </w:footnote>
  <w:footnote w:id="10">
    <w:p w:rsidR="000A7C02" w:rsidRPr="00AE76E4" w:rsidRDefault="000A7C02" w:rsidP="001E59D5">
      <w:pPr>
        <w:pStyle w:val="Textpoznpodarou"/>
        <w:jc w:val="both"/>
        <w:rPr>
          <w:color w:val="0D0D0D" w:themeColor="text1" w:themeTint="F2"/>
          <w:sz w:val="16"/>
          <w:szCs w:val="16"/>
          <w:lang w:val="en-GB"/>
        </w:rPr>
      </w:pPr>
      <w:r w:rsidRPr="00AE76E4">
        <w:rPr>
          <w:rStyle w:val="Znakapoznpodarou"/>
          <w:color w:val="0D0D0D" w:themeColor="text1" w:themeTint="F2"/>
          <w:sz w:val="16"/>
          <w:lang w:val="en-GB"/>
        </w:rPr>
        <w:footnoteRef/>
      </w:r>
      <w:r w:rsidRPr="00AE76E4">
        <w:rPr>
          <w:color w:val="0D0D0D" w:themeColor="text1" w:themeTint="F2"/>
          <w:sz w:val="16"/>
          <w:lang w:val="en-GB"/>
        </w:rPr>
        <w:t xml:space="preserve"> </w:t>
      </w:r>
      <w:proofErr w:type="gramStart"/>
      <w:r w:rsidRPr="00AE76E4">
        <w:rPr>
          <w:color w:val="0D0D0D" w:themeColor="text1" w:themeTint="F2"/>
          <w:sz w:val="16"/>
          <w:lang w:val="en-GB"/>
        </w:rPr>
        <w:t>S</w:t>
      </w:r>
      <w:r>
        <w:rPr>
          <w:color w:val="0D0D0D" w:themeColor="text1" w:themeTint="F2"/>
          <w:sz w:val="16"/>
          <w:lang w:val="en-GB"/>
        </w:rPr>
        <w:t xml:space="preserve">tates, where the debt of the government institution sector exceeded 95% of GDP last year </w:t>
      </w:r>
      <w:r w:rsidRPr="00AE76E4">
        <w:rPr>
          <w:color w:val="0D0D0D" w:themeColor="text1" w:themeTint="F2"/>
          <w:sz w:val="16"/>
          <w:lang w:val="en-GB"/>
        </w:rPr>
        <w:t>(</w:t>
      </w:r>
      <w:r>
        <w:rPr>
          <w:color w:val="0D0D0D" w:themeColor="text1" w:themeTint="F2"/>
          <w:sz w:val="16"/>
          <w:lang w:val="en-GB"/>
        </w:rPr>
        <w:t>Greece, Portugal, Italy, Cyprus, Belgium, Spain and France</w:t>
      </w:r>
      <w:r w:rsidRPr="00AE76E4">
        <w:rPr>
          <w:color w:val="0D0D0D" w:themeColor="text1" w:themeTint="F2"/>
          <w:sz w:val="16"/>
          <w:lang w:val="en-GB"/>
        </w:rPr>
        <w:t>).</w:t>
      </w:r>
      <w:proofErr w:type="gramEnd"/>
    </w:p>
  </w:footnote>
  <w:footnote w:id="11">
    <w:p w:rsidR="000A7C02" w:rsidRPr="00AE76E4" w:rsidRDefault="000A7C02" w:rsidP="001E59D5">
      <w:pPr>
        <w:pStyle w:val="Textpoznpodarou"/>
        <w:jc w:val="both"/>
        <w:rPr>
          <w:sz w:val="16"/>
          <w:szCs w:val="16"/>
          <w:lang w:val="en-GB"/>
        </w:rPr>
      </w:pPr>
      <w:r w:rsidRPr="00AE76E4">
        <w:rPr>
          <w:rStyle w:val="Znakapoznpodarou"/>
          <w:color w:val="0D0D0D" w:themeColor="text1" w:themeTint="F2"/>
          <w:sz w:val="16"/>
          <w:lang w:val="en-GB"/>
        </w:rPr>
        <w:footnoteRef/>
      </w:r>
      <w:r w:rsidRPr="00AE76E4">
        <w:rPr>
          <w:color w:val="0D0D0D" w:themeColor="text1" w:themeTint="F2"/>
          <w:sz w:val="16"/>
          <w:lang w:val="en-GB"/>
        </w:rPr>
        <w:t xml:space="preserve"> </w:t>
      </w:r>
      <w:r>
        <w:rPr>
          <w:color w:val="0D0D0D" w:themeColor="text1" w:themeTint="F2"/>
          <w:sz w:val="16"/>
          <w:lang w:val="en-GB"/>
        </w:rPr>
        <w:t>Indicators of the budget balance and the government institutions debt are based on the accrual principle. According to this principle, incomes and expenditures are assigned to the period, to which they are connected by type, i.e. regardless of the period of occurrence of the cash flow (as it is in case of the cash fulfilment</w:t>
      </w:r>
      <w:r w:rsidRPr="00AE76E4">
        <w:rPr>
          <w:color w:val="0D0D0D" w:themeColor="text1" w:themeTint="F2"/>
          <w:sz w:val="16"/>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F7A39" w:rsidRDefault="000A7C02" w:rsidP="007F7A39">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p w:rsidR="000A7C02" w:rsidRPr="007F7A39" w:rsidRDefault="000A7C02" w:rsidP="007F7A39">
    <w:pPr>
      <w:pStyle w:val="Zhlav"/>
      <w:rPr>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859BB" w:rsidRDefault="000A7C02" w:rsidP="007859BB">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286E7B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1AB00F93"/>
    <w:multiLevelType w:val="hybridMultilevel"/>
    <w:tmpl w:val="8926027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6320703"/>
    <w:multiLevelType w:val="hybridMultilevel"/>
    <w:tmpl w:val="9CB2DAE6"/>
    <w:lvl w:ilvl="0" w:tplc="45ECC748">
      <w:start w:val="6"/>
      <w:numFmt w:val="decimal"/>
      <w:lvlText w:val="%1."/>
      <w:lvlJc w:val="left"/>
      <w:pPr>
        <w:ind w:left="468"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255FDC"/>
    <w:multiLevelType w:val="hybridMultilevel"/>
    <w:tmpl w:val="14EC1500"/>
    <w:lvl w:ilvl="0" w:tplc="DAC09A1E">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4"/>
  </w:num>
  <w:num w:numId="2">
    <w:abstractNumId w:val="20"/>
  </w:num>
  <w:num w:numId="3">
    <w:abstractNumId w:val="10"/>
  </w:num>
  <w:num w:numId="4">
    <w:abstractNumId w:val="18"/>
  </w:num>
  <w:num w:numId="5">
    <w:abstractNumId w:val="11"/>
  </w:num>
  <w:num w:numId="6">
    <w:abstractNumId w:val="15"/>
  </w:num>
  <w:num w:numId="7">
    <w:abstractNumId w:val="3"/>
  </w:num>
  <w:num w:numId="8">
    <w:abstractNumId w:val="9"/>
  </w:num>
  <w:num w:numId="9">
    <w:abstractNumId w:val="17"/>
  </w:num>
  <w:num w:numId="10">
    <w:abstractNumId w:val="2"/>
  </w:num>
  <w:num w:numId="11">
    <w:abstractNumId w:val="8"/>
  </w:num>
  <w:num w:numId="12">
    <w:abstractNumId w:val="1"/>
  </w:num>
  <w:num w:numId="13">
    <w:abstractNumId w:val="7"/>
  </w:num>
  <w:num w:numId="14">
    <w:abstractNumId w:val="0"/>
  </w:num>
  <w:num w:numId="15">
    <w:abstractNumId w:val="16"/>
  </w:num>
  <w:num w:numId="16">
    <w:abstractNumId w:val="12"/>
  </w:num>
  <w:num w:numId="17">
    <w:abstractNumId w:val="5"/>
  </w:num>
  <w:num w:numId="18">
    <w:abstractNumId w:val="19"/>
  </w:num>
  <w:num w:numId="19">
    <w:abstractNumId w:val="13"/>
  </w:num>
  <w:num w:numId="20">
    <w:abstractNumId w:val="6"/>
  </w:num>
  <w:num w:numId="2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B70BD"/>
    <w:rsid w:val="00000FA7"/>
    <w:rsid w:val="00001EFF"/>
    <w:rsid w:val="00003687"/>
    <w:rsid w:val="00003C43"/>
    <w:rsid w:val="00004CAA"/>
    <w:rsid w:val="00004EB0"/>
    <w:rsid w:val="00005BC0"/>
    <w:rsid w:val="000065B8"/>
    <w:rsid w:val="000065F9"/>
    <w:rsid w:val="00006FF3"/>
    <w:rsid w:val="00007498"/>
    <w:rsid w:val="0000767A"/>
    <w:rsid w:val="00007C85"/>
    <w:rsid w:val="000101F5"/>
    <w:rsid w:val="000104B9"/>
    <w:rsid w:val="00010702"/>
    <w:rsid w:val="00010770"/>
    <w:rsid w:val="00011191"/>
    <w:rsid w:val="0001159B"/>
    <w:rsid w:val="000117CA"/>
    <w:rsid w:val="00011C90"/>
    <w:rsid w:val="00012986"/>
    <w:rsid w:val="00013E59"/>
    <w:rsid w:val="00014028"/>
    <w:rsid w:val="00015195"/>
    <w:rsid w:val="0001519F"/>
    <w:rsid w:val="0001572B"/>
    <w:rsid w:val="0001573E"/>
    <w:rsid w:val="000157DA"/>
    <w:rsid w:val="0001589D"/>
    <w:rsid w:val="00016033"/>
    <w:rsid w:val="000162DB"/>
    <w:rsid w:val="00016315"/>
    <w:rsid w:val="00017F05"/>
    <w:rsid w:val="00020137"/>
    <w:rsid w:val="000202C6"/>
    <w:rsid w:val="00020946"/>
    <w:rsid w:val="00021E93"/>
    <w:rsid w:val="0002203C"/>
    <w:rsid w:val="00022081"/>
    <w:rsid w:val="0002292C"/>
    <w:rsid w:val="00022B41"/>
    <w:rsid w:val="00023FB5"/>
    <w:rsid w:val="0002434F"/>
    <w:rsid w:val="00024887"/>
    <w:rsid w:val="00024CBA"/>
    <w:rsid w:val="00025501"/>
    <w:rsid w:val="00025532"/>
    <w:rsid w:val="00026998"/>
    <w:rsid w:val="00026B06"/>
    <w:rsid w:val="000304C4"/>
    <w:rsid w:val="0003066A"/>
    <w:rsid w:val="00030BF0"/>
    <w:rsid w:val="00030F14"/>
    <w:rsid w:val="000311C5"/>
    <w:rsid w:val="00032838"/>
    <w:rsid w:val="00032C12"/>
    <w:rsid w:val="00032E0C"/>
    <w:rsid w:val="00035CCF"/>
    <w:rsid w:val="00035FC6"/>
    <w:rsid w:val="0003705E"/>
    <w:rsid w:val="00037667"/>
    <w:rsid w:val="00037961"/>
    <w:rsid w:val="00040682"/>
    <w:rsid w:val="0004075D"/>
    <w:rsid w:val="000411E1"/>
    <w:rsid w:val="00041E9C"/>
    <w:rsid w:val="00043C68"/>
    <w:rsid w:val="00043E05"/>
    <w:rsid w:val="0004694F"/>
    <w:rsid w:val="000500DC"/>
    <w:rsid w:val="0005025B"/>
    <w:rsid w:val="000509FD"/>
    <w:rsid w:val="0005171C"/>
    <w:rsid w:val="00051ADE"/>
    <w:rsid w:val="00052052"/>
    <w:rsid w:val="00052172"/>
    <w:rsid w:val="000534FD"/>
    <w:rsid w:val="00053CBA"/>
    <w:rsid w:val="000541D1"/>
    <w:rsid w:val="00054BB5"/>
    <w:rsid w:val="00054E43"/>
    <w:rsid w:val="00055059"/>
    <w:rsid w:val="000553E4"/>
    <w:rsid w:val="0005599E"/>
    <w:rsid w:val="0005670F"/>
    <w:rsid w:val="000567FA"/>
    <w:rsid w:val="00056A90"/>
    <w:rsid w:val="00056B26"/>
    <w:rsid w:val="00057708"/>
    <w:rsid w:val="00057C16"/>
    <w:rsid w:val="00060F26"/>
    <w:rsid w:val="00062D43"/>
    <w:rsid w:val="00062EC5"/>
    <w:rsid w:val="00064256"/>
    <w:rsid w:val="0006708D"/>
    <w:rsid w:val="000671C7"/>
    <w:rsid w:val="00067531"/>
    <w:rsid w:val="00067684"/>
    <w:rsid w:val="000706A4"/>
    <w:rsid w:val="00070A0C"/>
    <w:rsid w:val="0007104B"/>
    <w:rsid w:val="00071F80"/>
    <w:rsid w:val="00072118"/>
    <w:rsid w:val="00073173"/>
    <w:rsid w:val="00073192"/>
    <w:rsid w:val="00073461"/>
    <w:rsid w:val="000760AE"/>
    <w:rsid w:val="0007651D"/>
    <w:rsid w:val="00076FFF"/>
    <w:rsid w:val="000779AC"/>
    <w:rsid w:val="00080A41"/>
    <w:rsid w:val="00080AA8"/>
    <w:rsid w:val="00081C84"/>
    <w:rsid w:val="00082637"/>
    <w:rsid w:val="00082D56"/>
    <w:rsid w:val="00083803"/>
    <w:rsid w:val="00083D7F"/>
    <w:rsid w:val="00084393"/>
    <w:rsid w:val="00084807"/>
    <w:rsid w:val="00085070"/>
    <w:rsid w:val="000870F1"/>
    <w:rsid w:val="0008716A"/>
    <w:rsid w:val="00087634"/>
    <w:rsid w:val="000879B9"/>
    <w:rsid w:val="00091237"/>
    <w:rsid w:val="000916B1"/>
    <w:rsid w:val="0009191B"/>
    <w:rsid w:val="000920EC"/>
    <w:rsid w:val="00092208"/>
    <w:rsid w:val="00092505"/>
    <w:rsid w:val="000927EB"/>
    <w:rsid w:val="00092BD9"/>
    <w:rsid w:val="00092C9A"/>
    <w:rsid w:val="00094D55"/>
    <w:rsid w:val="000973B6"/>
    <w:rsid w:val="000976A6"/>
    <w:rsid w:val="00097BFC"/>
    <w:rsid w:val="00097D02"/>
    <w:rsid w:val="000A0BBE"/>
    <w:rsid w:val="000A1183"/>
    <w:rsid w:val="000A2121"/>
    <w:rsid w:val="000A2484"/>
    <w:rsid w:val="000A36CE"/>
    <w:rsid w:val="000A4021"/>
    <w:rsid w:val="000A59BF"/>
    <w:rsid w:val="000A66C2"/>
    <w:rsid w:val="000A68A2"/>
    <w:rsid w:val="000A68A7"/>
    <w:rsid w:val="000A742D"/>
    <w:rsid w:val="000A7C02"/>
    <w:rsid w:val="000B1458"/>
    <w:rsid w:val="000B1CFE"/>
    <w:rsid w:val="000B1F3D"/>
    <w:rsid w:val="000B210A"/>
    <w:rsid w:val="000B21AC"/>
    <w:rsid w:val="000B249B"/>
    <w:rsid w:val="000B2ADE"/>
    <w:rsid w:val="000B2C3D"/>
    <w:rsid w:val="000B3B01"/>
    <w:rsid w:val="000B3DB9"/>
    <w:rsid w:val="000B3F02"/>
    <w:rsid w:val="000B48A2"/>
    <w:rsid w:val="000B48E7"/>
    <w:rsid w:val="000B4F41"/>
    <w:rsid w:val="000B6E11"/>
    <w:rsid w:val="000B7663"/>
    <w:rsid w:val="000C09C1"/>
    <w:rsid w:val="000C1106"/>
    <w:rsid w:val="000C11D3"/>
    <w:rsid w:val="000C12F5"/>
    <w:rsid w:val="000C2C94"/>
    <w:rsid w:val="000C3408"/>
    <w:rsid w:val="000C3DFC"/>
    <w:rsid w:val="000C4AC8"/>
    <w:rsid w:val="000C54AF"/>
    <w:rsid w:val="000C5C0F"/>
    <w:rsid w:val="000C5D56"/>
    <w:rsid w:val="000C6498"/>
    <w:rsid w:val="000D0B22"/>
    <w:rsid w:val="000D0D51"/>
    <w:rsid w:val="000D14B3"/>
    <w:rsid w:val="000D1BFB"/>
    <w:rsid w:val="000D1F52"/>
    <w:rsid w:val="000D208B"/>
    <w:rsid w:val="000D263E"/>
    <w:rsid w:val="000D2B48"/>
    <w:rsid w:val="000D2B8D"/>
    <w:rsid w:val="000D2E41"/>
    <w:rsid w:val="000D342A"/>
    <w:rsid w:val="000D3DC0"/>
    <w:rsid w:val="000D43CB"/>
    <w:rsid w:val="000D5E7A"/>
    <w:rsid w:val="000D5FAA"/>
    <w:rsid w:val="000D65A4"/>
    <w:rsid w:val="000D6AEF"/>
    <w:rsid w:val="000D7D11"/>
    <w:rsid w:val="000E0098"/>
    <w:rsid w:val="000E025B"/>
    <w:rsid w:val="000E0ECB"/>
    <w:rsid w:val="000E153A"/>
    <w:rsid w:val="000E19A8"/>
    <w:rsid w:val="000E1EEA"/>
    <w:rsid w:val="000E4241"/>
    <w:rsid w:val="000E4A42"/>
    <w:rsid w:val="000E6476"/>
    <w:rsid w:val="000E77CC"/>
    <w:rsid w:val="000E78D2"/>
    <w:rsid w:val="000F06EF"/>
    <w:rsid w:val="000F3332"/>
    <w:rsid w:val="000F338D"/>
    <w:rsid w:val="000F33EE"/>
    <w:rsid w:val="000F401E"/>
    <w:rsid w:val="000F4191"/>
    <w:rsid w:val="000F43EB"/>
    <w:rsid w:val="000F5445"/>
    <w:rsid w:val="000F5673"/>
    <w:rsid w:val="000F67B2"/>
    <w:rsid w:val="000F6CFB"/>
    <w:rsid w:val="000F74B6"/>
    <w:rsid w:val="000F790F"/>
    <w:rsid w:val="000F7E1B"/>
    <w:rsid w:val="00100014"/>
    <w:rsid w:val="0010039A"/>
    <w:rsid w:val="001010CD"/>
    <w:rsid w:val="00101E94"/>
    <w:rsid w:val="00101FB2"/>
    <w:rsid w:val="00102CB8"/>
    <w:rsid w:val="00102F02"/>
    <w:rsid w:val="0010385D"/>
    <w:rsid w:val="00103B42"/>
    <w:rsid w:val="00103CE1"/>
    <w:rsid w:val="00103E41"/>
    <w:rsid w:val="001041B6"/>
    <w:rsid w:val="001048E0"/>
    <w:rsid w:val="001070EA"/>
    <w:rsid w:val="0011002A"/>
    <w:rsid w:val="001107CE"/>
    <w:rsid w:val="0011110A"/>
    <w:rsid w:val="00111303"/>
    <w:rsid w:val="001118AF"/>
    <w:rsid w:val="00111CA5"/>
    <w:rsid w:val="00112488"/>
    <w:rsid w:val="0011256E"/>
    <w:rsid w:val="0011274D"/>
    <w:rsid w:val="00112E13"/>
    <w:rsid w:val="0011352E"/>
    <w:rsid w:val="00113F43"/>
    <w:rsid w:val="00114A13"/>
    <w:rsid w:val="00114FC0"/>
    <w:rsid w:val="00115496"/>
    <w:rsid w:val="00116DB9"/>
    <w:rsid w:val="00116F28"/>
    <w:rsid w:val="00121C39"/>
    <w:rsid w:val="00123255"/>
    <w:rsid w:val="00123A5C"/>
    <w:rsid w:val="00124430"/>
    <w:rsid w:val="00124D2D"/>
    <w:rsid w:val="00124DA1"/>
    <w:rsid w:val="00124E9C"/>
    <w:rsid w:val="00125326"/>
    <w:rsid w:val="00125CB5"/>
    <w:rsid w:val="0012678C"/>
    <w:rsid w:val="00127535"/>
    <w:rsid w:val="00127965"/>
    <w:rsid w:val="001307BE"/>
    <w:rsid w:val="00130C8F"/>
    <w:rsid w:val="001314F2"/>
    <w:rsid w:val="001317DA"/>
    <w:rsid w:val="001322B4"/>
    <w:rsid w:val="001323BA"/>
    <w:rsid w:val="0013254D"/>
    <w:rsid w:val="00133AAC"/>
    <w:rsid w:val="00133FBD"/>
    <w:rsid w:val="00135008"/>
    <w:rsid w:val="001364C1"/>
    <w:rsid w:val="00136561"/>
    <w:rsid w:val="001400E1"/>
    <w:rsid w:val="001405FA"/>
    <w:rsid w:val="001413B3"/>
    <w:rsid w:val="001425C3"/>
    <w:rsid w:val="00142F16"/>
    <w:rsid w:val="00143E03"/>
    <w:rsid w:val="00143E93"/>
    <w:rsid w:val="00143FA3"/>
    <w:rsid w:val="0014428D"/>
    <w:rsid w:val="00144BEA"/>
    <w:rsid w:val="001468CC"/>
    <w:rsid w:val="001500FC"/>
    <w:rsid w:val="00151AAB"/>
    <w:rsid w:val="00151AC0"/>
    <w:rsid w:val="00151B27"/>
    <w:rsid w:val="00152046"/>
    <w:rsid w:val="001524FC"/>
    <w:rsid w:val="001528DF"/>
    <w:rsid w:val="00152E53"/>
    <w:rsid w:val="001536DD"/>
    <w:rsid w:val="00153ECF"/>
    <w:rsid w:val="00154147"/>
    <w:rsid w:val="00155089"/>
    <w:rsid w:val="001550F3"/>
    <w:rsid w:val="00155746"/>
    <w:rsid w:val="00156318"/>
    <w:rsid w:val="0015639A"/>
    <w:rsid w:val="00157410"/>
    <w:rsid w:val="0016081D"/>
    <w:rsid w:val="00160CF3"/>
    <w:rsid w:val="00160E61"/>
    <w:rsid w:val="00161300"/>
    <w:rsid w:val="00161CCF"/>
    <w:rsid w:val="001620FA"/>
    <w:rsid w:val="00162853"/>
    <w:rsid w:val="00163793"/>
    <w:rsid w:val="001640FB"/>
    <w:rsid w:val="00164B83"/>
    <w:rsid w:val="00165E1B"/>
    <w:rsid w:val="00167FB2"/>
    <w:rsid w:val="001707DE"/>
    <w:rsid w:val="00170B04"/>
    <w:rsid w:val="00170F47"/>
    <w:rsid w:val="001711F2"/>
    <w:rsid w:val="001714F2"/>
    <w:rsid w:val="00172F26"/>
    <w:rsid w:val="00173642"/>
    <w:rsid w:val="00173AF4"/>
    <w:rsid w:val="00173CB0"/>
    <w:rsid w:val="00174853"/>
    <w:rsid w:val="00174CE8"/>
    <w:rsid w:val="00174E7D"/>
    <w:rsid w:val="001752CB"/>
    <w:rsid w:val="00175351"/>
    <w:rsid w:val="00175F60"/>
    <w:rsid w:val="00176050"/>
    <w:rsid w:val="001764D8"/>
    <w:rsid w:val="00176A8F"/>
    <w:rsid w:val="00176C72"/>
    <w:rsid w:val="00180D58"/>
    <w:rsid w:val="00181938"/>
    <w:rsid w:val="00182981"/>
    <w:rsid w:val="00184CF9"/>
    <w:rsid w:val="00185010"/>
    <w:rsid w:val="001852EC"/>
    <w:rsid w:val="001857D6"/>
    <w:rsid w:val="00185D70"/>
    <w:rsid w:val="00186447"/>
    <w:rsid w:val="001874CF"/>
    <w:rsid w:val="00190214"/>
    <w:rsid w:val="00190D9B"/>
    <w:rsid w:val="00191461"/>
    <w:rsid w:val="00191BAE"/>
    <w:rsid w:val="00193432"/>
    <w:rsid w:val="0019346C"/>
    <w:rsid w:val="00194AE3"/>
    <w:rsid w:val="00194D9B"/>
    <w:rsid w:val="00195335"/>
    <w:rsid w:val="00195444"/>
    <w:rsid w:val="0019579E"/>
    <w:rsid w:val="0019797A"/>
    <w:rsid w:val="001A0A79"/>
    <w:rsid w:val="001A199D"/>
    <w:rsid w:val="001A2BDB"/>
    <w:rsid w:val="001A30F4"/>
    <w:rsid w:val="001A44F9"/>
    <w:rsid w:val="001A47AB"/>
    <w:rsid w:val="001A4930"/>
    <w:rsid w:val="001A4A37"/>
    <w:rsid w:val="001A4C0D"/>
    <w:rsid w:val="001A552F"/>
    <w:rsid w:val="001A56F3"/>
    <w:rsid w:val="001A737B"/>
    <w:rsid w:val="001A750C"/>
    <w:rsid w:val="001A7769"/>
    <w:rsid w:val="001A7A4E"/>
    <w:rsid w:val="001A7BBB"/>
    <w:rsid w:val="001B1D89"/>
    <w:rsid w:val="001B2143"/>
    <w:rsid w:val="001B2B24"/>
    <w:rsid w:val="001B3110"/>
    <w:rsid w:val="001B4198"/>
    <w:rsid w:val="001B44BC"/>
    <w:rsid w:val="001B46D6"/>
    <w:rsid w:val="001B5215"/>
    <w:rsid w:val="001B5888"/>
    <w:rsid w:val="001B618F"/>
    <w:rsid w:val="001B6277"/>
    <w:rsid w:val="001B6545"/>
    <w:rsid w:val="001B681B"/>
    <w:rsid w:val="001B6A49"/>
    <w:rsid w:val="001B7231"/>
    <w:rsid w:val="001B74FB"/>
    <w:rsid w:val="001B77A1"/>
    <w:rsid w:val="001C0422"/>
    <w:rsid w:val="001C049B"/>
    <w:rsid w:val="001C0E0E"/>
    <w:rsid w:val="001C0EB9"/>
    <w:rsid w:val="001C1219"/>
    <w:rsid w:val="001C24D7"/>
    <w:rsid w:val="001C2816"/>
    <w:rsid w:val="001C357A"/>
    <w:rsid w:val="001C3A37"/>
    <w:rsid w:val="001C4384"/>
    <w:rsid w:val="001C55F5"/>
    <w:rsid w:val="001C6024"/>
    <w:rsid w:val="001C65FF"/>
    <w:rsid w:val="001C78A2"/>
    <w:rsid w:val="001D05CF"/>
    <w:rsid w:val="001D3787"/>
    <w:rsid w:val="001D47E5"/>
    <w:rsid w:val="001D48A5"/>
    <w:rsid w:val="001D584C"/>
    <w:rsid w:val="001D5E1B"/>
    <w:rsid w:val="001D66C1"/>
    <w:rsid w:val="001D74E8"/>
    <w:rsid w:val="001D7C6F"/>
    <w:rsid w:val="001E0024"/>
    <w:rsid w:val="001E0C65"/>
    <w:rsid w:val="001E2377"/>
    <w:rsid w:val="001E23E3"/>
    <w:rsid w:val="001E29AF"/>
    <w:rsid w:val="001E387A"/>
    <w:rsid w:val="001E3DA4"/>
    <w:rsid w:val="001E5469"/>
    <w:rsid w:val="001E5830"/>
    <w:rsid w:val="001E59D5"/>
    <w:rsid w:val="001E684C"/>
    <w:rsid w:val="001E701C"/>
    <w:rsid w:val="001E7552"/>
    <w:rsid w:val="001E7C03"/>
    <w:rsid w:val="001F02AF"/>
    <w:rsid w:val="001F0649"/>
    <w:rsid w:val="001F1C99"/>
    <w:rsid w:val="001F21A6"/>
    <w:rsid w:val="001F28F4"/>
    <w:rsid w:val="001F2CC6"/>
    <w:rsid w:val="001F3055"/>
    <w:rsid w:val="001F31BC"/>
    <w:rsid w:val="001F378E"/>
    <w:rsid w:val="001F3C79"/>
    <w:rsid w:val="001F3E68"/>
    <w:rsid w:val="001F4597"/>
    <w:rsid w:val="001F56A9"/>
    <w:rsid w:val="001F5C6A"/>
    <w:rsid w:val="001F63A7"/>
    <w:rsid w:val="001F670A"/>
    <w:rsid w:val="001F6A2E"/>
    <w:rsid w:val="001F6CC0"/>
    <w:rsid w:val="00200D15"/>
    <w:rsid w:val="002012FC"/>
    <w:rsid w:val="0020223B"/>
    <w:rsid w:val="0020294A"/>
    <w:rsid w:val="00203074"/>
    <w:rsid w:val="00203B46"/>
    <w:rsid w:val="002048E1"/>
    <w:rsid w:val="00207DB6"/>
    <w:rsid w:val="002100E1"/>
    <w:rsid w:val="00210278"/>
    <w:rsid w:val="00210CC2"/>
    <w:rsid w:val="00210F5B"/>
    <w:rsid w:val="00210FFA"/>
    <w:rsid w:val="00211262"/>
    <w:rsid w:val="002115F5"/>
    <w:rsid w:val="00211AC9"/>
    <w:rsid w:val="00212292"/>
    <w:rsid w:val="002131D4"/>
    <w:rsid w:val="0021329E"/>
    <w:rsid w:val="0021355B"/>
    <w:rsid w:val="00215A2C"/>
    <w:rsid w:val="00215CC3"/>
    <w:rsid w:val="002169D2"/>
    <w:rsid w:val="00217980"/>
    <w:rsid w:val="002179F9"/>
    <w:rsid w:val="00217B00"/>
    <w:rsid w:val="00217F7E"/>
    <w:rsid w:val="002205F2"/>
    <w:rsid w:val="0022080E"/>
    <w:rsid w:val="00220838"/>
    <w:rsid w:val="00220B20"/>
    <w:rsid w:val="00220CF8"/>
    <w:rsid w:val="0022139E"/>
    <w:rsid w:val="0022272B"/>
    <w:rsid w:val="00222A99"/>
    <w:rsid w:val="002234CA"/>
    <w:rsid w:val="00223678"/>
    <w:rsid w:val="002236F7"/>
    <w:rsid w:val="00223E00"/>
    <w:rsid w:val="00223ECF"/>
    <w:rsid w:val="00224546"/>
    <w:rsid w:val="002252E0"/>
    <w:rsid w:val="002255F6"/>
    <w:rsid w:val="002261DD"/>
    <w:rsid w:val="00226466"/>
    <w:rsid w:val="002266D0"/>
    <w:rsid w:val="00226887"/>
    <w:rsid w:val="00227771"/>
    <w:rsid w:val="00227991"/>
    <w:rsid w:val="0023093E"/>
    <w:rsid w:val="00230DAD"/>
    <w:rsid w:val="00231EE1"/>
    <w:rsid w:val="0023229C"/>
    <w:rsid w:val="0023301B"/>
    <w:rsid w:val="002334DF"/>
    <w:rsid w:val="0023355C"/>
    <w:rsid w:val="002340A2"/>
    <w:rsid w:val="00234280"/>
    <w:rsid w:val="00234DD5"/>
    <w:rsid w:val="00235000"/>
    <w:rsid w:val="002350E3"/>
    <w:rsid w:val="00235330"/>
    <w:rsid w:val="00236443"/>
    <w:rsid w:val="002376DD"/>
    <w:rsid w:val="0024074D"/>
    <w:rsid w:val="00240773"/>
    <w:rsid w:val="00240815"/>
    <w:rsid w:val="00240A5B"/>
    <w:rsid w:val="00240C76"/>
    <w:rsid w:val="002411EF"/>
    <w:rsid w:val="00241446"/>
    <w:rsid w:val="00241FAA"/>
    <w:rsid w:val="00242730"/>
    <w:rsid w:val="00242C0B"/>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17D"/>
    <w:rsid w:val="0026138C"/>
    <w:rsid w:val="00261A0F"/>
    <w:rsid w:val="00261E5B"/>
    <w:rsid w:val="00262F34"/>
    <w:rsid w:val="00263470"/>
    <w:rsid w:val="00263733"/>
    <w:rsid w:val="00264000"/>
    <w:rsid w:val="00264676"/>
    <w:rsid w:val="0026507C"/>
    <w:rsid w:val="00265536"/>
    <w:rsid w:val="00265772"/>
    <w:rsid w:val="00265E54"/>
    <w:rsid w:val="00266040"/>
    <w:rsid w:val="00266F3E"/>
    <w:rsid w:val="00270785"/>
    <w:rsid w:val="00270B56"/>
    <w:rsid w:val="00271BEF"/>
    <w:rsid w:val="00272464"/>
    <w:rsid w:val="002726B8"/>
    <w:rsid w:val="00272B0B"/>
    <w:rsid w:val="00272CC5"/>
    <w:rsid w:val="00273C60"/>
    <w:rsid w:val="00273CBE"/>
    <w:rsid w:val="00273DCD"/>
    <w:rsid w:val="00274291"/>
    <w:rsid w:val="00275D3C"/>
    <w:rsid w:val="00276C09"/>
    <w:rsid w:val="00276CFE"/>
    <w:rsid w:val="00277071"/>
    <w:rsid w:val="0027786C"/>
    <w:rsid w:val="00277BF7"/>
    <w:rsid w:val="00277C94"/>
    <w:rsid w:val="00280E67"/>
    <w:rsid w:val="00281416"/>
    <w:rsid w:val="00283C61"/>
    <w:rsid w:val="00285CD3"/>
    <w:rsid w:val="0028633E"/>
    <w:rsid w:val="0028686A"/>
    <w:rsid w:val="00286E66"/>
    <w:rsid w:val="002870B7"/>
    <w:rsid w:val="002879DE"/>
    <w:rsid w:val="002903C9"/>
    <w:rsid w:val="00290423"/>
    <w:rsid w:val="002907F1"/>
    <w:rsid w:val="00290870"/>
    <w:rsid w:val="0029191C"/>
    <w:rsid w:val="002919B5"/>
    <w:rsid w:val="00292137"/>
    <w:rsid w:val="002926EF"/>
    <w:rsid w:val="00293441"/>
    <w:rsid w:val="00293EA0"/>
    <w:rsid w:val="00294238"/>
    <w:rsid w:val="0029493E"/>
    <w:rsid w:val="00294A5F"/>
    <w:rsid w:val="002962E0"/>
    <w:rsid w:val="00296C2E"/>
    <w:rsid w:val="00297C8C"/>
    <w:rsid w:val="002A01B2"/>
    <w:rsid w:val="002A1B05"/>
    <w:rsid w:val="002A267F"/>
    <w:rsid w:val="002A3354"/>
    <w:rsid w:val="002A35EA"/>
    <w:rsid w:val="002A37B6"/>
    <w:rsid w:val="002A3A75"/>
    <w:rsid w:val="002A3BD5"/>
    <w:rsid w:val="002A43A2"/>
    <w:rsid w:val="002A44ED"/>
    <w:rsid w:val="002A4612"/>
    <w:rsid w:val="002A4F70"/>
    <w:rsid w:val="002A51BD"/>
    <w:rsid w:val="002A5263"/>
    <w:rsid w:val="002A66AF"/>
    <w:rsid w:val="002A6821"/>
    <w:rsid w:val="002A74D2"/>
    <w:rsid w:val="002A7CDA"/>
    <w:rsid w:val="002A7F47"/>
    <w:rsid w:val="002B1544"/>
    <w:rsid w:val="002B195A"/>
    <w:rsid w:val="002B1AA2"/>
    <w:rsid w:val="002B1DC1"/>
    <w:rsid w:val="002B36C8"/>
    <w:rsid w:val="002B385B"/>
    <w:rsid w:val="002B3A9C"/>
    <w:rsid w:val="002B556B"/>
    <w:rsid w:val="002B6D1E"/>
    <w:rsid w:val="002B71B4"/>
    <w:rsid w:val="002B7240"/>
    <w:rsid w:val="002C0FF4"/>
    <w:rsid w:val="002C125A"/>
    <w:rsid w:val="002C2668"/>
    <w:rsid w:val="002C43BD"/>
    <w:rsid w:val="002C493D"/>
    <w:rsid w:val="002C4E5A"/>
    <w:rsid w:val="002C5261"/>
    <w:rsid w:val="002C6091"/>
    <w:rsid w:val="002C7FC5"/>
    <w:rsid w:val="002D0562"/>
    <w:rsid w:val="002D1B5A"/>
    <w:rsid w:val="002D1BFF"/>
    <w:rsid w:val="002D2500"/>
    <w:rsid w:val="002D338A"/>
    <w:rsid w:val="002D3A1A"/>
    <w:rsid w:val="002D3F00"/>
    <w:rsid w:val="002D4D59"/>
    <w:rsid w:val="002D549A"/>
    <w:rsid w:val="002D54BF"/>
    <w:rsid w:val="002D58F6"/>
    <w:rsid w:val="002D5C3D"/>
    <w:rsid w:val="002D5E94"/>
    <w:rsid w:val="002D632D"/>
    <w:rsid w:val="002D68E6"/>
    <w:rsid w:val="002D6E8B"/>
    <w:rsid w:val="002D6FC7"/>
    <w:rsid w:val="002E02A1"/>
    <w:rsid w:val="002E0982"/>
    <w:rsid w:val="002E0B7A"/>
    <w:rsid w:val="002E0DB9"/>
    <w:rsid w:val="002E2CE4"/>
    <w:rsid w:val="002E34F3"/>
    <w:rsid w:val="002E383E"/>
    <w:rsid w:val="002E4217"/>
    <w:rsid w:val="002E435E"/>
    <w:rsid w:val="002E5958"/>
    <w:rsid w:val="002E73F2"/>
    <w:rsid w:val="002F0457"/>
    <w:rsid w:val="002F291A"/>
    <w:rsid w:val="002F33FB"/>
    <w:rsid w:val="002F3FBA"/>
    <w:rsid w:val="002F663A"/>
    <w:rsid w:val="002F68A4"/>
    <w:rsid w:val="002F7594"/>
    <w:rsid w:val="002F7902"/>
    <w:rsid w:val="003003E7"/>
    <w:rsid w:val="00300D6F"/>
    <w:rsid w:val="00301357"/>
    <w:rsid w:val="00301D04"/>
    <w:rsid w:val="00302C69"/>
    <w:rsid w:val="003035D4"/>
    <w:rsid w:val="00303A3C"/>
    <w:rsid w:val="00303DCB"/>
    <w:rsid w:val="00304771"/>
    <w:rsid w:val="00305736"/>
    <w:rsid w:val="0030599E"/>
    <w:rsid w:val="00305C33"/>
    <w:rsid w:val="00306C5B"/>
    <w:rsid w:val="00306E3B"/>
    <w:rsid w:val="00310ADB"/>
    <w:rsid w:val="003119B6"/>
    <w:rsid w:val="003119B7"/>
    <w:rsid w:val="00312C3D"/>
    <w:rsid w:val="003138E0"/>
    <w:rsid w:val="00314331"/>
    <w:rsid w:val="00314808"/>
    <w:rsid w:val="00317E31"/>
    <w:rsid w:val="00320146"/>
    <w:rsid w:val="00320214"/>
    <w:rsid w:val="003209D6"/>
    <w:rsid w:val="0032109A"/>
    <w:rsid w:val="0032214F"/>
    <w:rsid w:val="00322164"/>
    <w:rsid w:val="0032279C"/>
    <w:rsid w:val="00322949"/>
    <w:rsid w:val="00322CEB"/>
    <w:rsid w:val="00322D09"/>
    <w:rsid w:val="00322D80"/>
    <w:rsid w:val="00323CF7"/>
    <w:rsid w:val="00323E61"/>
    <w:rsid w:val="0032513D"/>
    <w:rsid w:val="00326251"/>
    <w:rsid w:val="0032739C"/>
    <w:rsid w:val="003277A6"/>
    <w:rsid w:val="00327DEE"/>
    <w:rsid w:val="003302DA"/>
    <w:rsid w:val="00330EB0"/>
    <w:rsid w:val="00331574"/>
    <w:rsid w:val="0033229B"/>
    <w:rsid w:val="003329F3"/>
    <w:rsid w:val="0033352E"/>
    <w:rsid w:val="00333690"/>
    <w:rsid w:val="0033390C"/>
    <w:rsid w:val="00333D20"/>
    <w:rsid w:val="00333F53"/>
    <w:rsid w:val="003340EF"/>
    <w:rsid w:val="0033463E"/>
    <w:rsid w:val="00334A49"/>
    <w:rsid w:val="0033536F"/>
    <w:rsid w:val="00335BB0"/>
    <w:rsid w:val="0033627B"/>
    <w:rsid w:val="003370B9"/>
    <w:rsid w:val="003406BD"/>
    <w:rsid w:val="00340D38"/>
    <w:rsid w:val="00342753"/>
    <w:rsid w:val="00342D7B"/>
    <w:rsid w:val="00343474"/>
    <w:rsid w:val="00343F84"/>
    <w:rsid w:val="00344135"/>
    <w:rsid w:val="00344533"/>
    <w:rsid w:val="003450E2"/>
    <w:rsid w:val="003460E3"/>
    <w:rsid w:val="00347F1E"/>
    <w:rsid w:val="00350053"/>
    <w:rsid w:val="003508B0"/>
    <w:rsid w:val="00351B63"/>
    <w:rsid w:val="00352E57"/>
    <w:rsid w:val="003541B0"/>
    <w:rsid w:val="0035422B"/>
    <w:rsid w:val="0035457E"/>
    <w:rsid w:val="00355885"/>
    <w:rsid w:val="00355A57"/>
    <w:rsid w:val="00355B5A"/>
    <w:rsid w:val="0035605E"/>
    <w:rsid w:val="00356244"/>
    <w:rsid w:val="00357449"/>
    <w:rsid w:val="00357CC2"/>
    <w:rsid w:val="00361CEF"/>
    <w:rsid w:val="0036238B"/>
    <w:rsid w:val="003630B0"/>
    <w:rsid w:val="00364173"/>
    <w:rsid w:val="003649FC"/>
    <w:rsid w:val="003651A4"/>
    <w:rsid w:val="00365680"/>
    <w:rsid w:val="003657F3"/>
    <w:rsid w:val="00365FBC"/>
    <w:rsid w:val="00366D4D"/>
    <w:rsid w:val="00367038"/>
    <w:rsid w:val="003676C4"/>
    <w:rsid w:val="0037077A"/>
    <w:rsid w:val="00370963"/>
    <w:rsid w:val="0037144E"/>
    <w:rsid w:val="00372272"/>
    <w:rsid w:val="00373689"/>
    <w:rsid w:val="003736B5"/>
    <w:rsid w:val="00374798"/>
    <w:rsid w:val="00374F1E"/>
    <w:rsid w:val="003750BC"/>
    <w:rsid w:val="003750CF"/>
    <w:rsid w:val="0037529E"/>
    <w:rsid w:val="00375A22"/>
    <w:rsid w:val="00376DEC"/>
    <w:rsid w:val="00377200"/>
    <w:rsid w:val="00377666"/>
    <w:rsid w:val="00377FE1"/>
    <w:rsid w:val="0038034A"/>
    <w:rsid w:val="00380E04"/>
    <w:rsid w:val="00380E6C"/>
    <w:rsid w:val="00381479"/>
    <w:rsid w:val="00383227"/>
    <w:rsid w:val="003839C9"/>
    <w:rsid w:val="0038422D"/>
    <w:rsid w:val="003843F5"/>
    <w:rsid w:val="00384D8F"/>
    <w:rsid w:val="00384EEA"/>
    <w:rsid w:val="003857A2"/>
    <w:rsid w:val="003857CD"/>
    <w:rsid w:val="0038595F"/>
    <w:rsid w:val="00385D98"/>
    <w:rsid w:val="00385EC5"/>
    <w:rsid w:val="0038625E"/>
    <w:rsid w:val="0038658E"/>
    <w:rsid w:val="00387507"/>
    <w:rsid w:val="003875C2"/>
    <w:rsid w:val="0039066E"/>
    <w:rsid w:val="00391C95"/>
    <w:rsid w:val="00392110"/>
    <w:rsid w:val="00393D74"/>
    <w:rsid w:val="00394D49"/>
    <w:rsid w:val="0039598F"/>
    <w:rsid w:val="00395A52"/>
    <w:rsid w:val="00396DAC"/>
    <w:rsid w:val="003971D0"/>
    <w:rsid w:val="003A0214"/>
    <w:rsid w:val="003A027D"/>
    <w:rsid w:val="003A1D74"/>
    <w:rsid w:val="003A2B4D"/>
    <w:rsid w:val="003A2D2B"/>
    <w:rsid w:val="003A2DD4"/>
    <w:rsid w:val="003A31A9"/>
    <w:rsid w:val="003A3B1C"/>
    <w:rsid w:val="003A4088"/>
    <w:rsid w:val="003A478C"/>
    <w:rsid w:val="003A4F82"/>
    <w:rsid w:val="003A5525"/>
    <w:rsid w:val="003A57A4"/>
    <w:rsid w:val="003A663F"/>
    <w:rsid w:val="003A6B38"/>
    <w:rsid w:val="003A73EA"/>
    <w:rsid w:val="003B1781"/>
    <w:rsid w:val="003B2142"/>
    <w:rsid w:val="003B2580"/>
    <w:rsid w:val="003B2E63"/>
    <w:rsid w:val="003B2F0A"/>
    <w:rsid w:val="003B3189"/>
    <w:rsid w:val="003B3A9D"/>
    <w:rsid w:val="003B3DDD"/>
    <w:rsid w:val="003B42A1"/>
    <w:rsid w:val="003B5031"/>
    <w:rsid w:val="003B5A32"/>
    <w:rsid w:val="003B5B61"/>
    <w:rsid w:val="003B5E14"/>
    <w:rsid w:val="003B6105"/>
    <w:rsid w:val="003C0122"/>
    <w:rsid w:val="003C03CC"/>
    <w:rsid w:val="003C04C4"/>
    <w:rsid w:val="003C1F8B"/>
    <w:rsid w:val="003C26F4"/>
    <w:rsid w:val="003C2809"/>
    <w:rsid w:val="003C3686"/>
    <w:rsid w:val="003C38D4"/>
    <w:rsid w:val="003C4852"/>
    <w:rsid w:val="003C486D"/>
    <w:rsid w:val="003C505A"/>
    <w:rsid w:val="003C5BC7"/>
    <w:rsid w:val="003C601E"/>
    <w:rsid w:val="003C66C4"/>
    <w:rsid w:val="003C7928"/>
    <w:rsid w:val="003C797A"/>
    <w:rsid w:val="003C7A95"/>
    <w:rsid w:val="003C7B97"/>
    <w:rsid w:val="003D15C3"/>
    <w:rsid w:val="003D17A6"/>
    <w:rsid w:val="003D2C4E"/>
    <w:rsid w:val="003D2D51"/>
    <w:rsid w:val="003D33FD"/>
    <w:rsid w:val="003D3600"/>
    <w:rsid w:val="003D3825"/>
    <w:rsid w:val="003D3EC4"/>
    <w:rsid w:val="003D44E2"/>
    <w:rsid w:val="003D4760"/>
    <w:rsid w:val="003D49DC"/>
    <w:rsid w:val="003D4DD9"/>
    <w:rsid w:val="003D4FB5"/>
    <w:rsid w:val="003D5D7A"/>
    <w:rsid w:val="003D5E4B"/>
    <w:rsid w:val="003D653F"/>
    <w:rsid w:val="003E00D4"/>
    <w:rsid w:val="003E0663"/>
    <w:rsid w:val="003E133F"/>
    <w:rsid w:val="003E194E"/>
    <w:rsid w:val="003E42C9"/>
    <w:rsid w:val="003E49F6"/>
    <w:rsid w:val="003E4FD4"/>
    <w:rsid w:val="003E5488"/>
    <w:rsid w:val="003E699C"/>
    <w:rsid w:val="003E69F3"/>
    <w:rsid w:val="003E6EB0"/>
    <w:rsid w:val="003E7550"/>
    <w:rsid w:val="003E782E"/>
    <w:rsid w:val="003E7A0B"/>
    <w:rsid w:val="003E7B2B"/>
    <w:rsid w:val="003F116D"/>
    <w:rsid w:val="003F1749"/>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015"/>
    <w:rsid w:val="003F6C74"/>
    <w:rsid w:val="003F6D19"/>
    <w:rsid w:val="003F7F67"/>
    <w:rsid w:val="004000D5"/>
    <w:rsid w:val="00400244"/>
    <w:rsid w:val="004005C1"/>
    <w:rsid w:val="004010ED"/>
    <w:rsid w:val="00401716"/>
    <w:rsid w:val="004018F7"/>
    <w:rsid w:val="00401A09"/>
    <w:rsid w:val="0040273A"/>
    <w:rsid w:val="00402C25"/>
    <w:rsid w:val="004036FB"/>
    <w:rsid w:val="00403CE3"/>
    <w:rsid w:val="004050D7"/>
    <w:rsid w:val="0040633F"/>
    <w:rsid w:val="0040758A"/>
    <w:rsid w:val="004078BD"/>
    <w:rsid w:val="00410132"/>
    <w:rsid w:val="004104E4"/>
    <w:rsid w:val="00410A97"/>
    <w:rsid w:val="00410BCD"/>
    <w:rsid w:val="00410DE5"/>
    <w:rsid w:val="00410E40"/>
    <w:rsid w:val="00410F03"/>
    <w:rsid w:val="00410FF4"/>
    <w:rsid w:val="0041175D"/>
    <w:rsid w:val="004117CE"/>
    <w:rsid w:val="004123BE"/>
    <w:rsid w:val="00412CC0"/>
    <w:rsid w:val="00414757"/>
    <w:rsid w:val="00414CE5"/>
    <w:rsid w:val="0041548B"/>
    <w:rsid w:val="00416673"/>
    <w:rsid w:val="00416F9E"/>
    <w:rsid w:val="004174FD"/>
    <w:rsid w:val="0042094A"/>
    <w:rsid w:val="004211D7"/>
    <w:rsid w:val="0042160D"/>
    <w:rsid w:val="00421A52"/>
    <w:rsid w:val="00421E7A"/>
    <w:rsid w:val="004233DB"/>
    <w:rsid w:val="00423A3C"/>
    <w:rsid w:val="00423C04"/>
    <w:rsid w:val="00423D69"/>
    <w:rsid w:val="004257F9"/>
    <w:rsid w:val="0042681B"/>
    <w:rsid w:val="00427193"/>
    <w:rsid w:val="0043068A"/>
    <w:rsid w:val="004306E0"/>
    <w:rsid w:val="004309CD"/>
    <w:rsid w:val="00431D54"/>
    <w:rsid w:val="00431F98"/>
    <w:rsid w:val="004325AA"/>
    <w:rsid w:val="004329BE"/>
    <w:rsid w:val="00432C38"/>
    <w:rsid w:val="00432F8F"/>
    <w:rsid w:val="004342EC"/>
    <w:rsid w:val="00434C84"/>
    <w:rsid w:val="00434DC4"/>
    <w:rsid w:val="00437C76"/>
    <w:rsid w:val="00437F4A"/>
    <w:rsid w:val="0044105C"/>
    <w:rsid w:val="00441542"/>
    <w:rsid w:val="00442197"/>
    <w:rsid w:val="00442B3C"/>
    <w:rsid w:val="00442FD6"/>
    <w:rsid w:val="00443646"/>
    <w:rsid w:val="00443DDE"/>
    <w:rsid w:val="00443E95"/>
    <w:rsid w:val="004441A0"/>
    <w:rsid w:val="00444268"/>
    <w:rsid w:val="00444326"/>
    <w:rsid w:val="004443BF"/>
    <w:rsid w:val="00444983"/>
    <w:rsid w:val="00444C19"/>
    <w:rsid w:val="00445218"/>
    <w:rsid w:val="00445CDD"/>
    <w:rsid w:val="00446892"/>
    <w:rsid w:val="00446C9F"/>
    <w:rsid w:val="00447E36"/>
    <w:rsid w:val="004504E0"/>
    <w:rsid w:val="00450700"/>
    <w:rsid w:val="00450C30"/>
    <w:rsid w:val="004529C7"/>
    <w:rsid w:val="00453C62"/>
    <w:rsid w:val="00453FD7"/>
    <w:rsid w:val="004540FF"/>
    <w:rsid w:val="004541F1"/>
    <w:rsid w:val="00455ECA"/>
    <w:rsid w:val="00457296"/>
    <w:rsid w:val="00457320"/>
    <w:rsid w:val="0045761F"/>
    <w:rsid w:val="00460164"/>
    <w:rsid w:val="0046039A"/>
    <w:rsid w:val="00460A6B"/>
    <w:rsid w:val="00461873"/>
    <w:rsid w:val="00461977"/>
    <w:rsid w:val="00461A3F"/>
    <w:rsid w:val="004629FD"/>
    <w:rsid w:val="00462AD2"/>
    <w:rsid w:val="00463B4B"/>
    <w:rsid w:val="00463F4D"/>
    <w:rsid w:val="00464658"/>
    <w:rsid w:val="0046471F"/>
    <w:rsid w:val="00464BE8"/>
    <w:rsid w:val="00464DE7"/>
    <w:rsid w:val="00465019"/>
    <w:rsid w:val="00465FA4"/>
    <w:rsid w:val="0046613F"/>
    <w:rsid w:val="0046655D"/>
    <w:rsid w:val="00466808"/>
    <w:rsid w:val="00466AAE"/>
    <w:rsid w:val="00466CE1"/>
    <w:rsid w:val="0046765E"/>
    <w:rsid w:val="004676E2"/>
    <w:rsid w:val="0047020E"/>
    <w:rsid w:val="00471EDD"/>
    <w:rsid w:val="00472B52"/>
    <w:rsid w:val="00473E94"/>
    <w:rsid w:val="0047400C"/>
    <w:rsid w:val="004745D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3BFB"/>
    <w:rsid w:val="00484874"/>
    <w:rsid w:val="00484AE4"/>
    <w:rsid w:val="00485230"/>
    <w:rsid w:val="00487127"/>
    <w:rsid w:val="004879E9"/>
    <w:rsid w:val="00487BCB"/>
    <w:rsid w:val="00487F81"/>
    <w:rsid w:val="00490247"/>
    <w:rsid w:val="00490BD8"/>
    <w:rsid w:val="0049104F"/>
    <w:rsid w:val="00491218"/>
    <w:rsid w:val="00491CFD"/>
    <w:rsid w:val="00492991"/>
    <w:rsid w:val="00493362"/>
    <w:rsid w:val="00494343"/>
    <w:rsid w:val="00494AAB"/>
    <w:rsid w:val="00495456"/>
    <w:rsid w:val="004966D7"/>
    <w:rsid w:val="00496C2F"/>
    <w:rsid w:val="00496CEC"/>
    <w:rsid w:val="0049740D"/>
    <w:rsid w:val="0049778A"/>
    <w:rsid w:val="004978D3"/>
    <w:rsid w:val="004A11F8"/>
    <w:rsid w:val="004A1871"/>
    <w:rsid w:val="004A22BD"/>
    <w:rsid w:val="004A22FA"/>
    <w:rsid w:val="004A269A"/>
    <w:rsid w:val="004A26DB"/>
    <w:rsid w:val="004A2A16"/>
    <w:rsid w:val="004A30FB"/>
    <w:rsid w:val="004A35DD"/>
    <w:rsid w:val="004A37D3"/>
    <w:rsid w:val="004A3AD6"/>
    <w:rsid w:val="004A5865"/>
    <w:rsid w:val="004A6092"/>
    <w:rsid w:val="004A6EA4"/>
    <w:rsid w:val="004A7670"/>
    <w:rsid w:val="004A77DF"/>
    <w:rsid w:val="004B0295"/>
    <w:rsid w:val="004B0803"/>
    <w:rsid w:val="004B10A8"/>
    <w:rsid w:val="004B1F58"/>
    <w:rsid w:val="004B1F9D"/>
    <w:rsid w:val="004B22DA"/>
    <w:rsid w:val="004B2591"/>
    <w:rsid w:val="004B30E2"/>
    <w:rsid w:val="004B3CB7"/>
    <w:rsid w:val="004B3D55"/>
    <w:rsid w:val="004B55B7"/>
    <w:rsid w:val="004B5836"/>
    <w:rsid w:val="004B5F05"/>
    <w:rsid w:val="004B7A90"/>
    <w:rsid w:val="004C00A6"/>
    <w:rsid w:val="004C0BBB"/>
    <w:rsid w:val="004C1AD6"/>
    <w:rsid w:val="004C1B86"/>
    <w:rsid w:val="004C2316"/>
    <w:rsid w:val="004C2F2D"/>
    <w:rsid w:val="004C3382"/>
    <w:rsid w:val="004C3867"/>
    <w:rsid w:val="004C4AB7"/>
    <w:rsid w:val="004C4B88"/>
    <w:rsid w:val="004C4CD0"/>
    <w:rsid w:val="004C5186"/>
    <w:rsid w:val="004C57B5"/>
    <w:rsid w:val="004C5ADB"/>
    <w:rsid w:val="004C5C25"/>
    <w:rsid w:val="004C6717"/>
    <w:rsid w:val="004C6CFF"/>
    <w:rsid w:val="004C70DC"/>
    <w:rsid w:val="004C7268"/>
    <w:rsid w:val="004C7628"/>
    <w:rsid w:val="004C7C5C"/>
    <w:rsid w:val="004D0211"/>
    <w:rsid w:val="004D1C9C"/>
    <w:rsid w:val="004D458D"/>
    <w:rsid w:val="004D4F13"/>
    <w:rsid w:val="004D504B"/>
    <w:rsid w:val="004D536E"/>
    <w:rsid w:val="004D70B1"/>
    <w:rsid w:val="004D76CC"/>
    <w:rsid w:val="004E1839"/>
    <w:rsid w:val="004E230C"/>
    <w:rsid w:val="004E4A75"/>
    <w:rsid w:val="004E541A"/>
    <w:rsid w:val="004E5A5C"/>
    <w:rsid w:val="004E7007"/>
    <w:rsid w:val="004E76D6"/>
    <w:rsid w:val="004E7F57"/>
    <w:rsid w:val="004F06F5"/>
    <w:rsid w:val="004F15E5"/>
    <w:rsid w:val="004F191F"/>
    <w:rsid w:val="004F2A4D"/>
    <w:rsid w:val="004F2A73"/>
    <w:rsid w:val="004F33A0"/>
    <w:rsid w:val="004F4353"/>
    <w:rsid w:val="004F447D"/>
    <w:rsid w:val="004F4C28"/>
    <w:rsid w:val="004F4E82"/>
    <w:rsid w:val="004F5470"/>
    <w:rsid w:val="004F5CC5"/>
    <w:rsid w:val="004F6350"/>
    <w:rsid w:val="004F674E"/>
    <w:rsid w:val="004F7170"/>
    <w:rsid w:val="005028E1"/>
    <w:rsid w:val="00503C34"/>
    <w:rsid w:val="00504937"/>
    <w:rsid w:val="00505989"/>
    <w:rsid w:val="00506309"/>
    <w:rsid w:val="0050692E"/>
    <w:rsid w:val="00507040"/>
    <w:rsid w:val="005079F8"/>
    <w:rsid w:val="00510189"/>
    <w:rsid w:val="005108C0"/>
    <w:rsid w:val="00510DA4"/>
    <w:rsid w:val="00511873"/>
    <w:rsid w:val="00512603"/>
    <w:rsid w:val="0051367B"/>
    <w:rsid w:val="00513A89"/>
    <w:rsid w:val="00513B7E"/>
    <w:rsid w:val="005140DE"/>
    <w:rsid w:val="0051412B"/>
    <w:rsid w:val="00514474"/>
    <w:rsid w:val="005147E9"/>
    <w:rsid w:val="005151B5"/>
    <w:rsid w:val="00515400"/>
    <w:rsid w:val="00515402"/>
    <w:rsid w:val="0051593C"/>
    <w:rsid w:val="00515A90"/>
    <w:rsid w:val="00517567"/>
    <w:rsid w:val="0051778B"/>
    <w:rsid w:val="0051778E"/>
    <w:rsid w:val="005215EF"/>
    <w:rsid w:val="00521923"/>
    <w:rsid w:val="00523FA1"/>
    <w:rsid w:val="00524637"/>
    <w:rsid w:val="00524FDD"/>
    <w:rsid w:val="00525137"/>
    <w:rsid w:val="005251DD"/>
    <w:rsid w:val="00526DB6"/>
    <w:rsid w:val="0053017A"/>
    <w:rsid w:val="00530492"/>
    <w:rsid w:val="0053055E"/>
    <w:rsid w:val="005308E4"/>
    <w:rsid w:val="00532854"/>
    <w:rsid w:val="00532935"/>
    <w:rsid w:val="00533AB1"/>
    <w:rsid w:val="005350F2"/>
    <w:rsid w:val="00535152"/>
    <w:rsid w:val="00535359"/>
    <w:rsid w:val="005357A2"/>
    <w:rsid w:val="005359E3"/>
    <w:rsid w:val="00535D87"/>
    <w:rsid w:val="00535EF0"/>
    <w:rsid w:val="005363DF"/>
    <w:rsid w:val="00536BCA"/>
    <w:rsid w:val="0053734B"/>
    <w:rsid w:val="005375B1"/>
    <w:rsid w:val="00537737"/>
    <w:rsid w:val="00537AFD"/>
    <w:rsid w:val="00537CB4"/>
    <w:rsid w:val="00542636"/>
    <w:rsid w:val="005447DC"/>
    <w:rsid w:val="0054516B"/>
    <w:rsid w:val="0054559E"/>
    <w:rsid w:val="005459BD"/>
    <w:rsid w:val="00546234"/>
    <w:rsid w:val="005501E1"/>
    <w:rsid w:val="005502D6"/>
    <w:rsid w:val="00550ACF"/>
    <w:rsid w:val="005513D5"/>
    <w:rsid w:val="005523B9"/>
    <w:rsid w:val="0055240C"/>
    <w:rsid w:val="005532E5"/>
    <w:rsid w:val="005545E0"/>
    <w:rsid w:val="00554865"/>
    <w:rsid w:val="00554D1E"/>
    <w:rsid w:val="00554E57"/>
    <w:rsid w:val="0055601A"/>
    <w:rsid w:val="00557E36"/>
    <w:rsid w:val="00557E6A"/>
    <w:rsid w:val="00562749"/>
    <w:rsid w:val="00562DE9"/>
    <w:rsid w:val="00563191"/>
    <w:rsid w:val="005638A5"/>
    <w:rsid w:val="0056474F"/>
    <w:rsid w:val="00564DBF"/>
    <w:rsid w:val="00566381"/>
    <w:rsid w:val="00566837"/>
    <w:rsid w:val="00566A03"/>
    <w:rsid w:val="005703D0"/>
    <w:rsid w:val="00571932"/>
    <w:rsid w:val="00572B2C"/>
    <w:rsid w:val="00573C97"/>
    <w:rsid w:val="00574240"/>
    <w:rsid w:val="0057454C"/>
    <w:rsid w:val="00574E87"/>
    <w:rsid w:val="005752EB"/>
    <w:rsid w:val="00575CDC"/>
    <w:rsid w:val="005765D5"/>
    <w:rsid w:val="005767FE"/>
    <w:rsid w:val="00576A3E"/>
    <w:rsid w:val="00576B86"/>
    <w:rsid w:val="0057703D"/>
    <w:rsid w:val="00581892"/>
    <w:rsid w:val="00582C84"/>
    <w:rsid w:val="00582F04"/>
    <w:rsid w:val="0058366F"/>
    <w:rsid w:val="00583D5B"/>
    <w:rsid w:val="00583FFD"/>
    <w:rsid w:val="00584150"/>
    <w:rsid w:val="0058621A"/>
    <w:rsid w:val="005867AE"/>
    <w:rsid w:val="00587451"/>
    <w:rsid w:val="00587CCD"/>
    <w:rsid w:val="005908AE"/>
    <w:rsid w:val="00590FCF"/>
    <w:rsid w:val="0059176E"/>
    <w:rsid w:val="00592854"/>
    <w:rsid w:val="00593152"/>
    <w:rsid w:val="005934CE"/>
    <w:rsid w:val="00593CA3"/>
    <w:rsid w:val="00594161"/>
    <w:rsid w:val="00594969"/>
    <w:rsid w:val="00594B91"/>
    <w:rsid w:val="00594D2B"/>
    <w:rsid w:val="00595035"/>
    <w:rsid w:val="00596AC6"/>
    <w:rsid w:val="00596C5E"/>
    <w:rsid w:val="005A2194"/>
    <w:rsid w:val="005A21E0"/>
    <w:rsid w:val="005A3210"/>
    <w:rsid w:val="005A33A1"/>
    <w:rsid w:val="005A3687"/>
    <w:rsid w:val="005A54EE"/>
    <w:rsid w:val="005A563B"/>
    <w:rsid w:val="005A5F82"/>
    <w:rsid w:val="005A6E85"/>
    <w:rsid w:val="005A7500"/>
    <w:rsid w:val="005A77E4"/>
    <w:rsid w:val="005B0262"/>
    <w:rsid w:val="005B0B8F"/>
    <w:rsid w:val="005B1BDB"/>
    <w:rsid w:val="005B22A7"/>
    <w:rsid w:val="005B2929"/>
    <w:rsid w:val="005B2944"/>
    <w:rsid w:val="005B2BAA"/>
    <w:rsid w:val="005B2D53"/>
    <w:rsid w:val="005B3247"/>
    <w:rsid w:val="005B3409"/>
    <w:rsid w:val="005B498A"/>
    <w:rsid w:val="005B7B12"/>
    <w:rsid w:val="005B7F75"/>
    <w:rsid w:val="005C16CB"/>
    <w:rsid w:val="005C21D6"/>
    <w:rsid w:val="005C3F9F"/>
    <w:rsid w:val="005C406F"/>
    <w:rsid w:val="005C4978"/>
    <w:rsid w:val="005C4A23"/>
    <w:rsid w:val="005C562C"/>
    <w:rsid w:val="005C5812"/>
    <w:rsid w:val="005C591E"/>
    <w:rsid w:val="005C6400"/>
    <w:rsid w:val="005C7F1E"/>
    <w:rsid w:val="005D073B"/>
    <w:rsid w:val="005D1966"/>
    <w:rsid w:val="005D25B4"/>
    <w:rsid w:val="005D374F"/>
    <w:rsid w:val="005D5802"/>
    <w:rsid w:val="005D6CFC"/>
    <w:rsid w:val="005D73E2"/>
    <w:rsid w:val="005D757A"/>
    <w:rsid w:val="005D7C4B"/>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4057"/>
    <w:rsid w:val="005F4088"/>
    <w:rsid w:val="005F42F4"/>
    <w:rsid w:val="005F4C83"/>
    <w:rsid w:val="005F5916"/>
    <w:rsid w:val="005F5AD6"/>
    <w:rsid w:val="005F601D"/>
    <w:rsid w:val="005F6119"/>
    <w:rsid w:val="005F74B2"/>
    <w:rsid w:val="005F76F8"/>
    <w:rsid w:val="005F7940"/>
    <w:rsid w:val="005F7A9D"/>
    <w:rsid w:val="0060107A"/>
    <w:rsid w:val="00601AFF"/>
    <w:rsid w:val="00602D1D"/>
    <w:rsid w:val="00603BAF"/>
    <w:rsid w:val="00604307"/>
    <w:rsid w:val="0060487F"/>
    <w:rsid w:val="00605814"/>
    <w:rsid w:val="00606B93"/>
    <w:rsid w:val="00607119"/>
    <w:rsid w:val="006074D7"/>
    <w:rsid w:val="00607727"/>
    <w:rsid w:val="00607934"/>
    <w:rsid w:val="00610504"/>
    <w:rsid w:val="00610578"/>
    <w:rsid w:val="00610BD5"/>
    <w:rsid w:val="00611363"/>
    <w:rsid w:val="00611531"/>
    <w:rsid w:val="006118AA"/>
    <w:rsid w:val="00611C28"/>
    <w:rsid w:val="00612192"/>
    <w:rsid w:val="006139C7"/>
    <w:rsid w:val="006150EA"/>
    <w:rsid w:val="006153E3"/>
    <w:rsid w:val="006167AB"/>
    <w:rsid w:val="0061718A"/>
    <w:rsid w:val="00617C6F"/>
    <w:rsid w:val="00617D2D"/>
    <w:rsid w:val="00617D83"/>
    <w:rsid w:val="00620430"/>
    <w:rsid w:val="00620AC5"/>
    <w:rsid w:val="00621575"/>
    <w:rsid w:val="006215FC"/>
    <w:rsid w:val="00623EB2"/>
    <w:rsid w:val="00624093"/>
    <w:rsid w:val="00624198"/>
    <w:rsid w:val="006250B5"/>
    <w:rsid w:val="006279F0"/>
    <w:rsid w:val="00630F66"/>
    <w:rsid w:val="00631FC2"/>
    <w:rsid w:val="00632171"/>
    <w:rsid w:val="0063252F"/>
    <w:rsid w:val="006325CC"/>
    <w:rsid w:val="00632D86"/>
    <w:rsid w:val="0063332A"/>
    <w:rsid w:val="006347F9"/>
    <w:rsid w:val="0063494E"/>
    <w:rsid w:val="00634C90"/>
    <w:rsid w:val="00635818"/>
    <w:rsid w:val="00635E79"/>
    <w:rsid w:val="00636E5E"/>
    <w:rsid w:val="006379E0"/>
    <w:rsid w:val="006403DC"/>
    <w:rsid w:val="006404A7"/>
    <w:rsid w:val="006407F3"/>
    <w:rsid w:val="006408EC"/>
    <w:rsid w:val="0064129B"/>
    <w:rsid w:val="00641849"/>
    <w:rsid w:val="00641DF7"/>
    <w:rsid w:val="00643145"/>
    <w:rsid w:val="00643497"/>
    <w:rsid w:val="00643735"/>
    <w:rsid w:val="00643A80"/>
    <w:rsid w:val="006448C2"/>
    <w:rsid w:val="00644DFC"/>
    <w:rsid w:val="006451E4"/>
    <w:rsid w:val="006454B4"/>
    <w:rsid w:val="0064575F"/>
    <w:rsid w:val="00645A9C"/>
    <w:rsid w:val="00646042"/>
    <w:rsid w:val="006460B8"/>
    <w:rsid w:val="00650260"/>
    <w:rsid w:val="006504A0"/>
    <w:rsid w:val="006515D6"/>
    <w:rsid w:val="006520C7"/>
    <w:rsid w:val="006520D5"/>
    <w:rsid w:val="0065271C"/>
    <w:rsid w:val="00652CBB"/>
    <w:rsid w:val="006530B8"/>
    <w:rsid w:val="006535D6"/>
    <w:rsid w:val="006539ED"/>
    <w:rsid w:val="00655197"/>
    <w:rsid w:val="006555FE"/>
    <w:rsid w:val="00656716"/>
    <w:rsid w:val="0065692B"/>
    <w:rsid w:val="006572ED"/>
    <w:rsid w:val="00657E87"/>
    <w:rsid w:val="00660457"/>
    <w:rsid w:val="00660CB4"/>
    <w:rsid w:val="00660E1E"/>
    <w:rsid w:val="00661416"/>
    <w:rsid w:val="006621EB"/>
    <w:rsid w:val="00662E05"/>
    <w:rsid w:val="0066328A"/>
    <w:rsid w:val="006637B1"/>
    <w:rsid w:val="00663CFD"/>
    <w:rsid w:val="00664B64"/>
    <w:rsid w:val="00665587"/>
    <w:rsid w:val="00665D67"/>
    <w:rsid w:val="00665D77"/>
    <w:rsid w:val="006660BB"/>
    <w:rsid w:val="006660CD"/>
    <w:rsid w:val="00666EC8"/>
    <w:rsid w:val="00666F4B"/>
    <w:rsid w:val="006676D0"/>
    <w:rsid w:val="0066796E"/>
    <w:rsid w:val="00667ED1"/>
    <w:rsid w:val="00670FAC"/>
    <w:rsid w:val="006710C9"/>
    <w:rsid w:val="006716A5"/>
    <w:rsid w:val="00672271"/>
    <w:rsid w:val="00673904"/>
    <w:rsid w:val="00674B96"/>
    <w:rsid w:val="00674D93"/>
    <w:rsid w:val="00675E37"/>
    <w:rsid w:val="006764ED"/>
    <w:rsid w:val="00676AFC"/>
    <w:rsid w:val="00676F11"/>
    <w:rsid w:val="00680079"/>
    <w:rsid w:val="00680ECC"/>
    <w:rsid w:val="00680F68"/>
    <w:rsid w:val="0068260E"/>
    <w:rsid w:val="0068373D"/>
    <w:rsid w:val="00683BFE"/>
    <w:rsid w:val="0068437D"/>
    <w:rsid w:val="006857DF"/>
    <w:rsid w:val="00685E66"/>
    <w:rsid w:val="00686B72"/>
    <w:rsid w:val="00686BF1"/>
    <w:rsid w:val="006877CC"/>
    <w:rsid w:val="00687AE5"/>
    <w:rsid w:val="0069087E"/>
    <w:rsid w:val="00690A09"/>
    <w:rsid w:val="00690A25"/>
    <w:rsid w:val="00691008"/>
    <w:rsid w:val="006927C4"/>
    <w:rsid w:val="0069281B"/>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4409"/>
    <w:rsid w:val="006A45B6"/>
    <w:rsid w:val="006A568F"/>
    <w:rsid w:val="006A5BA8"/>
    <w:rsid w:val="006A5C97"/>
    <w:rsid w:val="006A65EF"/>
    <w:rsid w:val="006A672B"/>
    <w:rsid w:val="006A7B27"/>
    <w:rsid w:val="006B08BB"/>
    <w:rsid w:val="006B1781"/>
    <w:rsid w:val="006B23A9"/>
    <w:rsid w:val="006B23D8"/>
    <w:rsid w:val="006B281D"/>
    <w:rsid w:val="006B2F6D"/>
    <w:rsid w:val="006B385C"/>
    <w:rsid w:val="006B3F8A"/>
    <w:rsid w:val="006B5CA3"/>
    <w:rsid w:val="006B6B3B"/>
    <w:rsid w:val="006B7248"/>
    <w:rsid w:val="006B7714"/>
    <w:rsid w:val="006B781B"/>
    <w:rsid w:val="006B78D8"/>
    <w:rsid w:val="006C07D6"/>
    <w:rsid w:val="006C090F"/>
    <w:rsid w:val="006C0935"/>
    <w:rsid w:val="006C0BCE"/>
    <w:rsid w:val="006C113F"/>
    <w:rsid w:val="006C1B8C"/>
    <w:rsid w:val="006C2AED"/>
    <w:rsid w:val="006C38DD"/>
    <w:rsid w:val="006C457F"/>
    <w:rsid w:val="006C53C7"/>
    <w:rsid w:val="006C5577"/>
    <w:rsid w:val="006C559A"/>
    <w:rsid w:val="006C58FA"/>
    <w:rsid w:val="006C5FB6"/>
    <w:rsid w:val="006D004F"/>
    <w:rsid w:val="006D0366"/>
    <w:rsid w:val="006D042D"/>
    <w:rsid w:val="006D06BF"/>
    <w:rsid w:val="006D06EF"/>
    <w:rsid w:val="006D142E"/>
    <w:rsid w:val="006D1B43"/>
    <w:rsid w:val="006D3B87"/>
    <w:rsid w:val="006D4178"/>
    <w:rsid w:val="006D4497"/>
    <w:rsid w:val="006D4E6F"/>
    <w:rsid w:val="006D61F6"/>
    <w:rsid w:val="006D710C"/>
    <w:rsid w:val="006E0EB0"/>
    <w:rsid w:val="006E182C"/>
    <w:rsid w:val="006E1F4C"/>
    <w:rsid w:val="006E22C8"/>
    <w:rsid w:val="006E279A"/>
    <w:rsid w:val="006E2C28"/>
    <w:rsid w:val="006E2F3F"/>
    <w:rsid w:val="006E313B"/>
    <w:rsid w:val="006E3B2F"/>
    <w:rsid w:val="006E442A"/>
    <w:rsid w:val="006E4434"/>
    <w:rsid w:val="006E59FC"/>
    <w:rsid w:val="006E5CFD"/>
    <w:rsid w:val="006E7E2C"/>
    <w:rsid w:val="006F0367"/>
    <w:rsid w:val="006F1326"/>
    <w:rsid w:val="006F1A67"/>
    <w:rsid w:val="006F21A0"/>
    <w:rsid w:val="006F2280"/>
    <w:rsid w:val="006F2BEE"/>
    <w:rsid w:val="006F3531"/>
    <w:rsid w:val="006F3708"/>
    <w:rsid w:val="006F376C"/>
    <w:rsid w:val="006F3E6B"/>
    <w:rsid w:val="006F4619"/>
    <w:rsid w:val="006F4A59"/>
    <w:rsid w:val="006F6968"/>
    <w:rsid w:val="006F69A1"/>
    <w:rsid w:val="0070009B"/>
    <w:rsid w:val="00700232"/>
    <w:rsid w:val="00701382"/>
    <w:rsid w:val="007014C7"/>
    <w:rsid w:val="007016E8"/>
    <w:rsid w:val="00702100"/>
    <w:rsid w:val="00702401"/>
    <w:rsid w:val="00702D6F"/>
    <w:rsid w:val="00703B6C"/>
    <w:rsid w:val="00703B9F"/>
    <w:rsid w:val="00703C6B"/>
    <w:rsid w:val="007047D5"/>
    <w:rsid w:val="00704A71"/>
    <w:rsid w:val="00705CA7"/>
    <w:rsid w:val="00705D98"/>
    <w:rsid w:val="00707891"/>
    <w:rsid w:val="00707D43"/>
    <w:rsid w:val="00710F7C"/>
    <w:rsid w:val="00711D33"/>
    <w:rsid w:val="00711D7C"/>
    <w:rsid w:val="00711EF1"/>
    <w:rsid w:val="007120ED"/>
    <w:rsid w:val="0071229A"/>
    <w:rsid w:val="00712572"/>
    <w:rsid w:val="00713355"/>
    <w:rsid w:val="00713477"/>
    <w:rsid w:val="00713495"/>
    <w:rsid w:val="00713EEB"/>
    <w:rsid w:val="007159D2"/>
    <w:rsid w:val="007175F6"/>
    <w:rsid w:val="00717726"/>
    <w:rsid w:val="0072050E"/>
    <w:rsid w:val="00720958"/>
    <w:rsid w:val="00720FA2"/>
    <w:rsid w:val="007211F5"/>
    <w:rsid w:val="00721B11"/>
    <w:rsid w:val="00722286"/>
    <w:rsid w:val="00724428"/>
    <w:rsid w:val="00724666"/>
    <w:rsid w:val="00724E80"/>
    <w:rsid w:val="0072526D"/>
    <w:rsid w:val="00725492"/>
    <w:rsid w:val="007256B7"/>
    <w:rsid w:val="00726043"/>
    <w:rsid w:val="007268D0"/>
    <w:rsid w:val="0072704A"/>
    <w:rsid w:val="00727457"/>
    <w:rsid w:val="007274A9"/>
    <w:rsid w:val="00730AE8"/>
    <w:rsid w:val="007315DA"/>
    <w:rsid w:val="00731963"/>
    <w:rsid w:val="00732706"/>
    <w:rsid w:val="00732F10"/>
    <w:rsid w:val="00734321"/>
    <w:rsid w:val="0073532E"/>
    <w:rsid w:val="00735B01"/>
    <w:rsid w:val="007374FC"/>
    <w:rsid w:val="00740310"/>
    <w:rsid w:val="00740652"/>
    <w:rsid w:val="00740F02"/>
    <w:rsid w:val="00740FEC"/>
    <w:rsid w:val="0074132E"/>
    <w:rsid w:val="00741493"/>
    <w:rsid w:val="0074261C"/>
    <w:rsid w:val="007426B3"/>
    <w:rsid w:val="007426FD"/>
    <w:rsid w:val="007430AB"/>
    <w:rsid w:val="0074329D"/>
    <w:rsid w:val="007436AD"/>
    <w:rsid w:val="00744376"/>
    <w:rsid w:val="007449EA"/>
    <w:rsid w:val="00744D00"/>
    <w:rsid w:val="00744D2B"/>
    <w:rsid w:val="00745273"/>
    <w:rsid w:val="00745F3C"/>
    <w:rsid w:val="007468BC"/>
    <w:rsid w:val="00746AA2"/>
    <w:rsid w:val="00746DC9"/>
    <w:rsid w:val="00746DD9"/>
    <w:rsid w:val="0075057A"/>
    <w:rsid w:val="007515E0"/>
    <w:rsid w:val="00751771"/>
    <w:rsid w:val="00751C1C"/>
    <w:rsid w:val="00752180"/>
    <w:rsid w:val="007521A1"/>
    <w:rsid w:val="00752BC3"/>
    <w:rsid w:val="0075315D"/>
    <w:rsid w:val="00753518"/>
    <w:rsid w:val="007538F9"/>
    <w:rsid w:val="00754253"/>
    <w:rsid w:val="00754593"/>
    <w:rsid w:val="007552BB"/>
    <w:rsid w:val="007558D3"/>
    <w:rsid w:val="007559D7"/>
    <w:rsid w:val="00755D3A"/>
    <w:rsid w:val="0075747F"/>
    <w:rsid w:val="00760141"/>
    <w:rsid w:val="007609C6"/>
    <w:rsid w:val="007610A0"/>
    <w:rsid w:val="00762036"/>
    <w:rsid w:val="007620F2"/>
    <w:rsid w:val="00762EBA"/>
    <w:rsid w:val="0076359D"/>
    <w:rsid w:val="007678F9"/>
    <w:rsid w:val="0077058D"/>
    <w:rsid w:val="00770931"/>
    <w:rsid w:val="00772536"/>
    <w:rsid w:val="007732D4"/>
    <w:rsid w:val="00773613"/>
    <w:rsid w:val="00774782"/>
    <w:rsid w:val="00775219"/>
    <w:rsid w:val="00776476"/>
    <w:rsid w:val="00776527"/>
    <w:rsid w:val="00777268"/>
    <w:rsid w:val="007805E1"/>
    <w:rsid w:val="0078113E"/>
    <w:rsid w:val="00781834"/>
    <w:rsid w:val="007821DB"/>
    <w:rsid w:val="00782818"/>
    <w:rsid w:val="0078337E"/>
    <w:rsid w:val="007838F1"/>
    <w:rsid w:val="007845FB"/>
    <w:rsid w:val="007846DB"/>
    <w:rsid w:val="00784AE5"/>
    <w:rsid w:val="00784C4A"/>
    <w:rsid w:val="007856E9"/>
    <w:rsid w:val="007859BB"/>
    <w:rsid w:val="00787432"/>
    <w:rsid w:val="00787507"/>
    <w:rsid w:val="007877B5"/>
    <w:rsid w:val="007879F2"/>
    <w:rsid w:val="00787AC5"/>
    <w:rsid w:val="00790393"/>
    <w:rsid w:val="007909B8"/>
    <w:rsid w:val="00791804"/>
    <w:rsid w:val="00791CF8"/>
    <w:rsid w:val="00791D4B"/>
    <w:rsid w:val="00791EF9"/>
    <w:rsid w:val="00792262"/>
    <w:rsid w:val="00793387"/>
    <w:rsid w:val="00793BAE"/>
    <w:rsid w:val="00794216"/>
    <w:rsid w:val="00794870"/>
    <w:rsid w:val="00794E0A"/>
    <w:rsid w:val="00795B04"/>
    <w:rsid w:val="00796642"/>
    <w:rsid w:val="007A11D9"/>
    <w:rsid w:val="007A186E"/>
    <w:rsid w:val="007A327B"/>
    <w:rsid w:val="007A4048"/>
    <w:rsid w:val="007A45B1"/>
    <w:rsid w:val="007A4606"/>
    <w:rsid w:val="007A4C99"/>
    <w:rsid w:val="007A4D58"/>
    <w:rsid w:val="007A4FAF"/>
    <w:rsid w:val="007A51A8"/>
    <w:rsid w:val="007A7976"/>
    <w:rsid w:val="007A7EA4"/>
    <w:rsid w:val="007B011D"/>
    <w:rsid w:val="007B0D67"/>
    <w:rsid w:val="007B1584"/>
    <w:rsid w:val="007B1966"/>
    <w:rsid w:val="007B1A8F"/>
    <w:rsid w:val="007B1BA5"/>
    <w:rsid w:val="007B2257"/>
    <w:rsid w:val="007B2779"/>
    <w:rsid w:val="007B2AF7"/>
    <w:rsid w:val="007B3A9B"/>
    <w:rsid w:val="007B3DCC"/>
    <w:rsid w:val="007B400B"/>
    <w:rsid w:val="007B4427"/>
    <w:rsid w:val="007B4518"/>
    <w:rsid w:val="007B5031"/>
    <w:rsid w:val="007B573F"/>
    <w:rsid w:val="007B58A7"/>
    <w:rsid w:val="007B72AC"/>
    <w:rsid w:val="007B78F8"/>
    <w:rsid w:val="007C0065"/>
    <w:rsid w:val="007C010B"/>
    <w:rsid w:val="007C0BF1"/>
    <w:rsid w:val="007C2C5A"/>
    <w:rsid w:val="007C3191"/>
    <w:rsid w:val="007C32B6"/>
    <w:rsid w:val="007C3AE3"/>
    <w:rsid w:val="007C605B"/>
    <w:rsid w:val="007C6EBA"/>
    <w:rsid w:val="007D08EF"/>
    <w:rsid w:val="007D2A5A"/>
    <w:rsid w:val="007D2AD8"/>
    <w:rsid w:val="007D2C47"/>
    <w:rsid w:val="007D2C61"/>
    <w:rsid w:val="007D2F81"/>
    <w:rsid w:val="007D3167"/>
    <w:rsid w:val="007D3CF7"/>
    <w:rsid w:val="007D4128"/>
    <w:rsid w:val="007D4281"/>
    <w:rsid w:val="007D42F5"/>
    <w:rsid w:val="007D44C3"/>
    <w:rsid w:val="007D5947"/>
    <w:rsid w:val="007D5A68"/>
    <w:rsid w:val="007D65C1"/>
    <w:rsid w:val="007E00F7"/>
    <w:rsid w:val="007E030F"/>
    <w:rsid w:val="007E0D49"/>
    <w:rsid w:val="007E0E59"/>
    <w:rsid w:val="007E0F4B"/>
    <w:rsid w:val="007E12C1"/>
    <w:rsid w:val="007E1EF7"/>
    <w:rsid w:val="007E24C1"/>
    <w:rsid w:val="007E3715"/>
    <w:rsid w:val="007E5F3D"/>
    <w:rsid w:val="007E6588"/>
    <w:rsid w:val="007E69F5"/>
    <w:rsid w:val="007E7063"/>
    <w:rsid w:val="007E74EA"/>
    <w:rsid w:val="007E7E61"/>
    <w:rsid w:val="007E7E88"/>
    <w:rsid w:val="007F0316"/>
    <w:rsid w:val="007F0845"/>
    <w:rsid w:val="007F1092"/>
    <w:rsid w:val="007F12B6"/>
    <w:rsid w:val="007F16F9"/>
    <w:rsid w:val="007F27D2"/>
    <w:rsid w:val="007F2801"/>
    <w:rsid w:val="007F3D55"/>
    <w:rsid w:val="007F3E3E"/>
    <w:rsid w:val="007F42E0"/>
    <w:rsid w:val="007F500D"/>
    <w:rsid w:val="007F5F14"/>
    <w:rsid w:val="007F6CEB"/>
    <w:rsid w:val="007F7A39"/>
    <w:rsid w:val="007F7B54"/>
    <w:rsid w:val="007F7C60"/>
    <w:rsid w:val="00800073"/>
    <w:rsid w:val="008000EB"/>
    <w:rsid w:val="008005D7"/>
    <w:rsid w:val="00801FB7"/>
    <w:rsid w:val="00801FDD"/>
    <w:rsid w:val="008020C2"/>
    <w:rsid w:val="00802259"/>
    <w:rsid w:val="0080255C"/>
    <w:rsid w:val="00802D68"/>
    <w:rsid w:val="00806088"/>
    <w:rsid w:val="00806231"/>
    <w:rsid w:val="00806D07"/>
    <w:rsid w:val="008100E2"/>
    <w:rsid w:val="0081019B"/>
    <w:rsid w:val="00810A42"/>
    <w:rsid w:val="0081100A"/>
    <w:rsid w:val="0081187C"/>
    <w:rsid w:val="00811E24"/>
    <w:rsid w:val="00812386"/>
    <w:rsid w:val="00812A9C"/>
    <w:rsid w:val="00812E2B"/>
    <w:rsid w:val="00813A70"/>
    <w:rsid w:val="00813FE6"/>
    <w:rsid w:val="00815C6E"/>
    <w:rsid w:val="00815DD0"/>
    <w:rsid w:val="00815F10"/>
    <w:rsid w:val="0081645F"/>
    <w:rsid w:val="00816D15"/>
    <w:rsid w:val="008173D2"/>
    <w:rsid w:val="00817755"/>
    <w:rsid w:val="008178C2"/>
    <w:rsid w:val="008178CF"/>
    <w:rsid w:val="00817C98"/>
    <w:rsid w:val="00820C9F"/>
    <w:rsid w:val="00821AAE"/>
    <w:rsid w:val="00821FF6"/>
    <w:rsid w:val="00823AAF"/>
    <w:rsid w:val="00824081"/>
    <w:rsid w:val="0082409A"/>
    <w:rsid w:val="008252D7"/>
    <w:rsid w:val="00825B92"/>
    <w:rsid w:val="00825C0F"/>
    <w:rsid w:val="00826376"/>
    <w:rsid w:val="00826ED1"/>
    <w:rsid w:val="00827181"/>
    <w:rsid w:val="0082733C"/>
    <w:rsid w:val="00827746"/>
    <w:rsid w:val="00830191"/>
    <w:rsid w:val="0083102D"/>
    <w:rsid w:val="00831296"/>
    <w:rsid w:val="0083143E"/>
    <w:rsid w:val="0083159D"/>
    <w:rsid w:val="008318FF"/>
    <w:rsid w:val="00832187"/>
    <w:rsid w:val="00832493"/>
    <w:rsid w:val="008329BD"/>
    <w:rsid w:val="0083330B"/>
    <w:rsid w:val="008334C3"/>
    <w:rsid w:val="008336D8"/>
    <w:rsid w:val="008339C4"/>
    <w:rsid w:val="008339DC"/>
    <w:rsid w:val="008341B5"/>
    <w:rsid w:val="00834F0A"/>
    <w:rsid w:val="00834FAA"/>
    <w:rsid w:val="00835181"/>
    <w:rsid w:val="00835606"/>
    <w:rsid w:val="00835991"/>
    <w:rsid w:val="00836086"/>
    <w:rsid w:val="00837280"/>
    <w:rsid w:val="00837763"/>
    <w:rsid w:val="00840699"/>
    <w:rsid w:val="00841924"/>
    <w:rsid w:val="00841D9F"/>
    <w:rsid w:val="00842078"/>
    <w:rsid w:val="00842604"/>
    <w:rsid w:val="008426B1"/>
    <w:rsid w:val="00843ECF"/>
    <w:rsid w:val="00844AFC"/>
    <w:rsid w:val="00845AB1"/>
    <w:rsid w:val="00846673"/>
    <w:rsid w:val="008508A9"/>
    <w:rsid w:val="0085188D"/>
    <w:rsid w:val="008525F9"/>
    <w:rsid w:val="0085281A"/>
    <w:rsid w:val="00852939"/>
    <w:rsid w:val="00853421"/>
    <w:rsid w:val="00853A25"/>
    <w:rsid w:val="00853F33"/>
    <w:rsid w:val="008544C2"/>
    <w:rsid w:val="00854A82"/>
    <w:rsid w:val="00854BD5"/>
    <w:rsid w:val="008550EA"/>
    <w:rsid w:val="008559FE"/>
    <w:rsid w:val="00857339"/>
    <w:rsid w:val="00857A2F"/>
    <w:rsid w:val="00860706"/>
    <w:rsid w:val="008612B0"/>
    <w:rsid w:val="00862A7A"/>
    <w:rsid w:val="00862FBD"/>
    <w:rsid w:val="00863104"/>
    <w:rsid w:val="008636CD"/>
    <w:rsid w:val="00863702"/>
    <w:rsid w:val="00863D9E"/>
    <w:rsid w:val="00863FDC"/>
    <w:rsid w:val="0086405D"/>
    <w:rsid w:val="008642AF"/>
    <w:rsid w:val="00865286"/>
    <w:rsid w:val="00865729"/>
    <w:rsid w:val="00865ED4"/>
    <w:rsid w:val="008669A7"/>
    <w:rsid w:val="00867464"/>
    <w:rsid w:val="00867D15"/>
    <w:rsid w:val="00867E29"/>
    <w:rsid w:val="00870F2B"/>
    <w:rsid w:val="00871594"/>
    <w:rsid w:val="00873B2E"/>
    <w:rsid w:val="008746E6"/>
    <w:rsid w:val="0087515D"/>
    <w:rsid w:val="0087594C"/>
    <w:rsid w:val="00876086"/>
    <w:rsid w:val="008765FA"/>
    <w:rsid w:val="008768D6"/>
    <w:rsid w:val="008775D1"/>
    <w:rsid w:val="008777A6"/>
    <w:rsid w:val="008777BB"/>
    <w:rsid w:val="00877BA6"/>
    <w:rsid w:val="00877D68"/>
    <w:rsid w:val="00877E5D"/>
    <w:rsid w:val="00880150"/>
    <w:rsid w:val="00880ABA"/>
    <w:rsid w:val="00880BD4"/>
    <w:rsid w:val="00882D1B"/>
    <w:rsid w:val="008834D6"/>
    <w:rsid w:val="00883A67"/>
    <w:rsid w:val="00883CB5"/>
    <w:rsid w:val="00883D45"/>
    <w:rsid w:val="0088446A"/>
    <w:rsid w:val="00884D69"/>
    <w:rsid w:val="00884E13"/>
    <w:rsid w:val="0088503D"/>
    <w:rsid w:val="008850F7"/>
    <w:rsid w:val="008856E1"/>
    <w:rsid w:val="00885891"/>
    <w:rsid w:val="00885EC6"/>
    <w:rsid w:val="008869D2"/>
    <w:rsid w:val="00886A8F"/>
    <w:rsid w:val="0088733A"/>
    <w:rsid w:val="00890114"/>
    <w:rsid w:val="0089107B"/>
    <w:rsid w:val="00891BE0"/>
    <w:rsid w:val="00893302"/>
    <w:rsid w:val="00893648"/>
    <w:rsid w:val="0089368A"/>
    <w:rsid w:val="00893F3C"/>
    <w:rsid w:val="008945A1"/>
    <w:rsid w:val="00894A63"/>
    <w:rsid w:val="00895A54"/>
    <w:rsid w:val="00896776"/>
    <w:rsid w:val="0089690C"/>
    <w:rsid w:val="00896916"/>
    <w:rsid w:val="00896BDE"/>
    <w:rsid w:val="0089763E"/>
    <w:rsid w:val="008A03DE"/>
    <w:rsid w:val="008A0861"/>
    <w:rsid w:val="008A0BB2"/>
    <w:rsid w:val="008A1662"/>
    <w:rsid w:val="008A1AB3"/>
    <w:rsid w:val="008A1D5C"/>
    <w:rsid w:val="008A3047"/>
    <w:rsid w:val="008A3292"/>
    <w:rsid w:val="008A349F"/>
    <w:rsid w:val="008A3A85"/>
    <w:rsid w:val="008A43E9"/>
    <w:rsid w:val="008A4CB1"/>
    <w:rsid w:val="008A6103"/>
    <w:rsid w:val="008A615E"/>
    <w:rsid w:val="008A632B"/>
    <w:rsid w:val="008A69A7"/>
    <w:rsid w:val="008A6BFE"/>
    <w:rsid w:val="008A73DA"/>
    <w:rsid w:val="008A76BD"/>
    <w:rsid w:val="008B00C2"/>
    <w:rsid w:val="008B051B"/>
    <w:rsid w:val="008B05E8"/>
    <w:rsid w:val="008B07EF"/>
    <w:rsid w:val="008B0862"/>
    <w:rsid w:val="008B16DE"/>
    <w:rsid w:val="008B190E"/>
    <w:rsid w:val="008B1A8A"/>
    <w:rsid w:val="008B1FC9"/>
    <w:rsid w:val="008B24AF"/>
    <w:rsid w:val="008B2D93"/>
    <w:rsid w:val="008B531F"/>
    <w:rsid w:val="008B54A3"/>
    <w:rsid w:val="008B634C"/>
    <w:rsid w:val="008B6B67"/>
    <w:rsid w:val="008B7306"/>
    <w:rsid w:val="008B775F"/>
    <w:rsid w:val="008B7C02"/>
    <w:rsid w:val="008B7D13"/>
    <w:rsid w:val="008B7F9E"/>
    <w:rsid w:val="008C034E"/>
    <w:rsid w:val="008C0595"/>
    <w:rsid w:val="008C083D"/>
    <w:rsid w:val="008C0E88"/>
    <w:rsid w:val="008C1399"/>
    <w:rsid w:val="008C173D"/>
    <w:rsid w:val="008C1AA8"/>
    <w:rsid w:val="008C22A8"/>
    <w:rsid w:val="008C2BDA"/>
    <w:rsid w:val="008C46D8"/>
    <w:rsid w:val="008C478D"/>
    <w:rsid w:val="008C5B43"/>
    <w:rsid w:val="008C5DC6"/>
    <w:rsid w:val="008C63FD"/>
    <w:rsid w:val="008C6B40"/>
    <w:rsid w:val="008C6CB8"/>
    <w:rsid w:val="008C6D92"/>
    <w:rsid w:val="008C777A"/>
    <w:rsid w:val="008C7815"/>
    <w:rsid w:val="008C7A07"/>
    <w:rsid w:val="008C7E90"/>
    <w:rsid w:val="008C7EB3"/>
    <w:rsid w:val="008D0171"/>
    <w:rsid w:val="008D0462"/>
    <w:rsid w:val="008D068A"/>
    <w:rsid w:val="008D0AC2"/>
    <w:rsid w:val="008D13EA"/>
    <w:rsid w:val="008D1DD9"/>
    <w:rsid w:val="008D2671"/>
    <w:rsid w:val="008D2A16"/>
    <w:rsid w:val="008D2ECF"/>
    <w:rsid w:val="008D347D"/>
    <w:rsid w:val="008D3F3D"/>
    <w:rsid w:val="008D3F95"/>
    <w:rsid w:val="008D4376"/>
    <w:rsid w:val="008D4D5E"/>
    <w:rsid w:val="008D5058"/>
    <w:rsid w:val="008D6244"/>
    <w:rsid w:val="008E0367"/>
    <w:rsid w:val="008E1FBE"/>
    <w:rsid w:val="008E308D"/>
    <w:rsid w:val="008E31FF"/>
    <w:rsid w:val="008E46A3"/>
    <w:rsid w:val="008E4E44"/>
    <w:rsid w:val="008E4FC2"/>
    <w:rsid w:val="008E5DE6"/>
    <w:rsid w:val="008E6113"/>
    <w:rsid w:val="008E6AB3"/>
    <w:rsid w:val="008E6AD3"/>
    <w:rsid w:val="008E6EBD"/>
    <w:rsid w:val="008E71A6"/>
    <w:rsid w:val="008E77B6"/>
    <w:rsid w:val="008E7C55"/>
    <w:rsid w:val="008F032E"/>
    <w:rsid w:val="008F0F14"/>
    <w:rsid w:val="008F2097"/>
    <w:rsid w:val="008F2342"/>
    <w:rsid w:val="008F2F44"/>
    <w:rsid w:val="008F4FCE"/>
    <w:rsid w:val="008F5301"/>
    <w:rsid w:val="008F6967"/>
    <w:rsid w:val="008F6A0C"/>
    <w:rsid w:val="008F6F38"/>
    <w:rsid w:val="008F7721"/>
    <w:rsid w:val="008F77B5"/>
    <w:rsid w:val="008F7D28"/>
    <w:rsid w:val="009003A8"/>
    <w:rsid w:val="009010A7"/>
    <w:rsid w:val="009010E3"/>
    <w:rsid w:val="00901703"/>
    <w:rsid w:val="00901AF3"/>
    <w:rsid w:val="009029C8"/>
    <w:rsid w:val="00902CBE"/>
    <w:rsid w:val="00902D74"/>
    <w:rsid w:val="00902EFF"/>
    <w:rsid w:val="009030F3"/>
    <w:rsid w:val="00903126"/>
    <w:rsid w:val="00903E06"/>
    <w:rsid w:val="00903F54"/>
    <w:rsid w:val="009045D1"/>
    <w:rsid w:val="00904B9D"/>
    <w:rsid w:val="009050C0"/>
    <w:rsid w:val="00905A11"/>
    <w:rsid w:val="00905FE8"/>
    <w:rsid w:val="009060A1"/>
    <w:rsid w:val="00906225"/>
    <w:rsid w:val="009066E1"/>
    <w:rsid w:val="00906F67"/>
    <w:rsid w:val="00907A41"/>
    <w:rsid w:val="009102BD"/>
    <w:rsid w:val="00910F93"/>
    <w:rsid w:val="0091174F"/>
    <w:rsid w:val="00911E87"/>
    <w:rsid w:val="0091255A"/>
    <w:rsid w:val="0091339E"/>
    <w:rsid w:val="00913547"/>
    <w:rsid w:val="00914426"/>
    <w:rsid w:val="00914962"/>
    <w:rsid w:val="0091675F"/>
    <w:rsid w:val="00917709"/>
    <w:rsid w:val="00917918"/>
    <w:rsid w:val="00920874"/>
    <w:rsid w:val="009209D9"/>
    <w:rsid w:val="00921F14"/>
    <w:rsid w:val="00923750"/>
    <w:rsid w:val="00923C17"/>
    <w:rsid w:val="009243A5"/>
    <w:rsid w:val="0092500F"/>
    <w:rsid w:val="009250D2"/>
    <w:rsid w:val="0092519D"/>
    <w:rsid w:val="0092540B"/>
    <w:rsid w:val="009256C5"/>
    <w:rsid w:val="00926283"/>
    <w:rsid w:val="009262D6"/>
    <w:rsid w:val="009306BE"/>
    <w:rsid w:val="00930CFB"/>
    <w:rsid w:val="00931208"/>
    <w:rsid w:val="00931324"/>
    <w:rsid w:val="00931C13"/>
    <w:rsid w:val="00934963"/>
    <w:rsid w:val="00934D36"/>
    <w:rsid w:val="009360FE"/>
    <w:rsid w:val="00937B11"/>
    <w:rsid w:val="009408E8"/>
    <w:rsid w:val="00940F1F"/>
    <w:rsid w:val="00941250"/>
    <w:rsid w:val="00941339"/>
    <w:rsid w:val="009416D5"/>
    <w:rsid w:val="0094396E"/>
    <w:rsid w:val="0094427A"/>
    <w:rsid w:val="00944380"/>
    <w:rsid w:val="009459C5"/>
    <w:rsid w:val="00945E5E"/>
    <w:rsid w:val="0094626C"/>
    <w:rsid w:val="0094681E"/>
    <w:rsid w:val="009475DB"/>
    <w:rsid w:val="0095013A"/>
    <w:rsid w:val="00953070"/>
    <w:rsid w:val="00953AEF"/>
    <w:rsid w:val="00953F0A"/>
    <w:rsid w:val="009546B0"/>
    <w:rsid w:val="009551E2"/>
    <w:rsid w:val="00955783"/>
    <w:rsid w:val="009558A6"/>
    <w:rsid w:val="00955E5F"/>
    <w:rsid w:val="009560B0"/>
    <w:rsid w:val="00956722"/>
    <w:rsid w:val="00956F23"/>
    <w:rsid w:val="009576AC"/>
    <w:rsid w:val="00957871"/>
    <w:rsid w:val="00960077"/>
    <w:rsid w:val="00960719"/>
    <w:rsid w:val="00960769"/>
    <w:rsid w:val="00962D2E"/>
    <w:rsid w:val="009632E3"/>
    <w:rsid w:val="00963724"/>
    <w:rsid w:val="00963F41"/>
    <w:rsid w:val="00964498"/>
    <w:rsid w:val="00964AF4"/>
    <w:rsid w:val="0096504D"/>
    <w:rsid w:val="00965795"/>
    <w:rsid w:val="00965830"/>
    <w:rsid w:val="00965A2D"/>
    <w:rsid w:val="009663EB"/>
    <w:rsid w:val="0096650F"/>
    <w:rsid w:val="00967801"/>
    <w:rsid w:val="00967AD2"/>
    <w:rsid w:val="009700DB"/>
    <w:rsid w:val="009714B0"/>
    <w:rsid w:val="00971DC6"/>
    <w:rsid w:val="00972263"/>
    <w:rsid w:val="00972502"/>
    <w:rsid w:val="00972B1B"/>
    <w:rsid w:val="00972D8D"/>
    <w:rsid w:val="00973AAE"/>
    <w:rsid w:val="009743B9"/>
    <w:rsid w:val="0097476C"/>
    <w:rsid w:val="00974923"/>
    <w:rsid w:val="00974A3C"/>
    <w:rsid w:val="00974D48"/>
    <w:rsid w:val="00974D5F"/>
    <w:rsid w:val="00975017"/>
    <w:rsid w:val="009757E6"/>
    <w:rsid w:val="009759DF"/>
    <w:rsid w:val="00977A58"/>
    <w:rsid w:val="00977EAC"/>
    <w:rsid w:val="00980373"/>
    <w:rsid w:val="00980621"/>
    <w:rsid w:val="0098095B"/>
    <w:rsid w:val="0098121F"/>
    <w:rsid w:val="00982072"/>
    <w:rsid w:val="009833FA"/>
    <w:rsid w:val="00983DBB"/>
    <w:rsid w:val="00983ECF"/>
    <w:rsid w:val="00985767"/>
    <w:rsid w:val="00985A99"/>
    <w:rsid w:val="00986375"/>
    <w:rsid w:val="00986745"/>
    <w:rsid w:val="009867BC"/>
    <w:rsid w:val="00987109"/>
    <w:rsid w:val="00987309"/>
    <w:rsid w:val="0099012D"/>
    <w:rsid w:val="00990363"/>
    <w:rsid w:val="00993BE6"/>
    <w:rsid w:val="00993D9C"/>
    <w:rsid w:val="00993F56"/>
    <w:rsid w:val="00994C29"/>
    <w:rsid w:val="009954FF"/>
    <w:rsid w:val="00995E2F"/>
    <w:rsid w:val="00995FEC"/>
    <w:rsid w:val="009961BC"/>
    <w:rsid w:val="00996355"/>
    <w:rsid w:val="00996D79"/>
    <w:rsid w:val="0099788F"/>
    <w:rsid w:val="00997ADD"/>
    <w:rsid w:val="009A1374"/>
    <w:rsid w:val="009A2014"/>
    <w:rsid w:val="009A2030"/>
    <w:rsid w:val="009A3A87"/>
    <w:rsid w:val="009A4E12"/>
    <w:rsid w:val="009A5C68"/>
    <w:rsid w:val="009A5DE2"/>
    <w:rsid w:val="009A6EF7"/>
    <w:rsid w:val="009B04D0"/>
    <w:rsid w:val="009B052C"/>
    <w:rsid w:val="009B093D"/>
    <w:rsid w:val="009B0975"/>
    <w:rsid w:val="009B0B1C"/>
    <w:rsid w:val="009B0EF2"/>
    <w:rsid w:val="009B23A3"/>
    <w:rsid w:val="009B24D3"/>
    <w:rsid w:val="009B2C0E"/>
    <w:rsid w:val="009B4925"/>
    <w:rsid w:val="009B4B41"/>
    <w:rsid w:val="009B4B4B"/>
    <w:rsid w:val="009B4CE3"/>
    <w:rsid w:val="009B6FD3"/>
    <w:rsid w:val="009B70BD"/>
    <w:rsid w:val="009B7B36"/>
    <w:rsid w:val="009C07A5"/>
    <w:rsid w:val="009C24A3"/>
    <w:rsid w:val="009C32EC"/>
    <w:rsid w:val="009C3705"/>
    <w:rsid w:val="009C41EA"/>
    <w:rsid w:val="009C63FE"/>
    <w:rsid w:val="009C7388"/>
    <w:rsid w:val="009C74C2"/>
    <w:rsid w:val="009C76F6"/>
    <w:rsid w:val="009D0CFF"/>
    <w:rsid w:val="009D1551"/>
    <w:rsid w:val="009D1796"/>
    <w:rsid w:val="009D2859"/>
    <w:rsid w:val="009D2958"/>
    <w:rsid w:val="009D36EC"/>
    <w:rsid w:val="009D3CD0"/>
    <w:rsid w:val="009D4173"/>
    <w:rsid w:val="009D51CA"/>
    <w:rsid w:val="009D57D7"/>
    <w:rsid w:val="009D6095"/>
    <w:rsid w:val="009D6306"/>
    <w:rsid w:val="009D6A6F"/>
    <w:rsid w:val="009E048A"/>
    <w:rsid w:val="009E0CB1"/>
    <w:rsid w:val="009E1124"/>
    <w:rsid w:val="009E198E"/>
    <w:rsid w:val="009E1FBA"/>
    <w:rsid w:val="009E22F0"/>
    <w:rsid w:val="009E2C54"/>
    <w:rsid w:val="009E3710"/>
    <w:rsid w:val="009E4826"/>
    <w:rsid w:val="009E6698"/>
    <w:rsid w:val="009E6F65"/>
    <w:rsid w:val="009E7340"/>
    <w:rsid w:val="009E7B1F"/>
    <w:rsid w:val="009F2A39"/>
    <w:rsid w:val="009F346F"/>
    <w:rsid w:val="009F371A"/>
    <w:rsid w:val="009F3F25"/>
    <w:rsid w:val="009F3FC3"/>
    <w:rsid w:val="009F41C4"/>
    <w:rsid w:val="009F458F"/>
    <w:rsid w:val="009F4DA8"/>
    <w:rsid w:val="009F5846"/>
    <w:rsid w:val="009F63D2"/>
    <w:rsid w:val="009F6537"/>
    <w:rsid w:val="009F777A"/>
    <w:rsid w:val="009F7B52"/>
    <w:rsid w:val="009F7D77"/>
    <w:rsid w:val="00A0019E"/>
    <w:rsid w:val="00A00476"/>
    <w:rsid w:val="00A004D2"/>
    <w:rsid w:val="00A015EA"/>
    <w:rsid w:val="00A02257"/>
    <w:rsid w:val="00A03996"/>
    <w:rsid w:val="00A05B91"/>
    <w:rsid w:val="00A10D66"/>
    <w:rsid w:val="00A12BA8"/>
    <w:rsid w:val="00A12F7C"/>
    <w:rsid w:val="00A133F2"/>
    <w:rsid w:val="00A13993"/>
    <w:rsid w:val="00A13BA6"/>
    <w:rsid w:val="00A1420C"/>
    <w:rsid w:val="00A1456C"/>
    <w:rsid w:val="00A14821"/>
    <w:rsid w:val="00A1698D"/>
    <w:rsid w:val="00A17754"/>
    <w:rsid w:val="00A2055B"/>
    <w:rsid w:val="00A20995"/>
    <w:rsid w:val="00A20E22"/>
    <w:rsid w:val="00A2253C"/>
    <w:rsid w:val="00A23545"/>
    <w:rsid w:val="00A23A55"/>
    <w:rsid w:val="00A23DE5"/>
    <w:rsid w:val="00A23E43"/>
    <w:rsid w:val="00A23EF0"/>
    <w:rsid w:val="00A24136"/>
    <w:rsid w:val="00A24F8C"/>
    <w:rsid w:val="00A25F1A"/>
    <w:rsid w:val="00A262BF"/>
    <w:rsid w:val="00A26802"/>
    <w:rsid w:val="00A271AD"/>
    <w:rsid w:val="00A276D5"/>
    <w:rsid w:val="00A30336"/>
    <w:rsid w:val="00A3041C"/>
    <w:rsid w:val="00A30BB5"/>
    <w:rsid w:val="00A3128F"/>
    <w:rsid w:val="00A326D0"/>
    <w:rsid w:val="00A35287"/>
    <w:rsid w:val="00A378F8"/>
    <w:rsid w:val="00A40965"/>
    <w:rsid w:val="00A40B19"/>
    <w:rsid w:val="00A41D07"/>
    <w:rsid w:val="00A42487"/>
    <w:rsid w:val="00A424F8"/>
    <w:rsid w:val="00A42883"/>
    <w:rsid w:val="00A437B7"/>
    <w:rsid w:val="00A43EA2"/>
    <w:rsid w:val="00A457B8"/>
    <w:rsid w:val="00A46A7F"/>
    <w:rsid w:val="00A46C70"/>
    <w:rsid w:val="00A46D48"/>
    <w:rsid w:val="00A46DE0"/>
    <w:rsid w:val="00A4778A"/>
    <w:rsid w:val="00A47C74"/>
    <w:rsid w:val="00A47C94"/>
    <w:rsid w:val="00A504C0"/>
    <w:rsid w:val="00A5067F"/>
    <w:rsid w:val="00A508A2"/>
    <w:rsid w:val="00A5171F"/>
    <w:rsid w:val="00A517C1"/>
    <w:rsid w:val="00A518E0"/>
    <w:rsid w:val="00A537CA"/>
    <w:rsid w:val="00A5408A"/>
    <w:rsid w:val="00A55301"/>
    <w:rsid w:val="00A56DD4"/>
    <w:rsid w:val="00A572FB"/>
    <w:rsid w:val="00A57B3C"/>
    <w:rsid w:val="00A57F1B"/>
    <w:rsid w:val="00A600D2"/>
    <w:rsid w:val="00A6128E"/>
    <w:rsid w:val="00A62CE1"/>
    <w:rsid w:val="00A631FA"/>
    <w:rsid w:val="00A63EE7"/>
    <w:rsid w:val="00A64203"/>
    <w:rsid w:val="00A64348"/>
    <w:rsid w:val="00A644E1"/>
    <w:rsid w:val="00A65E41"/>
    <w:rsid w:val="00A700C4"/>
    <w:rsid w:val="00A711B0"/>
    <w:rsid w:val="00A71279"/>
    <w:rsid w:val="00A718BC"/>
    <w:rsid w:val="00A721FB"/>
    <w:rsid w:val="00A727BA"/>
    <w:rsid w:val="00A72D4B"/>
    <w:rsid w:val="00A730A5"/>
    <w:rsid w:val="00A732AE"/>
    <w:rsid w:val="00A74192"/>
    <w:rsid w:val="00A75837"/>
    <w:rsid w:val="00A75E40"/>
    <w:rsid w:val="00A76B12"/>
    <w:rsid w:val="00A76EF2"/>
    <w:rsid w:val="00A7727E"/>
    <w:rsid w:val="00A77654"/>
    <w:rsid w:val="00A77E9F"/>
    <w:rsid w:val="00A77EB2"/>
    <w:rsid w:val="00A80458"/>
    <w:rsid w:val="00A80E64"/>
    <w:rsid w:val="00A81094"/>
    <w:rsid w:val="00A810BA"/>
    <w:rsid w:val="00A82B66"/>
    <w:rsid w:val="00A83308"/>
    <w:rsid w:val="00A83B58"/>
    <w:rsid w:val="00A84179"/>
    <w:rsid w:val="00A84FAF"/>
    <w:rsid w:val="00A851B6"/>
    <w:rsid w:val="00A85729"/>
    <w:rsid w:val="00A8574B"/>
    <w:rsid w:val="00A857C0"/>
    <w:rsid w:val="00A90343"/>
    <w:rsid w:val="00A91336"/>
    <w:rsid w:val="00A9221C"/>
    <w:rsid w:val="00A92277"/>
    <w:rsid w:val="00A92916"/>
    <w:rsid w:val="00A93106"/>
    <w:rsid w:val="00A94628"/>
    <w:rsid w:val="00A94954"/>
    <w:rsid w:val="00A9497A"/>
    <w:rsid w:val="00A950B5"/>
    <w:rsid w:val="00A96463"/>
    <w:rsid w:val="00A97E3F"/>
    <w:rsid w:val="00AA0243"/>
    <w:rsid w:val="00AA09D3"/>
    <w:rsid w:val="00AA220F"/>
    <w:rsid w:val="00AA23FB"/>
    <w:rsid w:val="00AA29BB"/>
    <w:rsid w:val="00AA34FE"/>
    <w:rsid w:val="00AA42AB"/>
    <w:rsid w:val="00AA5283"/>
    <w:rsid w:val="00AA559A"/>
    <w:rsid w:val="00AA57A4"/>
    <w:rsid w:val="00AA5F10"/>
    <w:rsid w:val="00AB043E"/>
    <w:rsid w:val="00AB0BB9"/>
    <w:rsid w:val="00AB104D"/>
    <w:rsid w:val="00AB1441"/>
    <w:rsid w:val="00AB24E7"/>
    <w:rsid w:val="00AB2797"/>
    <w:rsid w:val="00AB2AF1"/>
    <w:rsid w:val="00AB2EE8"/>
    <w:rsid w:val="00AB2FF7"/>
    <w:rsid w:val="00AB38B7"/>
    <w:rsid w:val="00AB440B"/>
    <w:rsid w:val="00AB47E3"/>
    <w:rsid w:val="00AB6383"/>
    <w:rsid w:val="00AB74C5"/>
    <w:rsid w:val="00AB7BEE"/>
    <w:rsid w:val="00AB7DF2"/>
    <w:rsid w:val="00AC1E3F"/>
    <w:rsid w:val="00AC219A"/>
    <w:rsid w:val="00AC3D02"/>
    <w:rsid w:val="00AC4F18"/>
    <w:rsid w:val="00AC556E"/>
    <w:rsid w:val="00AC7965"/>
    <w:rsid w:val="00AD0B46"/>
    <w:rsid w:val="00AD1094"/>
    <w:rsid w:val="00AD2565"/>
    <w:rsid w:val="00AD2C0A"/>
    <w:rsid w:val="00AD306C"/>
    <w:rsid w:val="00AD3424"/>
    <w:rsid w:val="00AD3E3F"/>
    <w:rsid w:val="00AD4E15"/>
    <w:rsid w:val="00AD4FEF"/>
    <w:rsid w:val="00AD50D1"/>
    <w:rsid w:val="00AD54F4"/>
    <w:rsid w:val="00AD59BB"/>
    <w:rsid w:val="00AD5D68"/>
    <w:rsid w:val="00AD6C73"/>
    <w:rsid w:val="00AD72A6"/>
    <w:rsid w:val="00AD7D49"/>
    <w:rsid w:val="00AE06D0"/>
    <w:rsid w:val="00AE1207"/>
    <w:rsid w:val="00AE1B8A"/>
    <w:rsid w:val="00AE20E2"/>
    <w:rsid w:val="00AE39DC"/>
    <w:rsid w:val="00AE3CDA"/>
    <w:rsid w:val="00AE43C2"/>
    <w:rsid w:val="00AE481D"/>
    <w:rsid w:val="00AE6734"/>
    <w:rsid w:val="00AE76E4"/>
    <w:rsid w:val="00AE7968"/>
    <w:rsid w:val="00AE7B2B"/>
    <w:rsid w:val="00AE7C46"/>
    <w:rsid w:val="00AE7DFF"/>
    <w:rsid w:val="00AF082A"/>
    <w:rsid w:val="00AF0B8E"/>
    <w:rsid w:val="00AF128B"/>
    <w:rsid w:val="00AF1AEA"/>
    <w:rsid w:val="00AF2536"/>
    <w:rsid w:val="00AF2852"/>
    <w:rsid w:val="00AF2B31"/>
    <w:rsid w:val="00AF3225"/>
    <w:rsid w:val="00AF4590"/>
    <w:rsid w:val="00AF4983"/>
    <w:rsid w:val="00AF4FD6"/>
    <w:rsid w:val="00AF518B"/>
    <w:rsid w:val="00AF5275"/>
    <w:rsid w:val="00AF581A"/>
    <w:rsid w:val="00AF5D62"/>
    <w:rsid w:val="00AF6367"/>
    <w:rsid w:val="00AF6684"/>
    <w:rsid w:val="00AF6753"/>
    <w:rsid w:val="00AF6A79"/>
    <w:rsid w:val="00AF724E"/>
    <w:rsid w:val="00AF73A9"/>
    <w:rsid w:val="00B00724"/>
    <w:rsid w:val="00B01436"/>
    <w:rsid w:val="00B019C6"/>
    <w:rsid w:val="00B01C2C"/>
    <w:rsid w:val="00B0231C"/>
    <w:rsid w:val="00B05E75"/>
    <w:rsid w:val="00B07372"/>
    <w:rsid w:val="00B07C2A"/>
    <w:rsid w:val="00B11BEE"/>
    <w:rsid w:val="00B128E5"/>
    <w:rsid w:val="00B12CC1"/>
    <w:rsid w:val="00B13681"/>
    <w:rsid w:val="00B13D32"/>
    <w:rsid w:val="00B153F4"/>
    <w:rsid w:val="00B15DCD"/>
    <w:rsid w:val="00B16F0F"/>
    <w:rsid w:val="00B17E71"/>
    <w:rsid w:val="00B17FDE"/>
    <w:rsid w:val="00B208FC"/>
    <w:rsid w:val="00B209FC"/>
    <w:rsid w:val="00B20C65"/>
    <w:rsid w:val="00B22E17"/>
    <w:rsid w:val="00B243A3"/>
    <w:rsid w:val="00B25567"/>
    <w:rsid w:val="00B266C5"/>
    <w:rsid w:val="00B27293"/>
    <w:rsid w:val="00B278E8"/>
    <w:rsid w:val="00B301BB"/>
    <w:rsid w:val="00B310C4"/>
    <w:rsid w:val="00B321E3"/>
    <w:rsid w:val="00B3229E"/>
    <w:rsid w:val="00B326A9"/>
    <w:rsid w:val="00B32DDB"/>
    <w:rsid w:val="00B337AA"/>
    <w:rsid w:val="00B33D0C"/>
    <w:rsid w:val="00B3447A"/>
    <w:rsid w:val="00B3448C"/>
    <w:rsid w:val="00B34931"/>
    <w:rsid w:val="00B34CCE"/>
    <w:rsid w:val="00B35174"/>
    <w:rsid w:val="00B35BEA"/>
    <w:rsid w:val="00B35F7F"/>
    <w:rsid w:val="00B36817"/>
    <w:rsid w:val="00B37915"/>
    <w:rsid w:val="00B3793D"/>
    <w:rsid w:val="00B41BE6"/>
    <w:rsid w:val="00B42831"/>
    <w:rsid w:val="00B428A4"/>
    <w:rsid w:val="00B42D8A"/>
    <w:rsid w:val="00B4516E"/>
    <w:rsid w:val="00B457E7"/>
    <w:rsid w:val="00B45969"/>
    <w:rsid w:val="00B45D1B"/>
    <w:rsid w:val="00B46D25"/>
    <w:rsid w:val="00B47430"/>
    <w:rsid w:val="00B47AC6"/>
    <w:rsid w:val="00B506BE"/>
    <w:rsid w:val="00B52D2D"/>
    <w:rsid w:val="00B534EF"/>
    <w:rsid w:val="00B53EA6"/>
    <w:rsid w:val="00B54645"/>
    <w:rsid w:val="00B55BA8"/>
    <w:rsid w:val="00B55F15"/>
    <w:rsid w:val="00B561A6"/>
    <w:rsid w:val="00B56FCD"/>
    <w:rsid w:val="00B57CC4"/>
    <w:rsid w:val="00B60062"/>
    <w:rsid w:val="00B62960"/>
    <w:rsid w:val="00B62A47"/>
    <w:rsid w:val="00B63A11"/>
    <w:rsid w:val="00B63FD0"/>
    <w:rsid w:val="00B651EC"/>
    <w:rsid w:val="00B6553E"/>
    <w:rsid w:val="00B65C84"/>
    <w:rsid w:val="00B6608F"/>
    <w:rsid w:val="00B73180"/>
    <w:rsid w:val="00B74317"/>
    <w:rsid w:val="00B74B99"/>
    <w:rsid w:val="00B75700"/>
    <w:rsid w:val="00B75AC6"/>
    <w:rsid w:val="00B760C1"/>
    <w:rsid w:val="00B767DF"/>
    <w:rsid w:val="00B76D1E"/>
    <w:rsid w:val="00B77BC8"/>
    <w:rsid w:val="00B800EB"/>
    <w:rsid w:val="00B80BB5"/>
    <w:rsid w:val="00B822D2"/>
    <w:rsid w:val="00B823F1"/>
    <w:rsid w:val="00B83D46"/>
    <w:rsid w:val="00B84820"/>
    <w:rsid w:val="00B848B8"/>
    <w:rsid w:val="00B84A41"/>
    <w:rsid w:val="00B84D57"/>
    <w:rsid w:val="00B84E5C"/>
    <w:rsid w:val="00B8504B"/>
    <w:rsid w:val="00B853C2"/>
    <w:rsid w:val="00B854A8"/>
    <w:rsid w:val="00B85689"/>
    <w:rsid w:val="00B86748"/>
    <w:rsid w:val="00B907EA"/>
    <w:rsid w:val="00B9167B"/>
    <w:rsid w:val="00B9183E"/>
    <w:rsid w:val="00B91EC9"/>
    <w:rsid w:val="00B924CA"/>
    <w:rsid w:val="00B929A5"/>
    <w:rsid w:val="00B92A4B"/>
    <w:rsid w:val="00B93384"/>
    <w:rsid w:val="00B93616"/>
    <w:rsid w:val="00B9423B"/>
    <w:rsid w:val="00B94417"/>
    <w:rsid w:val="00B95566"/>
    <w:rsid w:val="00B95940"/>
    <w:rsid w:val="00B95EF8"/>
    <w:rsid w:val="00B95F50"/>
    <w:rsid w:val="00B96BD9"/>
    <w:rsid w:val="00B979A0"/>
    <w:rsid w:val="00BA0DED"/>
    <w:rsid w:val="00BA0F99"/>
    <w:rsid w:val="00BB0274"/>
    <w:rsid w:val="00BB0B13"/>
    <w:rsid w:val="00BB1CFD"/>
    <w:rsid w:val="00BB2C53"/>
    <w:rsid w:val="00BB32DA"/>
    <w:rsid w:val="00BB3A54"/>
    <w:rsid w:val="00BB4D26"/>
    <w:rsid w:val="00BB4E21"/>
    <w:rsid w:val="00BB65DD"/>
    <w:rsid w:val="00BB7707"/>
    <w:rsid w:val="00BB7746"/>
    <w:rsid w:val="00BB7AF1"/>
    <w:rsid w:val="00BC00E5"/>
    <w:rsid w:val="00BC1484"/>
    <w:rsid w:val="00BC1D93"/>
    <w:rsid w:val="00BC22EB"/>
    <w:rsid w:val="00BC2E09"/>
    <w:rsid w:val="00BC4B2D"/>
    <w:rsid w:val="00BC4FB2"/>
    <w:rsid w:val="00BC682B"/>
    <w:rsid w:val="00BC68BA"/>
    <w:rsid w:val="00BC6B04"/>
    <w:rsid w:val="00BC6D27"/>
    <w:rsid w:val="00BD059A"/>
    <w:rsid w:val="00BD0BAF"/>
    <w:rsid w:val="00BD0D6D"/>
    <w:rsid w:val="00BD186B"/>
    <w:rsid w:val="00BD1EAC"/>
    <w:rsid w:val="00BD254C"/>
    <w:rsid w:val="00BD2F39"/>
    <w:rsid w:val="00BD3428"/>
    <w:rsid w:val="00BD366B"/>
    <w:rsid w:val="00BD5298"/>
    <w:rsid w:val="00BD534C"/>
    <w:rsid w:val="00BD55A9"/>
    <w:rsid w:val="00BD56BC"/>
    <w:rsid w:val="00BD5BE0"/>
    <w:rsid w:val="00BD5D91"/>
    <w:rsid w:val="00BD6445"/>
    <w:rsid w:val="00BD65BF"/>
    <w:rsid w:val="00BD6615"/>
    <w:rsid w:val="00BD6967"/>
    <w:rsid w:val="00BD6D50"/>
    <w:rsid w:val="00BD7C60"/>
    <w:rsid w:val="00BE0D79"/>
    <w:rsid w:val="00BE0DB0"/>
    <w:rsid w:val="00BE15B9"/>
    <w:rsid w:val="00BE264F"/>
    <w:rsid w:val="00BE2C15"/>
    <w:rsid w:val="00BE3381"/>
    <w:rsid w:val="00BE3F09"/>
    <w:rsid w:val="00BE4A3B"/>
    <w:rsid w:val="00BE670A"/>
    <w:rsid w:val="00BE6906"/>
    <w:rsid w:val="00BE6EA2"/>
    <w:rsid w:val="00BE7AB8"/>
    <w:rsid w:val="00BF18F4"/>
    <w:rsid w:val="00BF1A69"/>
    <w:rsid w:val="00BF3BC8"/>
    <w:rsid w:val="00BF3DF1"/>
    <w:rsid w:val="00BF4BEE"/>
    <w:rsid w:val="00BF4C31"/>
    <w:rsid w:val="00BF4C48"/>
    <w:rsid w:val="00BF4E57"/>
    <w:rsid w:val="00BF53B8"/>
    <w:rsid w:val="00BF786A"/>
    <w:rsid w:val="00BF7CB8"/>
    <w:rsid w:val="00C00831"/>
    <w:rsid w:val="00C00F20"/>
    <w:rsid w:val="00C01354"/>
    <w:rsid w:val="00C01700"/>
    <w:rsid w:val="00C01B84"/>
    <w:rsid w:val="00C034E6"/>
    <w:rsid w:val="00C041FA"/>
    <w:rsid w:val="00C05715"/>
    <w:rsid w:val="00C05926"/>
    <w:rsid w:val="00C05CCD"/>
    <w:rsid w:val="00C0784A"/>
    <w:rsid w:val="00C07DF0"/>
    <w:rsid w:val="00C108CE"/>
    <w:rsid w:val="00C10B28"/>
    <w:rsid w:val="00C10D62"/>
    <w:rsid w:val="00C10EC1"/>
    <w:rsid w:val="00C10FAE"/>
    <w:rsid w:val="00C1135D"/>
    <w:rsid w:val="00C11DAF"/>
    <w:rsid w:val="00C123B4"/>
    <w:rsid w:val="00C12A69"/>
    <w:rsid w:val="00C13150"/>
    <w:rsid w:val="00C132F3"/>
    <w:rsid w:val="00C13737"/>
    <w:rsid w:val="00C13BE8"/>
    <w:rsid w:val="00C14A8D"/>
    <w:rsid w:val="00C14BDD"/>
    <w:rsid w:val="00C150BE"/>
    <w:rsid w:val="00C158B0"/>
    <w:rsid w:val="00C15A0C"/>
    <w:rsid w:val="00C15CEB"/>
    <w:rsid w:val="00C15DCB"/>
    <w:rsid w:val="00C16208"/>
    <w:rsid w:val="00C1711F"/>
    <w:rsid w:val="00C17E38"/>
    <w:rsid w:val="00C20100"/>
    <w:rsid w:val="00C2038A"/>
    <w:rsid w:val="00C20549"/>
    <w:rsid w:val="00C205BF"/>
    <w:rsid w:val="00C20744"/>
    <w:rsid w:val="00C20B1C"/>
    <w:rsid w:val="00C20C4D"/>
    <w:rsid w:val="00C21D46"/>
    <w:rsid w:val="00C21F94"/>
    <w:rsid w:val="00C222A1"/>
    <w:rsid w:val="00C2299F"/>
    <w:rsid w:val="00C22C59"/>
    <w:rsid w:val="00C23371"/>
    <w:rsid w:val="00C23CBD"/>
    <w:rsid w:val="00C23D22"/>
    <w:rsid w:val="00C2463B"/>
    <w:rsid w:val="00C24E77"/>
    <w:rsid w:val="00C250AF"/>
    <w:rsid w:val="00C26D9B"/>
    <w:rsid w:val="00C2732D"/>
    <w:rsid w:val="00C273C6"/>
    <w:rsid w:val="00C27773"/>
    <w:rsid w:val="00C27913"/>
    <w:rsid w:val="00C300C6"/>
    <w:rsid w:val="00C30828"/>
    <w:rsid w:val="00C30924"/>
    <w:rsid w:val="00C31DD8"/>
    <w:rsid w:val="00C3271C"/>
    <w:rsid w:val="00C34E6F"/>
    <w:rsid w:val="00C34FDE"/>
    <w:rsid w:val="00C3543D"/>
    <w:rsid w:val="00C35530"/>
    <w:rsid w:val="00C35C16"/>
    <w:rsid w:val="00C36EA7"/>
    <w:rsid w:val="00C37A94"/>
    <w:rsid w:val="00C40E09"/>
    <w:rsid w:val="00C40F33"/>
    <w:rsid w:val="00C40F81"/>
    <w:rsid w:val="00C41463"/>
    <w:rsid w:val="00C41A72"/>
    <w:rsid w:val="00C4216C"/>
    <w:rsid w:val="00C42714"/>
    <w:rsid w:val="00C42D45"/>
    <w:rsid w:val="00C42F9C"/>
    <w:rsid w:val="00C4341C"/>
    <w:rsid w:val="00C4422D"/>
    <w:rsid w:val="00C44A71"/>
    <w:rsid w:val="00C44B84"/>
    <w:rsid w:val="00C45BA1"/>
    <w:rsid w:val="00C476C5"/>
    <w:rsid w:val="00C4775E"/>
    <w:rsid w:val="00C503B0"/>
    <w:rsid w:val="00C5076B"/>
    <w:rsid w:val="00C511C2"/>
    <w:rsid w:val="00C525A5"/>
    <w:rsid w:val="00C527C6"/>
    <w:rsid w:val="00C53CDB"/>
    <w:rsid w:val="00C53D82"/>
    <w:rsid w:val="00C53EBE"/>
    <w:rsid w:val="00C54748"/>
    <w:rsid w:val="00C55C5D"/>
    <w:rsid w:val="00C564B9"/>
    <w:rsid w:val="00C574CF"/>
    <w:rsid w:val="00C575FB"/>
    <w:rsid w:val="00C60696"/>
    <w:rsid w:val="00C60943"/>
    <w:rsid w:val="00C60EEF"/>
    <w:rsid w:val="00C6121D"/>
    <w:rsid w:val="00C615F1"/>
    <w:rsid w:val="00C61627"/>
    <w:rsid w:val="00C63B1A"/>
    <w:rsid w:val="00C64453"/>
    <w:rsid w:val="00C64E60"/>
    <w:rsid w:val="00C657A4"/>
    <w:rsid w:val="00C66589"/>
    <w:rsid w:val="00C6736C"/>
    <w:rsid w:val="00C70422"/>
    <w:rsid w:val="00C709FD"/>
    <w:rsid w:val="00C7179C"/>
    <w:rsid w:val="00C71A1D"/>
    <w:rsid w:val="00C71EC4"/>
    <w:rsid w:val="00C726EA"/>
    <w:rsid w:val="00C73485"/>
    <w:rsid w:val="00C7410A"/>
    <w:rsid w:val="00C743FD"/>
    <w:rsid w:val="00C74791"/>
    <w:rsid w:val="00C7591E"/>
    <w:rsid w:val="00C75C7E"/>
    <w:rsid w:val="00C75C9B"/>
    <w:rsid w:val="00C75F90"/>
    <w:rsid w:val="00C76D8E"/>
    <w:rsid w:val="00C77833"/>
    <w:rsid w:val="00C77E7B"/>
    <w:rsid w:val="00C80C9B"/>
    <w:rsid w:val="00C81019"/>
    <w:rsid w:val="00C82DEC"/>
    <w:rsid w:val="00C8335E"/>
    <w:rsid w:val="00C83C1A"/>
    <w:rsid w:val="00C83F9C"/>
    <w:rsid w:val="00C84CE3"/>
    <w:rsid w:val="00C85614"/>
    <w:rsid w:val="00C85686"/>
    <w:rsid w:val="00C86127"/>
    <w:rsid w:val="00C9068F"/>
    <w:rsid w:val="00C90975"/>
    <w:rsid w:val="00C90CF4"/>
    <w:rsid w:val="00C91C19"/>
    <w:rsid w:val="00C929A0"/>
    <w:rsid w:val="00C92AE8"/>
    <w:rsid w:val="00C93389"/>
    <w:rsid w:val="00C937DB"/>
    <w:rsid w:val="00C94519"/>
    <w:rsid w:val="00C94847"/>
    <w:rsid w:val="00C94E11"/>
    <w:rsid w:val="00C94E83"/>
    <w:rsid w:val="00C9567E"/>
    <w:rsid w:val="00C97038"/>
    <w:rsid w:val="00C975FC"/>
    <w:rsid w:val="00CA02B2"/>
    <w:rsid w:val="00CA0883"/>
    <w:rsid w:val="00CA1085"/>
    <w:rsid w:val="00CA140F"/>
    <w:rsid w:val="00CA25C2"/>
    <w:rsid w:val="00CA37BB"/>
    <w:rsid w:val="00CA37CA"/>
    <w:rsid w:val="00CA3C24"/>
    <w:rsid w:val="00CA5016"/>
    <w:rsid w:val="00CA5724"/>
    <w:rsid w:val="00CA6508"/>
    <w:rsid w:val="00CA6BA1"/>
    <w:rsid w:val="00CA6CD5"/>
    <w:rsid w:val="00CA6D0B"/>
    <w:rsid w:val="00CA799B"/>
    <w:rsid w:val="00CB09D5"/>
    <w:rsid w:val="00CB0AE1"/>
    <w:rsid w:val="00CB0F6B"/>
    <w:rsid w:val="00CB1910"/>
    <w:rsid w:val="00CB1F9F"/>
    <w:rsid w:val="00CB2150"/>
    <w:rsid w:val="00CB28EE"/>
    <w:rsid w:val="00CB43A7"/>
    <w:rsid w:val="00CB4CD7"/>
    <w:rsid w:val="00CB4DF1"/>
    <w:rsid w:val="00CB55C2"/>
    <w:rsid w:val="00CB5695"/>
    <w:rsid w:val="00CB5996"/>
    <w:rsid w:val="00CB6809"/>
    <w:rsid w:val="00CB6CE5"/>
    <w:rsid w:val="00CB7452"/>
    <w:rsid w:val="00CB76C9"/>
    <w:rsid w:val="00CC0E10"/>
    <w:rsid w:val="00CC1DAF"/>
    <w:rsid w:val="00CC2642"/>
    <w:rsid w:val="00CC2967"/>
    <w:rsid w:val="00CC2A1E"/>
    <w:rsid w:val="00CC2A36"/>
    <w:rsid w:val="00CC2E15"/>
    <w:rsid w:val="00CC3440"/>
    <w:rsid w:val="00CC351B"/>
    <w:rsid w:val="00CC3908"/>
    <w:rsid w:val="00CC41BF"/>
    <w:rsid w:val="00CC44C9"/>
    <w:rsid w:val="00CC4DF5"/>
    <w:rsid w:val="00CC509A"/>
    <w:rsid w:val="00CC62AD"/>
    <w:rsid w:val="00CC67E5"/>
    <w:rsid w:val="00CC6CA2"/>
    <w:rsid w:val="00CC7968"/>
    <w:rsid w:val="00CC7B80"/>
    <w:rsid w:val="00CD2B3C"/>
    <w:rsid w:val="00CD30F6"/>
    <w:rsid w:val="00CD3469"/>
    <w:rsid w:val="00CD4B29"/>
    <w:rsid w:val="00CD5E48"/>
    <w:rsid w:val="00CD67CA"/>
    <w:rsid w:val="00CD6954"/>
    <w:rsid w:val="00CD6DA3"/>
    <w:rsid w:val="00CD6EF1"/>
    <w:rsid w:val="00CD715D"/>
    <w:rsid w:val="00CD7A45"/>
    <w:rsid w:val="00CD7E35"/>
    <w:rsid w:val="00CD7EEE"/>
    <w:rsid w:val="00CE21C7"/>
    <w:rsid w:val="00CE2682"/>
    <w:rsid w:val="00CE2756"/>
    <w:rsid w:val="00CE3F72"/>
    <w:rsid w:val="00CE442A"/>
    <w:rsid w:val="00CE4674"/>
    <w:rsid w:val="00CE57D8"/>
    <w:rsid w:val="00CE5B96"/>
    <w:rsid w:val="00CE5F03"/>
    <w:rsid w:val="00CE617A"/>
    <w:rsid w:val="00CE692E"/>
    <w:rsid w:val="00CE6E3C"/>
    <w:rsid w:val="00CE76A1"/>
    <w:rsid w:val="00CE797F"/>
    <w:rsid w:val="00CF107E"/>
    <w:rsid w:val="00CF15BF"/>
    <w:rsid w:val="00CF25D2"/>
    <w:rsid w:val="00CF28C2"/>
    <w:rsid w:val="00CF294A"/>
    <w:rsid w:val="00CF42BD"/>
    <w:rsid w:val="00CF51EC"/>
    <w:rsid w:val="00CF6A9D"/>
    <w:rsid w:val="00CF6CD7"/>
    <w:rsid w:val="00CF7276"/>
    <w:rsid w:val="00CF75EC"/>
    <w:rsid w:val="00D002DF"/>
    <w:rsid w:val="00D0037A"/>
    <w:rsid w:val="00D0061E"/>
    <w:rsid w:val="00D006AD"/>
    <w:rsid w:val="00D00DAF"/>
    <w:rsid w:val="00D017EC"/>
    <w:rsid w:val="00D01CDA"/>
    <w:rsid w:val="00D020FC"/>
    <w:rsid w:val="00D03866"/>
    <w:rsid w:val="00D040DD"/>
    <w:rsid w:val="00D04E1B"/>
    <w:rsid w:val="00D0547B"/>
    <w:rsid w:val="00D076DB"/>
    <w:rsid w:val="00D07EFF"/>
    <w:rsid w:val="00D1067C"/>
    <w:rsid w:val="00D11329"/>
    <w:rsid w:val="00D11CBB"/>
    <w:rsid w:val="00D136D4"/>
    <w:rsid w:val="00D13830"/>
    <w:rsid w:val="00D13ECF"/>
    <w:rsid w:val="00D141CA"/>
    <w:rsid w:val="00D142E5"/>
    <w:rsid w:val="00D148CD"/>
    <w:rsid w:val="00D1611E"/>
    <w:rsid w:val="00D163CC"/>
    <w:rsid w:val="00D16E69"/>
    <w:rsid w:val="00D177E9"/>
    <w:rsid w:val="00D17F4A"/>
    <w:rsid w:val="00D205A9"/>
    <w:rsid w:val="00D217EE"/>
    <w:rsid w:val="00D24299"/>
    <w:rsid w:val="00D245BA"/>
    <w:rsid w:val="00D25411"/>
    <w:rsid w:val="00D25E9E"/>
    <w:rsid w:val="00D26923"/>
    <w:rsid w:val="00D27856"/>
    <w:rsid w:val="00D27D34"/>
    <w:rsid w:val="00D3006B"/>
    <w:rsid w:val="00D301CA"/>
    <w:rsid w:val="00D30740"/>
    <w:rsid w:val="00D31075"/>
    <w:rsid w:val="00D31445"/>
    <w:rsid w:val="00D31932"/>
    <w:rsid w:val="00D32AE0"/>
    <w:rsid w:val="00D33273"/>
    <w:rsid w:val="00D360DA"/>
    <w:rsid w:val="00D37689"/>
    <w:rsid w:val="00D378CC"/>
    <w:rsid w:val="00D4042C"/>
    <w:rsid w:val="00D40B9E"/>
    <w:rsid w:val="00D41281"/>
    <w:rsid w:val="00D42312"/>
    <w:rsid w:val="00D431F4"/>
    <w:rsid w:val="00D433F5"/>
    <w:rsid w:val="00D43998"/>
    <w:rsid w:val="00D439C2"/>
    <w:rsid w:val="00D451E0"/>
    <w:rsid w:val="00D45A1D"/>
    <w:rsid w:val="00D4615E"/>
    <w:rsid w:val="00D4651F"/>
    <w:rsid w:val="00D478E2"/>
    <w:rsid w:val="00D507A3"/>
    <w:rsid w:val="00D5082E"/>
    <w:rsid w:val="00D50ED8"/>
    <w:rsid w:val="00D5264C"/>
    <w:rsid w:val="00D53987"/>
    <w:rsid w:val="00D547BA"/>
    <w:rsid w:val="00D55626"/>
    <w:rsid w:val="00D556BC"/>
    <w:rsid w:val="00D5626D"/>
    <w:rsid w:val="00D56631"/>
    <w:rsid w:val="00D60277"/>
    <w:rsid w:val="00D60336"/>
    <w:rsid w:val="00D6126B"/>
    <w:rsid w:val="00D61F88"/>
    <w:rsid w:val="00D62688"/>
    <w:rsid w:val="00D62901"/>
    <w:rsid w:val="00D62CB2"/>
    <w:rsid w:val="00D6345E"/>
    <w:rsid w:val="00D6470C"/>
    <w:rsid w:val="00D64853"/>
    <w:rsid w:val="00D64CB5"/>
    <w:rsid w:val="00D66076"/>
    <w:rsid w:val="00D6607C"/>
    <w:rsid w:val="00D661B3"/>
    <w:rsid w:val="00D66D48"/>
    <w:rsid w:val="00D703E1"/>
    <w:rsid w:val="00D7128B"/>
    <w:rsid w:val="00D7162F"/>
    <w:rsid w:val="00D720DB"/>
    <w:rsid w:val="00D72897"/>
    <w:rsid w:val="00D73256"/>
    <w:rsid w:val="00D73A30"/>
    <w:rsid w:val="00D747AA"/>
    <w:rsid w:val="00D74985"/>
    <w:rsid w:val="00D74C65"/>
    <w:rsid w:val="00D74F21"/>
    <w:rsid w:val="00D75240"/>
    <w:rsid w:val="00D756C0"/>
    <w:rsid w:val="00D758D0"/>
    <w:rsid w:val="00D75DC2"/>
    <w:rsid w:val="00D75DC3"/>
    <w:rsid w:val="00D75E60"/>
    <w:rsid w:val="00D75FEA"/>
    <w:rsid w:val="00D766EF"/>
    <w:rsid w:val="00D76C03"/>
    <w:rsid w:val="00D77F8D"/>
    <w:rsid w:val="00D80E07"/>
    <w:rsid w:val="00D8119B"/>
    <w:rsid w:val="00D821BF"/>
    <w:rsid w:val="00D82462"/>
    <w:rsid w:val="00D831C6"/>
    <w:rsid w:val="00D831F5"/>
    <w:rsid w:val="00D83EF3"/>
    <w:rsid w:val="00D85886"/>
    <w:rsid w:val="00D868CE"/>
    <w:rsid w:val="00D86DAE"/>
    <w:rsid w:val="00D87732"/>
    <w:rsid w:val="00D8785B"/>
    <w:rsid w:val="00D90116"/>
    <w:rsid w:val="00D909FE"/>
    <w:rsid w:val="00D90C1E"/>
    <w:rsid w:val="00D91B07"/>
    <w:rsid w:val="00D91BDF"/>
    <w:rsid w:val="00D91F2C"/>
    <w:rsid w:val="00D92527"/>
    <w:rsid w:val="00D92B5A"/>
    <w:rsid w:val="00D93F09"/>
    <w:rsid w:val="00D94859"/>
    <w:rsid w:val="00D954C2"/>
    <w:rsid w:val="00D97BB8"/>
    <w:rsid w:val="00DA1318"/>
    <w:rsid w:val="00DA1382"/>
    <w:rsid w:val="00DA28B7"/>
    <w:rsid w:val="00DA2FE8"/>
    <w:rsid w:val="00DA41E0"/>
    <w:rsid w:val="00DA4AF6"/>
    <w:rsid w:val="00DB016E"/>
    <w:rsid w:val="00DB06E9"/>
    <w:rsid w:val="00DB0BF3"/>
    <w:rsid w:val="00DB19BD"/>
    <w:rsid w:val="00DB1D55"/>
    <w:rsid w:val="00DB2692"/>
    <w:rsid w:val="00DB36D7"/>
    <w:rsid w:val="00DB378E"/>
    <w:rsid w:val="00DB3E9D"/>
    <w:rsid w:val="00DB47B9"/>
    <w:rsid w:val="00DB4FB8"/>
    <w:rsid w:val="00DB51D8"/>
    <w:rsid w:val="00DB53CE"/>
    <w:rsid w:val="00DB549D"/>
    <w:rsid w:val="00DB5792"/>
    <w:rsid w:val="00DB63F2"/>
    <w:rsid w:val="00DB6A88"/>
    <w:rsid w:val="00DB6DA6"/>
    <w:rsid w:val="00DB7431"/>
    <w:rsid w:val="00DB74ED"/>
    <w:rsid w:val="00DB7BA4"/>
    <w:rsid w:val="00DC08D7"/>
    <w:rsid w:val="00DC18B6"/>
    <w:rsid w:val="00DC226A"/>
    <w:rsid w:val="00DC257F"/>
    <w:rsid w:val="00DC2A9F"/>
    <w:rsid w:val="00DC2FA9"/>
    <w:rsid w:val="00DC333E"/>
    <w:rsid w:val="00DC350B"/>
    <w:rsid w:val="00DC3790"/>
    <w:rsid w:val="00DC408A"/>
    <w:rsid w:val="00DC436D"/>
    <w:rsid w:val="00DC519B"/>
    <w:rsid w:val="00DC52F9"/>
    <w:rsid w:val="00DC5B3B"/>
    <w:rsid w:val="00DC5BAA"/>
    <w:rsid w:val="00DC6796"/>
    <w:rsid w:val="00DC6AA2"/>
    <w:rsid w:val="00DC6CC6"/>
    <w:rsid w:val="00DC767B"/>
    <w:rsid w:val="00DC78DF"/>
    <w:rsid w:val="00DC7928"/>
    <w:rsid w:val="00DC7D4C"/>
    <w:rsid w:val="00DD003B"/>
    <w:rsid w:val="00DD0365"/>
    <w:rsid w:val="00DD0821"/>
    <w:rsid w:val="00DD093D"/>
    <w:rsid w:val="00DD0E32"/>
    <w:rsid w:val="00DD10F4"/>
    <w:rsid w:val="00DD1878"/>
    <w:rsid w:val="00DD2872"/>
    <w:rsid w:val="00DD2A62"/>
    <w:rsid w:val="00DD2BD0"/>
    <w:rsid w:val="00DD2BFE"/>
    <w:rsid w:val="00DD373E"/>
    <w:rsid w:val="00DD3867"/>
    <w:rsid w:val="00DD57AD"/>
    <w:rsid w:val="00DD57B7"/>
    <w:rsid w:val="00DD7435"/>
    <w:rsid w:val="00DD7C6D"/>
    <w:rsid w:val="00DE009B"/>
    <w:rsid w:val="00DE08F8"/>
    <w:rsid w:val="00DE0C31"/>
    <w:rsid w:val="00DE27CE"/>
    <w:rsid w:val="00DE2ED9"/>
    <w:rsid w:val="00DE319A"/>
    <w:rsid w:val="00DE37C6"/>
    <w:rsid w:val="00DE5ABD"/>
    <w:rsid w:val="00DF046A"/>
    <w:rsid w:val="00DF0615"/>
    <w:rsid w:val="00DF07CE"/>
    <w:rsid w:val="00DF0833"/>
    <w:rsid w:val="00DF0DC3"/>
    <w:rsid w:val="00DF0E38"/>
    <w:rsid w:val="00DF21FD"/>
    <w:rsid w:val="00DF2847"/>
    <w:rsid w:val="00DF2873"/>
    <w:rsid w:val="00DF293C"/>
    <w:rsid w:val="00DF4C74"/>
    <w:rsid w:val="00DF5578"/>
    <w:rsid w:val="00DF6CF8"/>
    <w:rsid w:val="00DF78DD"/>
    <w:rsid w:val="00DF7FEC"/>
    <w:rsid w:val="00E01C0E"/>
    <w:rsid w:val="00E02086"/>
    <w:rsid w:val="00E023BE"/>
    <w:rsid w:val="00E02740"/>
    <w:rsid w:val="00E03B27"/>
    <w:rsid w:val="00E04694"/>
    <w:rsid w:val="00E049F6"/>
    <w:rsid w:val="00E04CA9"/>
    <w:rsid w:val="00E05B2B"/>
    <w:rsid w:val="00E05EAD"/>
    <w:rsid w:val="00E06A2A"/>
    <w:rsid w:val="00E06D4A"/>
    <w:rsid w:val="00E06EC9"/>
    <w:rsid w:val="00E07F05"/>
    <w:rsid w:val="00E1230E"/>
    <w:rsid w:val="00E127E1"/>
    <w:rsid w:val="00E1291F"/>
    <w:rsid w:val="00E12BCE"/>
    <w:rsid w:val="00E144D2"/>
    <w:rsid w:val="00E144D6"/>
    <w:rsid w:val="00E15346"/>
    <w:rsid w:val="00E15B7D"/>
    <w:rsid w:val="00E17233"/>
    <w:rsid w:val="00E17C5F"/>
    <w:rsid w:val="00E17F8F"/>
    <w:rsid w:val="00E202D6"/>
    <w:rsid w:val="00E2097E"/>
    <w:rsid w:val="00E215EA"/>
    <w:rsid w:val="00E2196F"/>
    <w:rsid w:val="00E21CAB"/>
    <w:rsid w:val="00E221FC"/>
    <w:rsid w:val="00E2245C"/>
    <w:rsid w:val="00E22E78"/>
    <w:rsid w:val="00E23DA4"/>
    <w:rsid w:val="00E24619"/>
    <w:rsid w:val="00E25223"/>
    <w:rsid w:val="00E25999"/>
    <w:rsid w:val="00E263A8"/>
    <w:rsid w:val="00E27B33"/>
    <w:rsid w:val="00E30BEA"/>
    <w:rsid w:val="00E3154D"/>
    <w:rsid w:val="00E3167A"/>
    <w:rsid w:val="00E31764"/>
    <w:rsid w:val="00E3288A"/>
    <w:rsid w:val="00E32BC2"/>
    <w:rsid w:val="00E33C0E"/>
    <w:rsid w:val="00E34985"/>
    <w:rsid w:val="00E34E4A"/>
    <w:rsid w:val="00E365B3"/>
    <w:rsid w:val="00E366BB"/>
    <w:rsid w:val="00E372FD"/>
    <w:rsid w:val="00E37C45"/>
    <w:rsid w:val="00E37E7D"/>
    <w:rsid w:val="00E40AAA"/>
    <w:rsid w:val="00E4152B"/>
    <w:rsid w:val="00E41A59"/>
    <w:rsid w:val="00E42444"/>
    <w:rsid w:val="00E42CB0"/>
    <w:rsid w:val="00E43276"/>
    <w:rsid w:val="00E438CF"/>
    <w:rsid w:val="00E43B06"/>
    <w:rsid w:val="00E43C41"/>
    <w:rsid w:val="00E43F01"/>
    <w:rsid w:val="00E4500E"/>
    <w:rsid w:val="00E450CE"/>
    <w:rsid w:val="00E4517F"/>
    <w:rsid w:val="00E45A00"/>
    <w:rsid w:val="00E45CE7"/>
    <w:rsid w:val="00E4631F"/>
    <w:rsid w:val="00E46A4A"/>
    <w:rsid w:val="00E47CB8"/>
    <w:rsid w:val="00E522BB"/>
    <w:rsid w:val="00E525BD"/>
    <w:rsid w:val="00E527A0"/>
    <w:rsid w:val="00E52A3D"/>
    <w:rsid w:val="00E52A9C"/>
    <w:rsid w:val="00E539E4"/>
    <w:rsid w:val="00E53C14"/>
    <w:rsid w:val="00E54D65"/>
    <w:rsid w:val="00E5515D"/>
    <w:rsid w:val="00E55E84"/>
    <w:rsid w:val="00E569C7"/>
    <w:rsid w:val="00E56D2B"/>
    <w:rsid w:val="00E571F2"/>
    <w:rsid w:val="00E57429"/>
    <w:rsid w:val="00E60FCE"/>
    <w:rsid w:val="00E61C31"/>
    <w:rsid w:val="00E61EA8"/>
    <w:rsid w:val="00E63221"/>
    <w:rsid w:val="00E63EC6"/>
    <w:rsid w:val="00E64AE4"/>
    <w:rsid w:val="00E64CFB"/>
    <w:rsid w:val="00E64CFF"/>
    <w:rsid w:val="00E64EA1"/>
    <w:rsid w:val="00E6582D"/>
    <w:rsid w:val="00E6636D"/>
    <w:rsid w:val="00E669C7"/>
    <w:rsid w:val="00E67611"/>
    <w:rsid w:val="00E70510"/>
    <w:rsid w:val="00E71262"/>
    <w:rsid w:val="00E71A58"/>
    <w:rsid w:val="00E724C6"/>
    <w:rsid w:val="00E737F6"/>
    <w:rsid w:val="00E75545"/>
    <w:rsid w:val="00E7568F"/>
    <w:rsid w:val="00E764AE"/>
    <w:rsid w:val="00E7724B"/>
    <w:rsid w:val="00E77435"/>
    <w:rsid w:val="00E80E31"/>
    <w:rsid w:val="00E81543"/>
    <w:rsid w:val="00E83DAB"/>
    <w:rsid w:val="00E84F21"/>
    <w:rsid w:val="00E8618A"/>
    <w:rsid w:val="00E90A4B"/>
    <w:rsid w:val="00E90D67"/>
    <w:rsid w:val="00E90F73"/>
    <w:rsid w:val="00E910A7"/>
    <w:rsid w:val="00E91607"/>
    <w:rsid w:val="00E921C7"/>
    <w:rsid w:val="00E92799"/>
    <w:rsid w:val="00E92995"/>
    <w:rsid w:val="00E9446C"/>
    <w:rsid w:val="00E94612"/>
    <w:rsid w:val="00E95797"/>
    <w:rsid w:val="00E962F3"/>
    <w:rsid w:val="00E9682F"/>
    <w:rsid w:val="00E96A8D"/>
    <w:rsid w:val="00E972BA"/>
    <w:rsid w:val="00E97FA2"/>
    <w:rsid w:val="00EA06CB"/>
    <w:rsid w:val="00EA0AF3"/>
    <w:rsid w:val="00EA0C68"/>
    <w:rsid w:val="00EA19E2"/>
    <w:rsid w:val="00EA2F06"/>
    <w:rsid w:val="00EA3EBE"/>
    <w:rsid w:val="00EA3FAC"/>
    <w:rsid w:val="00EA4153"/>
    <w:rsid w:val="00EA421A"/>
    <w:rsid w:val="00EA5CD6"/>
    <w:rsid w:val="00EA76FD"/>
    <w:rsid w:val="00EA77CA"/>
    <w:rsid w:val="00EA78FE"/>
    <w:rsid w:val="00EA7B7D"/>
    <w:rsid w:val="00EB03D4"/>
    <w:rsid w:val="00EB0555"/>
    <w:rsid w:val="00EB20A0"/>
    <w:rsid w:val="00EB220E"/>
    <w:rsid w:val="00EB30B6"/>
    <w:rsid w:val="00EB4FA4"/>
    <w:rsid w:val="00EB5146"/>
    <w:rsid w:val="00EB522B"/>
    <w:rsid w:val="00EB55E9"/>
    <w:rsid w:val="00EB5641"/>
    <w:rsid w:val="00EB5CA9"/>
    <w:rsid w:val="00EB5ED4"/>
    <w:rsid w:val="00EB6063"/>
    <w:rsid w:val="00EB6537"/>
    <w:rsid w:val="00EB6DD2"/>
    <w:rsid w:val="00EB70E1"/>
    <w:rsid w:val="00EB7EB5"/>
    <w:rsid w:val="00EC0860"/>
    <w:rsid w:val="00EC0C89"/>
    <w:rsid w:val="00EC0EC1"/>
    <w:rsid w:val="00EC4133"/>
    <w:rsid w:val="00EC424C"/>
    <w:rsid w:val="00EC454B"/>
    <w:rsid w:val="00EC4941"/>
    <w:rsid w:val="00EC5626"/>
    <w:rsid w:val="00EC6153"/>
    <w:rsid w:val="00EC7F92"/>
    <w:rsid w:val="00ED00A8"/>
    <w:rsid w:val="00ED0A79"/>
    <w:rsid w:val="00ED229E"/>
    <w:rsid w:val="00ED2989"/>
    <w:rsid w:val="00ED2CA5"/>
    <w:rsid w:val="00ED2D46"/>
    <w:rsid w:val="00ED336F"/>
    <w:rsid w:val="00ED3A94"/>
    <w:rsid w:val="00ED40F0"/>
    <w:rsid w:val="00ED4AC0"/>
    <w:rsid w:val="00ED54D6"/>
    <w:rsid w:val="00ED5726"/>
    <w:rsid w:val="00ED7384"/>
    <w:rsid w:val="00EE0113"/>
    <w:rsid w:val="00EE0298"/>
    <w:rsid w:val="00EE0384"/>
    <w:rsid w:val="00EE043A"/>
    <w:rsid w:val="00EE0473"/>
    <w:rsid w:val="00EE1057"/>
    <w:rsid w:val="00EE10AA"/>
    <w:rsid w:val="00EE1637"/>
    <w:rsid w:val="00EE29C7"/>
    <w:rsid w:val="00EE2A98"/>
    <w:rsid w:val="00EE3547"/>
    <w:rsid w:val="00EE3B7A"/>
    <w:rsid w:val="00EE3E78"/>
    <w:rsid w:val="00EE4534"/>
    <w:rsid w:val="00EE495A"/>
    <w:rsid w:val="00EE4E8F"/>
    <w:rsid w:val="00EE5A5A"/>
    <w:rsid w:val="00EE5E02"/>
    <w:rsid w:val="00EE617D"/>
    <w:rsid w:val="00EE61BF"/>
    <w:rsid w:val="00EE6538"/>
    <w:rsid w:val="00EE6748"/>
    <w:rsid w:val="00EE6C6B"/>
    <w:rsid w:val="00EE7B94"/>
    <w:rsid w:val="00EE7C03"/>
    <w:rsid w:val="00EF0E75"/>
    <w:rsid w:val="00EF1DAA"/>
    <w:rsid w:val="00EF1F5A"/>
    <w:rsid w:val="00EF22F6"/>
    <w:rsid w:val="00EF3486"/>
    <w:rsid w:val="00EF4685"/>
    <w:rsid w:val="00EF5397"/>
    <w:rsid w:val="00EF563D"/>
    <w:rsid w:val="00EF6BE3"/>
    <w:rsid w:val="00EF6DDD"/>
    <w:rsid w:val="00EF7B70"/>
    <w:rsid w:val="00F00071"/>
    <w:rsid w:val="00F00D0E"/>
    <w:rsid w:val="00F00D3C"/>
    <w:rsid w:val="00F04811"/>
    <w:rsid w:val="00F0488C"/>
    <w:rsid w:val="00F0496E"/>
    <w:rsid w:val="00F04D10"/>
    <w:rsid w:val="00F053EA"/>
    <w:rsid w:val="00F0625B"/>
    <w:rsid w:val="00F06944"/>
    <w:rsid w:val="00F06C6F"/>
    <w:rsid w:val="00F06C89"/>
    <w:rsid w:val="00F10033"/>
    <w:rsid w:val="00F101FF"/>
    <w:rsid w:val="00F104DF"/>
    <w:rsid w:val="00F10A33"/>
    <w:rsid w:val="00F10B64"/>
    <w:rsid w:val="00F1186C"/>
    <w:rsid w:val="00F11AD5"/>
    <w:rsid w:val="00F126D0"/>
    <w:rsid w:val="00F12A83"/>
    <w:rsid w:val="00F14ACD"/>
    <w:rsid w:val="00F15309"/>
    <w:rsid w:val="00F15BEF"/>
    <w:rsid w:val="00F164A8"/>
    <w:rsid w:val="00F16807"/>
    <w:rsid w:val="00F16C43"/>
    <w:rsid w:val="00F172BE"/>
    <w:rsid w:val="00F1776C"/>
    <w:rsid w:val="00F2037E"/>
    <w:rsid w:val="00F20786"/>
    <w:rsid w:val="00F20D17"/>
    <w:rsid w:val="00F2103E"/>
    <w:rsid w:val="00F214FC"/>
    <w:rsid w:val="00F21C31"/>
    <w:rsid w:val="00F222AD"/>
    <w:rsid w:val="00F23825"/>
    <w:rsid w:val="00F2389A"/>
    <w:rsid w:val="00F23FFF"/>
    <w:rsid w:val="00F2441D"/>
    <w:rsid w:val="00F24467"/>
    <w:rsid w:val="00F24FAA"/>
    <w:rsid w:val="00F25226"/>
    <w:rsid w:val="00F25B99"/>
    <w:rsid w:val="00F26197"/>
    <w:rsid w:val="00F273D4"/>
    <w:rsid w:val="00F27482"/>
    <w:rsid w:val="00F307DD"/>
    <w:rsid w:val="00F30C2E"/>
    <w:rsid w:val="00F30CB4"/>
    <w:rsid w:val="00F318FC"/>
    <w:rsid w:val="00F31D53"/>
    <w:rsid w:val="00F31F76"/>
    <w:rsid w:val="00F325A3"/>
    <w:rsid w:val="00F3364D"/>
    <w:rsid w:val="00F353AE"/>
    <w:rsid w:val="00F35ACD"/>
    <w:rsid w:val="00F36598"/>
    <w:rsid w:val="00F365BF"/>
    <w:rsid w:val="00F36BF8"/>
    <w:rsid w:val="00F36FB3"/>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2AE1"/>
    <w:rsid w:val="00F53243"/>
    <w:rsid w:val="00F53644"/>
    <w:rsid w:val="00F541ED"/>
    <w:rsid w:val="00F54365"/>
    <w:rsid w:val="00F54641"/>
    <w:rsid w:val="00F54B31"/>
    <w:rsid w:val="00F54FD3"/>
    <w:rsid w:val="00F55605"/>
    <w:rsid w:val="00F568C5"/>
    <w:rsid w:val="00F57CD7"/>
    <w:rsid w:val="00F608FF"/>
    <w:rsid w:val="00F61637"/>
    <w:rsid w:val="00F61BFE"/>
    <w:rsid w:val="00F62F02"/>
    <w:rsid w:val="00F6339F"/>
    <w:rsid w:val="00F63DDE"/>
    <w:rsid w:val="00F63FB7"/>
    <w:rsid w:val="00F64460"/>
    <w:rsid w:val="00F64726"/>
    <w:rsid w:val="00F64F44"/>
    <w:rsid w:val="00F6561A"/>
    <w:rsid w:val="00F66243"/>
    <w:rsid w:val="00F67BDA"/>
    <w:rsid w:val="00F70309"/>
    <w:rsid w:val="00F7078A"/>
    <w:rsid w:val="00F70E45"/>
    <w:rsid w:val="00F72638"/>
    <w:rsid w:val="00F727D5"/>
    <w:rsid w:val="00F72F44"/>
    <w:rsid w:val="00F737AB"/>
    <w:rsid w:val="00F73A0C"/>
    <w:rsid w:val="00F759DC"/>
    <w:rsid w:val="00F76563"/>
    <w:rsid w:val="00F7717C"/>
    <w:rsid w:val="00F771A5"/>
    <w:rsid w:val="00F7738B"/>
    <w:rsid w:val="00F77990"/>
    <w:rsid w:val="00F80826"/>
    <w:rsid w:val="00F80D1E"/>
    <w:rsid w:val="00F817A4"/>
    <w:rsid w:val="00F81C3A"/>
    <w:rsid w:val="00F82727"/>
    <w:rsid w:val="00F835E1"/>
    <w:rsid w:val="00F835FC"/>
    <w:rsid w:val="00F8373A"/>
    <w:rsid w:val="00F83E21"/>
    <w:rsid w:val="00F83FA4"/>
    <w:rsid w:val="00F8473C"/>
    <w:rsid w:val="00F84E18"/>
    <w:rsid w:val="00F84F40"/>
    <w:rsid w:val="00F85024"/>
    <w:rsid w:val="00F852E5"/>
    <w:rsid w:val="00F86767"/>
    <w:rsid w:val="00F8750E"/>
    <w:rsid w:val="00F90350"/>
    <w:rsid w:val="00F90987"/>
    <w:rsid w:val="00F92347"/>
    <w:rsid w:val="00F9310A"/>
    <w:rsid w:val="00F94681"/>
    <w:rsid w:val="00F94C3F"/>
    <w:rsid w:val="00F95117"/>
    <w:rsid w:val="00F959AF"/>
    <w:rsid w:val="00F968ED"/>
    <w:rsid w:val="00F97ED2"/>
    <w:rsid w:val="00FA05D7"/>
    <w:rsid w:val="00FA16BD"/>
    <w:rsid w:val="00FA1992"/>
    <w:rsid w:val="00FA1C6C"/>
    <w:rsid w:val="00FA2447"/>
    <w:rsid w:val="00FA2582"/>
    <w:rsid w:val="00FA2A5B"/>
    <w:rsid w:val="00FA2C2A"/>
    <w:rsid w:val="00FA309A"/>
    <w:rsid w:val="00FA6936"/>
    <w:rsid w:val="00FA6B3F"/>
    <w:rsid w:val="00FA7132"/>
    <w:rsid w:val="00FA7644"/>
    <w:rsid w:val="00FB0A9A"/>
    <w:rsid w:val="00FB16AD"/>
    <w:rsid w:val="00FB1746"/>
    <w:rsid w:val="00FB1F21"/>
    <w:rsid w:val="00FB3D72"/>
    <w:rsid w:val="00FB40EE"/>
    <w:rsid w:val="00FB483B"/>
    <w:rsid w:val="00FB56F1"/>
    <w:rsid w:val="00FB5D61"/>
    <w:rsid w:val="00FB5FD4"/>
    <w:rsid w:val="00FB67F3"/>
    <w:rsid w:val="00FB6AF4"/>
    <w:rsid w:val="00FB6D4A"/>
    <w:rsid w:val="00FC0D8A"/>
    <w:rsid w:val="00FC0E5F"/>
    <w:rsid w:val="00FC135D"/>
    <w:rsid w:val="00FC26FB"/>
    <w:rsid w:val="00FC2AEC"/>
    <w:rsid w:val="00FC2CF4"/>
    <w:rsid w:val="00FC3C84"/>
    <w:rsid w:val="00FC4660"/>
    <w:rsid w:val="00FC56DE"/>
    <w:rsid w:val="00FC5E01"/>
    <w:rsid w:val="00FC6140"/>
    <w:rsid w:val="00FD0F51"/>
    <w:rsid w:val="00FD1261"/>
    <w:rsid w:val="00FD1627"/>
    <w:rsid w:val="00FD1BBD"/>
    <w:rsid w:val="00FD2FF9"/>
    <w:rsid w:val="00FD301F"/>
    <w:rsid w:val="00FD38B2"/>
    <w:rsid w:val="00FD419D"/>
    <w:rsid w:val="00FD43A0"/>
    <w:rsid w:val="00FD45DB"/>
    <w:rsid w:val="00FD473D"/>
    <w:rsid w:val="00FD55BA"/>
    <w:rsid w:val="00FD594D"/>
    <w:rsid w:val="00FD61C8"/>
    <w:rsid w:val="00FD63CE"/>
    <w:rsid w:val="00FD7D49"/>
    <w:rsid w:val="00FE1251"/>
    <w:rsid w:val="00FE16E6"/>
    <w:rsid w:val="00FE2F78"/>
    <w:rsid w:val="00FE3510"/>
    <w:rsid w:val="00FE371D"/>
    <w:rsid w:val="00FE375F"/>
    <w:rsid w:val="00FE3D8B"/>
    <w:rsid w:val="00FE42D4"/>
    <w:rsid w:val="00FE4BD3"/>
    <w:rsid w:val="00FE4FCB"/>
    <w:rsid w:val="00FE5BCA"/>
    <w:rsid w:val="00FE688F"/>
    <w:rsid w:val="00FE705E"/>
    <w:rsid w:val="00FF02EB"/>
    <w:rsid w:val="00FF152D"/>
    <w:rsid w:val="00FF1738"/>
    <w:rsid w:val="00FF1D20"/>
    <w:rsid w:val="00FF28E0"/>
    <w:rsid w:val="00FF2FB4"/>
    <w:rsid w:val="00FF30B3"/>
    <w:rsid w:val="00FF3DF3"/>
    <w:rsid w:val="00FF4027"/>
    <w:rsid w:val="00FF45A2"/>
    <w:rsid w:val="00FF5250"/>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8303E-EFA3-4FAE-816E-7E0458003621}">
  <ds:schemaRefs>
    <ds:schemaRef ds:uri="http://schemas.openxmlformats.org/officeDocument/2006/bibliography"/>
  </ds:schemaRefs>
</ds:datastoreItem>
</file>

<file path=customXml/itemProps2.xml><?xml version="1.0" encoding="utf-8"?>
<ds:datastoreItem xmlns:ds="http://schemas.openxmlformats.org/officeDocument/2006/customXml" ds:itemID="{2E8085E4-8620-49EE-95BE-27382776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2</TotalTime>
  <Pages>4</Pages>
  <Words>2040</Words>
  <Characters>12037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14049</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2017-03-16T10:07:00Z</cp:lastPrinted>
  <dcterms:created xsi:type="dcterms:W3CDTF">2017-04-24T10:20:00Z</dcterms:created>
  <dcterms:modified xsi:type="dcterms:W3CDTF">2017-04-24T10:22:00Z</dcterms:modified>
</cp:coreProperties>
</file>