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2158A" w14:textId="39E6CD30" w:rsidR="00553139" w:rsidRPr="001A7ADF" w:rsidRDefault="008E351B" w:rsidP="00255E46">
      <w:pPr>
        <w:pStyle w:val="Nadpis2"/>
        <w:pageBreakBefore/>
        <w:tabs>
          <w:tab w:val="left" w:pos="567"/>
        </w:tabs>
        <w:spacing w:after="120" w:line="276" w:lineRule="auto"/>
        <w:jc w:val="both"/>
        <w:rPr>
          <w:i/>
          <w:iCs/>
          <w:color w:val="009CB5"/>
          <w:sz w:val="22"/>
        </w:rPr>
      </w:pPr>
      <w:r w:rsidRPr="001A7ADF">
        <w:rPr>
          <w:color w:val="009CB5"/>
          <w:sz w:val="30"/>
          <w:szCs w:val="30"/>
        </w:rPr>
        <w:t>1</w:t>
      </w:r>
      <w:r w:rsidR="0031493A" w:rsidRPr="001A7ADF">
        <w:rPr>
          <w:color w:val="009CB5"/>
          <w:sz w:val="30"/>
          <w:szCs w:val="30"/>
        </w:rPr>
        <w:t>1</w:t>
      </w:r>
      <w:r w:rsidRPr="001A7ADF">
        <w:rPr>
          <w:color w:val="009CB5"/>
          <w:sz w:val="30"/>
          <w:szCs w:val="30"/>
        </w:rPr>
        <w:t>.</w:t>
      </w:r>
      <w:r w:rsidR="00553139" w:rsidRPr="001A7ADF">
        <w:rPr>
          <w:color w:val="009CB5"/>
          <w:sz w:val="30"/>
          <w:szCs w:val="30"/>
        </w:rPr>
        <w:tab/>
      </w:r>
      <w:r w:rsidR="003F3E58" w:rsidRPr="001A7ADF">
        <w:rPr>
          <w:color w:val="009CB5"/>
          <w:sz w:val="30"/>
          <w:szCs w:val="30"/>
        </w:rPr>
        <w:t xml:space="preserve">Dopad </w:t>
      </w:r>
      <w:r w:rsidR="00C0584D" w:rsidRPr="001A7ADF">
        <w:rPr>
          <w:color w:val="009CB5"/>
          <w:sz w:val="30"/>
          <w:szCs w:val="30"/>
        </w:rPr>
        <w:t xml:space="preserve">ICT </w:t>
      </w:r>
      <w:r w:rsidR="003F3E58" w:rsidRPr="001A7ADF">
        <w:rPr>
          <w:color w:val="009CB5"/>
          <w:sz w:val="30"/>
          <w:szCs w:val="30"/>
        </w:rPr>
        <w:t>n</w:t>
      </w:r>
      <w:r w:rsidR="00C0584D" w:rsidRPr="001A7ADF">
        <w:rPr>
          <w:color w:val="009CB5"/>
          <w:sz w:val="30"/>
          <w:szCs w:val="30"/>
        </w:rPr>
        <w:t>a životní prostředí</w:t>
      </w:r>
    </w:p>
    <w:p w14:paraId="79E025FA" w14:textId="3FEC0A1E" w:rsidR="008460B2" w:rsidRPr="008460B2" w:rsidRDefault="008460B2" w:rsidP="008460B2">
      <w:pPr>
        <w:pStyle w:val="Box"/>
      </w:pPr>
      <w:r>
        <w:t>D</w:t>
      </w:r>
      <w:r w:rsidRPr="008460B2">
        <w:t xml:space="preserve">opad </w:t>
      </w:r>
      <w:r>
        <w:t xml:space="preserve">ICT </w:t>
      </w:r>
      <w:r w:rsidRPr="008460B2">
        <w:t xml:space="preserve">na životní prostředí není zanedbatelný – datová centra a hardware vyžadují značné množství energie a vzácných materiálů. </w:t>
      </w:r>
      <w:r w:rsidR="00C45BD5" w:rsidRPr="00C45BD5">
        <w:t>Moderní ICT nástroje</w:t>
      </w:r>
      <w:r w:rsidR="00C45BD5">
        <w:t xml:space="preserve"> ale</w:t>
      </w:r>
      <w:r w:rsidR="00C45BD5" w:rsidRPr="00C45BD5">
        <w:t xml:space="preserve"> umožňují spotřeb</w:t>
      </w:r>
      <w:r w:rsidR="00C45BD5">
        <w:t>u</w:t>
      </w:r>
      <w:r w:rsidR="00C45BD5" w:rsidRPr="00C45BD5">
        <w:t xml:space="preserve"> energie, vody a materiálů</w:t>
      </w:r>
      <w:r w:rsidR="006D3C78" w:rsidRPr="006D3C78">
        <w:t xml:space="preserve"> </w:t>
      </w:r>
      <w:r w:rsidR="006D3C78" w:rsidRPr="00C45BD5">
        <w:t>optimaliz</w:t>
      </w:r>
      <w:r w:rsidR="006D3C78">
        <w:t>ovat</w:t>
      </w:r>
      <w:r w:rsidR="00C45BD5">
        <w:t xml:space="preserve">. </w:t>
      </w:r>
      <w:r w:rsidR="000D4764" w:rsidRPr="000D4764">
        <w:t>Například systémy pro řízení výroby dokáží minimalizovat odpad</w:t>
      </w:r>
      <w:r w:rsidR="000D4764">
        <w:t>y</w:t>
      </w:r>
      <w:r w:rsidR="000D4764" w:rsidRPr="000D4764">
        <w:t xml:space="preserve"> a podpor</w:t>
      </w:r>
      <w:r w:rsidR="000D4764">
        <w:t>ují</w:t>
      </w:r>
      <w:r w:rsidR="000D4764" w:rsidRPr="000D4764">
        <w:t xml:space="preserve"> využívání recyklovaných surovin</w:t>
      </w:r>
      <w:r w:rsidR="000D4764">
        <w:t>. C</w:t>
      </w:r>
      <w:r w:rsidR="000D4764" w:rsidRPr="000D4764">
        <w:t xml:space="preserve">loudové platformy snižují potřebu fyzické infrastruktury, </w:t>
      </w:r>
      <w:r w:rsidR="000D4764">
        <w:t>a tím</w:t>
      </w:r>
      <w:r w:rsidR="000D4764" w:rsidRPr="000D4764">
        <w:t xml:space="preserve"> redukují energetickou náročnost. </w:t>
      </w:r>
    </w:p>
    <w:p w14:paraId="1E313975" w14:textId="75B0ADD4" w:rsidR="00B96803" w:rsidRPr="00312B99" w:rsidRDefault="00702953" w:rsidP="00B96803">
      <w:pPr>
        <w:autoSpaceDE w:val="0"/>
        <w:autoSpaceDN w:val="0"/>
        <w:adjustRightInd w:val="0"/>
        <w:spacing w:after="60" w:line="288" w:lineRule="auto"/>
        <w:jc w:val="both"/>
        <w:rPr>
          <w:rFonts w:ascii="Arial" w:hAnsi="Arial" w:cs="Arial"/>
          <w:bCs/>
          <w:i/>
          <w:sz w:val="20"/>
          <w:szCs w:val="20"/>
          <w:lang w:eastAsia="cs-CZ"/>
        </w:rPr>
      </w:pPr>
      <w:r>
        <w:rPr>
          <w:rFonts w:ascii="Arial" w:hAnsi="Arial" w:cs="Arial"/>
          <w:i/>
          <w:sz w:val="20"/>
          <w:szCs w:val="20"/>
        </w:rPr>
        <w:t xml:space="preserve">  </w:t>
      </w:r>
      <w:r w:rsidR="004F238E" w:rsidRPr="004F238E">
        <w:rPr>
          <w:rFonts w:ascii="Arial" w:hAnsi="Arial" w:cs="Arial"/>
          <w:i/>
          <w:sz w:val="20"/>
          <w:szCs w:val="20"/>
        </w:rPr>
        <w:t xml:space="preserve"> </w:t>
      </w:r>
    </w:p>
    <w:p w14:paraId="08FA6D33" w14:textId="17F517FE" w:rsidR="00553139" w:rsidRPr="001A7ADF" w:rsidRDefault="00553139" w:rsidP="00255E46">
      <w:pPr>
        <w:pStyle w:val="Nadpis2"/>
        <w:spacing w:before="120" w:after="120" w:line="240" w:lineRule="auto"/>
        <w:rPr>
          <w:color w:val="009CB5"/>
          <w:sz w:val="24"/>
          <w:szCs w:val="24"/>
        </w:rPr>
      </w:pPr>
      <w:r w:rsidRPr="001A7ADF">
        <w:rPr>
          <w:color w:val="009CB5"/>
          <w:sz w:val="24"/>
          <w:szCs w:val="24"/>
        </w:rPr>
        <w:t>Hlavní zjištění</w:t>
      </w:r>
      <w:r w:rsidR="00255E46" w:rsidRPr="001A7ADF">
        <w:rPr>
          <w:color w:val="009CB5"/>
          <w:sz w:val="24"/>
          <w:szCs w:val="24"/>
        </w:rPr>
        <w:t xml:space="preserve"> </w:t>
      </w:r>
    </w:p>
    <w:p w14:paraId="23BEE7C1" w14:textId="6D2D5D30" w:rsidR="00604ABB" w:rsidRPr="00967B9D" w:rsidRDefault="000B0F83" w:rsidP="00396A2F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60" w:line="288" w:lineRule="auto"/>
        <w:ind w:left="357" w:hanging="357"/>
        <w:jc w:val="both"/>
        <w:rPr>
          <w:rFonts w:ascii="Arial" w:hAnsi="Arial" w:cs="Arial"/>
          <w:sz w:val="20"/>
        </w:rPr>
      </w:pPr>
      <w:r w:rsidRPr="00FB7BE8">
        <w:rPr>
          <w:rFonts w:ascii="Arial" w:hAnsi="Arial" w:cs="Arial"/>
          <w:b/>
          <w:bCs/>
          <w:sz w:val="20"/>
        </w:rPr>
        <w:t>Pětina podniků</w:t>
      </w:r>
      <w:r w:rsidR="009C7358" w:rsidRPr="00FB7BE8">
        <w:rPr>
          <w:rFonts w:ascii="Arial" w:hAnsi="Arial" w:cs="Arial"/>
          <w:b/>
          <w:bCs/>
          <w:sz w:val="20"/>
        </w:rPr>
        <w:t xml:space="preserve"> v</w:t>
      </w:r>
      <w:r w:rsidRPr="00FB7BE8">
        <w:rPr>
          <w:rFonts w:ascii="Arial" w:hAnsi="Arial" w:cs="Arial"/>
          <w:b/>
          <w:bCs/>
          <w:sz w:val="20"/>
        </w:rPr>
        <w:t> </w:t>
      </w:r>
      <w:r w:rsidR="009C7358" w:rsidRPr="00FB7BE8">
        <w:rPr>
          <w:rFonts w:ascii="Arial" w:hAnsi="Arial" w:cs="Arial"/>
          <w:b/>
          <w:bCs/>
          <w:sz w:val="20"/>
        </w:rPr>
        <w:t>Česku</w:t>
      </w:r>
      <w:r w:rsidRPr="00967B9D">
        <w:rPr>
          <w:rFonts w:ascii="Arial" w:hAnsi="Arial" w:cs="Arial"/>
          <w:sz w:val="20"/>
        </w:rPr>
        <w:t xml:space="preserve"> </w:t>
      </w:r>
      <w:r w:rsidR="0060777B" w:rsidRPr="00967B9D">
        <w:rPr>
          <w:rFonts w:ascii="Arial" w:hAnsi="Arial" w:cs="Arial"/>
          <w:sz w:val="20"/>
        </w:rPr>
        <w:t xml:space="preserve">používala v roce 2025 ICT </w:t>
      </w:r>
      <w:r w:rsidR="0060777B" w:rsidRPr="00FB7BE8">
        <w:rPr>
          <w:rFonts w:ascii="Arial" w:hAnsi="Arial" w:cs="Arial"/>
          <w:b/>
          <w:bCs/>
          <w:sz w:val="20"/>
        </w:rPr>
        <w:t>systémy nebo softwarová řešení ke snížení spotřeby energie</w:t>
      </w:r>
      <w:r w:rsidR="00F63093" w:rsidRPr="00967B9D">
        <w:rPr>
          <w:rFonts w:ascii="Arial" w:hAnsi="Arial" w:cs="Arial"/>
          <w:sz w:val="20"/>
        </w:rPr>
        <w:t>.</w:t>
      </w:r>
      <w:r w:rsidR="00967B9D">
        <w:rPr>
          <w:rFonts w:ascii="Arial" w:hAnsi="Arial" w:cs="Arial"/>
          <w:sz w:val="20"/>
        </w:rPr>
        <w:t xml:space="preserve"> </w:t>
      </w:r>
      <w:r w:rsidR="00120BA9">
        <w:rPr>
          <w:rFonts w:ascii="Arial" w:hAnsi="Arial" w:cs="Arial"/>
          <w:sz w:val="20"/>
        </w:rPr>
        <w:t xml:space="preserve">Jde např. o chytré termostaty, </w:t>
      </w:r>
      <w:r w:rsidR="00120BA9" w:rsidRPr="00FB7BE8">
        <w:rPr>
          <w:rFonts w:ascii="Arial" w:hAnsi="Arial" w:cs="Arial"/>
          <w:b/>
          <w:bCs/>
          <w:sz w:val="20"/>
        </w:rPr>
        <w:t xml:space="preserve">topné systémy nebo systémy klimatizace </w:t>
      </w:r>
      <w:r w:rsidR="00E64AC3" w:rsidRPr="00FB7BE8">
        <w:rPr>
          <w:rFonts w:ascii="Arial" w:hAnsi="Arial" w:cs="Arial"/>
          <w:b/>
          <w:bCs/>
          <w:sz w:val="20"/>
        </w:rPr>
        <w:t>řízené na dálku</w:t>
      </w:r>
      <w:r w:rsidR="00E64AC3">
        <w:rPr>
          <w:rFonts w:ascii="Arial" w:hAnsi="Arial" w:cs="Arial"/>
          <w:sz w:val="20"/>
        </w:rPr>
        <w:t>, případně systémy</w:t>
      </w:r>
      <w:r w:rsidR="00FB7BE8">
        <w:rPr>
          <w:rFonts w:ascii="Arial" w:hAnsi="Arial" w:cs="Arial"/>
          <w:sz w:val="20"/>
        </w:rPr>
        <w:t xml:space="preserve"> </w:t>
      </w:r>
      <w:r w:rsidR="00FB7BE8" w:rsidRPr="00FB7BE8">
        <w:rPr>
          <w:rFonts w:ascii="Arial" w:hAnsi="Arial" w:cs="Arial"/>
          <w:b/>
          <w:bCs/>
          <w:sz w:val="20"/>
        </w:rPr>
        <w:t>upozorňující na nestandardní odběry</w:t>
      </w:r>
      <w:r w:rsidR="00FB7BE8">
        <w:rPr>
          <w:rFonts w:ascii="Arial" w:hAnsi="Arial" w:cs="Arial"/>
          <w:sz w:val="20"/>
        </w:rPr>
        <w:t xml:space="preserve"> nebo systémy monitorující a </w:t>
      </w:r>
      <w:r w:rsidR="00FB7BE8" w:rsidRPr="00FB7BE8">
        <w:rPr>
          <w:rFonts w:ascii="Arial" w:hAnsi="Arial" w:cs="Arial"/>
          <w:b/>
          <w:bCs/>
          <w:sz w:val="20"/>
        </w:rPr>
        <w:t>regulující spotřebu energií na dálku</w:t>
      </w:r>
      <w:r w:rsidR="00FB7BE8">
        <w:rPr>
          <w:rFonts w:ascii="Arial" w:hAnsi="Arial" w:cs="Arial"/>
          <w:sz w:val="20"/>
        </w:rPr>
        <w:t xml:space="preserve">. </w:t>
      </w:r>
      <w:r w:rsidR="00967B9D">
        <w:rPr>
          <w:rFonts w:ascii="Arial" w:hAnsi="Arial" w:cs="Arial"/>
          <w:sz w:val="20"/>
        </w:rPr>
        <w:t>Používá je v</w:t>
      </w:r>
      <w:r w:rsidR="00604ABB" w:rsidRPr="00967B9D">
        <w:rPr>
          <w:rFonts w:ascii="Arial" w:hAnsi="Arial" w:cs="Arial"/>
          <w:sz w:val="20"/>
        </w:rPr>
        <w:t xml:space="preserve">íce </w:t>
      </w:r>
      <w:r w:rsidR="00146282" w:rsidRPr="00967B9D">
        <w:rPr>
          <w:rFonts w:ascii="Arial" w:hAnsi="Arial" w:cs="Arial"/>
          <w:sz w:val="20"/>
        </w:rPr>
        <w:t xml:space="preserve">než polovina </w:t>
      </w:r>
      <w:r w:rsidR="00604ABB" w:rsidRPr="00967B9D">
        <w:rPr>
          <w:rFonts w:ascii="Arial" w:hAnsi="Arial" w:cs="Arial"/>
          <w:sz w:val="20"/>
        </w:rPr>
        <w:t>velk</w:t>
      </w:r>
      <w:r w:rsidR="00146282" w:rsidRPr="00967B9D">
        <w:rPr>
          <w:rFonts w:ascii="Arial" w:hAnsi="Arial" w:cs="Arial"/>
          <w:sz w:val="20"/>
        </w:rPr>
        <w:t>ých</w:t>
      </w:r>
      <w:r w:rsidR="00604ABB" w:rsidRPr="00967B9D">
        <w:rPr>
          <w:rFonts w:ascii="Arial" w:hAnsi="Arial" w:cs="Arial"/>
          <w:sz w:val="20"/>
        </w:rPr>
        <w:t xml:space="preserve"> podnik</w:t>
      </w:r>
      <w:r w:rsidR="00146282" w:rsidRPr="00967B9D">
        <w:rPr>
          <w:rFonts w:ascii="Arial" w:hAnsi="Arial" w:cs="Arial"/>
          <w:sz w:val="20"/>
        </w:rPr>
        <w:t>ů (55 %</w:t>
      </w:r>
      <w:r w:rsidR="00967B9D">
        <w:rPr>
          <w:rFonts w:ascii="Arial" w:hAnsi="Arial" w:cs="Arial"/>
          <w:sz w:val="20"/>
        </w:rPr>
        <w:t>)</w:t>
      </w:r>
      <w:r w:rsidR="00146282" w:rsidRPr="00967B9D">
        <w:rPr>
          <w:rFonts w:ascii="Arial" w:hAnsi="Arial" w:cs="Arial"/>
          <w:sz w:val="20"/>
        </w:rPr>
        <w:t xml:space="preserve">, třetina středně velkých </w:t>
      </w:r>
      <w:r w:rsidR="002A14D2" w:rsidRPr="00967B9D">
        <w:rPr>
          <w:rFonts w:ascii="Arial" w:hAnsi="Arial" w:cs="Arial"/>
          <w:sz w:val="20"/>
        </w:rPr>
        <w:t>(34 %)</w:t>
      </w:r>
      <w:r w:rsidR="00967B9D">
        <w:rPr>
          <w:rFonts w:ascii="Arial" w:hAnsi="Arial" w:cs="Arial"/>
          <w:sz w:val="20"/>
        </w:rPr>
        <w:t xml:space="preserve"> a 15 % </w:t>
      </w:r>
      <w:r w:rsidR="002A14D2" w:rsidRPr="00967B9D">
        <w:rPr>
          <w:rFonts w:ascii="Arial" w:hAnsi="Arial" w:cs="Arial"/>
          <w:sz w:val="20"/>
        </w:rPr>
        <w:t>malých firem.</w:t>
      </w:r>
    </w:p>
    <w:p w14:paraId="4BBF3518" w14:textId="3EDA7824" w:rsidR="00967B9D" w:rsidRDefault="00967B9D" w:rsidP="00967B9D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60" w:line="288" w:lineRule="auto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Softwarová řešení ke snížení spotřeby energie použív</w:t>
      </w:r>
      <w:r w:rsidR="00C6045A">
        <w:rPr>
          <w:rFonts w:ascii="Arial" w:hAnsi="Arial" w:cs="Arial"/>
          <w:sz w:val="20"/>
        </w:rPr>
        <w:t>á nejvíce podniků</w:t>
      </w:r>
      <w:r>
        <w:rPr>
          <w:rFonts w:ascii="Arial" w:hAnsi="Arial" w:cs="Arial"/>
          <w:sz w:val="20"/>
        </w:rPr>
        <w:t xml:space="preserve"> </w:t>
      </w:r>
      <w:r w:rsidRPr="00FB7BE8">
        <w:rPr>
          <w:rFonts w:ascii="Arial" w:hAnsi="Arial" w:cs="Arial"/>
          <w:b/>
          <w:bCs/>
          <w:sz w:val="20"/>
        </w:rPr>
        <w:t>v automobilovém průmyslu</w:t>
      </w:r>
      <w:r>
        <w:rPr>
          <w:rFonts w:ascii="Arial" w:hAnsi="Arial" w:cs="Arial"/>
          <w:sz w:val="20"/>
        </w:rPr>
        <w:t xml:space="preserve"> (42</w:t>
      </w:r>
      <w:r w:rsidR="00C6045A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%) a v telekomunikačních činnostech (38 %). Nejméně</w:t>
      </w:r>
      <w:r w:rsidR="00C6045A">
        <w:rPr>
          <w:rFonts w:ascii="Arial" w:hAnsi="Arial" w:cs="Arial"/>
          <w:sz w:val="20"/>
        </w:rPr>
        <w:t xml:space="preserve"> naopak</w:t>
      </w:r>
      <w:r>
        <w:rPr>
          <w:rFonts w:ascii="Arial" w:hAnsi="Arial" w:cs="Arial"/>
          <w:sz w:val="20"/>
        </w:rPr>
        <w:t xml:space="preserve"> v dopravě a skladování</w:t>
      </w:r>
      <w:r w:rsidR="00C6045A">
        <w:rPr>
          <w:rFonts w:ascii="Arial" w:hAnsi="Arial" w:cs="Arial"/>
          <w:sz w:val="20"/>
        </w:rPr>
        <w:t xml:space="preserve"> </w:t>
      </w:r>
      <w:r w:rsidR="000D7DBC">
        <w:rPr>
          <w:rFonts w:ascii="Arial" w:hAnsi="Arial" w:cs="Arial"/>
          <w:sz w:val="20"/>
        </w:rPr>
        <w:t>(11 %)</w:t>
      </w:r>
      <w:r>
        <w:rPr>
          <w:rFonts w:ascii="Arial" w:hAnsi="Arial" w:cs="Arial"/>
          <w:sz w:val="20"/>
        </w:rPr>
        <w:t xml:space="preserve"> a v ostatních administrativních </w:t>
      </w:r>
      <w:r w:rsidR="000D7DBC">
        <w:rPr>
          <w:rFonts w:ascii="Arial" w:hAnsi="Arial" w:cs="Arial"/>
          <w:sz w:val="20"/>
        </w:rPr>
        <w:t xml:space="preserve">a podpůrných </w:t>
      </w:r>
      <w:r>
        <w:rPr>
          <w:rFonts w:ascii="Arial" w:hAnsi="Arial" w:cs="Arial"/>
          <w:sz w:val="20"/>
        </w:rPr>
        <w:t>činnostech (</w:t>
      </w:r>
      <w:r w:rsidR="000D7DBC">
        <w:rPr>
          <w:rFonts w:ascii="Arial" w:hAnsi="Arial" w:cs="Arial"/>
          <w:sz w:val="20"/>
        </w:rPr>
        <w:t>10 %</w:t>
      </w:r>
      <w:r>
        <w:rPr>
          <w:rFonts w:ascii="Arial" w:hAnsi="Arial" w:cs="Arial"/>
          <w:sz w:val="20"/>
        </w:rPr>
        <w:t>).</w:t>
      </w:r>
    </w:p>
    <w:p w14:paraId="2E948905" w14:textId="6370BE76" w:rsidR="00604ABB" w:rsidRDefault="00604ABB" w:rsidP="00B96803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60" w:line="288" w:lineRule="auto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 srovnání zemí </w:t>
      </w:r>
      <w:r w:rsidR="00FB7BE8">
        <w:rPr>
          <w:rFonts w:ascii="Arial" w:hAnsi="Arial" w:cs="Arial"/>
          <w:sz w:val="20"/>
        </w:rPr>
        <w:t>Evropské unie</w:t>
      </w:r>
      <w:r>
        <w:rPr>
          <w:rFonts w:ascii="Arial" w:hAnsi="Arial" w:cs="Arial"/>
          <w:sz w:val="20"/>
        </w:rPr>
        <w:t xml:space="preserve"> j</w:t>
      </w:r>
      <w:r w:rsidR="00FB7BE8">
        <w:rPr>
          <w:rFonts w:ascii="Arial" w:hAnsi="Arial" w:cs="Arial"/>
          <w:sz w:val="20"/>
        </w:rPr>
        <w:t>sou podniky v Česku (20 %)</w:t>
      </w:r>
      <w:r>
        <w:rPr>
          <w:rFonts w:ascii="Arial" w:hAnsi="Arial" w:cs="Arial"/>
          <w:sz w:val="20"/>
        </w:rPr>
        <w:t xml:space="preserve"> </w:t>
      </w:r>
      <w:r w:rsidRPr="00FB7BE8">
        <w:rPr>
          <w:rFonts w:ascii="Arial" w:hAnsi="Arial" w:cs="Arial"/>
          <w:b/>
          <w:bCs/>
          <w:sz w:val="20"/>
        </w:rPr>
        <w:t>pod průměrem</w:t>
      </w:r>
      <w:r w:rsidR="00FB7BE8">
        <w:rPr>
          <w:rFonts w:ascii="Arial" w:hAnsi="Arial" w:cs="Arial"/>
          <w:b/>
          <w:bCs/>
          <w:sz w:val="20"/>
        </w:rPr>
        <w:t xml:space="preserve"> EU27</w:t>
      </w:r>
      <w:r w:rsidR="00CA2257">
        <w:rPr>
          <w:rFonts w:ascii="Arial" w:hAnsi="Arial" w:cs="Arial"/>
          <w:sz w:val="20"/>
        </w:rPr>
        <w:t xml:space="preserve">, který v roce 2025 činil </w:t>
      </w:r>
      <w:r w:rsidR="00CA2257" w:rsidRPr="00FB7BE8">
        <w:rPr>
          <w:rFonts w:ascii="Arial" w:hAnsi="Arial" w:cs="Arial"/>
          <w:b/>
          <w:bCs/>
          <w:sz w:val="20"/>
        </w:rPr>
        <w:t>25 %</w:t>
      </w:r>
      <w:r w:rsidR="00FB7BE8" w:rsidRPr="00FB7BE8">
        <w:rPr>
          <w:rFonts w:ascii="Arial" w:hAnsi="Arial" w:cs="Arial"/>
          <w:b/>
          <w:bCs/>
          <w:sz w:val="20"/>
        </w:rPr>
        <w:t xml:space="preserve"> podniků</w:t>
      </w:r>
      <w:r w:rsidR="00CA2257">
        <w:rPr>
          <w:rFonts w:ascii="Arial" w:hAnsi="Arial" w:cs="Arial"/>
          <w:sz w:val="20"/>
        </w:rPr>
        <w:t xml:space="preserve">. Nejvíce podniků, které </w:t>
      </w:r>
      <w:r w:rsidR="00FB7BE8">
        <w:rPr>
          <w:rFonts w:ascii="Arial" w:hAnsi="Arial" w:cs="Arial"/>
          <w:sz w:val="20"/>
        </w:rPr>
        <w:t>s</w:t>
      </w:r>
      <w:r w:rsidR="00CA2257">
        <w:rPr>
          <w:rFonts w:ascii="Arial" w:hAnsi="Arial" w:cs="Arial"/>
          <w:sz w:val="20"/>
        </w:rPr>
        <w:t xml:space="preserve">ystémy na </w:t>
      </w:r>
      <w:r w:rsidR="006677C1">
        <w:rPr>
          <w:rFonts w:ascii="Arial" w:hAnsi="Arial" w:cs="Arial"/>
          <w:sz w:val="20"/>
        </w:rPr>
        <w:t>úsporu energie používají</w:t>
      </w:r>
      <w:r w:rsidR="00967B9D">
        <w:rPr>
          <w:rFonts w:ascii="Arial" w:hAnsi="Arial" w:cs="Arial"/>
          <w:sz w:val="20"/>
        </w:rPr>
        <w:t>,</w:t>
      </w:r>
      <w:r w:rsidR="006677C1">
        <w:rPr>
          <w:rFonts w:ascii="Arial" w:hAnsi="Arial" w:cs="Arial"/>
          <w:sz w:val="20"/>
        </w:rPr>
        <w:t xml:space="preserve"> je v</w:t>
      </w:r>
      <w:r w:rsidR="00967B9D">
        <w:rPr>
          <w:rFonts w:ascii="Arial" w:hAnsi="Arial" w:cs="Arial"/>
          <w:sz w:val="20"/>
        </w:rPr>
        <w:t> </w:t>
      </w:r>
      <w:r w:rsidR="006677C1">
        <w:rPr>
          <w:rFonts w:ascii="Arial" w:hAnsi="Arial" w:cs="Arial"/>
          <w:sz w:val="20"/>
        </w:rPr>
        <w:t>Chorvatsku</w:t>
      </w:r>
      <w:r w:rsidR="00967B9D">
        <w:rPr>
          <w:rFonts w:ascii="Arial" w:hAnsi="Arial" w:cs="Arial"/>
          <w:sz w:val="20"/>
        </w:rPr>
        <w:t xml:space="preserve"> (41 %)</w:t>
      </w:r>
      <w:r w:rsidR="006677C1">
        <w:rPr>
          <w:rFonts w:ascii="Arial" w:hAnsi="Arial" w:cs="Arial"/>
          <w:sz w:val="20"/>
        </w:rPr>
        <w:t>, nejméně naopak v</w:t>
      </w:r>
      <w:r w:rsidR="00967B9D">
        <w:rPr>
          <w:rFonts w:ascii="Arial" w:hAnsi="Arial" w:cs="Arial"/>
          <w:sz w:val="20"/>
        </w:rPr>
        <w:t> </w:t>
      </w:r>
      <w:r w:rsidR="006677C1">
        <w:rPr>
          <w:rFonts w:ascii="Arial" w:hAnsi="Arial" w:cs="Arial"/>
          <w:sz w:val="20"/>
        </w:rPr>
        <w:t>Bulharsku</w:t>
      </w:r>
      <w:r w:rsidR="00967B9D">
        <w:rPr>
          <w:rFonts w:ascii="Arial" w:hAnsi="Arial" w:cs="Arial"/>
          <w:sz w:val="20"/>
        </w:rPr>
        <w:t xml:space="preserve"> (10 %).</w:t>
      </w:r>
    </w:p>
    <w:p w14:paraId="073163C0" w14:textId="10642F9A" w:rsidR="00F75B9D" w:rsidRPr="00967B9D" w:rsidRDefault="00F75B9D" w:rsidP="00F75B9D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60" w:line="288" w:lineRule="auto"/>
        <w:ind w:left="357" w:hanging="357"/>
        <w:jc w:val="both"/>
        <w:rPr>
          <w:rFonts w:ascii="Arial" w:hAnsi="Arial" w:cs="Arial"/>
          <w:sz w:val="20"/>
        </w:rPr>
      </w:pPr>
      <w:r w:rsidRPr="00FB7BE8">
        <w:rPr>
          <w:rFonts w:ascii="Arial" w:hAnsi="Arial" w:cs="Arial"/>
          <w:b/>
          <w:bCs/>
          <w:sz w:val="20"/>
        </w:rPr>
        <w:t>Desetina podniků (9 %) v Česku</w:t>
      </w:r>
      <w:r w:rsidRPr="00967B9D">
        <w:rPr>
          <w:rFonts w:ascii="Arial" w:hAnsi="Arial" w:cs="Arial"/>
          <w:sz w:val="20"/>
        </w:rPr>
        <w:t xml:space="preserve"> používala v roce 2025 ICT systémy nebo softwarová řešení ke </w:t>
      </w:r>
      <w:r w:rsidRPr="00350AE3">
        <w:rPr>
          <w:rFonts w:ascii="Arial" w:hAnsi="Arial" w:cs="Arial"/>
          <w:b/>
          <w:bCs/>
          <w:sz w:val="20"/>
        </w:rPr>
        <w:t xml:space="preserve">snížení spotřeby materiálů, vody nebo </w:t>
      </w:r>
      <w:r w:rsidR="00A2413F" w:rsidRPr="00350AE3">
        <w:rPr>
          <w:rFonts w:ascii="Arial" w:hAnsi="Arial" w:cs="Arial"/>
          <w:b/>
          <w:bCs/>
          <w:sz w:val="20"/>
        </w:rPr>
        <w:t>k podpoře využívání recyklovaných surovin</w:t>
      </w:r>
      <w:r w:rsidRPr="00967B9D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="00F41AF7">
        <w:rPr>
          <w:rFonts w:ascii="Arial" w:hAnsi="Arial" w:cs="Arial"/>
          <w:sz w:val="20"/>
        </w:rPr>
        <w:t xml:space="preserve">Jde např. o systémy pro </w:t>
      </w:r>
      <w:r w:rsidR="00F41AF7" w:rsidRPr="00350AE3">
        <w:rPr>
          <w:rFonts w:ascii="Arial" w:hAnsi="Arial" w:cs="Arial"/>
          <w:b/>
          <w:bCs/>
          <w:sz w:val="20"/>
        </w:rPr>
        <w:t>minimalizaci nadměrných zásob</w:t>
      </w:r>
      <w:r w:rsidR="004B6153">
        <w:rPr>
          <w:rFonts w:ascii="Arial" w:hAnsi="Arial" w:cs="Arial"/>
          <w:sz w:val="20"/>
        </w:rPr>
        <w:t xml:space="preserve"> nebo ke </w:t>
      </w:r>
      <w:r w:rsidR="004B6153" w:rsidRPr="00350AE3">
        <w:rPr>
          <w:rFonts w:ascii="Arial" w:hAnsi="Arial" w:cs="Arial"/>
          <w:b/>
          <w:bCs/>
          <w:sz w:val="20"/>
        </w:rPr>
        <w:t>snížení materiálového odpadu</w:t>
      </w:r>
      <w:r w:rsidR="004B6153">
        <w:rPr>
          <w:rFonts w:ascii="Arial" w:hAnsi="Arial" w:cs="Arial"/>
          <w:sz w:val="20"/>
        </w:rPr>
        <w:t xml:space="preserve"> či průtokový senzor pro </w:t>
      </w:r>
      <w:r w:rsidR="004B6153" w:rsidRPr="00350AE3">
        <w:rPr>
          <w:rFonts w:ascii="Arial" w:hAnsi="Arial" w:cs="Arial"/>
          <w:b/>
          <w:bCs/>
          <w:sz w:val="20"/>
        </w:rPr>
        <w:t>snížení spotřeby vody</w:t>
      </w:r>
      <w:r w:rsidR="004B6153">
        <w:rPr>
          <w:rFonts w:ascii="Arial" w:hAnsi="Arial" w:cs="Arial"/>
          <w:sz w:val="20"/>
        </w:rPr>
        <w:t>. Tyto systémy používala v roce 2025</w:t>
      </w:r>
      <w:r>
        <w:rPr>
          <w:rFonts w:ascii="Arial" w:hAnsi="Arial" w:cs="Arial"/>
          <w:sz w:val="20"/>
        </w:rPr>
        <w:t xml:space="preserve"> </w:t>
      </w:r>
      <w:r w:rsidR="00A2413F">
        <w:rPr>
          <w:rFonts w:ascii="Arial" w:hAnsi="Arial" w:cs="Arial"/>
          <w:sz w:val="20"/>
        </w:rPr>
        <w:t>třetina</w:t>
      </w:r>
      <w:r w:rsidRPr="00967B9D">
        <w:rPr>
          <w:rFonts w:ascii="Arial" w:hAnsi="Arial" w:cs="Arial"/>
          <w:sz w:val="20"/>
        </w:rPr>
        <w:t xml:space="preserve"> velkých podniků (</w:t>
      </w:r>
      <w:r w:rsidR="00A2413F">
        <w:rPr>
          <w:rFonts w:ascii="Arial" w:hAnsi="Arial" w:cs="Arial"/>
          <w:sz w:val="20"/>
        </w:rPr>
        <w:t>32</w:t>
      </w:r>
      <w:r w:rsidRPr="00967B9D">
        <w:rPr>
          <w:rFonts w:ascii="Arial" w:hAnsi="Arial" w:cs="Arial"/>
          <w:sz w:val="20"/>
        </w:rPr>
        <w:t xml:space="preserve"> %</w:t>
      </w:r>
      <w:r>
        <w:rPr>
          <w:rFonts w:ascii="Arial" w:hAnsi="Arial" w:cs="Arial"/>
          <w:sz w:val="20"/>
        </w:rPr>
        <w:t>)</w:t>
      </w:r>
      <w:r w:rsidRPr="00967B9D">
        <w:rPr>
          <w:rFonts w:ascii="Arial" w:hAnsi="Arial" w:cs="Arial"/>
          <w:sz w:val="20"/>
        </w:rPr>
        <w:t xml:space="preserve">, </w:t>
      </w:r>
      <w:r w:rsidR="00A2413F">
        <w:rPr>
          <w:rFonts w:ascii="Arial" w:hAnsi="Arial" w:cs="Arial"/>
          <w:sz w:val="20"/>
        </w:rPr>
        <w:t>16 %</w:t>
      </w:r>
      <w:r w:rsidR="004B6153">
        <w:rPr>
          <w:rFonts w:ascii="Arial" w:hAnsi="Arial" w:cs="Arial"/>
          <w:sz w:val="20"/>
        </w:rPr>
        <w:t xml:space="preserve"> </w:t>
      </w:r>
      <w:r w:rsidRPr="00967B9D">
        <w:rPr>
          <w:rFonts w:ascii="Arial" w:hAnsi="Arial" w:cs="Arial"/>
          <w:sz w:val="20"/>
        </w:rPr>
        <w:t xml:space="preserve">středně velkých </w:t>
      </w:r>
      <w:r>
        <w:rPr>
          <w:rFonts w:ascii="Arial" w:hAnsi="Arial" w:cs="Arial"/>
          <w:sz w:val="20"/>
        </w:rPr>
        <w:t xml:space="preserve">a </w:t>
      </w:r>
      <w:r w:rsidR="00A2413F">
        <w:rPr>
          <w:rFonts w:ascii="Arial" w:hAnsi="Arial" w:cs="Arial"/>
          <w:sz w:val="20"/>
        </w:rPr>
        <w:t xml:space="preserve">6 </w:t>
      </w:r>
      <w:r>
        <w:rPr>
          <w:rFonts w:ascii="Arial" w:hAnsi="Arial" w:cs="Arial"/>
          <w:sz w:val="20"/>
        </w:rPr>
        <w:t xml:space="preserve">% </w:t>
      </w:r>
      <w:r w:rsidRPr="00967B9D">
        <w:rPr>
          <w:rFonts w:ascii="Arial" w:hAnsi="Arial" w:cs="Arial"/>
          <w:sz w:val="20"/>
        </w:rPr>
        <w:t>malých firem.</w:t>
      </w:r>
    </w:p>
    <w:p w14:paraId="0CCC6271" w14:textId="43D529C7" w:rsidR="00F75B9D" w:rsidRDefault="00F75B9D" w:rsidP="00F75B9D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60" w:line="288" w:lineRule="auto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Softwarová řešení ke snížení spotřeby </w:t>
      </w:r>
      <w:r w:rsidR="00A2413F">
        <w:rPr>
          <w:rFonts w:ascii="Arial" w:hAnsi="Arial" w:cs="Arial"/>
          <w:sz w:val="20"/>
        </w:rPr>
        <w:t>materiálů, vody nebo k podpoře využívání recyklovaných surovin</w:t>
      </w:r>
      <w:r>
        <w:rPr>
          <w:rFonts w:ascii="Arial" w:hAnsi="Arial" w:cs="Arial"/>
          <w:sz w:val="20"/>
        </w:rPr>
        <w:t xml:space="preserve"> používá nejvíce podniků </w:t>
      </w:r>
      <w:r w:rsidRPr="00350AE3">
        <w:rPr>
          <w:rFonts w:ascii="Arial" w:hAnsi="Arial" w:cs="Arial"/>
          <w:b/>
          <w:bCs/>
          <w:sz w:val="20"/>
        </w:rPr>
        <w:t>v automobilovém průmyslu</w:t>
      </w:r>
      <w:r>
        <w:rPr>
          <w:rFonts w:ascii="Arial" w:hAnsi="Arial" w:cs="Arial"/>
          <w:sz w:val="20"/>
        </w:rPr>
        <w:t xml:space="preserve"> (</w:t>
      </w:r>
      <w:r w:rsidR="00326B27">
        <w:rPr>
          <w:rFonts w:ascii="Arial" w:hAnsi="Arial" w:cs="Arial"/>
          <w:sz w:val="20"/>
        </w:rPr>
        <w:t>24</w:t>
      </w:r>
      <w:r>
        <w:rPr>
          <w:rFonts w:ascii="Arial" w:hAnsi="Arial" w:cs="Arial"/>
          <w:sz w:val="20"/>
        </w:rPr>
        <w:t> %)</w:t>
      </w:r>
      <w:r w:rsidR="00326B27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Nejméně naopak v ostatních administrativních a podpůrných činnostech (</w:t>
      </w:r>
      <w:r w:rsidR="00DD3E1E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 %)</w:t>
      </w:r>
      <w:r w:rsidR="00DD3E1E">
        <w:rPr>
          <w:rFonts w:ascii="Arial" w:hAnsi="Arial" w:cs="Arial"/>
          <w:sz w:val="20"/>
        </w:rPr>
        <w:t xml:space="preserve"> či v maloobchodě (6 %)</w:t>
      </w:r>
      <w:r>
        <w:rPr>
          <w:rFonts w:ascii="Arial" w:hAnsi="Arial" w:cs="Arial"/>
          <w:sz w:val="20"/>
        </w:rPr>
        <w:t>.</w:t>
      </w:r>
    </w:p>
    <w:p w14:paraId="4277A013" w14:textId="691256B2" w:rsidR="00146282" w:rsidRPr="00120BA9" w:rsidRDefault="00F75B9D" w:rsidP="00EF5E60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60" w:line="288" w:lineRule="auto"/>
        <w:ind w:left="357" w:hanging="357"/>
        <w:jc w:val="both"/>
        <w:rPr>
          <w:rFonts w:ascii="Arial" w:hAnsi="Arial" w:cs="Arial"/>
          <w:sz w:val="20"/>
        </w:rPr>
      </w:pPr>
      <w:r w:rsidRPr="00120BA9">
        <w:rPr>
          <w:rFonts w:ascii="Arial" w:hAnsi="Arial" w:cs="Arial"/>
          <w:sz w:val="20"/>
        </w:rPr>
        <w:t xml:space="preserve">Ve srovnání zemí EU27 </w:t>
      </w:r>
      <w:r w:rsidR="003E4A23">
        <w:rPr>
          <w:rFonts w:ascii="Arial" w:hAnsi="Arial" w:cs="Arial"/>
          <w:sz w:val="20"/>
        </w:rPr>
        <w:t>skončily podniky v Česku</w:t>
      </w:r>
      <w:r w:rsidRPr="00120BA9">
        <w:rPr>
          <w:rFonts w:ascii="Arial" w:hAnsi="Arial" w:cs="Arial"/>
          <w:sz w:val="20"/>
        </w:rPr>
        <w:t xml:space="preserve"> </w:t>
      </w:r>
      <w:r w:rsidRPr="003E4A23">
        <w:rPr>
          <w:rFonts w:ascii="Arial" w:hAnsi="Arial" w:cs="Arial"/>
          <w:b/>
          <w:bCs/>
          <w:sz w:val="20"/>
        </w:rPr>
        <w:t>pod průměrem</w:t>
      </w:r>
      <w:r w:rsidR="003E4A23" w:rsidRPr="003E4A23">
        <w:rPr>
          <w:rFonts w:ascii="Arial" w:hAnsi="Arial" w:cs="Arial"/>
          <w:b/>
          <w:bCs/>
          <w:sz w:val="20"/>
        </w:rPr>
        <w:t>, až na čtvrtém místě od konce žebříčku</w:t>
      </w:r>
      <w:r w:rsidR="003E4A23">
        <w:rPr>
          <w:rFonts w:ascii="Arial" w:hAnsi="Arial" w:cs="Arial"/>
          <w:sz w:val="20"/>
        </w:rPr>
        <w:t>. Průměr EU27</w:t>
      </w:r>
      <w:r w:rsidRPr="00120BA9">
        <w:rPr>
          <w:rFonts w:ascii="Arial" w:hAnsi="Arial" w:cs="Arial"/>
          <w:sz w:val="20"/>
        </w:rPr>
        <w:t xml:space="preserve"> v roce 2025 činil </w:t>
      </w:r>
      <w:r w:rsidR="003E4A23">
        <w:rPr>
          <w:rFonts w:ascii="Arial" w:hAnsi="Arial" w:cs="Arial"/>
          <w:sz w:val="20"/>
        </w:rPr>
        <w:t xml:space="preserve">v tomto ukazateli </w:t>
      </w:r>
      <w:r w:rsidR="0081168F" w:rsidRPr="00120BA9">
        <w:rPr>
          <w:rFonts w:ascii="Arial" w:hAnsi="Arial" w:cs="Arial"/>
          <w:sz w:val="20"/>
        </w:rPr>
        <w:t>17</w:t>
      </w:r>
      <w:r w:rsidRPr="00120BA9">
        <w:rPr>
          <w:rFonts w:ascii="Arial" w:hAnsi="Arial" w:cs="Arial"/>
          <w:sz w:val="20"/>
        </w:rPr>
        <w:t xml:space="preserve"> %</w:t>
      </w:r>
      <w:r w:rsidR="003E4A23">
        <w:rPr>
          <w:rFonts w:ascii="Arial" w:hAnsi="Arial" w:cs="Arial"/>
          <w:sz w:val="20"/>
        </w:rPr>
        <w:t xml:space="preserve"> podniků</w:t>
      </w:r>
      <w:r w:rsidRPr="00120BA9">
        <w:rPr>
          <w:rFonts w:ascii="Arial" w:hAnsi="Arial" w:cs="Arial"/>
          <w:sz w:val="20"/>
        </w:rPr>
        <w:t xml:space="preserve">. Nejvíce podniků, které tyto systémy na úsporu </w:t>
      </w:r>
      <w:r w:rsidR="0081168F" w:rsidRPr="00120BA9">
        <w:rPr>
          <w:rFonts w:ascii="Arial" w:hAnsi="Arial" w:cs="Arial"/>
          <w:sz w:val="20"/>
        </w:rPr>
        <w:t>materiálů a vody</w:t>
      </w:r>
      <w:r w:rsidRPr="00120BA9">
        <w:rPr>
          <w:rFonts w:ascii="Arial" w:hAnsi="Arial" w:cs="Arial"/>
          <w:sz w:val="20"/>
        </w:rPr>
        <w:t xml:space="preserve"> </w:t>
      </w:r>
      <w:r w:rsidR="003E4A23">
        <w:rPr>
          <w:rFonts w:ascii="Arial" w:hAnsi="Arial" w:cs="Arial"/>
          <w:sz w:val="20"/>
        </w:rPr>
        <w:t xml:space="preserve">v roce 2025 </w:t>
      </w:r>
      <w:r w:rsidRPr="00120BA9">
        <w:rPr>
          <w:rFonts w:ascii="Arial" w:hAnsi="Arial" w:cs="Arial"/>
          <w:sz w:val="20"/>
        </w:rPr>
        <w:t>používa</w:t>
      </w:r>
      <w:r w:rsidR="003E4A23">
        <w:rPr>
          <w:rFonts w:ascii="Arial" w:hAnsi="Arial" w:cs="Arial"/>
          <w:sz w:val="20"/>
        </w:rPr>
        <w:t>ly</w:t>
      </w:r>
      <w:r w:rsidRPr="00120BA9">
        <w:rPr>
          <w:rFonts w:ascii="Arial" w:hAnsi="Arial" w:cs="Arial"/>
          <w:sz w:val="20"/>
        </w:rPr>
        <w:t xml:space="preserve">, </w:t>
      </w:r>
      <w:r w:rsidR="003E4A23">
        <w:rPr>
          <w:rFonts w:ascii="Arial" w:hAnsi="Arial" w:cs="Arial"/>
          <w:sz w:val="20"/>
        </w:rPr>
        <w:t>bylo</w:t>
      </w:r>
      <w:r w:rsidRPr="00120BA9">
        <w:rPr>
          <w:rFonts w:ascii="Arial" w:hAnsi="Arial" w:cs="Arial"/>
          <w:sz w:val="20"/>
        </w:rPr>
        <w:t xml:space="preserve"> </w:t>
      </w:r>
      <w:r w:rsidR="00653964" w:rsidRPr="00120BA9">
        <w:rPr>
          <w:rFonts w:ascii="Arial" w:hAnsi="Arial" w:cs="Arial"/>
          <w:sz w:val="20"/>
        </w:rPr>
        <w:t>na Maltě</w:t>
      </w:r>
      <w:r w:rsidRPr="00120BA9">
        <w:rPr>
          <w:rFonts w:ascii="Arial" w:hAnsi="Arial" w:cs="Arial"/>
          <w:sz w:val="20"/>
        </w:rPr>
        <w:t xml:space="preserve"> (</w:t>
      </w:r>
      <w:r w:rsidR="00F81667" w:rsidRPr="00120BA9">
        <w:rPr>
          <w:rFonts w:ascii="Arial" w:hAnsi="Arial" w:cs="Arial"/>
          <w:sz w:val="20"/>
        </w:rPr>
        <w:t>29</w:t>
      </w:r>
      <w:r w:rsidRPr="00120BA9">
        <w:rPr>
          <w:rFonts w:ascii="Arial" w:hAnsi="Arial" w:cs="Arial"/>
          <w:sz w:val="20"/>
        </w:rPr>
        <w:t xml:space="preserve"> %), nejméně naopak v</w:t>
      </w:r>
      <w:r w:rsidR="00653964" w:rsidRPr="00120BA9">
        <w:rPr>
          <w:rFonts w:ascii="Arial" w:hAnsi="Arial" w:cs="Arial"/>
          <w:sz w:val="20"/>
        </w:rPr>
        <w:t xml:space="preserve"> Rakousku a v </w:t>
      </w:r>
      <w:r w:rsidRPr="00120BA9">
        <w:rPr>
          <w:rFonts w:ascii="Arial" w:hAnsi="Arial" w:cs="Arial"/>
          <w:sz w:val="20"/>
        </w:rPr>
        <w:t>Bulharsku (</w:t>
      </w:r>
      <w:r w:rsidR="00F81667" w:rsidRPr="00120BA9">
        <w:rPr>
          <w:rFonts w:ascii="Arial" w:hAnsi="Arial" w:cs="Arial"/>
          <w:sz w:val="20"/>
        </w:rPr>
        <w:t>v každé zemi shodně 8</w:t>
      </w:r>
      <w:r w:rsidRPr="00120BA9">
        <w:rPr>
          <w:rFonts w:ascii="Arial" w:hAnsi="Arial" w:cs="Arial"/>
          <w:sz w:val="20"/>
        </w:rPr>
        <w:t xml:space="preserve"> %</w:t>
      </w:r>
      <w:r w:rsidR="00F81667" w:rsidRPr="00120BA9">
        <w:rPr>
          <w:rFonts w:ascii="Arial" w:hAnsi="Arial" w:cs="Arial"/>
          <w:sz w:val="20"/>
        </w:rPr>
        <w:t xml:space="preserve"> podniků</w:t>
      </w:r>
      <w:r w:rsidRPr="00120BA9">
        <w:rPr>
          <w:rFonts w:ascii="Arial" w:hAnsi="Arial" w:cs="Arial"/>
          <w:sz w:val="20"/>
        </w:rPr>
        <w:t>).</w:t>
      </w:r>
    </w:p>
    <w:p w14:paraId="1F364599" w14:textId="7F94CBD8" w:rsidR="002F3851" w:rsidRDefault="002F3851">
      <w:pPr>
        <w:spacing w:after="0" w:line="240" w:lineRule="auto"/>
        <w:rPr>
          <w:rFonts w:ascii="Arial" w:hAnsi="Arial" w:cs="Arial"/>
          <w:b/>
          <w:sz w:val="20"/>
        </w:rPr>
      </w:pPr>
    </w:p>
    <w:p w14:paraId="08D7163A" w14:textId="6516D3B2" w:rsidR="00122D94" w:rsidRDefault="00122D94" w:rsidP="00B96803">
      <w:pPr>
        <w:autoSpaceDE w:val="0"/>
        <w:autoSpaceDN w:val="0"/>
        <w:adjustRightInd w:val="0"/>
        <w:spacing w:before="200" w:after="120" w:line="240" w:lineRule="auto"/>
        <w:rPr>
          <w:rFonts w:ascii="Arial" w:hAnsi="Arial" w:cs="Arial"/>
          <w:b/>
          <w:spacing w:val="-2"/>
          <w:sz w:val="20"/>
        </w:rPr>
      </w:pPr>
      <w:r w:rsidRPr="00125F1E">
        <w:rPr>
          <w:rFonts w:ascii="Arial" w:hAnsi="Arial" w:cs="Arial"/>
          <w:b/>
          <w:sz w:val="20"/>
        </w:rPr>
        <w:t xml:space="preserve">Graf </w:t>
      </w:r>
      <w:r>
        <w:rPr>
          <w:rFonts w:ascii="Arial" w:hAnsi="Arial" w:cs="Arial"/>
          <w:b/>
          <w:sz w:val="20"/>
        </w:rPr>
        <w:t>1</w:t>
      </w:r>
      <w:r w:rsidR="0031493A">
        <w:rPr>
          <w:rFonts w:ascii="Arial" w:hAnsi="Arial" w:cs="Arial"/>
          <w:b/>
          <w:sz w:val="20"/>
        </w:rPr>
        <w:t>1</w:t>
      </w:r>
      <w:r w:rsidRPr="00125F1E">
        <w:rPr>
          <w:rFonts w:ascii="Arial" w:hAnsi="Arial" w:cs="Arial"/>
          <w:b/>
          <w:sz w:val="20"/>
        </w:rPr>
        <w:t>.</w:t>
      </w:r>
      <w:r>
        <w:rPr>
          <w:rFonts w:ascii="Arial" w:hAnsi="Arial" w:cs="Arial"/>
          <w:b/>
          <w:sz w:val="20"/>
        </w:rPr>
        <w:t>1</w:t>
      </w:r>
      <w:r w:rsidRPr="00125F1E">
        <w:rPr>
          <w:rFonts w:ascii="Arial" w:hAnsi="Arial" w:cs="Arial"/>
          <w:b/>
          <w:sz w:val="20"/>
        </w:rPr>
        <w:t>:</w:t>
      </w:r>
      <w:r w:rsidRPr="00DD457A">
        <w:t xml:space="preserve"> </w:t>
      </w:r>
      <w:r w:rsidR="003E46F1">
        <w:rPr>
          <w:rFonts w:ascii="Arial" w:hAnsi="Arial" w:cs="Arial"/>
          <w:b/>
          <w:spacing w:val="-2"/>
          <w:sz w:val="20"/>
        </w:rPr>
        <w:t>P</w:t>
      </w:r>
      <w:r w:rsidR="003E46F1" w:rsidRPr="00EA3368">
        <w:rPr>
          <w:rFonts w:ascii="Arial" w:hAnsi="Arial" w:cs="Arial"/>
          <w:b/>
          <w:spacing w:val="-2"/>
          <w:sz w:val="20"/>
        </w:rPr>
        <w:t xml:space="preserve">odniky </w:t>
      </w:r>
      <w:r w:rsidR="004522C3">
        <w:rPr>
          <w:rFonts w:ascii="Arial" w:hAnsi="Arial" w:cs="Arial"/>
          <w:b/>
          <w:spacing w:val="-2"/>
          <w:sz w:val="20"/>
        </w:rPr>
        <w:t>v</w:t>
      </w:r>
      <w:r w:rsidR="00405F07">
        <w:rPr>
          <w:rFonts w:ascii="Arial" w:hAnsi="Arial" w:cs="Arial"/>
          <w:b/>
          <w:spacing w:val="-2"/>
          <w:sz w:val="20"/>
        </w:rPr>
        <w:t> </w:t>
      </w:r>
      <w:r w:rsidR="004522C3">
        <w:rPr>
          <w:rFonts w:ascii="Arial" w:hAnsi="Arial" w:cs="Arial"/>
          <w:b/>
          <w:spacing w:val="-2"/>
          <w:sz w:val="20"/>
        </w:rPr>
        <w:t>Česku</w:t>
      </w:r>
      <w:r w:rsidR="00405F07">
        <w:rPr>
          <w:rFonts w:ascii="Arial" w:hAnsi="Arial" w:cs="Arial"/>
          <w:b/>
          <w:spacing w:val="-2"/>
          <w:sz w:val="20"/>
        </w:rPr>
        <w:t xml:space="preserve"> </w:t>
      </w:r>
      <w:r w:rsidR="00BE05F5">
        <w:rPr>
          <w:rFonts w:ascii="Arial" w:hAnsi="Arial" w:cs="Arial"/>
          <w:b/>
          <w:spacing w:val="-2"/>
          <w:sz w:val="20"/>
        </w:rPr>
        <w:t>používaj</w:t>
      </w:r>
      <w:r w:rsidR="00405F07">
        <w:rPr>
          <w:rFonts w:ascii="Arial" w:hAnsi="Arial" w:cs="Arial"/>
          <w:b/>
          <w:spacing w:val="-2"/>
          <w:sz w:val="20"/>
        </w:rPr>
        <w:t>ící</w:t>
      </w:r>
      <w:r w:rsidR="00BE05F5">
        <w:rPr>
          <w:rFonts w:ascii="Arial" w:hAnsi="Arial" w:cs="Arial"/>
          <w:b/>
          <w:spacing w:val="-2"/>
          <w:sz w:val="20"/>
        </w:rPr>
        <w:t xml:space="preserve"> </w:t>
      </w:r>
      <w:r w:rsidR="00405F07">
        <w:rPr>
          <w:rFonts w:ascii="Arial" w:hAnsi="Arial" w:cs="Arial"/>
          <w:b/>
          <w:spacing w:val="-2"/>
          <w:sz w:val="20"/>
        </w:rPr>
        <w:t xml:space="preserve">v roce 2025 </w:t>
      </w:r>
      <w:r w:rsidR="00BE05F5">
        <w:rPr>
          <w:rFonts w:ascii="Arial" w:hAnsi="Arial" w:cs="Arial"/>
          <w:b/>
          <w:spacing w:val="-2"/>
          <w:sz w:val="20"/>
        </w:rPr>
        <w:t xml:space="preserve">ICT systémy </w:t>
      </w:r>
      <w:r w:rsidR="000A6BB7">
        <w:rPr>
          <w:rFonts w:ascii="Arial" w:hAnsi="Arial" w:cs="Arial"/>
          <w:b/>
          <w:spacing w:val="-2"/>
          <w:sz w:val="20"/>
        </w:rPr>
        <w:t>nebo softwarová řešení ke snížení spotřeby:</w:t>
      </w:r>
    </w:p>
    <w:p w14:paraId="613C6F65" w14:textId="4440255F" w:rsidR="00B56A42" w:rsidRPr="000008BC" w:rsidRDefault="00B56A42" w:rsidP="00B56A42">
      <w:pPr>
        <w:spacing w:after="0" w:line="360" w:lineRule="auto"/>
        <w:rPr>
          <w:rFonts w:ascii="Arial" w:hAnsi="Arial" w:cs="Arial"/>
          <w:b/>
          <w:sz w:val="20"/>
        </w:rPr>
      </w:pPr>
      <w:r w:rsidRPr="000008BC">
        <w:rPr>
          <w:rFonts w:ascii="Arial" w:hAnsi="Arial" w:cs="Arial"/>
          <w:bCs/>
          <w:sz w:val="18"/>
        </w:rPr>
        <w:t>(% z celkového počtu podniků s 10+ zaměstnanci)</w:t>
      </w:r>
    </w:p>
    <w:p w14:paraId="54967822" w14:textId="5B50982A" w:rsidR="003E46F1" w:rsidRDefault="008E7CD1" w:rsidP="008055F9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w:drawing>
          <wp:inline distT="0" distB="0" distL="0" distR="0" wp14:anchorId="3DEA7BAB" wp14:editId="445961BA">
            <wp:extent cx="6111240" cy="2209800"/>
            <wp:effectExtent l="0" t="0" r="3810" b="0"/>
            <wp:docPr id="865795228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19F201FD-D0A6-4EF2-8A3B-3E61A914A5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F5BE11A" w14:textId="22165727" w:rsidR="002E358B" w:rsidRDefault="003D25E4" w:rsidP="002E358B">
      <w:pPr>
        <w:autoSpaceDE w:val="0"/>
        <w:autoSpaceDN w:val="0"/>
        <w:adjustRightInd w:val="0"/>
        <w:spacing w:before="200" w:after="120" w:line="240" w:lineRule="auto"/>
        <w:rPr>
          <w:rFonts w:ascii="Arial" w:hAnsi="Arial" w:cs="Arial"/>
          <w:b/>
          <w:spacing w:val="-2"/>
          <w:sz w:val="20"/>
        </w:rPr>
      </w:pPr>
      <w:r>
        <w:rPr>
          <w:rFonts w:ascii="Arial" w:hAnsi="Arial" w:cs="Arial"/>
          <w:b/>
          <w:sz w:val="20"/>
        </w:rPr>
        <w:lastRenderedPageBreak/>
        <w:t>G</w:t>
      </w:r>
      <w:r w:rsidRPr="00125F1E">
        <w:rPr>
          <w:rFonts w:ascii="Arial" w:hAnsi="Arial" w:cs="Arial"/>
          <w:b/>
          <w:sz w:val="20"/>
        </w:rPr>
        <w:t xml:space="preserve">raf </w:t>
      </w:r>
      <w:r>
        <w:rPr>
          <w:rFonts w:ascii="Arial" w:hAnsi="Arial" w:cs="Arial"/>
          <w:b/>
          <w:sz w:val="20"/>
        </w:rPr>
        <w:t>1</w:t>
      </w:r>
      <w:r w:rsidR="0031493A">
        <w:rPr>
          <w:rFonts w:ascii="Arial" w:hAnsi="Arial" w:cs="Arial"/>
          <w:b/>
          <w:sz w:val="20"/>
        </w:rPr>
        <w:t>1</w:t>
      </w:r>
      <w:r w:rsidRPr="00125F1E">
        <w:rPr>
          <w:rFonts w:ascii="Arial" w:hAnsi="Arial" w:cs="Arial"/>
          <w:b/>
          <w:sz w:val="20"/>
        </w:rPr>
        <w:t>.</w:t>
      </w:r>
      <w:r w:rsidR="00761CD7">
        <w:rPr>
          <w:rFonts w:ascii="Arial" w:hAnsi="Arial" w:cs="Arial"/>
          <w:b/>
          <w:sz w:val="20"/>
        </w:rPr>
        <w:t>2</w:t>
      </w:r>
      <w:r w:rsidRPr="00125F1E">
        <w:rPr>
          <w:rFonts w:ascii="Arial" w:hAnsi="Arial" w:cs="Arial"/>
          <w:b/>
          <w:sz w:val="20"/>
        </w:rPr>
        <w:t>:</w:t>
      </w:r>
      <w:r w:rsidR="002E358B">
        <w:t xml:space="preserve"> </w:t>
      </w:r>
      <w:r w:rsidR="002E358B">
        <w:rPr>
          <w:rFonts w:ascii="Arial" w:hAnsi="Arial" w:cs="Arial"/>
          <w:b/>
          <w:spacing w:val="-2"/>
          <w:sz w:val="20"/>
        </w:rPr>
        <w:t>P</w:t>
      </w:r>
      <w:r w:rsidR="002E358B" w:rsidRPr="00EA3368">
        <w:rPr>
          <w:rFonts w:ascii="Arial" w:hAnsi="Arial" w:cs="Arial"/>
          <w:b/>
          <w:spacing w:val="-2"/>
          <w:sz w:val="20"/>
        </w:rPr>
        <w:t xml:space="preserve">odniky </w:t>
      </w:r>
      <w:r w:rsidR="002E358B">
        <w:rPr>
          <w:rFonts w:ascii="Arial" w:hAnsi="Arial" w:cs="Arial"/>
          <w:b/>
          <w:spacing w:val="-2"/>
          <w:sz w:val="20"/>
        </w:rPr>
        <w:t>v zemích EU27</w:t>
      </w:r>
      <w:r w:rsidR="00405F07">
        <w:rPr>
          <w:rFonts w:ascii="Arial" w:hAnsi="Arial" w:cs="Arial"/>
          <w:b/>
          <w:spacing w:val="-2"/>
          <w:sz w:val="20"/>
        </w:rPr>
        <w:t xml:space="preserve"> používající </w:t>
      </w:r>
      <w:r w:rsidR="002E358B">
        <w:rPr>
          <w:rFonts w:ascii="Arial" w:hAnsi="Arial" w:cs="Arial"/>
          <w:b/>
          <w:spacing w:val="-2"/>
          <w:sz w:val="20"/>
        </w:rPr>
        <w:t>v roce 2025 ICT systémy nebo softwarová řešení ke snížení spotřeby energie</w:t>
      </w:r>
    </w:p>
    <w:p w14:paraId="517FFF55" w14:textId="3DA1C4DB" w:rsidR="002E358B" w:rsidRDefault="002E358B" w:rsidP="002E358B">
      <w:pPr>
        <w:spacing w:after="0" w:line="360" w:lineRule="auto"/>
        <w:rPr>
          <w:rFonts w:ascii="Arial" w:hAnsi="Arial" w:cs="Arial"/>
          <w:bCs/>
          <w:sz w:val="18"/>
        </w:rPr>
      </w:pPr>
      <w:r w:rsidRPr="000008BC">
        <w:rPr>
          <w:rFonts w:ascii="Arial" w:hAnsi="Arial" w:cs="Arial"/>
          <w:bCs/>
          <w:sz w:val="18"/>
        </w:rPr>
        <w:t>(% z celkového počtu podniků s 10+ zaměstnanci</w:t>
      </w:r>
      <w:r>
        <w:rPr>
          <w:rFonts w:ascii="Arial" w:hAnsi="Arial" w:cs="Arial"/>
          <w:bCs/>
          <w:sz w:val="18"/>
        </w:rPr>
        <w:t xml:space="preserve"> v dané zemi</w:t>
      </w:r>
      <w:r w:rsidRPr="000008BC">
        <w:rPr>
          <w:rFonts w:ascii="Arial" w:hAnsi="Arial" w:cs="Arial"/>
          <w:bCs/>
          <w:sz w:val="18"/>
        </w:rPr>
        <w:t>)</w:t>
      </w:r>
    </w:p>
    <w:p w14:paraId="4526CAAE" w14:textId="4C326D02" w:rsidR="002E358B" w:rsidRDefault="00351410" w:rsidP="002E358B">
      <w:pPr>
        <w:spacing w:after="0" w:line="360" w:lineRule="auto"/>
        <w:rPr>
          <w:rFonts w:ascii="Arial" w:hAnsi="Arial" w:cs="Arial"/>
          <w:bCs/>
          <w:sz w:val="18"/>
        </w:rPr>
      </w:pPr>
      <w:r>
        <w:rPr>
          <w:noProof/>
        </w:rPr>
        <w:drawing>
          <wp:inline distT="0" distB="0" distL="0" distR="0" wp14:anchorId="458CC410" wp14:editId="049C3A7F">
            <wp:extent cx="6012180" cy="3733800"/>
            <wp:effectExtent l="0" t="0" r="7620" b="0"/>
            <wp:docPr id="1212073492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45EC6BC1-E3F2-4CC9-94C9-60E3A9501FF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3267BCC" w14:textId="16F653DF" w:rsidR="002E358B" w:rsidRDefault="002E358B" w:rsidP="002E358B">
      <w:pPr>
        <w:autoSpaceDE w:val="0"/>
        <w:autoSpaceDN w:val="0"/>
        <w:adjustRightInd w:val="0"/>
        <w:spacing w:before="200" w:after="120" w:line="240" w:lineRule="auto"/>
        <w:rPr>
          <w:rFonts w:ascii="Arial" w:hAnsi="Arial" w:cs="Arial"/>
          <w:b/>
          <w:spacing w:val="-2"/>
          <w:sz w:val="20"/>
        </w:rPr>
      </w:pPr>
      <w:r>
        <w:rPr>
          <w:rFonts w:ascii="Arial" w:hAnsi="Arial" w:cs="Arial"/>
          <w:b/>
          <w:sz w:val="20"/>
        </w:rPr>
        <w:t>G</w:t>
      </w:r>
      <w:r w:rsidRPr="00125F1E">
        <w:rPr>
          <w:rFonts w:ascii="Arial" w:hAnsi="Arial" w:cs="Arial"/>
          <w:b/>
          <w:sz w:val="20"/>
        </w:rPr>
        <w:t xml:space="preserve">raf </w:t>
      </w:r>
      <w:r>
        <w:rPr>
          <w:rFonts w:ascii="Arial" w:hAnsi="Arial" w:cs="Arial"/>
          <w:b/>
          <w:sz w:val="20"/>
        </w:rPr>
        <w:t>11</w:t>
      </w:r>
      <w:r w:rsidRPr="00125F1E">
        <w:rPr>
          <w:rFonts w:ascii="Arial" w:hAnsi="Arial" w:cs="Arial"/>
          <w:b/>
          <w:sz w:val="20"/>
        </w:rPr>
        <w:t>.</w:t>
      </w:r>
      <w:r>
        <w:rPr>
          <w:rFonts w:ascii="Arial" w:hAnsi="Arial" w:cs="Arial"/>
          <w:b/>
          <w:sz w:val="20"/>
        </w:rPr>
        <w:t>3</w:t>
      </w:r>
      <w:r w:rsidRPr="00125F1E">
        <w:rPr>
          <w:rFonts w:ascii="Arial" w:hAnsi="Arial" w:cs="Arial"/>
          <w:b/>
          <w:sz w:val="20"/>
        </w:rPr>
        <w:t>:</w:t>
      </w:r>
      <w:r>
        <w:t xml:space="preserve"> </w:t>
      </w:r>
      <w:r>
        <w:rPr>
          <w:rFonts w:ascii="Arial" w:hAnsi="Arial" w:cs="Arial"/>
          <w:b/>
          <w:spacing w:val="-2"/>
          <w:sz w:val="20"/>
        </w:rPr>
        <w:t>P</w:t>
      </w:r>
      <w:r w:rsidRPr="00EA3368">
        <w:rPr>
          <w:rFonts w:ascii="Arial" w:hAnsi="Arial" w:cs="Arial"/>
          <w:b/>
          <w:spacing w:val="-2"/>
          <w:sz w:val="20"/>
        </w:rPr>
        <w:t xml:space="preserve">odniky </w:t>
      </w:r>
      <w:r>
        <w:rPr>
          <w:rFonts w:ascii="Arial" w:hAnsi="Arial" w:cs="Arial"/>
          <w:b/>
          <w:spacing w:val="-2"/>
          <w:sz w:val="20"/>
        </w:rPr>
        <w:t>v zemích EU27</w:t>
      </w:r>
      <w:r w:rsidR="00405F07">
        <w:rPr>
          <w:rFonts w:ascii="Arial" w:hAnsi="Arial" w:cs="Arial"/>
          <w:b/>
          <w:spacing w:val="-2"/>
          <w:sz w:val="20"/>
        </w:rPr>
        <w:t xml:space="preserve"> používající</w:t>
      </w:r>
      <w:r>
        <w:rPr>
          <w:rFonts w:ascii="Arial" w:hAnsi="Arial" w:cs="Arial"/>
          <w:b/>
          <w:spacing w:val="-2"/>
          <w:sz w:val="20"/>
        </w:rPr>
        <w:t xml:space="preserve"> v roce 2025 ICT systémy nebo softwarová řešení ke snížení spotřeby </w:t>
      </w:r>
      <w:r w:rsidR="00C659F4">
        <w:rPr>
          <w:rFonts w:ascii="Arial" w:hAnsi="Arial" w:cs="Arial"/>
          <w:b/>
          <w:spacing w:val="-2"/>
          <w:sz w:val="20"/>
        </w:rPr>
        <w:t xml:space="preserve">materiálů, vody nebo k podpoře využívání recyklovaných </w:t>
      </w:r>
      <w:r w:rsidR="008E7CD1">
        <w:rPr>
          <w:rFonts w:ascii="Arial" w:hAnsi="Arial" w:cs="Arial"/>
          <w:b/>
          <w:spacing w:val="-2"/>
          <w:sz w:val="20"/>
        </w:rPr>
        <w:t>surovin</w:t>
      </w:r>
    </w:p>
    <w:p w14:paraId="366828A9" w14:textId="77777777" w:rsidR="002E358B" w:rsidRPr="000008BC" w:rsidRDefault="002E358B" w:rsidP="002E358B">
      <w:pPr>
        <w:spacing w:after="0" w:line="360" w:lineRule="auto"/>
        <w:rPr>
          <w:rFonts w:ascii="Arial" w:hAnsi="Arial" w:cs="Arial"/>
          <w:b/>
          <w:sz w:val="20"/>
        </w:rPr>
      </w:pPr>
      <w:r w:rsidRPr="000008BC">
        <w:rPr>
          <w:rFonts w:ascii="Arial" w:hAnsi="Arial" w:cs="Arial"/>
          <w:bCs/>
          <w:sz w:val="18"/>
        </w:rPr>
        <w:t>(% z celkového počtu podniků s 10+ zaměstnanci</w:t>
      </w:r>
      <w:r>
        <w:rPr>
          <w:rFonts w:ascii="Arial" w:hAnsi="Arial" w:cs="Arial"/>
          <w:bCs/>
          <w:sz w:val="18"/>
        </w:rPr>
        <w:t xml:space="preserve"> v dané zemi</w:t>
      </w:r>
      <w:r w:rsidRPr="000008BC">
        <w:rPr>
          <w:rFonts w:ascii="Arial" w:hAnsi="Arial" w:cs="Arial"/>
          <w:bCs/>
          <w:sz w:val="18"/>
        </w:rPr>
        <w:t>)</w:t>
      </w:r>
    </w:p>
    <w:p w14:paraId="6484510E" w14:textId="36324CBC" w:rsidR="002E358B" w:rsidRPr="000008BC" w:rsidRDefault="005B1CE8" w:rsidP="002E358B">
      <w:pPr>
        <w:spacing w:after="0" w:line="360" w:lineRule="auto"/>
        <w:rPr>
          <w:rFonts w:ascii="Arial" w:hAnsi="Arial" w:cs="Arial"/>
          <w:b/>
          <w:sz w:val="20"/>
        </w:rPr>
      </w:pPr>
      <w:r>
        <w:rPr>
          <w:noProof/>
        </w:rPr>
        <w:drawing>
          <wp:inline distT="0" distB="0" distL="0" distR="0" wp14:anchorId="42B69FBD" wp14:editId="7E04031C">
            <wp:extent cx="6126480" cy="3870960"/>
            <wp:effectExtent l="0" t="0" r="7620" b="0"/>
            <wp:docPr id="178127833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7D75FDB0-3232-4869-8420-392CF489EFF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2E358B" w:rsidRPr="000008BC" w:rsidSect="00255E46">
      <w:pgSz w:w="11906" w:h="16838" w:code="9"/>
      <w:pgMar w:top="1134" w:right="1133" w:bottom="1418" w:left="1134" w:header="680" w:footer="680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7EE2F" w14:textId="77777777" w:rsidR="00C0426D" w:rsidRDefault="00C0426D" w:rsidP="00E71A58">
      <w:r>
        <w:separator/>
      </w:r>
    </w:p>
  </w:endnote>
  <w:endnote w:type="continuationSeparator" w:id="0">
    <w:p w14:paraId="65C4EADA" w14:textId="77777777" w:rsidR="00C0426D" w:rsidRDefault="00C0426D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D8EF4" w14:textId="77777777" w:rsidR="00C0426D" w:rsidRDefault="00C0426D" w:rsidP="00E71A58">
      <w:r>
        <w:separator/>
      </w:r>
    </w:p>
  </w:footnote>
  <w:footnote w:type="continuationSeparator" w:id="0">
    <w:p w14:paraId="14398293" w14:textId="77777777" w:rsidR="00C0426D" w:rsidRDefault="00C0426D" w:rsidP="00E71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E3146"/>
    <w:multiLevelType w:val="hybridMultilevel"/>
    <w:tmpl w:val="F1387CC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F720E"/>
    <w:multiLevelType w:val="hybridMultilevel"/>
    <w:tmpl w:val="C1DCAAC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38EC1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D4E8C"/>
    <w:multiLevelType w:val="hybridMultilevel"/>
    <w:tmpl w:val="31DE8C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059622">
    <w:abstractNumId w:val="3"/>
  </w:num>
  <w:num w:numId="2" w16cid:durableId="1629974612">
    <w:abstractNumId w:val="1"/>
  </w:num>
  <w:num w:numId="3" w16cid:durableId="1950311808">
    <w:abstractNumId w:val="2"/>
  </w:num>
  <w:num w:numId="4" w16cid:durableId="1153527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16F"/>
    <w:rsid w:val="00000BA7"/>
    <w:rsid w:val="00006B05"/>
    <w:rsid w:val="0000767A"/>
    <w:rsid w:val="00010702"/>
    <w:rsid w:val="0004694F"/>
    <w:rsid w:val="000516B0"/>
    <w:rsid w:val="00062EC5"/>
    <w:rsid w:val="00063183"/>
    <w:rsid w:val="00082897"/>
    <w:rsid w:val="00087634"/>
    <w:rsid w:val="00094959"/>
    <w:rsid w:val="00097724"/>
    <w:rsid w:val="000A1183"/>
    <w:rsid w:val="000A6BB7"/>
    <w:rsid w:val="000B0F83"/>
    <w:rsid w:val="000C3408"/>
    <w:rsid w:val="000D4764"/>
    <w:rsid w:val="000D4A33"/>
    <w:rsid w:val="000D7DBC"/>
    <w:rsid w:val="00120BA9"/>
    <w:rsid w:val="00122D94"/>
    <w:rsid w:val="001405FA"/>
    <w:rsid w:val="001425C3"/>
    <w:rsid w:val="00143453"/>
    <w:rsid w:val="001442E6"/>
    <w:rsid w:val="00146282"/>
    <w:rsid w:val="001519E9"/>
    <w:rsid w:val="00163793"/>
    <w:rsid w:val="0016380A"/>
    <w:rsid w:val="001711F6"/>
    <w:rsid w:val="001714F2"/>
    <w:rsid w:val="00177562"/>
    <w:rsid w:val="00181612"/>
    <w:rsid w:val="00185010"/>
    <w:rsid w:val="00194F66"/>
    <w:rsid w:val="001A4E2A"/>
    <w:rsid w:val="001A552F"/>
    <w:rsid w:val="001A7ADF"/>
    <w:rsid w:val="001B3110"/>
    <w:rsid w:val="001B4DD1"/>
    <w:rsid w:val="001B539B"/>
    <w:rsid w:val="001D6E0A"/>
    <w:rsid w:val="001E06F6"/>
    <w:rsid w:val="001F3765"/>
    <w:rsid w:val="001F4597"/>
    <w:rsid w:val="0022139E"/>
    <w:rsid w:val="002252E0"/>
    <w:rsid w:val="002255F6"/>
    <w:rsid w:val="00236443"/>
    <w:rsid w:val="00236AB7"/>
    <w:rsid w:val="00241B24"/>
    <w:rsid w:val="002436BA"/>
    <w:rsid w:val="00244A15"/>
    <w:rsid w:val="0024799E"/>
    <w:rsid w:val="00255E46"/>
    <w:rsid w:val="00272F1B"/>
    <w:rsid w:val="00274AA2"/>
    <w:rsid w:val="00282B49"/>
    <w:rsid w:val="00285A0E"/>
    <w:rsid w:val="0028698F"/>
    <w:rsid w:val="002A0431"/>
    <w:rsid w:val="002A14D2"/>
    <w:rsid w:val="002A3F3B"/>
    <w:rsid w:val="002B6465"/>
    <w:rsid w:val="002C31D3"/>
    <w:rsid w:val="002C43BD"/>
    <w:rsid w:val="002C55F2"/>
    <w:rsid w:val="002E02A1"/>
    <w:rsid w:val="002E358B"/>
    <w:rsid w:val="002F3851"/>
    <w:rsid w:val="00301CF9"/>
    <w:rsid w:val="00302C6A"/>
    <w:rsid w:val="00304771"/>
    <w:rsid w:val="00306C5B"/>
    <w:rsid w:val="00306E52"/>
    <w:rsid w:val="00307793"/>
    <w:rsid w:val="00307BF7"/>
    <w:rsid w:val="00312B99"/>
    <w:rsid w:val="0031493A"/>
    <w:rsid w:val="003209D6"/>
    <w:rsid w:val="00326B27"/>
    <w:rsid w:val="00343E00"/>
    <w:rsid w:val="003451EB"/>
    <w:rsid w:val="00350AE3"/>
    <w:rsid w:val="00351410"/>
    <w:rsid w:val="003657F3"/>
    <w:rsid w:val="00374CEB"/>
    <w:rsid w:val="00381AE4"/>
    <w:rsid w:val="00385D98"/>
    <w:rsid w:val="003A24A4"/>
    <w:rsid w:val="003A2B4D"/>
    <w:rsid w:val="003A2F65"/>
    <w:rsid w:val="003A327C"/>
    <w:rsid w:val="003A478C"/>
    <w:rsid w:val="003A5525"/>
    <w:rsid w:val="003A6B38"/>
    <w:rsid w:val="003B5A32"/>
    <w:rsid w:val="003C2F2C"/>
    <w:rsid w:val="003D25E4"/>
    <w:rsid w:val="003D43D7"/>
    <w:rsid w:val="003E46F1"/>
    <w:rsid w:val="003E4A23"/>
    <w:rsid w:val="003F0059"/>
    <w:rsid w:val="003F313C"/>
    <w:rsid w:val="003F3E58"/>
    <w:rsid w:val="004037F6"/>
    <w:rsid w:val="00403E66"/>
    <w:rsid w:val="00405F07"/>
    <w:rsid w:val="00406B6D"/>
    <w:rsid w:val="00413550"/>
    <w:rsid w:val="00414240"/>
    <w:rsid w:val="00431029"/>
    <w:rsid w:val="0043194A"/>
    <w:rsid w:val="00435BBC"/>
    <w:rsid w:val="0044348F"/>
    <w:rsid w:val="004522C3"/>
    <w:rsid w:val="00463942"/>
    <w:rsid w:val="0048139F"/>
    <w:rsid w:val="00492224"/>
    <w:rsid w:val="004951DF"/>
    <w:rsid w:val="004A77DF"/>
    <w:rsid w:val="004B55B7"/>
    <w:rsid w:val="004B6153"/>
    <w:rsid w:val="004B7570"/>
    <w:rsid w:val="004C07A3"/>
    <w:rsid w:val="004C0D29"/>
    <w:rsid w:val="004C3867"/>
    <w:rsid w:val="004C4CD0"/>
    <w:rsid w:val="004C70DC"/>
    <w:rsid w:val="004D0211"/>
    <w:rsid w:val="004F06F5"/>
    <w:rsid w:val="004F0BC1"/>
    <w:rsid w:val="004F0DF9"/>
    <w:rsid w:val="004F108C"/>
    <w:rsid w:val="004F238E"/>
    <w:rsid w:val="004F33A0"/>
    <w:rsid w:val="004F453B"/>
    <w:rsid w:val="004F4666"/>
    <w:rsid w:val="005068F4"/>
    <w:rsid w:val="005108C0"/>
    <w:rsid w:val="00511873"/>
    <w:rsid w:val="00513B7E"/>
    <w:rsid w:val="00515D71"/>
    <w:rsid w:val="00525137"/>
    <w:rsid w:val="005251DD"/>
    <w:rsid w:val="00536ADE"/>
    <w:rsid w:val="005410C5"/>
    <w:rsid w:val="005428F8"/>
    <w:rsid w:val="0055306D"/>
    <w:rsid w:val="00553139"/>
    <w:rsid w:val="00560365"/>
    <w:rsid w:val="005625B3"/>
    <w:rsid w:val="00566D8C"/>
    <w:rsid w:val="00583FFD"/>
    <w:rsid w:val="00585475"/>
    <w:rsid w:val="0059279E"/>
    <w:rsid w:val="00593152"/>
    <w:rsid w:val="005A13B3"/>
    <w:rsid w:val="005A21E0"/>
    <w:rsid w:val="005A2C0E"/>
    <w:rsid w:val="005A70AA"/>
    <w:rsid w:val="005B11BD"/>
    <w:rsid w:val="005B1862"/>
    <w:rsid w:val="005B1CE8"/>
    <w:rsid w:val="005B4204"/>
    <w:rsid w:val="005B64C6"/>
    <w:rsid w:val="005C202C"/>
    <w:rsid w:val="005C5E92"/>
    <w:rsid w:val="005D306A"/>
    <w:rsid w:val="005D5802"/>
    <w:rsid w:val="005E774B"/>
    <w:rsid w:val="005F419A"/>
    <w:rsid w:val="005F7FA5"/>
    <w:rsid w:val="00600236"/>
    <w:rsid w:val="00604307"/>
    <w:rsid w:val="0060487F"/>
    <w:rsid w:val="00604ABB"/>
    <w:rsid w:val="0060777B"/>
    <w:rsid w:val="006123F0"/>
    <w:rsid w:val="00612D62"/>
    <w:rsid w:val="00613BEB"/>
    <w:rsid w:val="00624093"/>
    <w:rsid w:val="0064036A"/>
    <w:rsid w:val="006404A7"/>
    <w:rsid w:val="006451E4"/>
    <w:rsid w:val="00645416"/>
    <w:rsid w:val="00646A2F"/>
    <w:rsid w:val="00653964"/>
    <w:rsid w:val="00654E15"/>
    <w:rsid w:val="00657968"/>
    <w:rsid w:val="00657E87"/>
    <w:rsid w:val="006677C1"/>
    <w:rsid w:val="006705D8"/>
    <w:rsid w:val="006710C9"/>
    <w:rsid w:val="00675E37"/>
    <w:rsid w:val="00675EA8"/>
    <w:rsid w:val="006808DF"/>
    <w:rsid w:val="00680951"/>
    <w:rsid w:val="0068260E"/>
    <w:rsid w:val="00684ECC"/>
    <w:rsid w:val="00685660"/>
    <w:rsid w:val="006907DF"/>
    <w:rsid w:val="00693235"/>
    <w:rsid w:val="00693C50"/>
    <w:rsid w:val="006953D1"/>
    <w:rsid w:val="006956A4"/>
    <w:rsid w:val="00695BEF"/>
    <w:rsid w:val="006977F6"/>
    <w:rsid w:val="00697A13"/>
    <w:rsid w:val="006A09CC"/>
    <w:rsid w:val="006A109C"/>
    <w:rsid w:val="006A1967"/>
    <w:rsid w:val="006B2A58"/>
    <w:rsid w:val="006B78D8"/>
    <w:rsid w:val="006C113F"/>
    <w:rsid w:val="006D32E3"/>
    <w:rsid w:val="006D3C78"/>
    <w:rsid w:val="006D61F6"/>
    <w:rsid w:val="006E279A"/>
    <w:rsid w:val="006E313B"/>
    <w:rsid w:val="006E7DE3"/>
    <w:rsid w:val="00702953"/>
    <w:rsid w:val="00706BBB"/>
    <w:rsid w:val="0070734A"/>
    <w:rsid w:val="007211F5"/>
    <w:rsid w:val="00730AE8"/>
    <w:rsid w:val="00741493"/>
    <w:rsid w:val="00752180"/>
    <w:rsid w:val="00755D3A"/>
    <w:rsid w:val="007609C6"/>
    <w:rsid w:val="0076132A"/>
    <w:rsid w:val="00761B3D"/>
    <w:rsid w:val="00761CD7"/>
    <w:rsid w:val="00776527"/>
    <w:rsid w:val="00785B2D"/>
    <w:rsid w:val="007A10FF"/>
    <w:rsid w:val="007A5C36"/>
    <w:rsid w:val="007B19C7"/>
    <w:rsid w:val="007B6105"/>
    <w:rsid w:val="007B7663"/>
    <w:rsid w:val="007C3F6A"/>
    <w:rsid w:val="007C6E70"/>
    <w:rsid w:val="007D7174"/>
    <w:rsid w:val="007E3D24"/>
    <w:rsid w:val="007E7E61"/>
    <w:rsid w:val="007F0845"/>
    <w:rsid w:val="00802984"/>
    <w:rsid w:val="008055F9"/>
    <w:rsid w:val="00811126"/>
    <w:rsid w:val="0081168F"/>
    <w:rsid w:val="00812853"/>
    <w:rsid w:val="00821FF6"/>
    <w:rsid w:val="0083143E"/>
    <w:rsid w:val="00834FAA"/>
    <w:rsid w:val="00836086"/>
    <w:rsid w:val="008460B2"/>
    <w:rsid w:val="00870380"/>
    <w:rsid w:val="00876086"/>
    <w:rsid w:val="00895AE2"/>
    <w:rsid w:val="008B7C02"/>
    <w:rsid w:val="008C093A"/>
    <w:rsid w:val="008C0E88"/>
    <w:rsid w:val="008D2A16"/>
    <w:rsid w:val="008D6B25"/>
    <w:rsid w:val="008E31FF"/>
    <w:rsid w:val="008E351B"/>
    <w:rsid w:val="008E7CD1"/>
    <w:rsid w:val="008F20C3"/>
    <w:rsid w:val="008F41A9"/>
    <w:rsid w:val="008F5C70"/>
    <w:rsid w:val="009003A8"/>
    <w:rsid w:val="00902176"/>
    <w:rsid w:val="00902EFF"/>
    <w:rsid w:val="0091660F"/>
    <w:rsid w:val="00921F14"/>
    <w:rsid w:val="0094217D"/>
    <w:rsid w:val="0094427A"/>
    <w:rsid w:val="0096710B"/>
    <w:rsid w:val="00967B9D"/>
    <w:rsid w:val="00974923"/>
    <w:rsid w:val="00980EA0"/>
    <w:rsid w:val="00984EB7"/>
    <w:rsid w:val="00984F65"/>
    <w:rsid w:val="0098620F"/>
    <w:rsid w:val="00987E97"/>
    <w:rsid w:val="009B6FD3"/>
    <w:rsid w:val="009C0A22"/>
    <w:rsid w:val="009C7358"/>
    <w:rsid w:val="009E2517"/>
    <w:rsid w:val="009E43D9"/>
    <w:rsid w:val="009F41B2"/>
    <w:rsid w:val="009F54EE"/>
    <w:rsid w:val="00A0259C"/>
    <w:rsid w:val="00A10D66"/>
    <w:rsid w:val="00A23E43"/>
    <w:rsid w:val="00A2413F"/>
    <w:rsid w:val="00A41901"/>
    <w:rsid w:val="00A42547"/>
    <w:rsid w:val="00A43FD6"/>
    <w:rsid w:val="00A46DE0"/>
    <w:rsid w:val="00A62CE1"/>
    <w:rsid w:val="00A726C8"/>
    <w:rsid w:val="00A75E40"/>
    <w:rsid w:val="00A77E4E"/>
    <w:rsid w:val="00A857C0"/>
    <w:rsid w:val="00AA559A"/>
    <w:rsid w:val="00AB0401"/>
    <w:rsid w:val="00AB2AF1"/>
    <w:rsid w:val="00AB76F3"/>
    <w:rsid w:val="00AC34DE"/>
    <w:rsid w:val="00AC77ED"/>
    <w:rsid w:val="00AD306C"/>
    <w:rsid w:val="00AD6167"/>
    <w:rsid w:val="00AF14ED"/>
    <w:rsid w:val="00AF2A1B"/>
    <w:rsid w:val="00B05279"/>
    <w:rsid w:val="00B112AC"/>
    <w:rsid w:val="00B11A11"/>
    <w:rsid w:val="00B11C33"/>
    <w:rsid w:val="00B14740"/>
    <w:rsid w:val="00B15DD8"/>
    <w:rsid w:val="00B17E71"/>
    <w:rsid w:val="00B17FDE"/>
    <w:rsid w:val="00B21D75"/>
    <w:rsid w:val="00B32DDB"/>
    <w:rsid w:val="00B3308E"/>
    <w:rsid w:val="00B44907"/>
    <w:rsid w:val="00B46C96"/>
    <w:rsid w:val="00B50F5E"/>
    <w:rsid w:val="00B56A42"/>
    <w:rsid w:val="00B62851"/>
    <w:rsid w:val="00B6608F"/>
    <w:rsid w:val="00B66868"/>
    <w:rsid w:val="00B74D51"/>
    <w:rsid w:val="00B76D1E"/>
    <w:rsid w:val="00B8650C"/>
    <w:rsid w:val="00B917BA"/>
    <w:rsid w:val="00B95940"/>
    <w:rsid w:val="00B96803"/>
    <w:rsid w:val="00BA4DB4"/>
    <w:rsid w:val="00BC444D"/>
    <w:rsid w:val="00BD258B"/>
    <w:rsid w:val="00BD2BE3"/>
    <w:rsid w:val="00BD366B"/>
    <w:rsid w:val="00BD6D50"/>
    <w:rsid w:val="00BD72FC"/>
    <w:rsid w:val="00BE01F2"/>
    <w:rsid w:val="00BE05F5"/>
    <w:rsid w:val="00BE0999"/>
    <w:rsid w:val="00BF32B4"/>
    <w:rsid w:val="00BF6B6C"/>
    <w:rsid w:val="00BF709B"/>
    <w:rsid w:val="00C0426D"/>
    <w:rsid w:val="00C0475C"/>
    <w:rsid w:val="00C0584D"/>
    <w:rsid w:val="00C117C3"/>
    <w:rsid w:val="00C124B7"/>
    <w:rsid w:val="00C15C55"/>
    <w:rsid w:val="00C21F94"/>
    <w:rsid w:val="00C4292E"/>
    <w:rsid w:val="00C45BD5"/>
    <w:rsid w:val="00C57928"/>
    <w:rsid w:val="00C6045A"/>
    <w:rsid w:val="00C659F4"/>
    <w:rsid w:val="00C72FC9"/>
    <w:rsid w:val="00C847A8"/>
    <w:rsid w:val="00C90CF4"/>
    <w:rsid w:val="00C93389"/>
    <w:rsid w:val="00CA0C7F"/>
    <w:rsid w:val="00CA2257"/>
    <w:rsid w:val="00CA3500"/>
    <w:rsid w:val="00CB35AC"/>
    <w:rsid w:val="00CB69B5"/>
    <w:rsid w:val="00CC0868"/>
    <w:rsid w:val="00CC61F7"/>
    <w:rsid w:val="00CD57C7"/>
    <w:rsid w:val="00CF51EC"/>
    <w:rsid w:val="00D040DD"/>
    <w:rsid w:val="00D1416F"/>
    <w:rsid w:val="00D174A4"/>
    <w:rsid w:val="00D27EFB"/>
    <w:rsid w:val="00D53355"/>
    <w:rsid w:val="00D533FC"/>
    <w:rsid w:val="00D57B0B"/>
    <w:rsid w:val="00D74B4F"/>
    <w:rsid w:val="00D84372"/>
    <w:rsid w:val="00D86E58"/>
    <w:rsid w:val="00D9167D"/>
    <w:rsid w:val="00D95E6B"/>
    <w:rsid w:val="00DA2028"/>
    <w:rsid w:val="00DA5851"/>
    <w:rsid w:val="00DB2F7F"/>
    <w:rsid w:val="00DB6B38"/>
    <w:rsid w:val="00DC5B3B"/>
    <w:rsid w:val="00DD3E1E"/>
    <w:rsid w:val="00DD457A"/>
    <w:rsid w:val="00E01C0E"/>
    <w:rsid w:val="00E04694"/>
    <w:rsid w:val="00E11B60"/>
    <w:rsid w:val="00E1474F"/>
    <w:rsid w:val="00E161C9"/>
    <w:rsid w:val="00E20E07"/>
    <w:rsid w:val="00E319FA"/>
    <w:rsid w:val="00E3326B"/>
    <w:rsid w:val="00E61419"/>
    <w:rsid w:val="00E6380F"/>
    <w:rsid w:val="00E64AC3"/>
    <w:rsid w:val="00E71A58"/>
    <w:rsid w:val="00EA0C68"/>
    <w:rsid w:val="00EA3368"/>
    <w:rsid w:val="00EA6798"/>
    <w:rsid w:val="00EB311C"/>
    <w:rsid w:val="00EB4C78"/>
    <w:rsid w:val="00EC4946"/>
    <w:rsid w:val="00EC7132"/>
    <w:rsid w:val="00EE01F9"/>
    <w:rsid w:val="00EE3E78"/>
    <w:rsid w:val="00EF1F5A"/>
    <w:rsid w:val="00EF4A88"/>
    <w:rsid w:val="00EF63D7"/>
    <w:rsid w:val="00EF6628"/>
    <w:rsid w:val="00EF7405"/>
    <w:rsid w:val="00EF7CCE"/>
    <w:rsid w:val="00F04811"/>
    <w:rsid w:val="00F0488C"/>
    <w:rsid w:val="00F134D6"/>
    <w:rsid w:val="00F15BEF"/>
    <w:rsid w:val="00F16D1F"/>
    <w:rsid w:val="00F205AF"/>
    <w:rsid w:val="00F226D7"/>
    <w:rsid w:val="00F24FAA"/>
    <w:rsid w:val="00F3364D"/>
    <w:rsid w:val="00F41AF7"/>
    <w:rsid w:val="00F4274E"/>
    <w:rsid w:val="00F42C99"/>
    <w:rsid w:val="00F51EAE"/>
    <w:rsid w:val="00F63093"/>
    <w:rsid w:val="00F63DDE"/>
    <w:rsid w:val="00F63FB7"/>
    <w:rsid w:val="00F66522"/>
    <w:rsid w:val="00F73A0C"/>
    <w:rsid w:val="00F75B9D"/>
    <w:rsid w:val="00F81667"/>
    <w:rsid w:val="00F9792E"/>
    <w:rsid w:val="00FB7BE8"/>
    <w:rsid w:val="00FC0E5F"/>
    <w:rsid w:val="00FC56DE"/>
    <w:rsid w:val="00FC63A1"/>
    <w:rsid w:val="00FD1107"/>
    <w:rsid w:val="00FE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56254C1D"/>
  <w15:docId w15:val="{CAA25A4D-F38D-4E94-85BF-3AAA4016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274E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next w:val="Normln"/>
    <w:link w:val="Nadpis1Char"/>
    <w:uiPriority w:val="9"/>
    <w:qFormat/>
    <w:rsid w:val="007F0845"/>
    <w:pPr>
      <w:keepNext/>
      <w:keepLines/>
      <w:spacing w:after="200" w:line="288" w:lineRule="auto"/>
      <w:outlineLvl w:val="0"/>
    </w:pPr>
    <w:rPr>
      <w:rFonts w:ascii="Arial" w:eastAsia="MS Gothic" w:hAnsi="Arial"/>
      <w:b/>
      <w:bCs/>
      <w:color w:val="009BB4"/>
      <w:sz w:val="32"/>
      <w:szCs w:val="28"/>
    </w:rPr>
  </w:style>
  <w:style w:type="paragraph" w:styleId="Nadpis2">
    <w:name w:val="heading 2"/>
    <w:next w:val="Normln"/>
    <w:link w:val="Nadpis2Char"/>
    <w:uiPriority w:val="9"/>
    <w:qFormat/>
    <w:rsid w:val="007F0845"/>
    <w:pPr>
      <w:keepNext/>
      <w:keepLines/>
      <w:spacing w:line="288" w:lineRule="auto"/>
      <w:outlineLvl w:val="1"/>
    </w:pPr>
    <w:rPr>
      <w:rFonts w:ascii="Arial" w:eastAsia="MS Gothic" w:hAnsi="Arial"/>
      <w:b/>
      <w:bCs/>
      <w:color w:val="009BB4"/>
      <w:sz w:val="28"/>
      <w:szCs w:val="26"/>
    </w:rPr>
  </w:style>
  <w:style w:type="paragraph" w:styleId="Nadpis3">
    <w:name w:val="heading 3"/>
    <w:next w:val="Normln"/>
    <w:link w:val="Nadpis3Char"/>
    <w:uiPriority w:val="9"/>
    <w:qFormat/>
    <w:rsid w:val="007F0845"/>
    <w:pPr>
      <w:keepNext/>
      <w:keepLines/>
      <w:spacing w:line="288" w:lineRule="auto"/>
      <w:outlineLvl w:val="2"/>
    </w:pPr>
    <w:rPr>
      <w:rFonts w:ascii="Arial" w:eastAsia="MS Gothic" w:hAnsi="Arial"/>
      <w:b/>
      <w:bCs/>
      <w:color w:val="009BB4"/>
      <w:sz w:val="24"/>
      <w:szCs w:val="24"/>
    </w:rPr>
  </w:style>
  <w:style w:type="paragraph" w:styleId="Nadpis4">
    <w:name w:val="heading 4"/>
    <w:next w:val="Normln"/>
    <w:link w:val="Nadpis4Char"/>
    <w:uiPriority w:val="9"/>
    <w:qFormat/>
    <w:rsid w:val="005108C0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E71A58"/>
    <w:rPr>
      <w:color w:val="0000FF"/>
      <w:u w:val="single"/>
    </w:rPr>
  </w:style>
  <w:style w:type="paragraph" w:customStyle="1" w:styleId="Styl1">
    <w:name w:val="Styl1"/>
    <w:rsid w:val="00E71A58"/>
    <w:pPr>
      <w:suppressAutoHyphens/>
      <w:autoSpaceDE w:val="0"/>
    </w:pPr>
    <w:rPr>
      <w:rFonts w:ascii="Arial" w:eastAsia="Times New Roman" w:hAnsi="Arial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71A58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E71A58"/>
  </w:style>
  <w:style w:type="paragraph" w:styleId="Zpat">
    <w:name w:val="footer"/>
    <w:basedOn w:val="Normln"/>
    <w:link w:val="ZpatChar"/>
    <w:uiPriority w:val="99"/>
    <w:unhideWhenUsed/>
    <w:rsid w:val="00E71A58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E71A58"/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link w:val="ZkladnodstavecChar"/>
    <w:uiPriority w:val="99"/>
    <w:rsid w:val="001714F2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</w:rPr>
  </w:style>
  <w:style w:type="paragraph" w:styleId="Nzev">
    <w:name w:val="Title"/>
    <w:next w:val="Normln"/>
    <w:link w:val="NzevChar"/>
    <w:uiPriority w:val="10"/>
    <w:qFormat/>
    <w:rsid w:val="007C3F6A"/>
    <w:pPr>
      <w:spacing w:line="288" w:lineRule="auto"/>
      <w:contextualSpacing/>
      <w:outlineLvl w:val="0"/>
    </w:pPr>
    <w:rPr>
      <w:rFonts w:ascii="Arial" w:eastAsia="MS Gothic" w:hAnsi="Arial"/>
      <w:b/>
      <w:caps/>
      <w:color w:val="009BB4"/>
      <w:sz w:val="56"/>
      <w:szCs w:val="52"/>
    </w:rPr>
  </w:style>
  <w:style w:type="character" w:customStyle="1" w:styleId="NzevChar">
    <w:name w:val="Název Char"/>
    <w:link w:val="Nzev"/>
    <w:uiPriority w:val="10"/>
    <w:rsid w:val="007C3F6A"/>
    <w:rPr>
      <w:rFonts w:ascii="Arial" w:eastAsia="MS Gothic" w:hAnsi="Arial" w:cs="Times New Roman"/>
      <w:b/>
      <w:caps/>
      <w:color w:val="009BB4"/>
      <w:sz w:val="56"/>
      <w:szCs w:val="52"/>
    </w:rPr>
  </w:style>
  <w:style w:type="paragraph" w:styleId="Podnadpis">
    <w:name w:val="Subtitle"/>
    <w:next w:val="Normln"/>
    <w:link w:val="PodnadpisChar"/>
    <w:uiPriority w:val="11"/>
    <w:qFormat/>
    <w:rsid w:val="007F0845"/>
    <w:pPr>
      <w:numPr>
        <w:ilvl w:val="1"/>
      </w:numPr>
      <w:spacing w:line="288" w:lineRule="auto"/>
    </w:pPr>
    <w:rPr>
      <w:rFonts w:ascii="Arial" w:eastAsia="MS Gothic" w:hAnsi="Arial"/>
      <w:b/>
      <w:iCs/>
      <w:color w:val="009BB4"/>
      <w:sz w:val="28"/>
      <w:szCs w:val="24"/>
    </w:rPr>
  </w:style>
  <w:style w:type="character" w:customStyle="1" w:styleId="PodnadpisChar">
    <w:name w:val="Podnadpis Char"/>
    <w:link w:val="Podnadpis"/>
    <w:uiPriority w:val="11"/>
    <w:rsid w:val="007F0845"/>
    <w:rPr>
      <w:rFonts w:ascii="Arial" w:eastAsia="MS Gothic" w:hAnsi="Arial" w:cs="Times New Roman"/>
      <w:b/>
      <w:iCs/>
      <w:color w:val="009BB4"/>
      <w:sz w:val="28"/>
      <w:szCs w:val="24"/>
    </w:rPr>
  </w:style>
  <w:style w:type="character" w:customStyle="1" w:styleId="Nadpis1Char">
    <w:name w:val="Nadpis 1 Char"/>
    <w:link w:val="Nadpis1"/>
    <w:uiPriority w:val="9"/>
    <w:rsid w:val="007F0845"/>
    <w:rPr>
      <w:rFonts w:ascii="Arial" w:eastAsia="MS Gothic" w:hAnsi="Arial" w:cs="Times New Roman"/>
      <w:b/>
      <w:bCs/>
      <w:color w:val="009BB4"/>
      <w:sz w:val="32"/>
      <w:szCs w:val="28"/>
    </w:rPr>
  </w:style>
  <w:style w:type="character" w:customStyle="1" w:styleId="Nadpis2Char">
    <w:name w:val="Nadpis 2 Char"/>
    <w:link w:val="Nadpis2"/>
    <w:uiPriority w:val="9"/>
    <w:rsid w:val="007F0845"/>
    <w:rPr>
      <w:rFonts w:ascii="Arial" w:eastAsia="MS Gothic" w:hAnsi="Arial" w:cs="Times New Roman"/>
      <w:b/>
      <w:bCs/>
      <w:color w:val="009BB4"/>
      <w:sz w:val="28"/>
      <w:szCs w:val="26"/>
    </w:rPr>
  </w:style>
  <w:style w:type="character" w:customStyle="1" w:styleId="Nadpis3Char">
    <w:name w:val="Nadpis 3 Char"/>
    <w:link w:val="Nadpis3"/>
    <w:uiPriority w:val="9"/>
    <w:rsid w:val="007F0845"/>
    <w:rPr>
      <w:rFonts w:ascii="Arial" w:eastAsia="MS Gothic" w:hAnsi="Arial" w:cs="Times New Roman"/>
      <w:b/>
      <w:bCs/>
      <w:color w:val="009BB4"/>
      <w:sz w:val="24"/>
      <w:szCs w:val="24"/>
    </w:rPr>
  </w:style>
  <w:style w:type="character" w:customStyle="1" w:styleId="Nadpis4Char">
    <w:name w:val="Nadpis 4 Char"/>
    <w:link w:val="Nadpis4"/>
    <w:uiPriority w:val="9"/>
    <w:rsid w:val="005108C0"/>
    <w:rPr>
      <w:rFonts w:ascii="Arial" w:eastAsia="MS Gothic" w:hAnsi="Arial" w:cs="Times New Roman"/>
      <w:b/>
      <w:bCs/>
      <w:iCs/>
      <w:szCs w:val="24"/>
    </w:rPr>
  </w:style>
  <w:style w:type="paragraph" w:customStyle="1" w:styleId="Stednmka21">
    <w:name w:val="Střední mřížka 21"/>
    <w:aliases w:val="Bez zarážky"/>
    <w:link w:val="Stednmka2Char"/>
    <w:uiPriority w:val="1"/>
    <w:qFormat/>
    <w:rsid w:val="008D2A16"/>
    <w:pPr>
      <w:spacing w:line="288" w:lineRule="auto"/>
    </w:pPr>
    <w:rPr>
      <w:rFonts w:ascii="Arial" w:eastAsia="Times New Roman" w:hAnsi="Arial"/>
      <w:szCs w:val="24"/>
    </w:rPr>
  </w:style>
  <w:style w:type="paragraph" w:customStyle="1" w:styleId="Box1">
    <w:name w:val="Box 1"/>
    <w:basedOn w:val="Zkladnodstavec"/>
    <w:next w:val="Normln"/>
    <w:qFormat/>
    <w:rsid w:val="007F0845"/>
    <w:pPr>
      <w:ind w:left="1134"/>
    </w:pPr>
    <w:rPr>
      <w:rFonts w:ascii="Arial" w:hAnsi="Arial" w:cs="Arial"/>
      <w:color w:val="009BB4"/>
      <w:sz w:val="20"/>
      <w:szCs w:val="20"/>
    </w:rPr>
  </w:style>
  <w:style w:type="paragraph" w:customStyle="1" w:styleId="Box2">
    <w:name w:val="Box 2"/>
    <w:basedOn w:val="Zkladnodstavec"/>
    <w:link w:val="Box2Char"/>
    <w:rsid w:val="00010702"/>
    <w:pPr>
      <w:shd w:val="clear" w:color="auto" w:fill="CCC0D9"/>
      <w:tabs>
        <w:tab w:val="left" w:pos="9638"/>
      </w:tabs>
      <w:ind w:left="1134" w:right="-1"/>
      <w:jc w:val="both"/>
    </w:pPr>
    <w:rPr>
      <w:rFonts w:ascii="Arial" w:hAnsi="Arial" w:cs="Arial"/>
      <w:b/>
      <w:color w:val="auto"/>
      <w:sz w:val="20"/>
      <w:szCs w:val="20"/>
    </w:rPr>
  </w:style>
  <w:style w:type="paragraph" w:customStyle="1" w:styleId="Box">
    <w:name w:val="Box"/>
    <w:next w:val="Normln"/>
    <w:link w:val="BoxChar"/>
    <w:qFormat/>
    <w:rsid w:val="007C3F6A"/>
    <w:pPr>
      <w:shd w:val="clear" w:color="auto" w:fill="D9F0F4"/>
      <w:spacing w:line="288" w:lineRule="auto"/>
      <w:ind w:left="1134"/>
    </w:pPr>
    <w:rPr>
      <w:rFonts w:ascii="Arial" w:hAnsi="Arial" w:cs="Arial"/>
    </w:rPr>
  </w:style>
  <w:style w:type="paragraph" w:customStyle="1" w:styleId="TL-Kontakty">
    <w:name w:val="TL - Kontakty"/>
    <w:next w:val="Normln"/>
    <w:link w:val="TL-KontaktyChar"/>
    <w:qFormat/>
    <w:rsid w:val="004F06F5"/>
    <w:pPr>
      <w:spacing w:after="80"/>
    </w:pPr>
    <w:rPr>
      <w:rFonts w:ascii="Arial" w:eastAsia="Times New Roman" w:hAnsi="Arial"/>
      <w:b/>
      <w:caps/>
      <w:color w:val="BD1B21"/>
      <w:sz w:val="24"/>
      <w:szCs w:val="24"/>
    </w:rPr>
  </w:style>
  <w:style w:type="character" w:customStyle="1" w:styleId="ZkladnodstavecChar">
    <w:name w:val="[Základní odstavec] Char"/>
    <w:link w:val="Zkladnodstavec"/>
    <w:uiPriority w:val="99"/>
    <w:rsid w:val="006710C9"/>
    <w:rPr>
      <w:rFonts w:ascii="Minion Pro" w:hAnsi="Minion Pro" w:cs="Minion Pro"/>
      <w:color w:val="000000"/>
      <w:sz w:val="24"/>
      <w:szCs w:val="24"/>
    </w:rPr>
  </w:style>
  <w:style w:type="character" w:customStyle="1" w:styleId="Box2Char">
    <w:name w:val="Box 2 Char"/>
    <w:link w:val="Box2"/>
    <w:rsid w:val="006710C9"/>
    <w:rPr>
      <w:rFonts w:ascii="Arial" w:hAnsi="Arial" w:cs="Arial"/>
      <w:b/>
      <w:color w:val="000000"/>
      <w:sz w:val="24"/>
      <w:szCs w:val="24"/>
      <w:shd w:val="clear" w:color="auto" w:fill="CCC0D9"/>
    </w:rPr>
  </w:style>
  <w:style w:type="character" w:customStyle="1" w:styleId="BoxChar">
    <w:name w:val="Box Char"/>
    <w:link w:val="Box"/>
    <w:rsid w:val="007C3F6A"/>
    <w:rPr>
      <w:rFonts w:ascii="Arial" w:hAnsi="Arial" w:cs="Arial"/>
      <w:b w:val="0"/>
      <w:color w:val="000000"/>
      <w:sz w:val="24"/>
      <w:szCs w:val="24"/>
      <w:shd w:val="clear" w:color="auto" w:fill="D9F0F4"/>
    </w:rPr>
  </w:style>
  <w:style w:type="paragraph" w:customStyle="1" w:styleId="TL-Identifikace">
    <w:name w:val="TL - Identifikace"/>
    <w:next w:val="Normln"/>
    <w:link w:val="TL-IdentifikaceChar"/>
    <w:qFormat/>
    <w:rsid w:val="004F06F5"/>
    <w:pPr>
      <w:spacing w:after="200" w:line="288" w:lineRule="auto"/>
    </w:pPr>
    <w:rPr>
      <w:rFonts w:ascii="Arial" w:eastAsia="Times New Roman" w:hAnsi="Arial"/>
      <w:sz w:val="24"/>
      <w:szCs w:val="24"/>
    </w:rPr>
  </w:style>
  <w:style w:type="character" w:customStyle="1" w:styleId="TL-KontaktyChar">
    <w:name w:val="TL - Kontakty Char"/>
    <w:link w:val="TL-Kontakty"/>
    <w:rsid w:val="004F06F5"/>
    <w:rPr>
      <w:rFonts w:ascii="Arial" w:eastAsia="Times New Roman" w:hAnsi="Arial"/>
      <w:b/>
      <w:caps/>
      <w:color w:val="BD1B21"/>
      <w:sz w:val="24"/>
      <w:szCs w:val="24"/>
    </w:rPr>
  </w:style>
  <w:style w:type="character" w:customStyle="1" w:styleId="TL-IdentifikaceChar">
    <w:name w:val="TL - Identifikace Char"/>
    <w:link w:val="TL-Identifikace"/>
    <w:rsid w:val="004F06F5"/>
    <w:rPr>
      <w:rFonts w:ascii="Arial" w:eastAsia="Times New Roman" w:hAnsi="Arial"/>
      <w:sz w:val="24"/>
      <w:szCs w:val="24"/>
    </w:rPr>
  </w:style>
  <w:style w:type="paragraph" w:customStyle="1" w:styleId="3372873BB58A4DED866D2BE34882C06C">
    <w:name w:val="3372873BB58A4DED866D2BE34882C06C"/>
    <w:rsid w:val="00EE3E78"/>
    <w:pPr>
      <w:spacing w:after="200" w:line="276" w:lineRule="auto"/>
    </w:pPr>
    <w:rPr>
      <w:rFonts w:eastAsia="MS Mincho"/>
      <w:sz w:val="22"/>
      <w:szCs w:val="22"/>
    </w:rPr>
  </w:style>
  <w:style w:type="paragraph" w:customStyle="1" w:styleId="233E5CD5853943F4BD7E8C4B124C0E1D">
    <w:name w:val="233E5CD5853943F4BD7E8C4B124C0E1D"/>
    <w:rsid w:val="00EE3E78"/>
    <w:pPr>
      <w:spacing w:after="200" w:line="276" w:lineRule="auto"/>
    </w:pPr>
    <w:rPr>
      <w:rFonts w:eastAsia="MS Mincho"/>
      <w:sz w:val="22"/>
      <w:szCs w:val="22"/>
    </w:rPr>
  </w:style>
  <w:style w:type="paragraph" w:customStyle="1" w:styleId="D345FF3D873148C5AE3FBF3267827368">
    <w:name w:val="D345FF3D873148C5AE3FBF3267827368"/>
    <w:rsid w:val="00EE3E78"/>
    <w:pPr>
      <w:spacing w:after="200" w:line="276" w:lineRule="auto"/>
    </w:pPr>
    <w:rPr>
      <w:rFonts w:eastAsia="MS Mincho"/>
      <w:sz w:val="22"/>
      <w:szCs w:val="22"/>
    </w:rPr>
  </w:style>
  <w:style w:type="character" w:customStyle="1" w:styleId="Stednmka2Char">
    <w:name w:val="Střední mřížka 2 Char"/>
    <w:aliases w:val="Bez zarážky Char"/>
    <w:link w:val="Stednmka21"/>
    <w:uiPriority w:val="1"/>
    <w:rsid w:val="00EE3E78"/>
    <w:rPr>
      <w:rFonts w:ascii="Arial" w:eastAsia="Times New Roman" w:hAnsi="Arial"/>
      <w:szCs w:val="24"/>
    </w:rPr>
  </w:style>
  <w:style w:type="paragraph" w:customStyle="1" w:styleId="TL-identifikace-sted">
    <w:name w:val="TL - identifikace - střed"/>
    <w:basedOn w:val="Normln"/>
    <w:link w:val="TL-identifikace-stedChar"/>
    <w:qFormat/>
    <w:rsid w:val="006C113F"/>
  </w:style>
  <w:style w:type="paragraph" w:customStyle="1" w:styleId="TL-Identifikace-dole">
    <w:name w:val="TL - Identifikace - dole"/>
    <w:basedOn w:val="Normln"/>
    <w:link w:val="TL-Identifikace-doleChar"/>
    <w:qFormat/>
    <w:rsid w:val="006C113F"/>
    <w:rPr>
      <w:rFonts w:cs="Arial"/>
      <w:szCs w:val="20"/>
      <w:lang w:eastAsia="ar-SA"/>
    </w:rPr>
  </w:style>
  <w:style w:type="character" w:customStyle="1" w:styleId="TL-identifikace-stedChar">
    <w:name w:val="TL - identifikace - střed Char"/>
    <w:link w:val="TL-identifikace-sted"/>
    <w:rsid w:val="006C113F"/>
    <w:rPr>
      <w:rFonts w:ascii="Arial" w:eastAsia="Times New Roman" w:hAnsi="Arial"/>
      <w:sz w:val="24"/>
      <w:szCs w:val="24"/>
    </w:rPr>
  </w:style>
  <w:style w:type="character" w:customStyle="1" w:styleId="TL-Identifikace-doleChar">
    <w:name w:val="TL - Identifikace - dole Char"/>
    <w:link w:val="TL-Identifikace-dole"/>
    <w:rsid w:val="006C113F"/>
    <w:rPr>
      <w:rFonts w:ascii="Arial" w:eastAsia="Times New Roman" w:hAnsi="Arial" w:cs="Arial"/>
      <w:lang w:eastAsia="ar-SA"/>
    </w:rPr>
  </w:style>
  <w:style w:type="paragraph" w:customStyle="1" w:styleId="Obsah">
    <w:name w:val="Obsah"/>
    <w:next w:val="Normln"/>
    <w:link w:val="ObsahChar"/>
    <w:qFormat/>
    <w:rsid w:val="00CD57C7"/>
    <w:pPr>
      <w:spacing w:after="200"/>
    </w:pPr>
    <w:rPr>
      <w:rFonts w:ascii="Arial" w:eastAsia="MS Gothic" w:hAnsi="Arial"/>
      <w:b/>
      <w:bCs/>
      <w:color w:val="009BB4"/>
      <w:sz w:val="32"/>
      <w:szCs w:val="28"/>
    </w:rPr>
  </w:style>
  <w:style w:type="paragraph" w:styleId="Odstavecseseznamem">
    <w:name w:val="List Paragraph"/>
    <w:basedOn w:val="Normln"/>
    <w:uiPriority w:val="34"/>
    <w:qFormat/>
    <w:rsid w:val="00F4274E"/>
    <w:pPr>
      <w:ind w:left="720"/>
      <w:contextualSpacing/>
    </w:pPr>
  </w:style>
  <w:style w:type="character" w:customStyle="1" w:styleId="ObsahChar">
    <w:name w:val="Obsah Char"/>
    <w:link w:val="Obsah"/>
    <w:rsid w:val="00CD57C7"/>
    <w:rPr>
      <w:rFonts w:ascii="Arial" w:eastAsia="MS Gothic" w:hAnsi="Arial"/>
      <w:b/>
      <w:bCs/>
      <w:color w:val="009BB4"/>
      <w:sz w:val="32"/>
      <w:szCs w:val="28"/>
    </w:rPr>
  </w:style>
  <w:style w:type="paragraph" w:styleId="Zkladntext">
    <w:name w:val="Body Text"/>
    <w:basedOn w:val="Normln"/>
    <w:link w:val="ZkladntextChar"/>
    <w:semiHidden/>
    <w:rsid w:val="00194F66"/>
    <w:pPr>
      <w:spacing w:before="120" w:after="120" w:line="240" w:lineRule="auto"/>
      <w:ind w:right="-13"/>
      <w:jc w:val="both"/>
    </w:pPr>
    <w:rPr>
      <w:rFonts w:eastAsia="Times New Roman"/>
      <w:sz w:val="22"/>
      <w:szCs w:val="24"/>
      <w:lang w:eastAsia="cs-CZ"/>
    </w:rPr>
  </w:style>
  <w:style w:type="character" w:customStyle="1" w:styleId="ZkladntextChar">
    <w:name w:val="Základní text Char"/>
    <w:link w:val="Zkladntext"/>
    <w:semiHidden/>
    <w:rsid w:val="00194F66"/>
    <w:rPr>
      <w:rFonts w:ascii="Times New Roman" w:eastAsia="Times New Roman" w:hAnsi="Times New Roman"/>
      <w:sz w:val="22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A70AA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5A70AA"/>
    <w:rPr>
      <w:rFonts w:ascii="Times New Roman" w:hAnsi="Times New Roman"/>
      <w:lang w:eastAsia="en-US"/>
    </w:rPr>
  </w:style>
  <w:style w:type="character" w:styleId="Znakapoznpodarou">
    <w:name w:val="footnote reference"/>
    <w:uiPriority w:val="99"/>
    <w:semiHidden/>
    <w:unhideWhenUsed/>
    <w:rsid w:val="005A70AA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977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77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7724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77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7724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publikace\062005-15\publikace%20bar_veda%20IT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https://czsocz-my.sharepoint.com/personal/kamila_buresova_czso_cz/Documents/Dokumenty/publikace/062005-25/pomocny_analyza_2025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https://czsocz-my.sharepoint.com/personal/kamila_buresova_czso_cz/Documents/Dokumenty/publikace/062005-25/pomocny_analyza_2025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oleObject" Target="https://czsocz-my.sharepoint.com/personal/kamila_buresova_czso_cz/Documents/Dokumenty/publikace/062005-25/pomocny_analyza_2025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1.0010582738293085E-2"/>
          <c:y val="5.0925925925925923E-2"/>
          <c:w val="0.97761731748596925"/>
          <c:h val="0.576598315835520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'životní prostř'!$B$2</c:f>
              <c:strCache>
                <c:ptCount val="1"/>
                <c:pt idx="0">
                  <c:v> energie</c:v>
                </c:pt>
              </c:strCache>
            </c:strRef>
          </c:tx>
          <c:spPr>
            <a:solidFill>
              <a:srgbClr val="009CB5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'životní prostř'!$A$3:$A$6</c:f>
              <c:strCache>
                <c:ptCount val="4"/>
                <c:pt idx="0">
                  <c:v>Podniky celkem 
(10+ zaměstnanců)</c:v>
                </c:pt>
                <c:pt idx="1">
                  <c:v> malé 
(10–49 zaměstnanců)</c:v>
                </c:pt>
                <c:pt idx="2">
                  <c:v> středně velké 
(50–249 zaměstnanců)</c:v>
                </c:pt>
                <c:pt idx="3">
                  <c:v> velké 
(250+ zaměstnanců)</c:v>
                </c:pt>
              </c:strCache>
            </c:strRef>
          </c:cat>
          <c:val>
            <c:numRef>
              <c:f>'životní prostř'!$B$3:$B$6</c:f>
              <c:numCache>
                <c:formatCode>0%</c:formatCode>
                <c:ptCount val="4"/>
                <c:pt idx="0">
                  <c:v>0.2</c:v>
                </c:pt>
                <c:pt idx="1">
                  <c:v>0.152</c:v>
                </c:pt>
                <c:pt idx="2">
                  <c:v>0.34399999999999997</c:v>
                </c:pt>
                <c:pt idx="3">
                  <c:v>0.54600000000000004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DA-4024-B07E-87B9D961F72F}"/>
            </c:ext>
          </c:extLst>
        </c:ser>
        <c:ser>
          <c:idx val="1"/>
          <c:order val="1"/>
          <c:tx>
            <c:strRef>
              <c:f>'životní prostř'!$C$2</c:f>
              <c:strCache>
                <c:ptCount val="1"/>
                <c:pt idx="0">
                  <c:v> materiálů, vody, podpoře používání recyklovaných surovin</c:v>
                </c:pt>
              </c:strCache>
            </c:strRef>
          </c:tx>
          <c:spPr>
            <a:solidFill>
              <a:srgbClr val="9FC9D7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'životní prostř'!$A$3:$A$6</c:f>
              <c:strCache>
                <c:ptCount val="4"/>
                <c:pt idx="0">
                  <c:v>Podniky celkem 
(10+ zaměstnanců)</c:v>
                </c:pt>
                <c:pt idx="1">
                  <c:v> malé 
(10–49 zaměstnanců)</c:v>
                </c:pt>
                <c:pt idx="2">
                  <c:v> středně velké 
(50–249 zaměstnanců)</c:v>
                </c:pt>
                <c:pt idx="3">
                  <c:v> velké 
(250+ zaměstnanců)</c:v>
                </c:pt>
              </c:strCache>
            </c:strRef>
          </c:cat>
          <c:val>
            <c:numRef>
              <c:f>'životní prostř'!$C$3:$C$6</c:f>
              <c:numCache>
                <c:formatCode>0%</c:formatCode>
                <c:ptCount val="4"/>
                <c:pt idx="0">
                  <c:v>8.6999999999999994E-2</c:v>
                </c:pt>
                <c:pt idx="1">
                  <c:v>5.8999999999999997E-2</c:v>
                </c:pt>
                <c:pt idx="2">
                  <c:v>0.16200000000000001</c:v>
                </c:pt>
                <c:pt idx="3">
                  <c:v>0.32200000000000001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3DA-4024-B07E-87B9D961F7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97604736"/>
        <c:axId val="97606272"/>
      </c:barChart>
      <c:catAx>
        <c:axId val="97604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crossAx val="97606272"/>
        <c:crosses val="autoZero"/>
        <c:auto val="1"/>
        <c:lblAlgn val="ctr"/>
        <c:lblOffset val="100"/>
        <c:noMultiLvlLbl val="0"/>
      </c:catAx>
      <c:valAx>
        <c:axId val="97606272"/>
        <c:scaling>
          <c:orientation val="minMax"/>
          <c:max val="1"/>
          <c:min val="0"/>
        </c:scaling>
        <c:delete val="1"/>
        <c:axPos val="l"/>
        <c:numFmt formatCode="0%" sourceLinked="0"/>
        <c:majorTickMark val="out"/>
        <c:minorTickMark val="none"/>
        <c:tickLblPos val="nextTo"/>
        <c:crossAx val="97604736"/>
        <c:crosses val="autoZero"/>
        <c:crossBetween val="between"/>
      </c:valAx>
      <c:spPr>
        <a:ln>
          <a:noFill/>
        </a:ln>
      </c:spPr>
    </c:plotArea>
    <c:legend>
      <c:legendPos val="b"/>
      <c:overlay val="0"/>
      <c:spPr>
        <a:solidFill>
          <a:sysClr val="window" lastClr="FFFFFF"/>
        </a:solidFill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cs-CZ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1621013084087684E-2"/>
          <c:y val="5.0925925925925923E-2"/>
          <c:w val="0.91242117802606348"/>
          <c:h val="0.6614342101972112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9FC9D7"/>
            </a:solidFill>
          </c:spPr>
          <c:invertIfNegative val="0"/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4A3B-404F-9306-1F039D601C1C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4A3B-404F-9306-1F039D601C1C}"/>
              </c:ext>
            </c:extLst>
          </c:dPt>
          <c:dPt>
            <c:idx val="12"/>
            <c:invertIfNegative val="0"/>
            <c:bubble3D val="0"/>
            <c:spPr>
              <a:solidFill>
                <a:srgbClr val="009CB5"/>
              </a:solidFill>
            </c:spPr>
            <c:extLst>
              <c:ext xmlns:c16="http://schemas.microsoft.com/office/drawing/2014/chart" uri="{C3380CC4-5D6E-409C-BE32-E72D297353CC}">
                <c16:uniqueId val="{00000003-4A3B-404F-9306-1F039D601C1C}"/>
              </c:ext>
            </c:extLst>
          </c:dPt>
          <c:dPt>
            <c:idx val="1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4A3B-404F-9306-1F039D601C1C}"/>
              </c:ext>
            </c:extLst>
          </c:dPt>
          <c:dPt>
            <c:idx val="1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4A3B-404F-9306-1F039D601C1C}"/>
              </c:ext>
            </c:extLst>
          </c:dPt>
          <c:dPt>
            <c:idx val="21"/>
            <c:invertIfNegative val="0"/>
            <c:bubble3D val="0"/>
            <c:spPr>
              <a:solidFill>
                <a:srgbClr val="009CB5"/>
              </a:solidFill>
            </c:spPr>
            <c:extLst>
              <c:ext xmlns:c16="http://schemas.microsoft.com/office/drawing/2014/chart" uri="{C3380CC4-5D6E-409C-BE32-E72D297353CC}">
                <c16:uniqueId val="{00000007-4A3B-404F-9306-1F039D601C1C}"/>
              </c:ext>
            </c:extLst>
          </c:dPt>
          <c:dLbls>
            <c:dLbl>
              <c:idx val="12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A3B-404F-9306-1F039D601C1C}"/>
                </c:ext>
              </c:extLst>
            </c:dLbl>
            <c:dLbl>
              <c:idx val="21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A3B-404F-9306-1F039D601C1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cs-CZ"/>
              </a:p>
            </c:txPr>
            <c:dLblPos val="inEnd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'životní prostř'!$A$223:$A$250</c:f>
              <c:strCache>
                <c:ptCount val="28"/>
                <c:pt idx="0">
                  <c:v>Chorvatsko</c:v>
                </c:pt>
                <c:pt idx="1">
                  <c:v>Dánsko</c:v>
                </c:pt>
                <c:pt idx="2">
                  <c:v>Francie</c:v>
                </c:pt>
                <c:pt idx="3">
                  <c:v>Belgie</c:v>
                </c:pt>
                <c:pt idx="4">
                  <c:v>Malta</c:v>
                </c:pt>
                <c:pt idx="5">
                  <c:v>Švédsko</c:v>
                </c:pt>
                <c:pt idx="6">
                  <c:v>Španělsko</c:v>
                </c:pt>
                <c:pt idx="7">
                  <c:v>Litva</c:v>
                </c:pt>
                <c:pt idx="8">
                  <c:v>Itálie</c:v>
                </c:pt>
                <c:pt idx="9">
                  <c:v>Rumunsko</c:v>
                </c:pt>
                <c:pt idx="10">
                  <c:v>Irsko</c:v>
                </c:pt>
                <c:pt idx="11">
                  <c:v>Kypr</c:v>
                </c:pt>
                <c:pt idx="12">
                  <c:v>EU27</c:v>
                </c:pt>
                <c:pt idx="13">
                  <c:v>Portugalsko</c:v>
                </c:pt>
                <c:pt idx="14">
                  <c:v>Lucembursko</c:v>
                </c:pt>
                <c:pt idx="15">
                  <c:v>Německo</c:v>
                </c:pt>
                <c:pt idx="16">
                  <c:v>Slovinsko</c:v>
                </c:pt>
                <c:pt idx="17">
                  <c:v>Finsko</c:v>
                </c:pt>
                <c:pt idx="18">
                  <c:v>Řecko</c:v>
                </c:pt>
                <c:pt idx="19">
                  <c:v>Nizozemsko</c:v>
                </c:pt>
                <c:pt idx="20">
                  <c:v>Polsko</c:v>
                </c:pt>
                <c:pt idx="21">
                  <c:v>Česko</c:v>
                </c:pt>
                <c:pt idx="22">
                  <c:v>Estonsko</c:v>
                </c:pt>
                <c:pt idx="23">
                  <c:v>Rakousko</c:v>
                </c:pt>
                <c:pt idx="24">
                  <c:v>Slovensko</c:v>
                </c:pt>
                <c:pt idx="25">
                  <c:v>Lotyšsko</c:v>
                </c:pt>
                <c:pt idx="26">
                  <c:v>Maďarsko</c:v>
                </c:pt>
                <c:pt idx="27">
                  <c:v>Bulharsko</c:v>
                </c:pt>
              </c:strCache>
            </c:strRef>
          </c:cat>
          <c:val>
            <c:numRef>
              <c:f>'životní prostř'!$B$223:$B$250</c:f>
              <c:numCache>
                <c:formatCode>0%</c:formatCode>
                <c:ptCount val="28"/>
                <c:pt idx="0">
                  <c:v>0.41045300000000007</c:v>
                </c:pt>
                <c:pt idx="1">
                  <c:v>0.32623200000000002</c:v>
                </c:pt>
                <c:pt idx="2">
                  <c:v>0.31228699999999998</c:v>
                </c:pt>
                <c:pt idx="3">
                  <c:v>0.31073600000000001</c:v>
                </c:pt>
                <c:pt idx="4">
                  <c:v>0.307093</c:v>
                </c:pt>
                <c:pt idx="5">
                  <c:v>0.28417399999999998</c:v>
                </c:pt>
                <c:pt idx="6">
                  <c:v>0.282752</c:v>
                </c:pt>
                <c:pt idx="7">
                  <c:v>0.28129599999999999</c:v>
                </c:pt>
                <c:pt idx="8">
                  <c:v>0.27865200000000001</c:v>
                </c:pt>
                <c:pt idx="9">
                  <c:v>0.26628099999999999</c:v>
                </c:pt>
                <c:pt idx="10">
                  <c:v>0.26030399999999998</c:v>
                </c:pt>
                <c:pt idx="11">
                  <c:v>0.25398700000000002</c:v>
                </c:pt>
                <c:pt idx="12">
                  <c:v>0.24847000000000002</c:v>
                </c:pt>
                <c:pt idx="13">
                  <c:v>0.241645</c:v>
                </c:pt>
                <c:pt idx="14">
                  <c:v>0.23918099999999998</c:v>
                </c:pt>
                <c:pt idx="15">
                  <c:v>0.23146799999999998</c:v>
                </c:pt>
                <c:pt idx="16">
                  <c:v>0.226434</c:v>
                </c:pt>
                <c:pt idx="17">
                  <c:v>0.22639799999999999</c:v>
                </c:pt>
                <c:pt idx="18">
                  <c:v>0.20710700000000004</c:v>
                </c:pt>
                <c:pt idx="19">
                  <c:v>0.20546500000000001</c:v>
                </c:pt>
                <c:pt idx="20">
                  <c:v>0.20232800000000001</c:v>
                </c:pt>
                <c:pt idx="21">
                  <c:v>0.20012900000000003</c:v>
                </c:pt>
                <c:pt idx="22">
                  <c:v>0.16778700000000002</c:v>
                </c:pt>
                <c:pt idx="23">
                  <c:v>0.159363</c:v>
                </c:pt>
                <c:pt idx="24">
                  <c:v>0.156195</c:v>
                </c:pt>
                <c:pt idx="25">
                  <c:v>0.139319</c:v>
                </c:pt>
                <c:pt idx="26">
                  <c:v>0.135961</c:v>
                </c:pt>
                <c:pt idx="27">
                  <c:v>0.100076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A3B-404F-9306-1F039D601C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97604736"/>
        <c:axId val="97606272"/>
      </c:barChart>
      <c:catAx>
        <c:axId val="97604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txPr>
          <a:bodyPr rot="-5400000" vert="horz"/>
          <a:lstStyle/>
          <a:p>
            <a:pPr>
              <a:defRPr/>
            </a:pPr>
            <a:endParaRPr lang="cs-CZ"/>
          </a:p>
        </c:txPr>
        <c:crossAx val="97606272"/>
        <c:crosses val="autoZero"/>
        <c:auto val="1"/>
        <c:lblAlgn val="ctr"/>
        <c:lblOffset val="100"/>
        <c:noMultiLvlLbl val="0"/>
      </c:catAx>
      <c:valAx>
        <c:axId val="97606272"/>
        <c:scaling>
          <c:orientation val="minMax"/>
          <c:max val="0.5"/>
        </c:scaling>
        <c:delete val="0"/>
        <c:axPos val="l"/>
        <c:majorGridlines>
          <c:spPr>
            <a:ln w="6350">
              <a:solidFill>
                <a:srgbClr val="BFBFBF"/>
              </a:solidFill>
              <a:prstDash val="solid"/>
            </a:ln>
          </c:spPr>
        </c:majorGridlines>
        <c:numFmt formatCode="0&quot; &quot;%" sourceLinked="0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txPr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cs-CZ"/>
          </a:p>
        </c:txPr>
        <c:crossAx val="97604736"/>
        <c:crosses val="autoZero"/>
        <c:crossBetween val="between"/>
      </c:valAx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cs-CZ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1621013084087684E-2"/>
          <c:y val="5.0925925925925923E-2"/>
          <c:w val="0.91242117802606348"/>
          <c:h val="0.6614342101972112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9FC9D7"/>
            </a:solidFill>
          </c:spPr>
          <c:invertIfNegative val="0"/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8525-4273-9B06-3AC53D0017A9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8525-4273-9B06-3AC53D0017A9}"/>
              </c:ext>
            </c:extLst>
          </c:dPt>
          <c:dPt>
            <c:idx val="1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8525-4273-9B06-3AC53D0017A9}"/>
              </c:ext>
            </c:extLst>
          </c:dPt>
          <c:dPt>
            <c:idx val="15"/>
            <c:invertIfNegative val="0"/>
            <c:bubble3D val="0"/>
            <c:spPr>
              <a:solidFill>
                <a:srgbClr val="009CB5"/>
              </a:solidFill>
            </c:spPr>
            <c:extLst>
              <c:ext xmlns:c16="http://schemas.microsoft.com/office/drawing/2014/chart" uri="{C3380CC4-5D6E-409C-BE32-E72D297353CC}">
                <c16:uniqueId val="{00000004-8525-4273-9B06-3AC53D0017A9}"/>
              </c:ext>
            </c:extLst>
          </c:dPt>
          <c:dPt>
            <c:idx val="1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8525-4273-9B06-3AC53D0017A9}"/>
              </c:ext>
            </c:extLst>
          </c:dPt>
          <c:dPt>
            <c:idx val="2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8525-4273-9B06-3AC53D0017A9}"/>
              </c:ext>
            </c:extLst>
          </c:dPt>
          <c:dPt>
            <c:idx val="23"/>
            <c:invertIfNegative val="0"/>
            <c:bubble3D val="0"/>
            <c:spPr>
              <a:solidFill>
                <a:srgbClr val="009CB5"/>
              </a:solidFill>
            </c:spPr>
            <c:extLst>
              <c:ext xmlns:c16="http://schemas.microsoft.com/office/drawing/2014/chart" uri="{C3380CC4-5D6E-409C-BE32-E72D297353CC}">
                <c16:uniqueId val="{00000008-8525-4273-9B06-3AC53D0017A9}"/>
              </c:ext>
            </c:extLst>
          </c:dPt>
          <c:dLbls>
            <c:dLbl>
              <c:idx val="15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525-4273-9B06-3AC53D0017A9}"/>
                </c:ext>
              </c:extLst>
            </c:dLbl>
            <c:dLbl>
              <c:idx val="23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525-4273-9B06-3AC53D0017A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cs-CZ"/>
              </a:p>
            </c:txPr>
            <c:dLblPos val="inEnd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'životní prostř'!$A$255:$A$281</c:f>
              <c:strCache>
                <c:ptCount val="27"/>
                <c:pt idx="0">
                  <c:v>Malta</c:v>
                </c:pt>
                <c:pt idx="1">
                  <c:v>Litva</c:v>
                </c:pt>
                <c:pt idx="2">
                  <c:v>Belgie</c:v>
                </c:pt>
                <c:pt idx="3">
                  <c:v>Dánsko</c:v>
                </c:pt>
                <c:pt idx="4">
                  <c:v>Nizozemsko</c:v>
                </c:pt>
                <c:pt idx="5">
                  <c:v>Španělsko</c:v>
                </c:pt>
                <c:pt idx="6">
                  <c:v>Kypr</c:v>
                </c:pt>
                <c:pt idx="7">
                  <c:v>Švédsko</c:v>
                </c:pt>
                <c:pt idx="8">
                  <c:v>Portugalsko</c:v>
                </c:pt>
                <c:pt idx="9">
                  <c:v>Itálie</c:v>
                </c:pt>
                <c:pt idx="10">
                  <c:v>Slovinsko</c:v>
                </c:pt>
                <c:pt idx="11">
                  <c:v>Francie</c:v>
                </c:pt>
                <c:pt idx="12">
                  <c:v>Estonsko</c:v>
                </c:pt>
                <c:pt idx="13">
                  <c:v>Rumunsko</c:v>
                </c:pt>
                <c:pt idx="14">
                  <c:v>Irsko</c:v>
                </c:pt>
                <c:pt idx="15">
                  <c:v>EU27</c:v>
                </c:pt>
                <c:pt idx="16">
                  <c:v>Německo</c:v>
                </c:pt>
                <c:pt idx="17">
                  <c:v>Polsko</c:v>
                </c:pt>
                <c:pt idx="18">
                  <c:v>Finsko</c:v>
                </c:pt>
                <c:pt idx="19">
                  <c:v>Lucembursko</c:v>
                </c:pt>
                <c:pt idx="20">
                  <c:v>Řecko</c:v>
                </c:pt>
                <c:pt idx="21">
                  <c:v>Lotyšsko</c:v>
                </c:pt>
                <c:pt idx="22">
                  <c:v>Slovensko</c:v>
                </c:pt>
                <c:pt idx="23">
                  <c:v>Česko</c:v>
                </c:pt>
                <c:pt idx="24">
                  <c:v>Maďarsko</c:v>
                </c:pt>
                <c:pt idx="25">
                  <c:v>Bulharsko</c:v>
                </c:pt>
                <c:pt idx="26">
                  <c:v>Rakousko</c:v>
                </c:pt>
              </c:strCache>
            </c:strRef>
          </c:cat>
          <c:val>
            <c:numRef>
              <c:f>'životní prostř'!$B$255:$B$281</c:f>
              <c:numCache>
                <c:formatCode>0%</c:formatCode>
                <c:ptCount val="27"/>
                <c:pt idx="0">
                  <c:v>0.28849599999999997</c:v>
                </c:pt>
                <c:pt idx="1">
                  <c:v>0.25802700000000001</c:v>
                </c:pt>
                <c:pt idx="2">
                  <c:v>0.25577299999999997</c:v>
                </c:pt>
                <c:pt idx="3">
                  <c:v>0.232015</c:v>
                </c:pt>
                <c:pt idx="4">
                  <c:v>0.22938500000000001</c:v>
                </c:pt>
                <c:pt idx="5">
                  <c:v>0.22889300000000001</c:v>
                </c:pt>
                <c:pt idx="6">
                  <c:v>0.22261</c:v>
                </c:pt>
                <c:pt idx="7">
                  <c:v>0.214561</c:v>
                </c:pt>
                <c:pt idx="8">
                  <c:v>0.20672599999999999</c:v>
                </c:pt>
                <c:pt idx="9">
                  <c:v>0.19844999999999999</c:v>
                </c:pt>
                <c:pt idx="10">
                  <c:v>0.195414</c:v>
                </c:pt>
                <c:pt idx="11">
                  <c:v>0.19109699999999999</c:v>
                </c:pt>
                <c:pt idx="12">
                  <c:v>0.189418</c:v>
                </c:pt>
                <c:pt idx="13">
                  <c:v>0.187418</c:v>
                </c:pt>
                <c:pt idx="14">
                  <c:v>0.17766599999999999</c:v>
                </c:pt>
                <c:pt idx="15">
                  <c:v>0.174372</c:v>
                </c:pt>
                <c:pt idx="16">
                  <c:v>0.156446</c:v>
                </c:pt>
                <c:pt idx="17">
                  <c:v>0.15387500000000001</c:v>
                </c:pt>
                <c:pt idx="18">
                  <c:v>0.1525</c:v>
                </c:pt>
                <c:pt idx="19">
                  <c:v>0.144537</c:v>
                </c:pt>
                <c:pt idx="20">
                  <c:v>0.13606199999999999</c:v>
                </c:pt>
                <c:pt idx="21">
                  <c:v>0.12833600000000001</c:v>
                </c:pt>
                <c:pt idx="22">
                  <c:v>9.8626000000000005E-2</c:v>
                </c:pt>
                <c:pt idx="23">
                  <c:v>8.6805999999999994E-2</c:v>
                </c:pt>
                <c:pt idx="24">
                  <c:v>8.09E-2</c:v>
                </c:pt>
                <c:pt idx="25">
                  <c:v>7.6263999999999998E-2</c:v>
                </c:pt>
                <c:pt idx="26">
                  <c:v>7.5750999999999999E-2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8525-4273-9B06-3AC53D0017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97604736"/>
        <c:axId val="97606272"/>
      </c:barChart>
      <c:catAx>
        <c:axId val="97604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txPr>
          <a:bodyPr rot="-5400000" vert="horz"/>
          <a:lstStyle/>
          <a:p>
            <a:pPr>
              <a:defRPr/>
            </a:pPr>
            <a:endParaRPr lang="cs-CZ"/>
          </a:p>
        </c:txPr>
        <c:crossAx val="97606272"/>
        <c:crosses val="autoZero"/>
        <c:auto val="1"/>
        <c:lblAlgn val="ctr"/>
        <c:lblOffset val="100"/>
        <c:noMultiLvlLbl val="0"/>
      </c:catAx>
      <c:valAx>
        <c:axId val="97606272"/>
        <c:scaling>
          <c:orientation val="minMax"/>
          <c:max val="0.30000000000000004"/>
        </c:scaling>
        <c:delete val="0"/>
        <c:axPos val="l"/>
        <c:majorGridlines>
          <c:spPr>
            <a:ln w="6350">
              <a:solidFill>
                <a:srgbClr val="BFBFBF"/>
              </a:solidFill>
              <a:prstDash val="solid"/>
            </a:ln>
          </c:spPr>
        </c:majorGridlines>
        <c:numFmt formatCode="0&quot; &quot;%" sourceLinked="0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txPr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cs-CZ"/>
          </a:p>
        </c:txPr>
        <c:crossAx val="97604736"/>
        <c:crosses val="autoZero"/>
        <c:crossBetween val="between"/>
      </c:valAx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cs-CZ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6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5" name="TextovéPole 1">
          <a:extLst xmlns:a="http://schemas.openxmlformats.org/drawingml/2006/main">
            <a:ext uri="{FF2B5EF4-FFF2-40B4-BE49-F238E27FC236}">
              <a16:creationId xmlns:a16="http://schemas.microsoft.com/office/drawing/2014/main" id="{B0B1D9E9-2C44-971B-BF63-18FB2744192E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7" name="TextovéPole 3">
          <a:extLst xmlns:a="http://schemas.openxmlformats.org/drawingml/2006/main">
            <a:ext uri="{FF2B5EF4-FFF2-40B4-BE49-F238E27FC236}">
              <a16:creationId xmlns:a16="http://schemas.microsoft.com/office/drawing/2014/main" id="{2963ECAE-7D92-150B-06EC-346439B9D748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8" name="TextovéPole 1">
          <a:extLst xmlns:a="http://schemas.openxmlformats.org/drawingml/2006/main">
            <a:ext uri="{FF2B5EF4-FFF2-40B4-BE49-F238E27FC236}">
              <a16:creationId xmlns:a16="http://schemas.microsoft.com/office/drawing/2014/main" id="{16A76235-E19A-2749-12C4-1C872F505FDF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9" name="TextovéPole 3">
          <a:extLst xmlns:a="http://schemas.openxmlformats.org/drawingml/2006/main">
            <a:ext uri="{FF2B5EF4-FFF2-40B4-BE49-F238E27FC236}">
              <a16:creationId xmlns:a16="http://schemas.microsoft.com/office/drawing/2014/main" id="{856C7A24-D0FC-C1EB-19F1-7E74ABD3333C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0" name="TextovéPole 1">
          <a:extLst xmlns:a="http://schemas.openxmlformats.org/drawingml/2006/main">
            <a:ext uri="{FF2B5EF4-FFF2-40B4-BE49-F238E27FC236}">
              <a16:creationId xmlns:a16="http://schemas.microsoft.com/office/drawing/2014/main" id="{FAF53A92-DE55-0649-9AE0-89FDA47600A1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1" name="TextovéPole 3">
          <a:extLst xmlns:a="http://schemas.openxmlformats.org/drawingml/2006/main">
            <a:ext uri="{FF2B5EF4-FFF2-40B4-BE49-F238E27FC236}">
              <a16:creationId xmlns:a16="http://schemas.microsoft.com/office/drawing/2014/main" id="{2DFC649C-EEA7-8E0B-E79B-465057D4E536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47238-F615-4529-B21C-6B24F0D8C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bar_veda IT.dot</Template>
  <TotalTime>135</TotalTime>
  <Pages>2</Pages>
  <Words>432</Words>
  <Characters>2551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Burešová</dc:creator>
  <cp:lastModifiedBy>Burešová Kamila</cp:lastModifiedBy>
  <cp:revision>52</cp:revision>
  <cp:lastPrinted>2015-10-09T11:22:00Z</cp:lastPrinted>
  <dcterms:created xsi:type="dcterms:W3CDTF">2025-11-20T16:53:00Z</dcterms:created>
  <dcterms:modified xsi:type="dcterms:W3CDTF">2026-01-09T12:19:00Z</dcterms:modified>
</cp:coreProperties>
</file>