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5965C" w14:textId="2A95FD24" w:rsidR="003F5311" w:rsidRDefault="003F5311" w:rsidP="0086284E">
      <w:pPr>
        <w:tabs>
          <w:tab w:val="left" w:pos="0"/>
          <w:tab w:val="left" w:pos="284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uppressAutoHyphens/>
        <w:spacing w:after="0"/>
        <w:ind w:left="0" w:firstLine="0"/>
        <w:rPr>
          <w:rFonts w:ascii="Arial" w:eastAsiaTheme="minorHAnsi" w:hAnsi="Arial" w:cs="Arial"/>
          <w:b/>
          <w:bCs/>
          <w:color w:val="0071BC"/>
          <w:lang w:eastAsia="en-US"/>
        </w:rPr>
      </w:pPr>
      <w:bookmarkStart w:id="0" w:name="_GoBack"/>
      <w:bookmarkEnd w:id="0"/>
      <w:r w:rsidRPr="0086284E">
        <w:rPr>
          <w:rFonts w:ascii="Arial" w:eastAsiaTheme="minorHAnsi" w:hAnsi="Arial" w:cs="Arial"/>
          <w:b/>
          <w:bCs/>
          <w:color w:val="0071BC"/>
          <w:lang w:eastAsia="en-US"/>
        </w:rPr>
        <w:t>17</w:t>
      </w:r>
      <w:r w:rsidR="0086284E">
        <w:rPr>
          <w:rFonts w:ascii="Arial" w:eastAsiaTheme="minorHAnsi" w:hAnsi="Arial" w:cs="Arial"/>
          <w:b/>
          <w:bCs/>
          <w:color w:val="0071BC"/>
          <w:lang w:eastAsia="en-US"/>
        </w:rPr>
        <w:t xml:space="preserve"> </w:t>
      </w:r>
      <w:r w:rsidRPr="0086284E">
        <w:rPr>
          <w:rFonts w:ascii="Arial" w:eastAsiaTheme="minorHAnsi" w:hAnsi="Arial" w:cs="Arial"/>
          <w:b/>
          <w:bCs/>
          <w:color w:val="0071BC"/>
          <w:lang w:eastAsia="en-US"/>
        </w:rPr>
        <w:t xml:space="preserve"> STAVEBNICTVÍ</w:t>
      </w:r>
    </w:p>
    <w:p w14:paraId="17240FD6" w14:textId="5D804973" w:rsidR="004932E9" w:rsidRDefault="004932E9" w:rsidP="004932E9">
      <w:pPr>
        <w:tabs>
          <w:tab w:val="left" w:pos="0"/>
          <w:tab w:val="left" w:pos="567"/>
        </w:tabs>
        <w:suppressAutoHyphens/>
        <w:spacing w:after="0"/>
        <w:ind w:left="0" w:firstLine="0"/>
        <w:rPr>
          <w:rFonts w:ascii="Arial" w:hAnsi="Arial" w:cs="Arial"/>
          <w:sz w:val="18"/>
          <w:szCs w:val="18"/>
        </w:rPr>
      </w:pPr>
    </w:p>
    <w:p w14:paraId="59AC2A6A" w14:textId="77777777" w:rsidR="004932E9" w:rsidRPr="004932E9" w:rsidRDefault="004932E9" w:rsidP="004932E9">
      <w:pPr>
        <w:spacing w:after="0"/>
        <w:ind w:left="0" w:firstLine="0"/>
        <w:rPr>
          <w:rFonts w:ascii="Arial" w:hAnsi="Arial" w:cs="Arial"/>
          <w:b/>
          <w:color w:val="0071BC"/>
          <w:sz w:val="20"/>
          <w:szCs w:val="20"/>
        </w:rPr>
      </w:pPr>
      <w:r w:rsidRPr="004932E9">
        <w:rPr>
          <w:rFonts w:ascii="Arial" w:hAnsi="Arial" w:cs="Arial"/>
          <w:b/>
          <w:color w:val="0071BC"/>
          <w:sz w:val="20"/>
          <w:szCs w:val="20"/>
        </w:rPr>
        <w:t>Metodické vysvětlivky</w:t>
      </w:r>
    </w:p>
    <w:p w14:paraId="1D8EB046" w14:textId="77777777" w:rsidR="004932E9" w:rsidRPr="001F7935" w:rsidRDefault="004932E9" w:rsidP="004932E9">
      <w:pPr>
        <w:tabs>
          <w:tab w:val="left" w:pos="0"/>
          <w:tab w:val="left" w:pos="567"/>
        </w:tabs>
        <w:suppressAutoHyphens/>
        <w:spacing w:after="0"/>
        <w:ind w:left="0" w:firstLine="0"/>
        <w:rPr>
          <w:rFonts w:ascii="Arial" w:hAnsi="Arial" w:cs="Arial"/>
          <w:sz w:val="18"/>
          <w:szCs w:val="18"/>
        </w:rPr>
      </w:pPr>
    </w:p>
    <w:p w14:paraId="50CA673A" w14:textId="77777777" w:rsidR="001F7935" w:rsidRPr="001F7935" w:rsidRDefault="001F7935" w:rsidP="001F7935">
      <w:pPr>
        <w:tabs>
          <w:tab w:val="left" w:pos="0"/>
          <w:tab w:val="left" w:pos="567"/>
        </w:tabs>
        <w:suppressAutoHyphens/>
        <w:spacing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sz w:val="18"/>
          <w:szCs w:val="18"/>
        </w:rPr>
        <w:t>Do odvětvové statistiky stavebnictví se zahrnují podniky s převažující stavební činností (odpovídá zařazení do oddílu 41, 42 a 43 Klasifikace ekonomických činností (CZ-NACE)).</w:t>
      </w:r>
    </w:p>
    <w:p w14:paraId="7FE6EA71" w14:textId="77777777" w:rsidR="001F7935" w:rsidRPr="001F7935" w:rsidRDefault="001F7935" w:rsidP="001F7935">
      <w:pPr>
        <w:tabs>
          <w:tab w:val="left" w:pos="0"/>
          <w:tab w:val="left" w:pos="567"/>
        </w:tabs>
        <w:suppressAutoHyphens/>
        <w:spacing w:before="120"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sz w:val="18"/>
          <w:szCs w:val="18"/>
        </w:rPr>
        <w:t xml:space="preserve">V návaznosti na zrušení čtvrtletního podnikového zjišťování byl upraven obsah tabulek v této kapitole. Finanční ukazatele v krátkodobých statistikách od roku 2020 nejsou k dispozici a byly proto z tabulek odstraněny, údaje o zaměstnanosti jsou uvedeny v kapitole </w:t>
      </w:r>
      <w:r w:rsidRPr="001F7935">
        <w:rPr>
          <w:rFonts w:ascii="Arial" w:hAnsi="Arial" w:cs="Arial"/>
          <w:b/>
          <w:sz w:val="18"/>
          <w:szCs w:val="18"/>
        </w:rPr>
        <w:t>10</w:t>
      </w:r>
      <w:r w:rsidRPr="001F7935">
        <w:rPr>
          <w:rFonts w:ascii="Arial" w:hAnsi="Arial" w:cs="Arial"/>
          <w:sz w:val="18"/>
          <w:szCs w:val="18"/>
        </w:rPr>
        <w:t xml:space="preserve"> Trh práce.</w:t>
      </w:r>
    </w:p>
    <w:p w14:paraId="58BCF11A" w14:textId="77777777" w:rsidR="001F7935" w:rsidRPr="001F7935" w:rsidRDefault="001F7935" w:rsidP="001F7935">
      <w:pPr>
        <w:tabs>
          <w:tab w:val="left" w:pos="0"/>
          <w:tab w:val="left" w:pos="567"/>
        </w:tabs>
        <w:suppressAutoHyphens/>
        <w:spacing w:after="0"/>
        <w:ind w:left="0" w:firstLine="0"/>
        <w:rPr>
          <w:rFonts w:ascii="Arial" w:hAnsi="Arial" w:cs="Arial"/>
          <w:sz w:val="18"/>
          <w:szCs w:val="18"/>
        </w:rPr>
      </w:pPr>
    </w:p>
    <w:p w14:paraId="637A5C9E" w14:textId="77777777" w:rsidR="001F7935" w:rsidRPr="001F7935" w:rsidRDefault="001F7935" w:rsidP="001F7935">
      <w:pPr>
        <w:tabs>
          <w:tab w:val="left" w:pos="0"/>
          <w:tab w:val="left" w:pos="567"/>
        </w:tabs>
        <w:suppressAutoHyphens/>
        <w:spacing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b/>
          <w:bCs/>
          <w:sz w:val="18"/>
          <w:szCs w:val="18"/>
        </w:rPr>
        <w:t>Základní ukazatele:</w:t>
      </w:r>
    </w:p>
    <w:p w14:paraId="684001FF" w14:textId="77777777" w:rsidR="001F7935" w:rsidRPr="001F7935" w:rsidRDefault="001F7935" w:rsidP="001F7935">
      <w:pPr>
        <w:tabs>
          <w:tab w:val="left" w:pos="0"/>
        </w:tabs>
        <w:spacing w:before="120"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b/>
          <w:bCs/>
          <w:sz w:val="18"/>
          <w:szCs w:val="18"/>
        </w:rPr>
        <w:t>Index stavební produkce</w:t>
      </w:r>
      <w:r w:rsidRPr="001F7935">
        <w:rPr>
          <w:rFonts w:ascii="Arial" w:hAnsi="Arial" w:cs="Arial"/>
          <w:sz w:val="18"/>
          <w:szCs w:val="18"/>
        </w:rPr>
        <w:t xml:space="preserve"> je základní ukazatel konjunkturální statistiky stavebnictví. Při jeho výpočtu se vychází z vývoje stavebních prací základní stavební výroby přeceněných do stálých cen. Index je primárně počítán jako měsíční bazický index. Od bazických indexů jsou dále odvozeny indexy meziroční a případné kumulace v čase (čtvrtletní, pololetní, roční). Je publikován za celou populaci podniků s převažující stavební činností.</w:t>
      </w:r>
    </w:p>
    <w:p w14:paraId="7A99835A" w14:textId="77777777" w:rsidR="001F7935" w:rsidRPr="001F7935" w:rsidRDefault="001F7935" w:rsidP="001F7935">
      <w:pPr>
        <w:tabs>
          <w:tab w:val="left" w:pos="0"/>
        </w:tabs>
        <w:spacing w:before="120"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b/>
          <w:bCs/>
          <w:sz w:val="18"/>
          <w:szCs w:val="18"/>
        </w:rPr>
        <w:t>Stavební práce</w:t>
      </w:r>
      <w:r w:rsidRPr="001F7935">
        <w:rPr>
          <w:rFonts w:ascii="Arial" w:hAnsi="Arial" w:cs="Arial"/>
          <w:sz w:val="18"/>
          <w:szCs w:val="18"/>
        </w:rPr>
        <w:t xml:space="preserve"> jsou zejména práce na výstavbě, přestavbě, rozšíření, obnově, opravách a údržbě stálých i dočasných budov a staveb. Zahrnují i montážní práce stavebních konstrukcí a hodnotu zabudovaného materiálu a konstrukcí.</w:t>
      </w:r>
    </w:p>
    <w:p w14:paraId="6E510D3A" w14:textId="77777777" w:rsidR="001F7935" w:rsidRPr="001F7935" w:rsidRDefault="001F7935" w:rsidP="001F7935">
      <w:pPr>
        <w:tabs>
          <w:tab w:val="left" w:pos="0"/>
        </w:tabs>
        <w:spacing w:before="120"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b/>
          <w:bCs/>
          <w:sz w:val="18"/>
          <w:szCs w:val="18"/>
        </w:rPr>
        <w:t>Základní stavební výroba</w:t>
      </w:r>
      <w:r w:rsidRPr="001F7935">
        <w:rPr>
          <w:rFonts w:ascii="Arial" w:hAnsi="Arial" w:cs="Arial"/>
          <w:i/>
          <w:iCs/>
          <w:sz w:val="18"/>
          <w:szCs w:val="18"/>
        </w:rPr>
        <w:t xml:space="preserve"> </w:t>
      </w:r>
      <w:r w:rsidRPr="001F7935">
        <w:rPr>
          <w:rFonts w:ascii="Arial" w:hAnsi="Arial" w:cs="Arial"/>
          <w:sz w:val="18"/>
          <w:szCs w:val="18"/>
        </w:rPr>
        <w:t>představuje objem stavebních prací, které jednotka provedla pracovníky zahrnutými do jejího evidenčního stavu, včetně produktivní práce učňů a objemu stavebních prací na vlastním hmotném investičním majetku.</w:t>
      </w:r>
    </w:p>
    <w:p w14:paraId="36755BE3" w14:textId="77777777" w:rsidR="001F7935" w:rsidRPr="001F7935" w:rsidRDefault="001F7935" w:rsidP="001F7935">
      <w:pPr>
        <w:tabs>
          <w:tab w:val="left" w:pos="0"/>
        </w:tabs>
        <w:spacing w:before="120" w:after="0"/>
        <w:ind w:left="0" w:firstLine="0"/>
        <w:rPr>
          <w:rFonts w:ascii="Arial" w:eastAsia="Arial Unicode MS" w:hAnsi="Arial" w:cs="Arial"/>
          <w:sz w:val="18"/>
          <w:szCs w:val="18"/>
        </w:rPr>
      </w:pPr>
      <w:r w:rsidRPr="001F7935">
        <w:rPr>
          <w:rFonts w:ascii="Arial" w:hAnsi="Arial" w:cs="Arial"/>
          <w:b/>
          <w:bCs/>
          <w:sz w:val="18"/>
          <w:szCs w:val="18"/>
        </w:rPr>
        <w:t>Stavební práce „S“ (podle dodavatelských smluv) celkem</w:t>
      </w:r>
      <w:r w:rsidRPr="001F7935">
        <w:rPr>
          <w:rFonts w:ascii="Arial" w:hAnsi="Arial" w:cs="Arial"/>
          <w:sz w:val="18"/>
          <w:szCs w:val="18"/>
        </w:rPr>
        <w:t xml:space="preserve"> vyjadřují celkovou hodnotu vlastních výkonů ze stavební činnosti vykazující jednotky (včetně zabudovaných materiálů) provedenou na základě smlouvy o dodávce pro konečného uživatele (stavebníka), včetně hodnoty eventuálních poddodávek stavebních prací přijatých od jiných dodavatelských organizací pro splnění dané smlouvy o dodávce pro konečného uživatele. Nepatří sem</w:t>
      </w:r>
      <w:r w:rsidRPr="001F7935">
        <w:rPr>
          <w:rFonts w:ascii="Arial" w:hAnsi="Arial" w:cs="Arial"/>
          <w:b/>
          <w:bCs/>
          <w:sz w:val="18"/>
          <w:szCs w:val="18"/>
        </w:rPr>
        <w:t xml:space="preserve"> </w:t>
      </w:r>
      <w:r w:rsidRPr="001F7935">
        <w:rPr>
          <w:rFonts w:ascii="Arial" w:hAnsi="Arial" w:cs="Arial"/>
          <w:sz w:val="18"/>
          <w:szCs w:val="18"/>
        </w:rPr>
        <w:t>poddodávky stavebních prací vykazující jednotky pro jiné dodavatele ani dodávky stavebních prací realizované mezi závodovými jednotkami vykazující jednotky.</w:t>
      </w:r>
    </w:p>
    <w:p w14:paraId="4F52EA02" w14:textId="77777777" w:rsidR="001F7935" w:rsidRPr="001F7935" w:rsidRDefault="001F7935" w:rsidP="001F7935">
      <w:pPr>
        <w:tabs>
          <w:tab w:val="left" w:pos="0"/>
        </w:tabs>
        <w:spacing w:before="120"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b/>
          <w:bCs/>
          <w:sz w:val="18"/>
          <w:szCs w:val="18"/>
        </w:rPr>
        <w:t>Směry výstavby</w:t>
      </w:r>
      <w:r w:rsidRPr="001F7935">
        <w:rPr>
          <w:rFonts w:ascii="Arial" w:hAnsi="Arial" w:cs="Arial"/>
          <w:sz w:val="18"/>
          <w:szCs w:val="18"/>
        </w:rPr>
        <w:t>:</w:t>
      </w:r>
    </w:p>
    <w:p w14:paraId="3AE820B3" w14:textId="77777777" w:rsidR="001F7935" w:rsidRPr="001F7935" w:rsidRDefault="001F7935" w:rsidP="001F7935">
      <w:pPr>
        <w:tabs>
          <w:tab w:val="left" w:pos="0"/>
          <w:tab w:val="left" w:pos="426"/>
        </w:tabs>
        <w:spacing w:before="120" w:after="0"/>
        <w:ind w:left="170" w:hanging="17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b/>
          <w:bCs/>
          <w:sz w:val="18"/>
          <w:szCs w:val="18"/>
        </w:rPr>
        <w:t>– bytové budovy</w:t>
      </w:r>
      <w:r w:rsidRPr="001F7935">
        <w:rPr>
          <w:rFonts w:ascii="Arial" w:hAnsi="Arial" w:cs="Arial"/>
          <w:sz w:val="18"/>
          <w:szCs w:val="18"/>
        </w:rPr>
        <w:t xml:space="preserve"> – do této kategorie patří bytové domy, tj. domy převážně určené k bydlení; odpovídá třídám Klasifikace stavebních děl (CZ-CC) sekce 1, kód 1110, 1121, 1122, 1130;</w:t>
      </w:r>
    </w:p>
    <w:p w14:paraId="763B41ED" w14:textId="77777777" w:rsidR="001F7935" w:rsidRPr="001F7935" w:rsidRDefault="001F7935" w:rsidP="001F7935">
      <w:pPr>
        <w:tabs>
          <w:tab w:val="left" w:pos="0"/>
          <w:tab w:val="left" w:pos="426"/>
        </w:tabs>
        <w:spacing w:before="120" w:after="0"/>
        <w:ind w:left="170" w:hanging="17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b/>
          <w:bCs/>
          <w:sz w:val="18"/>
          <w:szCs w:val="18"/>
        </w:rPr>
        <w:t>– nebytové budovy nevýrobní</w:t>
      </w:r>
      <w:r w:rsidRPr="001F7935">
        <w:rPr>
          <w:rFonts w:ascii="Arial" w:hAnsi="Arial" w:cs="Arial"/>
          <w:sz w:val="18"/>
          <w:szCs w:val="18"/>
        </w:rPr>
        <w:t xml:space="preserve"> – všechny nebytové nevýrobní budovy, tj. budovy léčebné, školské, administrativní včetně administrativních budov pro výrobní, zemědělské, obchodní a jiné podniky, budovy pro společenské a kulturní účely, hotely atp.; odpovídá třídám CZ-CC sekce 1, kód 1211, 1212, 1220, 1261–1265,1272–1274;</w:t>
      </w:r>
    </w:p>
    <w:p w14:paraId="5A5D0533" w14:textId="77777777" w:rsidR="001F7935" w:rsidRPr="001F7935" w:rsidRDefault="001F7935" w:rsidP="001F7935">
      <w:pPr>
        <w:tabs>
          <w:tab w:val="left" w:pos="0"/>
          <w:tab w:val="left" w:pos="426"/>
        </w:tabs>
        <w:spacing w:before="120" w:after="0"/>
        <w:ind w:left="170" w:hanging="17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b/>
          <w:bCs/>
          <w:sz w:val="18"/>
          <w:szCs w:val="18"/>
        </w:rPr>
        <w:t>– nebytové budovy výrobní</w:t>
      </w:r>
      <w:r w:rsidRPr="001F7935">
        <w:rPr>
          <w:rFonts w:ascii="Arial" w:hAnsi="Arial" w:cs="Arial"/>
          <w:sz w:val="18"/>
          <w:szCs w:val="18"/>
        </w:rPr>
        <w:t xml:space="preserve"> – všechny nebytové výrobní budovy pro zemědělství, průmysl, obchod, dopravu a telekomunikace ap.; odpovídá třídám CZ-CC sekce 1, kód 1230, 1241, 1242, 1251, 1252, 1271;</w:t>
      </w:r>
    </w:p>
    <w:p w14:paraId="3D9D6924" w14:textId="77777777" w:rsidR="001F7935" w:rsidRPr="001F7935" w:rsidRDefault="001F7935" w:rsidP="001F7935">
      <w:pPr>
        <w:tabs>
          <w:tab w:val="left" w:pos="0"/>
          <w:tab w:val="left" w:pos="426"/>
        </w:tabs>
        <w:spacing w:before="120" w:after="0"/>
        <w:ind w:left="170" w:hanging="17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b/>
          <w:bCs/>
          <w:sz w:val="18"/>
          <w:szCs w:val="18"/>
        </w:rPr>
        <w:t xml:space="preserve">– inženýrské stavby </w:t>
      </w:r>
      <w:r w:rsidRPr="001F7935">
        <w:rPr>
          <w:rFonts w:ascii="Arial" w:hAnsi="Arial" w:cs="Arial"/>
          <w:sz w:val="18"/>
          <w:szCs w:val="18"/>
        </w:rPr>
        <w:t>–</w:t>
      </w:r>
      <w:r w:rsidRPr="001F7935">
        <w:rPr>
          <w:rFonts w:ascii="Arial" w:hAnsi="Arial" w:cs="Arial"/>
          <w:b/>
          <w:bCs/>
          <w:sz w:val="18"/>
          <w:szCs w:val="18"/>
        </w:rPr>
        <w:t xml:space="preserve"> </w:t>
      </w:r>
      <w:r w:rsidRPr="001F7935">
        <w:rPr>
          <w:rFonts w:ascii="Arial" w:hAnsi="Arial" w:cs="Arial"/>
          <w:sz w:val="18"/>
          <w:szCs w:val="18"/>
        </w:rPr>
        <w:t>např. mosty, komunikace, dráhy, podzemní stavby, vedení trubní a elektrická;</w:t>
      </w:r>
      <w:r w:rsidRPr="001F7935">
        <w:rPr>
          <w:rFonts w:ascii="Arial" w:hAnsi="Arial" w:cs="Arial"/>
          <w:b/>
          <w:bCs/>
          <w:sz w:val="18"/>
          <w:szCs w:val="18"/>
        </w:rPr>
        <w:t xml:space="preserve"> </w:t>
      </w:r>
      <w:r w:rsidRPr="001F7935">
        <w:rPr>
          <w:rFonts w:ascii="Arial" w:hAnsi="Arial" w:cs="Arial"/>
          <w:sz w:val="18"/>
          <w:szCs w:val="18"/>
        </w:rPr>
        <w:t>odpovídá třídám CZ-CC sekce 2, kód 2111–2142, 2211–2420;</w:t>
      </w:r>
    </w:p>
    <w:p w14:paraId="5AD76E55" w14:textId="77777777" w:rsidR="001F7935" w:rsidRPr="001F7935" w:rsidRDefault="001F7935" w:rsidP="001F7935">
      <w:pPr>
        <w:tabs>
          <w:tab w:val="left" w:pos="0"/>
          <w:tab w:val="left" w:pos="426"/>
        </w:tabs>
        <w:spacing w:before="120" w:after="0"/>
        <w:ind w:left="170" w:hanging="17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b/>
          <w:bCs/>
          <w:sz w:val="18"/>
          <w:szCs w:val="18"/>
        </w:rPr>
        <w:t>– vodohospodářské stavby</w:t>
      </w:r>
      <w:r w:rsidRPr="001F7935">
        <w:rPr>
          <w:rFonts w:ascii="Arial" w:hAnsi="Arial" w:cs="Arial"/>
          <w:sz w:val="18"/>
          <w:szCs w:val="18"/>
        </w:rPr>
        <w:t xml:space="preserve"> – patří sem </w:t>
      </w:r>
      <w:proofErr w:type="spellStart"/>
      <w:r w:rsidRPr="001F7935">
        <w:rPr>
          <w:rFonts w:ascii="Arial" w:hAnsi="Arial" w:cs="Arial"/>
          <w:sz w:val="18"/>
          <w:szCs w:val="18"/>
        </w:rPr>
        <w:t>hydromeliorace</w:t>
      </w:r>
      <w:proofErr w:type="spellEnd"/>
      <w:r w:rsidRPr="001F7935">
        <w:rPr>
          <w:rFonts w:ascii="Arial" w:hAnsi="Arial" w:cs="Arial"/>
          <w:sz w:val="18"/>
          <w:szCs w:val="18"/>
        </w:rPr>
        <w:t>, hráze a nádrže na tocích, úpravy toků a kanály; odpovídá třídám CZ-CC sekce 2, kódům 2151, 2152, 2153.</w:t>
      </w:r>
    </w:p>
    <w:p w14:paraId="15B08E12" w14:textId="77777777" w:rsidR="001F7935" w:rsidRPr="001F7935" w:rsidRDefault="001F7935" w:rsidP="001F7935">
      <w:pPr>
        <w:tabs>
          <w:tab w:val="left" w:pos="0"/>
        </w:tabs>
        <w:spacing w:before="120" w:after="0"/>
        <w:ind w:left="0" w:firstLine="0"/>
        <w:rPr>
          <w:rFonts w:ascii="Arial" w:eastAsia="Arial Unicode MS" w:hAnsi="Arial" w:cs="Arial"/>
          <w:sz w:val="18"/>
          <w:szCs w:val="18"/>
        </w:rPr>
      </w:pPr>
      <w:r w:rsidRPr="001F7935">
        <w:rPr>
          <w:rFonts w:ascii="Arial" w:hAnsi="Arial" w:cs="Arial"/>
          <w:b/>
          <w:bCs/>
          <w:sz w:val="18"/>
          <w:szCs w:val="18"/>
        </w:rPr>
        <w:t>Stavebními zakázkami</w:t>
      </w:r>
      <w:r w:rsidRPr="001F7935">
        <w:rPr>
          <w:rFonts w:ascii="Arial" w:hAnsi="Arial" w:cs="Arial"/>
          <w:sz w:val="18"/>
          <w:szCs w:val="18"/>
        </w:rPr>
        <w:t xml:space="preserve"> se rozumí objem stavebních prací k provedení podle dodavatelských smluv. Jde o práce, které má zpravodajská jednotka potvrzeny smlouvami se zadavateli (včetně dodatečných, doplňkových objednávek ap.), bez ohledu na začátek prací a dobu jejich realizace. Vykazují se v cenách platných při převzetí zakázky, bez daně z přidané hodnoty.</w:t>
      </w:r>
    </w:p>
    <w:p w14:paraId="3146FE30" w14:textId="77777777" w:rsidR="001F7935" w:rsidRPr="001F7935" w:rsidRDefault="001F7935" w:rsidP="001F7935">
      <w:pPr>
        <w:tabs>
          <w:tab w:val="left" w:pos="0"/>
        </w:tabs>
        <w:spacing w:before="120" w:after="0"/>
        <w:ind w:left="0" w:firstLine="0"/>
        <w:rPr>
          <w:rFonts w:ascii="Arial" w:eastAsia="Arial Unicode MS" w:hAnsi="Arial" w:cs="Arial"/>
          <w:sz w:val="18"/>
          <w:szCs w:val="18"/>
        </w:rPr>
      </w:pPr>
      <w:r w:rsidRPr="001F7935">
        <w:rPr>
          <w:rFonts w:ascii="Arial" w:hAnsi="Arial" w:cs="Arial"/>
          <w:b/>
          <w:bCs/>
          <w:sz w:val="18"/>
          <w:szCs w:val="18"/>
        </w:rPr>
        <w:t>Stav zakázek ke konci sledovaného období</w:t>
      </w:r>
      <w:r w:rsidRPr="001F7935">
        <w:rPr>
          <w:rFonts w:ascii="Arial" w:hAnsi="Arial" w:cs="Arial"/>
          <w:sz w:val="18"/>
          <w:szCs w:val="18"/>
        </w:rPr>
        <w:t xml:space="preserve"> zachycuje jednak hodnotu přijatých (se zadavatelem vzájemně potvrzených), ale dosud nezahájených zakázek, a jednak hodnotu prací, které zbývají k provedení, u zakázek již rozpracovaných. Znamená to, že stavební práce na zakázkách dosud nezahájených se vykazují v celé hodnotě, zatímco práce na akcích rozestavěných se zahrnují jen v jejich zůstatkové hodnotě (tj. v hodnotě prací, které zbývají k provedení). Nezahrnují se sem akce, které již byly dokončeny, i když dosud nebyly předány a vyfakturovány.</w:t>
      </w:r>
    </w:p>
    <w:p w14:paraId="0B925361" w14:textId="77777777" w:rsidR="001F7935" w:rsidRPr="001F7935" w:rsidRDefault="001F7935" w:rsidP="001F7935">
      <w:pPr>
        <w:tabs>
          <w:tab w:val="left" w:pos="0"/>
        </w:tabs>
        <w:spacing w:before="120" w:after="0"/>
        <w:ind w:left="0" w:firstLine="0"/>
        <w:rPr>
          <w:rFonts w:ascii="Arial" w:eastAsia="Arial Unicode MS" w:hAnsi="Arial" w:cs="Arial"/>
          <w:sz w:val="18"/>
          <w:szCs w:val="18"/>
        </w:rPr>
      </w:pPr>
      <w:r w:rsidRPr="001F7935">
        <w:rPr>
          <w:rFonts w:ascii="Arial" w:hAnsi="Arial" w:cs="Arial"/>
          <w:sz w:val="18"/>
          <w:szCs w:val="18"/>
        </w:rPr>
        <w:t xml:space="preserve">Za </w:t>
      </w:r>
      <w:r w:rsidRPr="001F7935">
        <w:rPr>
          <w:rFonts w:ascii="Arial" w:hAnsi="Arial" w:cs="Arial"/>
          <w:b/>
          <w:bCs/>
          <w:sz w:val="18"/>
          <w:szCs w:val="18"/>
        </w:rPr>
        <w:t>nové zakázky</w:t>
      </w:r>
      <w:r w:rsidRPr="001F7935">
        <w:rPr>
          <w:rFonts w:ascii="Arial" w:hAnsi="Arial" w:cs="Arial"/>
          <w:sz w:val="18"/>
          <w:szCs w:val="18"/>
        </w:rPr>
        <w:t xml:space="preserve"> se považují během sledovaného čtvrtletí nově přijaté a potvrzené zakázky, jakož i dodatečné a doplňkové objednávky (rovněž potvrzené) k dřívějším zakázkám. Patří sem též zakázky „krátkodobé“, tj. které byly ve sledovaném čtvrtletí přijaty a plně realizovány.</w:t>
      </w:r>
    </w:p>
    <w:p w14:paraId="07955ED9" w14:textId="77777777" w:rsidR="001F7935" w:rsidRPr="001F7935" w:rsidRDefault="001F7935" w:rsidP="001F7935">
      <w:pPr>
        <w:tabs>
          <w:tab w:val="left" w:pos="0"/>
        </w:tabs>
        <w:spacing w:before="120"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b/>
          <w:bCs/>
          <w:sz w:val="18"/>
          <w:szCs w:val="18"/>
        </w:rPr>
        <w:t xml:space="preserve">Budovou </w:t>
      </w:r>
      <w:r w:rsidRPr="001F7935">
        <w:rPr>
          <w:rFonts w:ascii="Arial" w:hAnsi="Arial" w:cs="Arial"/>
          <w:sz w:val="18"/>
          <w:szCs w:val="18"/>
        </w:rPr>
        <w:t>se rozumí nadzemní stavba prostorově soustředěná a navenek převážně uzavřená obvodovými stěnami a střešní konstrukcí.</w:t>
      </w:r>
    </w:p>
    <w:p w14:paraId="08645D90" w14:textId="77777777" w:rsidR="001F7935" w:rsidRPr="001F7935" w:rsidRDefault="001F7935" w:rsidP="001F7935">
      <w:pPr>
        <w:tabs>
          <w:tab w:val="left" w:pos="0"/>
        </w:tabs>
        <w:spacing w:before="120"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b/>
          <w:bCs/>
          <w:sz w:val="18"/>
          <w:szCs w:val="18"/>
        </w:rPr>
        <w:t>Bytem</w:t>
      </w:r>
      <w:r w:rsidRPr="001F7935">
        <w:rPr>
          <w:rFonts w:ascii="Arial" w:hAnsi="Arial" w:cs="Arial"/>
          <w:sz w:val="18"/>
          <w:szCs w:val="18"/>
        </w:rPr>
        <w:t xml:space="preserve"> se rozumí místnost nebo soubor místností, které jsou podle rozhodnutí stavebního úřadu určeny k bydlení a mohou tomuto účelu sloužit jako samostatné bytové jednotky.</w:t>
      </w:r>
    </w:p>
    <w:p w14:paraId="0D660FAB" w14:textId="77777777" w:rsidR="001F7935" w:rsidRPr="001F7935" w:rsidRDefault="001F7935" w:rsidP="001F7935">
      <w:pPr>
        <w:tabs>
          <w:tab w:val="left" w:pos="0"/>
        </w:tabs>
        <w:spacing w:before="120"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b/>
          <w:bCs/>
          <w:sz w:val="18"/>
          <w:szCs w:val="18"/>
        </w:rPr>
        <w:t>Byty zahájené</w:t>
      </w:r>
      <w:r w:rsidRPr="001F7935">
        <w:rPr>
          <w:rFonts w:ascii="Arial" w:hAnsi="Arial" w:cs="Arial"/>
          <w:sz w:val="18"/>
          <w:szCs w:val="18"/>
        </w:rPr>
        <w:t xml:space="preserve"> jsou byty v těch domech, jejichž výstavba byla ve sledovaném období povolena, a to bez ohledu na to, zda tyto byty byly ve sledovaném období dokončeny či nikoliv. Za dům je pro účely této definice považován rodinný dům, bytový dům, nástavba, vestavba nebo přístavba k oběma uvedeným domům, domov-penzion a domov pro seniory, nebytová budova a jakýkoliv nebytový prostor, jehož adaptací vznikne nový byt.</w:t>
      </w:r>
    </w:p>
    <w:p w14:paraId="1F73C8FF" w14:textId="77777777" w:rsidR="001F7935" w:rsidRPr="001F7935" w:rsidRDefault="001F7935" w:rsidP="001F7935">
      <w:pPr>
        <w:tabs>
          <w:tab w:val="left" w:pos="0"/>
        </w:tabs>
        <w:spacing w:before="120"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b/>
          <w:bCs/>
          <w:sz w:val="18"/>
          <w:szCs w:val="18"/>
        </w:rPr>
        <w:t>Byty dokončené</w:t>
      </w:r>
      <w:r w:rsidRPr="001F7935">
        <w:rPr>
          <w:rFonts w:ascii="Arial" w:hAnsi="Arial" w:cs="Arial"/>
          <w:sz w:val="18"/>
          <w:szCs w:val="18"/>
        </w:rPr>
        <w:t xml:space="preserve"> jsou byty v nových budovách, kterým bylo přiděleno číslo popisné/evidenční nebo nově dokončené byty ve stávajících budovách.</w:t>
      </w:r>
    </w:p>
    <w:p w14:paraId="37F2A91E" w14:textId="77777777" w:rsidR="001F7935" w:rsidRPr="001F7935" w:rsidRDefault="001F7935" w:rsidP="001F7935">
      <w:pPr>
        <w:tabs>
          <w:tab w:val="left" w:pos="0"/>
          <w:tab w:val="left" w:pos="567"/>
        </w:tabs>
        <w:suppressAutoHyphens/>
        <w:spacing w:before="120"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b/>
          <w:bCs/>
          <w:sz w:val="18"/>
          <w:szCs w:val="18"/>
        </w:rPr>
        <w:lastRenderedPageBreak/>
        <w:t>Rodinný dům</w:t>
      </w:r>
      <w:r w:rsidRPr="001F7935">
        <w:rPr>
          <w:rFonts w:ascii="Arial" w:hAnsi="Arial" w:cs="Arial"/>
          <w:sz w:val="18"/>
          <w:szCs w:val="18"/>
        </w:rPr>
        <w:t xml:space="preserve"> je stavba, v níž je více než polovina podlahové plochy všech místností určena k bydlení. Rodinný dům může mít nejvýše tři samostatné byty a nejvýše dvě nadzemní podlaží a podkroví. Při tom se nepřihlíží ke společným vedlejším místnostem a prostorám.</w:t>
      </w:r>
    </w:p>
    <w:p w14:paraId="734EAC80" w14:textId="77777777" w:rsidR="001F7935" w:rsidRPr="001F7935" w:rsidRDefault="001F7935" w:rsidP="001F7935">
      <w:pPr>
        <w:tabs>
          <w:tab w:val="left" w:pos="0"/>
          <w:tab w:val="left" w:pos="567"/>
        </w:tabs>
        <w:suppressAutoHyphens/>
        <w:spacing w:before="120"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b/>
          <w:bCs/>
          <w:sz w:val="18"/>
          <w:szCs w:val="18"/>
        </w:rPr>
        <w:t>Bytový dům</w:t>
      </w:r>
      <w:r w:rsidRPr="001F7935">
        <w:rPr>
          <w:rFonts w:ascii="Arial" w:hAnsi="Arial" w:cs="Arial"/>
          <w:sz w:val="18"/>
          <w:szCs w:val="18"/>
        </w:rPr>
        <w:t xml:space="preserve"> je stavba, v níž je více než polovina podlahové plochy všech místností určena k bydlení a počet samostatných bytů činí čtyři a více.</w:t>
      </w:r>
    </w:p>
    <w:p w14:paraId="2C3CAB14" w14:textId="77777777" w:rsidR="001F7935" w:rsidRPr="001F7935" w:rsidRDefault="001F7935" w:rsidP="001F7935">
      <w:pPr>
        <w:tabs>
          <w:tab w:val="left" w:pos="0"/>
          <w:tab w:val="left" w:pos="567"/>
        </w:tabs>
        <w:suppressAutoHyphens/>
        <w:spacing w:before="120"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b/>
          <w:bCs/>
          <w:sz w:val="18"/>
          <w:szCs w:val="18"/>
        </w:rPr>
        <w:t xml:space="preserve">Úpravy stávajících domů </w:t>
      </w:r>
      <w:r w:rsidRPr="001F7935">
        <w:rPr>
          <w:rFonts w:ascii="Arial" w:hAnsi="Arial" w:cs="Arial"/>
          <w:bCs/>
          <w:sz w:val="18"/>
          <w:szCs w:val="18"/>
        </w:rPr>
        <w:t>zahrnují nástavby, vestavby nebo přístavby a dále adaptace nebytových prostor</w:t>
      </w:r>
      <w:r w:rsidRPr="001F7935">
        <w:rPr>
          <w:rFonts w:ascii="Arial" w:hAnsi="Arial" w:cs="Arial"/>
          <w:b/>
          <w:bCs/>
          <w:sz w:val="18"/>
          <w:szCs w:val="18"/>
        </w:rPr>
        <w:t xml:space="preserve">. </w:t>
      </w:r>
      <w:r w:rsidRPr="001F7935">
        <w:rPr>
          <w:rFonts w:ascii="Arial" w:hAnsi="Arial" w:cs="Arial"/>
          <w:bCs/>
          <w:sz w:val="18"/>
          <w:szCs w:val="18"/>
        </w:rPr>
        <w:t>Nástavba, vestavba nebo přístavba bytu</w:t>
      </w:r>
      <w:r w:rsidRPr="001F7935">
        <w:rPr>
          <w:rFonts w:ascii="Arial" w:hAnsi="Arial" w:cs="Arial"/>
          <w:sz w:val="18"/>
          <w:szCs w:val="18"/>
        </w:rPr>
        <w:t xml:space="preserve"> je taková stavební úprava stávajícího bytového či rodinného domu, která vede k získání nových bytů. </w:t>
      </w:r>
      <w:r w:rsidRPr="001F7935">
        <w:rPr>
          <w:rFonts w:ascii="Arial" w:hAnsi="Arial" w:cs="Arial"/>
          <w:bCs/>
          <w:sz w:val="18"/>
          <w:szCs w:val="18"/>
        </w:rPr>
        <w:t>Adaptace nebytových prostor na byty</w:t>
      </w:r>
      <w:r w:rsidRPr="001F7935">
        <w:rPr>
          <w:rFonts w:ascii="Arial" w:hAnsi="Arial" w:cs="Arial"/>
          <w:sz w:val="18"/>
          <w:szCs w:val="18"/>
        </w:rPr>
        <w:t xml:space="preserve"> jsou takové stavební úpravy nebytových prostor, jak na stavbách pro bydlení, tak v nebytových budovách, které znamenají přírůstek bytů, ne však novou výstavbu.</w:t>
      </w:r>
    </w:p>
    <w:p w14:paraId="2E7BEC6B" w14:textId="77777777" w:rsidR="001F7935" w:rsidRPr="001F7935" w:rsidRDefault="001F7935" w:rsidP="001F7935">
      <w:pPr>
        <w:tabs>
          <w:tab w:val="left" w:pos="0"/>
          <w:tab w:val="left" w:pos="567"/>
        </w:tabs>
        <w:suppressAutoHyphens/>
        <w:spacing w:before="120"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sz w:val="18"/>
          <w:szCs w:val="18"/>
        </w:rPr>
        <w:t>Byty v </w:t>
      </w:r>
      <w:r w:rsidRPr="001F7935">
        <w:rPr>
          <w:rFonts w:ascii="Arial" w:hAnsi="Arial" w:cs="Arial"/>
          <w:b/>
          <w:bCs/>
          <w:sz w:val="18"/>
          <w:szCs w:val="18"/>
        </w:rPr>
        <w:t>nebytových budovách</w:t>
      </w:r>
      <w:r w:rsidRPr="001F7935">
        <w:rPr>
          <w:rFonts w:ascii="Arial" w:hAnsi="Arial" w:cs="Arial"/>
          <w:sz w:val="18"/>
          <w:szCs w:val="18"/>
        </w:rPr>
        <w:t xml:space="preserve"> jsou ty byty, které jsou umístěny v jiných než bytových budovách.</w:t>
      </w:r>
    </w:p>
    <w:p w14:paraId="632989A7" w14:textId="77777777" w:rsidR="001F7935" w:rsidRPr="001F7935" w:rsidRDefault="001F7935" w:rsidP="001F7935">
      <w:pPr>
        <w:tabs>
          <w:tab w:val="left" w:pos="0"/>
          <w:tab w:val="left" w:pos="540"/>
        </w:tabs>
        <w:suppressAutoHyphens/>
        <w:spacing w:before="120"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b/>
          <w:bCs/>
          <w:sz w:val="18"/>
          <w:szCs w:val="18"/>
        </w:rPr>
        <w:t>Obestavěný prostor domu</w:t>
      </w:r>
      <w:r w:rsidRPr="001F7935">
        <w:rPr>
          <w:rFonts w:ascii="Arial" w:hAnsi="Arial" w:cs="Arial"/>
          <w:sz w:val="18"/>
          <w:szCs w:val="18"/>
        </w:rPr>
        <w:t xml:space="preserve"> je dán součtem obestavěných prostor základů (kubaturou základových konstrukcí), spodní a vrchní části objektu a zastřešením (ohraničeno vnějšími plochami obvodových konstrukcí, dole rovinou spodní úrovně podlahové konstrukce a nahoře vnějšími plochami střechy).</w:t>
      </w:r>
    </w:p>
    <w:p w14:paraId="4B92C221" w14:textId="77777777" w:rsidR="001F7935" w:rsidRPr="001F7935" w:rsidRDefault="001F7935" w:rsidP="001F7935">
      <w:pPr>
        <w:tabs>
          <w:tab w:val="left" w:pos="0"/>
          <w:tab w:val="left" w:pos="540"/>
        </w:tabs>
        <w:suppressAutoHyphens/>
        <w:spacing w:before="120"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b/>
          <w:bCs/>
          <w:sz w:val="18"/>
          <w:szCs w:val="18"/>
        </w:rPr>
        <w:t>Obytnou plochou</w:t>
      </w:r>
      <w:r w:rsidRPr="001F7935">
        <w:rPr>
          <w:rFonts w:ascii="Arial" w:hAnsi="Arial" w:cs="Arial"/>
          <w:sz w:val="18"/>
          <w:szCs w:val="18"/>
        </w:rPr>
        <w:t xml:space="preserve"> </w:t>
      </w:r>
      <w:r w:rsidRPr="001F7935">
        <w:rPr>
          <w:rFonts w:ascii="Arial" w:hAnsi="Arial" w:cs="Arial"/>
          <w:b/>
          <w:bCs/>
          <w:sz w:val="18"/>
          <w:szCs w:val="18"/>
        </w:rPr>
        <w:t>bytu</w:t>
      </w:r>
      <w:r w:rsidRPr="001F7935">
        <w:rPr>
          <w:rFonts w:ascii="Arial" w:hAnsi="Arial" w:cs="Arial"/>
          <w:sz w:val="18"/>
          <w:szCs w:val="18"/>
        </w:rPr>
        <w:t xml:space="preserve"> se rozumí podlahová plocha obytných místností. Za </w:t>
      </w:r>
      <w:r w:rsidRPr="001F7935">
        <w:rPr>
          <w:rFonts w:ascii="Arial" w:hAnsi="Arial" w:cs="Arial"/>
          <w:b/>
          <w:bCs/>
          <w:sz w:val="18"/>
          <w:szCs w:val="18"/>
        </w:rPr>
        <w:t>obytnou místnost</w:t>
      </w:r>
      <w:r w:rsidRPr="001F7935">
        <w:rPr>
          <w:rFonts w:ascii="Arial" w:hAnsi="Arial" w:cs="Arial"/>
          <w:sz w:val="18"/>
          <w:szCs w:val="18"/>
        </w:rPr>
        <w:t xml:space="preserve"> se považuje přímo osvětlená a přímo větratelná místnost o podlahové ploše alespoň 8 m</w:t>
      </w:r>
      <w:r w:rsidRPr="001F7935">
        <w:rPr>
          <w:rFonts w:ascii="Arial" w:hAnsi="Arial" w:cs="Arial"/>
          <w:sz w:val="18"/>
          <w:szCs w:val="18"/>
          <w:vertAlign w:val="superscript"/>
        </w:rPr>
        <w:t>2</w:t>
      </w:r>
      <w:r w:rsidRPr="001F7935">
        <w:rPr>
          <w:rFonts w:ascii="Arial" w:hAnsi="Arial" w:cs="Arial"/>
          <w:sz w:val="18"/>
          <w:szCs w:val="18"/>
        </w:rPr>
        <w:t xml:space="preserve">, kterou lze přímo nebo dostatečně nepřímo vytápět a jež je vzhledem k uspořádání a vybavení určena k celoročnímu bydlení. Do obytné plochy se nezapočítává podlahová plocha </w:t>
      </w:r>
      <w:r w:rsidRPr="001F7935">
        <w:rPr>
          <w:rFonts w:ascii="Arial" w:hAnsi="Arial" w:cs="Arial"/>
          <w:b/>
          <w:bCs/>
          <w:sz w:val="18"/>
          <w:szCs w:val="18"/>
        </w:rPr>
        <w:t>vedlejších místností</w:t>
      </w:r>
      <w:r w:rsidRPr="001F7935">
        <w:rPr>
          <w:rFonts w:ascii="Arial" w:hAnsi="Arial" w:cs="Arial"/>
          <w:sz w:val="18"/>
          <w:szCs w:val="18"/>
        </w:rPr>
        <w:t xml:space="preserve"> (předsíň, nebytová hala, komora a další neobydlené místnosti určené k užívání společně s bytem; k vedlejším místnostem se nepočítají sklep, prádelna, neobyvatelné podkroví, eventuálně garáž) ani </w:t>
      </w:r>
      <w:r w:rsidRPr="001F7935">
        <w:rPr>
          <w:rFonts w:ascii="Arial" w:hAnsi="Arial" w:cs="Arial"/>
          <w:b/>
          <w:bCs/>
          <w:sz w:val="18"/>
          <w:szCs w:val="18"/>
        </w:rPr>
        <w:t>příslušenství</w:t>
      </w:r>
      <w:r w:rsidRPr="001F7935">
        <w:rPr>
          <w:rFonts w:ascii="Arial" w:hAnsi="Arial" w:cs="Arial"/>
          <w:sz w:val="18"/>
          <w:szCs w:val="18"/>
        </w:rPr>
        <w:t xml:space="preserve"> (záchod, koupelna, koupelnový nebo sprchový kout a spíž).</w:t>
      </w:r>
    </w:p>
    <w:p w14:paraId="582E4C7F" w14:textId="77777777" w:rsidR="001F7935" w:rsidRPr="001F7935" w:rsidRDefault="001F7935" w:rsidP="001F7935">
      <w:pPr>
        <w:tabs>
          <w:tab w:val="left" w:pos="0"/>
          <w:tab w:val="left" w:pos="540"/>
        </w:tabs>
        <w:suppressAutoHyphens/>
        <w:spacing w:before="120"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b/>
          <w:bCs/>
          <w:sz w:val="18"/>
          <w:szCs w:val="18"/>
        </w:rPr>
        <w:t>Užitkovou plochou</w:t>
      </w:r>
      <w:r w:rsidRPr="001F7935">
        <w:rPr>
          <w:rFonts w:ascii="Arial" w:hAnsi="Arial" w:cs="Arial"/>
          <w:sz w:val="18"/>
          <w:szCs w:val="18"/>
        </w:rPr>
        <w:t xml:space="preserve"> </w:t>
      </w:r>
      <w:r w:rsidRPr="001F7935">
        <w:rPr>
          <w:rFonts w:ascii="Arial" w:hAnsi="Arial" w:cs="Arial"/>
          <w:b/>
          <w:bCs/>
          <w:sz w:val="18"/>
          <w:szCs w:val="18"/>
        </w:rPr>
        <w:t>bytu</w:t>
      </w:r>
      <w:r w:rsidRPr="001F7935">
        <w:rPr>
          <w:rFonts w:ascii="Arial" w:hAnsi="Arial" w:cs="Arial"/>
          <w:sz w:val="18"/>
          <w:szCs w:val="18"/>
        </w:rPr>
        <w:t xml:space="preserve"> se rozumí plocha všech obytných a vedlejších místností, včetně příslušenství bytu. Sklepy, prádelny a neobyvatelná podkroví se nesledují vůbec; garáže ano, ale v nebytových prostorách.</w:t>
      </w:r>
    </w:p>
    <w:p w14:paraId="03397C2E" w14:textId="77777777" w:rsidR="001F7935" w:rsidRPr="001F7935" w:rsidRDefault="001F7935" w:rsidP="001F7935">
      <w:pPr>
        <w:tabs>
          <w:tab w:val="left" w:pos="0"/>
          <w:tab w:val="left" w:pos="540"/>
        </w:tabs>
        <w:suppressAutoHyphens/>
        <w:spacing w:before="120"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b/>
          <w:bCs/>
          <w:sz w:val="18"/>
          <w:szCs w:val="18"/>
        </w:rPr>
        <w:t>Hodnota budov</w:t>
      </w:r>
      <w:r w:rsidRPr="001F7935">
        <w:rPr>
          <w:rFonts w:ascii="Arial" w:hAnsi="Arial" w:cs="Arial"/>
          <w:sz w:val="18"/>
          <w:szCs w:val="18"/>
        </w:rPr>
        <w:t xml:space="preserve"> je vyjádřena ve „smíšené ceně“, tj. souhrn hodnot v běžných cenách platných v jednotlivých letech výstavby.</w:t>
      </w:r>
    </w:p>
    <w:p w14:paraId="4F5DB498" w14:textId="77777777" w:rsidR="001F7935" w:rsidRPr="001F7935" w:rsidRDefault="001F7935" w:rsidP="001F7935">
      <w:pPr>
        <w:tabs>
          <w:tab w:val="left" w:pos="0"/>
          <w:tab w:val="left" w:pos="540"/>
          <w:tab w:val="left" w:pos="1843"/>
        </w:tabs>
        <w:suppressAutoHyphens/>
        <w:spacing w:before="120"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b/>
          <w:bCs/>
          <w:sz w:val="18"/>
          <w:szCs w:val="18"/>
        </w:rPr>
        <w:t>Doba výstavby</w:t>
      </w:r>
      <w:r w:rsidRPr="001F7935">
        <w:rPr>
          <w:rFonts w:ascii="Arial" w:hAnsi="Arial" w:cs="Arial"/>
          <w:sz w:val="18"/>
          <w:szCs w:val="18"/>
        </w:rPr>
        <w:t xml:space="preserve"> je skutečnou lhůtou mezi okamžikem vydání stavebního povolení a dokončením bytu, tj. zkolaudováním.</w:t>
      </w:r>
    </w:p>
    <w:p w14:paraId="58E61ACA" w14:textId="77777777" w:rsidR="001F7935" w:rsidRPr="001F7935" w:rsidRDefault="001F7935" w:rsidP="001F7935">
      <w:pPr>
        <w:tabs>
          <w:tab w:val="left" w:pos="0"/>
        </w:tabs>
        <w:spacing w:before="120"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b/>
          <w:sz w:val="18"/>
          <w:szCs w:val="18"/>
        </w:rPr>
        <w:t>Stavebním povolením</w:t>
      </w:r>
      <w:r w:rsidRPr="001F7935">
        <w:rPr>
          <w:rFonts w:ascii="Arial" w:hAnsi="Arial" w:cs="Arial"/>
          <w:sz w:val="18"/>
          <w:szCs w:val="18"/>
        </w:rPr>
        <w:t xml:space="preserve"> se rozumí celkový počet stavebních povolení (včetně společných), stavebních ohlášení, staveb povolených na podkladě veřejnoprávní smlouvy a staveb ve zkráceném stavebním řízení autorizovaným inspektorem, které byly podle stavebního zákona vydány a evidovány příslušným stavebním úřadem.</w:t>
      </w:r>
    </w:p>
    <w:p w14:paraId="0E9E939F" w14:textId="77777777" w:rsidR="001F7935" w:rsidRPr="001F7935" w:rsidRDefault="001F7935" w:rsidP="001F7935">
      <w:pPr>
        <w:tabs>
          <w:tab w:val="left" w:pos="0"/>
        </w:tabs>
        <w:spacing w:before="120"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b/>
          <w:bCs/>
          <w:sz w:val="18"/>
          <w:szCs w:val="18"/>
        </w:rPr>
        <w:t>Orientační hodnota staveb</w:t>
      </w:r>
      <w:r w:rsidRPr="001F7935">
        <w:rPr>
          <w:rFonts w:ascii="Arial" w:hAnsi="Arial" w:cs="Arial"/>
          <w:sz w:val="18"/>
          <w:szCs w:val="18"/>
        </w:rPr>
        <w:t xml:space="preserve"> zahrnuje celkové náklady včetně technologie (v běžných cenách) vynaložené na přípravu, realizaci a uvedení stavby do provozu.</w:t>
      </w:r>
    </w:p>
    <w:p w14:paraId="7492053D" w14:textId="77777777" w:rsidR="001F7935" w:rsidRPr="001F7935" w:rsidRDefault="001F7935" w:rsidP="001F7935">
      <w:pPr>
        <w:tabs>
          <w:tab w:val="left" w:pos="0"/>
        </w:tabs>
        <w:spacing w:before="120"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b/>
          <w:bCs/>
          <w:sz w:val="18"/>
          <w:szCs w:val="18"/>
        </w:rPr>
        <w:t>Nová výstavba</w:t>
      </w:r>
      <w:r w:rsidRPr="001F7935">
        <w:rPr>
          <w:rFonts w:ascii="Arial" w:hAnsi="Arial" w:cs="Arial"/>
          <w:sz w:val="18"/>
          <w:szCs w:val="18"/>
        </w:rPr>
        <w:t xml:space="preserve"> představuje zcela novou konstrukci, nové stavební dílo bez ohledu na to, zda už bylo dříve zastavěné a bez zřetele na stavebně technické provedení, účelu a doby trvání.</w:t>
      </w:r>
    </w:p>
    <w:p w14:paraId="20DFE422" w14:textId="77777777" w:rsidR="001F7935" w:rsidRPr="001F7935" w:rsidRDefault="001F7935" w:rsidP="001F7935">
      <w:pPr>
        <w:tabs>
          <w:tab w:val="left" w:pos="0"/>
        </w:tabs>
        <w:spacing w:before="120"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b/>
          <w:bCs/>
          <w:sz w:val="18"/>
          <w:szCs w:val="18"/>
        </w:rPr>
        <w:t xml:space="preserve">Změnami dokončených staveb </w:t>
      </w:r>
      <w:r w:rsidRPr="001F7935">
        <w:rPr>
          <w:rFonts w:ascii="Arial" w:hAnsi="Arial" w:cs="Arial"/>
          <w:sz w:val="18"/>
          <w:szCs w:val="18"/>
        </w:rPr>
        <w:t>jsou:</w:t>
      </w:r>
    </w:p>
    <w:p w14:paraId="483FA047" w14:textId="77777777" w:rsidR="001F7935" w:rsidRPr="001F7935" w:rsidRDefault="001F7935" w:rsidP="001F7935">
      <w:pPr>
        <w:tabs>
          <w:tab w:val="left" w:pos="0"/>
          <w:tab w:val="left" w:pos="426"/>
        </w:tabs>
        <w:spacing w:before="120"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sz w:val="18"/>
          <w:szCs w:val="18"/>
        </w:rPr>
        <w:t>– nástavby, jimiž se stavby zvyšují;</w:t>
      </w:r>
    </w:p>
    <w:p w14:paraId="4BF498E9" w14:textId="77777777" w:rsidR="001F7935" w:rsidRPr="001F7935" w:rsidRDefault="001F7935" w:rsidP="001F7935">
      <w:pPr>
        <w:tabs>
          <w:tab w:val="left" w:pos="0"/>
        </w:tabs>
        <w:spacing w:before="120"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sz w:val="18"/>
          <w:szCs w:val="18"/>
        </w:rPr>
        <w:t>– přístavby, jimiž se stavby půdorysně rozšiřují, a které jsou vzájemně provozně propojeny s dosavadní stavbou;</w:t>
      </w:r>
    </w:p>
    <w:p w14:paraId="019B09AD" w14:textId="77777777" w:rsidR="001F7935" w:rsidRPr="001F7935" w:rsidRDefault="001F7935" w:rsidP="001F7935">
      <w:pPr>
        <w:tabs>
          <w:tab w:val="left" w:pos="0"/>
        </w:tabs>
        <w:spacing w:before="120"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sz w:val="18"/>
          <w:szCs w:val="18"/>
        </w:rPr>
        <w:t>– stavební úpravy, při nichž se zachovává vnější půdorysné i výškové ohraničení stavby.</w:t>
      </w:r>
    </w:p>
    <w:p w14:paraId="21D922FE" w14:textId="77777777" w:rsidR="001F7935" w:rsidRPr="001F7935" w:rsidRDefault="001F7935" w:rsidP="001F7935">
      <w:pPr>
        <w:tabs>
          <w:tab w:val="left" w:pos="0"/>
        </w:tabs>
        <w:spacing w:after="0"/>
        <w:ind w:left="0" w:firstLine="0"/>
        <w:rPr>
          <w:rFonts w:ascii="Arial" w:hAnsi="Arial" w:cs="Arial"/>
          <w:sz w:val="18"/>
          <w:szCs w:val="18"/>
        </w:rPr>
      </w:pPr>
    </w:p>
    <w:p w14:paraId="22203936" w14:textId="77777777" w:rsidR="001F7935" w:rsidRPr="001F7935" w:rsidRDefault="001F7935" w:rsidP="001F7935">
      <w:pPr>
        <w:tabs>
          <w:tab w:val="left" w:pos="0"/>
          <w:tab w:val="left" w:pos="283"/>
        </w:tabs>
        <w:suppressAutoHyphens/>
        <w:spacing w:after="0"/>
        <w:ind w:left="0" w:firstLine="0"/>
        <w:rPr>
          <w:rFonts w:ascii="Arial" w:hAnsi="Arial" w:cs="Arial"/>
          <w:sz w:val="18"/>
          <w:szCs w:val="18"/>
        </w:rPr>
      </w:pPr>
    </w:p>
    <w:p w14:paraId="493FA106" w14:textId="77777777" w:rsidR="001F7935" w:rsidRPr="001F7935" w:rsidRDefault="001F7935" w:rsidP="001F79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/>
        <w:ind w:left="0" w:firstLine="0"/>
        <w:rPr>
          <w:rFonts w:ascii="Arial" w:eastAsia="Calibri" w:hAnsi="Arial" w:cs="Arial"/>
          <w:b/>
          <w:bCs/>
          <w:color w:val="0071BC"/>
          <w:sz w:val="20"/>
          <w:szCs w:val="20"/>
          <w:lang w:eastAsia="en-US"/>
        </w:rPr>
      </w:pPr>
      <w:r w:rsidRPr="001F7935">
        <w:rPr>
          <w:rFonts w:ascii="Arial" w:eastAsia="Calibri" w:hAnsi="Arial" w:cs="Arial"/>
          <w:b/>
          <w:bCs/>
          <w:color w:val="0071BC"/>
          <w:sz w:val="20"/>
          <w:szCs w:val="20"/>
          <w:lang w:eastAsia="en-US"/>
        </w:rPr>
        <w:t>Poznámky k tabulkám</w:t>
      </w:r>
    </w:p>
    <w:p w14:paraId="160CA2A1" w14:textId="77777777" w:rsidR="001F7935" w:rsidRPr="001F7935" w:rsidRDefault="001F7935" w:rsidP="001F7935">
      <w:pPr>
        <w:widowControl w:val="0"/>
        <w:tabs>
          <w:tab w:val="left" w:pos="-720"/>
          <w:tab w:val="left" w:pos="0"/>
          <w:tab w:val="left" w:pos="283"/>
          <w:tab w:val="left" w:pos="566"/>
          <w:tab w:val="left" w:pos="720"/>
          <w:tab w:val="left" w:pos="850"/>
          <w:tab w:val="left" w:pos="1134"/>
          <w:tab w:val="left" w:pos="1440"/>
          <w:tab w:val="left" w:pos="1700"/>
          <w:tab w:val="left" w:pos="1983"/>
          <w:tab w:val="left" w:pos="2160"/>
          <w:tab w:val="left" w:pos="2268"/>
          <w:tab w:val="left" w:pos="2551"/>
          <w:tab w:val="left" w:pos="2834"/>
          <w:tab w:val="left" w:pos="2880"/>
          <w:tab w:val="left" w:pos="3117"/>
          <w:tab w:val="left" w:pos="3400"/>
          <w:tab w:val="left" w:pos="3600"/>
        </w:tabs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sz w:val="18"/>
          <w:szCs w:val="18"/>
        </w:rPr>
      </w:pPr>
    </w:p>
    <w:p w14:paraId="7DC7BD3F" w14:textId="77777777" w:rsidR="001F7935" w:rsidRPr="001F7935" w:rsidRDefault="001F7935" w:rsidP="001F7935">
      <w:pPr>
        <w:tabs>
          <w:tab w:val="left" w:pos="0"/>
          <w:tab w:val="left" w:pos="567"/>
        </w:tabs>
        <w:suppressAutoHyphens/>
        <w:spacing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sz w:val="18"/>
          <w:szCs w:val="18"/>
        </w:rPr>
        <w:t xml:space="preserve">Údaje v tab. </w:t>
      </w:r>
      <w:r w:rsidRPr="001F7935">
        <w:rPr>
          <w:rFonts w:ascii="Arial" w:hAnsi="Arial" w:cs="Arial"/>
          <w:b/>
          <w:bCs/>
          <w:sz w:val="18"/>
          <w:szCs w:val="18"/>
        </w:rPr>
        <w:t>17</w:t>
      </w:r>
      <w:r w:rsidRPr="001F7935">
        <w:rPr>
          <w:rFonts w:ascii="Arial" w:hAnsi="Arial" w:cs="Arial"/>
          <w:b/>
          <w:sz w:val="18"/>
          <w:szCs w:val="18"/>
        </w:rPr>
        <w:t>-1</w:t>
      </w:r>
      <w:r w:rsidRPr="001F7935">
        <w:rPr>
          <w:rFonts w:ascii="Arial" w:hAnsi="Arial" w:cs="Arial"/>
          <w:sz w:val="18"/>
          <w:szCs w:val="18"/>
        </w:rPr>
        <w:t xml:space="preserve"> až </w:t>
      </w:r>
      <w:r w:rsidRPr="001F7935">
        <w:rPr>
          <w:rFonts w:ascii="Arial" w:hAnsi="Arial" w:cs="Arial"/>
          <w:b/>
          <w:bCs/>
          <w:sz w:val="18"/>
          <w:szCs w:val="18"/>
        </w:rPr>
        <w:t>17</w:t>
      </w:r>
      <w:r w:rsidRPr="001F7935">
        <w:rPr>
          <w:rFonts w:ascii="Arial" w:hAnsi="Arial" w:cs="Arial"/>
          <w:b/>
          <w:sz w:val="18"/>
          <w:szCs w:val="18"/>
        </w:rPr>
        <w:t>-3</w:t>
      </w:r>
      <w:r w:rsidRPr="001F7935">
        <w:rPr>
          <w:rFonts w:ascii="Arial" w:hAnsi="Arial" w:cs="Arial"/>
          <w:sz w:val="18"/>
          <w:szCs w:val="18"/>
        </w:rPr>
        <w:t xml:space="preserve"> se vztahují k souboru všech stavebních podniků. Tab. </w:t>
      </w:r>
      <w:r w:rsidRPr="001F7935">
        <w:rPr>
          <w:rFonts w:ascii="Arial" w:hAnsi="Arial" w:cs="Arial"/>
          <w:b/>
          <w:bCs/>
          <w:sz w:val="18"/>
          <w:szCs w:val="18"/>
        </w:rPr>
        <w:t>17</w:t>
      </w:r>
      <w:r w:rsidRPr="001F7935">
        <w:rPr>
          <w:rFonts w:ascii="Arial" w:hAnsi="Arial" w:cs="Arial"/>
          <w:b/>
          <w:sz w:val="18"/>
          <w:szCs w:val="18"/>
        </w:rPr>
        <w:t>-4</w:t>
      </w:r>
      <w:r w:rsidRPr="001F7935">
        <w:rPr>
          <w:rFonts w:ascii="Arial" w:hAnsi="Arial" w:cs="Arial"/>
          <w:sz w:val="18"/>
          <w:szCs w:val="18"/>
        </w:rPr>
        <w:t xml:space="preserve"> a </w:t>
      </w:r>
      <w:r w:rsidRPr="001F7935">
        <w:rPr>
          <w:rFonts w:ascii="Arial" w:hAnsi="Arial" w:cs="Arial"/>
          <w:b/>
          <w:bCs/>
          <w:sz w:val="18"/>
          <w:szCs w:val="18"/>
        </w:rPr>
        <w:t>17</w:t>
      </w:r>
      <w:r w:rsidRPr="001F7935">
        <w:rPr>
          <w:rFonts w:ascii="Arial" w:hAnsi="Arial" w:cs="Arial"/>
          <w:b/>
          <w:sz w:val="18"/>
          <w:szCs w:val="18"/>
        </w:rPr>
        <w:t>-5</w:t>
      </w:r>
      <w:r w:rsidRPr="001F7935">
        <w:rPr>
          <w:rFonts w:ascii="Arial" w:hAnsi="Arial" w:cs="Arial"/>
          <w:sz w:val="18"/>
          <w:szCs w:val="18"/>
        </w:rPr>
        <w:t xml:space="preserve"> jsou za podniky s 20 a více zaměstnanci. Tab. </w:t>
      </w:r>
      <w:r w:rsidRPr="001F7935">
        <w:rPr>
          <w:rFonts w:ascii="Arial" w:hAnsi="Arial" w:cs="Arial"/>
          <w:b/>
          <w:bCs/>
          <w:sz w:val="18"/>
          <w:szCs w:val="18"/>
        </w:rPr>
        <w:t>17</w:t>
      </w:r>
      <w:r w:rsidRPr="001F7935">
        <w:rPr>
          <w:rFonts w:ascii="Arial" w:hAnsi="Arial" w:cs="Arial"/>
          <w:b/>
          <w:sz w:val="18"/>
          <w:szCs w:val="18"/>
        </w:rPr>
        <w:t>-6</w:t>
      </w:r>
      <w:r w:rsidRPr="001F7935">
        <w:rPr>
          <w:rFonts w:ascii="Arial" w:hAnsi="Arial" w:cs="Arial"/>
          <w:sz w:val="18"/>
          <w:szCs w:val="18"/>
        </w:rPr>
        <w:t xml:space="preserve"> je za podniky s 50 a více zaměstnanci.</w:t>
      </w:r>
    </w:p>
    <w:p w14:paraId="72B41404" w14:textId="77777777" w:rsidR="001F7935" w:rsidRPr="001F7935" w:rsidRDefault="001F7935" w:rsidP="001F7935">
      <w:pPr>
        <w:tabs>
          <w:tab w:val="left" w:pos="0"/>
          <w:tab w:val="left" w:pos="566"/>
        </w:tabs>
        <w:suppressAutoHyphens/>
        <w:spacing w:after="0"/>
        <w:ind w:left="0" w:firstLine="0"/>
        <w:rPr>
          <w:rFonts w:ascii="Arial" w:hAnsi="Arial" w:cs="Arial"/>
          <w:sz w:val="18"/>
          <w:szCs w:val="18"/>
        </w:rPr>
      </w:pPr>
    </w:p>
    <w:p w14:paraId="0170E0A8" w14:textId="77777777" w:rsidR="001F7935" w:rsidRPr="001F7935" w:rsidRDefault="001F7935" w:rsidP="001F7935">
      <w:pPr>
        <w:tabs>
          <w:tab w:val="left" w:pos="0"/>
          <w:tab w:val="left" w:pos="283"/>
        </w:tabs>
        <w:suppressAutoHyphens/>
        <w:spacing w:after="0"/>
        <w:ind w:left="0" w:firstLine="0"/>
        <w:rPr>
          <w:rFonts w:ascii="Arial" w:eastAsia="Calibri" w:hAnsi="Arial" w:cs="Arial"/>
          <w:b/>
          <w:color w:val="0071BC"/>
          <w:sz w:val="20"/>
          <w:szCs w:val="20"/>
          <w:lang w:eastAsia="en-US"/>
        </w:rPr>
      </w:pPr>
      <w:r w:rsidRPr="001F7935">
        <w:rPr>
          <w:rFonts w:ascii="Arial" w:eastAsia="Calibri" w:hAnsi="Arial" w:cs="Arial"/>
          <w:b/>
          <w:color w:val="0071BC"/>
          <w:sz w:val="20"/>
          <w:szCs w:val="20"/>
          <w:lang w:eastAsia="en-US"/>
        </w:rPr>
        <w:t>Tab. 17-6  Zakázky stavebních prací</w:t>
      </w:r>
    </w:p>
    <w:p w14:paraId="6267429A" w14:textId="77777777" w:rsidR="001F7935" w:rsidRPr="001F7935" w:rsidRDefault="001F7935" w:rsidP="001F7935">
      <w:pPr>
        <w:tabs>
          <w:tab w:val="left" w:pos="0"/>
        </w:tabs>
        <w:spacing w:before="120"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sz w:val="18"/>
          <w:szCs w:val="18"/>
        </w:rPr>
        <w:t xml:space="preserve">Údaje jsou výsledkem zpracování výkazů za podniky </w:t>
      </w:r>
      <w:r w:rsidRPr="001F7935">
        <w:rPr>
          <w:rFonts w:ascii="Arial" w:hAnsi="Arial" w:cs="Arial"/>
          <w:b/>
          <w:bCs/>
          <w:sz w:val="18"/>
          <w:szCs w:val="18"/>
        </w:rPr>
        <w:t xml:space="preserve">s převažující stavební činností </w:t>
      </w:r>
      <w:r w:rsidRPr="001F7935">
        <w:rPr>
          <w:rFonts w:ascii="Arial" w:hAnsi="Arial" w:cs="Arial"/>
          <w:sz w:val="18"/>
          <w:szCs w:val="18"/>
        </w:rPr>
        <w:t>zařazené do skupiny CZ-NACE:</w:t>
      </w:r>
    </w:p>
    <w:p w14:paraId="2E730948" w14:textId="77777777" w:rsidR="001F7935" w:rsidRPr="001F7935" w:rsidRDefault="001F7935" w:rsidP="001F7935">
      <w:pPr>
        <w:tabs>
          <w:tab w:val="left" w:pos="0"/>
          <w:tab w:val="left" w:pos="426"/>
        </w:tabs>
        <w:spacing w:before="120"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sz w:val="18"/>
          <w:szCs w:val="18"/>
        </w:rPr>
        <w:t>41.2 – Výstavba bytových a nebytových budov;</w:t>
      </w:r>
    </w:p>
    <w:p w14:paraId="0E37CD5A" w14:textId="77777777" w:rsidR="001F7935" w:rsidRPr="001F7935" w:rsidRDefault="001F7935" w:rsidP="001F7935">
      <w:pPr>
        <w:tabs>
          <w:tab w:val="left" w:pos="0"/>
          <w:tab w:val="left" w:pos="426"/>
        </w:tabs>
        <w:spacing w:before="120"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sz w:val="18"/>
          <w:szCs w:val="18"/>
        </w:rPr>
        <w:t>42.1 – Výstavba silnic a železnic;</w:t>
      </w:r>
    </w:p>
    <w:p w14:paraId="0DCDA008" w14:textId="77777777" w:rsidR="001F7935" w:rsidRPr="001F7935" w:rsidRDefault="001F7935" w:rsidP="001F7935">
      <w:pPr>
        <w:tabs>
          <w:tab w:val="left" w:pos="0"/>
          <w:tab w:val="left" w:pos="426"/>
        </w:tabs>
        <w:spacing w:before="120"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sz w:val="18"/>
          <w:szCs w:val="18"/>
        </w:rPr>
        <w:t>42.2 – Výstavba inženýrských sítí;</w:t>
      </w:r>
    </w:p>
    <w:p w14:paraId="24811E70" w14:textId="77777777" w:rsidR="001F7935" w:rsidRPr="001F7935" w:rsidRDefault="001F7935" w:rsidP="001F7935">
      <w:pPr>
        <w:tabs>
          <w:tab w:val="left" w:pos="0"/>
          <w:tab w:val="left" w:pos="426"/>
        </w:tabs>
        <w:spacing w:before="120"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sz w:val="18"/>
          <w:szCs w:val="18"/>
        </w:rPr>
        <w:t>42.9 – Výstavba ostatních staveb;</w:t>
      </w:r>
    </w:p>
    <w:p w14:paraId="087965C3" w14:textId="77777777" w:rsidR="001F7935" w:rsidRPr="001F7935" w:rsidRDefault="001F7935" w:rsidP="001F7935">
      <w:pPr>
        <w:tabs>
          <w:tab w:val="left" w:pos="0"/>
          <w:tab w:val="left" w:pos="426"/>
        </w:tabs>
        <w:spacing w:before="120"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sz w:val="18"/>
          <w:szCs w:val="18"/>
        </w:rPr>
        <w:t>43.1 – Demolice a příprava staveniště;</w:t>
      </w:r>
    </w:p>
    <w:p w14:paraId="3441B0B9" w14:textId="77777777" w:rsidR="001F7935" w:rsidRPr="001F7935" w:rsidRDefault="001F7935" w:rsidP="001F7935">
      <w:pPr>
        <w:tabs>
          <w:tab w:val="left" w:pos="0"/>
          <w:tab w:val="left" w:pos="426"/>
        </w:tabs>
        <w:spacing w:before="120"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sz w:val="18"/>
          <w:szCs w:val="18"/>
        </w:rPr>
        <w:t>43.9 – Ostatní specializované stavební činnosti.</w:t>
      </w:r>
    </w:p>
    <w:p w14:paraId="57257C9A" w14:textId="77777777" w:rsidR="001F7935" w:rsidRPr="001F7935" w:rsidRDefault="001F7935" w:rsidP="001F7935">
      <w:pPr>
        <w:tabs>
          <w:tab w:val="left" w:pos="0"/>
          <w:tab w:val="left" w:pos="426"/>
        </w:tabs>
        <w:spacing w:after="0"/>
        <w:ind w:left="0" w:firstLine="0"/>
        <w:rPr>
          <w:rFonts w:ascii="Arial" w:hAnsi="Arial" w:cs="Arial"/>
          <w:sz w:val="18"/>
          <w:szCs w:val="18"/>
        </w:rPr>
      </w:pPr>
    </w:p>
    <w:p w14:paraId="542A0027" w14:textId="77777777" w:rsidR="001F7935" w:rsidRPr="001F7935" w:rsidRDefault="001F7935" w:rsidP="001F7935">
      <w:pPr>
        <w:tabs>
          <w:tab w:val="left" w:pos="0"/>
          <w:tab w:val="left" w:pos="426"/>
        </w:tabs>
        <w:spacing w:after="0"/>
        <w:ind w:left="0" w:firstLine="0"/>
        <w:rPr>
          <w:rFonts w:ascii="Arial" w:hAnsi="Arial" w:cs="Arial"/>
          <w:sz w:val="18"/>
          <w:szCs w:val="18"/>
        </w:rPr>
      </w:pPr>
    </w:p>
    <w:p w14:paraId="6A54BAB2" w14:textId="77777777" w:rsidR="001F7935" w:rsidRPr="001F7935" w:rsidRDefault="001F7935" w:rsidP="001F7935">
      <w:pPr>
        <w:tabs>
          <w:tab w:val="left" w:pos="0"/>
          <w:tab w:val="left" w:pos="283"/>
        </w:tabs>
        <w:suppressAutoHyphens/>
        <w:spacing w:after="0"/>
        <w:ind w:left="0" w:firstLine="0"/>
        <w:rPr>
          <w:rFonts w:ascii="Arial" w:eastAsia="Calibri" w:hAnsi="Arial" w:cs="Arial"/>
          <w:b/>
          <w:color w:val="0071BC"/>
          <w:sz w:val="20"/>
          <w:szCs w:val="20"/>
          <w:lang w:eastAsia="en-US"/>
        </w:rPr>
      </w:pPr>
      <w:r w:rsidRPr="001F7935">
        <w:rPr>
          <w:rFonts w:ascii="Arial" w:eastAsia="Calibri" w:hAnsi="Arial" w:cs="Arial"/>
          <w:b/>
          <w:color w:val="0071BC"/>
          <w:sz w:val="20"/>
          <w:szCs w:val="20"/>
          <w:lang w:eastAsia="en-US"/>
        </w:rPr>
        <w:t>Tab. 17-7  Nová výstavba nebytových budov podle klasifikace stavebních děl</w:t>
      </w:r>
    </w:p>
    <w:p w14:paraId="4F8B3965" w14:textId="77777777" w:rsidR="001F7935" w:rsidRPr="001F7935" w:rsidRDefault="001F7935" w:rsidP="001F7935">
      <w:pPr>
        <w:tabs>
          <w:tab w:val="left" w:pos="0"/>
          <w:tab w:val="left" w:pos="283"/>
        </w:tabs>
        <w:suppressAutoHyphens/>
        <w:spacing w:before="120"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sz w:val="18"/>
          <w:szCs w:val="18"/>
        </w:rPr>
        <w:t>Údaje o dokončených nebytových budovách jsou ročně zjišťovány vyčerpávajícím způsobem za všechny stavební úřady. Část údajů je čerpána z Registru územní identifikace, adres a nemovitostí.</w:t>
      </w:r>
    </w:p>
    <w:p w14:paraId="2B25C5C3" w14:textId="77777777" w:rsidR="001F7935" w:rsidRPr="001F7935" w:rsidRDefault="001F7935" w:rsidP="001F7935">
      <w:pPr>
        <w:tabs>
          <w:tab w:val="left" w:pos="0"/>
          <w:tab w:val="left" w:pos="283"/>
        </w:tabs>
        <w:suppressAutoHyphens/>
        <w:spacing w:after="0"/>
        <w:ind w:left="0" w:firstLine="0"/>
        <w:rPr>
          <w:rFonts w:ascii="Arial" w:hAnsi="Arial" w:cs="Arial"/>
          <w:sz w:val="18"/>
          <w:szCs w:val="18"/>
        </w:rPr>
      </w:pPr>
    </w:p>
    <w:p w14:paraId="63209D29" w14:textId="77777777" w:rsidR="001F7935" w:rsidRPr="001F7935" w:rsidRDefault="001F7935" w:rsidP="001F7935">
      <w:pPr>
        <w:tabs>
          <w:tab w:val="left" w:pos="0"/>
          <w:tab w:val="left" w:pos="283"/>
        </w:tabs>
        <w:suppressAutoHyphens/>
        <w:spacing w:after="0"/>
        <w:ind w:left="0" w:firstLine="0"/>
        <w:rPr>
          <w:rFonts w:ascii="Arial" w:hAnsi="Arial" w:cs="Arial"/>
          <w:sz w:val="18"/>
          <w:szCs w:val="18"/>
        </w:rPr>
      </w:pPr>
    </w:p>
    <w:p w14:paraId="753A0722" w14:textId="77777777" w:rsidR="001F7935" w:rsidRPr="001F7935" w:rsidRDefault="001F7935" w:rsidP="001F7935">
      <w:pPr>
        <w:tabs>
          <w:tab w:val="left" w:pos="0"/>
          <w:tab w:val="left" w:pos="283"/>
        </w:tabs>
        <w:suppressAutoHyphens/>
        <w:spacing w:after="0"/>
        <w:ind w:left="0" w:firstLine="0"/>
        <w:rPr>
          <w:rFonts w:ascii="Arial" w:eastAsia="Calibri" w:hAnsi="Arial" w:cs="Arial"/>
          <w:b/>
          <w:color w:val="0071BC"/>
          <w:sz w:val="20"/>
          <w:szCs w:val="20"/>
          <w:lang w:eastAsia="en-US"/>
        </w:rPr>
      </w:pPr>
      <w:r w:rsidRPr="001F7935">
        <w:rPr>
          <w:rFonts w:ascii="Arial" w:eastAsia="Calibri" w:hAnsi="Arial" w:cs="Arial"/>
          <w:b/>
          <w:color w:val="0071BC"/>
          <w:sz w:val="20"/>
          <w:szCs w:val="20"/>
          <w:lang w:eastAsia="en-US"/>
        </w:rPr>
        <w:t>Tab. 17-8 až 17-15  Bytová výstavba, vydaná stavební povolení a orientační hodnota staveb</w:t>
      </w:r>
    </w:p>
    <w:p w14:paraId="4E308A01" w14:textId="77777777" w:rsidR="001F7935" w:rsidRPr="001F7935" w:rsidRDefault="001F7935" w:rsidP="001F7935">
      <w:pPr>
        <w:tabs>
          <w:tab w:val="left" w:pos="0"/>
          <w:tab w:val="left" w:pos="283"/>
        </w:tabs>
        <w:suppressAutoHyphens/>
        <w:spacing w:before="120"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sz w:val="18"/>
          <w:szCs w:val="18"/>
        </w:rPr>
        <w:t>Údaje jsou zjišťovány vyčerpávajícím způsobem za všechny stavební úřady. Část údajů je čerpána z Registru územní identifikace, adres a nemovitostí.</w:t>
      </w:r>
    </w:p>
    <w:p w14:paraId="372B1C82" w14:textId="77777777" w:rsidR="001F7935" w:rsidRPr="001F7935" w:rsidRDefault="001F7935" w:rsidP="001F7935">
      <w:pPr>
        <w:tabs>
          <w:tab w:val="left" w:pos="0"/>
          <w:tab w:val="left" w:pos="540"/>
        </w:tabs>
        <w:spacing w:before="120"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sz w:val="18"/>
          <w:szCs w:val="18"/>
        </w:rPr>
        <w:t xml:space="preserve">Změna Klasifikace stavebních děl CZ-CC od 1. 1. 2019 umožnila navázat charakter budovy na tuto mezinárodní klasifikaci. Zároveň s touto změnou byly ve výkazech Stav 2-12 a Stav 7-99 počínaje rokem 2020 provedeny další úpravy, které snížily administrativní zátěž a usnadnily získání údajů potřebných pro </w:t>
      </w:r>
      <w:proofErr w:type="spellStart"/>
      <w:r w:rsidRPr="001F7935">
        <w:rPr>
          <w:rFonts w:ascii="Arial" w:hAnsi="Arial" w:cs="Arial"/>
          <w:sz w:val="18"/>
          <w:szCs w:val="18"/>
        </w:rPr>
        <w:t>Eurostat</w:t>
      </w:r>
      <w:proofErr w:type="spellEnd"/>
      <w:r w:rsidRPr="001F7935">
        <w:rPr>
          <w:rFonts w:ascii="Arial" w:hAnsi="Arial" w:cs="Arial"/>
          <w:sz w:val="18"/>
          <w:szCs w:val="18"/>
        </w:rPr>
        <w:t xml:space="preserve">. Některé položky byly ze sledování odstraněny nebo upraveny z důvodu nekompatibility s klasifikací CZ-CC. Již není možné odděleně sledovat stavby na ochranu životního prostředí, které jsou nově zatříděny pod příslušný kód Klasifikace CZ-CC. Byty v nebytových prostorech jsou v souladu s nařízením </w:t>
      </w:r>
      <w:proofErr w:type="spellStart"/>
      <w:r w:rsidRPr="001F7935">
        <w:rPr>
          <w:rFonts w:ascii="Arial" w:hAnsi="Arial" w:cs="Arial"/>
          <w:sz w:val="18"/>
          <w:szCs w:val="18"/>
        </w:rPr>
        <w:t>Eurostatu</w:t>
      </w:r>
      <w:proofErr w:type="spellEnd"/>
      <w:r w:rsidRPr="001F7935">
        <w:rPr>
          <w:rFonts w:ascii="Arial" w:hAnsi="Arial" w:cs="Arial"/>
          <w:sz w:val="18"/>
          <w:szCs w:val="18"/>
        </w:rPr>
        <w:t xml:space="preserve"> zařazeny do rodinných nebo bytových domů a současně s nástavbami, přístavbami a vestavbami tvoří novou kategorii „Úpravy stávajících rodinných nebo bytových domů“. Tato kategorie byla zpětně dopočítána tak, aby časová řada nebyla narušena.</w:t>
      </w:r>
    </w:p>
    <w:p w14:paraId="0BF18065" w14:textId="77777777" w:rsidR="001F7935" w:rsidRPr="001F7935" w:rsidRDefault="001F7935" w:rsidP="001F7935">
      <w:pPr>
        <w:widowControl w:val="0"/>
        <w:tabs>
          <w:tab w:val="left" w:pos="-720"/>
          <w:tab w:val="left" w:pos="0"/>
          <w:tab w:val="left" w:pos="283"/>
          <w:tab w:val="left" w:pos="566"/>
          <w:tab w:val="left" w:pos="720"/>
          <w:tab w:val="left" w:pos="850"/>
          <w:tab w:val="left" w:pos="1134"/>
          <w:tab w:val="left" w:pos="1440"/>
          <w:tab w:val="left" w:pos="1700"/>
          <w:tab w:val="left" w:pos="1983"/>
          <w:tab w:val="left" w:pos="2160"/>
          <w:tab w:val="left" w:pos="2268"/>
          <w:tab w:val="left" w:pos="2551"/>
          <w:tab w:val="left" w:pos="2834"/>
          <w:tab w:val="left" w:pos="2880"/>
          <w:tab w:val="left" w:pos="3117"/>
          <w:tab w:val="left" w:pos="3400"/>
          <w:tab w:val="left" w:pos="3600"/>
        </w:tabs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sz w:val="18"/>
          <w:szCs w:val="18"/>
        </w:rPr>
      </w:pPr>
    </w:p>
    <w:p w14:paraId="4AD75C03" w14:textId="77777777" w:rsidR="001F7935" w:rsidRPr="001F7935" w:rsidRDefault="001F7935" w:rsidP="001F7935">
      <w:pPr>
        <w:spacing w:after="0"/>
        <w:ind w:left="0" w:firstLine="0"/>
        <w:rPr>
          <w:rFonts w:ascii="Arial" w:hAnsi="Arial" w:cs="Arial"/>
          <w:sz w:val="18"/>
          <w:szCs w:val="18"/>
        </w:rPr>
      </w:pPr>
    </w:p>
    <w:p w14:paraId="42F1B735" w14:textId="77777777" w:rsidR="001F7935" w:rsidRPr="001F7935" w:rsidRDefault="001F7935" w:rsidP="001F79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spacing w:after="0"/>
        <w:jc w:val="center"/>
        <w:rPr>
          <w:rFonts w:ascii="Arial" w:hAnsi="Arial" w:cs="Arial"/>
          <w:color w:val="0071BC"/>
          <w:sz w:val="20"/>
          <w:szCs w:val="20"/>
        </w:rPr>
      </w:pPr>
      <w:r w:rsidRPr="001F7935">
        <w:rPr>
          <w:rFonts w:ascii="Arial" w:hAnsi="Arial" w:cs="Arial"/>
          <w:color w:val="0071BC"/>
          <w:sz w:val="20"/>
          <w:szCs w:val="20"/>
        </w:rPr>
        <w:t>*          *          *</w:t>
      </w:r>
    </w:p>
    <w:p w14:paraId="4E0E371B" w14:textId="77777777" w:rsidR="001F7935" w:rsidRPr="001F7935" w:rsidRDefault="001F7935" w:rsidP="001F7935">
      <w:pPr>
        <w:tabs>
          <w:tab w:val="left" w:pos="0"/>
          <w:tab w:val="left" w:pos="540"/>
        </w:tabs>
        <w:spacing w:after="0"/>
        <w:ind w:left="0" w:firstLine="0"/>
        <w:rPr>
          <w:rFonts w:ascii="Arial" w:hAnsi="Arial" w:cs="Arial"/>
          <w:sz w:val="18"/>
          <w:szCs w:val="18"/>
        </w:rPr>
      </w:pPr>
    </w:p>
    <w:p w14:paraId="1264F242" w14:textId="77777777" w:rsidR="001F7935" w:rsidRPr="001F7935" w:rsidRDefault="001F7935" w:rsidP="001F7935">
      <w:pPr>
        <w:tabs>
          <w:tab w:val="left" w:pos="0"/>
          <w:tab w:val="left" w:pos="540"/>
        </w:tabs>
        <w:spacing w:after="0"/>
        <w:ind w:left="0" w:firstLine="0"/>
        <w:rPr>
          <w:rFonts w:ascii="Arial" w:hAnsi="Arial" w:cs="Arial"/>
          <w:sz w:val="18"/>
          <w:szCs w:val="18"/>
        </w:rPr>
      </w:pPr>
    </w:p>
    <w:p w14:paraId="45AE9396" w14:textId="77777777" w:rsidR="001F7935" w:rsidRPr="001F7935" w:rsidRDefault="001F7935" w:rsidP="001F7935">
      <w:p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1F7935">
        <w:rPr>
          <w:rFonts w:ascii="Arial" w:hAnsi="Arial" w:cs="Arial"/>
          <w:sz w:val="18"/>
          <w:szCs w:val="18"/>
        </w:rPr>
        <w:t>Další informace jsou dostupné na internetových stránkách Českého statistického úřadu:</w:t>
      </w:r>
    </w:p>
    <w:p w14:paraId="466D41D9" w14:textId="77777777" w:rsidR="001F7935" w:rsidRPr="0086284E" w:rsidRDefault="001F7935" w:rsidP="001F7935">
      <w:pPr>
        <w:pStyle w:val="Zkladntext2"/>
        <w:tabs>
          <w:tab w:val="left" w:pos="360"/>
          <w:tab w:val="left" w:pos="567"/>
        </w:tabs>
        <w:spacing w:before="120" w:after="0" w:line="240" w:lineRule="auto"/>
        <w:ind w:left="0" w:firstLine="0"/>
        <w:rPr>
          <w:rFonts w:ascii="Arial" w:hAnsi="Arial" w:cs="Arial"/>
          <w:sz w:val="18"/>
          <w:szCs w:val="18"/>
        </w:rPr>
      </w:pPr>
      <w:r w:rsidRPr="0086284E">
        <w:rPr>
          <w:rFonts w:ascii="Arial" w:hAnsi="Arial" w:cs="Arial"/>
          <w:sz w:val="18"/>
          <w:szCs w:val="18"/>
        </w:rPr>
        <w:t>– </w:t>
      </w:r>
      <w:hyperlink r:id="rId5" w:history="1">
        <w:r w:rsidRPr="0086284E">
          <w:rPr>
            <w:rStyle w:val="Hypertextovodkaz"/>
            <w:rFonts w:ascii="Arial" w:hAnsi="Arial" w:cs="Arial"/>
            <w:sz w:val="18"/>
            <w:szCs w:val="18"/>
          </w:rPr>
          <w:t>www.czso.cz/csu/czso/stavebnictvi</w:t>
        </w:r>
      </w:hyperlink>
    </w:p>
    <w:p w14:paraId="2A7A65BC" w14:textId="77777777" w:rsidR="001F7935" w:rsidRDefault="001F7935" w:rsidP="001F7935">
      <w:pPr>
        <w:spacing w:after="160" w:line="259" w:lineRule="auto"/>
        <w:ind w:left="0" w:firstLine="0"/>
        <w:rPr>
          <w:rFonts w:ascii="Arial" w:hAnsi="Arial" w:cs="Arial"/>
          <w:sz w:val="18"/>
          <w:szCs w:val="18"/>
          <w:lang w:eastAsia="en-US"/>
        </w:rPr>
      </w:pPr>
    </w:p>
    <w:sectPr w:rsidR="001F7935" w:rsidSect="0086284E">
      <w:pgSz w:w="11906" w:h="16838"/>
      <w:pgMar w:top="1134" w:right="964" w:bottom="1418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 obye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11"/>
    <w:rsid w:val="00020462"/>
    <w:rsid w:val="00021FB7"/>
    <w:rsid w:val="00065731"/>
    <w:rsid w:val="000A1A6C"/>
    <w:rsid w:val="000B5236"/>
    <w:rsid w:val="000D3FAC"/>
    <w:rsid w:val="000F531A"/>
    <w:rsid w:val="00173709"/>
    <w:rsid w:val="00191A34"/>
    <w:rsid w:val="001D766F"/>
    <w:rsid w:val="001F4E63"/>
    <w:rsid w:val="001F7935"/>
    <w:rsid w:val="00221C7D"/>
    <w:rsid w:val="00290FAD"/>
    <w:rsid w:val="002C2D30"/>
    <w:rsid w:val="002D4C40"/>
    <w:rsid w:val="0031320E"/>
    <w:rsid w:val="00331E2D"/>
    <w:rsid w:val="00336332"/>
    <w:rsid w:val="00341BEC"/>
    <w:rsid w:val="00342CA1"/>
    <w:rsid w:val="00342CD8"/>
    <w:rsid w:val="00344F4D"/>
    <w:rsid w:val="003748A5"/>
    <w:rsid w:val="00385EA0"/>
    <w:rsid w:val="00393AE4"/>
    <w:rsid w:val="003A3F69"/>
    <w:rsid w:val="003B6432"/>
    <w:rsid w:val="003B7DDF"/>
    <w:rsid w:val="003E024D"/>
    <w:rsid w:val="003F5311"/>
    <w:rsid w:val="004327C9"/>
    <w:rsid w:val="00445355"/>
    <w:rsid w:val="00474467"/>
    <w:rsid w:val="00492B40"/>
    <w:rsid w:val="004932E9"/>
    <w:rsid w:val="00496E99"/>
    <w:rsid w:val="005139EA"/>
    <w:rsid w:val="005278CF"/>
    <w:rsid w:val="00550664"/>
    <w:rsid w:val="005B2935"/>
    <w:rsid w:val="005C3B6D"/>
    <w:rsid w:val="00631C98"/>
    <w:rsid w:val="00644F7D"/>
    <w:rsid w:val="00663847"/>
    <w:rsid w:val="00694AFD"/>
    <w:rsid w:val="006E5333"/>
    <w:rsid w:val="0070403C"/>
    <w:rsid w:val="00727800"/>
    <w:rsid w:val="007401BD"/>
    <w:rsid w:val="00747EE4"/>
    <w:rsid w:val="00781CDD"/>
    <w:rsid w:val="00784DB8"/>
    <w:rsid w:val="007A75E4"/>
    <w:rsid w:val="007F45F3"/>
    <w:rsid w:val="00852E72"/>
    <w:rsid w:val="00860261"/>
    <w:rsid w:val="0086284E"/>
    <w:rsid w:val="008743F3"/>
    <w:rsid w:val="008A1D08"/>
    <w:rsid w:val="008D2041"/>
    <w:rsid w:val="00925A26"/>
    <w:rsid w:val="009524B1"/>
    <w:rsid w:val="009A14FB"/>
    <w:rsid w:val="009A4666"/>
    <w:rsid w:val="009A4AC3"/>
    <w:rsid w:val="009C6369"/>
    <w:rsid w:val="00A07C24"/>
    <w:rsid w:val="00A1624D"/>
    <w:rsid w:val="00A267FE"/>
    <w:rsid w:val="00A37696"/>
    <w:rsid w:val="00A618EE"/>
    <w:rsid w:val="00A80D19"/>
    <w:rsid w:val="00A872C2"/>
    <w:rsid w:val="00AD26F1"/>
    <w:rsid w:val="00B1108F"/>
    <w:rsid w:val="00B91032"/>
    <w:rsid w:val="00B96702"/>
    <w:rsid w:val="00BC0F51"/>
    <w:rsid w:val="00BE47AC"/>
    <w:rsid w:val="00BF227F"/>
    <w:rsid w:val="00C0365C"/>
    <w:rsid w:val="00C151B5"/>
    <w:rsid w:val="00C43CFE"/>
    <w:rsid w:val="00C67831"/>
    <w:rsid w:val="00C854D8"/>
    <w:rsid w:val="00C942CA"/>
    <w:rsid w:val="00CA1E46"/>
    <w:rsid w:val="00CA3121"/>
    <w:rsid w:val="00CA50ED"/>
    <w:rsid w:val="00CD2248"/>
    <w:rsid w:val="00CE2E45"/>
    <w:rsid w:val="00CE4D7B"/>
    <w:rsid w:val="00CF1FE4"/>
    <w:rsid w:val="00CF5C9A"/>
    <w:rsid w:val="00D076DD"/>
    <w:rsid w:val="00D25F15"/>
    <w:rsid w:val="00D6759D"/>
    <w:rsid w:val="00DB1180"/>
    <w:rsid w:val="00E9113C"/>
    <w:rsid w:val="00E92305"/>
    <w:rsid w:val="00F025F1"/>
    <w:rsid w:val="00F02B92"/>
    <w:rsid w:val="00F32ABB"/>
    <w:rsid w:val="00F401EA"/>
    <w:rsid w:val="00F53BED"/>
    <w:rsid w:val="00FA18E0"/>
    <w:rsid w:val="00FA3F4D"/>
    <w:rsid w:val="00FD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63C62E"/>
  <w15:docId w15:val="{DAEF5261-7956-4D78-AB51-F92B5217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27C9"/>
    <w:pPr>
      <w:spacing w:after="60"/>
      <w:ind w:left="680" w:hanging="680"/>
      <w:jc w:val="both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raeny">
    <w:name w:val="podraženy"/>
    <w:uiPriority w:val="99"/>
    <w:rsid w:val="004327C9"/>
    <w:pPr>
      <w:widowControl w:val="0"/>
      <w:tabs>
        <w:tab w:val="left" w:pos="-720"/>
        <w:tab w:val="left" w:pos="0"/>
        <w:tab w:val="left" w:pos="283"/>
        <w:tab w:val="left" w:pos="566"/>
        <w:tab w:val="left" w:pos="720"/>
        <w:tab w:val="left" w:pos="850"/>
        <w:tab w:val="left" w:pos="1134"/>
        <w:tab w:val="left" w:pos="1440"/>
        <w:tab w:val="left" w:pos="1700"/>
        <w:tab w:val="left" w:pos="1983"/>
        <w:tab w:val="left" w:pos="2160"/>
        <w:tab w:val="left" w:pos="2268"/>
        <w:tab w:val="left" w:pos="2551"/>
        <w:tab w:val="left" w:pos="2834"/>
        <w:tab w:val="left" w:pos="2880"/>
        <w:tab w:val="left" w:pos="3117"/>
        <w:tab w:val="left" w:pos="3400"/>
        <w:tab w:val="left" w:pos="3600"/>
      </w:tabs>
      <w:autoSpaceDE w:val="0"/>
      <w:autoSpaceDN w:val="0"/>
      <w:adjustRightInd w:val="0"/>
      <w:spacing w:after="36"/>
      <w:ind w:left="680" w:hanging="680"/>
      <w:jc w:val="both"/>
    </w:pPr>
    <w:rPr>
      <w:rFonts w:ascii="Times New Roman CE obyeejné" w:hAnsi="Times New Roman CE obyeejné" w:cs="Times New Roman CE obyeejné"/>
    </w:rPr>
  </w:style>
  <w:style w:type="paragraph" w:styleId="Zkladntextodsazen">
    <w:name w:val="Body Text Indent"/>
    <w:basedOn w:val="Normln"/>
    <w:link w:val="ZkladntextodsazenChar1"/>
    <w:uiPriority w:val="99"/>
    <w:rsid w:val="004327C9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489"/>
        <w:tab w:val="left" w:pos="11328"/>
        <w:tab w:val="left" w:pos="12036"/>
        <w:tab w:val="left" w:pos="12744"/>
      </w:tabs>
      <w:suppressAutoHyphens/>
      <w:ind w:left="284" w:hanging="284"/>
    </w:pPr>
    <w:rPr>
      <w:rFonts w:ascii="Arial" w:hAnsi="Arial" w:cs="Arial"/>
      <w:sz w:val="20"/>
      <w:szCs w:val="20"/>
    </w:rPr>
  </w:style>
  <w:style w:type="character" w:customStyle="1" w:styleId="ZkladntextodsazenChar1">
    <w:name w:val="Základní text odsazený Char1"/>
    <w:basedOn w:val="Standardnpsmoodstavce"/>
    <w:link w:val="Zkladntextodsazen"/>
    <w:uiPriority w:val="99"/>
    <w:rsid w:val="004327C9"/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uiPriority w:val="99"/>
    <w:rsid w:val="004327C9"/>
    <w:rPr>
      <w:rFonts w:ascii="Arial" w:hAnsi="Arial" w:cs="Arial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1"/>
    <w:rsid w:val="004327C9"/>
    <w:pPr>
      <w:spacing w:after="0"/>
      <w:ind w:left="0" w:firstLine="708"/>
    </w:pPr>
    <w:rPr>
      <w:rFonts w:ascii="Arial" w:hAnsi="Arial" w:cs="Arial"/>
      <w:sz w:val="20"/>
      <w:szCs w:val="20"/>
    </w:rPr>
  </w:style>
  <w:style w:type="character" w:customStyle="1" w:styleId="Zkladntextodsazen2Char1">
    <w:name w:val="Základní text odsazený 2 Char1"/>
    <w:basedOn w:val="Standardnpsmoodstavce"/>
    <w:link w:val="Zkladntextodsazen2"/>
    <w:uiPriority w:val="99"/>
    <w:rsid w:val="004327C9"/>
    <w:rPr>
      <w:rFonts w:ascii="Times New Roman" w:hAnsi="Times New Roman"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rsid w:val="004327C9"/>
    <w:rPr>
      <w:rFonts w:ascii="Arial" w:hAnsi="Arial" w:cs="Arial"/>
      <w:sz w:val="24"/>
      <w:szCs w:val="24"/>
      <w:lang w:eastAsia="cs-CZ"/>
    </w:rPr>
  </w:style>
  <w:style w:type="paragraph" w:customStyle="1" w:styleId="text5">
    <w:name w:val="text5"/>
    <w:uiPriority w:val="99"/>
    <w:rsid w:val="004327C9"/>
    <w:pPr>
      <w:widowControl w:val="0"/>
      <w:tabs>
        <w:tab w:val="left" w:pos="283"/>
      </w:tabs>
      <w:autoSpaceDE w:val="0"/>
      <w:autoSpaceDN w:val="0"/>
      <w:adjustRightInd w:val="0"/>
      <w:spacing w:after="60"/>
      <w:ind w:left="680" w:hanging="680"/>
      <w:jc w:val="both"/>
    </w:pPr>
    <w:rPr>
      <w:rFonts w:ascii="Times New Roman CE obyeejné" w:hAnsi="Times New Roman CE obyeejné" w:cs="Times New Roman CE obyeejné"/>
      <w:b/>
      <w:bCs/>
    </w:rPr>
  </w:style>
  <w:style w:type="paragraph" w:styleId="Zkladntext2">
    <w:name w:val="Body Text 2"/>
    <w:basedOn w:val="Normln"/>
    <w:link w:val="Zkladntext2Char1"/>
    <w:uiPriority w:val="99"/>
    <w:rsid w:val="004327C9"/>
    <w:pPr>
      <w:spacing w:after="120" w:line="480" w:lineRule="auto"/>
    </w:pPr>
  </w:style>
  <w:style w:type="character" w:customStyle="1" w:styleId="Zkladntext2Char1">
    <w:name w:val="Základní text 2 Char1"/>
    <w:basedOn w:val="Standardnpsmoodstavce"/>
    <w:link w:val="Zkladntext2"/>
    <w:uiPriority w:val="99"/>
    <w:rsid w:val="004327C9"/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uiPriority w:val="99"/>
    <w:rsid w:val="004327C9"/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4327C9"/>
    <w:rPr>
      <w:rFonts w:ascii="Times New Roman" w:hAnsi="Times New Roman"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4327C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327C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B11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118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1180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11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1180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DB1180"/>
    <w:rPr>
      <w:rFonts w:ascii="Times New Roman" w:hAnsi="Times New Roman"/>
      <w:sz w:val="24"/>
      <w:szCs w:val="24"/>
    </w:rPr>
  </w:style>
  <w:style w:type="paragraph" w:styleId="Bezmezer">
    <w:name w:val="No Spacing"/>
    <w:uiPriority w:val="1"/>
    <w:qFormat/>
    <w:rsid w:val="00191A34"/>
    <w:pPr>
      <w:ind w:left="680" w:hanging="680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czso.cz/csu/czso/stavebnictv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AA74D-C297-4B85-9679-F9A91275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1509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17</vt:lpstr>
    </vt:vector>
  </TitlesOfParts>
  <Company>CSU</Company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skruzna7617</dc:creator>
  <cp:lastModifiedBy>Lošanová Jitka</cp:lastModifiedBy>
  <cp:revision>7</cp:revision>
  <cp:lastPrinted>2017-06-23T11:51:00Z</cp:lastPrinted>
  <dcterms:created xsi:type="dcterms:W3CDTF">2022-01-27T08:39:00Z</dcterms:created>
  <dcterms:modified xsi:type="dcterms:W3CDTF">2022-11-04T09:46:00Z</dcterms:modified>
</cp:coreProperties>
</file>