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C45AE" w14:textId="147CB47A" w:rsidR="00E32778" w:rsidRPr="0046081A" w:rsidRDefault="00E32778" w:rsidP="00E32778">
      <w:pPr>
        <w:pStyle w:val="Nadpis11"/>
        <w:rPr>
          <w:lang w:val="en-GB"/>
        </w:rPr>
      </w:pPr>
      <w:bookmarkStart w:id="0" w:name="_Toc511215218"/>
      <w:bookmarkStart w:id="1" w:name="_Toc19090679"/>
      <w:bookmarkStart w:id="2" w:name="_Toc42852411"/>
      <w:bookmarkStart w:id="3" w:name="_Toc85106898"/>
      <w:bookmarkStart w:id="4" w:name="_Toc50712130"/>
      <w:bookmarkStart w:id="5" w:name="_Toc58605377"/>
      <w:bookmarkStart w:id="6" w:name="_Toc26865023"/>
      <w:bookmarkEnd w:id="0"/>
      <w:bookmarkEnd w:id="1"/>
      <w:r w:rsidRPr="009110F7">
        <w:t>5</w:t>
      </w:r>
      <w:r>
        <w:t>. </w:t>
      </w:r>
      <w:r w:rsidR="0046081A" w:rsidRPr="0046081A">
        <w:rPr>
          <w:lang w:val="en-GB"/>
        </w:rPr>
        <w:t>Prices</w:t>
      </w:r>
      <w:bookmarkEnd w:id="2"/>
      <w:bookmarkEnd w:id="3"/>
    </w:p>
    <w:tbl>
      <w:tblPr>
        <w:tblW w:w="9639" w:type="dxa"/>
        <w:tblInd w:w="-15" w:type="dxa"/>
        <w:tblCellMar>
          <w:left w:w="0" w:type="dxa"/>
          <w:right w:w="0" w:type="dxa"/>
        </w:tblCellMar>
        <w:tblLook w:val="00A0" w:firstRow="1" w:lastRow="0" w:firstColumn="1" w:lastColumn="0" w:noHBand="0" w:noVBand="0"/>
      </w:tblPr>
      <w:tblGrid>
        <w:gridCol w:w="1805"/>
        <w:gridCol w:w="224"/>
        <w:gridCol w:w="7610"/>
      </w:tblGrid>
      <w:tr w:rsidR="00E32778" w:rsidRPr="0046081A" w14:paraId="4DFB7BE2" w14:textId="77777777" w:rsidTr="00F57D57">
        <w:trPr>
          <w:trHeight w:val="145"/>
        </w:trPr>
        <w:tc>
          <w:tcPr>
            <w:tcW w:w="1805" w:type="dxa"/>
            <w:shd w:val="clear" w:color="auto" w:fill="auto"/>
            <w:tcMar>
              <w:left w:w="0" w:type="dxa"/>
            </w:tcMar>
          </w:tcPr>
          <w:p w14:paraId="34B9FECD" w14:textId="0C6C64C6" w:rsidR="00E32778" w:rsidRPr="0046081A" w:rsidRDefault="0046081A" w:rsidP="00F57D57">
            <w:pPr>
              <w:pStyle w:val="Marginlie"/>
              <w:rPr>
                <w:spacing w:val="0"/>
                <w:lang w:val="en-GB"/>
              </w:rPr>
            </w:pPr>
            <w:r w:rsidRPr="0046081A">
              <w:rPr>
                <w:spacing w:val="0"/>
                <w:lang w:val="en-GB"/>
              </w:rPr>
              <w:t>Growth of the price level accelerated</w:t>
            </w:r>
            <w:r w:rsidR="00E32778" w:rsidRPr="0046081A">
              <w:rPr>
                <w:spacing w:val="0"/>
                <w:lang w:val="en-GB"/>
              </w:rPr>
              <w:t>.</w:t>
            </w:r>
          </w:p>
        </w:tc>
        <w:tc>
          <w:tcPr>
            <w:tcW w:w="224" w:type="dxa"/>
            <w:shd w:val="clear" w:color="auto" w:fill="auto"/>
            <w:tcMar>
              <w:left w:w="0" w:type="dxa"/>
            </w:tcMar>
          </w:tcPr>
          <w:p w14:paraId="5E70C91A" w14:textId="77777777" w:rsidR="00E32778" w:rsidRPr="0046081A" w:rsidRDefault="00E32778" w:rsidP="00F57D57">
            <w:pPr>
              <w:pStyle w:val="Textpoznpodarou1"/>
              <w:jc w:val="both"/>
              <w:rPr>
                <w:lang w:val="en-GB"/>
              </w:rPr>
            </w:pPr>
          </w:p>
        </w:tc>
        <w:tc>
          <w:tcPr>
            <w:tcW w:w="7610" w:type="dxa"/>
            <w:shd w:val="clear" w:color="auto" w:fill="auto"/>
            <w:tcMar>
              <w:left w:w="0" w:type="dxa"/>
            </w:tcMar>
          </w:tcPr>
          <w:p w14:paraId="27DFC0FD" w14:textId="1ABBC484" w:rsidR="00E32778" w:rsidRPr="0046081A" w:rsidRDefault="0046081A" w:rsidP="00F57D57">
            <w:pPr>
              <w:rPr>
                <w:szCs w:val="20"/>
                <w:lang w:val="en-GB"/>
              </w:rPr>
            </w:pPr>
            <w:r>
              <w:rPr>
                <w:szCs w:val="20"/>
                <w:lang w:val="en-GB"/>
              </w:rPr>
              <w:t>Total year-on-year increase of the price level in the economy reached 4.3% according to the GDP deflator in Q</w:t>
            </w:r>
            <w:r w:rsidR="00E32778" w:rsidRPr="0046081A">
              <w:rPr>
                <w:szCs w:val="20"/>
                <w:lang w:val="en-GB"/>
              </w:rPr>
              <w:t>2.</w:t>
            </w:r>
            <w:r>
              <w:rPr>
                <w:szCs w:val="20"/>
                <w:lang w:val="en-GB"/>
              </w:rPr>
              <w:t xml:space="preserve"> It represents an acceleration compared to Q</w:t>
            </w:r>
            <w:r w:rsidR="00E32778" w:rsidRPr="0046081A">
              <w:rPr>
                <w:szCs w:val="20"/>
                <w:lang w:val="en-GB"/>
              </w:rPr>
              <w:t>1.</w:t>
            </w:r>
            <w:r>
              <w:rPr>
                <w:szCs w:val="20"/>
                <w:lang w:val="en-GB"/>
              </w:rPr>
              <w:t xml:space="preserve"> Quarter-on-quarter increase of the price level went up to </w:t>
            </w:r>
            <w:r w:rsidR="00E32778" w:rsidRPr="0046081A">
              <w:rPr>
                <w:szCs w:val="20"/>
                <w:lang w:val="en-GB"/>
              </w:rPr>
              <w:t>1</w:t>
            </w:r>
            <w:r>
              <w:rPr>
                <w:szCs w:val="20"/>
                <w:lang w:val="en-GB"/>
              </w:rPr>
              <w:t>.</w:t>
            </w:r>
            <w:r w:rsidR="00E32778" w:rsidRPr="0046081A">
              <w:rPr>
                <w:szCs w:val="20"/>
                <w:lang w:val="en-GB"/>
              </w:rPr>
              <w:t>5%.</w:t>
            </w:r>
            <w:r>
              <w:rPr>
                <w:szCs w:val="20"/>
                <w:lang w:val="en-GB"/>
              </w:rPr>
              <w:t xml:space="preserve"> </w:t>
            </w:r>
            <w:r w:rsidR="005E0432">
              <w:rPr>
                <w:szCs w:val="20"/>
                <w:lang w:val="en-GB"/>
              </w:rPr>
              <w:t xml:space="preserve">Year-on-year rate of growth of prices of consumer goods markedly gained pace </w:t>
            </w:r>
            <w:r w:rsidR="005E0432" w:rsidRPr="0046081A">
              <w:rPr>
                <w:szCs w:val="20"/>
                <w:lang w:val="en-GB"/>
              </w:rPr>
              <w:t>(3</w:t>
            </w:r>
            <w:r w:rsidR="005E0432">
              <w:rPr>
                <w:szCs w:val="20"/>
                <w:lang w:val="en-GB"/>
              </w:rPr>
              <w:t>.</w:t>
            </w:r>
            <w:r w:rsidR="005E0432" w:rsidRPr="0046081A">
              <w:rPr>
                <w:szCs w:val="20"/>
                <w:lang w:val="en-GB"/>
              </w:rPr>
              <w:t>9%)</w:t>
            </w:r>
            <w:r w:rsidR="00E32778" w:rsidRPr="0046081A">
              <w:rPr>
                <w:szCs w:val="20"/>
                <w:lang w:val="en-GB"/>
              </w:rPr>
              <w:t>,</w:t>
            </w:r>
            <w:r w:rsidR="005E0432">
              <w:rPr>
                <w:szCs w:val="20"/>
                <w:lang w:val="en-GB"/>
              </w:rPr>
              <w:t xml:space="preserve"> </w:t>
            </w:r>
            <w:r w:rsidR="00A3218F">
              <w:rPr>
                <w:szCs w:val="20"/>
                <w:lang w:val="en-GB"/>
              </w:rPr>
              <w:t xml:space="preserve">both of those consumed by households </w:t>
            </w:r>
            <w:r w:rsidR="00E32778" w:rsidRPr="0046081A">
              <w:rPr>
                <w:szCs w:val="20"/>
                <w:lang w:val="en-GB"/>
              </w:rPr>
              <w:t>(2</w:t>
            </w:r>
            <w:r w:rsidR="00A3218F">
              <w:rPr>
                <w:szCs w:val="20"/>
                <w:lang w:val="en-GB"/>
              </w:rPr>
              <w:t>.</w:t>
            </w:r>
            <w:r w:rsidR="00E32778" w:rsidRPr="0046081A">
              <w:rPr>
                <w:szCs w:val="20"/>
                <w:lang w:val="en-GB"/>
              </w:rPr>
              <w:t xml:space="preserve">1%), </w:t>
            </w:r>
            <w:r w:rsidR="00A60A8F">
              <w:rPr>
                <w:szCs w:val="20"/>
                <w:lang w:val="en-GB"/>
              </w:rPr>
              <w:t xml:space="preserve">but mainly in case of government </w:t>
            </w:r>
            <w:r w:rsidR="00A3218F">
              <w:rPr>
                <w:szCs w:val="20"/>
                <w:lang w:val="en-GB"/>
              </w:rPr>
              <w:t>institutions</w:t>
            </w:r>
            <w:r w:rsidR="00A60A8F">
              <w:rPr>
                <w:szCs w:val="20"/>
                <w:lang w:val="en-GB"/>
              </w:rPr>
              <w:t xml:space="preserve"> </w:t>
            </w:r>
            <w:r w:rsidR="00E32778" w:rsidRPr="0046081A">
              <w:rPr>
                <w:szCs w:val="20"/>
                <w:lang w:val="en-GB"/>
              </w:rPr>
              <w:t>(7</w:t>
            </w:r>
            <w:r w:rsidR="00A60A8F">
              <w:rPr>
                <w:szCs w:val="20"/>
                <w:lang w:val="en-GB"/>
              </w:rPr>
              <w:t>.</w:t>
            </w:r>
            <w:r w:rsidR="00E32778" w:rsidRPr="0046081A">
              <w:rPr>
                <w:szCs w:val="20"/>
                <w:lang w:val="en-GB"/>
              </w:rPr>
              <w:t xml:space="preserve">4%). </w:t>
            </w:r>
            <w:r w:rsidR="00A60A8F">
              <w:rPr>
                <w:szCs w:val="20"/>
                <w:lang w:val="en-GB"/>
              </w:rPr>
              <w:t xml:space="preserve">Prices of capital goods were raised by </w:t>
            </w:r>
            <w:r w:rsidR="00E32778" w:rsidRPr="0046081A">
              <w:rPr>
                <w:szCs w:val="20"/>
                <w:lang w:val="en-GB"/>
              </w:rPr>
              <w:t>3</w:t>
            </w:r>
            <w:r w:rsidR="00A60A8F">
              <w:rPr>
                <w:szCs w:val="20"/>
                <w:lang w:val="en-GB"/>
              </w:rPr>
              <w:t>.</w:t>
            </w:r>
            <w:r w:rsidR="00E32778" w:rsidRPr="0046081A">
              <w:rPr>
                <w:szCs w:val="20"/>
                <w:lang w:val="en-GB"/>
              </w:rPr>
              <w:t>5%</w:t>
            </w:r>
            <w:r w:rsidR="00A60A8F">
              <w:rPr>
                <w:szCs w:val="20"/>
                <w:lang w:val="en-GB"/>
              </w:rPr>
              <w:t xml:space="preserve"> year-on-year</w:t>
            </w:r>
            <w:r w:rsidR="00E32778" w:rsidRPr="0046081A">
              <w:rPr>
                <w:szCs w:val="20"/>
                <w:lang w:val="en-GB"/>
              </w:rPr>
              <w:t>.</w:t>
            </w:r>
            <w:r w:rsidR="00A60A8F">
              <w:rPr>
                <w:szCs w:val="20"/>
                <w:lang w:val="en-GB"/>
              </w:rPr>
              <w:t xml:space="preserve"> Terms of trade weakened to </w:t>
            </w:r>
            <w:r w:rsidR="00E32778" w:rsidRPr="0046081A">
              <w:rPr>
                <w:szCs w:val="20"/>
                <w:lang w:val="en-GB"/>
              </w:rPr>
              <w:t>100</w:t>
            </w:r>
            <w:r w:rsidR="00A60A8F">
              <w:rPr>
                <w:szCs w:val="20"/>
                <w:lang w:val="en-GB"/>
              </w:rPr>
              <w:t>.</w:t>
            </w:r>
            <w:r w:rsidR="00E32778" w:rsidRPr="0046081A">
              <w:rPr>
                <w:szCs w:val="20"/>
                <w:lang w:val="en-GB"/>
              </w:rPr>
              <w:t>7%.</w:t>
            </w:r>
            <w:r w:rsidR="00A60A8F">
              <w:rPr>
                <w:szCs w:val="20"/>
                <w:lang w:val="en-GB"/>
              </w:rPr>
              <w:t xml:space="preserve"> Weakening related to the terms of trade with goods </w:t>
            </w:r>
            <w:r w:rsidR="00E32778" w:rsidRPr="0046081A">
              <w:rPr>
                <w:szCs w:val="20"/>
                <w:lang w:val="en-GB"/>
              </w:rPr>
              <w:t>(100</w:t>
            </w:r>
            <w:r w:rsidR="00A60A8F">
              <w:rPr>
                <w:szCs w:val="20"/>
                <w:lang w:val="en-GB"/>
              </w:rPr>
              <w:t>.</w:t>
            </w:r>
            <w:r w:rsidR="00E32778" w:rsidRPr="0046081A">
              <w:rPr>
                <w:szCs w:val="20"/>
                <w:lang w:val="en-GB"/>
              </w:rPr>
              <w:t>9%),</w:t>
            </w:r>
            <w:r w:rsidR="00A60A8F">
              <w:rPr>
                <w:szCs w:val="20"/>
                <w:lang w:val="en-GB"/>
              </w:rPr>
              <w:t xml:space="preserve"> but also with services </w:t>
            </w:r>
            <w:r w:rsidR="00E32778" w:rsidRPr="0046081A">
              <w:rPr>
                <w:szCs w:val="20"/>
                <w:lang w:val="en-GB"/>
              </w:rPr>
              <w:t>(99</w:t>
            </w:r>
            <w:r w:rsidR="00A60A8F">
              <w:rPr>
                <w:szCs w:val="20"/>
                <w:lang w:val="en-GB"/>
              </w:rPr>
              <w:t>.</w:t>
            </w:r>
            <w:r w:rsidR="00E32778" w:rsidRPr="0046081A">
              <w:rPr>
                <w:szCs w:val="20"/>
                <w:lang w:val="en-GB"/>
              </w:rPr>
              <w:t>0%).</w:t>
            </w:r>
          </w:p>
        </w:tc>
      </w:tr>
      <w:tr w:rsidR="00E32778" w:rsidRPr="009110F7" w14:paraId="1CB4C8B5" w14:textId="77777777" w:rsidTr="00F57D57">
        <w:trPr>
          <w:trHeight w:val="145"/>
        </w:trPr>
        <w:tc>
          <w:tcPr>
            <w:tcW w:w="1805" w:type="dxa"/>
            <w:shd w:val="clear" w:color="auto" w:fill="auto"/>
            <w:tcMar>
              <w:left w:w="0" w:type="dxa"/>
            </w:tcMar>
          </w:tcPr>
          <w:p w14:paraId="43CC5C00" w14:textId="0D94A648" w:rsidR="00E32778" w:rsidRPr="00A04D45" w:rsidRDefault="008E0F7B" w:rsidP="00F57D57">
            <w:pPr>
              <w:pStyle w:val="Marginlie"/>
              <w:rPr>
                <w:spacing w:val="0"/>
                <w:lang w:val="en-GB"/>
              </w:rPr>
            </w:pPr>
            <w:r>
              <w:rPr>
                <w:spacing w:val="0"/>
                <w:lang w:val="en-GB"/>
              </w:rPr>
              <w:t xml:space="preserve">The year-on-year growth of consumer prices notably </w:t>
            </w:r>
            <w:r w:rsidR="000B3F30">
              <w:rPr>
                <w:spacing w:val="0"/>
                <w:lang w:val="en-GB"/>
              </w:rPr>
              <w:t xml:space="preserve">gained pace </w:t>
            </w:r>
            <w:r>
              <w:rPr>
                <w:spacing w:val="0"/>
                <w:lang w:val="en-GB"/>
              </w:rPr>
              <w:t xml:space="preserve">in Q2. </w:t>
            </w:r>
          </w:p>
        </w:tc>
        <w:tc>
          <w:tcPr>
            <w:tcW w:w="224" w:type="dxa"/>
            <w:shd w:val="clear" w:color="auto" w:fill="auto"/>
            <w:tcMar>
              <w:left w:w="0" w:type="dxa"/>
            </w:tcMar>
          </w:tcPr>
          <w:p w14:paraId="11F2501B" w14:textId="77777777" w:rsidR="00E32778" w:rsidRPr="00A04D45" w:rsidRDefault="00E32778" w:rsidP="00F57D57">
            <w:pPr>
              <w:pStyle w:val="Textpoznpodarou1"/>
              <w:jc w:val="both"/>
              <w:rPr>
                <w:highlight w:val="yellow"/>
                <w:lang w:val="en-GB"/>
              </w:rPr>
            </w:pPr>
          </w:p>
        </w:tc>
        <w:tc>
          <w:tcPr>
            <w:tcW w:w="7610" w:type="dxa"/>
            <w:shd w:val="clear" w:color="auto" w:fill="auto"/>
            <w:tcMar>
              <w:left w:w="0" w:type="dxa"/>
            </w:tcMar>
          </w:tcPr>
          <w:p w14:paraId="17F7E910" w14:textId="0223CFE8" w:rsidR="00E32778" w:rsidRPr="00A04D45" w:rsidRDefault="008E0F7B" w:rsidP="00F57D57">
            <w:pPr>
              <w:rPr>
                <w:lang w:val="en-GB"/>
              </w:rPr>
            </w:pPr>
            <w:r>
              <w:rPr>
                <w:lang w:val="en-GB"/>
              </w:rPr>
              <w:t>Year-on-year increase of consumer prices attained 2.9% in Q</w:t>
            </w:r>
            <w:r w:rsidR="00E32778" w:rsidRPr="00A04D45">
              <w:rPr>
                <w:lang w:val="en-GB"/>
              </w:rPr>
              <w:t>2</w:t>
            </w:r>
            <w:r>
              <w:rPr>
                <w:lang w:val="en-GB"/>
              </w:rPr>
              <w:t xml:space="preserve"> </w:t>
            </w:r>
            <w:r w:rsidR="00E32778" w:rsidRPr="00A04D45">
              <w:rPr>
                <w:lang w:val="en-GB"/>
              </w:rPr>
              <w:t>2021</w:t>
            </w:r>
            <w:r>
              <w:rPr>
                <w:lang w:val="en-GB"/>
              </w:rPr>
              <w:t xml:space="preserve">. </w:t>
            </w:r>
            <w:r w:rsidR="00451A42">
              <w:rPr>
                <w:lang w:val="en-GB"/>
              </w:rPr>
              <w:t>Following a weaker year-on-year pace from Q</w:t>
            </w:r>
            <w:r w:rsidR="00E32778" w:rsidRPr="00A04D45">
              <w:rPr>
                <w:lang w:val="en-GB"/>
              </w:rPr>
              <w:t>1</w:t>
            </w:r>
            <w:r w:rsidR="00451A42">
              <w:rPr>
                <w:lang w:val="en-GB"/>
              </w:rPr>
              <w:t>, a significant strengthening manifested in the course of Q</w:t>
            </w:r>
            <w:r w:rsidR="00E32778" w:rsidRPr="00A04D45">
              <w:rPr>
                <w:lang w:val="en-GB"/>
              </w:rPr>
              <w:t>2.</w:t>
            </w:r>
            <w:r w:rsidR="00451A42">
              <w:rPr>
                <w:lang w:val="en-GB"/>
              </w:rPr>
              <w:t xml:space="preserve"> </w:t>
            </w:r>
            <w:r w:rsidR="00367811">
              <w:rPr>
                <w:lang w:val="en-GB"/>
              </w:rPr>
              <w:t xml:space="preserve">Mainly the acceleration of the year-on-year growth of prices of transportation participated on this result </w:t>
            </w:r>
            <w:r w:rsidR="00E32778" w:rsidRPr="00A04D45">
              <w:rPr>
                <w:lang w:val="en-GB"/>
              </w:rPr>
              <w:t>(</w:t>
            </w:r>
            <w:r>
              <w:rPr>
                <w:lang w:val="en-GB"/>
              </w:rPr>
              <w:t>under the influence of prices of fuels</w:t>
            </w:r>
            <w:r w:rsidR="00E32778" w:rsidRPr="00A04D45">
              <w:rPr>
                <w:lang w:val="en-GB"/>
              </w:rPr>
              <w:t>),</w:t>
            </w:r>
            <w:r>
              <w:rPr>
                <w:lang w:val="en-GB"/>
              </w:rPr>
              <w:t xml:space="preserve"> </w:t>
            </w:r>
            <w:r w:rsidR="00367811">
              <w:rPr>
                <w:lang w:val="en-GB"/>
              </w:rPr>
              <w:t>which also moved to a position on the consumption basket, which affected the total year-on-year increase of prices the most</w:t>
            </w:r>
            <w:r w:rsidR="00E32778" w:rsidRPr="00A04D45">
              <w:rPr>
                <w:lang w:val="en-GB"/>
              </w:rPr>
              <w:t xml:space="preserve">. </w:t>
            </w:r>
            <w:r w:rsidR="008F056E">
              <w:rPr>
                <w:lang w:val="en-GB"/>
              </w:rPr>
              <w:t>Prices of alcoholic beverages and tobacco represented the second largest increase</w:t>
            </w:r>
            <w:r w:rsidR="00E32778" w:rsidRPr="00A04D45">
              <w:rPr>
                <w:lang w:val="en-GB"/>
              </w:rPr>
              <w:t xml:space="preserve">. </w:t>
            </w:r>
            <w:r w:rsidR="009C00A9">
              <w:rPr>
                <w:lang w:val="en-GB"/>
              </w:rPr>
              <w:t>The influence of increase in prices of housing and energies also strengthened. For the whole H</w:t>
            </w:r>
            <w:r w:rsidR="00E32778" w:rsidRPr="00A04D45">
              <w:rPr>
                <w:lang w:val="en-GB"/>
              </w:rPr>
              <w:t>1</w:t>
            </w:r>
            <w:r w:rsidR="009C00A9">
              <w:rPr>
                <w:lang w:val="en-GB"/>
              </w:rPr>
              <w:t xml:space="preserve">, </w:t>
            </w:r>
            <w:r w:rsidR="00FA2A90">
              <w:rPr>
                <w:lang w:val="en-GB"/>
              </w:rPr>
              <w:t xml:space="preserve">the consumer prices rose by </w:t>
            </w:r>
            <w:r w:rsidR="00E32778" w:rsidRPr="00A04D45">
              <w:rPr>
                <w:lang w:val="en-GB"/>
              </w:rPr>
              <w:t>2</w:t>
            </w:r>
            <w:r w:rsidR="00FA2A90">
              <w:rPr>
                <w:lang w:val="en-GB"/>
              </w:rPr>
              <w:t>.</w:t>
            </w:r>
            <w:r w:rsidR="00E32778" w:rsidRPr="00A04D45">
              <w:rPr>
                <w:lang w:val="en-GB"/>
              </w:rPr>
              <w:t>5%</w:t>
            </w:r>
            <w:r w:rsidR="00FA2A90">
              <w:rPr>
                <w:lang w:val="en-GB"/>
              </w:rPr>
              <w:t xml:space="preserve"> year-on-year</w:t>
            </w:r>
            <w:r w:rsidR="00E32778" w:rsidRPr="00A04D45">
              <w:rPr>
                <w:lang w:val="en-GB"/>
              </w:rPr>
              <w:t xml:space="preserve">. </w:t>
            </w:r>
            <w:r w:rsidR="00FA2A90">
              <w:rPr>
                <w:lang w:val="en-GB"/>
              </w:rPr>
              <w:t>Compared to Q</w:t>
            </w:r>
            <w:r w:rsidR="00E32778" w:rsidRPr="00A04D45">
              <w:rPr>
                <w:lang w:val="en-GB"/>
              </w:rPr>
              <w:t>1</w:t>
            </w:r>
            <w:r w:rsidR="00FA2A90">
              <w:rPr>
                <w:lang w:val="en-GB"/>
              </w:rPr>
              <w:t xml:space="preserve"> </w:t>
            </w:r>
            <w:r w:rsidR="00E32778" w:rsidRPr="00A04D45">
              <w:rPr>
                <w:lang w:val="en-GB"/>
              </w:rPr>
              <w:t>2021</w:t>
            </w:r>
            <w:r w:rsidR="00FA2A90">
              <w:rPr>
                <w:lang w:val="en-GB"/>
              </w:rPr>
              <w:t xml:space="preserve">, the consumer prices grew by </w:t>
            </w:r>
            <w:r w:rsidR="00E32778" w:rsidRPr="00A04D45">
              <w:rPr>
                <w:lang w:val="en-GB"/>
              </w:rPr>
              <w:t>1</w:t>
            </w:r>
            <w:r w:rsidR="00FA2A90">
              <w:rPr>
                <w:lang w:val="en-GB"/>
              </w:rPr>
              <w:t>.</w:t>
            </w:r>
            <w:r w:rsidR="00E32778" w:rsidRPr="00A04D45">
              <w:rPr>
                <w:lang w:val="en-GB"/>
              </w:rPr>
              <w:t xml:space="preserve">0%, </w:t>
            </w:r>
            <w:r w:rsidR="00FA2A90">
              <w:rPr>
                <w:lang w:val="en-GB"/>
              </w:rPr>
              <w:t xml:space="preserve">which was also the result </w:t>
            </w:r>
            <w:r w:rsidR="000B3F30">
              <w:rPr>
                <w:lang w:val="en-GB"/>
              </w:rPr>
              <w:t xml:space="preserve">of </w:t>
            </w:r>
            <w:r w:rsidR="00FA2A90">
              <w:rPr>
                <w:lang w:val="en-GB"/>
              </w:rPr>
              <w:t xml:space="preserve">strengthened price growth of transportation. </w:t>
            </w:r>
            <w:r w:rsidR="00F26770">
              <w:rPr>
                <w:lang w:val="en-GB"/>
              </w:rPr>
              <w:t>Increase of prices of housing and alcoholic beverages and tobacco were</w:t>
            </w:r>
            <w:r w:rsidR="00D9317C">
              <w:rPr>
                <w:lang w:val="en-GB"/>
              </w:rPr>
              <w:t xml:space="preserve"> </w:t>
            </w:r>
            <w:r w:rsidR="00F26770">
              <w:rPr>
                <w:lang w:val="en-GB"/>
              </w:rPr>
              <w:t xml:space="preserve">also instrument in the quarter-on-quarter </w:t>
            </w:r>
            <w:r w:rsidR="00D9317C">
              <w:rPr>
                <w:lang w:val="en-GB"/>
              </w:rPr>
              <w:t>growth</w:t>
            </w:r>
            <w:r w:rsidR="00E32778" w:rsidRPr="00A04D45">
              <w:rPr>
                <w:lang w:val="en-GB"/>
              </w:rPr>
              <w:t>.</w:t>
            </w:r>
          </w:p>
        </w:tc>
      </w:tr>
      <w:tr w:rsidR="00E32778" w:rsidRPr="00D75AC1" w14:paraId="40085F67" w14:textId="77777777" w:rsidTr="00F57D57">
        <w:trPr>
          <w:trHeight w:val="170"/>
        </w:trPr>
        <w:tc>
          <w:tcPr>
            <w:tcW w:w="1805" w:type="dxa"/>
            <w:vMerge w:val="restart"/>
            <w:shd w:val="clear" w:color="auto" w:fill="auto"/>
            <w:tcMar>
              <w:left w:w="0" w:type="dxa"/>
            </w:tcMar>
          </w:tcPr>
          <w:p w14:paraId="5E847C94" w14:textId="77777777" w:rsidR="00E32778" w:rsidRDefault="00E32778" w:rsidP="00F57D57">
            <w:pPr>
              <w:pStyle w:val="Marginlie"/>
              <w:rPr>
                <w:spacing w:val="0"/>
              </w:rPr>
            </w:pPr>
          </w:p>
        </w:tc>
        <w:tc>
          <w:tcPr>
            <w:tcW w:w="224" w:type="dxa"/>
            <w:vMerge w:val="restart"/>
            <w:shd w:val="clear" w:color="auto" w:fill="auto"/>
            <w:tcMar>
              <w:left w:w="0" w:type="dxa"/>
            </w:tcMar>
          </w:tcPr>
          <w:p w14:paraId="1BAC15C8" w14:textId="77777777" w:rsidR="00E32778" w:rsidRPr="00793D78" w:rsidRDefault="00E32778" w:rsidP="00F57D57">
            <w:pPr>
              <w:pStyle w:val="Textpoznpodarou1"/>
              <w:jc w:val="both"/>
              <w:rPr>
                <w:highlight w:val="yellow"/>
              </w:rPr>
            </w:pPr>
          </w:p>
        </w:tc>
        <w:tc>
          <w:tcPr>
            <w:tcW w:w="7610" w:type="dxa"/>
            <w:shd w:val="clear" w:color="auto" w:fill="auto"/>
            <w:tcMar>
              <w:left w:w="0" w:type="dxa"/>
            </w:tcMar>
          </w:tcPr>
          <w:p w14:paraId="33CC4F3B" w14:textId="012DB410" w:rsidR="00E32778" w:rsidRPr="00D75AC1" w:rsidRDefault="00407C75" w:rsidP="00F57D57">
            <w:pPr>
              <w:spacing w:after="0"/>
              <w:rPr>
                <w:b/>
                <w:szCs w:val="20"/>
              </w:rPr>
            </w:pPr>
            <w:r>
              <w:rPr>
                <w:rFonts w:cs="Arial"/>
                <w:b/>
                <w:bCs/>
                <w:color w:val="000000"/>
                <w:sz w:val="18"/>
                <w:szCs w:val="18"/>
              </w:rPr>
              <w:t xml:space="preserve">Chart </w:t>
            </w:r>
            <w:r w:rsidR="00E32778">
              <w:rPr>
                <w:rFonts w:cs="Arial"/>
                <w:b/>
                <w:bCs/>
                <w:color w:val="000000"/>
                <w:sz w:val="18"/>
                <w:szCs w:val="18"/>
              </w:rPr>
              <w:t xml:space="preserve">9 </w:t>
            </w:r>
            <w:r w:rsidR="00E32778" w:rsidRPr="00793D78">
              <w:rPr>
                <w:rFonts w:cs="Arial"/>
                <w:b/>
                <w:bCs/>
                <w:color w:val="000000"/>
                <w:sz w:val="18"/>
                <w:szCs w:val="18"/>
              </w:rPr>
              <w:t xml:space="preserve"> </w:t>
            </w:r>
            <w:r w:rsidR="000B3F30" w:rsidRPr="006E0ED0">
              <w:rPr>
                <w:rFonts w:cs="Arial"/>
                <w:b/>
                <w:bCs/>
                <w:color w:val="000000"/>
                <w:sz w:val="18"/>
                <w:szCs w:val="18"/>
                <w:lang w:val="en-GB"/>
              </w:rPr>
              <w:t xml:space="preserve">Prices in the selected divisions of the consumer price index </w:t>
            </w:r>
            <w:r w:rsidR="000B3F30" w:rsidRPr="006E0ED0">
              <w:rPr>
                <w:rFonts w:cs="Arial"/>
                <w:color w:val="000000"/>
                <w:sz w:val="18"/>
                <w:szCs w:val="18"/>
                <w:lang w:val="en-GB"/>
              </w:rPr>
              <w:t>(year-on-year in %)</w:t>
            </w:r>
          </w:p>
        </w:tc>
      </w:tr>
      <w:tr w:rsidR="00E32778" w:rsidRPr="009110F7" w14:paraId="546FA6EF" w14:textId="77777777" w:rsidTr="001849BE">
        <w:tblPrEx>
          <w:tblCellMar>
            <w:left w:w="70" w:type="dxa"/>
            <w:right w:w="70" w:type="dxa"/>
          </w:tblCellMar>
        </w:tblPrEx>
        <w:trPr>
          <w:trHeight w:val="170"/>
        </w:trPr>
        <w:tc>
          <w:tcPr>
            <w:tcW w:w="1805" w:type="dxa"/>
            <w:vMerge/>
            <w:shd w:val="clear" w:color="auto" w:fill="auto"/>
          </w:tcPr>
          <w:p w14:paraId="1C40CB83" w14:textId="77777777" w:rsidR="00E32778" w:rsidRPr="00793D78" w:rsidRDefault="00E32778" w:rsidP="00F57D57">
            <w:pPr>
              <w:pStyle w:val="Marginlie"/>
              <w:rPr>
                <w:spacing w:val="0"/>
              </w:rPr>
            </w:pPr>
          </w:p>
        </w:tc>
        <w:tc>
          <w:tcPr>
            <w:tcW w:w="224" w:type="dxa"/>
            <w:vMerge/>
            <w:shd w:val="clear" w:color="auto" w:fill="auto"/>
          </w:tcPr>
          <w:p w14:paraId="7CCC12F0" w14:textId="77777777" w:rsidR="00E32778" w:rsidRPr="00793D78" w:rsidRDefault="00E32778" w:rsidP="00F57D57">
            <w:pPr>
              <w:pStyle w:val="Textpoznpodarou"/>
              <w:jc w:val="both"/>
            </w:pPr>
          </w:p>
        </w:tc>
        <w:tc>
          <w:tcPr>
            <w:tcW w:w="7610" w:type="dxa"/>
            <w:shd w:val="clear" w:color="auto" w:fill="auto"/>
          </w:tcPr>
          <w:p w14:paraId="3BFF83CA" w14:textId="1A69CBBB" w:rsidR="00E32778" w:rsidRPr="00793D78" w:rsidRDefault="001849BE" w:rsidP="00F57D57">
            <w:pPr>
              <w:spacing w:after="0"/>
            </w:pPr>
            <w:r>
              <w:rPr>
                <w:noProof/>
              </w:rPr>
              <w:drawing>
                <wp:inline distT="0" distB="0" distL="0" distR="0" wp14:anchorId="67B98ED0" wp14:editId="6A74055E">
                  <wp:extent cx="4737600" cy="3553200"/>
                  <wp:effectExtent l="0" t="0" r="6350" b="0"/>
                  <wp:docPr id="34" name="Graf 34">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E32778" w:rsidRPr="009110F7" w14:paraId="754D62F4" w14:textId="77777777" w:rsidTr="00F57D57">
        <w:trPr>
          <w:trHeight w:val="170"/>
        </w:trPr>
        <w:tc>
          <w:tcPr>
            <w:tcW w:w="1805" w:type="dxa"/>
            <w:vMerge/>
            <w:shd w:val="clear" w:color="auto" w:fill="auto"/>
            <w:tcMar>
              <w:left w:w="0" w:type="dxa"/>
            </w:tcMar>
          </w:tcPr>
          <w:p w14:paraId="5A6414C3" w14:textId="77777777" w:rsidR="00E32778" w:rsidRPr="00793D78" w:rsidRDefault="00E32778" w:rsidP="00F57D57">
            <w:pPr>
              <w:pStyle w:val="Marginlie"/>
              <w:rPr>
                <w:spacing w:val="0"/>
              </w:rPr>
            </w:pPr>
          </w:p>
        </w:tc>
        <w:tc>
          <w:tcPr>
            <w:tcW w:w="224" w:type="dxa"/>
            <w:vMerge/>
            <w:shd w:val="clear" w:color="auto" w:fill="auto"/>
            <w:tcMar>
              <w:left w:w="0" w:type="dxa"/>
            </w:tcMar>
          </w:tcPr>
          <w:p w14:paraId="4C7D52EF" w14:textId="77777777" w:rsidR="00E32778" w:rsidRPr="00793D78" w:rsidRDefault="00E32778" w:rsidP="00F57D57">
            <w:pPr>
              <w:pStyle w:val="Textpoznpodarou"/>
              <w:jc w:val="both"/>
            </w:pPr>
          </w:p>
        </w:tc>
        <w:tc>
          <w:tcPr>
            <w:tcW w:w="7610" w:type="dxa"/>
            <w:shd w:val="clear" w:color="auto" w:fill="auto"/>
            <w:tcMar>
              <w:left w:w="0" w:type="dxa"/>
            </w:tcMar>
          </w:tcPr>
          <w:p w14:paraId="7EE36958" w14:textId="34DA445A" w:rsidR="00407C75" w:rsidRPr="00793D78" w:rsidRDefault="00407C75" w:rsidP="001849BE">
            <w:pPr>
              <w:rPr>
                <w:sz w:val="14"/>
                <w:szCs w:val="14"/>
              </w:rPr>
            </w:pPr>
            <w:r>
              <w:rPr>
                <w:sz w:val="14"/>
                <w:szCs w:val="14"/>
              </w:rPr>
              <w:t>Source</w:t>
            </w:r>
            <w:r w:rsidR="00E32778" w:rsidRPr="00793D78">
              <w:rPr>
                <w:sz w:val="14"/>
                <w:szCs w:val="14"/>
              </w:rPr>
              <w:t xml:space="preserve">: </w:t>
            </w:r>
            <w:r>
              <w:rPr>
                <w:sz w:val="14"/>
                <w:szCs w:val="14"/>
              </w:rPr>
              <w:t>CZSO</w:t>
            </w:r>
          </w:p>
        </w:tc>
      </w:tr>
      <w:tr w:rsidR="00E32778" w:rsidRPr="009110F7" w14:paraId="1269119D" w14:textId="77777777" w:rsidTr="00F57D57">
        <w:trPr>
          <w:trHeight w:val="145"/>
        </w:trPr>
        <w:tc>
          <w:tcPr>
            <w:tcW w:w="1805" w:type="dxa"/>
            <w:shd w:val="clear" w:color="auto" w:fill="auto"/>
            <w:tcMar>
              <w:left w:w="0" w:type="dxa"/>
            </w:tcMar>
          </w:tcPr>
          <w:p w14:paraId="34DA32F0" w14:textId="2EBFF027" w:rsidR="00E32778" w:rsidRPr="00D9317C" w:rsidRDefault="00D952A1" w:rsidP="00F57D57">
            <w:pPr>
              <w:pStyle w:val="Marginlie"/>
              <w:rPr>
                <w:spacing w:val="0"/>
                <w:lang w:val="en-GB"/>
              </w:rPr>
            </w:pPr>
            <w:r>
              <w:rPr>
                <w:spacing w:val="0"/>
                <w:lang w:val="en-GB"/>
              </w:rPr>
              <w:t xml:space="preserve">Mainly the prices of fuels shared the most in the strengthened dynamics. </w:t>
            </w:r>
          </w:p>
        </w:tc>
        <w:tc>
          <w:tcPr>
            <w:tcW w:w="224" w:type="dxa"/>
            <w:shd w:val="clear" w:color="auto" w:fill="auto"/>
            <w:tcMar>
              <w:left w:w="0" w:type="dxa"/>
            </w:tcMar>
          </w:tcPr>
          <w:p w14:paraId="31E0E440" w14:textId="77777777" w:rsidR="00E32778" w:rsidRPr="00D9317C" w:rsidRDefault="00E32778" w:rsidP="00F57D57">
            <w:pPr>
              <w:pStyle w:val="Textpoznpodarou1"/>
              <w:jc w:val="both"/>
              <w:rPr>
                <w:lang w:val="en-GB"/>
              </w:rPr>
            </w:pPr>
          </w:p>
        </w:tc>
        <w:tc>
          <w:tcPr>
            <w:tcW w:w="7610" w:type="dxa"/>
            <w:shd w:val="clear" w:color="auto" w:fill="auto"/>
            <w:tcMar>
              <w:left w:w="0" w:type="dxa"/>
            </w:tcMar>
          </w:tcPr>
          <w:p w14:paraId="1BA13488" w14:textId="25A7AFAC" w:rsidR="00E32778" w:rsidRPr="00D9317C" w:rsidRDefault="005618E1" w:rsidP="00F57D57">
            <w:pPr>
              <w:rPr>
                <w:lang w:val="en-GB"/>
              </w:rPr>
            </w:pPr>
            <w:r>
              <w:rPr>
                <w:lang w:val="en-GB"/>
              </w:rPr>
              <w:t xml:space="preserve">Prices of transportation were raised by </w:t>
            </w:r>
            <w:r w:rsidR="00E32778" w:rsidRPr="00D9317C">
              <w:rPr>
                <w:lang w:val="en-GB"/>
              </w:rPr>
              <w:t>9</w:t>
            </w:r>
            <w:r>
              <w:rPr>
                <w:lang w:val="en-GB"/>
              </w:rPr>
              <w:t>.</w:t>
            </w:r>
            <w:r w:rsidR="00E32778" w:rsidRPr="00D9317C">
              <w:rPr>
                <w:lang w:val="en-GB"/>
              </w:rPr>
              <w:t>1%</w:t>
            </w:r>
            <w:r>
              <w:rPr>
                <w:lang w:val="en-GB"/>
              </w:rPr>
              <w:t xml:space="preserve"> year-on-year in Q2</w:t>
            </w:r>
            <w:r w:rsidR="00E32778" w:rsidRPr="00D9317C">
              <w:rPr>
                <w:lang w:val="en-GB"/>
              </w:rPr>
              <w:t xml:space="preserve">. </w:t>
            </w:r>
            <w:r w:rsidR="00FA4E3E">
              <w:rPr>
                <w:lang w:val="en-GB"/>
              </w:rPr>
              <w:t xml:space="preserve">It is substantially more than in the previous quarter </w:t>
            </w:r>
            <w:r w:rsidR="00E32778" w:rsidRPr="00D9317C">
              <w:rPr>
                <w:lang w:val="en-GB"/>
              </w:rPr>
              <w:t>(2</w:t>
            </w:r>
            <w:r w:rsidR="00FA4E3E">
              <w:rPr>
                <w:lang w:val="en-GB"/>
              </w:rPr>
              <w:t>.</w:t>
            </w:r>
            <w:r w:rsidR="00E32778" w:rsidRPr="00D9317C">
              <w:rPr>
                <w:lang w:val="en-GB"/>
              </w:rPr>
              <w:t>4%) a</w:t>
            </w:r>
            <w:r w:rsidR="00FA4E3E">
              <w:rPr>
                <w:lang w:val="en-GB"/>
              </w:rPr>
              <w:t xml:space="preserve">nd it represents the record increase in the whole time series since year </w:t>
            </w:r>
            <w:r w:rsidR="00067982" w:rsidRPr="00D9317C">
              <w:rPr>
                <w:lang w:val="en-GB"/>
              </w:rPr>
              <w:t>2005</w:t>
            </w:r>
            <w:r w:rsidR="00E32778" w:rsidRPr="00D9317C">
              <w:rPr>
                <w:lang w:val="en-GB"/>
              </w:rPr>
              <w:t xml:space="preserve">. </w:t>
            </w:r>
            <w:r w:rsidR="0034275C">
              <w:rPr>
                <w:lang w:val="en-GB"/>
              </w:rPr>
              <w:t xml:space="preserve">Operation of private motor vehicles, especially the fuels were the main driver of the growth of prices of transportation. Because the prices of oil in comparison to the record low level of the same period of the last year considerably </w:t>
            </w:r>
            <w:r w:rsidR="0034275C">
              <w:rPr>
                <w:lang w:val="en-GB"/>
              </w:rPr>
              <w:lastRenderedPageBreak/>
              <w:t>increased</w:t>
            </w:r>
            <w:r w:rsidR="00E32778" w:rsidRPr="00D9317C">
              <w:rPr>
                <w:rStyle w:val="Znakapoznpodarou"/>
                <w:lang w:val="en-GB"/>
              </w:rPr>
              <w:footnoteReference w:id="1"/>
            </w:r>
            <w:r w:rsidR="00E32778" w:rsidRPr="00D9317C">
              <w:rPr>
                <w:lang w:val="en-GB"/>
              </w:rPr>
              <w:t xml:space="preserve">. </w:t>
            </w:r>
            <w:r w:rsidR="00972417">
              <w:rPr>
                <w:lang w:val="en-GB"/>
              </w:rPr>
              <w:t xml:space="preserve">The cost of operating a transport vehicle climbed up by </w:t>
            </w:r>
            <w:r w:rsidR="00E32778" w:rsidRPr="00D9317C">
              <w:rPr>
                <w:lang w:val="en-GB"/>
              </w:rPr>
              <w:t>13</w:t>
            </w:r>
            <w:r w:rsidR="00972417">
              <w:rPr>
                <w:lang w:val="en-GB"/>
              </w:rPr>
              <w:t>.</w:t>
            </w:r>
            <w:r w:rsidR="00E32778" w:rsidRPr="00D9317C">
              <w:rPr>
                <w:lang w:val="en-GB"/>
              </w:rPr>
              <w:t>9%</w:t>
            </w:r>
            <w:r w:rsidR="00972417">
              <w:rPr>
                <w:lang w:val="en-GB"/>
              </w:rPr>
              <w:t xml:space="preserve"> year-on-year</w:t>
            </w:r>
            <w:r w:rsidR="00E32778" w:rsidRPr="00D9317C">
              <w:rPr>
                <w:lang w:val="en-GB"/>
              </w:rPr>
              <w:t>.</w:t>
            </w:r>
            <w:r w:rsidR="00972417">
              <w:rPr>
                <w:lang w:val="en-GB"/>
              </w:rPr>
              <w:t xml:space="preserve"> The dynamics fluctuations of oil prices are relatively common, this tome however their growth also coincided with more than one year lasting strong year-on-year growth of prices of motor vehicle, motorcycle and bicycle purchases </w:t>
            </w:r>
            <w:r w:rsidR="00E32778" w:rsidRPr="00D9317C">
              <w:rPr>
                <w:lang w:val="en-GB"/>
              </w:rPr>
              <w:t>(7</w:t>
            </w:r>
            <w:r w:rsidR="008A62BF">
              <w:rPr>
                <w:lang w:val="en-GB"/>
              </w:rPr>
              <w:t>.</w:t>
            </w:r>
            <w:r w:rsidR="00E32778" w:rsidRPr="00D9317C">
              <w:rPr>
                <w:lang w:val="en-GB"/>
              </w:rPr>
              <w:t>1%</w:t>
            </w:r>
            <w:r w:rsidR="008A62BF">
              <w:rPr>
                <w:lang w:val="en-GB"/>
              </w:rPr>
              <w:t xml:space="preserve"> in Q2</w:t>
            </w:r>
            <w:r w:rsidR="00E32778" w:rsidRPr="00D9317C">
              <w:rPr>
                <w:lang w:val="en-GB"/>
              </w:rPr>
              <w:t xml:space="preserve">). </w:t>
            </w:r>
            <w:r>
              <w:rPr>
                <w:lang w:val="en-GB"/>
              </w:rPr>
              <w:t xml:space="preserve">Increase of prices of transportation services also gained pace up to </w:t>
            </w:r>
            <w:r w:rsidR="00E32778" w:rsidRPr="00D9317C">
              <w:rPr>
                <w:lang w:val="en-GB"/>
              </w:rPr>
              <w:t>1</w:t>
            </w:r>
            <w:r>
              <w:rPr>
                <w:lang w:val="en-GB"/>
              </w:rPr>
              <w:t>.</w:t>
            </w:r>
            <w:r w:rsidR="00E32778" w:rsidRPr="00D9317C">
              <w:rPr>
                <w:lang w:val="en-GB"/>
              </w:rPr>
              <w:t>5%</w:t>
            </w:r>
            <w:r>
              <w:rPr>
                <w:lang w:val="en-GB"/>
              </w:rPr>
              <w:t xml:space="preserve"> in Q</w:t>
            </w:r>
            <w:r w:rsidR="00E32778" w:rsidRPr="00D9317C">
              <w:rPr>
                <w:lang w:val="en-GB"/>
              </w:rPr>
              <w:t>2.</w:t>
            </w:r>
          </w:p>
        </w:tc>
      </w:tr>
      <w:tr w:rsidR="00E32778" w:rsidRPr="009110F7" w14:paraId="2CC00CFA" w14:textId="77777777" w:rsidTr="00F57D57">
        <w:trPr>
          <w:trHeight w:val="145"/>
        </w:trPr>
        <w:tc>
          <w:tcPr>
            <w:tcW w:w="1805" w:type="dxa"/>
            <w:shd w:val="clear" w:color="auto" w:fill="auto"/>
            <w:tcMar>
              <w:left w:w="0" w:type="dxa"/>
            </w:tcMar>
          </w:tcPr>
          <w:p w14:paraId="63D55D18" w14:textId="5559CA53" w:rsidR="00E32778" w:rsidRPr="00D952A1" w:rsidRDefault="00D952A1" w:rsidP="00F57D57">
            <w:pPr>
              <w:pStyle w:val="Marginlie"/>
              <w:rPr>
                <w:spacing w:val="0"/>
                <w:lang w:val="en-GB"/>
              </w:rPr>
            </w:pPr>
            <w:r>
              <w:rPr>
                <w:spacing w:val="0"/>
                <w:lang w:val="en-GB"/>
              </w:rPr>
              <w:lastRenderedPageBreak/>
              <w:t xml:space="preserve">Prices of tobacco products kept strongly growing. </w:t>
            </w:r>
          </w:p>
        </w:tc>
        <w:tc>
          <w:tcPr>
            <w:tcW w:w="224" w:type="dxa"/>
            <w:shd w:val="clear" w:color="auto" w:fill="auto"/>
            <w:tcMar>
              <w:left w:w="0" w:type="dxa"/>
            </w:tcMar>
          </w:tcPr>
          <w:p w14:paraId="0B61503E" w14:textId="77777777" w:rsidR="00E32778" w:rsidRPr="00D952A1" w:rsidRDefault="00E32778" w:rsidP="00F57D57">
            <w:pPr>
              <w:pStyle w:val="Textpoznpodarou1"/>
              <w:jc w:val="both"/>
              <w:rPr>
                <w:lang w:val="en-GB"/>
              </w:rPr>
            </w:pPr>
          </w:p>
        </w:tc>
        <w:tc>
          <w:tcPr>
            <w:tcW w:w="7610" w:type="dxa"/>
            <w:shd w:val="clear" w:color="auto" w:fill="auto"/>
            <w:tcMar>
              <w:left w:w="0" w:type="dxa"/>
            </w:tcMar>
          </w:tcPr>
          <w:p w14:paraId="2F500AEE" w14:textId="3075A073" w:rsidR="00E32778" w:rsidRPr="00D952A1" w:rsidRDefault="001177AB" w:rsidP="00067982">
            <w:pPr>
              <w:rPr>
                <w:lang w:val="en-GB"/>
              </w:rPr>
            </w:pPr>
            <w:r>
              <w:rPr>
                <w:lang w:val="en-GB"/>
              </w:rPr>
              <w:t xml:space="preserve">Prices of alcoholic beverages and tobacco also </w:t>
            </w:r>
            <w:r w:rsidR="008E08CA">
              <w:rPr>
                <w:lang w:val="en-GB"/>
              </w:rPr>
              <w:t>strongly grew</w:t>
            </w:r>
            <w:r>
              <w:rPr>
                <w:lang w:val="en-GB"/>
              </w:rPr>
              <w:t xml:space="preserve"> year-on-year in Q</w:t>
            </w:r>
            <w:r w:rsidR="00E32778" w:rsidRPr="00D952A1">
              <w:rPr>
                <w:lang w:val="en-GB"/>
              </w:rPr>
              <w:t>2</w:t>
            </w:r>
            <w:r>
              <w:rPr>
                <w:lang w:val="en-GB"/>
              </w:rPr>
              <w:t xml:space="preserve"> </w:t>
            </w:r>
            <w:r w:rsidR="00E32778" w:rsidRPr="00D952A1">
              <w:rPr>
                <w:lang w:val="en-GB"/>
              </w:rPr>
              <w:t>(9</w:t>
            </w:r>
            <w:r>
              <w:rPr>
                <w:lang w:val="en-GB"/>
              </w:rPr>
              <w:t>.</w:t>
            </w:r>
            <w:r w:rsidR="00E32778" w:rsidRPr="00D952A1">
              <w:rPr>
                <w:lang w:val="en-GB"/>
              </w:rPr>
              <w:t>8</w:t>
            </w:r>
            <w:r w:rsidR="00E32778" w:rsidRPr="008E08CA">
              <w:rPr>
                <w:lang w:val="en-GB"/>
              </w:rPr>
              <w:t xml:space="preserve">%). </w:t>
            </w:r>
            <w:r w:rsidRPr="008E08CA">
              <w:rPr>
                <w:lang w:val="en-GB"/>
              </w:rPr>
              <w:t xml:space="preserve">Increases moved above the </w:t>
            </w:r>
            <w:r w:rsidR="00E32778" w:rsidRPr="008E08CA">
              <w:rPr>
                <w:lang w:val="en-GB"/>
              </w:rPr>
              <w:t>9%</w:t>
            </w:r>
            <w:r w:rsidRPr="008E08CA">
              <w:rPr>
                <w:lang w:val="en-GB"/>
              </w:rPr>
              <w:t xml:space="preserve"> level since the last year’s June until this year’s May.</w:t>
            </w:r>
            <w:r w:rsidR="008E08CA">
              <w:rPr>
                <w:lang w:val="en-GB"/>
              </w:rPr>
              <w:t xml:space="preserve"> The prices of tobacco were raised by </w:t>
            </w:r>
            <w:r w:rsidR="00E32778" w:rsidRPr="008E08CA">
              <w:rPr>
                <w:lang w:val="en-GB"/>
              </w:rPr>
              <w:t>14</w:t>
            </w:r>
            <w:r w:rsidR="008E08CA">
              <w:rPr>
                <w:lang w:val="en-GB"/>
              </w:rPr>
              <w:t>.</w:t>
            </w:r>
            <w:r w:rsidR="00E32778" w:rsidRPr="008E08CA">
              <w:rPr>
                <w:lang w:val="en-GB"/>
              </w:rPr>
              <w:t>8%</w:t>
            </w:r>
            <w:r w:rsidR="008E08CA">
              <w:rPr>
                <w:lang w:val="en-GB"/>
              </w:rPr>
              <w:t xml:space="preserve"> year-on-year in Q2</w:t>
            </w:r>
            <w:r w:rsidR="00E32778" w:rsidRPr="008E08CA">
              <w:rPr>
                <w:lang w:val="en-GB"/>
              </w:rPr>
              <w:t>,</w:t>
            </w:r>
            <w:r w:rsidR="008E08CA">
              <w:rPr>
                <w:lang w:val="en-GB"/>
              </w:rPr>
              <w:t xml:space="preserve"> while the prices of tobacco beverages by </w:t>
            </w:r>
            <w:r w:rsidR="00E32778" w:rsidRPr="008E08CA">
              <w:rPr>
                <w:lang w:val="en-GB"/>
              </w:rPr>
              <w:t>3</w:t>
            </w:r>
            <w:r w:rsidR="008E08CA">
              <w:rPr>
                <w:lang w:val="en-GB"/>
              </w:rPr>
              <w:t>.</w:t>
            </w:r>
            <w:r w:rsidR="00E32778" w:rsidRPr="008E08CA">
              <w:rPr>
                <w:lang w:val="en-GB"/>
              </w:rPr>
              <w:t>2%.</w:t>
            </w:r>
            <w:r w:rsidR="008E08CA">
              <w:rPr>
                <w:lang w:val="en-GB"/>
              </w:rPr>
              <w:t xml:space="preserve"> </w:t>
            </w:r>
            <w:r w:rsidR="00294886">
              <w:rPr>
                <w:lang w:val="en-GB"/>
              </w:rPr>
              <w:t xml:space="preserve">Strengthening of the year-on-year increase of prices of housing and energies to </w:t>
            </w:r>
            <w:r w:rsidR="00E32778" w:rsidRPr="008E08CA">
              <w:rPr>
                <w:lang w:val="en-GB"/>
              </w:rPr>
              <w:t>1</w:t>
            </w:r>
            <w:r w:rsidR="00294886">
              <w:rPr>
                <w:lang w:val="en-GB"/>
              </w:rPr>
              <w:t>.</w:t>
            </w:r>
            <w:r w:rsidR="00E32778" w:rsidRPr="008E08CA">
              <w:rPr>
                <w:lang w:val="en-GB"/>
              </w:rPr>
              <w:t>3%</w:t>
            </w:r>
            <w:r w:rsidR="00294886">
              <w:rPr>
                <w:lang w:val="en-GB"/>
              </w:rPr>
              <w:t xml:space="preserve"> also left its mark on the total growth of prices</w:t>
            </w:r>
            <w:r w:rsidR="00E32778" w:rsidRPr="008E08CA">
              <w:rPr>
                <w:lang w:val="en-GB"/>
              </w:rPr>
              <w:t xml:space="preserve">. </w:t>
            </w:r>
            <w:r w:rsidR="007A1B7B">
              <w:rPr>
                <w:lang w:val="en-GB"/>
              </w:rPr>
              <w:t xml:space="preserve">With the exception of prices of electricity and heating, gas and other fuels </w:t>
            </w:r>
            <w:r w:rsidR="00E32778" w:rsidRPr="008E08CA">
              <w:rPr>
                <w:lang w:val="en-GB"/>
              </w:rPr>
              <w:t>(</w:t>
            </w:r>
            <w:r w:rsidR="007A1B7B">
              <w:rPr>
                <w:lang w:val="en-GB"/>
              </w:rPr>
              <w:t xml:space="preserve">decrease by </w:t>
            </w:r>
            <w:r w:rsidR="00E32778" w:rsidRPr="008E08CA">
              <w:rPr>
                <w:lang w:val="en-GB"/>
              </w:rPr>
              <w:t>2</w:t>
            </w:r>
            <w:r w:rsidR="007A1B7B">
              <w:rPr>
                <w:lang w:val="en-GB"/>
              </w:rPr>
              <w:t>.</w:t>
            </w:r>
            <w:r w:rsidR="00E32778" w:rsidRPr="008E08CA">
              <w:rPr>
                <w:lang w:val="en-GB"/>
              </w:rPr>
              <w:t>8%)</w:t>
            </w:r>
            <w:r w:rsidR="007B4AD3">
              <w:rPr>
                <w:lang w:val="en-GB"/>
              </w:rPr>
              <w:t>,</w:t>
            </w:r>
            <w:r w:rsidR="00E32778" w:rsidRPr="008E08CA">
              <w:rPr>
                <w:lang w:val="en-GB"/>
              </w:rPr>
              <w:t xml:space="preserve"> </w:t>
            </w:r>
            <w:r w:rsidR="00D74E3B">
              <w:rPr>
                <w:lang w:val="en-GB"/>
              </w:rPr>
              <w:t>the growth of prices accelerated in the whole division</w:t>
            </w:r>
            <w:r w:rsidR="00E32778" w:rsidRPr="008E08CA">
              <w:rPr>
                <w:lang w:val="en-GB"/>
              </w:rPr>
              <w:t>.</w:t>
            </w:r>
            <w:r w:rsidR="00D74E3B">
              <w:rPr>
                <w:lang w:val="en-GB"/>
              </w:rPr>
              <w:t xml:space="preserve"> Residential rents went up by </w:t>
            </w:r>
            <w:r w:rsidR="00E32778" w:rsidRPr="008E08CA">
              <w:rPr>
                <w:lang w:val="en-GB"/>
              </w:rPr>
              <w:t>1</w:t>
            </w:r>
            <w:r w:rsidR="00D74E3B">
              <w:rPr>
                <w:lang w:val="en-GB"/>
              </w:rPr>
              <w:t>.</w:t>
            </w:r>
            <w:r w:rsidR="00E32778" w:rsidRPr="008E08CA">
              <w:rPr>
                <w:lang w:val="en-GB"/>
              </w:rPr>
              <w:t>8%</w:t>
            </w:r>
            <w:r w:rsidR="00D74E3B">
              <w:rPr>
                <w:lang w:val="en-GB"/>
              </w:rPr>
              <w:t xml:space="preserve"> year-on-year</w:t>
            </w:r>
            <w:r w:rsidR="00E32778" w:rsidRPr="008E08CA">
              <w:rPr>
                <w:lang w:val="en-GB"/>
              </w:rPr>
              <w:t>,</w:t>
            </w:r>
            <w:r w:rsidR="00D74E3B">
              <w:rPr>
                <w:lang w:val="en-GB"/>
              </w:rPr>
              <w:t xml:space="preserve"> the imputed rent even by </w:t>
            </w:r>
            <w:r w:rsidR="00E32778" w:rsidRPr="008E08CA">
              <w:rPr>
                <w:lang w:val="en-GB"/>
              </w:rPr>
              <w:t>3</w:t>
            </w:r>
            <w:r w:rsidR="00D74E3B">
              <w:rPr>
                <w:lang w:val="en-GB"/>
              </w:rPr>
              <w:t>.</w:t>
            </w:r>
            <w:r w:rsidR="00E32778" w:rsidRPr="008E08CA">
              <w:rPr>
                <w:lang w:val="en-GB"/>
              </w:rPr>
              <w:t>6%.</w:t>
            </w:r>
            <w:r w:rsidR="00D74E3B">
              <w:rPr>
                <w:lang w:val="en-GB"/>
              </w:rPr>
              <w:t xml:space="preserve"> Regular maintenance and repairs put prices up by </w:t>
            </w:r>
            <w:r w:rsidR="00E32778" w:rsidRPr="008E08CA">
              <w:rPr>
                <w:lang w:val="en-GB"/>
              </w:rPr>
              <w:t>3</w:t>
            </w:r>
            <w:r w:rsidR="00D74E3B">
              <w:rPr>
                <w:lang w:val="en-GB"/>
              </w:rPr>
              <w:t>.</w:t>
            </w:r>
            <w:r w:rsidR="00E32778" w:rsidRPr="008E08CA">
              <w:rPr>
                <w:lang w:val="en-GB"/>
              </w:rPr>
              <w:t>4%</w:t>
            </w:r>
            <w:r w:rsidR="00D74E3B">
              <w:rPr>
                <w:lang w:val="en-GB"/>
              </w:rPr>
              <w:t xml:space="preserve"> and other services associated with housing by </w:t>
            </w:r>
            <w:r w:rsidR="00E32778" w:rsidRPr="008E08CA">
              <w:rPr>
                <w:lang w:val="en-GB"/>
              </w:rPr>
              <w:t>4</w:t>
            </w:r>
            <w:r w:rsidR="00D74E3B">
              <w:rPr>
                <w:lang w:val="en-GB"/>
              </w:rPr>
              <w:t>.</w:t>
            </w:r>
            <w:r w:rsidR="00E32778" w:rsidRPr="008E08CA">
              <w:rPr>
                <w:lang w:val="en-GB"/>
              </w:rPr>
              <w:t>0%.</w:t>
            </w:r>
          </w:p>
        </w:tc>
      </w:tr>
      <w:tr w:rsidR="00E32778" w:rsidRPr="009110F7" w14:paraId="606033D7" w14:textId="77777777" w:rsidTr="00F57D57">
        <w:trPr>
          <w:trHeight w:val="145"/>
        </w:trPr>
        <w:tc>
          <w:tcPr>
            <w:tcW w:w="1805" w:type="dxa"/>
            <w:shd w:val="clear" w:color="auto" w:fill="auto"/>
            <w:tcMar>
              <w:left w:w="0" w:type="dxa"/>
            </w:tcMar>
          </w:tcPr>
          <w:p w14:paraId="5EBE955B" w14:textId="7A6BE988" w:rsidR="00E32778" w:rsidRPr="00972417" w:rsidRDefault="00853D1F" w:rsidP="00F57D57">
            <w:pPr>
              <w:pStyle w:val="Marginlie"/>
              <w:rPr>
                <w:spacing w:val="0"/>
                <w:lang w:val="en-GB"/>
              </w:rPr>
            </w:pPr>
            <w:r>
              <w:rPr>
                <w:spacing w:val="0"/>
                <w:lang w:val="en-GB"/>
              </w:rPr>
              <w:t xml:space="preserve">Prices of majority of consumer basket divisions were growing. </w:t>
            </w:r>
          </w:p>
        </w:tc>
        <w:tc>
          <w:tcPr>
            <w:tcW w:w="224" w:type="dxa"/>
            <w:shd w:val="clear" w:color="auto" w:fill="auto"/>
            <w:tcMar>
              <w:left w:w="0" w:type="dxa"/>
            </w:tcMar>
          </w:tcPr>
          <w:p w14:paraId="5074A949" w14:textId="77777777" w:rsidR="00E32778" w:rsidRPr="00972417" w:rsidRDefault="00E32778" w:rsidP="00F57D57">
            <w:pPr>
              <w:pStyle w:val="Textpoznpodarou1"/>
              <w:jc w:val="both"/>
              <w:rPr>
                <w:lang w:val="en-GB"/>
              </w:rPr>
            </w:pPr>
          </w:p>
        </w:tc>
        <w:tc>
          <w:tcPr>
            <w:tcW w:w="7610" w:type="dxa"/>
            <w:shd w:val="clear" w:color="auto" w:fill="auto"/>
            <w:tcMar>
              <w:left w:w="0" w:type="dxa"/>
            </w:tcMar>
          </w:tcPr>
          <w:p w14:paraId="268F3E92" w14:textId="75FE776F" w:rsidR="00E32778" w:rsidRPr="00972417" w:rsidRDefault="001E71A6" w:rsidP="00F57D57">
            <w:pPr>
              <w:rPr>
                <w:lang w:val="en-GB"/>
              </w:rPr>
            </w:pPr>
            <w:r>
              <w:rPr>
                <w:lang w:val="en-GB"/>
              </w:rPr>
              <w:t xml:space="preserve">Food service and accommodation further contributed to a large extent to the growth of consumer prices </w:t>
            </w:r>
            <w:r w:rsidR="00E32778" w:rsidRPr="00972417">
              <w:rPr>
                <w:lang w:val="en-GB"/>
              </w:rPr>
              <w:t>(</w:t>
            </w:r>
            <w:r>
              <w:rPr>
                <w:lang w:val="en-GB"/>
              </w:rPr>
              <w:t xml:space="preserve">year-on-year increase of </w:t>
            </w:r>
            <w:r w:rsidR="00E32778" w:rsidRPr="00972417">
              <w:rPr>
                <w:lang w:val="en-GB"/>
              </w:rPr>
              <w:t>2</w:t>
            </w:r>
            <w:r>
              <w:rPr>
                <w:lang w:val="en-GB"/>
              </w:rPr>
              <w:t>.</w:t>
            </w:r>
            <w:r w:rsidR="00E32778" w:rsidRPr="00972417">
              <w:rPr>
                <w:lang w:val="en-GB"/>
              </w:rPr>
              <w:t xml:space="preserve">9%). </w:t>
            </w:r>
            <w:r>
              <w:rPr>
                <w:lang w:val="en-GB"/>
              </w:rPr>
              <w:t xml:space="preserve">In that prices of food services were raised by </w:t>
            </w:r>
            <w:r w:rsidR="00E32778" w:rsidRPr="00972417">
              <w:rPr>
                <w:lang w:val="en-GB"/>
              </w:rPr>
              <w:t>3</w:t>
            </w:r>
            <w:r>
              <w:rPr>
                <w:lang w:val="en-GB"/>
              </w:rPr>
              <w:t>.</w:t>
            </w:r>
            <w:r w:rsidR="00E32778" w:rsidRPr="00972417">
              <w:rPr>
                <w:lang w:val="en-GB"/>
              </w:rPr>
              <w:t>4%.</w:t>
            </w:r>
            <w:r>
              <w:rPr>
                <w:lang w:val="en-GB"/>
              </w:rPr>
              <w:t xml:space="preserve"> Prices of accommodation services were by </w:t>
            </w:r>
            <w:r w:rsidR="00E32778" w:rsidRPr="00972417">
              <w:rPr>
                <w:lang w:val="en-GB"/>
              </w:rPr>
              <w:t>0</w:t>
            </w:r>
            <w:r>
              <w:rPr>
                <w:lang w:val="en-GB"/>
              </w:rPr>
              <w:t>.</w:t>
            </w:r>
            <w:r w:rsidR="00E32778" w:rsidRPr="00972417">
              <w:rPr>
                <w:lang w:val="en-GB"/>
              </w:rPr>
              <w:t>7%</w:t>
            </w:r>
            <w:r>
              <w:rPr>
                <w:lang w:val="en-GB"/>
              </w:rPr>
              <w:t xml:space="preserve"> lower year-on-year</w:t>
            </w:r>
            <w:r w:rsidR="00E32778" w:rsidRPr="00972417">
              <w:rPr>
                <w:lang w:val="en-GB"/>
              </w:rPr>
              <w:t>,</w:t>
            </w:r>
            <w:r>
              <w:rPr>
                <w:lang w:val="en-GB"/>
              </w:rPr>
              <w:t xml:space="preserve"> </w:t>
            </w:r>
            <w:r w:rsidR="00E32778" w:rsidRPr="00972417">
              <w:rPr>
                <w:lang w:val="en-GB"/>
              </w:rPr>
              <w:t xml:space="preserve"> </w:t>
            </w:r>
            <w:r w:rsidR="00504E95">
              <w:rPr>
                <w:lang w:val="en-GB"/>
              </w:rPr>
              <w:t>however the year-on-year slump gradually weakened during Q</w:t>
            </w:r>
            <w:r w:rsidR="00E32778" w:rsidRPr="00972417">
              <w:rPr>
                <w:lang w:val="en-GB"/>
              </w:rPr>
              <w:t xml:space="preserve">2, </w:t>
            </w:r>
            <w:r>
              <w:rPr>
                <w:lang w:val="en-GB"/>
              </w:rPr>
              <w:t xml:space="preserve">as the restrictions limiting this branch were loosened. The majority of other consumer basket divisions shew year-on-year increase. Year-on-year increase for other goods and services </w:t>
            </w:r>
            <w:r w:rsidR="00E32778" w:rsidRPr="00972417">
              <w:rPr>
                <w:lang w:val="en-GB"/>
              </w:rPr>
              <w:t>(2</w:t>
            </w:r>
            <w:r>
              <w:rPr>
                <w:lang w:val="en-GB"/>
              </w:rPr>
              <w:t>.</w:t>
            </w:r>
            <w:r w:rsidR="00E32778" w:rsidRPr="00972417">
              <w:rPr>
                <w:lang w:val="en-GB"/>
              </w:rPr>
              <w:t>8%)</w:t>
            </w:r>
            <w:r>
              <w:rPr>
                <w:lang w:val="en-GB"/>
              </w:rPr>
              <w:t xml:space="preserve"> was mainly affected by the prices of financial services. Prices of recreation and culture went up by </w:t>
            </w:r>
            <w:r w:rsidR="00E32778" w:rsidRPr="00972417">
              <w:rPr>
                <w:lang w:val="en-GB"/>
              </w:rPr>
              <w:t>2</w:t>
            </w:r>
            <w:r>
              <w:rPr>
                <w:lang w:val="en-GB"/>
              </w:rPr>
              <w:t>.</w:t>
            </w:r>
            <w:r w:rsidR="00E32778" w:rsidRPr="00972417">
              <w:rPr>
                <w:lang w:val="en-GB"/>
              </w:rPr>
              <w:t>0%</w:t>
            </w:r>
            <w:r>
              <w:rPr>
                <w:lang w:val="en-GB"/>
              </w:rPr>
              <w:t xml:space="preserve"> and the increase strengthened especially for other items for recreation and </w:t>
            </w:r>
            <w:r w:rsidR="00504E95">
              <w:rPr>
                <w:lang w:val="en-GB"/>
              </w:rPr>
              <w:t>leisure</w:t>
            </w:r>
            <w:r>
              <w:rPr>
                <w:lang w:val="en-GB"/>
              </w:rPr>
              <w:t xml:space="preserve"> time including gardening and household pets </w:t>
            </w:r>
            <w:r w:rsidR="00E32778" w:rsidRPr="00972417">
              <w:rPr>
                <w:lang w:val="en-GB"/>
              </w:rPr>
              <w:t>(4</w:t>
            </w:r>
            <w:r>
              <w:rPr>
                <w:lang w:val="en-GB"/>
              </w:rPr>
              <w:t>.</w:t>
            </w:r>
            <w:r w:rsidR="00E32778" w:rsidRPr="00972417">
              <w:rPr>
                <w:lang w:val="en-GB"/>
              </w:rPr>
              <w:t xml:space="preserve">2%). </w:t>
            </w:r>
            <w:r>
              <w:rPr>
                <w:lang w:val="en-GB"/>
              </w:rPr>
              <w:t xml:space="preserve">Prices of wearing apparel and footwear grew by </w:t>
            </w:r>
            <w:r w:rsidR="00E32778" w:rsidRPr="00972417">
              <w:rPr>
                <w:lang w:val="en-GB"/>
              </w:rPr>
              <w:t>2</w:t>
            </w:r>
            <w:r>
              <w:rPr>
                <w:lang w:val="en-GB"/>
              </w:rPr>
              <w:t>.</w:t>
            </w:r>
            <w:r w:rsidR="00E32778" w:rsidRPr="00972417">
              <w:rPr>
                <w:lang w:val="en-GB"/>
              </w:rPr>
              <w:t>9%,</w:t>
            </w:r>
            <w:r>
              <w:rPr>
                <w:lang w:val="en-GB"/>
              </w:rPr>
              <w:t xml:space="preserve"> household equipment and goods by </w:t>
            </w:r>
            <w:r w:rsidR="00E32778" w:rsidRPr="00972417">
              <w:rPr>
                <w:lang w:val="en-GB"/>
              </w:rPr>
              <w:t>2</w:t>
            </w:r>
            <w:r>
              <w:rPr>
                <w:lang w:val="en-GB"/>
              </w:rPr>
              <w:t>.</w:t>
            </w:r>
            <w:r w:rsidR="00E32778" w:rsidRPr="00972417">
              <w:rPr>
                <w:lang w:val="en-GB"/>
              </w:rPr>
              <w:t>1%,</w:t>
            </w:r>
            <w:r>
              <w:rPr>
                <w:lang w:val="en-GB"/>
              </w:rPr>
              <w:t xml:space="preserve"> health by </w:t>
            </w:r>
            <w:r w:rsidR="00E32778" w:rsidRPr="00972417">
              <w:rPr>
                <w:lang w:val="en-GB"/>
              </w:rPr>
              <w:t>3</w:t>
            </w:r>
            <w:r>
              <w:rPr>
                <w:lang w:val="en-GB"/>
              </w:rPr>
              <w:t>.</w:t>
            </w:r>
            <w:r w:rsidR="00E32778" w:rsidRPr="00972417">
              <w:rPr>
                <w:lang w:val="en-GB"/>
              </w:rPr>
              <w:t>5% a</w:t>
            </w:r>
            <w:r>
              <w:rPr>
                <w:lang w:val="en-GB"/>
              </w:rPr>
              <w:t xml:space="preserve">nd education by </w:t>
            </w:r>
            <w:r w:rsidR="00E32778" w:rsidRPr="00972417">
              <w:rPr>
                <w:lang w:val="en-GB"/>
              </w:rPr>
              <w:t>2</w:t>
            </w:r>
            <w:r>
              <w:rPr>
                <w:lang w:val="en-GB"/>
              </w:rPr>
              <w:t>.</w:t>
            </w:r>
            <w:r w:rsidR="00E32778" w:rsidRPr="00972417">
              <w:rPr>
                <w:lang w:val="en-GB"/>
              </w:rPr>
              <w:t>8%.</w:t>
            </w:r>
          </w:p>
        </w:tc>
      </w:tr>
      <w:tr w:rsidR="00E32778" w:rsidRPr="009110F7" w14:paraId="2C516B2F" w14:textId="77777777" w:rsidTr="00F57D57">
        <w:trPr>
          <w:trHeight w:val="145"/>
        </w:trPr>
        <w:tc>
          <w:tcPr>
            <w:tcW w:w="1805" w:type="dxa"/>
            <w:shd w:val="clear" w:color="auto" w:fill="auto"/>
            <w:tcMar>
              <w:left w:w="0" w:type="dxa"/>
            </w:tcMar>
          </w:tcPr>
          <w:p w14:paraId="65B19FE9" w14:textId="42E7F8D8" w:rsidR="00E32778" w:rsidRPr="00294886" w:rsidRDefault="001E71A6" w:rsidP="00F57D57">
            <w:pPr>
              <w:pStyle w:val="Marginlie"/>
              <w:rPr>
                <w:spacing w:val="0"/>
                <w:lang w:val="en-GB"/>
              </w:rPr>
            </w:pPr>
            <w:r>
              <w:rPr>
                <w:spacing w:val="0"/>
                <w:lang w:val="en-GB"/>
              </w:rPr>
              <w:t xml:space="preserve">Prices of good and non-alcoholic beverages were falling year-on-year. </w:t>
            </w:r>
          </w:p>
        </w:tc>
        <w:tc>
          <w:tcPr>
            <w:tcW w:w="224" w:type="dxa"/>
            <w:shd w:val="clear" w:color="auto" w:fill="auto"/>
            <w:tcMar>
              <w:left w:w="0" w:type="dxa"/>
            </w:tcMar>
          </w:tcPr>
          <w:p w14:paraId="6A50A18E" w14:textId="77777777" w:rsidR="00E32778" w:rsidRPr="00294886" w:rsidRDefault="00E32778" w:rsidP="00F57D57">
            <w:pPr>
              <w:pStyle w:val="Textpoznpodarou1"/>
              <w:jc w:val="both"/>
              <w:rPr>
                <w:lang w:val="en-GB"/>
              </w:rPr>
            </w:pPr>
          </w:p>
        </w:tc>
        <w:tc>
          <w:tcPr>
            <w:tcW w:w="7610" w:type="dxa"/>
            <w:shd w:val="clear" w:color="auto" w:fill="auto"/>
            <w:tcMar>
              <w:left w:w="0" w:type="dxa"/>
            </w:tcMar>
          </w:tcPr>
          <w:p w14:paraId="3252C4B7" w14:textId="6C3317D2" w:rsidR="00E32778" w:rsidRPr="00294886" w:rsidRDefault="00F63D6E" w:rsidP="00E32778">
            <w:pPr>
              <w:rPr>
                <w:lang w:val="en-GB"/>
              </w:rPr>
            </w:pPr>
            <w:r>
              <w:rPr>
                <w:lang w:val="en-GB"/>
              </w:rPr>
              <w:t xml:space="preserve">Only food and non-alcoholic beverages worked to larger extent in the direction of year-on-year decrease of consumer prices. Their prices fell by </w:t>
            </w:r>
            <w:r w:rsidR="00E32778" w:rsidRPr="00294886">
              <w:rPr>
                <w:lang w:val="en-GB"/>
              </w:rPr>
              <w:t>0</w:t>
            </w:r>
            <w:r>
              <w:rPr>
                <w:lang w:val="en-GB"/>
              </w:rPr>
              <w:t>.</w:t>
            </w:r>
            <w:r w:rsidR="00E32778" w:rsidRPr="00294886">
              <w:rPr>
                <w:lang w:val="en-GB"/>
              </w:rPr>
              <w:t>8%</w:t>
            </w:r>
            <w:r>
              <w:rPr>
                <w:lang w:val="en-GB"/>
              </w:rPr>
              <w:t xml:space="preserve"> year-on-year</w:t>
            </w:r>
            <w:r w:rsidR="00E32778" w:rsidRPr="00294886">
              <w:rPr>
                <w:lang w:val="en-GB"/>
              </w:rPr>
              <w:t>.</w:t>
            </w:r>
            <w:r>
              <w:rPr>
                <w:lang w:val="en-GB"/>
              </w:rPr>
              <w:t xml:space="preserve"> Especially the decline of prices of meat</w:t>
            </w:r>
            <w:r w:rsidR="00E32778" w:rsidRPr="00294886">
              <w:rPr>
                <w:lang w:val="en-GB"/>
              </w:rPr>
              <w:t xml:space="preserve"> </w:t>
            </w:r>
            <w:r>
              <w:rPr>
                <w:lang w:val="en-GB"/>
              </w:rPr>
              <w:t xml:space="preserve">by </w:t>
            </w:r>
            <w:r w:rsidR="00E32778" w:rsidRPr="00294886">
              <w:rPr>
                <w:lang w:val="en-GB"/>
              </w:rPr>
              <w:t>2</w:t>
            </w:r>
            <w:r>
              <w:rPr>
                <w:lang w:val="en-GB"/>
              </w:rPr>
              <w:t>.</w:t>
            </w:r>
            <w:r w:rsidR="00E32778" w:rsidRPr="00294886">
              <w:rPr>
                <w:lang w:val="en-GB"/>
              </w:rPr>
              <w:t>6% a</w:t>
            </w:r>
            <w:r>
              <w:rPr>
                <w:lang w:val="en-GB"/>
              </w:rPr>
              <w:t xml:space="preserve">nd further fruit </w:t>
            </w:r>
            <w:r w:rsidR="00E32778" w:rsidRPr="00294886">
              <w:rPr>
                <w:lang w:val="en-GB"/>
              </w:rPr>
              <w:t>(–4</w:t>
            </w:r>
            <w:r>
              <w:rPr>
                <w:lang w:val="en-GB"/>
              </w:rPr>
              <w:t>.</w:t>
            </w:r>
            <w:r w:rsidR="00E32778" w:rsidRPr="00294886">
              <w:rPr>
                <w:lang w:val="en-GB"/>
              </w:rPr>
              <w:t>2%)</w:t>
            </w:r>
            <w:r>
              <w:rPr>
                <w:lang w:val="en-GB"/>
              </w:rPr>
              <w:t xml:space="preserve"> as well as vegetables </w:t>
            </w:r>
            <w:r w:rsidR="00373E44">
              <w:rPr>
                <w:lang w:val="en-GB"/>
              </w:rPr>
              <w:t xml:space="preserve">   </w:t>
            </w:r>
            <w:r w:rsidR="00E32778" w:rsidRPr="00294886">
              <w:rPr>
                <w:lang w:val="en-GB"/>
              </w:rPr>
              <w:t>(–5</w:t>
            </w:r>
            <w:r>
              <w:rPr>
                <w:lang w:val="en-GB"/>
              </w:rPr>
              <w:t>.</w:t>
            </w:r>
            <w:r w:rsidR="00E32778" w:rsidRPr="00294886">
              <w:rPr>
                <w:lang w:val="en-GB"/>
              </w:rPr>
              <w:t>8%)</w:t>
            </w:r>
            <w:r>
              <w:rPr>
                <w:lang w:val="en-GB"/>
              </w:rPr>
              <w:t xml:space="preserve"> had an effect</w:t>
            </w:r>
            <w:r w:rsidR="00E32778" w:rsidRPr="00294886">
              <w:rPr>
                <w:lang w:val="en-GB"/>
              </w:rPr>
              <w:t xml:space="preserve">. </w:t>
            </w:r>
            <w:r w:rsidR="00C0011B">
              <w:rPr>
                <w:lang w:val="en-GB"/>
              </w:rPr>
              <w:t xml:space="preserve">Strong growth for oils and fats </w:t>
            </w:r>
            <w:r w:rsidR="00E32778" w:rsidRPr="00294886">
              <w:rPr>
                <w:lang w:val="en-GB"/>
              </w:rPr>
              <w:t>(11</w:t>
            </w:r>
            <w:r w:rsidR="00C0011B">
              <w:rPr>
                <w:lang w:val="en-GB"/>
              </w:rPr>
              <w:t>.</w:t>
            </w:r>
            <w:r w:rsidR="00E32778" w:rsidRPr="00294886">
              <w:rPr>
                <w:lang w:val="en-GB"/>
              </w:rPr>
              <w:t>6%)</w:t>
            </w:r>
            <w:r w:rsidR="00C0011B">
              <w:rPr>
                <w:lang w:val="en-GB"/>
              </w:rPr>
              <w:t xml:space="preserve"> on the contrary contributed to the growth of prices of food.</w:t>
            </w:r>
            <w:r w:rsidR="00E32778" w:rsidRPr="00294886">
              <w:rPr>
                <w:lang w:val="en-GB"/>
              </w:rPr>
              <w:t xml:space="preserve"> </w:t>
            </w:r>
            <w:r w:rsidR="00C0011B">
              <w:rPr>
                <w:lang w:val="en-GB"/>
              </w:rPr>
              <w:t xml:space="preserve">Prices of baking products and cereals grew only moderately </w:t>
            </w:r>
            <w:r w:rsidR="00E32778" w:rsidRPr="00294886">
              <w:rPr>
                <w:lang w:val="en-GB"/>
              </w:rPr>
              <w:t>(0</w:t>
            </w:r>
            <w:r w:rsidR="00C0011B">
              <w:rPr>
                <w:lang w:val="en-GB"/>
              </w:rPr>
              <w:t>.</w:t>
            </w:r>
            <w:r w:rsidR="00E32778" w:rsidRPr="00294886">
              <w:rPr>
                <w:lang w:val="en-GB"/>
              </w:rPr>
              <w:t>7%).</w:t>
            </w:r>
            <w:r w:rsidR="00C0011B">
              <w:rPr>
                <w:lang w:val="en-GB"/>
              </w:rPr>
              <w:t xml:space="preserve"> Prices of postal and telecommunication services also decreased </w:t>
            </w:r>
            <w:r w:rsidR="00E32778" w:rsidRPr="00294886">
              <w:rPr>
                <w:lang w:val="en-GB"/>
              </w:rPr>
              <w:t>(–0</w:t>
            </w:r>
            <w:r w:rsidR="00C0011B">
              <w:rPr>
                <w:lang w:val="en-GB"/>
              </w:rPr>
              <w:t>.</w:t>
            </w:r>
            <w:r w:rsidR="00E32778" w:rsidRPr="00294886">
              <w:rPr>
                <w:lang w:val="en-GB"/>
              </w:rPr>
              <w:t>3%).</w:t>
            </w:r>
          </w:p>
        </w:tc>
      </w:tr>
      <w:tr w:rsidR="001849BE" w:rsidRPr="009110F7" w14:paraId="7A6BEF0B" w14:textId="77777777" w:rsidTr="00F57D57">
        <w:trPr>
          <w:trHeight w:val="145"/>
        </w:trPr>
        <w:tc>
          <w:tcPr>
            <w:tcW w:w="1805" w:type="dxa"/>
            <w:shd w:val="clear" w:color="auto" w:fill="auto"/>
            <w:tcMar>
              <w:left w:w="0" w:type="dxa"/>
            </w:tcMar>
          </w:tcPr>
          <w:p w14:paraId="41518D2B" w14:textId="142D7ADB" w:rsidR="001849BE" w:rsidRDefault="001849BE" w:rsidP="001849BE">
            <w:pPr>
              <w:pStyle w:val="Marginlie"/>
              <w:rPr>
                <w:spacing w:val="0"/>
                <w:lang w:val="en-GB"/>
              </w:rPr>
            </w:pPr>
            <w:r>
              <w:rPr>
                <w:spacing w:val="0"/>
                <w:lang w:val="en-GB"/>
              </w:rPr>
              <w:t xml:space="preserve">Growth of prices of flats further accelerated. </w:t>
            </w:r>
          </w:p>
        </w:tc>
        <w:tc>
          <w:tcPr>
            <w:tcW w:w="224" w:type="dxa"/>
            <w:shd w:val="clear" w:color="auto" w:fill="auto"/>
            <w:tcMar>
              <w:left w:w="0" w:type="dxa"/>
            </w:tcMar>
          </w:tcPr>
          <w:p w14:paraId="70A179D1" w14:textId="77777777" w:rsidR="001849BE" w:rsidRPr="00294886" w:rsidRDefault="001849BE" w:rsidP="001849BE">
            <w:pPr>
              <w:pStyle w:val="Textpoznpodarou1"/>
              <w:jc w:val="both"/>
              <w:rPr>
                <w:lang w:val="en-GB"/>
              </w:rPr>
            </w:pPr>
          </w:p>
        </w:tc>
        <w:tc>
          <w:tcPr>
            <w:tcW w:w="7610" w:type="dxa"/>
            <w:shd w:val="clear" w:color="auto" w:fill="auto"/>
            <w:tcMar>
              <w:left w:w="0" w:type="dxa"/>
            </w:tcMar>
          </w:tcPr>
          <w:p w14:paraId="230B2B51" w14:textId="77777777" w:rsidR="001849BE" w:rsidRDefault="001849BE" w:rsidP="001849BE">
            <w:pPr>
              <w:rPr>
                <w:lang w:val="en-GB"/>
              </w:rPr>
            </w:pPr>
            <w:r>
              <w:rPr>
                <w:lang w:val="en-GB"/>
              </w:rPr>
              <w:t>Pressures in the direction of price increases further gained strength on the market with real estate</w:t>
            </w:r>
            <w:r w:rsidRPr="00C0011B">
              <w:rPr>
                <w:lang w:val="en-GB"/>
              </w:rPr>
              <w:t>.</w:t>
            </w:r>
            <w:r>
              <w:rPr>
                <w:lang w:val="en-GB"/>
              </w:rPr>
              <w:t xml:space="preserve"> Catalogue prices of flats rose </w:t>
            </w:r>
            <w:r w:rsidRPr="00C0011B">
              <w:rPr>
                <w:lang w:val="en-GB"/>
              </w:rPr>
              <w:t>8</w:t>
            </w:r>
            <w:r>
              <w:rPr>
                <w:lang w:val="en-GB"/>
              </w:rPr>
              <w:t>.</w:t>
            </w:r>
            <w:r w:rsidRPr="00C0011B">
              <w:rPr>
                <w:lang w:val="en-GB"/>
              </w:rPr>
              <w:t>0%</w:t>
            </w:r>
            <w:r>
              <w:rPr>
                <w:lang w:val="en-GB"/>
              </w:rPr>
              <w:t xml:space="preserve"> year-on-year in Q2</w:t>
            </w:r>
            <w:r w:rsidRPr="00C0011B">
              <w:rPr>
                <w:lang w:val="en-GB"/>
              </w:rPr>
              <w:t>,</w:t>
            </w:r>
            <w:r>
              <w:rPr>
                <w:lang w:val="en-GB"/>
              </w:rPr>
              <w:t xml:space="preserve"> which is slightly more than in the preceding quarter. At the same time the dynamics of catalogue prices of flats outside Prague was gaining pace </w:t>
            </w:r>
            <w:r w:rsidRPr="00C0011B">
              <w:rPr>
                <w:lang w:val="en-GB"/>
              </w:rPr>
              <w:t>(12</w:t>
            </w:r>
            <w:r>
              <w:rPr>
                <w:lang w:val="en-GB"/>
              </w:rPr>
              <w:t>.</w:t>
            </w:r>
            <w:r w:rsidRPr="00C0011B">
              <w:rPr>
                <w:lang w:val="en-GB"/>
              </w:rPr>
              <w:t xml:space="preserve">4%), </w:t>
            </w:r>
            <w:r>
              <w:rPr>
                <w:lang w:val="en-GB"/>
              </w:rPr>
              <w:t xml:space="preserve">while prices grew much slower </w:t>
            </w:r>
            <w:r w:rsidRPr="00C0011B">
              <w:rPr>
                <w:lang w:val="en-GB"/>
              </w:rPr>
              <w:t>(4</w:t>
            </w:r>
            <w:r>
              <w:rPr>
                <w:lang w:val="en-GB"/>
              </w:rPr>
              <w:t>.</w:t>
            </w:r>
            <w:r w:rsidRPr="00C0011B">
              <w:rPr>
                <w:lang w:val="en-GB"/>
              </w:rPr>
              <w:t>5%)</w:t>
            </w:r>
            <w:r>
              <w:rPr>
                <w:lang w:val="en-GB"/>
              </w:rPr>
              <w:t xml:space="preserve"> in Prague</w:t>
            </w:r>
            <w:r w:rsidRPr="00C0011B">
              <w:rPr>
                <w:lang w:val="en-GB"/>
              </w:rPr>
              <w:t>.</w:t>
            </w:r>
            <w:r>
              <w:rPr>
                <w:lang w:val="en-GB"/>
              </w:rPr>
              <w:t xml:space="preserve"> With respect to the realised prices of older flats, further acceleration manifested here, bringing the year-on-year increases to the level of previous peak from year </w:t>
            </w:r>
            <w:r w:rsidRPr="00C0011B">
              <w:rPr>
                <w:lang w:val="en-GB"/>
              </w:rPr>
              <w:t>2017. Reali</w:t>
            </w:r>
            <w:r>
              <w:rPr>
                <w:lang w:val="en-GB"/>
              </w:rPr>
              <w:t xml:space="preserve">sed prices of older flats were by </w:t>
            </w:r>
            <w:r w:rsidRPr="00C0011B">
              <w:rPr>
                <w:lang w:val="en-GB"/>
              </w:rPr>
              <w:t>17</w:t>
            </w:r>
            <w:r>
              <w:rPr>
                <w:lang w:val="en-GB"/>
              </w:rPr>
              <w:t>.</w:t>
            </w:r>
            <w:r w:rsidRPr="00C0011B">
              <w:rPr>
                <w:lang w:val="en-GB"/>
              </w:rPr>
              <w:t>9%</w:t>
            </w:r>
            <w:r>
              <w:rPr>
                <w:lang w:val="en-GB"/>
              </w:rPr>
              <w:t xml:space="preserve"> higher in the CZ year-on-year in Q2</w:t>
            </w:r>
            <w:r w:rsidRPr="00C0011B">
              <w:rPr>
                <w:lang w:val="en-GB"/>
              </w:rPr>
              <w:t xml:space="preserve">. </w:t>
            </w:r>
            <w:r>
              <w:rPr>
                <w:lang w:val="en-GB"/>
              </w:rPr>
              <w:t xml:space="preserve">In that the increase reached </w:t>
            </w:r>
            <w:r w:rsidRPr="00C0011B">
              <w:rPr>
                <w:lang w:val="en-GB"/>
              </w:rPr>
              <w:t>15</w:t>
            </w:r>
            <w:r>
              <w:rPr>
                <w:lang w:val="en-GB"/>
              </w:rPr>
              <w:t>.</w:t>
            </w:r>
            <w:r w:rsidRPr="00C0011B">
              <w:rPr>
                <w:lang w:val="en-GB"/>
              </w:rPr>
              <w:t>8%</w:t>
            </w:r>
            <w:r>
              <w:rPr>
                <w:lang w:val="en-GB"/>
              </w:rPr>
              <w:t xml:space="preserve"> in Prague</w:t>
            </w:r>
            <w:r w:rsidRPr="00C0011B">
              <w:rPr>
                <w:lang w:val="en-GB"/>
              </w:rPr>
              <w:t>,</w:t>
            </w:r>
            <w:r>
              <w:rPr>
                <w:lang w:val="en-GB"/>
              </w:rPr>
              <w:t xml:space="preserve"> while it was </w:t>
            </w:r>
            <w:r w:rsidRPr="00C0011B">
              <w:rPr>
                <w:lang w:val="en-GB"/>
              </w:rPr>
              <w:t>18</w:t>
            </w:r>
            <w:r>
              <w:rPr>
                <w:lang w:val="en-GB"/>
              </w:rPr>
              <w:t>.</w:t>
            </w:r>
            <w:r w:rsidRPr="00C0011B">
              <w:rPr>
                <w:lang w:val="en-GB"/>
              </w:rPr>
              <w:t>5%</w:t>
            </w:r>
            <w:r>
              <w:rPr>
                <w:lang w:val="en-GB"/>
              </w:rPr>
              <w:t xml:space="preserve"> outside of Prague</w:t>
            </w:r>
            <w:r w:rsidRPr="00C0011B">
              <w:rPr>
                <w:lang w:val="en-GB"/>
              </w:rPr>
              <w:t>.</w:t>
            </w:r>
            <w:r>
              <w:rPr>
                <w:lang w:val="en-GB"/>
              </w:rPr>
              <w:t xml:space="preserve"> Realised prices of new flats grew by </w:t>
            </w:r>
            <w:r w:rsidRPr="00C0011B">
              <w:rPr>
                <w:lang w:val="en-GB"/>
              </w:rPr>
              <w:t>11</w:t>
            </w:r>
            <w:r>
              <w:rPr>
                <w:lang w:val="en-GB"/>
              </w:rPr>
              <w:t>.</w:t>
            </w:r>
            <w:r w:rsidRPr="00C0011B">
              <w:rPr>
                <w:lang w:val="en-GB"/>
              </w:rPr>
              <w:t>9%</w:t>
            </w:r>
            <w:r>
              <w:rPr>
                <w:lang w:val="en-GB"/>
              </w:rPr>
              <w:t xml:space="preserve"> in Prague year-on-year</w:t>
            </w:r>
            <w:r w:rsidRPr="00C0011B">
              <w:rPr>
                <w:lang w:val="en-GB"/>
              </w:rPr>
              <w:t xml:space="preserve">. </w:t>
            </w:r>
            <w:r>
              <w:rPr>
                <w:lang w:val="en-GB"/>
              </w:rPr>
              <w:t>Significant excess of dynamics of the realised prices over the supply prices indicates a very small bargaining power of buyers in the environment of strong excess of demand over supply, which already lasts in some areas several years.</w:t>
            </w:r>
          </w:p>
          <w:p w14:paraId="7DCB46E6" w14:textId="19851F36" w:rsidR="001849BE" w:rsidRDefault="001849BE" w:rsidP="001849BE">
            <w:pPr>
              <w:rPr>
                <w:lang w:val="en-GB"/>
              </w:rPr>
            </w:pPr>
          </w:p>
        </w:tc>
      </w:tr>
      <w:tr w:rsidR="001849BE" w:rsidRPr="009110F7" w14:paraId="7F66391A" w14:textId="77777777" w:rsidTr="00F57D57">
        <w:trPr>
          <w:trHeight w:val="170"/>
        </w:trPr>
        <w:tc>
          <w:tcPr>
            <w:tcW w:w="1805" w:type="dxa"/>
            <w:vMerge w:val="restart"/>
            <w:shd w:val="clear" w:color="auto" w:fill="auto"/>
            <w:tcMar>
              <w:left w:w="0" w:type="dxa"/>
            </w:tcMar>
          </w:tcPr>
          <w:p w14:paraId="4A89C796" w14:textId="77777777" w:rsidR="001849BE" w:rsidRDefault="001849BE" w:rsidP="001849BE">
            <w:pPr>
              <w:pStyle w:val="Marginlie"/>
              <w:rPr>
                <w:spacing w:val="0"/>
              </w:rPr>
            </w:pPr>
          </w:p>
        </w:tc>
        <w:tc>
          <w:tcPr>
            <w:tcW w:w="224" w:type="dxa"/>
            <w:vMerge w:val="restart"/>
            <w:shd w:val="clear" w:color="auto" w:fill="auto"/>
            <w:tcMar>
              <w:left w:w="0" w:type="dxa"/>
            </w:tcMar>
          </w:tcPr>
          <w:p w14:paraId="22BA9358" w14:textId="77777777" w:rsidR="001849BE" w:rsidRPr="00793D78" w:rsidRDefault="001849BE" w:rsidP="001849BE">
            <w:pPr>
              <w:pStyle w:val="Textpoznpodarou1"/>
              <w:jc w:val="both"/>
            </w:pPr>
          </w:p>
        </w:tc>
        <w:tc>
          <w:tcPr>
            <w:tcW w:w="7610" w:type="dxa"/>
            <w:shd w:val="clear" w:color="auto" w:fill="auto"/>
            <w:tcMar>
              <w:left w:w="0" w:type="dxa"/>
            </w:tcMar>
          </w:tcPr>
          <w:p w14:paraId="6AB3663E" w14:textId="642F9659" w:rsidR="001849BE" w:rsidRDefault="001849BE" w:rsidP="001849BE">
            <w:pPr>
              <w:spacing w:after="0"/>
            </w:pPr>
            <w:r>
              <w:rPr>
                <w:b/>
                <w:sz w:val="18"/>
                <w:szCs w:val="18"/>
                <w:lang w:eastAsia="en-US"/>
              </w:rPr>
              <w:t>Chart 10</w:t>
            </w:r>
            <w:r w:rsidRPr="00793D78">
              <w:rPr>
                <w:b/>
                <w:sz w:val="18"/>
                <w:szCs w:val="18"/>
                <w:lang w:eastAsia="en-US"/>
              </w:rPr>
              <w:t xml:space="preserve">  </w:t>
            </w:r>
            <w:r w:rsidRPr="00CC7853">
              <w:rPr>
                <w:b/>
                <w:sz w:val="18"/>
                <w:szCs w:val="18"/>
                <w:lang w:val="en-GB" w:eastAsia="en-US"/>
              </w:rPr>
              <w:t xml:space="preserve">Prices of real estate </w:t>
            </w:r>
            <w:r w:rsidRPr="00CC7853">
              <w:rPr>
                <w:sz w:val="18"/>
                <w:szCs w:val="18"/>
                <w:lang w:val="en-GB" w:eastAsia="en-US"/>
              </w:rPr>
              <w:t>(year-on-year change, in %)</w:t>
            </w:r>
          </w:p>
        </w:tc>
      </w:tr>
      <w:tr w:rsidR="001849BE" w:rsidRPr="009110F7" w14:paraId="47B28EFC" w14:textId="77777777" w:rsidTr="001849BE">
        <w:tblPrEx>
          <w:tblCellMar>
            <w:left w:w="70" w:type="dxa"/>
            <w:right w:w="70" w:type="dxa"/>
          </w:tblCellMar>
        </w:tblPrEx>
        <w:trPr>
          <w:trHeight w:val="170"/>
        </w:trPr>
        <w:tc>
          <w:tcPr>
            <w:tcW w:w="1805" w:type="dxa"/>
            <w:vMerge/>
            <w:shd w:val="clear" w:color="auto" w:fill="auto"/>
          </w:tcPr>
          <w:p w14:paraId="0FA99FD2" w14:textId="77777777" w:rsidR="001849BE" w:rsidRDefault="001849BE" w:rsidP="001849BE">
            <w:pPr>
              <w:pStyle w:val="Marginlie"/>
              <w:rPr>
                <w:spacing w:val="0"/>
              </w:rPr>
            </w:pPr>
          </w:p>
        </w:tc>
        <w:tc>
          <w:tcPr>
            <w:tcW w:w="224" w:type="dxa"/>
            <w:vMerge/>
            <w:shd w:val="clear" w:color="auto" w:fill="auto"/>
          </w:tcPr>
          <w:p w14:paraId="7964FB0D" w14:textId="77777777" w:rsidR="001849BE" w:rsidRPr="00793D78" w:rsidRDefault="001849BE" w:rsidP="001849BE">
            <w:pPr>
              <w:pStyle w:val="Textpoznpodarou1"/>
              <w:jc w:val="both"/>
            </w:pPr>
          </w:p>
        </w:tc>
        <w:tc>
          <w:tcPr>
            <w:tcW w:w="7610" w:type="dxa"/>
            <w:shd w:val="clear" w:color="auto" w:fill="auto"/>
          </w:tcPr>
          <w:p w14:paraId="320011AB" w14:textId="606ADC07" w:rsidR="001849BE" w:rsidRDefault="001849BE" w:rsidP="001849BE">
            <w:pPr>
              <w:spacing w:after="0"/>
            </w:pPr>
            <w:r>
              <w:rPr>
                <w:noProof/>
              </w:rPr>
              <w:drawing>
                <wp:inline distT="0" distB="0" distL="0" distR="0" wp14:anchorId="7E87F452" wp14:editId="08E97104">
                  <wp:extent cx="4737600" cy="3553200"/>
                  <wp:effectExtent l="0" t="0" r="6350" b="0"/>
                  <wp:docPr id="36" name="Graf 36">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1849BE" w:rsidRPr="009110F7" w14:paraId="2B0E6175" w14:textId="77777777" w:rsidTr="00F57D57">
        <w:trPr>
          <w:trHeight w:val="170"/>
        </w:trPr>
        <w:tc>
          <w:tcPr>
            <w:tcW w:w="1805" w:type="dxa"/>
            <w:vMerge/>
            <w:shd w:val="clear" w:color="auto" w:fill="auto"/>
            <w:tcMar>
              <w:left w:w="0" w:type="dxa"/>
            </w:tcMar>
          </w:tcPr>
          <w:p w14:paraId="2824266D" w14:textId="77777777" w:rsidR="001849BE" w:rsidRDefault="001849BE" w:rsidP="001849BE">
            <w:pPr>
              <w:pStyle w:val="Marginlie"/>
              <w:rPr>
                <w:spacing w:val="0"/>
              </w:rPr>
            </w:pPr>
          </w:p>
        </w:tc>
        <w:tc>
          <w:tcPr>
            <w:tcW w:w="224" w:type="dxa"/>
            <w:vMerge/>
            <w:shd w:val="clear" w:color="auto" w:fill="auto"/>
            <w:tcMar>
              <w:left w:w="0" w:type="dxa"/>
            </w:tcMar>
          </w:tcPr>
          <w:p w14:paraId="0DE2E503" w14:textId="77777777" w:rsidR="001849BE" w:rsidRPr="00793D78" w:rsidRDefault="001849BE" w:rsidP="001849BE">
            <w:pPr>
              <w:pStyle w:val="Textpoznpodarou1"/>
              <w:jc w:val="both"/>
            </w:pPr>
          </w:p>
        </w:tc>
        <w:tc>
          <w:tcPr>
            <w:tcW w:w="7610" w:type="dxa"/>
            <w:shd w:val="clear" w:color="auto" w:fill="auto"/>
            <w:tcMar>
              <w:left w:w="0" w:type="dxa"/>
            </w:tcMar>
          </w:tcPr>
          <w:p w14:paraId="54786D85" w14:textId="5DEB2D99" w:rsidR="001849BE" w:rsidRDefault="001849BE" w:rsidP="001849BE">
            <w:r>
              <w:rPr>
                <w:sz w:val="14"/>
                <w:szCs w:val="14"/>
              </w:rPr>
              <w:t>Source</w:t>
            </w:r>
            <w:r w:rsidRPr="00793D78">
              <w:rPr>
                <w:sz w:val="14"/>
                <w:szCs w:val="14"/>
              </w:rPr>
              <w:t xml:space="preserve">: </w:t>
            </w:r>
            <w:r>
              <w:rPr>
                <w:sz w:val="14"/>
                <w:szCs w:val="14"/>
              </w:rPr>
              <w:t>CZSO</w:t>
            </w:r>
          </w:p>
        </w:tc>
      </w:tr>
      <w:tr w:rsidR="001849BE" w:rsidRPr="009110F7" w14:paraId="246B35C6" w14:textId="77777777" w:rsidTr="00F57D57">
        <w:trPr>
          <w:trHeight w:val="145"/>
        </w:trPr>
        <w:tc>
          <w:tcPr>
            <w:tcW w:w="1805" w:type="dxa"/>
            <w:shd w:val="clear" w:color="auto" w:fill="auto"/>
            <w:tcMar>
              <w:left w:w="0" w:type="dxa"/>
            </w:tcMar>
          </w:tcPr>
          <w:p w14:paraId="1BCE52AA" w14:textId="4F0F9CED" w:rsidR="001849BE" w:rsidRPr="000227AD" w:rsidRDefault="001849BE" w:rsidP="001849BE">
            <w:pPr>
              <w:pStyle w:val="Marginlie"/>
              <w:rPr>
                <w:spacing w:val="0"/>
                <w:lang w:val="en-GB"/>
              </w:rPr>
            </w:pPr>
            <w:r w:rsidRPr="000227AD">
              <w:rPr>
                <w:spacing w:val="0"/>
                <w:lang w:val="en-GB"/>
              </w:rPr>
              <w:t xml:space="preserve">Year-on-year growth of consumer prices strengthened in the EU. </w:t>
            </w:r>
          </w:p>
        </w:tc>
        <w:tc>
          <w:tcPr>
            <w:tcW w:w="224" w:type="dxa"/>
            <w:shd w:val="clear" w:color="auto" w:fill="auto"/>
            <w:tcMar>
              <w:left w:w="0" w:type="dxa"/>
            </w:tcMar>
          </w:tcPr>
          <w:p w14:paraId="554605C5" w14:textId="77777777" w:rsidR="001849BE" w:rsidRPr="00793D78" w:rsidRDefault="001849BE" w:rsidP="001849BE">
            <w:pPr>
              <w:pStyle w:val="Textpoznpodarou1"/>
              <w:jc w:val="both"/>
            </w:pPr>
          </w:p>
        </w:tc>
        <w:tc>
          <w:tcPr>
            <w:tcW w:w="7610" w:type="dxa"/>
            <w:shd w:val="clear" w:color="auto" w:fill="auto"/>
            <w:tcMar>
              <w:left w:w="0" w:type="dxa"/>
            </w:tcMar>
          </w:tcPr>
          <w:p w14:paraId="7A583160" w14:textId="05349FBE" w:rsidR="001849BE" w:rsidRPr="005F55FF" w:rsidRDefault="001849BE" w:rsidP="001849BE">
            <w:pPr>
              <w:rPr>
                <w:lang w:val="en-GB"/>
              </w:rPr>
            </w:pPr>
            <w:r>
              <w:rPr>
                <w:lang w:val="en-GB"/>
              </w:rPr>
              <w:t xml:space="preserve">Year-on-year growth of consumer prices also gradually accelerates in the European Union. The index increased by </w:t>
            </w:r>
            <w:r w:rsidRPr="005F55FF">
              <w:rPr>
                <w:lang w:val="en-GB"/>
              </w:rPr>
              <w:t>2</w:t>
            </w:r>
            <w:r>
              <w:rPr>
                <w:lang w:val="en-GB"/>
              </w:rPr>
              <w:t>.</w:t>
            </w:r>
            <w:r w:rsidRPr="005F55FF">
              <w:rPr>
                <w:lang w:val="en-GB"/>
              </w:rPr>
              <w:t>2%</w:t>
            </w:r>
            <w:r>
              <w:rPr>
                <w:lang w:val="en-GB"/>
              </w:rPr>
              <w:t xml:space="preserve"> year-on-year in Q2</w:t>
            </w:r>
            <w:r w:rsidRPr="005F55FF">
              <w:rPr>
                <w:lang w:val="en-GB"/>
              </w:rPr>
              <w:t xml:space="preserve"> (</w:t>
            </w:r>
            <w:r>
              <w:rPr>
                <w:lang w:val="en-GB"/>
              </w:rPr>
              <w:t xml:space="preserve">it was </w:t>
            </w:r>
            <w:r w:rsidRPr="005F55FF">
              <w:rPr>
                <w:lang w:val="en-GB"/>
              </w:rPr>
              <w:t>1</w:t>
            </w:r>
            <w:r>
              <w:rPr>
                <w:lang w:val="en-GB"/>
              </w:rPr>
              <w:t>.</w:t>
            </w:r>
            <w:r w:rsidRPr="005F55FF">
              <w:rPr>
                <w:lang w:val="en-GB"/>
              </w:rPr>
              <w:t>4%</w:t>
            </w:r>
            <w:r>
              <w:rPr>
                <w:lang w:val="en-GB"/>
              </w:rPr>
              <w:t xml:space="preserve"> in Q1</w:t>
            </w:r>
            <w:r w:rsidRPr="005F55FF">
              <w:rPr>
                <w:lang w:val="en-GB"/>
              </w:rPr>
              <w:t>).</w:t>
            </w:r>
            <w:r>
              <w:rPr>
                <w:lang w:val="en-GB"/>
              </w:rPr>
              <w:t xml:space="preserve"> The faster pace is mainly influenced by the year-on-year increase of prices of transportation, a shift upwards however is also apparent for the dynamics of prices of housing and energies in the EU. The growth of prices of food on the contrary reduced. The consumer prices were raised the most in Hungary </w:t>
            </w:r>
            <w:r w:rsidRPr="005F55FF">
              <w:rPr>
                <w:lang w:val="en-GB"/>
              </w:rPr>
              <w:t>(5</w:t>
            </w:r>
            <w:r>
              <w:rPr>
                <w:lang w:val="en-GB"/>
              </w:rPr>
              <w:t>.</w:t>
            </w:r>
            <w:r w:rsidRPr="005F55FF">
              <w:rPr>
                <w:lang w:val="en-GB"/>
              </w:rPr>
              <w:t>3%),</w:t>
            </w:r>
            <w:r>
              <w:rPr>
                <w:lang w:val="en-GB"/>
              </w:rPr>
              <w:t xml:space="preserve"> Poland </w:t>
            </w:r>
            <w:r w:rsidRPr="005F55FF">
              <w:rPr>
                <w:lang w:val="en-GB"/>
              </w:rPr>
              <w:t>(4</w:t>
            </w:r>
            <w:r>
              <w:rPr>
                <w:lang w:val="en-GB"/>
              </w:rPr>
              <w:t>.</w:t>
            </w:r>
            <w:r w:rsidRPr="005F55FF">
              <w:rPr>
                <w:lang w:val="en-GB"/>
              </w:rPr>
              <w:t>6%)</w:t>
            </w:r>
            <w:r>
              <w:rPr>
                <w:lang w:val="en-GB"/>
              </w:rPr>
              <w:t xml:space="preserve"> and Luxembourg </w:t>
            </w:r>
            <w:r w:rsidRPr="005F55FF">
              <w:rPr>
                <w:lang w:val="en-GB"/>
              </w:rPr>
              <w:t>(3</w:t>
            </w:r>
            <w:r>
              <w:rPr>
                <w:lang w:val="en-GB"/>
              </w:rPr>
              <w:t>.</w:t>
            </w:r>
            <w:r w:rsidRPr="005F55FF">
              <w:rPr>
                <w:lang w:val="en-GB"/>
              </w:rPr>
              <w:t>6%)</w:t>
            </w:r>
            <w:r>
              <w:rPr>
                <w:lang w:val="en-GB"/>
              </w:rPr>
              <w:t xml:space="preserve"> in Q2</w:t>
            </w:r>
            <w:r w:rsidRPr="005F55FF">
              <w:rPr>
                <w:lang w:val="en-GB"/>
              </w:rPr>
              <w:t xml:space="preserve">. </w:t>
            </w:r>
            <w:r>
              <w:rPr>
                <w:lang w:val="en-GB"/>
              </w:rPr>
              <w:t xml:space="preserve">Prices however also grew at significantly above average pace in Lithuania and Estonia, Romania and the CR. Greece </w:t>
            </w:r>
            <w:r w:rsidRPr="005F55FF">
              <w:rPr>
                <w:lang w:val="en-GB"/>
              </w:rPr>
              <w:t>(–0</w:t>
            </w:r>
            <w:r>
              <w:rPr>
                <w:lang w:val="en-GB"/>
              </w:rPr>
              <w:t>.</w:t>
            </w:r>
            <w:r w:rsidRPr="005F55FF">
              <w:rPr>
                <w:lang w:val="en-GB"/>
              </w:rPr>
              <w:t>6%) a</w:t>
            </w:r>
            <w:r>
              <w:rPr>
                <w:lang w:val="en-GB"/>
              </w:rPr>
              <w:t xml:space="preserve">nd Portugal </w:t>
            </w:r>
            <w:r w:rsidRPr="005F55FF">
              <w:rPr>
                <w:lang w:val="en-GB"/>
              </w:rPr>
              <w:t>(–0</w:t>
            </w:r>
            <w:r>
              <w:rPr>
                <w:lang w:val="en-GB"/>
              </w:rPr>
              <w:t>.</w:t>
            </w:r>
            <w:r w:rsidRPr="005F55FF">
              <w:rPr>
                <w:lang w:val="en-GB"/>
              </w:rPr>
              <w:t>1%)</w:t>
            </w:r>
            <w:r>
              <w:rPr>
                <w:lang w:val="en-GB"/>
              </w:rPr>
              <w:t xml:space="preserve"> were the only two economies, where a year-on-year decrease occurred in Q2</w:t>
            </w:r>
            <w:r w:rsidRPr="005F55FF">
              <w:rPr>
                <w:lang w:val="en-GB"/>
              </w:rPr>
              <w:t>.</w:t>
            </w:r>
            <w:r>
              <w:rPr>
                <w:lang w:val="en-GB"/>
              </w:rPr>
              <w:t xml:space="preserve"> Consumer prices stagnated in Malta </w:t>
            </w:r>
            <w:r w:rsidRPr="005F55FF">
              <w:rPr>
                <w:lang w:val="en-GB"/>
              </w:rPr>
              <w:t>(0</w:t>
            </w:r>
            <w:r>
              <w:rPr>
                <w:lang w:val="en-GB"/>
              </w:rPr>
              <w:t>.</w:t>
            </w:r>
            <w:r w:rsidRPr="005F55FF">
              <w:rPr>
                <w:lang w:val="en-GB"/>
              </w:rPr>
              <w:t>1%).</w:t>
            </w:r>
          </w:p>
        </w:tc>
      </w:tr>
      <w:tr w:rsidR="001849BE" w:rsidRPr="009110F7" w14:paraId="0ABB7A2E" w14:textId="77777777" w:rsidTr="00F57D57">
        <w:trPr>
          <w:trHeight w:val="145"/>
        </w:trPr>
        <w:tc>
          <w:tcPr>
            <w:tcW w:w="1805" w:type="dxa"/>
            <w:shd w:val="clear" w:color="auto" w:fill="auto"/>
            <w:tcMar>
              <w:left w:w="0" w:type="dxa"/>
            </w:tcMar>
          </w:tcPr>
          <w:p w14:paraId="75731477" w14:textId="569432BB" w:rsidR="001849BE" w:rsidRPr="000227AD" w:rsidRDefault="001849BE" w:rsidP="001849BE">
            <w:pPr>
              <w:pStyle w:val="Marginlie"/>
              <w:rPr>
                <w:spacing w:val="0"/>
                <w:lang w:val="en-GB"/>
              </w:rPr>
            </w:pPr>
            <w:r w:rsidRPr="00B55149">
              <w:rPr>
                <w:spacing w:val="0"/>
                <w:lang w:val="en-GB"/>
              </w:rPr>
              <w:t>The industrial producer prices jumped up the most year-on-year since year 2011.</w:t>
            </w:r>
          </w:p>
        </w:tc>
        <w:tc>
          <w:tcPr>
            <w:tcW w:w="224" w:type="dxa"/>
            <w:shd w:val="clear" w:color="auto" w:fill="auto"/>
            <w:tcMar>
              <w:left w:w="0" w:type="dxa"/>
            </w:tcMar>
          </w:tcPr>
          <w:p w14:paraId="5AE5007B" w14:textId="77777777" w:rsidR="001849BE" w:rsidRPr="00793D78" w:rsidRDefault="001849BE" w:rsidP="001849BE">
            <w:pPr>
              <w:pStyle w:val="Textpoznpodarou1"/>
              <w:jc w:val="both"/>
            </w:pPr>
          </w:p>
        </w:tc>
        <w:tc>
          <w:tcPr>
            <w:tcW w:w="7610" w:type="dxa"/>
            <w:shd w:val="clear" w:color="auto" w:fill="auto"/>
            <w:tcMar>
              <w:left w:w="0" w:type="dxa"/>
            </w:tcMar>
          </w:tcPr>
          <w:p w14:paraId="1E505437" w14:textId="0E6B22E0" w:rsidR="001849BE" w:rsidRDefault="001849BE" w:rsidP="001849BE">
            <w:pPr>
              <w:rPr>
                <w:lang w:val="en-GB"/>
              </w:rPr>
            </w:pPr>
            <w:r>
              <w:rPr>
                <w:lang w:val="en-GB"/>
              </w:rPr>
              <w:t xml:space="preserve">Notable acceleration also concerned the year-on-year increase of prices of industrial producers. It attained </w:t>
            </w:r>
            <w:r w:rsidRPr="00B55149">
              <w:rPr>
                <w:lang w:val="en-GB"/>
              </w:rPr>
              <w:t>5</w:t>
            </w:r>
            <w:r>
              <w:rPr>
                <w:lang w:val="en-GB"/>
              </w:rPr>
              <w:t>.</w:t>
            </w:r>
            <w:r w:rsidRPr="00B55149">
              <w:rPr>
                <w:lang w:val="en-GB"/>
              </w:rPr>
              <w:t>3%</w:t>
            </w:r>
            <w:r>
              <w:rPr>
                <w:lang w:val="en-GB"/>
              </w:rPr>
              <w:t xml:space="preserve"> in Q2</w:t>
            </w:r>
            <w:r w:rsidRPr="00B55149">
              <w:rPr>
                <w:lang w:val="en-GB"/>
              </w:rPr>
              <w:t xml:space="preserve"> (1</w:t>
            </w:r>
            <w:r>
              <w:rPr>
                <w:lang w:val="en-GB"/>
              </w:rPr>
              <w:t>.</w:t>
            </w:r>
            <w:r w:rsidRPr="00B55149">
              <w:rPr>
                <w:lang w:val="en-GB"/>
              </w:rPr>
              <w:t>5%</w:t>
            </w:r>
            <w:r>
              <w:rPr>
                <w:lang w:val="en-GB"/>
              </w:rPr>
              <w:t xml:space="preserve"> in Q1</w:t>
            </w:r>
            <w:r w:rsidRPr="00B55149">
              <w:rPr>
                <w:lang w:val="en-GB"/>
              </w:rPr>
              <w:t>),</w:t>
            </w:r>
            <w:r>
              <w:rPr>
                <w:lang w:val="en-GB"/>
              </w:rPr>
              <w:t xml:space="preserve"> which is the most since Q3 </w:t>
            </w:r>
            <w:r w:rsidRPr="00B55149">
              <w:rPr>
                <w:lang w:val="en-GB"/>
              </w:rPr>
              <w:t xml:space="preserve">2011. </w:t>
            </w:r>
            <w:r>
              <w:rPr>
                <w:lang w:val="en-GB"/>
              </w:rPr>
              <w:t xml:space="preserve">Prices thus increased by </w:t>
            </w:r>
            <w:r w:rsidRPr="00B55149">
              <w:rPr>
                <w:lang w:val="en-GB"/>
              </w:rPr>
              <w:t>3</w:t>
            </w:r>
            <w:r>
              <w:rPr>
                <w:lang w:val="en-GB"/>
              </w:rPr>
              <w:t>.</w:t>
            </w:r>
            <w:r w:rsidRPr="00B55149">
              <w:rPr>
                <w:lang w:val="en-GB"/>
              </w:rPr>
              <w:t>4%</w:t>
            </w:r>
            <w:r>
              <w:rPr>
                <w:lang w:val="en-GB"/>
              </w:rPr>
              <w:t xml:space="preserve"> year-on-year for the whole H1</w:t>
            </w:r>
            <w:r w:rsidRPr="00B55149">
              <w:rPr>
                <w:lang w:val="en-GB"/>
              </w:rPr>
              <w:t xml:space="preserve">. </w:t>
            </w:r>
            <w:r>
              <w:rPr>
                <w:lang w:val="en-GB"/>
              </w:rPr>
              <w:t xml:space="preserve">Also in case of industrial producers, the impact of sharp year-on-year hike of prices of oil can be mentioned. It was evident for the prices of mining and quarrying, which went up by </w:t>
            </w:r>
            <w:r w:rsidRPr="00B55149">
              <w:rPr>
                <w:lang w:val="en-GB"/>
              </w:rPr>
              <w:t>0</w:t>
            </w:r>
            <w:r>
              <w:rPr>
                <w:lang w:val="en-GB"/>
              </w:rPr>
              <w:t>.</w:t>
            </w:r>
            <w:r w:rsidRPr="00B55149">
              <w:rPr>
                <w:lang w:val="en-GB"/>
              </w:rPr>
              <w:t>8%</w:t>
            </w:r>
            <w:r>
              <w:rPr>
                <w:lang w:val="en-GB"/>
              </w:rPr>
              <w:t xml:space="preserve"> year-on-year following more than one year lasting series of decreases. The dynamics of prices of products and services of manufacturing accelerated to </w:t>
            </w:r>
            <w:r w:rsidRPr="00B55149">
              <w:rPr>
                <w:lang w:val="en-GB"/>
              </w:rPr>
              <w:t>6</w:t>
            </w:r>
            <w:r>
              <w:rPr>
                <w:lang w:val="en-GB"/>
              </w:rPr>
              <w:t>.</w:t>
            </w:r>
            <w:r w:rsidRPr="00B55149">
              <w:rPr>
                <w:lang w:val="en-GB"/>
              </w:rPr>
              <w:t>5% a</w:t>
            </w:r>
            <w:r>
              <w:rPr>
                <w:lang w:val="en-GB"/>
              </w:rPr>
              <w:t>nd the prices of coke and refined oil products</w:t>
            </w:r>
            <w:r w:rsidRPr="00B55149">
              <w:rPr>
                <w:rStyle w:val="Znakapoznpodarou"/>
                <w:lang w:val="en-GB"/>
              </w:rPr>
              <w:footnoteReference w:id="2"/>
            </w:r>
            <w:r>
              <w:rPr>
                <w:lang w:val="en-GB"/>
              </w:rPr>
              <w:t xml:space="preserve"> contributed the most</w:t>
            </w:r>
            <w:r w:rsidRPr="00B55149">
              <w:rPr>
                <w:lang w:val="en-GB"/>
              </w:rPr>
              <w:t xml:space="preserve">. </w:t>
            </w:r>
            <w:r>
              <w:rPr>
                <w:lang w:val="en-GB"/>
              </w:rPr>
              <w:t xml:space="preserve">Prices of chemical substances and products </w:t>
            </w:r>
            <w:r w:rsidRPr="00B55149">
              <w:rPr>
                <w:lang w:val="en-GB"/>
              </w:rPr>
              <w:t>(38</w:t>
            </w:r>
            <w:r>
              <w:rPr>
                <w:lang w:val="en-GB"/>
              </w:rPr>
              <w:t>.</w:t>
            </w:r>
            <w:r w:rsidRPr="00B55149">
              <w:rPr>
                <w:lang w:val="en-GB"/>
              </w:rPr>
              <w:t>4%)</w:t>
            </w:r>
            <w:r>
              <w:rPr>
                <w:lang w:val="en-GB"/>
              </w:rPr>
              <w:t xml:space="preserve"> displayed an extraordinary increase and also the prices of basic metals and fabricated metal products </w:t>
            </w:r>
            <w:r w:rsidRPr="00B55149">
              <w:rPr>
                <w:lang w:val="en-GB"/>
              </w:rPr>
              <w:t>(10</w:t>
            </w:r>
            <w:r>
              <w:rPr>
                <w:lang w:val="en-GB"/>
              </w:rPr>
              <w:t>.</w:t>
            </w:r>
            <w:r w:rsidRPr="00B55149">
              <w:rPr>
                <w:lang w:val="en-GB"/>
              </w:rPr>
              <w:t xml:space="preserve">7%). </w:t>
            </w:r>
            <w:r>
              <w:rPr>
                <w:lang w:val="en-GB"/>
              </w:rPr>
              <w:t xml:space="preserve">Wood, paper and print </w:t>
            </w:r>
            <w:r w:rsidRPr="00B55149">
              <w:rPr>
                <w:lang w:val="en-GB"/>
              </w:rPr>
              <w:t>(5</w:t>
            </w:r>
            <w:r>
              <w:rPr>
                <w:lang w:val="en-GB"/>
              </w:rPr>
              <w:t>.</w:t>
            </w:r>
            <w:r w:rsidRPr="00B55149">
              <w:rPr>
                <w:lang w:val="en-GB"/>
              </w:rPr>
              <w:t>4%)</w:t>
            </w:r>
            <w:r>
              <w:rPr>
                <w:lang w:val="en-GB"/>
              </w:rPr>
              <w:t xml:space="preserve"> and rubber and plastic products </w:t>
            </w:r>
            <w:r w:rsidRPr="00B55149">
              <w:rPr>
                <w:lang w:val="en-GB"/>
              </w:rPr>
              <w:t>(2</w:t>
            </w:r>
            <w:r>
              <w:rPr>
                <w:lang w:val="en-GB"/>
              </w:rPr>
              <w:t>.</w:t>
            </w:r>
            <w:r w:rsidRPr="00B55149">
              <w:rPr>
                <w:lang w:val="en-GB"/>
              </w:rPr>
              <w:t>7%)</w:t>
            </w:r>
            <w:r>
              <w:rPr>
                <w:lang w:val="en-GB"/>
              </w:rPr>
              <w:t xml:space="preserve"> also significantly contributed to the year-on-year growth of prices industrial producers</w:t>
            </w:r>
            <w:r w:rsidRPr="00B55149">
              <w:rPr>
                <w:lang w:val="en-GB"/>
              </w:rPr>
              <w:t xml:space="preserve">. </w:t>
            </w:r>
            <w:r>
              <w:rPr>
                <w:lang w:val="en-GB"/>
              </w:rPr>
              <w:t xml:space="preserve">The addition to prices of electrical appliances </w:t>
            </w:r>
            <w:r w:rsidRPr="00B55149">
              <w:rPr>
                <w:lang w:val="en-GB"/>
              </w:rPr>
              <w:t>(4</w:t>
            </w:r>
            <w:r>
              <w:rPr>
                <w:lang w:val="en-GB"/>
              </w:rPr>
              <w:t>.</w:t>
            </w:r>
            <w:r w:rsidRPr="00B55149">
              <w:rPr>
                <w:lang w:val="en-GB"/>
              </w:rPr>
              <w:t>1%),</w:t>
            </w:r>
            <w:r>
              <w:rPr>
                <w:lang w:val="en-GB"/>
              </w:rPr>
              <w:t xml:space="preserve"> textile, wearing apparel and leather </w:t>
            </w:r>
            <w:r w:rsidRPr="00B55149">
              <w:rPr>
                <w:lang w:val="en-GB"/>
              </w:rPr>
              <w:t>(3</w:t>
            </w:r>
            <w:r>
              <w:rPr>
                <w:lang w:val="en-GB"/>
              </w:rPr>
              <w:t>.</w:t>
            </w:r>
            <w:r w:rsidRPr="00B55149">
              <w:rPr>
                <w:lang w:val="en-GB"/>
              </w:rPr>
              <w:t>1%)</w:t>
            </w:r>
            <w:r>
              <w:rPr>
                <w:lang w:val="en-GB"/>
              </w:rPr>
              <w:t xml:space="preserve"> and furniture and other products of manufacturing </w:t>
            </w:r>
            <w:r w:rsidRPr="00B55149">
              <w:rPr>
                <w:lang w:val="en-GB"/>
              </w:rPr>
              <w:t>(2</w:t>
            </w:r>
            <w:r>
              <w:rPr>
                <w:lang w:val="en-GB"/>
              </w:rPr>
              <w:t>.</w:t>
            </w:r>
            <w:r w:rsidRPr="00B55149">
              <w:rPr>
                <w:lang w:val="en-GB"/>
              </w:rPr>
              <w:t>9%)</w:t>
            </w:r>
            <w:r>
              <w:rPr>
                <w:lang w:val="en-GB"/>
              </w:rPr>
              <w:t xml:space="preserve"> was also significant</w:t>
            </w:r>
            <w:r w:rsidRPr="00B55149">
              <w:rPr>
                <w:lang w:val="en-GB"/>
              </w:rPr>
              <w:t>.</w:t>
            </w:r>
            <w:r>
              <w:rPr>
                <w:lang w:val="en-GB"/>
              </w:rPr>
              <w:t xml:space="preserve"> Prices of transport equipment and computers, electronic and optical appliances </w:t>
            </w:r>
            <w:r w:rsidRPr="00B55149">
              <w:rPr>
                <w:lang w:val="en-GB"/>
              </w:rPr>
              <w:t>(s</w:t>
            </w:r>
            <w:r>
              <w:rPr>
                <w:lang w:val="en-GB"/>
              </w:rPr>
              <w:t xml:space="preserve">imilarly by </w:t>
            </w:r>
            <w:r w:rsidRPr="00B55149">
              <w:rPr>
                <w:lang w:val="en-GB"/>
              </w:rPr>
              <w:t>2</w:t>
            </w:r>
            <w:r>
              <w:rPr>
                <w:lang w:val="en-GB"/>
              </w:rPr>
              <w:t>.</w:t>
            </w:r>
            <w:r w:rsidRPr="00B55149">
              <w:rPr>
                <w:lang w:val="en-GB"/>
              </w:rPr>
              <w:t>6%) a</w:t>
            </w:r>
            <w:r>
              <w:rPr>
                <w:lang w:val="en-GB"/>
              </w:rPr>
              <w:t xml:space="preserve">nd then food products, beverages and tobacco </w:t>
            </w:r>
            <w:r w:rsidRPr="00B55149">
              <w:rPr>
                <w:lang w:val="en-GB"/>
              </w:rPr>
              <w:t>(–0</w:t>
            </w:r>
            <w:r>
              <w:rPr>
                <w:lang w:val="en-GB"/>
              </w:rPr>
              <w:t>.</w:t>
            </w:r>
            <w:r w:rsidRPr="00B55149">
              <w:rPr>
                <w:lang w:val="en-GB"/>
              </w:rPr>
              <w:t>6%)</w:t>
            </w:r>
            <w:r>
              <w:rPr>
                <w:lang w:val="en-GB"/>
              </w:rPr>
              <w:t xml:space="preserve"> fell year-on-year</w:t>
            </w:r>
            <w:r w:rsidRPr="00B55149">
              <w:rPr>
                <w:lang w:val="en-GB"/>
              </w:rPr>
              <w:t xml:space="preserve">. </w:t>
            </w:r>
            <w:r>
              <w:rPr>
                <w:lang w:val="en-GB"/>
              </w:rPr>
              <w:t xml:space="preserve">Prices of electricity, gas, </w:t>
            </w:r>
            <w:r>
              <w:rPr>
                <w:lang w:val="en-GB"/>
              </w:rPr>
              <w:lastRenderedPageBreak/>
              <w:t xml:space="preserve">steam and air conditioning stagnated year-on-year </w:t>
            </w:r>
            <w:r w:rsidRPr="00B55149">
              <w:rPr>
                <w:lang w:val="en-GB"/>
              </w:rPr>
              <w:t>(0</w:t>
            </w:r>
            <w:r>
              <w:rPr>
                <w:lang w:val="en-GB"/>
              </w:rPr>
              <w:t>.</w:t>
            </w:r>
            <w:r w:rsidRPr="00B55149">
              <w:rPr>
                <w:lang w:val="en-GB"/>
              </w:rPr>
              <w:t xml:space="preserve">1%). </w:t>
            </w:r>
            <w:r>
              <w:rPr>
                <w:lang w:val="en-GB"/>
              </w:rPr>
              <w:t xml:space="preserve">On the contrary, the increase stayed strong for water supply and wastewater management services </w:t>
            </w:r>
            <w:r w:rsidRPr="00B55149">
              <w:rPr>
                <w:lang w:val="en-GB"/>
              </w:rPr>
              <w:t>(6</w:t>
            </w:r>
            <w:r>
              <w:rPr>
                <w:lang w:val="en-GB"/>
              </w:rPr>
              <w:t>.</w:t>
            </w:r>
            <w:r w:rsidRPr="00B55149">
              <w:rPr>
                <w:lang w:val="en-GB"/>
              </w:rPr>
              <w:t>2%).</w:t>
            </w:r>
          </w:p>
        </w:tc>
      </w:tr>
      <w:tr w:rsidR="001849BE" w:rsidRPr="009110F7" w14:paraId="63BADB45" w14:textId="77777777" w:rsidTr="00F57D57">
        <w:trPr>
          <w:trHeight w:val="170"/>
        </w:trPr>
        <w:tc>
          <w:tcPr>
            <w:tcW w:w="1805" w:type="dxa"/>
            <w:vMerge w:val="restart"/>
            <w:shd w:val="clear" w:color="auto" w:fill="auto"/>
            <w:tcMar>
              <w:left w:w="0" w:type="dxa"/>
            </w:tcMar>
          </w:tcPr>
          <w:p w14:paraId="3FFAB72F" w14:textId="77777777" w:rsidR="001849BE" w:rsidRDefault="001849BE" w:rsidP="001849BE">
            <w:pPr>
              <w:pStyle w:val="Marginlie"/>
              <w:rPr>
                <w:spacing w:val="0"/>
              </w:rPr>
            </w:pPr>
          </w:p>
        </w:tc>
        <w:tc>
          <w:tcPr>
            <w:tcW w:w="224" w:type="dxa"/>
            <w:vMerge w:val="restart"/>
            <w:shd w:val="clear" w:color="auto" w:fill="auto"/>
            <w:tcMar>
              <w:left w:w="0" w:type="dxa"/>
            </w:tcMar>
          </w:tcPr>
          <w:p w14:paraId="10526024" w14:textId="77777777" w:rsidR="001849BE" w:rsidRPr="00793D78" w:rsidRDefault="001849BE" w:rsidP="001849BE">
            <w:pPr>
              <w:pStyle w:val="Textpoznpodarou1"/>
              <w:jc w:val="both"/>
              <w:rPr>
                <w:highlight w:val="yellow"/>
              </w:rPr>
            </w:pPr>
          </w:p>
        </w:tc>
        <w:tc>
          <w:tcPr>
            <w:tcW w:w="7610" w:type="dxa"/>
            <w:shd w:val="clear" w:color="auto" w:fill="auto"/>
            <w:tcMar>
              <w:left w:w="0" w:type="dxa"/>
            </w:tcMar>
          </w:tcPr>
          <w:p w14:paraId="433F054B" w14:textId="443408AC" w:rsidR="001849BE" w:rsidRPr="00D75AC1" w:rsidRDefault="001849BE" w:rsidP="001849BE">
            <w:pPr>
              <w:spacing w:after="0"/>
              <w:rPr>
                <w:b/>
                <w:szCs w:val="20"/>
              </w:rPr>
            </w:pPr>
            <w:r>
              <w:rPr>
                <w:b/>
                <w:sz w:val="18"/>
                <w:szCs w:val="18"/>
              </w:rPr>
              <w:t>Chart 11</w:t>
            </w:r>
            <w:r w:rsidRPr="00793D78">
              <w:rPr>
                <w:b/>
                <w:sz w:val="18"/>
                <w:szCs w:val="18"/>
              </w:rPr>
              <w:t xml:space="preserve">  </w:t>
            </w:r>
            <w:r w:rsidRPr="00B32535">
              <w:rPr>
                <w:b/>
                <w:szCs w:val="20"/>
                <w:lang w:val="en-GB" w:eastAsia="en-US"/>
              </w:rPr>
              <w:t xml:space="preserve">Prices of main groups of industrial producers </w:t>
            </w:r>
            <w:r w:rsidRPr="00B32535">
              <w:rPr>
                <w:bCs/>
                <w:szCs w:val="20"/>
                <w:lang w:val="en-GB" w:eastAsia="en-US"/>
              </w:rPr>
              <w:t>(year-on-year change, in %, based on CPA classification)</w:t>
            </w:r>
            <w:r>
              <w:rPr>
                <w:b/>
                <w:szCs w:val="20"/>
                <w:lang w:eastAsia="en-US"/>
              </w:rPr>
              <w:t xml:space="preserve"> </w:t>
            </w:r>
          </w:p>
        </w:tc>
      </w:tr>
      <w:tr w:rsidR="001849BE" w:rsidRPr="009110F7" w14:paraId="6F9CC68F" w14:textId="77777777" w:rsidTr="001849BE">
        <w:tblPrEx>
          <w:tblCellMar>
            <w:left w:w="70" w:type="dxa"/>
            <w:right w:w="70" w:type="dxa"/>
          </w:tblCellMar>
        </w:tblPrEx>
        <w:trPr>
          <w:trHeight w:val="170"/>
        </w:trPr>
        <w:tc>
          <w:tcPr>
            <w:tcW w:w="1805" w:type="dxa"/>
            <w:vMerge/>
            <w:shd w:val="clear" w:color="auto" w:fill="auto"/>
          </w:tcPr>
          <w:p w14:paraId="127ADBC8" w14:textId="77777777" w:rsidR="001849BE" w:rsidRPr="00793D78" w:rsidRDefault="001849BE" w:rsidP="001849BE">
            <w:pPr>
              <w:pStyle w:val="Marginlie"/>
              <w:rPr>
                <w:spacing w:val="0"/>
              </w:rPr>
            </w:pPr>
          </w:p>
        </w:tc>
        <w:tc>
          <w:tcPr>
            <w:tcW w:w="224" w:type="dxa"/>
            <w:vMerge/>
            <w:shd w:val="clear" w:color="auto" w:fill="auto"/>
          </w:tcPr>
          <w:p w14:paraId="0E4E48D9" w14:textId="77777777" w:rsidR="001849BE" w:rsidRPr="00793D78" w:rsidRDefault="001849BE" w:rsidP="001849BE">
            <w:pPr>
              <w:pStyle w:val="Textpoznpodarou1"/>
              <w:jc w:val="both"/>
            </w:pPr>
          </w:p>
        </w:tc>
        <w:tc>
          <w:tcPr>
            <w:tcW w:w="7610" w:type="dxa"/>
            <w:shd w:val="clear" w:color="auto" w:fill="auto"/>
          </w:tcPr>
          <w:p w14:paraId="6C4D615B" w14:textId="479C5F40" w:rsidR="001849BE" w:rsidRPr="00793D78" w:rsidRDefault="001849BE" w:rsidP="001849BE">
            <w:pPr>
              <w:spacing w:after="0"/>
            </w:pPr>
            <w:r>
              <w:rPr>
                <w:noProof/>
              </w:rPr>
              <w:drawing>
                <wp:inline distT="0" distB="0" distL="0" distR="0" wp14:anchorId="54FEE58D" wp14:editId="5B0D7CED">
                  <wp:extent cx="4737600" cy="3553200"/>
                  <wp:effectExtent l="0" t="0" r="6350" b="0"/>
                  <wp:docPr id="37" name="Graf 37">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1849BE" w:rsidRPr="009110F7" w14:paraId="5C4B1497" w14:textId="77777777" w:rsidTr="00F57D57">
        <w:trPr>
          <w:trHeight w:val="170"/>
        </w:trPr>
        <w:tc>
          <w:tcPr>
            <w:tcW w:w="1805" w:type="dxa"/>
            <w:vMerge/>
            <w:shd w:val="clear" w:color="auto" w:fill="auto"/>
            <w:tcMar>
              <w:left w:w="0" w:type="dxa"/>
            </w:tcMar>
          </w:tcPr>
          <w:p w14:paraId="6C7A485E" w14:textId="77777777" w:rsidR="001849BE" w:rsidRPr="00793D78" w:rsidRDefault="001849BE" w:rsidP="001849BE">
            <w:pPr>
              <w:pStyle w:val="Marginlie"/>
              <w:rPr>
                <w:spacing w:val="0"/>
              </w:rPr>
            </w:pPr>
          </w:p>
        </w:tc>
        <w:tc>
          <w:tcPr>
            <w:tcW w:w="224" w:type="dxa"/>
            <w:vMerge/>
            <w:shd w:val="clear" w:color="auto" w:fill="auto"/>
            <w:tcMar>
              <w:left w:w="0" w:type="dxa"/>
            </w:tcMar>
          </w:tcPr>
          <w:p w14:paraId="2A37380F" w14:textId="77777777" w:rsidR="001849BE" w:rsidRPr="00793D78" w:rsidRDefault="001849BE" w:rsidP="001849BE">
            <w:pPr>
              <w:pStyle w:val="Textpoznpodarou1"/>
              <w:jc w:val="both"/>
            </w:pPr>
          </w:p>
        </w:tc>
        <w:tc>
          <w:tcPr>
            <w:tcW w:w="7610" w:type="dxa"/>
            <w:shd w:val="clear" w:color="auto" w:fill="auto"/>
            <w:tcMar>
              <w:left w:w="0" w:type="dxa"/>
            </w:tcMar>
          </w:tcPr>
          <w:p w14:paraId="236E5F4F" w14:textId="6AD3A182" w:rsidR="001849BE" w:rsidRPr="00793D78" w:rsidRDefault="001849BE" w:rsidP="001849BE">
            <w:r>
              <w:rPr>
                <w:sz w:val="14"/>
                <w:szCs w:val="14"/>
              </w:rPr>
              <w:t>Source</w:t>
            </w:r>
            <w:r w:rsidRPr="00793D78">
              <w:rPr>
                <w:sz w:val="14"/>
                <w:szCs w:val="14"/>
              </w:rPr>
              <w:t xml:space="preserve">: </w:t>
            </w:r>
            <w:r>
              <w:rPr>
                <w:sz w:val="14"/>
                <w:szCs w:val="14"/>
              </w:rPr>
              <w:t>CZSO</w:t>
            </w:r>
          </w:p>
        </w:tc>
      </w:tr>
      <w:tr w:rsidR="001849BE" w:rsidRPr="009110F7" w14:paraId="3FEDE3C9" w14:textId="77777777" w:rsidTr="00F57D57">
        <w:trPr>
          <w:trHeight w:val="145"/>
        </w:trPr>
        <w:tc>
          <w:tcPr>
            <w:tcW w:w="1805" w:type="dxa"/>
            <w:shd w:val="clear" w:color="auto" w:fill="auto"/>
            <w:tcMar>
              <w:left w:w="0" w:type="dxa"/>
            </w:tcMar>
          </w:tcPr>
          <w:p w14:paraId="4DA61367" w14:textId="20A3EAC9" w:rsidR="001849BE" w:rsidRPr="000F6529" w:rsidRDefault="001849BE" w:rsidP="001849BE">
            <w:pPr>
              <w:pStyle w:val="Marginlie"/>
              <w:rPr>
                <w:spacing w:val="0"/>
                <w:lang w:val="en-GB"/>
              </w:rPr>
            </w:pPr>
            <w:r w:rsidRPr="000F6529">
              <w:rPr>
                <w:spacing w:val="0"/>
                <w:lang w:val="en-GB"/>
              </w:rPr>
              <w:t xml:space="preserve">Industrial producer prices grew by extraordinary pace in the EU year-on-year. </w:t>
            </w:r>
          </w:p>
        </w:tc>
        <w:tc>
          <w:tcPr>
            <w:tcW w:w="224" w:type="dxa"/>
            <w:shd w:val="clear" w:color="auto" w:fill="auto"/>
            <w:tcMar>
              <w:left w:w="0" w:type="dxa"/>
            </w:tcMar>
          </w:tcPr>
          <w:p w14:paraId="774330EE" w14:textId="77777777" w:rsidR="001849BE" w:rsidRPr="000F6529" w:rsidRDefault="001849BE" w:rsidP="001849BE">
            <w:pPr>
              <w:pStyle w:val="Textpoznpodarou1"/>
              <w:jc w:val="both"/>
              <w:rPr>
                <w:lang w:val="en-GB"/>
              </w:rPr>
            </w:pPr>
          </w:p>
        </w:tc>
        <w:tc>
          <w:tcPr>
            <w:tcW w:w="7610" w:type="dxa"/>
            <w:shd w:val="clear" w:color="auto" w:fill="auto"/>
            <w:tcMar>
              <w:left w:w="0" w:type="dxa"/>
            </w:tcMar>
          </w:tcPr>
          <w:p w14:paraId="67B9047B" w14:textId="021C8C31" w:rsidR="001849BE" w:rsidRPr="000F6529" w:rsidRDefault="001849BE" w:rsidP="001849BE">
            <w:pPr>
              <w:rPr>
                <w:lang w:val="en-GB"/>
              </w:rPr>
            </w:pPr>
            <w:r>
              <w:rPr>
                <w:lang w:val="en-GB"/>
              </w:rPr>
              <w:t xml:space="preserve">Industrial producer prices rose by </w:t>
            </w:r>
            <w:r w:rsidRPr="000F6529">
              <w:rPr>
                <w:lang w:val="en-GB"/>
              </w:rPr>
              <w:t>9</w:t>
            </w:r>
            <w:r>
              <w:rPr>
                <w:lang w:val="en-GB"/>
              </w:rPr>
              <w:t>.</w:t>
            </w:r>
            <w:r w:rsidRPr="000F6529">
              <w:rPr>
                <w:lang w:val="en-GB"/>
              </w:rPr>
              <w:t>2%</w:t>
            </w:r>
            <w:r>
              <w:rPr>
                <w:lang w:val="en-GB"/>
              </w:rPr>
              <w:t xml:space="preserve"> in the EU year-on-year in Q2</w:t>
            </w:r>
            <w:r w:rsidRPr="000F6529">
              <w:rPr>
                <w:lang w:val="en-GB"/>
              </w:rPr>
              <w:t xml:space="preserve">. </w:t>
            </w:r>
            <w:r>
              <w:rPr>
                <w:lang w:val="en-GB"/>
              </w:rPr>
              <w:t>It represents a massive acceleration compared to Q</w:t>
            </w:r>
            <w:r w:rsidRPr="000F6529">
              <w:rPr>
                <w:lang w:val="en-GB"/>
              </w:rPr>
              <w:t>1</w:t>
            </w:r>
            <w:r>
              <w:rPr>
                <w:lang w:val="en-GB"/>
              </w:rPr>
              <w:t xml:space="preserve"> </w:t>
            </w:r>
            <w:r w:rsidRPr="000F6529">
              <w:rPr>
                <w:lang w:val="en-GB"/>
              </w:rPr>
              <w:t>(2</w:t>
            </w:r>
            <w:r>
              <w:rPr>
                <w:lang w:val="en-GB"/>
              </w:rPr>
              <w:t>.</w:t>
            </w:r>
            <w:r w:rsidRPr="000F6529">
              <w:rPr>
                <w:lang w:val="en-GB"/>
              </w:rPr>
              <w:t>2%)</w:t>
            </w:r>
            <w:r>
              <w:rPr>
                <w:lang w:val="en-GB"/>
              </w:rPr>
              <w:t xml:space="preserve">. Growing prices of oil strongly affected the heightened year-on-year increase of prices of mining and quarrying </w:t>
            </w:r>
            <w:r w:rsidRPr="000F6529">
              <w:rPr>
                <w:lang w:val="en-GB"/>
              </w:rPr>
              <w:t>(22</w:t>
            </w:r>
            <w:r>
              <w:rPr>
                <w:lang w:val="en-GB"/>
              </w:rPr>
              <w:t>.</w:t>
            </w:r>
            <w:r w:rsidRPr="000F6529">
              <w:rPr>
                <w:lang w:val="en-GB"/>
              </w:rPr>
              <w:t>5%)</w:t>
            </w:r>
            <w:r>
              <w:rPr>
                <w:lang w:val="en-GB"/>
              </w:rPr>
              <w:t xml:space="preserve"> as well as prices in manufacturing </w:t>
            </w:r>
            <w:r w:rsidRPr="000F6529">
              <w:rPr>
                <w:lang w:val="en-GB"/>
              </w:rPr>
              <w:t>(7</w:t>
            </w:r>
            <w:r>
              <w:rPr>
                <w:lang w:val="en-GB"/>
              </w:rPr>
              <w:t>.</w:t>
            </w:r>
            <w:r w:rsidRPr="000F6529">
              <w:rPr>
                <w:lang w:val="en-GB"/>
              </w:rPr>
              <w:t xml:space="preserve">0%). </w:t>
            </w:r>
            <w:r>
              <w:rPr>
                <w:lang w:val="en-GB"/>
              </w:rPr>
              <w:t xml:space="preserve">The year-on-year dynamics of prices of electricity, gas, steam and air conditioning also accelerated year-on-year </w:t>
            </w:r>
            <w:r w:rsidRPr="000F6529">
              <w:rPr>
                <w:lang w:val="en-GB"/>
              </w:rPr>
              <w:t>(18</w:t>
            </w:r>
            <w:r>
              <w:rPr>
                <w:lang w:val="en-GB"/>
              </w:rPr>
              <w:t>.</w:t>
            </w:r>
            <w:r w:rsidRPr="000F6529">
              <w:rPr>
                <w:lang w:val="en-GB"/>
              </w:rPr>
              <w:t>4%).</w:t>
            </w:r>
            <w:r>
              <w:rPr>
                <w:lang w:val="en-GB"/>
              </w:rPr>
              <w:t xml:space="preserve"> Industrial producer prices grew in the whole Union year-on-year and total </w:t>
            </w:r>
            <w:r w:rsidRPr="000F6529">
              <w:rPr>
                <w:lang w:val="en-GB"/>
              </w:rPr>
              <w:t>10 </w:t>
            </w:r>
            <w:r>
              <w:rPr>
                <w:lang w:val="en-GB"/>
              </w:rPr>
              <w:t>countries of the EU recorded more than 10% increase.</w:t>
            </w:r>
            <w:r w:rsidRPr="000F6529">
              <w:rPr>
                <w:lang w:val="en-GB"/>
              </w:rPr>
              <w:t xml:space="preserve"> </w:t>
            </w:r>
            <w:r>
              <w:rPr>
                <w:lang w:val="en-GB"/>
              </w:rPr>
              <w:t xml:space="preserve">Prices of producers grew the most in Ireland </w:t>
            </w:r>
            <w:r w:rsidRPr="000F6529">
              <w:rPr>
                <w:lang w:val="en-GB"/>
              </w:rPr>
              <w:t>(40</w:t>
            </w:r>
            <w:r>
              <w:rPr>
                <w:lang w:val="en-GB"/>
              </w:rPr>
              <w:t>.</w:t>
            </w:r>
            <w:r w:rsidRPr="000F6529">
              <w:rPr>
                <w:lang w:val="en-GB"/>
              </w:rPr>
              <w:t>5%), Belg</w:t>
            </w:r>
            <w:r>
              <w:rPr>
                <w:lang w:val="en-GB"/>
              </w:rPr>
              <w:t xml:space="preserve">ium </w:t>
            </w:r>
            <w:r w:rsidRPr="000F6529">
              <w:rPr>
                <w:lang w:val="en-GB"/>
              </w:rPr>
              <w:t>(17</w:t>
            </w:r>
            <w:r>
              <w:rPr>
                <w:lang w:val="en-GB"/>
              </w:rPr>
              <w:t>.</w:t>
            </w:r>
            <w:r w:rsidRPr="000F6529">
              <w:rPr>
                <w:lang w:val="en-GB"/>
              </w:rPr>
              <w:t>9%) a</w:t>
            </w:r>
            <w:r>
              <w:rPr>
                <w:lang w:val="en-GB"/>
              </w:rPr>
              <w:t xml:space="preserve">nd Denmark </w:t>
            </w:r>
            <w:r w:rsidRPr="000F6529">
              <w:rPr>
                <w:lang w:val="en-GB"/>
              </w:rPr>
              <w:t>(16</w:t>
            </w:r>
            <w:r>
              <w:rPr>
                <w:lang w:val="en-GB"/>
              </w:rPr>
              <w:t>.</w:t>
            </w:r>
            <w:r w:rsidRPr="000F6529">
              <w:rPr>
                <w:lang w:val="en-GB"/>
              </w:rPr>
              <w:t>6%)</w:t>
            </w:r>
            <w:r>
              <w:rPr>
                <w:lang w:val="en-GB"/>
              </w:rPr>
              <w:t xml:space="preserve"> year-on-year</w:t>
            </w:r>
            <w:r w:rsidRPr="000F6529">
              <w:rPr>
                <w:lang w:val="en-GB"/>
              </w:rPr>
              <w:t>.</w:t>
            </w:r>
            <w:r>
              <w:rPr>
                <w:lang w:val="en-GB"/>
              </w:rPr>
              <w:t xml:space="preserve"> The increase was more moderate in case of Malta </w:t>
            </w:r>
            <w:r w:rsidRPr="000F6529">
              <w:rPr>
                <w:lang w:val="en-GB"/>
              </w:rPr>
              <w:t>(1</w:t>
            </w:r>
            <w:r>
              <w:rPr>
                <w:lang w:val="en-GB"/>
              </w:rPr>
              <w:t>.</w:t>
            </w:r>
            <w:r w:rsidRPr="000F6529">
              <w:rPr>
                <w:lang w:val="en-GB"/>
              </w:rPr>
              <w:t>1%), Slov</w:t>
            </w:r>
            <w:r>
              <w:rPr>
                <w:lang w:val="en-GB"/>
              </w:rPr>
              <w:t xml:space="preserve">akia </w:t>
            </w:r>
            <w:r w:rsidRPr="000F6529">
              <w:rPr>
                <w:lang w:val="en-GB"/>
              </w:rPr>
              <w:t>(2</w:t>
            </w:r>
            <w:r>
              <w:rPr>
                <w:lang w:val="en-GB"/>
              </w:rPr>
              <w:t>.</w:t>
            </w:r>
            <w:r w:rsidRPr="000F6529">
              <w:rPr>
                <w:lang w:val="en-GB"/>
              </w:rPr>
              <w:t>6%) a</w:t>
            </w:r>
            <w:r>
              <w:rPr>
                <w:lang w:val="en-GB"/>
              </w:rPr>
              <w:t xml:space="preserve">nd Slovenia </w:t>
            </w:r>
            <w:r w:rsidRPr="000F6529">
              <w:rPr>
                <w:lang w:val="en-GB"/>
              </w:rPr>
              <w:t>(4</w:t>
            </w:r>
            <w:r>
              <w:rPr>
                <w:lang w:val="en-GB"/>
              </w:rPr>
              <w:t>.</w:t>
            </w:r>
            <w:r w:rsidRPr="000F6529">
              <w:rPr>
                <w:lang w:val="en-GB"/>
              </w:rPr>
              <w:t>2%)</w:t>
            </w:r>
            <w:r>
              <w:rPr>
                <w:lang w:val="en-GB"/>
              </w:rPr>
              <w:t xml:space="preserve">. Even the CR despite considerable increase belonged to countries with dynamics below the EU average. </w:t>
            </w:r>
          </w:p>
        </w:tc>
      </w:tr>
      <w:tr w:rsidR="001849BE" w:rsidRPr="009110F7" w14:paraId="6D3DF773" w14:textId="77777777" w:rsidTr="00F57D57">
        <w:trPr>
          <w:trHeight w:val="145"/>
        </w:trPr>
        <w:tc>
          <w:tcPr>
            <w:tcW w:w="1805" w:type="dxa"/>
            <w:shd w:val="clear" w:color="auto" w:fill="auto"/>
            <w:tcMar>
              <w:left w:w="0" w:type="dxa"/>
            </w:tcMar>
          </w:tcPr>
          <w:p w14:paraId="24486E96" w14:textId="5167055F" w:rsidR="001849BE" w:rsidRPr="00D25E5A" w:rsidRDefault="001849BE" w:rsidP="001849BE">
            <w:pPr>
              <w:pStyle w:val="Marginlie"/>
              <w:rPr>
                <w:spacing w:val="0"/>
                <w:lang w:val="en-GB"/>
              </w:rPr>
            </w:pPr>
            <w:r>
              <w:rPr>
                <w:spacing w:val="0"/>
                <w:lang w:val="en-GB"/>
              </w:rPr>
              <w:t xml:space="preserve">Year-on-year pace of prices of market services further slowed down. </w:t>
            </w:r>
          </w:p>
        </w:tc>
        <w:tc>
          <w:tcPr>
            <w:tcW w:w="224" w:type="dxa"/>
            <w:shd w:val="clear" w:color="auto" w:fill="auto"/>
            <w:tcMar>
              <w:left w:w="0" w:type="dxa"/>
            </w:tcMar>
          </w:tcPr>
          <w:p w14:paraId="09C73ECC" w14:textId="77777777" w:rsidR="001849BE" w:rsidRPr="00D25E5A" w:rsidRDefault="001849BE" w:rsidP="001849BE">
            <w:pPr>
              <w:pStyle w:val="Textpoznpodarou1"/>
              <w:jc w:val="both"/>
              <w:rPr>
                <w:lang w:val="en-GB"/>
              </w:rPr>
            </w:pPr>
          </w:p>
        </w:tc>
        <w:tc>
          <w:tcPr>
            <w:tcW w:w="7610" w:type="dxa"/>
            <w:shd w:val="clear" w:color="auto" w:fill="auto"/>
            <w:tcMar>
              <w:left w:w="0" w:type="dxa"/>
            </w:tcMar>
          </w:tcPr>
          <w:p w14:paraId="3BC0C478" w14:textId="69CCE8BB" w:rsidR="001849BE" w:rsidRPr="00D25E5A" w:rsidRDefault="001849BE" w:rsidP="001849BE">
            <w:pPr>
              <w:rPr>
                <w:lang w:val="en-GB"/>
              </w:rPr>
            </w:pPr>
            <w:r>
              <w:rPr>
                <w:lang w:val="en-GB"/>
              </w:rPr>
              <w:t>General economic deceleration affected the price index of market services, whose dynamics again moderated. Prices of market services increased by</w:t>
            </w:r>
            <w:r w:rsidRPr="00D25E5A">
              <w:rPr>
                <w:lang w:val="en-GB"/>
              </w:rPr>
              <w:t> 1</w:t>
            </w:r>
            <w:r>
              <w:rPr>
                <w:lang w:val="en-GB"/>
              </w:rPr>
              <w:t>.</w:t>
            </w:r>
            <w:r w:rsidRPr="00D25E5A">
              <w:rPr>
                <w:lang w:val="en-GB"/>
              </w:rPr>
              <w:t>0%</w:t>
            </w:r>
            <w:r>
              <w:rPr>
                <w:lang w:val="en-GB"/>
              </w:rPr>
              <w:t xml:space="preserve"> year-on-year in Q2</w:t>
            </w:r>
            <w:r w:rsidRPr="00D25E5A">
              <w:rPr>
                <w:lang w:val="en-GB"/>
              </w:rPr>
              <w:t>,</w:t>
            </w:r>
            <w:r>
              <w:rPr>
                <w:lang w:val="en-GB"/>
              </w:rPr>
              <w:t xml:space="preserve"> which is the least since Q</w:t>
            </w:r>
            <w:r w:rsidRPr="00D25E5A">
              <w:rPr>
                <w:lang w:val="en-GB"/>
              </w:rPr>
              <w:t>1</w:t>
            </w:r>
            <w:r>
              <w:rPr>
                <w:lang w:val="en-GB"/>
              </w:rPr>
              <w:t xml:space="preserve"> </w:t>
            </w:r>
            <w:r w:rsidRPr="00D25E5A">
              <w:rPr>
                <w:lang w:val="en-GB"/>
              </w:rPr>
              <w:t xml:space="preserve">2017. </w:t>
            </w:r>
            <w:r>
              <w:rPr>
                <w:lang w:val="en-GB"/>
              </w:rPr>
              <w:t xml:space="preserve">The prices of services in the area of programming and related consultancy, which grew by 3.1% year-on-year contributed to the year-on-year growth despite slow down the most. Prices of land and pipe transportation </w:t>
            </w:r>
            <w:r w:rsidRPr="00D25E5A">
              <w:rPr>
                <w:lang w:val="en-GB"/>
              </w:rPr>
              <w:t>(1</w:t>
            </w:r>
            <w:r>
              <w:rPr>
                <w:lang w:val="en-GB"/>
              </w:rPr>
              <w:t>.</w:t>
            </w:r>
            <w:r w:rsidRPr="00D25E5A">
              <w:rPr>
                <w:lang w:val="en-GB"/>
              </w:rPr>
              <w:t>4%),</w:t>
            </w:r>
            <w:r>
              <w:rPr>
                <w:lang w:val="en-GB"/>
              </w:rPr>
              <w:t xml:space="preserve"> real estate services </w:t>
            </w:r>
            <w:r w:rsidRPr="00D25E5A">
              <w:rPr>
                <w:lang w:val="en-GB"/>
              </w:rPr>
              <w:t>(1</w:t>
            </w:r>
            <w:r>
              <w:rPr>
                <w:lang w:val="en-GB"/>
              </w:rPr>
              <w:t>.</w:t>
            </w:r>
            <w:r w:rsidRPr="00D25E5A">
              <w:rPr>
                <w:lang w:val="en-GB"/>
              </w:rPr>
              <w:t>5%) a</w:t>
            </w:r>
            <w:r>
              <w:rPr>
                <w:lang w:val="en-GB"/>
              </w:rPr>
              <w:t xml:space="preserve">nd services of job agencies </w:t>
            </w:r>
            <w:r w:rsidRPr="00D25E5A">
              <w:rPr>
                <w:lang w:val="en-GB"/>
              </w:rPr>
              <w:t>(6</w:t>
            </w:r>
            <w:r>
              <w:rPr>
                <w:lang w:val="en-GB"/>
              </w:rPr>
              <w:t>.</w:t>
            </w:r>
            <w:r w:rsidRPr="00D25E5A">
              <w:rPr>
                <w:lang w:val="en-GB"/>
              </w:rPr>
              <w:t>1%,</w:t>
            </w:r>
            <w:r>
              <w:rPr>
                <w:lang w:val="en-GB"/>
              </w:rPr>
              <w:t xml:space="preserve"> marked acceleration compared to previous three quarters</w:t>
            </w:r>
            <w:r w:rsidRPr="00D25E5A">
              <w:rPr>
                <w:lang w:val="en-GB"/>
              </w:rPr>
              <w:t>)</w:t>
            </w:r>
            <w:r>
              <w:rPr>
                <w:lang w:val="en-GB"/>
              </w:rPr>
              <w:t xml:space="preserve"> also showed more notable addition</w:t>
            </w:r>
            <w:r w:rsidRPr="00D25E5A">
              <w:rPr>
                <w:lang w:val="en-GB"/>
              </w:rPr>
              <w:t>.</w:t>
            </w:r>
            <w:r>
              <w:rPr>
                <w:lang w:val="en-GB"/>
              </w:rPr>
              <w:t xml:space="preserve"> Contribution of other branches was only minor – warehousing and support services for transportation </w:t>
            </w:r>
            <w:r w:rsidRPr="00D25E5A">
              <w:rPr>
                <w:lang w:val="en-GB"/>
              </w:rPr>
              <w:t>(1</w:t>
            </w:r>
            <w:r>
              <w:rPr>
                <w:lang w:val="en-GB"/>
              </w:rPr>
              <w:t>.</w:t>
            </w:r>
            <w:r w:rsidRPr="00D25E5A">
              <w:rPr>
                <w:lang w:val="en-GB"/>
              </w:rPr>
              <w:t>0%), po</w:t>
            </w:r>
            <w:r>
              <w:rPr>
                <w:lang w:val="en-GB"/>
              </w:rPr>
              <w:t xml:space="preserve">stal and courier services </w:t>
            </w:r>
            <w:r w:rsidRPr="00D25E5A">
              <w:rPr>
                <w:lang w:val="en-GB"/>
              </w:rPr>
              <w:t>(2</w:t>
            </w:r>
            <w:r>
              <w:rPr>
                <w:lang w:val="en-GB"/>
              </w:rPr>
              <w:t>.</w:t>
            </w:r>
            <w:r w:rsidRPr="00D25E5A">
              <w:rPr>
                <w:lang w:val="en-GB"/>
              </w:rPr>
              <w:t>0%),</w:t>
            </w:r>
            <w:r>
              <w:rPr>
                <w:lang w:val="en-GB"/>
              </w:rPr>
              <w:t xml:space="preserve"> legal and accounting services </w:t>
            </w:r>
            <w:r w:rsidRPr="00D25E5A">
              <w:rPr>
                <w:lang w:val="en-GB"/>
              </w:rPr>
              <w:t>(2</w:t>
            </w:r>
            <w:r>
              <w:rPr>
                <w:lang w:val="en-GB"/>
              </w:rPr>
              <w:t>.</w:t>
            </w:r>
            <w:r w:rsidRPr="00D25E5A">
              <w:rPr>
                <w:lang w:val="en-GB"/>
              </w:rPr>
              <w:t xml:space="preserve">0%), </w:t>
            </w:r>
            <w:r>
              <w:rPr>
                <w:color w:val="0D0D0D" w:themeColor="text1" w:themeTint="F2"/>
                <w:spacing w:val="-4"/>
                <w:lang w:val="en-GB"/>
              </w:rPr>
              <w:t>activities of head offices</w:t>
            </w:r>
            <w:r w:rsidRPr="002A7342">
              <w:rPr>
                <w:color w:val="0D0D0D" w:themeColor="text1" w:themeTint="F2"/>
                <w:spacing w:val="-4"/>
                <w:szCs w:val="20"/>
                <w:lang w:val="en-GB"/>
              </w:rPr>
              <w:t xml:space="preserve">, </w:t>
            </w:r>
            <w:r>
              <w:rPr>
                <w:color w:val="0D0D0D" w:themeColor="text1" w:themeTint="F2"/>
                <w:spacing w:val="-4"/>
                <w:szCs w:val="20"/>
                <w:lang w:val="en-GB"/>
              </w:rPr>
              <w:t xml:space="preserve">management consultancy activities </w:t>
            </w:r>
            <w:r w:rsidRPr="00D25E5A">
              <w:rPr>
                <w:lang w:val="en-GB"/>
              </w:rPr>
              <w:t>(2</w:t>
            </w:r>
            <w:r>
              <w:rPr>
                <w:lang w:val="en-GB"/>
              </w:rPr>
              <w:t>.</w:t>
            </w:r>
            <w:r w:rsidRPr="00D25E5A">
              <w:rPr>
                <w:lang w:val="en-GB"/>
              </w:rPr>
              <w:t>4%)</w:t>
            </w:r>
            <w:r>
              <w:rPr>
                <w:lang w:val="en-GB"/>
              </w:rPr>
              <w:t xml:space="preserve"> and security and investigation services </w:t>
            </w:r>
            <w:r w:rsidRPr="00D25E5A">
              <w:rPr>
                <w:lang w:val="en-GB"/>
              </w:rPr>
              <w:t>(3</w:t>
            </w:r>
            <w:r>
              <w:rPr>
                <w:lang w:val="en-GB"/>
              </w:rPr>
              <w:t>.</w:t>
            </w:r>
            <w:r w:rsidRPr="00D25E5A">
              <w:rPr>
                <w:lang w:val="en-GB"/>
              </w:rPr>
              <w:t xml:space="preserve">5%). </w:t>
            </w:r>
            <w:r>
              <w:rPr>
                <w:lang w:val="en-GB"/>
              </w:rPr>
              <w:t xml:space="preserve">Information services </w:t>
            </w:r>
            <w:r w:rsidRPr="00D25E5A">
              <w:rPr>
                <w:lang w:val="en-GB"/>
              </w:rPr>
              <w:t>(–4</w:t>
            </w:r>
            <w:r>
              <w:rPr>
                <w:lang w:val="en-GB"/>
              </w:rPr>
              <w:t>.</w:t>
            </w:r>
            <w:r w:rsidRPr="00D25E5A">
              <w:rPr>
                <w:lang w:val="en-GB"/>
              </w:rPr>
              <w:t xml:space="preserve">8%), </w:t>
            </w:r>
            <w:r>
              <w:rPr>
                <w:lang w:val="en-GB"/>
              </w:rPr>
              <w:t xml:space="preserve">architectural and engineering activities and technical testing and analysis </w:t>
            </w:r>
            <w:r w:rsidRPr="00D25E5A">
              <w:rPr>
                <w:lang w:val="en-GB"/>
              </w:rPr>
              <w:t>(–1</w:t>
            </w:r>
            <w:r>
              <w:rPr>
                <w:lang w:val="en-GB"/>
              </w:rPr>
              <w:t>.</w:t>
            </w:r>
            <w:r w:rsidRPr="00D25E5A">
              <w:rPr>
                <w:lang w:val="en-GB"/>
              </w:rPr>
              <w:t>2%) a</w:t>
            </w:r>
            <w:r>
              <w:rPr>
                <w:lang w:val="en-GB"/>
              </w:rPr>
              <w:t xml:space="preserve">nd </w:t>
            </w:r>
            <w:r>
              <w:rPr>
                <w:lang w:val="en-GB"/>
              </w:rPr>
              <w:lastRenderedPageBreak/>
              <w:t xml:space="preserve">advertising and market research </w:t>
            </w:r>
            <w:r w:rsidRPr="00D25E5A">
              <w:rPr>
                <w:lang w:val="en-GB"/>
              </w:rPr>
              <w:t>(–1</w:t>
            </w:r>
            <w:r>
              <w:rPr>
                <w:lang w:val="en-GB"/>
              </w:rPr>
              <w:t>.</w:t>
            </w:r>
            <w:r w:rsidRPr="00D25E5A">
              <w:rPr>
                <w:lang w:val="en-GB"/>
              </w:rPr>
              <w:t>8%)</w:t>
            </w:r>
            <w:r>
              <w:rPr>
                <w:lang w:val="en-GB"/>
              </w:rPr>
              <w:t xml:space="preserve"> worked more significantly in the direction of decrease of prices</w:t>
            </w:r>
            <w:r w:rsidRPr="00D25E5A">
              <w:rPr>
                <w:lang w:val="en-GB"/>
              </w:rPr>
              <w:t>.</w:t>
            </w:r>
          </w:p>
        </w:tc>
      </w:tr>
      <w:tr w:rsidR="001849BE" w:rsidRPr="009110F7" w14:paraId="38EB766A" w14:textId="77777777" w:rsidTr="00F57D57">
        <w:trPr>
          <w:trHeight w:val="145"/>
        </w:trPr>
        <w:tc>
          <w:tcPr>
            <w:tcW w:w="1805" w:type="dxa"/>
            <w:shd w:val="clear" w:color="auto" w:fill="auto"/>
            <w:tcMar>
              <w:left w:w="0" w:type="dxa"/>
            </w:tcMar>
          </w:tcPr>
          <w:p w14:paraId="7D4AD808" w14:textId="6E32AC8D" w:rsidR="001849BE" w:rsidRPr="00D25E5A" w:rsidRDefault="001849BE" w:rsidP="001849BE">
            <w:pPr>
              <w:pStyle w:val="Marginlie"/>
              <w:rPr>
                <w:spacing w:val="0"/>
                <w:lang w:val="en-GB"/>
              </w:rPr>
            </w:pPr>
            <w:r w:rsidRPr="00D25E5A">
              <w:rPr>
                <w:spacing w:val="0"/>
                <w:lang w:val="en-GB"/>
              </w:rPr>
              <w:lastRenderedPageBreak/>
              <w:t>Prices of agricultur</w:t>
            </w:r>
            <w:r>
              <w:rPr>
                <w:spacing w:val="0"/>
                <w:lang w:val="en-GB"/>
              </w:rPr>
              <w:t>al</w:t>
            </w:r>
            <w:r w:rsidRPr="00D25E5A">
              <w:rPr>
                <w:spacing w:val="0"/>
                <w:lang w:val="en-GB"/>
              </w:rPr>
              <w:t xml:space="preserve"> production increased. </w:t>
            </w:r>
          </w:p>
        </w:tc>
        <w:tc>
          <w:tcPr>
            <w:tcW w:w="224" w:type="dxa"/>
            <w:shd w:val="clear" w:color="auto" w:fill="auto"/>
            <w:tcMar>
              <w:left w:w="0" w:type="dxa"/>
            </w:tcMar>
          </w:tcPr>
          <w:p w14:paraId="3B4EA26B" w14:textId="77777777" w:rsidR="001849BE" w:rsidRPr="00D25E5A" w:rsidRDefault="001849BE" w:rsidP="001849BE">
            <w:pPr>
              <w:pStyle w:val="Textpoznpodarou1"/>
              <w:jc w:val="both"/>
              <w:rPr>
                <w:lang w:val="en-GB"/>
              </w:rPr>
            </w:pPr>
          </w:p>
        </w:tc>
        <w:tc>
          <w:tcPr>
            <w:tcW w:w="7610" w:type="dxa"/>
            <w:shd w:val="clear" w:color="auto" w:fill="auto"/>
            <w:tcMar>
              <w:left w:w="0" w:type="dxa"/>
            </w:tcMar>
          </w:tcPr>
          <w:p w14:paraId="52B9B1EB" w14:textId="1FC28940" w:rsidR="001849BE" w:rsidRPr="009C1334" w:rsidRDefault="001849BE" w:rsidP="008B65DE">
            <w:pPr>
              <w:rPr>
                <w:spacing w:val="-2"/>
                <w:lang w:val="en-GB"/>
              </w:rPr>
            </w:pPr>
            <w:r w:rsidRPr="009C1334">
              <w:rPr>
                <w:spacing w:val="-2"/>
                <w:lang w:val="en-GB"/>
              </w:rPr>
              <w:t>Prices of agricultura</w:t>
            </w:r>
            <w:r>
              <w:rPr>
                <w:spacing w:val="-2"/>
                <w:lang w:val="en-GB"/>
              </w:rPr>
              <w:t>l</w:t>
            </w:r>
            <w:r w:rsidRPr="009C1334">
              <w:rPr>
                <w:spacing w:val="-2"/>
                <w:lang w:val="en-GB"/>
              </w:rPr>
              <w:t xml:space="preserve"> production rose by 3.8% year-on-year. </w:t>
            </w:r>
            <w:r>
              <w:rPr>
                <w:spacing w:val="-2"/>
                <w:lang w:val="en-GB"/>
              </w:rPr>
              <w:t>It constitutes the first increase since Q</w:t>
            </w:r>
            <w:r w:rsidRPr="009C1334">
              <w:rPr>
                <w:spacing w:val="-2"/>
                <w:lang w:val="en-GB"/>
              </w:rPr>
              <w:t>3</w:t>
            </w:r>
            <w:r>
              <w:rPr>
                <w:spacing w:val="-2"/>
                <w:lang w:val="en-GB"/>
              </w:rPr>
              <w:t xml:space="preserve"> </w:t>
            </w:r>
            <w:r w:rsidRPr="009C1334">
              <w:rPr>
                <w:spacing w:val="-2"/>
                <w:lang w:val="en-GB"/>
              </w:rPr>
              <w:t>2019.</w:t>
            </w:r>
            <w:r>
              <w:rPr>
                <w:spacing w:val="-2"/>
                <w:lang w:val="en-GB"/>
              </w:rPr>
              <w:t xml:space="preserve"> The increase of plant production grew markedly </w:t>
            </w:r>
            <w:r w:rsidRPr="009C1334">
              <w:rPr>
                <w:spacing w:val="-2"/>
                <w:lang w:val="en-GB"/>
              </w:rPr>
              <w:t>(8</w:t>
            </w:r>
            <w:r>
              <w:rPr>
                <w:spacing w:val="-2"/>
                <w:lang w:val="en-GB"/>
              </w:rPr>
              <w:t>.</w:t>
            </w:r>
            <w:r w:rsidRPr="009C1334">
              <w:rPr>
                <w:spacing w:val="-2"/>
                <w:lang w:val="en-GB"/>
              </w:rPr>
              <w:t xml:space="preserve">9%). </w:t>
            </w:r>
            <w:r>
              <w:rPr>
                <w:spacing w:val="-2"/>
                <w:lang w:val="en-GB"/>
              </w:rPr>
              <w:t xml:space="preserve">The increase of prices of cereals by </w:t>
            </w:r>
            <w:r w:rsidRPr="009C1334">
              <w:rPr>
                <w:spacing w:val="-2"/>
                <w:lang w:val="en-GB"/>
              </w:rPr>
              <w:t>12</w:t>
            </w:r>
            <w:r>
              <w:rPr>
                <w:spacing w:val="-2"/>
                <w:lang w:val="en-GB"/>
              </w:rPr>
              <w:t>.</w:t>
            </w:r>
            <w:r w:rsidRPr="009C1334">
              <w:rPr>
                <w:spacing w:val="-2"/>
                <w:lang w:val="en-GB"/>
              </w:rPr>
              <w:t>0%</w:t>
            </w:r>
            <w:r>
              <w:rPr>
                <w:spacing w:val="-2"/>
                <w:lang w:val="en-GB"/>
              </w:rPr>
              <w:t xml:space="preserve"> contributed, where the prices of both wheat </w:t>
            </w:r>
            <w:r w:rsidRPr="009C1334">
              <w:rPr>
                <w:spacing w:val="-2"/>
                <w:lang w:val="en-GB"/>
              </w:rPr>
              <w:t>(16</w:t>
            </w:r>
            <w:r>
              <w:rPr>
                <w:spacing w:val="-2"/>
                <w:lang w:val="en-GB"/>
              </w:rPr>
              <w:t>.</w:t>
            </w:r>
            <w:r w:rsidRPr="009C1334">
              <w:rPr>
                <w:spacing w:val="-2"/>
                <w:lang w:val="en-GB"/>
              </w:rPr>
              <w:t xml:space="preserve">2%) </w:t>
            </w:r>
            <w:r>
              <w:rPr>
                <w:spacing w:val="-2"/>
                <w:lang w:val="en-GB"/>
              </w:rPr>
              <w:t xml:space="preserve">and corn </w:t>
            </w:r>
            <w:r w:rsidRPr="009C1334">
              <w:rPr>
                <w:spacing w:val="-2"/>
                <w:lang w:val="en-GB"/>
              </w:rPr>
              <w:t>(22</w:t>
            </w:r>
            <w:r>
              <w:rPr>
                <w:spacing w:val="-2"/>
                <w:lang w:val="en-GB"/>
              </w:rPr>
              <w:t>.</w:t>
            </w:r>
            <w:r w:rsidRPr="009C1334">
              <w:rPr>
                <w:spacing w:val="-2"/>
                <w:lang w:val="en-GB"/>
              </w:rPr>
              <w:t>2%)</w:t>
            </w:r>
            <w:r>
              <w:rPr>
                <w:spacing w:val="-2"/>
                <w:lang w:val="en-GB"/>
              </w:rPr>
              <w:t xml:space="preserve"> went up notably</w:t>
            </w:r>
            <w:r w:rsidRPr="009C1334">
              <w:rPr>
                <w:spacing w:val="-2"/>
                <w:lang w:val="en-GB"/>
              </w:rPr>
              <w:t>.</w:t>
            </w:r>
            <w:r>
              <w:rPr>
                <w:spacing w:val="-2"/>
                <w:lang w:val="en-GB"/>
              </w:rPr>
              <w:t xml:space="preserve"> Strengthened dynamics was also observed for industrial crop </w:t>
            </w:r>
            <w:r w:rsidRPr="009C1334">
              <w:rPr>
                <w:spacing w:val="-2"/>
                <w:lang w:val="en-GB"/>
              </w:rPr>
              <w:t>(10</w:t>
            </w:r>
            <w:r>
              <w:rPr>
                <w:spacing w:val="-2"/>
                <w:lang w:val="en-GB"/>
              </w:rPr>
              <w:t>.</w:t>
            </w:r>
            <w:r w:rsidRPr="009C1334">
              <w:rPr>
                <w:spacing w:val="-2"/>
                <w:lang w:val="en-GB"/>
              </w:rPr>
              <w:t>8%),</w:t>
            </w:r>
            <w:r>
              <w:rPr>
                <w:spacing w:val="-2"/>
                <w:lang w:val="en-GB"/>
              </w:rPr>
              <w:t xml:space="preserve"> in that prices of oil plants were raised by </w:t>
            </w:r>
            <w:r w:rsidRPr="009C1334">
              <w:rPr>
                <w:spacing w:val="-2"/>
                <w:lang w:val="en-GB"/>
              </w:rPr>
              <w:t>11</w:t>
            </w:r>
            <w:r>
              <w:rPr>
                <w:spacing w:val="-2"/>
                <w:lang w:val="en-GB"/>
              </w:rPr>
              <w:t>.</w:t>
            </w:r>
            <w:r w:rsidRPr="009C1334">
              <w:rPr>
                <w:spacing w:val="-2"/>
                <w:lang w:val="en-GB"/>
              </w:rPr>
              <w:t>0% (</w:t>
            </w:r>
            <w:r>
              <w:rPr>
                <w:spacing w:val="-2"/>
                <w:lang w:val="en-GB"/>
              </w:rPr>
              <w:t>mainly the oilseed rape</w:t>
            </w:r>
            <w:r w:rsidRPr="009C1334">
              <w:rPr>
                <w:spacing w:val="-2"/>
                <w:lang w:val="en-GB"/>
              </w:rPr>
              <w:t>).</w:t>
            </w:r>
            <w:r>
              <w:rPr>
                <w:spacing w:val="-2"/>
                <w:lang w:val="en-GB"/>
              </w:rPr>
              <w:t xml:space="preserve"> Prices of </w:t>
            </w:r>
            <w:r w:rsidR="008B65DE">
              <w:rPr>
                <w:spacing w:val="-2"/>
                <w:lang w:val="en-GB"/>
              </w:rPr>
              <w:t>forage plants</w:t>
            </w:r>
            <w:r>
              <w:rPr>
                <w:spacing w:val="-2"/>
                <w:lang w:val="en-GB"/>
              </w:rPr>
              <w:t xml:space="preserve"> increased by </w:t>
            </w:r>
            <w:r w:rsidRPr="009C1334">
              <w:rPr>
                <w:spacing w:val="-2"/>
                <w:lang w:val="en-GB"/>
              </w:rPr>
              <w:t>2</w:t>
            </w:r>
            <w:r>
              <w:rPr>
                <w:spacing w:val="-2"/>
                <w:lang w:val="en-GB"/>
              </w:rPr>
              <w:t>.</w:t>
            </w:r>
            <w:r w:rsidRPr="009C1334">
              <w:rPr>
                <w:spacing w:val="-2"/>
                <w:lang w:val="en-GB"/>
              </w:rPr>
              <w:t xml:space="preserve">1%. </w:t>
            </w:r>
            <w:r>
              <w:rPr>
                <w:spacing w:val="-2"/>
                <w:lang w:val="en-GB"/>
              </w:rPr>
              <w:t xml:space="preserve">In contrast the prices of vegetables and garden products dropped by </w:t>
            </w:r>
            <w:r w:rsidRPr="009C1334">
              <w:rPr>
                <w:spacing w:val="-2"/>
                <w:lang w:val="en-GB"/>
              </w:rPr>
              <w:t>4</w:t>
            </w:r>
            <w:r>
              <w:rPr>
                <w:spacing w:val="-2"/>
                <w:lang w:val="en-GB"/>
              </w:rPr>
              <w:t>.</w:t>
            </w:r>
            <w:r w:rsidRPr="009C1334">
              <w:rPr>
                <w:spacing w:val="-2"/>
                <w:lang w:val="en-GB"/>
              </w:rPr>
              <w:t>4%,</w:t>
            </w:r>
            <w:r>
              <w:rPr>
                <w:spacing w:val="-2"/>
                <w:lang w:val="en-GB"/>
              </w:rPr>
              <w:t xml:space="preserve"> potatoes by </w:t>
            </w:r>
            <w:r w:rsidRPr="009C1334">
              <w:rPr>
                <w:spacing w:val="-2"/>
                <w:lang w:val="en-GB"/>
              </w:rPr>
              <w:t>15</w:t>
            </w:r>
            <w:r>
              <w:rPr>
                <w:spacing w:val="-2"/>
                <w:lang w:val="en-GB"/>
              </w:rPr>
              <w:t>.</w:t>
            </w:r>
            <w:r w:rsidRPr="009C1334">
              <w:rPr>
                <w:spacing w:val="-2"/>
                <w:lang w:val="en-GB"/>
              </w:rPr>
              <w:t>5% a</w:t>
            </w:r>
            <w:r>
              <w:rPr>
                <w:spacing w:val="-2"/>
                <w:lang w:val="en-GB"/>
              </w:rPr>
              <w:t xml:space="preserve">nd fruit by </w:t>
            </w:r>
            <w:r w:rsidRPr="009C1334">
              <w:rPr>
                <w:spacing w:val="-2"/>
                <w:lang w:val="en-GB"/>
              </w:rPr>
              <w:t>5</w:t>
            </w:r>
            <w:r>
              <w:rPr>
                <w:spacing w:val="-2"/>
                <w:lang w:val="en-GB"/>
              </w:rPr>
              <w:t>.</w:t>
            </w:r>
            <w:r w:rsidRPr="009C1334">
              <w:rPr>
                <w:spacing w:val="-2"/>
                <w:lang w:val="en-GB"/>
              </w:rPr>
              <w:t>2%.</w:t>
            </w:r>
            <w:r>
              <w:rPr>
                <w:spacing w:val="-2"/>
                <w:lang w:val="en-GB"/>
              </w:rPr>
              <w:t xml:space="preserve"> Prices of animal production were further falling, but their year-on-year plunge moderated to </w:t>
            </w:r>
            <w:r w:rsidRPr="009C1334">
              <w:rPr>
                <w:spacing w:val="-2"/>
                <w:lang w:val="en-GB"/>
              </w:rPr>
              <w:t>1</w:t>
            </w:r>
            <w:r>
              <w:rPr>
                <w:spacing w:val="-2"/>
                <w:lang w:val="en-GB"/>
              </w:rPr>
              <w:t>.</w:t>
            </w:r>
            <w:r w:rsidRPr="009C1334">
              <w:rPr>
                <w:spacing w:val="-2"/>
                <w:lang w:val="en-GB"/>
              </w:rPr>
              <w:t>6%</w:t>
            </w:r>
            <w:r>
              <w:rPr>
                <w:spacing w:val="-2"/>
                <w:lang w:val="en-GB"/>
              </w:rPr>
              <w:t xml:space="preserve"> in Q2</w:t>
            </w:r>
            <w:r w:rsidRPr="009C1334">
              <w:rPr>
                <w:spacing w:val="-2"/>
                <w:lang w:val="en-GB"/>
              </w:rPr>
              <w:t xml:space="preserve">. </w:t>
            </w:r>
            <w:r>
              <w:rPr>
                <w:spacing w:val="-2"/>
                <w:lang w:val="en-GB"/>
              </w:rPr>
              <w:t xml:space="preserve">Mainly due to the prices of pigs the deep plunge for farm animals reduced </w:t>
            </w:r>
            <w:r w:rsidRPr="009C1334">
              <w:rPr>
                <w:spacing w:val="-2"/>
                <w:lang w:val="en-GB"/>
              </w:rPr>
              <w:t>(–7</w:t>
            </w:r>
            <w:r>
              <w:rPr>
                <w:spacing w:val="-2"/>
                <w:lang w:val="en-GB"/>
              </w:rPr>
              <w:t>.</w:t>
            </w:r>
            <w:r w:rsidRPr="009C1334">
              <w:rPr>
                <w:spacing w:val="-2"/>
                <w:lang w:val="en-GB"/>
              </w:rPr>
              <w:t xml:space="preserve">3%). </w:t>
            </w:r>
            <w:r>
              <w:rPr>
                <w:spacing w:val="-2"/>
                <w:lang w:val="en-GB"/>
              </w:rPr>
              <w:t xml:space="preserve">Prices of animal products grew by </w:t>
            </w:r>
            <w:r w:rsidRPr="009C1334">
              <w:rPr>
                <w:spacing w:val="-2"/>
                <w:lang w:val="en-GB"/>
              </w:rPr>
              <w:t>3</w:t>
            </w:r>
            <w:r>
              <w:rPr>
                <w:spacing w:val="-2"/>
                <w:lang w:val="en-GB"/>
              </w:rPr>
              <w:t>.</w:t>
            </w:r>
            <w:r w:rsidRPr="009C1334">
              <w:rPr>
                <w:spacing w:val="-2"/>
                <w:lang w:val="en-GB"/>
              </w:rPr>
              <w:t xml:space="preserve">1%, </w:t>
            </w:r>
            <w:r>
              <w:rPr>
                <w:spacing w:val="-2"/>
                <w:lang w:val="en-GB"/>
              </w:rPr>
              <w:t xml:space="preserve">in that prices of milk by </w:t>
            </w:r>
            <w:r w:rsidRPr="009C1334">
              <w:rPr>
                <w:spacing w:val="-2"/>
                <w:lang w:val="en-GB"/>
              </w:rPr>
              <w:t>2</w:t>
            </w:r>
            <w:r>
              <w:rPr>
                <w:spacing w:val="-2"/>
                <w:lang w:val="en-GB"/>
              </w:rPr>
              <w:t>.</w:t>
            </w:r>
            <w:r w:rsidRPr="009C1334">
              <w:rPr>
                <w:spacing w:val="-2"/>
                <w:lang w:val="en-GB"/>
              </w:rPr>
              <w:t>9% a</w:t>
            </w:r>
            <w:r>
              <w:rPr>
                <w:spacing w:val="-2"/>
                <w:lang w:val="en-GB"/>
              </w:rPr>
              <w:t xml:space="preserve">nd eggs by </w:t>
            </w:r>
            <w:r w:rsidRPr="009C1334">
              <w:rPr>
                <w:spacing w:val="-2"/>
                <w:lang w:val="en-GB"/>
              </w:rPr>
              <w:t>4</w:t>
            </w:r>
            <w:r>
              <w:rPr>
                <w:spacing w:val="-2"/>
                <w:lang w:val="en-GB"/>
              </w:rPr>
              <w:t>.</w:t>
            </w:r>
            <w:r w:rsidRPr="009C1334">
              <w:rPr>
                <w:spacing w:val="-2"/>
                <w:lang w:val="en-GB"/>
              </w:rPr>
              <w:t>6%.</w:t>
            </w:r>
          </w:p>
        </w:tc>
      </w:tr>
      <w:tr w:rsidR="001849BE" w:rsidRPr="009110F7" w14:paraId="1A13AEF9" w14:textId="77777777" w:rsidTr="00F57D57">
        <w:trPr>
          <w:trHeight w:val="145"/>
        </w:trPr>
        <w:tc>
          <w:tcPr>
            <w:tcW w:w="1805" w:type="dxa"/>
            <w:shd w:val="clear" w:color="auto" w:fill="auto"/>
            <w:tcMar>
              <w:left w:w="0" w:type="dxa"/>
            </w:tcMar>
          </w:tcPr>
          <w:p w14:paraId="3C2A8584" w14:textId="2209A705" w:rsidR="001849BE" w:rsidRPr="00207A6E" w:rsidRDefault="001849BE" w:rsidP="001849BE">
            <w:pPr>
              <w:pStyle w:val="Marginlie"/>
              <w:rPr>
                <w:spacing w:val="0"/>
                <w:lang w:val="en-GB"/>
              </w:rPr>
            </w:pPr>
            <w:r w:rsidRPr="00207A6E">
              <w:rPr>
                <w:spacing w:val="0"/>
                <w:lang w:val="en-GB"/>
              </w:rPr>
              <w:t xml:space="preserve">Growth of export prices weakened. </w:t>
            </w:r>
          </w:p>
        </w:tc>
        <w:tc>
          <w:tcPr>
            <w:tcW w:w="224" w:type="dxa"/>
            <w:shd w:val="clear" w:color="auto" w:fill="auto"/>
            <w:tcMar>
              <w:left w:w="0" w:type="dxa"/>
            </w:tcMar>
          </w:tcPr>
          <w:p w14:paraId="4650FDF5" w14:textId="77777777" w:rsidR="001849BE" w:rsidRPr="00793D78" w:rsidRDefault="001849BE" w:rsidP="001849BE">
            <w:pPr>
              <w:pStyle w:val="Textpoznpodarou1"/>
              <w:jc w:val="both"/>
            </w:pPr>
          </w:p>
        </w:tc>
        <w:tc>
          <w:tcPr>
            <w:tcW w:w="7610" w:type="dxa"/>
            <w:shd w:val="clear" w:color="auto" w:fill="auto"/>
            <w:tcMar>
              <w:left w:w="0" w:type="dxa"/>
            </w:tcMar>
          </w:tcPr>
          <w:p w14:paraId="2C2B7426" w14:textId="0F992995" w:rsidR="001849BE" w:rsidRPr="00AE49C7" w:rsidRDefault="001849BE" w:rsidP="00217809">
            <w:pPr>
              <w:rPr>
                <w:lang w:val="en-GB"/>
              </w:rPr>
            </w:pPr>
            <w:r w:rsidRPr="00AE49C7">
              <w:rPr>
                <w:lang w:val="en-GB"/>
              </w:rPr>
              <w:t>Export prices grew by 1.8% year-on-year in Q2 2021.</w:t>
            </w:r>
            <w:r>
              <w:rPr>
                <w:lang w:val="en-GB"/>
              </w:rPr>
              <w:t xml:space="preserve"> The marked deceleration of rate of growth compared to Q1 can be ascribed especially to the large year-on-year appreciation of the koruna foreign exchange</w:t>
            </w:r>
            <w:r w:rsidRPr="00AE49C7">
              <w:rPr>
                <w:rStyle w:val="Znakapoznpodarou"/>
                <w:lang w:val="en-GB"/>
              </w:rPr>
              <w:footnoteReference w:id="3"/>
            </w:r>
            <w:r w:rsidRPr="00AE49C7">
              <w:rPr>
                <w:lang w:val="en-GB"/>
              </w:rPr>
              <w:t xml:space="preserve">, </w:t>
            </w:r>
            <w:r>
              <w:rPr>
                <w:lang w:val="en-GB"/>
              </w:rPr>
              <w:t>which has strong anti-inflationary effect currently</w:t>
            </w:r>
            <w:r w:rsidRPr="00AE49C7">
              <w:rPr>
                <w:lang w:val="en-GB"/>
              </w:rPr>
              <w:t xml:space="preserve">. </w:t>
            </w:r>
            <w:r>
              <w:rPr>
                <w:lang w:val="en-GB"/>
              </w:rPr>
              <w:t xml:space="preserve">Prices of export of mineral fuels and </w:t>
            </w:r>
            <w:r w:rsidR="00217809">
              <w:rPr>
                <w:lang w:val="en-GB"/>
              </w:rPr>
              <w:t>lubricants</w:t>
            </w:r>
            <w:r>
              <w:rPr>
                <w:lang w:val="en-GB"/>
              </w:rPr>
              <w:t xml:space="preserve"> </w:t>
            </w:r>
            <w:r w:rsidRPr="00AE49C7">
              <w:rPr>
                <w:lang w:val="en-GB"/>
              </w:rPr>
              <w:t>(47</w:t>
            </w:r>
            <w:r>
              <w:rPr>
                <w:lang w:val="en-GB"/>
              </w:rPr>
              <w:t>.</w:t>
            </w:r>
            <w:r w:rsidRPr="00AE49C7">
              <w:rPr>
                <w:lang w:val="en-GB"/>
              </w:rPr>
              <w:t>2%) a</w:t>
            </w:r>
            <w:r>
              <w:rPr>
                <w:lang w:val="en-GB"/>
              </w:rPr>
              <w:t>nd other materials</w:t>
            </w:r>
            <w:r w:rsidRPr="00AE49C7">
              <w:rPr>
                <w:rStyle w:val="Znakapoznpodarou"/>
                <w:lang w:val="en-GB"/>
              </w:rPr>
              <w:footnoteReference w:id="4"/>
            </w:r>
            <w:r w:rsidRPr="00AE49C7">
              <w:rPr>
                <w:lang w:val="en-GB"/>
              </w:rPr>
              <w:t xml:space="preserve"> (37</w:t>
            </w:r>
            <w:r>
              <w:rPr>
                <w:lang w:val="en-GB"/>
              </w:rPr>
              <w:t>.</w:t>
            </w:r>
            <w:r w:rsidRPr="00AE49C7">
              <w:rPr>
                <w:lang w:val="en-GB"/>
              </w:rPr>
              <w:t>6%)</w:t>
            </w:r>
            <w:r>
              <w:rPr>
                <w:lang w:val="en-GB"/>
              </w:rPr>
              <w:t xml:space="preserve"> grew the most year-on-year in Q2</w:t>
            </w:r>
            <w:r w:rsidRPr="00AE49C7">
              <w:rPr>
                <w:lang w:val="en-GB"/>
              </w:rPr>
              <w:t xml:space="preserve">. </w:t>
            </w:r>
            <w:r>
              <w:rPr>
                <w:lang w:val="en-GB"/>
              </w:rPr>
              <w:t xml:space="preserve">Increase for </w:t>
            </w:r>
            <w:r w:rsidR="00217809">
              <w:rPr>
                <w:lang w:val="en-GB"/>
              </w:rPr>
              <w:t>c</w:t>
            </w:r>
            <w:r w:rsidR="00217809" w:rsidRPr="00217809">
              <w:rPr>
                <w:lang w:val="en-GB"/>
              </w:rPr>
              <w:t>hemicals and related products</w:t>
            </w:r>
            <w:r>
              <w:rPr>
                <w:lang w:val="en-GB"/>
              </w:rPr>
              <w:t xml:space="preserve"> was also strong </w:t>
            </w:r>
            <w:r w:rsidRPr="00AE49C7">
              <w:rPr>
                <w:lang w:val="en-GB"/>
              </w:rPr>
              <w:t>(9</w:t>
            </w:r>
            <w:r>
              <w:rPr>
                <w:lang w:val="en-GB"/>
              </w:rPr>
              <w:t>.</w:t>
            </w:r>
            <w:r w:rsidRPr="00AE49C7">
              <w:rPr>
                <w:lang w:val="en-GB"/>
              </w:rPr>
              <w:t>5%).</w:t>
            </w:r>
            <w:r>
              <w:rPr>
                <w:lang w:val="en-GB"/>
              </w:rPr>
              <w:t xml:space="preserve"> The year-on-year increase of prices of semi-finished products</w:t>
            </w:r>
            <w:r w:rsidRPr="00AE49C7">
              <w:rPr>
                <w:rStyle w:val="Znakapoznpodarou"/>
                <w:lang w:val="en-GB"/>
              </w:rPr>
              <w:footnoteReference w:id="5"/>
            </w:r>
            <w:r w:rsidRPr="00AE49C7">
              <w:rPr>
                <w:lang w:val="en-GB"/>
              </w:rPr>
              <w:t xml:space="preserve"> (2</w:t>
            </w:r>
            <w:r>
              <w:rPr>
                <w:lang w:val="en-GB"/>
              </w:rPr>
              <w:t>.</w:t>
            </w:r>
            <w:r w:rsidRPr="00AE49C7">
              <w:rPr>
                <w:lang w:val="en-GB"/>
              </w:rPr>
              <w:t>7%) a</w:t>
            </w:r>
            <w:r>
              <w:rPr>
                <w:lang w:val="en-GB"/>
              </w:rPr>
              <w:t xml:space="preserve">nd food and live animals </w:t>
            </w:r>
            <w:r w:rsidRPr="00AE49C7">
              <w:rPr>
                <w:lang w:val="en-GB"/>
              </w:rPr>
              <w:t>(1</w:t>
            </w:r>
            <w:r>
              <w:rPr>
                <w:lang w:val="en-GB"/>
              </w:rPr>
              <w:t>.</w:t>
            </w:r>
            <w:r w:rsidRPr="00AE49C7">
              <w:rPr>
                <w:lang w:val="en-GB"/>
              </w:rPr>
              <w:t>0%)</w:t>
            </w:r>
            <w:r>
              <w:rPr>
                <w:lang w:val="en-GB"/>
              </w:rPr>
              <w:t xml:space="preserve"> on the contrary weakened</w:t>
            </w:r>
            <w:r w:rsidRPr="00AE49C7">
              <w:rPr>
                <w:lang w:val="en-GB"/>
              </w:rPr>
              <w:t xml:space="preserve">. </w:t>
            </w:r>
            <w:r>
              <w:rPr>
                <w:lang w:val="en-GB"/>
              </w:rPr>
              <w:t xml:space="preserve">Year-on-year dynamics of export prices of beverages and tobacco </w:t>
            </w:r>
            <w:r w:rsidRPr="00AE49C7">
              <w:rPr>
                <w:lang w:val="en-GB"/>
              </w:rPr>
              <w:t>(–6</w:t>
            </w:r>
            <w:r>
              <w:rPr>
                <w:lang w:val="en-GB"/>
              </w:rPr>
              <w:t>.</w:t>
            </w:r>
            <w:r w:rsidRPr="00AE49C7">
              <w:rPr>
                <w:lang w:val="en-GB"/>
              </w:rPr>
              <w:t>2%)</w:t>
            </w:r>
            <w:r>
              <w:rPr>
                <w:lang w:val="en-GB"/>
              </w:rPr>
              <w:t xml:space="preserve"> and </w:t>
            </w:r>
            <w:r w:rsidR="00217809">
              <w:rPr>
                <w:lang w:val="en-GB"/>
              </w:rPr>
              <w:t>m</w:t>
            </w:r>
            <w:r w:rsidR="00217809" w:rsidRPr="00217809">
              <w:rPr>
                <w:lang w:val="en-GB"/>
              </w:rPr>
              <w:t>iscellaneous manufactured articles</w:t>
            </w:r>
            <w:r>
              <w:rPr>
                <w:lang w:val="en-GB"/>
              </w:rPr>
              <w:t xml:space="preserve"> </w:t>
            </w:r>
            <w:r w:rsidRPr="00AE49C7">
              <w:rPr>
                <w:lang w:val="en-GB"/>
              </w:rPr>
              <w:t>(–4</w:t>
            </w:r>
            <w:r>
              <w:rPr>
                <w:lang w:val="en-GB"/>
              </w:rPr>
              <w:t>.</w:t>
            </w:r>
            <w:r w:rsidRPr="00AE49C7">
              <w:rPr>
                <w:lang w:val="en-GB"/>
              </w:rPr>
              <w:t>1%)</w:t>
            </w:r>
            <w:r>
              <w:rPr>
                <w:lang w:val="en-GB"/>
              </w:rPr>
              <w:t xml:space="preserve"> plunged deeply</w:t>
            </w:r>
            <w:r w:rsidRPr="00AE49C7">
              <w:rPr>
                <w:lang w:val="en-GB"/>
              </w:rPr>
              <w:t>.</w:t>
            </w:r>
            <w:r>
              <w:rPr>
                <w:lang w:val="en-GB"/>
              </w:rPr>
              <w:t xml:space="preserve"> Prices of machinery and transport equipment also decreased year-on-year </w:t>
            </w:r>
            <w:r w:rsidRPr="00AE49C7">
              <w:rPr>
                <w:lang w:val="en-GB"/>
              </w:rPr>
              <w:t>(–1</w:t>
            </w:r>
            <w:r>
              <w:rPr>
                <w:lang w:val="en-GB"/>
              </w:rPr>
              <w:t>.</w:t>
            </w:r>
            <w:r w:rsidRPr="00AE49C7">
              <w:rPr>
                <w:lang w:val="en-GB"/>
              </w:rPr>
              <w:t xml:space="preserve">5%), </w:t>
            </w:r>
            <w:r>
              <w:rPr>
                <w:lang w:val="en-GB"/>
              </w:rPr>
              <w:t xml:space="preserve">even though they sharply grew in the previous four quarters and absorbed the most the koruna appreciation. </w:t>
            </w:r>
          </w:p>
        </w:tc>
      </w:tr>
      <w:tr w:rsidR="001849BE" w:rsidRPr="009110F7" w14:paraId="598A9378" w14:textId="77777777" w:rsidTr="00F57D57">
        <w:trPr>
          <w:trHeight w:val="145"/>
        </w:trPr>
        <w:tc>
          <w:tcPr>
            <w:tcW w:w="1805" w:type="dxa"/>
            <w:shd w:val="clear" w:color="auto" w:fill="auto"/>
            <w:tcMar>
              <w:left w:w="0" w:type="dxa"/>
            </w:tcMar>
          </w:tcPr>
          <w:p w14:paraId="002C3FC8" w14:textId="0821F1A3" w:rsidR="001849BE" w:rsidRPr="00EA5051" w:rsidRDefault="001849BE" w:rsidP="001849BE">
            <w:pPr>
              <w:pStyle w:val="Marginlie"/>
              <w:rPr>
                <w:spacing w:val="0"/>
                <w:lang w:val="en-GB"/>
              </w:rPr>
            </w:pPr>
            <w:r w:rsidRPr="00EA5051">
              <w:rPr>
                <w:spacing w:val="0"/>
                <w:lang w:val="en-GB"/>
              </w:rPr>
              <w:t xml:space="preserve">Terms of trade were negative for the first time after more than two years. </w:t>
            </w:r>
          </w:p>
        </w:tc>
        <w:tc>
          <w:tcPr>
            <w:tcW w:w="224" w:type="dxa"/>
            <w:shd w:val="clear" w:color="auto" w:fill="auto"/>
            <w:tcMar>
              <w:left w:w="0" w:type="dxa"/>
            </w:tcMar>
          </w:tcPr>
          <w:p w14:paraId="3C978D69" w14:textId="77777777" w:rsidR="001849BE" w:rsidRPr="00793D78" w:rsidRDefault="001849BE" w:rsidP="001849BE">
            <w:pPr>
              <w:pStyle w:val="Textpoznpodarou1"/>
              <w:jc w:val="both"/>
            </w:pPr>
          </w:p>
        </w:tc>
        <w:tc>
          <w:tcPr>
            <w:tcW w:w="7610" w:type="dxa"/>
            <w:shd w:val="clear" w:color="auto" w:fill="auto"/>
            <w:tcMar>
              <w:left w:w="0" w:type="dxa"/>
            </w:tcMar>
          </w:tcPr>
          <w:p w14:paraId="1D18C000" w14:textId="0D7414DD" w:rsidR="001849BE" w:rsidRPr="00647F5C" w:rsidRDefault="001849BE" w:rsidP="00217809">
            <w:pPr>
              <w:rPr>
                <w:lang w:val="en-GB"/>
              </w:rPr>
            </w:pPr>
            <w:r>
              <w:rPr>
                <w:lang w:val="en-GB"/>
              </w:rPr>
              <w:t xml:space="preserve">Import prices were by </w:t>
            </w:r>
            <w:r w:rsidRPr="00647F5C">
              <w:rPr>
                <w:lang w:val="en-GB"/>
              </w:rPr>
              <w:t>2</w:t>
            </w:r>
            <w:r>
              <w:rPr>
                <w:lang w:val="en-GB"/>
              </w:rPr>
              <w:t>.</w:t>
            </w:r>
            <w:r w:rsidRPr="00647F5C">
              <w:rPr>
                <w:lang w:val="en-GB"/>
              </w:rPr>
              <w:t>3%</w:t>
            </w:r>
            <w:r>
              <w:rPr>
                <w:lang w:val="en-GB"/>
              </w:rPr>
              <w:t xml:space="preserve"> higher year-on-year in Q2</w:t>
            </w:r>
            <w:r w:rsidRPr="00647F5C">
              <w:rPr>
                <w:lang w:val="en-GB"/>
              </w:rPr>
              <w:t>.</w:t>
            </w:r>
            <w:r>
              <w:rPr>
                <w:lang w:val="en-GB"/>
              </w:rPr>
              <w:t xml:space="preserve"> Prices of mineral fuels </w:t>
            </w:r>
            <w:r w:rsidRPr="00647F5C">
              <w:rPr>
                <w:lang w:val="en-GB"/>
              </w:rPr>
              <w:t>(71</w:t>
            </w:r>
            <w:r>
              <w:rPr>
                <w:lang w:val="en-GB"/>
              </w:rPr>
              <w:t>.</w:t>
            </w:r>
            <w:r w:rsidRPr="00647F5C">
              <w:rPr>
                <w:lang w:val="en-GB"/>
              </w:rPr>
              <w:t>8%)</w:t>
            </w:r>
            <w:r>
              <w:rPr>
                <w:lang w:val="en-GB"/>
              </w:rPr>
              <w:t xml:space="preserve"> and other materials </w:t>
            </w:r>
            <w:r w:rsidRPr="00647F5C">
              <w:rPr>
                <w:lang w:val="en-GB"/>
              </w:rPr>
              <w:t>(21</w:t>
            </w:r>
            <w:r>
              <w:rPr>
                <w:lang w:val="en-GB"/>
              </w:rPr>
              <w:t>.</w:t>
            </w:r>
            <w:r w:rsidRPr="00647F5C">
              <w:rPr>
                <w:lang w:val="en-GB"/>
              </w:rPr>
              <w:t>6%)</w:t>
            </w:r>
            <w:r>
              <w:rPr>
                <w:lang w:val="en-GB"/>
              </w:rPr>
              <w:t xml:space="preserve"> increased the most</w:t>
            </w:r>
            <w:r w:rsidRPr="00647F5C">
              <w:rPr>
                <w:lang w:val="en-GB"/>
              </w:rPr>
              <w:t xml:space="preserve">. </w:t>
            </w:r>
            <w:r>
              <w:rPr>
                <w:lang w:val="en-GB"/>
              </w:rPr>
              <w:t xml:space="preserve">Prices of chemicals and related products </w:t>
            </w:r>
            <w:r w:rsidRPr="00647F5C">
              <w:rPr>
                <w:lang w:val="en-GB"/>
              </w:rPr>
              <w:t>(6</w:t>
            </w:r>
            <w:r>
              <w:rPr>
                <w:lang w:val="en-GB"/>
              </w:rPr>
              <w:t>.</w:t>
            </w:r>
            <w:r w:rsidRPr="00647F5C">
              <w:rPr>
                <w:lang w:val="en-GB"/>
              </w:rPr>
              <w:t>0%)</w:t>
            </w:r>
            <w:r>
              <w:rPr>
                <w:lang w:val="en-GB"/>
              </w:rPr>
              <w:t xml:space="preserve"> grew as well and prices of imported semi-finished products increased </w:t>
            </w:r>
            <w:r w:rsidRPr="00647F5C">
              <w:rPr>
                <w:lang w:val="en-GB"/>
              </w:rPr>
              <w:t>(4</w:t>
            </w:r>
            <w:r>
              <w:rPr>
                <w:lang w:val="en-GB"/>
              </w:rPr>
              <w:t>.</w:t>
            </w:r>
            <w:r w:rsidRPr="00647F5C">
              <w:rPr>
                <w:lang w:val="en-GB"/>
              </w:rPr>
              <w:t>3%).</w:t>
            </w:r>
            <w:r>
              <w:rPr>
                <w:lang w:val="en-GB"/>
              </w:rPr>
              <w:t xml:space="preserve"> </w:t>
            </w:r>
            <w:r w:rsidRPr="00647F5C">
              <w:rPr>
                <w:lang w:val="en-GB"/>
              </w:rPr>
              <w:t xml:space="preserve"> </w:t>
            </w:r>
            <w:r>
              <w:rPr>
                <w:lang w:val="en-GB"/>
              </w:rPr>
              <w:t xml:space="preserve">The decrease of prices of machinery and transport equipment </w:t>
            </w:r>
            <w:r w:rsidRPr="00647F5C">
              <w:rPr>
                <w:lang w:val="en-GB"/>
              </w:rPr>
              <w:t>(–5</w:t>
            </w:r>
            <w:r>
              <w:rPr>
                <w:lang w:val="en-GB"/>
              </w:rPr>
              <w:t>.</w:t>
            </w:r>
            <w:r w:rsidRPr="00647F5C">
              <w:rPr>
                <w:lang w:val="en-GB"/>
              </w:rPr>
              <w:t>4%) a</w:t>
            </w:r>
            <w:r>
              <w:rPr>
                <w:lang w:val="en-GB"/>
              </w:rPr>
              <w:t xml:space="preserve">nd </w:t>
            </w:r>
            <w:r w:rsidR="00217809">
              <w:rPr>
                <w:lang w:val="en-GB"/>
              </w:rPr>
              <w:t>m</w:t>
            </w:r>
            <w:r w:rsidR="00217809" w:rsidRPr="00217809">
              <w:rPr>
                <w:lang w:val="en-GB"/>
              </w:rPr>
              <w:t>iscellaneous manufactured articles</w:t>
            </w:r>
            <w:r w:rsidR="00217809">
              <w:rPr>
                <w:lang w:val="en-GB"/>
              </w:rPr>
              <w:t xml:space="preserve"> </w:t>
            </w:r>
            <w:r w:rsidRPr="00647F5C">
              <w:rPr>
                <w:lang w:val="en-GB"/>
              </w:rPr>
              <w:t>(–4</w:t>
            </w:r>
            <w:r>
              <w:rPr>
                <w:lang w:val="en-GB"/>
              </w:rPr>
              <w:t>.</w:t>
            </w:r>
            <w:r w:rsidRPr="00647F5C">
              <w:rPr>
                <w:lang w:val="en-GB"/>
              </w:rPr>
              <w:t>8%)</w:t>
            </w:r>
            <w:r>
              <w:rPr>
                <w:lang w:val="en-GB"/>
              </w:rPr>
              <w:t xml:space="preserve"> significantly deepened</w:t>
            </w:r>
            <w:r w:rsidRPr="00647F5C">
              <w:rPr>
                <w:lang w:val="en-GB"/>
              </w:rPr>
              <w:t xml:space="preserve">. </w:t>
            </w:r>
            <w:r>
              <w:rPr>
                <w:lang w:val="en-GB"/>
              </w:rPr>
              <w:t xml:space="preserve">Prices of food and live animals </w:t>
            </w:r>
            <w:r w:rsidRPr="00647F5C">
              <w:rPr>
                <w:lang w:val="en-GB"/>
              </w:rPr>
              <w:t>(–3</w:t>
            </w:r>
            <w:r>
              <w:rPr>
                <w:lang w:val="en-GB"/>
              </w:rPr>
              <w:t>.</w:t>
            </w:r>
            <w:r w:rsidRPr="00647F5C">
              <w:rPr>
                <w:lang w:val="en-GB"/>
              </w:rPr>
              <w:t>6%) a</w:t>
            </w:r>
            <w:r>
              <w:rPr>
                <w:lang w:val="en-GB"/>
              </w:rPr>
              <w:t xml:space="preserve">nd beverages and tobacco </w:t>
            </w:r>
            <w:r w:rsidRPr="00647F5C">
              <w:rPr>
                <w:lang w:val="en-GB"/>
              </w:rPr>
              <w:t>(–1</w:t>
            </w:r>
            <w:r>
              <w:rPr>
                <w:lang w:val="en-GB"/>
              </w:rPr>
              <w:t>.</w:t>
            </w:r>
            <w:r w:rsidRPr="00647F5C">
              <w:rPr>
                <w:lang w:val="en-GB"/>
              </w:rPr>
              <w:t>7%)</w:t>
            </w:r>
            <w:r>
              <w:rPr>
                <w:lang w:val="en-GB"/>
              </w:rPr>
              <w:t xml:space="preserve"> went also down</w:t>
            </w:r>
            <w:r w:rsidRPr="00647F5C">
              <w:rPr>
                <w:lang w:val="en-GB"/>
              </w:rPr>
              <w:t xml:space="preserve">. </w:t>
            </w:r>
            <w:r>
              <w:rPr>
                <w:lang w:val="en-GB"/>
              </w:rPr>
              <w:t>The terms of trade were negative in Q</w:t>
            </w:r>
            <w:r w:rsidRPr="00647F5C">
              <w:rPr>
                <w:lang w:val="en-GB"/>
              </w:rPr>
              <w:t>2</w:t>
            </w:r>
            <w:r>
              <w:rPr>
                <w:lang w:val="en-GB"/>
              </w:rPr>
              <w:t xml:space="preserve"> </w:t>
            </w:r>
            <w:r w:rsidRPr="00647F5C">
              <w:rPr>
                <w:lang w:val="en-GB"/>
              </w:rPr>
              <w:t>(99</w:t>
            </w:r>
            <w:r>
              <w:rPr>
                <w:lang w:val="en-GB"/>
              </w:rPr>
              <w:t>.</w:t>
            </w:r>
            <w:r w:rsidRPr="00647F5C">
              <w:rPr>
                <w:lang w:val="en-GB"/>
              </w:rPr>
              <w:t>5%),</w:t>
            </w:r>
            <w:r>
              <w:rPr>
                <w:lang w:val="en-GB"/>
              </w:rPr>
              <w:t xml:space="preserve"> for the first time since Q</w:t>
            </w:r>
            <w:r w:rsidRPr="00647F5C">
              <w:rPr>
                <w:lang w:val="en-GB"/>
              </w:rPr>
              <w:t>4</w:t>
            </w:r>
            <w:r>
              <w:rPr>
                <w:lang w:val="en-GB"/>
              </w:rPr>
              <w:t xml:space="preserve"> </w:t>
            </w:r>
            <w:r w:rsidRPr="00647F5C">
              <w:rPr>
                <w:lang w:val="en-GB"/>
              </w:rPr>
              <w:t>2018.</w:t>
            </w:r>
            <w:r>
              <w:rPr>
                <w:lang w:val="en-GB"/>
              </w:rPr>
              <w:t xml:space="preserve"> Terms of trade with mineral fuels </w:t>
            </w:r>
            <w:r w:rsidRPr="00647F5C">
              <w:rPr>
                <w:lang w:val="en-GB"/>
              </w:rPr>
              <w:t>(85</w:t>
            </w:r>
            <w:r>
              <w:rPr>
                <w:lang w:val="en-GB"/>
              </w:rPr>
              <w:t>.</w:t>
            </w:r>
            <w:r w:rsidRPr="00647F5C">
              <w:rPr>
                <w:lang w:val="en-GB"/>
              </w:rPr>
              <w:t>7%),</w:t>
            </w:r>
            <w:r>
              <w:rPr>
                <w:lang w:val="en-GB"/>
              </w:rPr>
              <w:t xml:space="preserve"> beverages and tobacco </w:t>
            </w:r>
            <w:r w:rsidRPr="00647F5C">
              <w:rPr>
                <w:lang w:val="en-GB"/>
              </w:rPr>
              <w:t>(95</w:t>
            </w:r>
            <w:r>
              <w:rPr>
                <w:lang w:val="en-GB"/>
              </w:rPr>
              <w:t>.</w:t>
            </w:r>
            <w:r w:rsidRPr="00647F5C">
              <w:rPr>
                <w:lang w:val="en-GB"/>
              </w:rPr>
              <w:t>4%)</w:t>
            </w:r>
            <w:r>
              <w:rPr>
                <w:lang w:val="en-GB"/>
              </w:rPr>
              <w:t xml:space="preserve"> and semi-finished products </w:t>
            </w:r>
            <w:r w:rsidRPr="00647F5C">
              <w:rPr>
                <w:lang w:val="en-GB"/>
              </w:rPr>
              <w:t>(98</w:t>
            </w:r>
            <w:r>
              <w:rPr>
                <w:lang w:val="en-GB"/>
              </w:rPr>
              <w:t>.</w:t>
            </w:r>
            <w:r w:rsidRPr="00647F5C">
              <w:rPr>
                <w:lang w:val="en-GB"/>
              </w:rPr>
              <w:t>5%)</w:t>
            </w:r>
            <w:r>
              <w:rPr>
                <w:lang w:val="en-GB"/>
              </w:rPr>
              <w:t xml:space="preserve"> were negative</w:t>
            </w:r>
            <w:r w:rsidRPr="00647F5C">
              <w:rPr>
                <w:lang w:val="en-GB"/>
              </w:rPr>
              <w:t>.</w:t>
            </w:r>
            <w:r>
              <w:rPr>
                <w:lang w:val="en-GB"/>
              </w:rPr>
              <w:t xml:space="preserve"> On the contrary, terms of trade with other materials </w:t>
            </w:r>
            <w:r w:rsidRPr="00647F5C">
              <w:rPr>
                <w:lang w:val="en-GB"/>
              </w:rPr>
              <w:t>(113</w:t>
            </w:r>
            <w:r>
              <w:rPr>
                <w:lang w:val="en-GB"/>
              </w:rPr>
              <w:t>.</w:t>
            </w:r>
            <w:r w:rsidRPr="00647F5C">
              <w:rPr>
                <w:lang w:val="en-GB"/>
              </w:rPr>
              <w:t>2%),</w:t>
            </w:r>
            <w:r>
              <w:rPr>
                <w:lang w:val="en-GB"/>
              </w:rPr>
              <w:t xml:space="preserve"> food and live animals </w:t>
            </w:r>
            <w:r w:rsidRPr="00647F5C">
              <w:rPr>
                <w:lang w:val="en-GB"/>
              </w:rPr>
              <w:t>(104</w:t>
            </w:r>
            <w:r>
              <w:rPr>
                <w:lang w:val="en-GB"/>
              </w:rPr>
              <w:t>.</w:t>
            </w:r>
            <w:r w:rsidRPr="00647F5C">
              <w:rPr>
                <w:lang w:val="en-GB"/>
              </w:rPr>
              <w:t>8%),</w:t>
            </w:r>
            <w:r>
              <w:rPr>
                <w:lang w:val="en-GB"/>
              </w:rPr>
              <w:t xml:space="preserve"> machinery and transport equipment </w:t>
            </w:r>
            <w:r w:rsidRPr="00647F5C">
              <w:rPr>
                <w:lang w:val="en-GB"/>
              </w:rPr>
              <w:t>(104</w:t>
            </w:r>
            <w:r>
              <w:rPr>
                <w:lang w:val="en-GB"/>
              </w:rPr>
              <w:t>.</w:t>
            </w:r>
            <w:r w:rsidRPr="00647F5C">
              <w:rPr>
                <w:lang w:val="en-GB"/>
              </w:rPr>
              <w:t>1%), chemi</w:t>
            </w:r>
            <w:r>
              <w:rPr>
                <w:lang w:val="en-GB"/>
              </w:rPr>
              <w:t xml:space="preserve">cals </w:t>
            </w:r>
            <w:r w:rsidRPr="00647F5C">
              <w:rPr>
                <w:lang w:val="en-GB"/>
              </w:rPr>
              <w:t>(103</w:t>
            </w:r>
            <w:r>
              <w:rPr>
                <w:lang w:val="en-GB"/>
              </w:rPr>
              <w:t>.</w:t>
            </w:r>
            <w:r w:rsidRPr="00647F5C">
              <w:rPr>
                <w:lang w:val="en-GB"/>
              </w:rPr>
              <w:t>3%)</w:t>
            </w:r>
            <w:r>
              <w:rPr>
                <w:lang w:val="en-GB"/>
              </w:rPr>
              <w:t xml:space="preserve"> and </w:t>
            </w:r>
            <w:r w:rsidR="00217809">
              <w:rPr>
                <w:lang w:val="en-GB"/>
              </w:rPr>
              <w:t>m</w:t>
            </w:r>
            <w:r w:rsidR="00217809" w:rsidRPr="00217809">
              <w:rPr>
                <w:lang w:val="en-GB"/>
              </w:rPr>
              <w:t>iscellaneous manufactured articles</w:t>
            </w:r>
            <w:r w:rsidR="00217809">
              <w:rPr>
                <w:lang w:val="en-GB"/>
              </w:rPr>
              <w:t xml:space="preserve"> </w:t>
            </w:r>
            <w:r w:rsidRPr="00647F5C">
              <w:rPr>
                <w:lang w:val="en-GB"/>
              </w:rPr>
              <w:t>(100</w:t>
            </w:r>
            <w:r>
              <w:rPr>
                <w:lang w:val="en-GB"/>
              </w:rPr>
              <w:t>.</w:t>
            </w:r>
            <w:r w:rsidRPr="00647F5C">
              <w:rPr>
                <w:lang w:val="en-GB"/>
              </w:rPr>
              <w:t>7%)</w:t>
            </w:r>
            <w:r>
              <w:rPr>
                <w:lang w:val="en-GB"/>
              </w:rPr>
              <w:t xml:space="preserve"> attained positive terms of trade in Q2</w:t>
            </w:r>
            <w:r w:rsidRPr="00647F5C">
              <w:rPr>
                <w:lang w:val="en-GB"/>
              </w:rPr>
              <w:t>.</w:t>
            </w:r>
          </w:p>
        </w:tc>
      </w:tr>
    </w:tbl>
    <w:p w14:paraId="344849C5" w14:textId="6054D73F" w:rsidR="001849BE" w:rsidRDefault="001849BE" w:rsidP="00E32778">
      <w:pPr>
        <w:spacing w:after="0" w:line="240" w:lineRule="auto"/>
        <w:jc w:val="left"/>
        <w:rPr>
          <w:rFonts w:eastAsia="MS Gothic"/>
          <w:b/>
          <w:bCs/>
          <w:color w:val="71818C"/>
          <w:sz w:val="32"/>
          <w:szCs w:val="28"/>
          <w:highlight w:val="yellow"/>
        </w:rPr>
      </w:pPr>
    </w:p>
    <w:p w14:paraId="4A437270" w14:textId="77777777" w:rsidR="009732DF" w:rsidRPr="000F45E7" w:rsidRDefault="009732DF" w:rsidP="009732DF">
      <w:pPr>
        <w:pStyle w:val="Nadpis11"/>
        <w:spacing w:after="0"/>
        <w:rPr>
          <w:b w:val="0"/>
          <w:sz w:val="2"/>
          <w:szCs w:val="2"/>
        </w:rPr>
      </w:pPr>
      <w:bookmarkStart w:id="7" w:name="_GoBack"/>
      <w:bookmarkEnd w:id="4"/>
      <w:bookmarkEnd w:id="5"/>
      <w:bookmarkEnd w:id="6"/>
      <w:bookmarkEnd w:id="7"/>
    </w:p>
    <w:p w14:paraId="188A10F3" w14:textId="77777777" w:rsidR="009732DF" w:rsidRPr="000F45E7" w:rsidRDefault="009732DF" w:rsidP="009732DF">
      <w:pPr>
        <w:pStyle w:val="Nadpis11"/>
        <w:spacing w:after="0"/>
        <w:rPr>
          <w:b w:val="0"/>
          <w:sz w:val="2"/>
          <w:szCs w:val="2"/>
        </w:rPr>
      </w:pPr>
    </w:p>
    <w:p w14:paraId="03B90117" w14:textId="77777777" w:rsidR="009732DF" w:rsidRPr="00E42054" w:rsidRDefault="009732DF" w:rsidP="009732DF">
      <w:pPr>
        <w:pStyle w:val="Nadpis11"/>
        <w:rPr>
          <w:b w:val="0"/>
          <w:sz w:val="2"/>
          <w:szCs w:val="2"/>
        </w:rPr>
      </w:pPr>
    </w:p>
    <w:p w14:paraId="39E9959F" w14:textId="4861E17A" w:rsidR="000663F0" w:rsidRPr="00E42054" w:rsidRDefault="000663F0" w:rsidP="009732DF">
      <w:pPr>
        <w:pStyle w:val="Nadpis11"/>
        <w:rPr>
          <w:b w:val="0"/>
          <w:sz w:val="2"/>
          <w:szCs w:val="2"/>
        </w:rPr>
      </w:pPr>
    </w:p>
    <w:sectPr w:rsidR="000663F0" w:rsidRPr="00E42054" w:rsidSect="00D83695">
      <w:headerReference w:type="even" r:id="rId12"/>
      <w:headerReference w:type="default" r:id="rId13"/>
      <w:footerReference w:type="even" r:id="rId14"/>
      <w:footerReference w:type="default" r:id="rId15"/>
      <w:pgSz w:w="11906" w:h="16838" w:code="9"/>
      <w:pgMar w:top="1134" w:right="1134" w:bottom="1418" w:left="1134" w:header="680" w:footer="737"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C2ADC" w14:textId="77777777" w:rsidR="00D529D0" w:rsidRDefault="00D529D0" w:rsidP="00E71A58">
      <w:r>
        <w:separator/>
      </w:r>
    </w:p>
  </w:endnote>
  <w:endnote w:type="continuationSeparator" w:id="0">
    <w:p w14:paraId="729D1E0E" w14:textId="77777777" w:rsidR="00D529D0" w:rsidRDefault="00D529D0"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31179C37" w:rsidR="00160E8B" w:rsidRPr="00932443" w:rsidRDefault="00160E8B"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D83695">
      <w:rPr>
        <w:szCs w:val="16"/>
      </w:rPr>
      <w:t>24</w:t>
    </w:r>
    <w:r w:rsidRPr="00932443">
      <w:rPr>
        <w:szCs w:val="16"/>
      </w:rPr>
      <w:fldChar w:fldCharType="end"/>
    </w:r>
    <w:r w:rsidRPr="00932443">
      <w:rPr>
        <w:szCs w:val="16"/>
      </w:rPr>
      <w:tab/>
    </w:r>
    <w:r>
      <w:rPr>
        <w:szCs w:val="16"/>
      </w:rPr>
      <w:t>First half of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56732F3D" w:rsidR="00160E8B" w:rsidRPr="00932443" w:rsidRDefault="00160E8B" w:rsidP="00FA6CB6">
    <w:pPr>
      <w:pStyle w:val="Zpat"/>
      <w:rPr>
        <w:szCs w:val="16"/>
      </w:rPr>
    </w:pPr>
    <w:r w:rsidRPr="00FA6CB6">
      <w:rPr>
        <w:szCs w:val="16"/>
      </w:rPr>
      <w:tab/>
    </w:r>
    <w:r>
      <w:rPr>
        <w:szCs w:val="16"/>
      </w:rPr>
      <w:t>First half of 2021</w:t>
    </w:r>
    <w:r>
      <w:rPr>
        <w:szCs w:val="16"/>
        <w:lang w:eastAsia="cs-CZ"/>
      </w:rPr>
      <w:drawing>
        <wp:anchor distT="0" distB="0" distL="114300" distR="114300" simplePos="0" relativeHeight="251658752" behindDoc="0" locked="0" layoutInCell="1" allowOverlap="1" wp14:anchorId="2DB053DA" wp14:editId="608D8B4A">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D83695">
      <w:rPr>
        <w:rStyle w:val="ZpatChar"/>
        <w:szCs w:val="16"/>
      </w:rPr>
      <w:t>23</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38DEB" w14:textId="77777777" w:rsidR="00D529D0" w:rsidRDefault="00D529D0" w:rsidP="00A21B4D">
      <w:pPr>
        <w:spacing w:after="0"/>
      </w:pPr>
      <w:r>
        <w:separator/>
      </w:r>
    </w:p>
  </w:footnote>
  <w:footnote w:type="continuationSeparator" w:id="0">
    <w:p w14:paraId="6D3A17F6" w14:textId="77777777" w:rsidR="00D529D0" w:rsidRDefault="00D529D0" w:rsidP="00E71A58">
      <w:r>
        <w:continuationSeparator/>
      </w:r>
    </w:p>
  </w:footnote>
  <w:footnote w:id="1">
    <w:p w14:paraId="5D416F43" w14:textId="0A2A1FC6" w:rsidR="00160E8B" w:rsidRPr="00244401" w:rsidRDefault="00160E8B" w:rsidP="00E32778">
      <w:pPr>
        <w:pStyle w:val="Textpoznpodarou"/>
        <w:rPr>
          <w:sz w:val="16"/>
          <w:szCs w:val="16"/>
          <w:lang w:val="en-GB"/>
        </w:rPr>
      </w:pPr>
      <w:r w:rsidRPr="007F1653">
        <w:rPr>
          <w:rStyle w:val="Znakapoznpodarou"/>
          <w:sz w:val="16"/>
          <w:szCs w:val="16"/>
        </w:rPr>
        <w:footnoteRef/>
      </w:r>
      <w:r w:rsidRPr="007F1653">
        <w:rPr>
          <w:sz w:val="16"/>
          <w:szCs w:val="16"/>
        </w:rPr>
        <w:t xml:space="preserve"> </w:t>
      </w:r>
      <w:r w:rsidRPr="00244401">
        <w:rPr>
          <w:sz w:val="16"/>
          <w:szCs w:val="16"/>
          <w:lang w:val="en-GB"/>
        </w:rPr>
        <w:t>As a consequence of the slump of demand as well as breakdown of cartel agreements, the average price of the barrel of oil BRENT fell according to the U.S. Energy Information Administration to 18.38 dollar in April and 29.38 dollar in May. The prices were thus even more than doubled this year (64.81, 68.53 and 73.16 dollar in April, May and June).</w:t>
      </w:r>
    </w:p>
  </w:footnote>
  <w:footnote w:id="2">
    <w:p w14:paraId="3F25B747" w14:textId="77777777" w:rsidR="001849BE" w:rsidRPr="003E58F7" w:rsidRDefault="001849BE" w:rsidP="00E32778">
      <w:pPr>
        <w:pStyle w:val="Textpoznpodarou"/>
        <w:rPr>
          <w:sz w:val="16"/>
          <w:szCs w:val="16"/>
        </w:rPr>
      </w:pPr>
      <w:r w:rsidRPr="003E58F7">
        <w:rPr>
          <w:rStyle w:val="Znakapoznpodarou"/>
          <w:sz w:val="16"/>
          <w:szCs w:val="16"/>
        </w:rPr>
        <w:footnoteRef/>
      </w:r>
      <w:r w:rsidRPr="003E58F7">
        <w:rPr>
          <w:sz w:val="16"/>
          <w:szCs w:val="16"/>
        </w:rPr>
        <w:t xml:space="preserve"> </w:t>
      </w:r>
      <w:r w:rsidRPr="001A10C5">
        <w:rPr>
          <w:sz w:val="16"/>
          <w:szCs w:val="16"/>
          <w:lang w:val="en-GB"/>
        </w:rPr>
        <w:t>Individual data</w:t>
      </w:r>
    </w:p>
  </w:footnote>
  <w:footnote w:id="3">
    <w:p w14:paraId="30BACF72" w14:textId="195DBBDF" w:rsidR="001849BE" w:rsidRPr="00A25E62" w:rsidRDefault="001849BE" w:rsidP="00A25E62">
      <w:pPr>
        <w:pStyle w:val="Textpoznpodarou"/>
        <w:jc w:val="both"/>
        <w:rPr>
          <w:sz w:val="16"/>
          <w:szCs w:val="16"/>
          <w:lang w:val="en-GB"/>
        </w:rPr>
      </w:pPr>
      <w:r w:rsidRPr="00A25E62">
        <w:rPr>
          <w:rStyle w:val="Znakapoznpodarou"/>
          <w:sz w:val="16"/>
          <w:szCs w:val="16"/>
          <w:lang w:val="en-GB"/>
        </w:rPr>
        <w:footnoteRef/>
      </w:r>
      <w:r w:rsidRPr="00A25E62">
        <w:rPr>
          <w:sz w:val="16"/>
          <w:szCs w:val="16"/>
          <w:lang w:val="en-GB"/>
        </w:rPr>
        <w:t xml:space="preserve"> In Q2 2020, the average koruna foreign </w:t>
      </w:r>
      <w:r>
        <w:rPr>
          <w:sz w:val="16"/>
          <w:szCs w:val="16"/>
          <w:lang w:val="en-GB"/>
        </w:rPr>
        <w:t>e</w:t>
      </w:r>
      <w:r w:rsidRPr="00A25E62">
        <w:rPr>
          <w:sz w:val="16"/>
          <w:szCs w:val="16"/>
          <w:lang w:val="en-GB"/>
        </w:rPr>
        <w:t xml:space="preserve">xchange per euro reached 27.054 CZK/EUR. This year it was 25.638 CZK/EUR. Appreciation of the </w:t>
      </w:r>
      <w:r>
        <w:rPr>
          <w:sz w:val="16"/>
          <w:szCs w:val="16"/>
          <w:lang w:val="en-GB"/>
        </w:rPr>
        <w:t>e</w:t>
      </w:r>
      <w:r w:rsidRPr="00A25E62">
        <w:rPr>
          <w:sz w:val="16"/>
          <w:szCs w:val="16"/>
          <w:lang w:val="en-GB"/>
        </w:rPr>
        <w:t>xchange rate per dollar was even more significant. The average was 24.569 CZK/USD last year in Q2, 21.265 CZK/EUR this year.</w:t>
      </w:r>
    </w:p>
  </w:footnote>
  <w:footnote w:id="4">
    <w:p w14:paraId="09B50A5B" w14:textId="6D2C25D2" w:rsidR="001849BE" w:rsidRPr="00A25E62" w:rsidRDefault="001849BE" w:rsidP="00A25E62">
      <w:pPr>
        <w:pStyle w:val="Textpoznpodarou"/>
        <w:jc w:val="both"/>
        <w:rPr>
          <w:sz w:val="16"/>
          <w:szCs w:val="16"/>
          <w:lang w:val="en-GB"/>
        </w:rPr>
      </w:pPr>
      <w:r w:rsidRPr="00A25E62">
        <w:rPr>
          <w:rStyle w:val="Znakapoznpodarou"/>
          <w:sz w:val="16"/>
          <w:szCs w:val="16"/>
          <w:lang w:val="en-GB"/>
        </w:rPr>
        <w:footnoteRef/>
      </w:r>
      <w:r w:rsidRPr="00A25E62">
        <w:rPr>
          <w:sz w:val="16"/>
          <w:szCs w:val="16"/>
          <w:lang w:val="en-GB"/>
        </w:rPr>
        <w:t xml:space="preserve"> SITC 2 – crude materials inedible, except fuels. </w:t>
      </w:r>
    </w:p>
  </w:footnote>
  <w:footnote w:id="5">
    <w:p w14:paraId="015AF28B" w14:textId="5ED75563" w:rsidR="001849BE" w:rsidRPr="00A25E62" w:rsidRDefault="001849BE" w:rsidP="00A25E62">
      <w:pPr>
        <w:pStyle w:val="Textpoznpodarou"/>
        <w:jc w:val="both"/>
        <w:rPr>
          <w:sz w:val="16"/>
          <w:szCs w:val="16"/>
          <w:lang w:val="en-GB"/>
        </w:rPr>
      </w:pPr>
      <w:r w:rsidRPr="00A25E62">
        <w:rPr>
          <w:rStyle w:val="Znakapoznpodarou"/>
          <w:sz w:val="16"/>
          <w:szCs w:val="16"/>
          <w:lang w:val="en-GB"/>
        </w:rPr>
        <w:footnoteRef/>
      </w:r>
      <w:r w:rsidRPr="00A25E62">
        <w:rPr>
          <w:sz w:val="16"/>
          <w:szCs w:val="16"/>
          <w:lang w:val="en-GB"/>
        </w:rPr>
        <w:t xml:space="preserve"> SITC 6 – m</w:t>
      </w:r>
      <w:r w:rsidR="00217809" w:rsidRPr="00217809">
        <w:rPr>
          <w:sz w:val="16"/>
          <w:szCs w:val="16"/>
          <w:lang w:val="en-GB"/>
        </w:rPr>
        <w:t>anufactured goods classified chiefly by material</w:t>
      </w:r>
      <w:r w:rsidR="00217809">
        <w:rPr>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4A67" w14:textId="158E5C48" w:rsidR="00160E8B" w:rsidRPr="00595E5A" w:rsidRDefault="00160E8B" w:rsidP="00937AE2">
    <w:pPr>
      <w:pStyle w:val="Zhlav"/>
      <w:rPr>
        <w:lang w:val="en-GB"/>
      </w:rPr>
    </w:pPr>
    <w:r w:rsidRPr="00595E5A">
      <w:rPr>
        <w:lang w:val="en-GB"/>
      </w:rPr>
      <w:t>The Czech Economy Development</w:t>
    </w:r>
  </w:p>
  <w:p w14:paraId="3E881AB3" w14:textId="77777777" w:rsidR="00160E8B" w:rsidRPr="006F5416" w:rsidRDefault="00160E8B"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39D065CF" w:rsidR="00160E8B" w:rsidRPr="00595E5A" w:rsidRDefault="00160E8B" w:rsidP="00937AE2">
    <w:pPr>
      <w:pStyle w:val="Zhlav"/>
      <w:rPr>
        <w:lang w:val="en-GB"/>
      </w:rPr>
    </w:pPr>
    <w:r w:rsidRPr="00595E5A">
      <w:rPr>
        <w:lang w:val="en-GB"/>
      </w:rPr>
      <w:t>The Czech Economy Development</w:t>
    </w:r>
  </w:p>
  <w:p w14:paraId="57266714" w14:textId="77777777" w:rsidR="00160E8B" w:rsidRPr="006F5416" w:rsidRDefault="00160E8B"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4"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2"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6"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26"/>
  </w:num>
  <w:num w:numId="14">
    <w:abstractNumId w:val="13"/>
  </w:num>
  <w:num w:numId="15">
    <w:abstractNumId w:val="19"/>
  </w:num>
  <w:num w:numId="16">
    <w:abstractNumId w:val="15"/>
  </w:num>
  <w:num w:numId="17">
    <w:abstractNumId w:val="27"/>
  </w:num>
  <w:num w:numId="18">
    <w:abstractNumId w:val="20"/>
  </w:num>
  <w:num w:numId="19">
    <w:abstractNumId w:val="28"/>
  </w:num>
  <w:num w:numId="20">
    <w:abstractNumId w:val="29"/>
  </w:num>
  <w:num w:numId="21">
    <w:abstractNumId w:val="25"/>
  </w:num>
  <w:num w:numId="22">
    <w:abstractNumId w:val="18"/>
  </w:num>
  <w:num w:numId="23">
    <w:abstractNumId w:val="16"/>
  </w:num>
  <w:num w:numId="24">
    <w:abstractNumId w:val="17"/>
  </w:num>
  <w:num w:numId="25">
    <w:abstractNumId w:val="12"/>
  </w:num>
  <w:num w:numId="26">
    <w:abstractNumId w:val="22"/>
  </w:num>
  <w:num w:numId="27">
    <w:abstractNumId w:val="21"/>
  </w:num>
  <w:num w:numId="28">
    <w:abstractNumId w:val="10"/>
  </w:num>
  <w:num w:numId="29">
    <w:abstractNumId w:val="29"/>
  </w:num>
  <w:num w:numId="30">
    <w:abstractNumId w:val="23"/>
  </w:num>
  <w:num w:numId="31">
    <w:abstractNumId w:val="1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B55"/>
    <w:rsid w:val="00001D48"/>
    <w:rsid w:val="0000209D"/>
    <w:rsid w:val="00002566"/>
    <w:rsid w:val="0000370A"/>
    <w:rsid w:val="00003849"/>
    <w:rsid w:val="00003F5C"/>
    <w:rsid w:val="00004D5A"/>
    <w:rsid w:val="000056D5"/>
    <w:rsid w:val="00005D9E"/>
    <w:rsid w:val="000063D5"/>
    <w:rsid w:val="00006625"/>
    <w:rsid w:val="00006ABD"/>
    <w:rsid w:val="00006B67"/>
    <w:rsid w:val="00006C0B"/>
    <w:rsid w:val="0000724D"/>
    <w:rsid w:val="00007367"/>
    <w:rsid w:val="000073A0"/>
    <w:rsid w:val="0000767A"/>
    <w:rsid w:val="00007ABE"/>
    <w:rsid w:val="00010256"/>
    <w:rsid w:val="00010702"/>
    <w:rsid w:val="000111A2"/>
    <w:rsid w:val="0001128E"/>
    <w:rsid w:val="00011912"/>
    <w:rsid w:val="000129B7"/>
    <w:rsid w:val="000135CD"/>
    <w:rsid w:val="0001387D"/>
    <w:rsid w:val="00014ED0"/>
    <w:rsid w:val="00016420"/>
    <w:rsid w:val="00016BDB"/>
    <w:rsid w:val="00017B01"/>
    <w:rsid w:val="000205D1"/>
    <w:rsid w:val="00020F22"/>
    <w:rsid w:val="0002195D"/>
    <w:rsid w:val="00021E1A"/>
    <w:rsid w:val="00021F9B"/>
    <w:rsid w:val="000227AD"/>
    <w:rsid w:val="000228AE"/>
    <w:rsid w:val="000229E0"/>
    <w:rsid w:val="000233D1"/>
    <w:rsid w:val="000234D6"/>
    <w:rsid w:val="00023D29"/>
    <w:rsid w:val="00024348"/>
    <w:rsid w:val="00026389"/>
    <w:rsid w:val="0002669F"/>
    <w:rsid w:val="000279E5"/>
    <w:rsid w:val="000305E0"/>
    <w:rsid w:val="00030BC9"/>
    <w:rsid w:val="00031AE0"/>
    <w:rsid w:val="00031BB2"/>
    <w:rsid w:val="000322EF"/>
    <w:rsid w:val="00033FCD"/>
    <w:rsid w:val="000348AF"/>
    <w:rsid w:val="00034DF7"/>
    <w:rsid w:val="00034E68"/>
    <w:rsid w:val="000350C8"/>
    <w:rsid w:val="000360A1"/>
    <w:rsid w:val="00036195"/>
    <w:rsid w:val="000374B2"/>
    <w:rsid w:val="000376C0"/>
    <w:rsid w:val="000403A7"/>
    <w:rsid w:val="00040632"/>
    <w:rsid w:val="000406A0"/>
    <w:rsid w:val="00040E94"/>
    <w:rsid w:val="00041AFC"/>
    <w:rsid w:val="00041CEC"/>
    <w:rsid w:val="00042596"/>
    <w:rsid w:val="00044183"/>
    <w:rsid w:val="0004431D"/>
    <w:rsid w:val="000448F4"/>
    <w:rsid w:val="0004694F"/>
    <w:rsid w:val="00046F2F"/>
    <w:rsid w:val="00047AD4"/>
    <w:rsid w:val="00047D54"/>
    <w:rsid w:val="0005054A"/>
    <w:rsid w:val="00051506"/>
    <w:rsid w:val="000522E4"/>
    <w:rsid w:val="00053713"/>
    <w:rsid w:val="000540C8"/>
    <w:rsid w:val="0005434E"/>
    <w:rsid w:val="00055703"/>
    <w:rsid w:val="00055CB6"/>
    <w:rsid w:val="000567DE"/>
    <w:rsid w:val="000572DD"/>
    <w:rsid w:val="00057B1E"/>
    <w:rsid w:val="0006033F"/>
    <w:rsid w:val="000610E1"/>
    <w:rsid w:val="000616AD"/>
    <w:rsid w:val="000622A6"/>
    <w:rsid w:val="00062EC5"/>
    <w:rsid w:val="00062F22"/>
    <w:rsid w:val="00063838"/>
    <w:rsid w:val="00063975"/>
    <w:rsid w:val="00063CEA"/>
    <w:rsid w:val="0006444D"/>
    <w:rsid w:val="000645FC"/>
    <w:rsid w:val="0006482F"/>
    <w:rsid w:val="0006533F"/>
    <w:rsid w:val="00065348"/>
    <w:rsid w:val="0006551C"/>
    <w:rsid w:val="00065A75"/>
    <w:rsid w:val="00065EDD"/>
    <w:rsid w:val="000663F0"/>
    <w:rsid w:val="00066558"/>
    <w:rsid w:val="00067982"/>
    <w:rsid w:val="000707B3"/>
    <w:rsid w:val="00070A87"/>
    <w:rsid w:val="00070F11"/>
    <w:rsid w:val="000712B3"/>
    <w:rsid w:val="00071A7C"/>
    <w:rsid w:val="00071E38"/>
    <w:rsid w:val="00072FF5"/>
    <w:rsid w:val="00073A5A"/>
    <w:rsid w:val="000744CC"/>
    <w:rsid w:val="0007474E"/>
    <w:rsid w:val="00074988"/>
    <w:rsid w:val="0007512B"/>
    <w:rsid w:val="00075551"/>
    <w:rsid w:val="00075B69"/>
    <w:rsid w:val="00076132"/>
    <w:rsid w:val="000767F5"/>
    <w:rsid w:val="00076D90"/>
    <w:rsid w:val="00077FF0"/>
    <w:rsid w:val="0008047A"/>
    <w:rsid w:val="00081941"/>
    <w:rsid w:val="00081A55"/>
    <w:rsid w:val="00081B83"/>
    <w:rsid w:val="0008263E"/>
    <w:rsid w:val="00082C19"/>
    <w:rsid w:val="00082F89"/>
    <w:rsid w:val="000837CD"/>
    <w:rsid w:val="00084BFF"/>
    <w:rsid w:val="00085395"/>
    <w:rsid w:val="0008658A"/>
    <w:rsid w:val="00086896"/>
    <w:rsid w:val="00086AC1"/>
    <w:rsid w:val="00086D19"/>
    <w:rsid w:val="00087634"/>
    <w:rsid w:val="00087F2B"/>
    <w:rsid w:val="00090694"/>
    <w:rsid w:val="00090EE2"/>
    <w:rsid w:val="00090FC6"/>
    <w:rsid w:val="000913B1"/>
    <w:rsid w:val="000916B4"/>
    <w:rsid w:val="0009290F"/>
    <w:rsid w:val="00093241"/>
    <w:rsid w:val="00093868"/>
    <w:rsid w:val="00094A84"/>
    <w:rsid w:val="00095025"/>
    <w:rsid w:val="00095135"/>
    <w:rsid w:val="0009626E"/>
    <w:rsid w:val="0009644D"/>
    <w:rsid w:val="00097191"/>
    <w:rsid w:val="000974D1"/>
    <w:rsid w:val="00097784"/>
    <w:rsid w:val="0009799E"/>
    <w:rsid w:val="000A07CB"/>
    <w:rsid w:val="000A0968"/>
    <w:rsid w:val="000A0BC0"/>
    <w:rsid w:val="000A1183"/>
    <w:rsid w:val="000A12ED"/>
    <w:rsid w:val="000A1D49"/>
    <w:rsid w:val="000A212B"/>
    <w:rsid w:val="000A242D"/>
    <w:rsid w:val="000A256D"/>
    <w:rsid w:val="000A2643"/>
    <w:rsid w:val="000A2E5F"/>
    <w:rsid w:val="000A3A2C"/>
    <w:rsid w:val="000A3D9E"/>
    <w:rsid w:val="000A4A54"/>
    <w:rsid w:val="000A4ED9"/>
    <w:rsid w:val="000A5DB7"/>
    <w:rsid w:val="000A6D94"/>
    <w:rsid w:val="000A7377"/>
    <w:rsid w:val="000A74A4"/>
    <w:rsid w:val="000A775A"/>
    <w:rsid w:val="000A7FF4"/>
    <w:rsid w:val="000B03CC"/>
    <w:rsid w:val="000B3F30"/>
    <w:rsid w:val="000B4212"/>
    <w:rsid w:val="000B4422"/>
    <w:rsid w:val="000B6543"/>
    <w:rsid w:val="000B67B7"/>
    <w:rsid w:val="000B725A"/>
    <w:rsid w:val="000C0132"/>
    <w:rsid w:val="000C0CA6"/>
    <w:rsid w:val="000C0EA8"/>
    <w:rsid w:val="000C13A2"/>
    <w:rsid w:val="000C2128"/>
    <w:rsid w:val="000C21E7"/>
    <w:rsid w:val="000C23EC"/>
    <w:rsid w:val="000C290E"/>
    <w:rsid w:val="000C30C3"/>
    <w:rsid w:val="000C317F"/>
    <w:rsid w:val="000C3408"/>
    <w:rsid w:val="000C35AB"/>
    <w:rsid w:val="000C3F7B"/>
    <w:rsid w:val="000C4769"/>
    <w:rsid w:val="000C4D56"/>
    <w:rsid w:val="000C5DFA"/>
    <w:rsid w:val="000C6AFD"/>
    <w:rsid w:val="000C6C90"/>
    <w:rsid w:val="000C72B7"/>
    <w:rsid w:val="000D0A26"/>
    <w:rsid w:val="000D1BD6"/>
    <w:rsid w:val="000D2196"/>
    <w:rsid w:val="000D3058"/>
    <w:rsid w:val="000D310A"/>
    <w:rsid w:val="000D3AA8"/>
    <w:rsid w:val="000D3EF4"/>
    <w:rsid w:val="000D4DC0"/>
    <w:rsid w:val="000D55BA"/>
    <w:rsid w:val="000D5637"/>
    <w:rsid w:val="000D572F"/>
    <w:rsid w:val="000D5A03"/>
    <w:rsid w:val="000D5ED3"/>
    <w:rsid w:val="000D6F4E"/>
    <w:rsid w:val="000D73BB"/>
    <w:rsid w:val="000E0E96"/>
    <w:rsid w:val="000E298B"/>
    <w:rsid w:val="000E2C7D"/>
    <w:rsid w:val="000E3D9C"/>
    <w:rsid w:val="000E3E56"/>
    <w:rsid w:val="000E440D"/>
    <w:rsid w:val="000E4AC5"/>
    <w:rsid w:val="000E6253"/>
    <w:rsid w:val="000E6AC4"/>
    <w:rsid w:val="000E6E4D"/>
    <w:rsid w:val="000E6FBD"/>
    <w:rsid w:val="000E6FCB"/>
    <w:rsid w:val="000F090B"/>
    <w:rsid w:val="000F18D2"/>
    <w:rsid w:val="000F3109"/>
    <w:rsid w:val="000F3F3B"/>
    <w:rsid w:val="000F4721"/>
    <w:rsid w:val="000F47E8"/>
    <w:rsid w:val="000F6529"/>
    <w:rsid w:val="000F70E4"/>
    <w:rsid w:val="000F76EA"/>
    <w:rsid w:val="00100A8B"/>
    <w:rsid w:val="00100F5C"/>
    <w:rsid w:val="00101A4C"/>
    <w:rsid w:val="00101CDA"/>
    <w:rsid w:val="00102037"/>
    <w:rsid w:val="00103DCB"/>
    <w:rsid w:val="00104C4C"/>
    <w:rsid w:val="00105015"/>
    <w:rsid w:val="001055D2"/>
    <w:rsid w:val="001057C2"/>
    <w:rsid w:val="00105975"/>
    <w:rsid w:val="0011038E"/>
    <w:rsid w:val="00110FC0"/>
    <w:rsid w:val="001125EF"/>
    <w:rsid w:val="00112CAB"/>
    <w:rsid w:val="0011440C"/>
    <w:rsid w:val="00114C33"/>
    <w:rsid w:val="00115842"/>
    <w:rsid w:val="00116D3F"/>
    <w:rsid w:val="00117474"/>
    <w:rsid w:val="00117623"/>
    <w:rsid w:val="001177AB"/>
    <w:rsid w:val="00117FEA"/>
    <w:rsid w:val="001200CF"/>
    <w:rsid w:val="001208E3"/>
    <w:rsid w:val="00121609"/>
    <w:rsid w:val="0012192F"/>
    <w:rsid w:val="00121D91"/>
    <w:rsid w:val="00122994"/>
    <w:rsid w:val="00123204"/>
    <w:rsid w:val="00124B46"/>
    <w:rsid w:val="001257E0"/>
    <w:rsid w:val="00125D69"/>
    <w:rsid w:val="00126988"/>
    <w:rsid w:val="0012799C"/>
    <w:rsid w:val="00127BC2"/>
    <w:rsid w:val="00127E15"/>
    <w:rsid w:val="00130ADC"/>
    <w:rsid w:val="00130D9F"/>
    <w:rsid w:val="00132C4D"/>
    <w:rsid w:val="00133FC1"/>
    <w:rsid w:val="00134659"/>
    <w:rsid w:val="00136A6F"/>
    <w:rsid w:val="001405FA"/>
    <w:rsid w:val="00140D1A"/>
    <w:rsid w:val="00141184"/>
    <w:rsid w:val="00141315"/>
    <w:rsid w:val="00141AA0"/>
    <w:rsid w:val="001425C3"/>
    <w:rsid w:val="0014262D"/>
    <w:rsid w:val="00142B29"/>
    <w:rsid w:val="00144588"/>
    <w:rsid w:val="001447DD"/>
    <w:rsid w:val="00145358"/>
    <w:rsid w:val="001459BC"/>
    <w:rsid w:val="00145E6D"/>
    <w:rsid w:val="001472BB"/>
    <w:rsid w:val="00152C86"/>
    <w:rsid w:val="00152F4F"/>
    <w:rsid w:val="001544A1"/>
    <w:rsid w:val="001553B8"/>
    <w:rsid w:val="001554C2"/>
    <w:rsid w:val="001571C0"/>
    <w:rsid w:val="0015753D"/>
    <w:rsid w:val="00157CC9"/>
    <w:rsid w:val="00160C21"/>
    <w:rsid w:val="00160E8B"/>
    <w:rsid w:val="001612F4"/>
    <w:rsid w:val="00161553"/>
    <w:rsid w:val="00161B94"/>
    <w:rsid w:val="0016216F"/>
    <w:rsid w:val="0016256B"/>
    <w:rsid w:val="00162F81"/>
    <w:rsid w:val="00163793"/>
    <w:rsid w:val="00164546"/>
    <w:rsid w:val="00164CA1"/>
    <w:rsid w:val="00165313"/>
    <w:rsid w:val="00167485"/>
    <w:rsid w:val="001679F5"/>
    <w:rsid w:val="00167B92"/>
    <w:rsid w:val="00167CB9"/>
    <w:rsid w:val="00167DD8"/>
    <w:rsid w:val="0017043A"/>
    <w:rsid w:val="001705AD"/>
    <w:rsid w:val="001706D6"/>
    <w:rsid w:val="001714F2"/>
    <w:rsid w:val="00171FEA"/>
    <w:rsid w:val="00173622"/>
    <w:rsid w:val="00173712"/>
    <w:rsid w:val="00175B9F"/>
    <w:rsid w:val="00176037"/>
    <w:rsid w:val="001762F4"/>
    <w:rsid w:val="001768F1"/>
    <w:rsid w:val="00176D06"/>
    <w:rsid w:val="00176F06"/>
    <w:rsid w:val="001772C7"/>
    <w:rsid w:val="00177AAA"/>
    <w:rsid w:val="001806E5"/>
    <w:rsid w:val="00181029"/>
    <w:rsid w:val="00181BBC"/>
    <w:rsid w:val="0018385F"/>
    <w:rsid w:val="00183BCF"/>
    <w:rsid w:val="00184017"/>
    <w:rsid w:val="001847BB"/>
    <w:rsid w:val="001849BE"/>
    <w:rsid w:val="00184B08"/>
    <w:rsid w:val="00184C35"/>
    <w:rsid w:val="00185010"/>
    <w:rsid w:val="00185252"/>
    <w:rsid w:val="00185C22"/>
    <w:rsid w:val="001863EA"/>
    <w:rsid w:val="0018655E"/>
    <w:rsid w:val="00186BA9"/>
    <w:rsid w:val="00187D50"/>
    <w:rsid w:val="001916D4"/>
    <w:rsid w:val="0019196C"/>
    <w:rsid w:val="001926A9"/>
    <w:rsid w:val="00192F05"/>
    <w:rsid w:val="00193FE4"/>
    <w:rsid w:val="00194729"/>
    <w:rsid w:val="00194850"/>
    <w:rsid w:val="00195234"/>
    <w:rsid w:val="00196016"/>
    <w:rsid w:val="00196117"/>
    <w:rsid w:val="00196543"/>
    <w:rsid w:val="00197A70"/>
    <w:rsid w:val="00197C0F"/>
    <w:rsid w:val="00197D0E"/>
    <w:rsid w:val="001A0487"/>
    <w:rsid w:val="001A0675"/>
    <w:rsid w:val="001A0A37"/>
    <w:rsid w:val="001A10C5"/>
    <w:rsid w:val="001A1F68"/>
    <w:rsid w:val="001A21FA"/>
    <w:rsid w:val="001A3302"/>
    <w:rsid w:val="001A4D7C"/>
    <w:rsid w:val="001A4EF0"/>
    <w:rsid w:val="001A552F"/>
    <w:rsid w:val="001A70B1"/>
    <w:rsid w:val="001A7134"/>
    <w:rsid w:val="001B04BB"/>
    <w:rsid w:val="001B0738"/>
    <w:rsid w:val="001B1235"/>
    <w:rsid w:val="001B2A99"/>
    <w:rsid w:val="001B2CA9"/>
    <w:rsid w:val="001B3110"/>
    <w:rsid w:val="001B3E38"/>
    <w:rsid w:val="001B40F5"/>
    <w:rsid w:val="001B4729"/>
    <w:rsid w:val="001B4F0E"/>
    <w:rsid w:val="001B5F40"/>
    <w:rsid w:val="001B6310"/>
    <w:rsid w:val="001B6C09"/>
    <w:rsid w:val="001B6E12"/>
    <w:rsid w:val="001C0409"/>
    <w:rsid w:val="001C05CD"/>
    <w:rsid w:val="001C082B"/>
    <w:rsid w:val="001C0F17"/>
    <w:rsid w:val="001C1B24"/>
    <w:rsid w:val="001C1B66"/>
    <w:rsid w:val="001C31A2"/>
    <w:rsid w:val="001C351D"/>
    <w:rsid w:val="001C4B8F"/>
    <w:rsid w:val="001C4BB8"/>
    <w:rsid w:val="001C4FD0"/>
    <w:rsid w:val="001C5E46"/>
    <w:rsid w:val="001C6B3B"/>
    <w:rsid w:val="001C7212"/>
    <w:rsid w:val="001C7A26"/>
    <w:rsid w:val="001C7B9F"/>
    <w:rsid w:val="001C7E3F"/>
    <w:rsid w:val="001D0EF1"/>
    <w:rsid w:val="001D1881"/>
    <w:rsid w:val="001D22C2"/>
    <w:rsid w:val="001D2C99"/>
    <w:rsid w:val="001D31AA"/>
    <w:rsid w:val="001D342F"/>
    <w:rsid w:val="001D409F"/>
    <w:rsid w:val="001D452E"/>
    <w:rsid w:val="001D54C1"/>
    <w:rsid w:val="001D54EB"/>
    <w:rsid w:val="001D556E"/>
    <w:rsid w:val="001D5DF2"/>
    <w:rsid w:val="001D6175"/>
    <w:rsid w:val="001D68B2"/>
    <w:rsid w:val="001D6972"/>
    <w:rsid w:val="001D6CFA"/>
    <w:rsid w:val="001D72D8"/>
    <w:rsid w:val="001D7EFD"/>
    <w:rsid w:val="001D7F60"/>
    <w:rsid w:val="001D7FB8"/>
    <w:rsid w:val="001E04B6"/>
    <w:rsid w:val="001E085B"/>
    <w:rsid w:val="001E149B"/>
    <w:rsid w:val="001E15CB"/>
    <w:rsid w:val="001E3008"/>
    <w:rsid w:val="001E3306"/>
    <w:rsid w:val="001E504C"/>
    <w:rsid w:val="001E5A17"/>
    <w:rsid w:val="001E6BA0"/>
    <w:rsid w:val="001E71A6"/>
    <w:rsid w:val="001E74C5"/>
    <w:rsid w:val="001F1236"/>
    <w:rsid w:val="001F2F90"/>
    <w:rsid w:val="001F4597"/>
    <w:rsid w:val="001F4826"/>
    <w:rsid w:val="001F4A40"/>
    <w:rsid w:val="001F59C8"/>
    <w:rsid w:val="001F6720"/>
    <w:rsid w:val="001F6CD3"/>
    <w:rsid w:val="001F75DA"/>
    <w:rsid w:val="001F7CE0"/>
    <w:rsid w:val="00200085"/>
    <w:rsid w:val="00202E09"/>
    <w:rsid w:val="00203332"/>
    <w:rsid w:val="00203CD5"/>
    <w:rsid w:val="00203D8F"/>
    <w:rsid w:val="00203DA4"/>
    <w:rsid w:val="00204EA6"/>
    <w:rsid w:val="00205186"/>
    <w:rsid w:val="00206516"/>
    <w:rsid w:val="002070CF"/>
    <w:rsid w:val="002071D5"/>
    <w:rsid w:val="00207A6E"/>
    <w:rsid w:val="002111E5"/>
    <w:rsid w:val="0021149E"/>
    <w:rsid w:val="002118B9"/>
    <w:rsid w:val="00213691"/>
    <w:rsid w:val="002142C0"/>
    <w:rsid w:val="00216F3D"/>
    <w:rsid w:val="0021726E"/>
    <w:rsid w:val="0021772A"/>
    <w:rsid w:val="00217809"/>
    <w:rsid w:val="00217C5B"/>
    <w:rsid w:val="00220A43"/>
    <w:rsid w:val="0022139E"/>
    <w:rsid w:val="00221D71"/>
    <w:rsid w:val="00222729"/>
    <w:rsid w:val="0022287B"/>
    <w:rsid w:val="002228DB"/>
    <w:rsid w:val="00223185"/>
    <w:rsid w:val="00223264"/>
    <w:rsid w:val="002233D6"/>
    <w:rsid w:val="0022441D"/>
    <w:rsid w:val="00224574"/>
    <w:rsid w:val="00224E3F"/>
    <w:rsid w:val="002252BE"/>
    <w:rsid w:val="002252E0"/>
    <w:rsid w:val="002255F6"/>
    <w:rsid w:val="00226032"/>
    <w:rsid w:val="0022738D"/>
    <w:rsid w:val="00227605"/>
    <w:rsid w:val="00227850"/>
    <w:rsid w:val="00227A53"/>
    <w:rsid w:val="00227E2E"/>
    <w:rsid w:val="00227F53"/>
    <w:rsid w:val="00230C6E"/>
    <w:rsid w:val="00230E21"/>
    <w:rsid w:val="00231066"/>
    <w:rsid w:val="002316A8"/>
    <w:rsid w:val="00231859"/>
    <w:rsid w:val="002320C9"/>
    <w:rsid w:val="0023288F"/>
    <w:rsid w:val="002328EF"/>
    <w:rsid w:val="0023359B"/>
    <w:rsid w:val="00233603"/>
    <w:rsid w:val="002340EF"/>
    <w:rsid w:val="00234B82"/>
    <w:rsid w:val="00236443"/>
    <w:rsid w:val="002365DF"/>
    <w:rsid w:val="00236700"/>
    <w:rsid w:val="00237C8B"/>
    <w:rsid w:val="00240391"/>
    <w:rsid w:val="00240AF3"/>
    <w:rsid w:val="002418D5"/>
    <w:rsid w:val="00241A9F"/>
    <w:rsid w:val="00241B06"/>
    <w:rsid w:val="00241E78"/>
    <w:rsid w:val="0024343A"/>
    <w:rsid w:val="002436BA"/>
    <w:rsid w:val="00244401"/>
    <w:rsid w:val="00244652"/>
    <w:rsid w:val="00244A15"/>
    <w:rsid w:val="002452D9"/>
    <w:rsid w:val="002459E7"/>
    <w:rsid w:val="00245A28"/>
    <w:rsid w:val="00245DC4"/>
    <w:rsid w:val="00246F65"/>
    <w:rsid w:val="00247319"/>
    <w:rsid w:val="0024799E"/>
    <w:rsid w:val="00247E60"/>
    <w:rsid w:val="0025074A"/>
    <w:rsid w:val="00251496"/>
    <w:rsid w:val="00251B08"/>
    <w:rsid w:val="00251C53"/>
    <w:rsid w:val="00251CA2"/>
    <w:rsid w:val="00251F90"/>
    <w:rsid w:val="00252AB9"/>
    <w:rsid w:val="002532B1"/>
    <w:rsid w:val="00253C0F"/>
    <w:rsid w:val="0025464D"/>
    <w:rsid w:val="002558C1"/>
    <w:rsid w:val="00256207"/>
    <w:rsid w:val="002575F3"/>
    <w:rsid w:val="002603E1"/>
    <w:rsid w:val="002605FE"/>
    <w:rsid w:val="0026120E"/>
    <w:rsid w:val="002617EE"/>
    <w:rsid w:val="00262582"/>
    <w:rsid w:val="0026291D"/>
    <w:rsid w:val="00262CF3"/>
    <w:rsid w:val="00263BE3"/>
    <w:rsid w:val="00264274"/>
    <w:rsid w:val="00264309"/>
    <w:rsid w:val="0026434E"/>
    <w:rsid w:val="00264992"/>
    <w:rsid w:val="00264B4F"/>
    <w:rsid w:val="00264BDD"/>
    <w:rsid w:val="0026564B"/>
    <w:rsid w:val="00265C83"/>
    <w:rsid w:val="00265E85"/>
    <w:rsid w:val="00266D4F"/>
    <w:rsid w:val="00267B49"/>
    <w:rsid w:val="00267C51"/>
    <w:rsid w:val="002700D9"/>
    <w:rsid w:val="0027025F"/>
    <w:rsid w:val="002709CC"/>
    <w:rsid w:val="00270D25"/>
    <w:rsid w:val="00271022"/>
    <w:rsid w:val="00271465"/>
    <w:rsid w:val="00271A07"/>
    <w:rsid w:val="00271E47"/>
    <w:rsid w:val="002721F5"/>
    <w:rsid w:val="00272DF4"/>
    <w:rsid w:val="00273517"/>
    <w:rsid w:val="002744BA"/>
    <w:rsid w:val="00275062"/>
    <w:rsid w:val="00275758"/>
    <w:rsid w:val="0027583D"/>
    <w:rsid w:val="00275DEF"/>
    <w:rsid w:val="002763A2"/>
    <w:rsid w:val="00276B33"/>
    <w:rsid w:val="00277669"/>
    <w:rsid w:val="00277A5B"/>
    <w:rsid w:val="002803A5"/>
    <w:rsid w:val="00280ACB"/>
    <w:rsid w:val="002812E3"/>
    <w:rsid w:val="0028188C"/>
    <w:rsid w:val="00281D5A"/>
    <w:rsid w:val="00282AD4"/>
    <w:rsid w:val="00282B14"/>
    <w:rsid w:val="0028341F"/>
    <w:rsid w:val="002837AE"/>
    <w:rsid w:val="00283C13"/>
    <w:rsid w:val="00283F7B"/>
    <w:rsid w:val="0028431A"/>
    <w:rsid w:val="002853FA"/>
    <w:rsid w:val="00285412"/>
    <w:rsid w:val="00286220"/>
    <w:rsid w:val="00290B7A"/>
    <w:rsid w:val="0029161E"/>
    <w:rsid w:val="00291640"/>
    <w:rsid w:val="0029237E"/>
    <w:rsid w:val="00292997"/>
    <w:rsid w:val="00293D24"/>
    <w:rsid w:val="00294886"/>
    <w:rsid w:val="0029509B"/>
    <w:rsid w:val="0029588F"/>
    <w:rsid w:val="00295E96"/>
    <w:rsid w:val="00297256"/>
    <w:rsid w:val="00297A5C"/>
    <w:rsid w:val="00297D51"/>
    <w:rsid w:val="002A0122"/>
    <w:rsid w:val="002A016B"/>
    <w:rsid w:val="002A0296"/>
    <w:rsid w:val="002A0A8F"/>
    <w:rsid w:val="002A0FF8"/>
    <w:rsid w:val="002A16D4"/>
    <w:rsid w:val="002A1C20"/>
    <w:rsid w:val="002A1E4F"/>
    <w:rsid w:val="002A230C"/>
    <w:rsid w:val="002A2896"/>
    <w:rsid w:val="002A2AF7"/>
    <w:rsid w:val="002A3209"/>
    <w:rsid w:val="002A38F3"/>
    <w:rsid w:val="002A3EA2"/>
    <w:rsid w:val="002A51AC"/>
    <w:rsid w:val="002A5314"/>
    <w:rsid w:val="002A532A"/>
    <w:rsid w:val="002A5846"/>
    <w:rsid w:val="002A5D3C"/>
    <w:rsid w:val="002A5D97"/>
    <w:rsid w:val="002A603E"/>
    <w:rsid w:val="002A6353"/>
    <w:rsid w:val="002A63B9"/>
    <w:rsid w:val="002A68AC"/>
    <w:rsid w:val="002A6E1F"/>
    <w:rsid w:val="002A7089"/>
    <w:rsid w:val="002A7269"/>
    <w:rsid w:val="002A7342"/>
    <w:rsid w:val="002B1619"/>
    <w:rsid w:val="002B29A9"/>
    <w:rsid w:val="002B3608"/>
    <w:rsid w:val="002B3EF4"/>
    <w:rsid w:val="002B4845"/>
    <w:rsid w:val="002B5012"/>
    <w:rsid w:val="002B5567"/>
    <w:rsid w:val="002B5812"/>
    <w:rsid w:val="002B595E"/>
    <w:rsid w:val="002B5BE2"/>
    <w:rsid w:val="002B72AA"/>
    <w:rsid w:val="002C1110"/>
    <w:rsid w:val="002C1BC2"/>
    <w:rsid w:val="002C1F09"/>
    <w:rsid w:val="002C22A4"/>
    <w:rsid w:val="002C260B"/>
    <w:rsid w:val="002C27A6"/>
    <w:rsid w:val="002C31E4"/>
    <w:rsid w:val="002C398D"/>
    <w:rsid w:val="002C40D2"/>
    <w:rsid w:val="002C43BD"/>
    <w:rsid w:val="002C5245"/>
    <w:rsid w:val="002C564A"/>
    <w:rsid w:val="002C59D8"/>
    <w:rsid w:val="002C5FEB"/>
    <w:rsid w:val="002C6494"/>
    <w:rsid w:val="002C7BBD"/>
    <w:rsid w:val="002D05CB"/>
    <w:rsid w:val="002D0E59"/>
    <w:rsid w:val="002D1932"/>
    <w:rsid w:val="002D2C4F"/>
    <w:rsid w:val="002D3A2E"/>
    <w:rsid w:val="002D3EBB"/>
    <w:rsid w:val="002D455C"/>
    <w:rsid w:val="002D5473"/>
    <w:rsid w:val="002D6066"/>
    <w:rsid w:val="002D6A4C"/>
    <w:rsid w:val="002E02A1"/>
    <w:rsid w:val="002E196A"/>
    <w:rsid w:val="002E1F8A"/>
    <w:rsid w:val="002E20C7"/>
    <w:rsid w:val="002E20CD"/>
    <w:rsid w:val="002E222E"/>
    <w:rsid w:val="002E28D8"/>
    <w:rsid w:val="002E3638"/>
    <w:rsid w:val="002E37D1"/>
    <w:rsid w:val="002E3BEE"/>
    <w:rsid w:val="002E4E4C"/>
    <w:rsid w:val="002E4EA7"/>
    <w:rsid w:val="002E551F"/>
    <w:rsid w:val="002E5846"/>
    <w:rsid w:val="002E6E2E"/>
    <w:rsid w:val="002E792B"/>
    <w:rsid w:val="002E7AEB"/>
    <w:rsid w:val="002E7B79"/>
    <w:rsid w:val="002F1B09"/>
    <w:rsid w:val="002F1D56"/>
    <w:rsid w:val="002F1DCB"/>
    <w:rsid w:val="002F1DE4"/>
    <w:rsid w:val="002F333D"/>
    <w:rsid w:val="002F351A"/>
    <w:rsid w:val="002F46D6"/>
    <w:rsid w:val="002F498A"/>
    <w:rsid w:val="002F4AD8"/>
    <w:rsid w:val="002F5285"/>
    <w:rsid w:val="002F5820"/>
    <w:rsid w:val="002F64BB"/>
    <w:rsid w:val="002F71B3"/>
    <w:rsid w:val="002F7D9B"/>
    <w:rsid w:val="003009BE"/>
    <w:rsid w:val="00300C31"/>
    <w:rsid w:val="003017EC"/>
    <w:rsid w:val="00302165"/>
    <w:rsid w:val="00303535"/>
    <w:rsid w:val="00303BB4"/>
    <w:rsid w:val="00304771"/>
    <w:rsid w:val="003052D4"/>
    <w:rsid w:val="003060E9"/>
    <w:rsid w:val="003064F5"/>
    <w:rsid w:val="00306C5B"/>
    <w:rsid w:val="00307529"/>
    <w:rsid w:val="00307DB3"/>
    <w:rsid w:val="00307ED2"/>
    <w:rsid w:val="0031076D"/>
    <w:rsid w:val="00310797"/>
    <w:rsid w:val="0031169A"/>
    <w:rsid w:val="003118E3"/>
    <w:rsid w:val="00311AA6"/>
    <w:rsid w:val="00311C4D"/>
    <w:rsid w:val="003121AB"/>
    <w:rsid w:val="00312D09"/>
    <w:rsid w:val="00313A03"/>
    <w:rsid w:val="00315169"/>
    <w:rsid w:val="003153C8"/>
    <w:rsid w:val="00315524"/>
    <w:rsid w:val="00315561"/>
    <w:rsid w:val="00316B3D"/>
    <w:rsid w:val="0032058C"/>
    <w:rsid w:val="003208D0"/>
    <w:rsid w:val="003209D6"/>
    <w:rsid w:val="003212E9"/>
    <w:rsid w:val="003217B9"/>
    <w:rsid w:val="00321924"/>
    <w:rsid w:val="00321AF1"/>
    <w:rsid w:val="00321EB6"/>
    <w:rsid w:val="003220A5"/>
    <w:rsid w:val="003238E0"/>
    <w:rsid w:val="00323A1C"/>
    <w:rsid w:val="003247E1"/>
    <w:rsid w:val="00324B59"/>
    <w:rsid w:val="0032656E"/>
    <w:rsid w:val="0032741D"/>
    <w:rsid w:val="0032788F"/>
    <w:rsid w:val="00332190"/>
    <w:rsid w:val="00332A98"/>
    <w:rsid w:val="003334BD"/>
    <w:rsid w:val="00333973"/>
    <w:rsid w:val="00333BC2"/>
    <w:rsid w:val="00333C11"/>
    <w:rsid w:val="00333CD0"/>
    <w:rsid w:val="0033448D"/>
    <w:rsid w:val="00334AD2"/>
    <w:rsid w:val="00334CB6"/>
    <w:rsid w:val="0033709C"/>
    <w:rsid w:val="003370C5"/>
    <w:rsid w:val="003373C6"/>
    <w:rsid w:val="0033753A"/>
    <w:rsid w:val="0033794E"/>
    <w:rsid w:val="00340BF3"/>
    <w:rsid w:val="00341586"/>
    <w:rsid w:val="00341D26"/>
    <w:rsid w:val="00341F05"/>
    <w:rsid w:val="00342613"/>
    <w:rsid w:val="0034275C"/>
    <w:rsid w:val="00342AC4"/>
    <w:rsid w:val="0034335E"/>
    <w:rsid w:val="00344668"/>
    <w:rsid w:val="00344940"/>
    <w:rsid w:val="00346234"/>
    <w:rsid w:val="003462D9"/>
    <w:rsid w:val="0034723F"/>
    <w:rsid w:val="00347247"/>
    <w:rsid w:val="003474B6"/>
    <w:rsid w:val="00347DD4"/>
    <w:rsid w:val="003504AE"/>
    <w:rsid w:val="0035059E"/>
    <w:rsid w:val="00352B43"/>
    <w:rsid w:val="00352C28"/>
    <w:rsid w:val="00354F89"/>
    <w:rsid w:val="0035506D"/>
    <w:rsid w:val="00355D7F"/>
    <w:rsid w:val="0036077F"/>
    <w:rsid w:val="00360C86"/>
    <w:rsid w:val="00360F7A"/>
    <w:rsid w:val="00360FBC"/>
    <w:rsid w:val="00361537"/>
    <w:rsid w:val="00361BEB"/>
    <w:rsid w:val="00361FB7"/>
    <w:rsid w:val="0036242A"/>
    <w:rsid w:val="00362993"/>
    <w:rsid w:val="00362C23"/>
    <w:rsid w:val="00362DCA"/>
    <w:rsid w:val="00362E90"/>
    <w:rsid w:val="00364FA0"/>
    <w:rsid w:val="003657F3"/>
    <w:rsid w:val="00365844"/>
    <w:rsid w:val="0036624C"/>
    <w:rsid w:val="0036637B"/>
    <w:rsid w:val="003677DB"/>
    <w:rsid w:val="00367811"/>
    <w:rsid w:val="00367F5C"/>
    <w:rsid w:val="00367F84"/>
    <w:rsid w:val="003712BC"/>
    <w:rsid w:val="00372164"/>
    <w:rsid w:val="003738BD"/>
    <w:rsid w:val="00373E44"/>
    <w:rsid w:val="00374263"/>
    <w:rsid w:val="003746F0"/>
    <w:rsid w:val="00374A20"/>
    <w:rsid w:val="00374E21"/>
    <w:rsid w:val="0037537A"/>
    <w:rsid w:val="0037618E"/>
    <w:rsid w:val="00377B2E"/>
    <w:rsid w:val="003804B5"/>
    <w:rsid w:val="003810F0"/>
    <w:rsid w:val="003815D4"/>
    <w:rsid w:val="003818DC"/>
    <w:rsid w:val="00382513"/>
    <w:rsid w:val="00382A96"/>
    <w:rsid w:val="00383388"/>
    <w:rsid w:val="003834F8"/>
    <w:rsid w:val="003838D0"/>
    <w:rsid w:val="003840C2"/>
    <w:rsid w:val="00384327"/>
    <w:rsid w:val="00384A89"/>
    <w:rsid w:val="00385086"/>
    <w:rsid w:val="0038510E"/>
    <w:rsid w:val="00385D98"/>
    <w:rsid w:val="00387798"/>
    <w:rsid w:val="00390306"/>
    <w:rsid w:val="003908A6"/>
    <w:rsid w:val="00390963"/>
    <w:rsid w:val="0039109D"/>
    <w:rsid w:val="003914BC"/>
    <w:rsid w:val="00391989"/>
    <w:rsid w:val="00391A6C"/>
    <w:rsid w:val="003927F6"/>
    <w:rsid w:val="0039398D"/>
    <w:rsid w:val="00393B3F"/>
    <w:rsid w:val="00396739"/>
    <w:rsid w:val="00396FC7"/>
    <w:rsid w:val="003978B1"/>
    <w:rsid w:val="003A04F6"/>
    <w:rsid w:val="003A0837"/>
    <w:rsid w:val="003A2B4D"/>
    <w:rsid w:val="003A2D12"/>
    <w:rsid w:val="003A2EBA"/>
    <w:rsid w:val="003A37D9"/>
    <w:rsid w:val="003A45E3"/>
    <w:rsid w:val="003A46B8"/>
    <w:rsid w:val="003A478C"/>
    <w:rsid w:val="003A496E"/>
    <w:rsid w:val="003A4A38"/>
    <w:rsid w:val="003A533C"/>
    <w:rsid w:val="003A5525"/>
    <w:rsid w:val="003A5889"/>
    <w:rsid w:val="003A5E5D"/>
    <w:rsid w:val="003A6B38"/>
    <w:rsid w:val="003A6B83"/>
    <w:rsid w:val="003A6C97"/>
    <w:rsid w:val="003A722F"/>
    <w:rsid w:val="003A7373"/>
    <w:rsid w:val="003A7D09"/>
    <w:rsid w:val="003B039F"/>
    <w:rsid w:val="003B0DF4"/>
    <w:rsid w:val="003B1F9D"/>
    <w:rsid w:val="003B2026"/>
    <w:rsid w:val="003B2A8D"/>
    <w:rsid w:val="003B2AD1"/>
    <w:rsid w:val="003B2D2E"/>
    <w:rsid w:val="003B376A"/>
    <w:rsid w:val="003B461F"/>
    <w:rsid w:val="003B483F"/>
    <w:rsid w:val="003B4998"/>
    <w:rsid w:val="003B541A"/>
    <w:rsid w:val="003B578E"/>
    <w:rsid w:val="003B5A32"/>
    <w:rsid w:val="003B5B59"/>
    <w:rsid w:val="003B7B50"/>
    <w:rsid w:val="003C0B07"/>
    <w:rsid w:val="003C1F21"/>
    <w:rsid w:val="003C2CE7"/>
    <w:rsid w:val="003C2DB8"/>
    <w:rsid w:val="003C3490"/>
    <w:rsid w:val="003C3608"/>
    <w:rsid w:val="003C377B"/>
    <w:rsid w:val="003C3AE8"/>
    <w:rsid w:val="003C3D2C"/>
    <w:rsid w:val="003C4E13"/>
    <w:rsid w:val="003C6221"/>
    <w:rsid w:val="003C63D7"/>
    <w:rsid w:val="003C68CC"/>
    <w:rsid w:val="003C7E62"/>
    <w:rsid w:val="003D062A"/>
    <w:rsid w:val="003D12B9"/>
    <w:rsid w:val="003D1E7A"/>
    <w:rsid w:val="003D242B"/>
    <w:rsid w:val="003D2492"/>
    <w:rsid w:val="003D29AA"/>
    <w:rsid w:val="003D2A99"/>
    <w:rsid w:val="003D6134"/>
    <w:rsid w:val="003D6920"/>
    <w:rsid w:val="003E0249"/>
    <w:rsid w:val="003E08A4"/>
    <w:rsid w:val="003E0BBF"/>
    <w:rsid w:val="003E1EF8"/>
    <w:rsid w:val="003E2DBA"/>
    <w:rsid w:val="003E2DFB"/>
    <w:rsid w:val="003E4466"/>
    <w:rsid w:val="003E4C91"/>
    <w:rsid w:val="003E52D8"/>
    <w:rsid w:val="003E62F1"/>
    <w:rsid w:val="003E69B0"/>
    <w:rsid w:val="003E6F84"/>
    <w:rsid w:val="003F0C45"/>
    <w:rsid w:val="003F1B88"/>
    <w:rsid w:val="003F313C"/>
    <w:rsid w:val="003F33B9"/>
    <w:rsid w:val="003F37FC"/>
    <w:rsid w:val="003F4318"/>
    <w:rsid w:val="003F4B2C"/>
    <w:rsid w:val="003F551C"/>
    <w:rsid w:val="003F626D"/>
    <w:rsid w:val="003F72ED"/>
    <w:rsid w:val="003F7645"/>
    <w:rsid w:val="003F7D23"/>
    <w:rsid w:val="003F7DBB"/>
    <w:rsid w:val="00400050"/>
    <w:rsid w:val="004002C8"/>
    <w:rsid w:val="00400468"/>
    <w:rsid w:val="0040099D"/>
    <w:rsid w:val="004016CB"/>
    <w:rsid w:val="00401B23"/>
    <w:rsid w:val="00401C94"/>
    <w:rsid w:val="00402473"/>
    <w:rsid w:val="00402ADB"/>
    <w:rsid w:val="0040368D"/>
    <w:rsid w:val="00403D1D"/>
    <w:rsid w:val="00403F57"/>
    <w:rsid w:val="004046BD"/>
    <w:rsid w:val="00404BAB"/>
    <w:rsid w:val="00405318"/>
    <w:rsid w:val="004059D2"/>
    <w:rsid w:val="004060C9"/>
    <w:rsid w:val="004066D0"/>
    <w:rsid w:val="00406C2E"/>
    <w:rsid w:val="00406CDA"/>
    <w:rsid w:val="00406EB0"/>
    <w:rsid w:val="00407711"/>
    <w:rsid w:val="00407C13"/>
    <w:rsid w:val="00407C75"/>
    <w:rsid w:val="004100D0"/>
    <w:rsid w:val="004103F6"/>
    <w:rsid w:val="00410638"/>
    <w:rsid w:val="00412511"/>
    <w:rsid w:val="004125C2"/>
    <w:rsid w:val="00412DFA"/>
    <w:rsid w:val="00413465"/>
    <w:rsid w:val="004149AC"/>
    <w:rsid w:val="00414C39"/>
    <w:rsid w:val="0041501E"/>
    <w:rsid w:val="00415452"/>
    <w:rsid w:val="004156F7"/>
    <w:rsid w:val="004159C3"/>
    <w:rsid w:val="00415A57"/>
    <w:rsid w:val="00416D06"/>
    <w:rsid w:val="00416DAC"/>
    <w:rsid w:val="00420880"/>
    <w:rsid w:val="00421179"/>
    <w:rsid w:val="00423623"/>
    <w:rsid w:val="0042470E"/>
    <w:rsid w:val="00430C96"/>
    <w:rsid w:val="0043174F"/>
    <w:rsid w:val="00431BFF"/>
    <w:rsid w:val="00432199"/>
    <w:rsid w:val="004325D5"/>
    <w:rsid w:val="00432A58"/>
    <w:rsid w:val="004331C3"/>
    <w:rsid w:val="00433C17"/>
    <w:rsid w:val="00434617"/>
    <w:rsid w:val="00435051"/>
    <w:rsid w:val="00435C69"/>
    <w:rsid w:val="004360FB"/>
    <w:rsid w:val="004378A0"/>
    <w:rsid w:val="00437C5A"/>
    <w:rsid w:val="00437CED"/>
    <w:rsid w:val="0044032C"/>
    <w:rsid w:val="004407BF"/>
    <w:rsid w:val="00440900"/>
    <w:rsid w:val="0044121D"/>
    <w:rsid w:val="00441BF6"/>
    <w:rsid w:val="00441D2B"/>
    <w:rsid w:val="00441F8B"/>
    <w:rsid w:val="00442085"/>
    <w:rsid w:val="0044279E"/>
    <w:rsid w:val="004428F6"/>
    <w:rsid w:val="004441A0"/>
    <w:rsid w:val="004451A9"/>
    <w:rsid w:val="00445861"/>
    <w:rsid w:val="00445A8E"/>
    <w:rsid w:val="00446D44"/>
    <w:rsid w:val="00446FB3"/>
    <w:rsid w:val="00450680"/>
    <w:rsid w:val="0045078A"/>
    <w:rsid w:val="0045086D"/>
    <w:rsid w:val="00450DAB"/>
    <w:rsid w:val="0045125B"/>
    <w:rsid w:val="00451A42"/>
    <w:rsid w:val="00451EF1"/>
    <w:rsid w:val="00452E60"/>
    <w:rsid w:val="0045321B"/>
    <w:rsid w:val="00456FE5"/>
    <w:rsid w:val="00457490"/>
    <w:rsid w:val="0045786C"/>
    <w:rsid w:val="00457953"/>
    <w:rsid w:val="004604D8"/>
    <w:rsid w:val="00460656"/>
    <w:rsid w:val="0046081A"/>
    <w:rsid w:val="00460FB3"/>
    <w:rsid w:val="00462CCB"/>
    <w:rsid w:val="00462F24"/>
    <w:rsid w:val="00463D3C"/>
    <w:rsid w:val="00464851"/>
    <w:rsid w:val="00466595"/>
    <w:rsid w:val="00466B3E"/>
    <w:rsid w:val="0046746A"/>
    <w:rsid w:val="0046782F"/>
    <w:rsid w:val="00467B14"/>
    <w:rsid w:val="004707FE"/>
    <w:rsid w:val="00470EDC"/>
    <w:rsid w:val="00472418"/>
    <w:rsid w:val="0047276D"/>
    <w:rsid w:val="00472AF6"/>
    <w:rsid w:val="00473482"/>
    <w:rsid w:val="00474646"/>
    <w:rsid w:val="00474A04"/>
    <w:rsid w:val="0047584B"/>
    <w:rsid w:val="00476240"/>
    <w:rsid w:val="00476439"/>
    <w:rsid w:val="00476450"/>
    <w:rsid w:val="004769BF"/>
    <w:rsid w:val="004769E1"/>
    <w:rsid w:val="0047735C"/>
    <w:rsid w:val="004776BC"/>
    <w:rsid w:val="00477820"/>
    <w:rsid w:val="00477B96"/>
    <w:rsid w:val="00480959"/>
    <w:rsid w:val="00480BAE"/>
    <w:rsid w:val="00480D7F"/>
    <w:rsid w:val="0048139F"/>
    <w:rsid w:val="00481E40"/>
    <w:rsid w:val="00482405"/>
    <w:rsid w:val="004826A7"/>
    <w:rsid w:val="00483144"/>
    <w:rsid w:val="0048368C"/>
    <w:rsid w:val="0048372F"/>
    <w:rsid w:val="00483A0C"/>
    <w:rsid w:val="004841CC"/>
    <w:rsid w:val="00484ECE"/>
    <w:rsid w:val="00485E82"/>
    <w:rsid w:val="00486132"/>
    <w:rsid w:val="0048686D"/>
    <w:rsid w:val="00486A4D"/>
    <w:rsid w:val="00487B9B"/>
    <w:rsid w:val="004915CB"/>
    <w:rsid w:val="004924DC"/>
    <w:rsid w:val="0049253A"/>
    <w:rsid w:val="00492879"/>
    <w:rsid w:val="00493E85"/>
    <w:rsid w:val="00494AD2"/>
    <w:rsid w:val="00495145"/>
    <w:rsid w:val="0049531F"/>
    <w:rsid w:val="004979A5"/>
    <w:rsid w:val="004979C2"/>
    <w:rsid w:val="00497AB1"/>
    <w:rsid w:val="004A0144"/>
    <w:rsid w:val="004A036E"/>
    <w:rsid w:val="004A0498"/>
    <w:rsid w:val="004A06B0"/>
    <w:rsid w:val="004A0D0E"/>
    <w:rsid w:val="004A14E4"/>
    <w:rsid w:val="004A204E"/>
    <w:rsid w:val="004A26A5"/>
    <w:rsid w:val="004A27F0"/>
    <w:rsid w:val="004A3212"/>
    <w:rsid w:val="004A37CD"/>
    <w:rsid w:val="004A40D9"/>
    <w:rsid w:val="004A47BE"/>
    <w:rsid w:val="004A49A5"/>
    <w:rsid w:val="004A4F8A"/>
    <w:rsid w:val="004A52AB"/>
    <w:rsid w:val="004A5429"/>
    <w:rsid w:val="004A5494"/>
    <w:rsid w:val="004A5D4E"/>
    <w:rsid w:val="004A61C5"/>
    <w:rsid w:val="004A62A0"/>
    <w:rsid w:val="004A77DF"/>
    <w:rsid w:val="004B0710"/>
    <w:rsid w:val="004B1417"/>
    <w:rsid w:val="004B1FD9"/>
    <w:rsid w:val="004B305C"/>
    <w:rsid w:val="004B31B8"/>
    <w:rsid w:val="004B339A"/>
    <w:rsid w:val="004B4C83"/>
    <w:rsid w:val="004B55B7"/>
    <w:rsid w:val="004B5BFA"/>
    <w:rsid w:val="004B619E"/>
    <w:rsid w:val="004B6468"/>
    <w:rsid w:val="004B6EF8"/>
    <w:rsid w:val="004B7125"/>
    <w:rsid w:val="004B756A"/>
    <w:rsid w:val="004B7E0F"/>
    <w:rsid w:val="004B7FB1"/>
    <w:rsid w:val="004C0B3F"/>
    <w:rsid w:val="004C0F87"/>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1C33"/>
    <w:rsid w:val="004D2E03"/>
    <w:rsid w:val="004D3296"/>
    <w:rsid w:val="004D363B"/>
    <w:rsid w:val="004D4056"/>
    <w:rsid w:val="004D4CB0"/>
    <w:rsid w:val="004D5B0F"/>
    <w:rsid w:val="004D7626"/>
    <w:rsid w:val="004E138B"/>
    <w:rsid w:val="004E186A"/>
    <w:rsid w:val="004E1A40"/>
    <w:rsid w:val="004E200A"/>
    <w:rsid w:val="004E23FC"/>
    <w:rsid w:val="004E2409"/>
    <w:rsid w:val="004E261D"/>
    <w:rsid w:val="004E3927"/>
    <w:rsid w:val="004E3B7F"/>
    <w:rsid w:val="004E4961"/>
    <w:rsid w:val="004E57BF"/>
    <w:rsid w:val="004E5F41"/>
    <w:rsid w:val="004E6011"/>
    <w:rsid w:val="004E6DE6"/>
    <w:rsid w:val="004E765E"/>
    <w:rsid w:val="004E7815"/>
    <w:rsid w:val="004F06BD"/>
    <w:rsid w:val="004F06F5"/>
    <w:rsid w:val="004F12A4"/>
    <w:rsid w:val="004F253F"/>
    <w:rsid w:val="004F33A0"/>
    <w:rsid w:val="004F3873"/>
    <w:rsid w:val="004F3BD2"/>
    <w:rsid w:val="004F46ED"/>
    <w:rsid w:val="004F49A3"/>
    <w:rsid w:val="004F4C99"/>
    <w:rsid w:val="004F5358"/>
    <w:rsid w:val="004F58D4"/>
    <w:rsid w:val="004F6484"/>
    <w:rsid w:val="004F6539"/>
    <w:rsid w:val="004F7B54"/>
    <w:rsid w:val="00503D54"/>
    <w:rsid w:val="005048E2"/>
    <w:rsid w:val="00504E95"/>
    <w:rsid w:val="00505FC8"/>
    <w:rsid w:val="00506603"/>
    <w:rsid w:val="0050689D"/>
    <w:rsid w:val="00506CAF"/>
    <w:rsid w:val="005077F5"/>
    <w:rsid w:val="00510125"/>
    <w:rsid w:val="0051071B"/>
    <w:rsid w:val="005108C0"/>
    <w:rsid w:val="0051094F"/>
    <w:rsid w:val="0051112F"/>
    <w:rsid w:val="00511181"/>
    <w:rsid w:val="00511217"/>
    <w:rsid w:val="00511873"/>
    <w:rsid w:val="00512461"/>
    <w:rsid w:val="00512510"/>
    <w:rsid w:val="00512585"/>
    <w:rsid w:val="00512A2F"/>
    <w:rsid w:val="00513258"/>
    <w:rsid w:val="00513B7E"/>
    <w:rsid w:val="00513E9D"/>
    <w:rsid w:val="0051475D"/>
    <w:rsid w:val="00514B11"/>
    <w:rsid w:val="00515485"/>
    <w:rsid w:val="00515BE9"/>
    <w:rsid w:val="00515C74"/>
    <w:rsid w:val="0051630F"/>
    <w:rsid w:val="00517113"/>
    <w:rsid w:val="0052007E"/>
    <w:rsid w:val="00521CAD"/>
    <w:rsid w:val="0052200D"/>
    <w:rsid w:val="005222E6"/>
    <w:rsid w:val="00522425"/>
    <w:rsid w:val="00522D6A"/>
    <w:rsid w:val="00522E01"/>
    <w:rsid w:val="0052337A"/>
    <w:rsid w:val="00524385"/>
    <w:rsid w:val="005246BE"/>
    <w:rsid w:val="00525137"/>
    <w:rsid w:val="005251DD"/>
    <w:rsid w:val="0052543B"/>
    <w:rsid w:val="0052762C"/>
    <w:rsid w:val="0053012B"/>
    <w:rsid w:val="005301A6"/>
    <w:rsid w:val="00530A68"/>
    <w:rsid w:val="00530AD4"/>
    <w:rsid w:val="0053129F"/>
    <w:rsid w:val="00531C5A"/>
    <w:rsid w:val="0053284B"/>
    <w:rsid w:val="00532CE7"/>
    <w:rsid w:val="00532D8B"/>
    <w:rsid w:val="00533023"/>
    <w:rsid w:val="0053324C"/>
    <w:rsid w:val="00533A8D"/>
    <w:rsid w:val="00534A28"/>
    <w:rsid w:val="00535018"/>
    <w:rsid w:val="0053595E"/>
    <w:rsid w:val="00536214"/>
    <w:rsid w:val="005365BD"/>
    <w:rsid w:val="00537571"/>
    <w:rsid w:val="00540056"/>
    <w:rsid w:val="005410E2"/>
    <w:rsid w:val="00541508"/>
    <w:rsid w:val="00541AE3"/>
    <w:rsid w:val="00542AF6"/>
    <w:rsid w:val="00543498"/>
    <w:rsid w:val="00544011"/>
    <w:rsid w:val="00544BE5"/>
    <w:rsid w:val="005453A3"/>
    <w:rsid w:val="005455F6"/>
    <w:rsid w:val="0054582F"/>
    <w:rsid w:val="00546FC7"/>
    <w:rsid w:val="005500F9"/>
    <w:rsid w:val="00550160"/>
    <w:rsid w:val="005519E2"/>
    <w:rsid w:val="005523A8"/>
    <w:rsid w:val="00552F2C"/>
    <w:rsid w:val="00553A25"/>
    <w:rsid w:val="00554419"/>
    <w:rsid w:val="005547EB"/>
    <w:rsid w:val="00554863"/>
    <w:rsid w:val="005555E0"/>
    <w:rsid w:val="0055599F"/>
    <w:rsid w:val="00556D68"/>
    <w:rsid w:val="00556F6D"/>
    <w:rsid w:val="0055707B"/>
    <w:rsid w:val="005570D6"/>
    <w:rsid w:val="00557E05"/>
    <w:rsid w:val="00557E0E"/>
    <w:rsid w:val="00557E45"/>
    <w:rsid w:val="00560162"/>
    <w:rsid w:val="00560319"/>
    <w:rsid w:val="00560C41"/>
    <w:rsid w:val="00560CAC"/>
    <w:rsid w:val="005618E1"/>
    <w:rsid w:val="00561F44"/>
    <w:rsid w:val="00562B4D"/>
    <w:rsid w:val="00562DB1"/>
    <w:rsid w:val="00563EB8"/>
    <w:rsid w:val="005647BF"/>
    <w:rsid w:val="00564AF1"/>
    <w:rsid w:val="005655DB"/>
    <w:rsid w:val="00565E88"/>
    <w:rsid w:val="00566620"/>
    <w:rsid w:val="00567339"/>
    <w:rsid w:val="005678EE"/>
    <w:rsid w:val="00567910"/>
    <w:rsid w:val="00570270"/>
    <w:rsid w:val="00570464"/>
    <w:rsid w:val="00570BC3"/>
    <w:rsid w:val="00570E13"/>
    <w:rsid w:val="0057182A"/>
    <w:rsid w:val="00571E59"/>
    <w:rsid w:val="0057206A"/>
    <w:rsid w:val="00572079"/>
    <w:rsid w:val="00572900"/>
    <w:rsid w:val="00573602"/>
    <w:rsid w:val="0057364B"/>
    <w:rsid w:val="00574773"/>
    <w:rsid w:val="005761EC"/>
    <w:rsid w:val="00576376"/>
    <w:rsid w:val="005764A6"/>
    <w:rsid w:val="00577C07"/>
    <w:rsid w:val="00577DB1"/>
    <w:rsid w:val="00580AD3"/>
    <w:rsid w:val="00580DE7"/>
    <w:rsid w:val="005810E1"/>
    <w:rsid w:val="005820CD"/>
    <w:rsid w:val="00583BDD"/>
    <w:rsid w:val="00583E52"/>
    <w:rsid w:val="00583FFD"/>
    <w:rsid w:val="00584252"/>
    <w:rsid w:val="005848DD"/>
    <w:rsid w:val="0058519A"/>
    <w:rsid w:val="005856BD"/>
    <w:rsid w:val="00585983"/>
    <w:rsid w:val="00586BCA"/>
    <w:rsid w:val="00587038"/>
    <w:rsid w:val="005874A5"/>
    <w:rsid w:val="0059038B"/>
    <w:rsid w:val="005906EE"/>
    <w:rsid w:val="005909B0"/>
    <w:rsid w:val="00590B28"/>
    <w:rsid w:val="005910AE"/>
    <w:rsid w:val="005911BE"/>
    <w:rsid w:val="00591273"/>
    <w:rsid w:val="00591E9E"/>
    <w:rsid w:val="005927A4"/>
    <w:rsid w:val="00593152"/>
    <w:rsid w:val="00593389"/>
    <w:rsid w:val="00593FE6"/>
    <w:rsid w:val="005941B5"/>
    <w:rsid w:val="005956A3"/>
    <w:rsid w:val="00595958"/>
    <w:rsid w:val="00595CAB"/>
    <w:rsid w:val="00595E5A"/>
    <w:rsid w:val="0059622E"/>
    <w:rsid w:val="00596BC7"/>
    <w:rsid w:val="00597671"/>
    <w:rsid w:val="00597840"/>
    <w:rsid w:val="00597BBF"/>
    <w:rsid w:val="005A0463"/>
    <w:rsid w:val="005A0948"/>
    <w:rsid w:val="005A0A03"/>
    <w:rsid w:val="005A10F2"/>
    <w:rsid w:val="005A11D8"/>
    <w:rsid w:val="005A16C0"/>
    <w:rsid w:val="005A21E0"/>
    <w:rsid w:val="005A27A6"/>
    <w:rsid w:val="005A28FF"/>
    <w:rsid w:val="005A2C09"/>
    <w:rsid w:val="005A3778"/>
    <w:rsid w:val="005A37B0"/>
    <w:rsid w:val="005A3DF8"/>
    <w:rsid w:val="005A5549"/>
    <w:rsid w:val="005A566A"/>
    <w:rsid w:val="005A7CF8"/>
    <w:rsid w:val="005B0EDA"/>
    <w:rsid w:val="005B121D"/>
    <w:rsid w:val="005B26B0"/>
    <w:rsid w:val="005B41C9"/>
    <w:rsid w:val="005B44E6"/>
    <w:rsid w:val="005B4853"/>
    <w:rsid w:val="005B5D80"/>
    <w:rsid w:val="005B6CA1"/>
    <w:rsid w:val="005B6D35"/>
    <w:rsid w:val="005B770C"/>
    <w:rsid w:val="005C06ED"/>
    <w:rsid w:val="005C0CE1"/>
    <w:rsid w:val="005C11B8"/>
    <w:rsid w:val="005C216C"/>
    <w:rsid w:val="005C2609"/>
    <w:rsid w:val="005C2B30"/>
    <w:rsid w:val="005C412B"/>
    <w:rsid w:val="005C43EC"/>
    <w:rsid w:val="005C4443"/>
    <w:rsid w:val="005C45DD"/>
    <w:rsid w:val="005C4704"/>
    <w:rsid w:val="005C4CB1"/>
    <w:rsid w:val="005C5400"/>
    <w:rsid w:val="005D1015"/>
    <w:rsid w:val="005D17A1"/>
    <w:rsid w:val="005D3F06"/>
    <w:rsid w:val="005D4B73"/>
    <w:rsid w:val="005D51E7"/>
    <w:rsid w:val="005D5645"/>
    <w:rsid w:val="005D5802"/>
    <w:rsid w:val="005D5AA9"/>
    <w:rsid w:val="005D6002"/>
    <w:rsid w:val="005D66E6"/>
    <w:rsid w:val="005D7119"/>
    <w:rsid w:val="005D72AF"/>
    <w:rsid w:val="005D76C8"/>
    <w:rsid w:val="005D7890"/>
    <w:rsid w:val="005E0432"/>
    <w:rsid w:val="005E0C2B"/>
    <w:rsid w:val="005E19C1"/>
    <w:rsid w:val="005E2194"/>
    <w:rsid w:val="005E22B2"/>
    <w:rsid w:val="005E24F0"/>
    <w:rsid w:val="005E3113"/>
    <w:rsid w:val="005E36FE"/>
    <w:rsid w:val="005E3F66"/>
    <w:rsid w:val="005E490F"/>
    <w:rsid w:val="005E4BC9"/>
    <w:rsid w:val="005E5314"/>
    <w:rsid w:val="005E6041"/>
    <w:rsid w:val="005E7C78"/>
    <w:rsid w:val="005F020C"/>
    <w:rsid w:val="005F04A7"/>
    <w:rsid w:val="005F114F"/>
    <w:rsid w:val="005F18C5"/>
    <w:rsid w:val="005F2A08"/>
    <w:rsid w:val="005F36CC"/>
    <w:rsid w:val="005F3EB1"/>
    <w:rsid w:val="005F413E"/>
    <w:rsid w:val="005F466B"/>
    <w:rsid w:val="005F46D8"/>
    <w:rsid w:val="005F480F"/>
    <w:rsid w:val="005F5469"/>
    <w:rsid w:val="005F55FF"/>
    <w:rsid w:val="005F63F3"/>
    <w:rsid w:val="005F666F"/>
    <w:rsid w:val="005F66F0"/>
    <w:rsid w:val="005F6D7F"/>
    <w:rsid w:val="005F7174"/>
    <w:rsid w:val="005F7C4B"/>
    <w:rsid w:val="0060120D"/>
    <w:rsid w:val="00601ADE"/>
    <w:rsid w:val="00601EEF"/>
    <w:rsid w:val="0060255A"/>
    <w:rsid w:val="00602EB3"/>
    <w:rsid w:val="00603C95"/>
    <w:rsid w:val="00604307"/>
    <w:rsid w:val="0060487F"/>
    <w:rsid w:val="00604EAD"/>
    <w:rsid w:val="0060513F"/>
    <w:rsid w:val="006065E2"/>
    <w:rsid w:val="0060694B"/>
    <w:rsid w:val="006076A2"/>
    <w:rsid w:val="006104FB"/>
    <w:rsid w:val="006112FA"/>
    <w:rsid w:val="0061176D"/>
    <w:rsid w:val="0061200F"/>
    <w:rsid w:val="00612756"/>
    <w:rsid w:val="00612A2F"/>
    <w:rsid w:val="00612AAE"/>
    <w:rsid w:val="00612B07"/>
    <w:rsid w:val="00612FD9"/>
    <w:rsid w:val="006139E0"/>
    <w:rsid w:val="00614D35"/>
    <w:rsid w:val="006156B4"/>
    <w:rsid w:val="00615DAF"/>
    <w:rsid w:val="0061672A"/>
    <w:rsid w:val="00616E05"/>
    <w:rsid w:val="00617985"/>
    <w:rsid w:val="00620B77"/>
    <w:rsid w:val="0062131B"/>
    <w:rsid w:val="00621E26"/>
    <w:rsid w:val="006224EA"/>
    <w:rsid w:val="0062263A"/>
    <w:rsid w:val="006227DF"/>
    <w:rsid w:val="006236C8"/>
    <w:rsid w:val="00624093"/>
    <w:rsid w:val="00625A84"/>
    <w:rsid w:val="00626079"/>
    <w:rsid w:val="00631698"/>
    <w:rsid w:val="00631E44"/>
    <w:rsid w:val="00633676"/>
    <w:rsid w:val="00634C57"/>
    <w:rsid w:val="00634CE7"/>
    <w:rsid w:val="00634D50"/>
    <w:rsid w:val="006350D5"/>
    <w:rsid w:val="0063642C"/>
    <w:rsid w:val="006376B3"/>
    <w:rsid w:val="00637858"/>
    <w:rsid w:val="006404A7"/>
    <w:rsid w:val="00640A38"/>
    <w:rsid w:val="00640E6B"/>
    <w:rsid w:val="00641787"/>
    <w:rsid w:val="0064179B"/>
    <w:rsid w:val="00642489"/>
    <w:rsid w:val="006432D0"/>
    <w:rsid w:val="00644055"/>
    <w:rsid w:val="00644137"/>
    <w:rsid w:val="0064478C"/>
    <w:rsid w:val="00645160"/>
    <w:rsid w:val="006451E4"/>
    <w:rsid w:val="006455C5"/>
    <w:rsid w:val="0064574B"/>
    <w:rsid w:val="00645B33"/>
    <w:rsid w:val="00646B41"/>
    <w:rsid w:val="006473F1"/>
    <w:rsid w:val="00647F5C"/>
    <w:rsid w:val="006516CB"/>
    <w:rsid w:val="00651B49"/>
    <w:rsid w:val="00652E30"/>
    <w:rsid w:val="00653BD0"/>
    <w:rsid w:val="00654110"/>
    <w:rsid w:val="00654F5E"/>
    <w:rsid w:val="006565A1"/>
    <w:rsid w:val="00656C5D"/>
    <w:rsid w:val="00656CFB"/>
    <w:rsid w:val="00656D25"/>
    <w:rsid w:val="00657E87"/>
    <w:rsid w:val="00660874"/>
    <w:rsid w:val="00660D2D"/>
    <w:rsid w:val="00661C41"/>
    <w:rsid w:val="00661EC9"/>
    <w:rsid w:val="00662469"/>
    <w:rsid w:val="0066411C"/>
    <w:rsid w:val="00664205"/>
    <w:rsid w:val="00664647"/>
    <w:rsid w:val="00664803"/>
    <w:rsid w:val="00664B9C"/>
    <w:rsid w:val="0066502F"/>
    <w:rsid w:val="006653CC"/>
    <w:rsid w:val="00665982"/>
    <w:rsid w:val="00665BA4"/>
    <w:rsid w:val="00666BF3"/>
    <w:rsid w:val="00667856"/>
    <w:rsid w:val="00667AF2"/>
    <w:rsid w:val="00670489"/>
    <w:rsid w:val="006710C9"/>
    <w:rsid w:val="00671B61"/>
    <w:rsid w:val="00671D85"/>
    <w:rsid w:val="00672586"/>
    <w:rsid w:val="00673FDE"/>
    <w:rsid w:val="006741CD"/>
    <w:rsid w:val="00674D89"/>
    <w:rsid w:val="0067514E"/>
    <w:rsid w:val="00675E37"/>
    <w:rsid w:val="00676221"/>
    <w:rsid w:val="00676736"/>
    <w:rsid w:val="006769A4"/>
    <w:rsid w:val="006769C6"/>
    <w:rsid w:val="00676D76"/>
    <w:rsid w:val="00676F9F"/>
    <w:rsid w:val="00677519"/>
    <w:rsid w:val="00677589"/>
    <w:rsid w:val="00677591"/>
    <w:rsid w:val="00677594"/>
    <w:rsid w:val="006779F0"/>
    <w:rsid w:val="00677FA3"/>
    <w:rsid w:val="0068032F"/>
    <w:rsid w:val="00680987"/>
    <w:rsid w:val="00680D37"/>
    <w:rsid w:val="0068174E"/>
    <w:rsid w:val="00681A2D"/>
    <w:rsid w:val="00681DCE"/>
    <w:rsid w:val="00682110"/>
    <w:rsid w:val="0068260E"/>
    <w:rsid w:val="006833B9"/>
    <w:rsid w:val="006846B3"/>
    <w:rsid w:val="00684B9B"/>
    <w:rsid w:val="00684D59"/>
    <w:rsid w:val="00684E25"/>
    <w:rsid w:val="0068510B"/>
    <w:rsid w:val="006858A4"/>
    <w:rsid w:val="00685C08"/>
    <w:rsid w:val="00686718"/>
    <w:rsid w:val="00686BFA"/>
    <w:rsid w:val="00686DED"/>
    <w:rsid w:val="00687041"/>
    <w:rsid w:val="006875A0"/>
    <w:rsid w:val="006878C6"/>
    <w:rsid w:val="00687D27"/>
    <w:rsid w:val="00691077"/>
    <w:rsid w:val="00691286"/>
    <w:rsid w:val="00691943"/>
    <w:rsid w:val="00693550"/>
    <w:rsid w:val="0069478C"/>
    <w:rsid w:val="00695065"/>
    <w:rsid w:val="00695BEF"/>
    <w:rsid w:val="00695F61"/>
    <w:rsid w:val="00696251"/>
    <w:rsid w:val="006966C7"/>
    <w:rsid w:val="006968C1"/>
    <w:rsid w:val="006977F6"/>
    <w:rsid w:val="00697A13"/>
    <w:rsid w:val="006A0DD4"/>
    <w:rsid w:val="006A109C"/>
    <w:rsid w:val="006A35BD"/>
    <w:rsid w:val="006A5C70"/>
    <w:rsid w:val="006A5D24"/>
    <w:rsid w:val="006A5F4B"/>
    <w:rsid w:val="006A6114"/>
    <w:rsid w:val="006A6565"/>
    <w:rsid w:val="006A66EC"/>
    <w:rsid w:val="006A7180"/>
    <w:rsid w:val="006A7691"/>
    <w:rsid w:val="006A7EE2"/>
    <w:rsid w:val="006B0514"/>
    <w:rsid w:val="006B0BC4"/>
    <w:rsid w:val="006B0F92"/>
    <w:rsid w:val="006B2785"/>
    <w:rsid w:val="006B27C7"/>
    <w:rsid w:val="006B344A"/>
    <w:rsid w:val="006B3C21"/>
    <w:rsid w:val="006B58C9"/>
    <w:rsid w:val="006B60ED"/>
    <w:rsid w:val="006B6CC5"/>
    <w:rsid w:val="006B74AC"/>
    <w:rsid w:val="006B7795"/>
    <w:rsid w:val="006B78D8"/>
    <w:rsid w:val="006B79EA"/>
    <w:rsid w:val="006B7B25"/>
    <w:rsid w:val="006B7C48"/>
    <w:rsid w:val="006C097F"/>
    <w:rsid w:val="006C0C5D"/>
    <w:rsid w:val="006C113F"/>
    <w:rsid w:val="006C123E"/>
    <w:rsid w:val="006C15A1"/>
    <w:rsid w:val="006C1752"/>
    <w:rsid w:val="006C1DDC"/>
    <w:rsid w:val="006C28CA"/>
    <w:rsid w:val="006C2BBF"/>
    <w:rsid w:val="006C2FBD"/>
    <w:rsid w:val="006C2FC7"/>
    <w:rsid w:val="006C3495"/>
    <w:rsid w:val="006C4355"/>
    <w:rsid w:val="006C4587"/>
    <w:rsid w:val="006C469D"/>
    <w:rsid w:val="006C46B5"/>
    <w:rsid w:val="006C484F"/>
    <w:rsid w:val="006C52EC"/>
    <w:rsid w:val="006C5506"/>
    <w:rsid w:val="006C56D4"/>
    <w:rsid w:val="006C6681"/>
    <w:rsid w:val="006C683C"/>
    <w:rsid w:val="006C6924"/>
    <w:rsid w:val="006C6C1E"/>
    <w:rsid w:val="006C7076"/>
    <w:rsid w:val="006C7AEC"/>
    <w:rsid w:val="006C7CA6"/>
    <w:rsid w:val="006D0A17"/>
    <w:rsid w:val="006D0B22"/>
    <w:rsid w:val="006D18B3"/>
    <w:rsid w:val="006D1E89"/>
    <w:rsid w:val="006D26CE"/>
    <w:rsid w:val="006D317E"/>
    <w:rsid w:val="006D346C"/>
    <w:rsid w:val="006D3E8A"/>
    <w:rsid w:val="006D61F6"/>
    <w:rsid w:val="006E0A4F"/>
    <w:rsid w:val="006E1081"/>
    <w:rsid w:val="006E1332"/>
    <w:rsid w:val="006E16DC"/>
    <w:rsid w:val="006E19CB"/>
    <w:rsid w:val="006E2406"/>
    <w:rsid w:val="006E279A"/>
    <w:rsid w:val="006E313B"/>
    <w:rsid w:val="006E34B2"/>
    <w:rsid w:val="006E353D"/>
    <w:rsid w:val="006E35C5"/>
    <w:rsid w:val="006E37A9"/>
    <w:rsid w:val="006E3861"/>
    <w:rsid w:val="006E3A45"/>
    <w:rsid w:val="006E4078"/>
    <w:rsid w:val="006E4D8C"/>
    <w:rsid w:val="006E51C4"/>
    <w:rsid w:val="006E53AD"/>
    <w:rsid w:val="006E58CB"/>
    <w:rsid w:val="006E6A93"/>
    <w:rsid w:val="006E6C4C"/>
    <w:rsid w:val="006E7227"/>
    <w:rsid w:val="006E761A"/>
    <w:rsid w:val="006F0646"/>
    <w:rsid w:val="006F0741"/>
    <w:rsid w:val="006F1C27"/>
    <w:rsid w:val="006F2A65"/>
    <w:rsid w:val="006F3DD6"/>
    <w:rsid w:val="006F3FCF"/>
    <w:rsid w:val="006F40DF"/>
    <w:rsid w:val="006F42BB"/>
    <w:rsid w:val="006F438E"/>
    <w:rsid w:val="006F440B"/>
    <w:rsid w:val="006F48A3"/>
    <w:rsid w:val="006F4DA4"/>
    <w:rsid w:val="006F5416"/>
    <w:rsid w:val="006F624B"/>
    <w:rsid w:val="006F6D87"/>
    <w:rsid w:val="006F6FF2"/>
    <w:rsid w:val="006F79FB"/>
    <w:rsid w:val="007008A9"/>
    <w:rsid w:val="00701C8C"/>
    <w:rsid w:val="0070398A"/>
    <w:rsid w:val="00704CC4"/>
    <w:rsid w:val="00705242"/>
    <w:rsid w:val="007055E0"/>
    <w:rsid w:val="007056ED"/>
    <w:rsid w:val="0070583E"/>
    <w:rsid w:val="00705F4E"/>
    <w:rsid w:val="0070658E"/>
    <w:rsid w:val="007065C5"/>
    <w:rsid w:val="007068E1"/>
    <w:rsid w:val="00706AA0"/>
    <w:rsid w:val="00706AD4"/>
    <w:rsid w:val="00707150"/>
    <w:rsid w:val="007124D7"/>
    <w:rsid w:val="00712C20"/>
    <w:rsid w:val="00713549"/>
    <w:rsid w:val="007140BE"/>
    <w:rsid w:val="00714276"/>
    <w:rsid w:val="007147AB"/>
    <w:rsid w:val="00715502"/>
    <w:rsid w:val="00715D01"/>
    <w:rsid w:val="00715E4D"/>
    <w:rsid w:val="00715F12"/>
    <w:rsid w:val="0071677A"/>
    <w:rsid w:val="00716F48"/>
    <w:rsid w:val="007170FB"/>
    <w:rsid w:val="00717114"/>
    <w:rsid w:val="0071779F"/>
    <w:rsid w:val="00720310"/>
    <w:rsid w:val="007211F5"/>
    <w:rsid w:val="00721601"/>
    <w:rsid w:val="00722405"/>
    <w:rsid w:val="00722777"/>
    <w:rsid w:val="00723435"/>
    <w:rsid w:val="00723436"/>
    <w:rsid w:val="007240E2"/>
    <w:rsid w:val="0072454C"/>
    <w:rsid w:val="0072583E"/>
    <w:rsid w:val="00725BB5"/>
    <w:rsid w:val="007269A4"/>
    <w:rsid w:val="007276EF"/>
    <w:rsid w:val="00727C02"/>
    <w:rsid w:val="0073008E"/>
    <w:rsid w:val="00730A8B"/>
    <w:rsid w:val="00730AE8"/>
    <w:rsid w:val="00730F1B"/>
    <w:rsid w:val="0073186D"/>
    <w:rsid w:val="0073300A"/>
    <w:rsid w:val="0073333D"/>
    <w:rsid w:val="007343D9"/>
    <w:rsid w:val="00734F71"/>
    <w:rsid w:val="00735448"/>
    <w:rsid w:val="00736F07"/>
    <w:rsid w:val="007377BD"/>
    <w:rsid w:val="00737DEC"/>
    <w:rsid w:val="0074004D"/>
    <w:rsid w:val="00741493"/>
    <w:rsid w:val="007434E5"/>
    <w:rsid w:val="0074499B"/>
    <w:rsid w:val="007450BF"/>
    <w:rsid w:val="007471A1"/>
    <w:rsid w:val="007477BD"/>
    <w:rsid w:val="007477DA"/>
    <w:rsid w:val="00747EE9"/>
    <w:rsid w:val="00750B07"/>
    <w:rsid w:val="007520B6"/>
    <w:rsid w:val="00752180"/>
    <w:rsid w:val="00752323"/>
    <w:rsid w:val="007527E8"/>
    <w:rsid w:val="007532B7"/>
    <w:rsid w:val="0075342B"/>
    <w:rsid w:val="007539E9"/>
    <w:rsid w:val="00753CAB"/>
    <w:rsid w:val="00754962"/>
    <w:rsid w:val="0075499A"/>
    <w:rsid w:val="00754A70"/>
    <w:rsid w:val="00754BC9"/>
    <w:rsid w:val="00755202"/>
    <w:rsid w:val="00755D3A"/>
    <w:rsid w:val="00757241"/>
    <w:rsid w:val="0075751D"/>
    <w:rsid w:val="0075763E"/>
    <w:rsid w:val="007578D3"/>
    <w:rsid w:val="00757FD9"/>
    <w:rsid w:val="007602CF"/>
    <w:rsid w:val="00760391"/>
    <w:rsid w:val="007609C6"/>
    <w:rsid w:val="007610BC"/>
    <w:rsid w:val="007615F3"/>
    <w:rsid w:val="0076175D"/>
    <w:rsid w:val="00761CB5"/>
    <w:rsid w:val="00761F63"/>
    <w:rsid w:val="007629D5"/>
    <w:rsid w:val="00762EFF"/>
    <w:rsid w:val="007631BC"/>
    <w:rsid w:val="007635F8"/>
    <w:rsid w:val="00763815"/>
    <w:rsid w:val="00763B85"/>
    <w:rsid w:val="00764974"/>
    <w:rsid w:val="00764D18"/>
    <w:rsid w:val="0076521E"/>
    <w:rsid w:val="00765BCC"/>
    <w:rsid w:val="0076600D"/>
    <w:rsid w:val="007661E9"/>
    <w:rsid w:val="00766460"/>
    <w:rsid w:val="00767062"/>
    <w:rsid w:val="00767601"/>
    <w:rsid w:val="00767777"/>
    <w:rsid w:val="00770271"/>
    <w:rsid w:val="00770CFC"/>
    <w:rsid w:val="0077130E"/>
    <w:rsid w:val="007715EE"/>
    <w:rsid w:val="00771972"/>
    <w:rsid w:val="00772279"/>
    <w:rsid w:val="00772DAB"/>
    <w:rsid w:val="00772FF9"/>
    <w:rsid w:val="007743DB"/>
    <w:rsid w:val="00774D2C"/>
    <w:rsid w:val="0077605B"/>
    <w:rsid w:val="00776169"/>
    <w:rsid w:val="00776527"/>
    <w:rsid w:val="00777040"/>
    <w:rsid w:val="00777CE6"/>
    <w:rsid w:val="00777D57"/>
    <w:rsid w:val="007805DD"/>
    <w:rsid w:val="00780EF1"/>
    <w:rsid w:val="00781A91"/>
    <w:rsid w:val="00781AD3"/>
    <w:rsid w:val="00781F36"/>
    <w:rsid w:val="0078274D"/>
    <w:rsid w:val="00782AAD"/>
    <w:rsid w:val="00783576"/>
    <w:rsid w:val="00785778"/>
    <w:rsid w:val="00786C87"/>
    <w:rsid w:val="0078729D"/>
    <w:rsid w:val="0078755E"/>
    <w:rsid w:val="007877C9"/>
    <w:rsid w:val="007906E3"/>
    <w:rsid w:val="00790764"/>
    <w:rsid w:val="0079085F"/>
    <w:rsid w:val="00790E96"/>
    <w:rsid w:val="00791005"/>
    <w:rsid w:val="007923CE"/>
    <w:rsid w:val="00793D78"/>
    <w:rsid w:val="0079420B"/>
    <w:rsid w:val="0079453C"/>
    <w:rsid w:val="00794677"/>
    <w:rsid w:val="00795759"/>
    <w:rsid w:val="00797FF6"/>
    <w:rsid w:val="007A170B"/>
    <w:rsid w:val="007A1B7B"/>
    <w:rsid w:val="007A20EB"/>
    <w:rsid w:val="007A282C"/>
    <w:rsid w:val="007A293C"/>
    <w:rsid w:val="007A2A3A"/>
    <w:rsid w:val="007A2FB9"/>
    <w:rsid w:val="007A33E2"/>
    <w:rsid w:val="007A3CAF"/>
    <w:rsid w:val="007A429E"/>
    <w:rsid w:val="007A4664"/>
    <w:rsid w:val="007A4782"/>
    <w:rsid w:val="007A516D"/>
    <w:rsid w:val="007A5E65"/>
    <w:rsid w:val="007A65E1"/>
    <w:rsid w:val="007A6AAA"/>
    <w:rsid w:val="007A7033"/>
    <w:rsid w:val="007A775D"/>
    <w:rsid w:val="007A7B8F"/>
    <w:rsid w:val="007B00D4"/>
    <w:rsid w:val="007B04B0"/>
    <w:rsid w:val="007B0834"/>
    <w:rsid w:val="007B0E83"/>
    <w:rsid w:val="007B11FA"/>
    <w:rsid w:val="007B1396"/>
    <w:rsid w:val="007B16D6"/>
    <w:rsid w:val="007B2011"/>
    <w:rsid w:val="007B2CFE"/>
    <w:rsid w:val="007B309B"/>
    <w:rsid w:val="007B3D5E"/>
    <w:rsid w:val="007B3DCB"/>
    <w:rsid w:val="007B4016"/>
    <w:rsid w:val="007B4AD3"/>
    <w:rsid w:val="007B5725"/>
    <w:rsid w:val="007B5C1F"/>
    <w:rsid w:val="007B6689"/>
    <w:rsid w:val="007B6747"/>
    <w:rsid w:val="007B6F72"/>
    <w:rsid w:val="007B74AA"/>
    <w:rsid w:val="007C02DA"/>
    <w:rsid w:val="007C0390"/>
    <w:rsid w:val="007C10BD"/>
    <w:rsid w:val="007C162D"/>
    <w:rsid w:val="007C1F0C"/>
    <w:rsid w:val="007C1FFB"/>
    <w:rsid w:val="007C2D94"/>
    <w:rsid w:val="007C4A6B"/>
    <w:rsid w:val="007C5F92"/>
    <w:rsid w:val="007C6084"/>
    <w:rsid w:val="007C6227"/>
    <w:rsid w:val="007C6BBD"/>
    <w:rsid w:val="007C6D89"/>
    <w:rsid w:val="007C6F5E"/>
    <w:rsid w:val="007C7848"/>
    <w:rsid w:val="007D0382"/>
    <w:rsid w:val="007D14FE"/>
    <w:rsid w:val="007D1A1F"/>
    <w:rsid w:val="007D213B"/>
    <w:rsid w:val="007D2632"/>
    <w:rsid w:val="007D2E18"/>
    <w:rsid w:val="007D40DF"/>
    <w:rsid w:val="007D42E5"/>
    <w:rsid w:val="007D4458"/>
    <w:rsid w:val="007D4D3D"/>
    <w:rsid w:val="007D6AF9"/>
    <w:rsid w:val="007E0535"/>
    <w:rsid w:val="007E07F2"/>
    <w:rsid w:val="007E0D4A"/>
    <w:rsid w:val="007E1788"/>
    <w:rsid w:val="007E1EE3"/>
    <w:rsid w:val="007E29B4"/>
    <w:rsid w:val="007E2F12"/>
    <w:rsid w:val="007E435A"/>
    <w:rsid w:val="007E445C"/>
    <w:rsid w:val="007E49F7"/>
    <w:rsid w:val="007E4C70"/>
    <w:rsid w:val="007E525A"/>
    <w:rsid w:val="007E5B5F"/>
    <w:rsid w:val="007E69C6"/>
    <w:rsid w:val="007E6D37"/>
    <w:rsid w:val="007E78B6"/>
    <w:rsid w:val="007E7E61"/>
    <w:rsid w:val="007F0845"/>
    <w:rsid w:val="007F0873"/>
    <w:rsid w:val="007F0BAF"/>
    <w:rsid w:val="007F20F3"/>
    <w:rsid w:val="007F2353"/>
    <w:rsid w:val="007F2390"/>
    <w:rsid w:val="007F2AB9"/>
    <w:rsid w:val="007F2C49"/>
    <w:rsid w:val="007F2CAC"/>
    <w:rsid w:val="007F4740"/>
    <w:rsid w:val="007F5123"/>
    <w:rsid w:val="007F595A"/>
    <w:rsid w:val="007F5C38"/>
    <w:rsid w:val="007F708D"/>
    <w:rsid w:val="007F7E3F"/>
    <w:rsid w:val="008006B3"/>
    <w:rsid w:val="00800B63"/>
    <w:rsid w:val="00801332"/>
    <w:rsid w:val="0080158A"/>
    <w:rsid w:val="00801E13"/>
    <w:rsid w:val="00803008"/>
    <w:rsid w:val="00803069"/>
    <w:rsid w:val="0080346B"/>
    <w:rsid w:val="00804155"/>
    <w:rsid w:val="00804C9F"/>
    <w:rsid w:val="0080559E"/>
    <w:rsid w:val="00805AF3"/>
    <w:rsid w:val="00806381"/>
    <w:rsid w:val="00806C9C"/>
    <w:rsid w:val="0080734C"/>
    <w:rsid w:val="0080772F"/>
    <w:rsid w:val="00807C82"/>
    <w:rsid w:val="0081019E"/>
    <w:rsid w:val="008117CC"/>
    <w:rsid w:val="00811E19"/>
    <w:rsid w:val="00811FF8"/>
    <w:rsid w:val="00813D58"/>
    <w:rsid w:val="00813DCA"/>
    <w:rsid w:val="0081529A"/>
    <w:rsid w:val="00815DED"/>
    <w:rsid w:val="008161A6"/>
    <w:rsid w:val="008165B8"/>
    <w:rsid w:val="00816905"/>
    <w:rsid w:val="00816D98"/>
    <w:rsid w:val="00816E42"/>
    <w:rsid w:val="00817040"/>
    <w:rsid w:val="00817A17"/>
    <w:rsid w:val="00817EC1"/>
    <w:rsid w:val="008205DE"/>
    <w:rsid w:val="0082112D"/>
    <w:rsid w:val="00821FF6"/>
    <w:rsid w:val="00822574"/>
    <w:rsid w:val="00822980"/>
    <w:rsid w:val="00822CB8"/>
    <w:rsid w:val="00822F08"/>
    <w:rsid w:val="00823983"/>
    <w:rsid w:val="00824BA6"/>
    <w:rsid w:val="00825C4D"/>
    <w:rsid w:val="008266CE"/>
    <w:rsid w:val="00826A08"/>
    <w:rsid w:val="00826AC0"/>
    <w:rsid w:val="00827186"/>
    <w:rsid w:val="00827C8E"/>
    <w:rsid w:val="00827C97"/>
    <w:rsid w:val="00830569"/>
    <w:rsid w:val="00830AEA"/>
    <w:rsid w:val="00830E86"/>
    <w:rsid w:val="00831240"/>
    <w:rsid w:val="0083143E"/>
    <w:rsid w:val="008315B8"/>
    <w:rsid w:val="008315D5"/>
    <w:rsid w:val="00831CDE"/>
    <w:rsid w:val="00831F2B"/>
    <w:rsid w:val="008320CF"/>
    <w:rsid w:val="008324A3"/>
    <w:rsid w:val="00832F77"/>
    <w:rsid w:val="00834304"/>
    <w:rsid w:val="00834F8E"/>
    <w:rsid w:val="00834FAA"/>
    <w:rsid w:val="008354FB"/>
    <w:rsid w:val="00835FF1"/>
    <w:rsid w:val="00836086"/>
    <w:rsid w:val="0083630F"/>
    <w:rsid w:val="00836A06"/>
    <w:rsid w:val="00836C2D"/>
    <w:rsid w:val="008374BC"/>
    <w:rsid w:val="008377E6"/>
    <w:rsid w:val="0083782B"/>
    <w:rsid w:val="008379D6"/>
    <w:rsid w:val="00837E48"/>
    <w:rsid w:val="00840293"/>
    <w:rsid w:val="008402AD"/>
    <w:rsid w:val="008408D4"/>
    <w:rsid w:val="008417B5"/>
    <w:rsid w:val="00841901"/>
    <w:rsid w:val="008433D2"/>
    <w:rsid w:val="00843B19"/>
    <w:rsid w:val="00845294"/>
    <w:rsid w:val="008458BD"/>
    <w:rsid w:val="00846121"/>
    <w:rsid w:val="008461C2"/>
    <w:rsid w:val="008462F1"/>
    <w:rsid w:val="008466C6"/>
    <w:rsid w:val="0084708F"/>
    <w:rsid w:val="008477C8"/>
    <w:rsid w:val="008478A6"/>
    <w:rsid w:val="008502F6"/>
    <w:rsid w:val="0085036C"/>
    <w:rsid w:val="00850E83"/>
    <w:rsid w:val="0085114D"/>
    <w:rsid w:val="008520A8"/>
    <w:rsid w:val="00852217"/>
    <w:rsid w:val="00852821"/>
    <w:rsid w:val="008531F5"/>
    <w:rsid w:val="0085321C"/>
    <w:rsid w:val="00853282"/>
    <w:rsid w:val="0085334C"/>
    <w:rsid w:val="00853D1F"/>
    <w:rsid w:val="00854291"/>
    <w:rsid w:val="00855408"/>
    <w:rsid w:val="00855D03"/>
    <w:rsid w:val="008567BA"/>
    <w:rsid w:val="00856D65"/>
    <w:rsid w:val="00856FA4"/>
    <w:rsid w:val="00860D79"/>
    <w:rsid w:val="00861B41"/>
    <w:rsid w:val="00861B9F"/>
    <w:rsid w:val="00861BE3"/>
    <w:rsid w:val="008625D3"/>
    <w:rsid w:val="00862C0A"/>
    <w:rsid w:val="00863434"/>
    <w:rsid w:val="0086344F"/>
    <w:rsid w:val="008641AC"/>
    <w:rsid w:val="00865E4C"/>
    <w:rsid w:val="00866074"/>
    <w:rsid w:val="00867546"/>
    <w:rsid w:val="0086796D"/>
    <w:rsid w:val="00867DAB"/>
    <w:rsid w:val="0087000B"/>
    <w:rsid w:val="008701E4"/>
    <w:rsid w:val="008704E9"/>
    <w:rsid w:val="00870ECD"/>
    <w:rsid w:val="0087347C"/>
    <w:rsid w:val="008734E7"/>
    <w:rsid w:val="0087368D"/>
    <w:rsid w:val="008740CC"/>
    <w:rsid w:val="0087442A"/>
    <w:rsid w:val="00874FE8"/>
    <w:rsid w:val="00875A32"/>
    <w:rsid w:val="00876086"/>
    <w:rsid w:val="00876651"/>
    <w:rsid w:val="00876E83"/>
    <w:rsid w:val="008772BC"/>
    <w:rsid w:val="00877448"/>
    <w:rsid w:val="00880A0E"/>
    <w:rsid w:val="008816A8"/>
    <w:rsid w:val="008817FE"/>
    <w:rsid w:val="00881CD7"/>
    <w:rsid w:val="008824D4"/>
    <w:rsid w:val="00882911"/>
    <w:rsid w:val="00882EC3"/>
    <w:rsid w:val="00882F6E"/>
    <w:rsid w:val="00883202"/>
    <w:rsid w:val="0088477F"/>
    <w:rsid w:val="00884E02"/>
    <w:rsid w:val="00885D40"/>
    <w:rsid w:val="00886AFB"/>
    <w:rsid w:val="008872A7"/>
    <w:rsid w:val="008873D4"/>
    <w:rsid w:val="008879D9"/>
    <w:rsid w:val="00890CB1"/>
    <w:rsid w:val="00891269"/>
    <w:rsid w:val="00891EDF"/>
    <w:rsid w:val="008921E9"/>
    <w:rsid w:val="00892872"/>
    <w:rsid w:val="0089296D"/>
    <w:rsid w:val="00893E85"/>
    <w:rsid w:val="00893EBE"/>
    <w:rsid w:val="00894031"/>
    <w:rsid w:val="00894C5D"/>
    <w:rsid w:val="00895508"/>
    <w:rsid w:val="008963DB"/>
    <w:rsid w:val="008967E9"/>
    <w:rsid w:val="00896A5C"/>
    <w:rsid w:val="008972D2"/>
    <w:rsid w:val="0089754C"/>
    <w:rsid w:val="008A0659"/>
    <w:rsid w:val="008A0ADD"/>
    <w:rsid w:val="008A0D27"/>
    <w:rsid w:val="008A1144"/>
    <w:rsid w:val="008A1C59"/>
    <w:rsid w:val="008A2091"/>
    <w:rsid w:val="008A37E2"/>
    <w:rsid w:val="008A388E"/>
    <w:rsid w:val="008A394E"/>
    <w:rsid w:val="008A3CBA"/>
    <w:rsid w:val="008A4B59"/>
    <w:rsid w:val="008A6215"/>
    <w:rsid w:val="008A62BF"/>
    <w:rsid w:val="008A63E1"/>
    <w:rsid w:val="008A66B7"/>
    <w:rsid w:val="008A68BB"/>
    <w:rsid w:val="008A6AA5"/>
    <w:rsid w:val="008A7127"/>
    <w:rsid w:val="008B0CBA"/>
    <w:rsid w:val="008B2639"/>
    <w:rsid w:val="008B3537"/>
    <w:rsid w:val="008B3690"/>
    <w:rsid w:val="008B3A80"/>
    <w:rsid w:val="008B3AEC"/>
    <w:rsid w:val="008B3C07"/>
    <w:rsid w:val="008B3F7B"/>
    <w:rsid w:val="008B494C"/>
    <w:rsid w:val="008B4AEC"/>
    <w:rsid w:val="008B5324"/>
    <w:rsid w:val="008B5C99"/>
    <w:rsid w:val="008B6106"/>
    <w:rsid w:val="008B65DE"/>
    <w:rsid w:val="008B7149"/>
    <w:rsid w:val="008B72D5"/>
    <w:rsid w:val="008B7BBE"/>
    <w:rsid w:val="008B7C02"/>
    <w:rsid w:val="008B7D2B"/>
    <w:rsid w:val="008B7E1A"/>
    <w:rsid w:val="008B7EF9"/>
    <w:rsid w:val="008C0049"/>
    <w:rsid w:val="008C0314"/>
    <w:rsid w:val="008C0E88"/>
    <w:rsid w:val="008C10E5"/>
    <w:rsid w:val="008C1717"/>
    <w:rsid w:val="008C17F0"/>
    <w:rsid w:val="008C3B05"/>
    <w:rsid w:val="008C43F2"/>
    <w:rsid w:val="008C48C4"/>
    <w:rsid w:val="008C4B50"/>
    <w:rsid w:val="008C5A37"/>
    <w:rsid w:val="008C7569"/>
    <w:rsid w:val="008C79C3"/>
    <w:rsid w:val="008C7A93"/>
    <w:rsid w:val="008D006F"/>
    <w:rsid w:val="008D033D"/>
    <w:rsid w:val="008D0DBD"/>
    <w:rsid w:val="008D117E"/>
    <w:rsid w:val="008D127E"/>
    <w:rsid w:val="008D1CA8"/>
    <w:rsid w:val="008D1E0A"/>
    <w:rsid w:val="008D1E6A"/>
    <w:rsid w:val="008D2407"/>
    <w:rsid w:val="008D2A16"/>
    <w:rsid w:val="008D2AEC"/>
    <w:rsid w:val="008D2DBA"/>
    <w:rsid w:val="008D3295"/>
    <w:rsid w:val="008D33F5"/>
    <w:rsid w:val="008D35E4"/>
    <w:rsid w:val="008D3ACD"/>
    <w:rsid w:val="008D50BD"/>
    <w:rsid w:val="008D5F7F"/>
    <w:rsid w:val="008D6C3A"/>
    <w:rsid w:val="008D70E2"/>
    <w:rsid w:val="008D73E0"/>
    <w:rsid w:val="008E0001"/>
    <w:rsid w:val="008E08CA"/>
    <w:rsid w:val="008E0F7B"/>
    <w:rsid w:val="008E292B"/>
    <w:rsid w:val="008E2C57"/>
    <w:rsid w:val="008E31FF"/>
    <w:rsid w:val="008E3287"/>
    <w:rsid w:val="008E38E4"/>
    <w:rsid w:val="008E51EB"/>
    <w:rsid w:val="008E6DCB"/>
    <w:rsid w:val="008E6F06"/>
    <w:rsid w:val="008E7000"/>
    <w:rsid w:val="008E7B8E"/>
    <w:rsid w:val="008E7FC9"/>
    <w:rsid w:val="008F0107"/>
    <w:rsid w:val="008F029B"/>
    <w:rsid w:val="008F056E"/>
    <w:rsid w:val="008F0589"/>
    <w:rsid w:val="008F0E85"/>
    <w:rsid w:val="008F2A5D"/>
    <w:rsid w:val="008F2BC7"/>
    <w:rsid w:val="008F3636"/>
    <w:rsid w:val="008F3FC9"/>
    <w:rsid w:val="008F509F"/>
    <w:rsid w:val="008F5383"/>
    <w:rsid w:val="008F585B"/>
    <w:rsid w:val="008F7FB0"/>
    <w:rsid w:val="009003A8"/>
    <w:rsid w:val="0090058A"/>
    <w:rsid w:val="009005E4"/>
    <w:rsid w:val="00900977"/>
    <w:rsid w:val="009021DA"/>
    <w:rsid w:val="00902500"/>
    <w:rsid w:val="00902EFF"/>
    <w:rsid w:val="00903389"/>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55E"/>
    <w:rsid w:val="00911D2C"/>
    <w:rsid w:val="00912437"/>
    <w:rsid w:val="00912A92"/>
    <w:rsid w:val="00914374"/>
    <w:rsid w:val="0091476D"/>
    <w:rsid w:val="00915D07"/>
    <w:rsid w:val="009162AE"/>
    <w:rsid w:val="00916C45"/>
    <w:rsid w:val="00917251"/>
    <w:rsid w:val="0091728D"/>
    <w:rsid w:val="0092036B"/>
    <w:rsid w:val="009203CC"/>
    <w:rsid w:val="00920EC4"/>
    <w:rsid w:val="0092180B"/>
    <w:rsid w:val="009219EA"/>
    <w:rsid w:val="00921F14"/>
    <w:rsid w:val="0092292F"/>
    <w:rsid w:val="00922D28"/>
    <w:rsid w:val="00923B42"/>
    <w:rsid w:val="00923CB0"/>
    <w:rsid w:val="00923D8C"/>
    <w:rsid w:val="00924564"/>
    <w:rsid w:val="00924871"/>
    <w:rsid w:val="00924AC8"/>
    <w:rsid w:val="009252B6"/>
    <w:rsid w:val="00925429"/>
    <w:rsid w:val="00925615"/>
    <w:rsid w:val="0092597A"/>
    <w:rsid w:val="00926520"/>
    <w:rsid w:val="00926CF0"/>
    <w:rsid w:val="009273A9"/>
    <w:rsid w:val="00930251"/>
    <w:rsid w:val="0093033E"/>
    <w:rsid w:val="009305FC"/>
    <w:rsid w:val="00930FB1"/>
    <w:rsid w:val="009311F8"/>
    <w:rsid w:val="0093139F"/>
    <w:rsid w:val="00932443"/>
    <w:rsid w:val="00932B32"/>
    <w:rsid w:val="0093305E"/>
    <w:rsid w:val="00933F4A"/>
    <w:rsid w:val="009341F1"/>
    <w:rsid w:val="00934FF2"/>
    <w:rsid w:val="0093577E"/>
    <w:rsid w:val="009358D7"/>
    <w:rsid w:val="00935BD4"/>
    <w:rsid w:val="00935DFE"/>
    <w:rsid w:val="00935F70"/>
    <w:rsid w:val="0093648B"/>
    <w:rsid w:val="009373B2"/>
    <w:rsid w:val="00937AE2"/>
    <w:rsid w:val="0094061F"/>
    <w:rsid w:val="00940F0F"/>
    <w:rsid w:val="00941912"/>
    <w:rsid w:val="0094416B"/>
    <w:rsid w:val="0094427A"/>
    <w:rsid w:val="00944C7C"/>
    <w:rsid w:val="00945245"/>
    <w:rsid w:val="00945523"/>
    <w:rsid w:val="00950330"/>
    <w:rsid w:val="00950921"/>
    <w:rsid w:val="00951D68"/>
    <w:rsid w:val="00951E5B"/>
    <w:rsid w:val="00952050"/>
    <w:rsid w:val="00952315"/>
    <w:rsid w:val="009523D9"/>
    <w:rsid w:val="0095299F"/>
    <w:rsid w:val="00952B7B"/>
    <w:rsid w:val="0095357B"/>
    <w:rsid w:val="009538B3"/>
    <w:rsid w:val="0095458C"/>
    <w:rsid w:val="00954F39"/>
    <w:rsid w:val="009555FD"/>
    <w:rsid w:val="0095664B"/>
    <w:rsid w:val="009568DC"/>
    <w:rsid w:val="009569DC"/>
    <w:rsid w:val="00957140"/>
    <w:rsid w:val="00957445"/>
    <w:rsid w:val="0095759C"/>
    <w:rsid w:val="009618EE"/>
    <w:rsid w:val="00961DDD"/>
    <w:rsid w:val="009624D2"/>
    <w:rsid w:val="009628D9"/>
    <w:rsid w:val="0096321C"/>
    <w:rsid w:val="0096378B"/>
    <w:rsid w:val="009637AE"/>
    <w:rsid w:val="00963A06"/>
    <w:rsid w:val="00964068"/>
    <w:rsid w:val="009640F6"/>
    <w:rsid w:val="0096469D"/>
    <w:rsid w:val="00964776"/>
    <w:rsid w:val="00964A4E"/>
    <w:rsid w:val="00964B35"/>
    <w:rsid w:val="009651C7"/>
    <w:rsid w:val="00965797"/>
    <w:rsid w:val="00965A10"/>
    <w:rsid w:val="00965AD0"/>
    <w:rsid w:val="009670A3"/>
    <w:rsid w:val="009674BE"/>
    <w:rsid w:val="00967D62"/>
    <w:rsid w:val="00970A1A"/>
    <w:rsid w:val="00970FB5"/>
    <w:rsid w:val="00971710"/>
    <w:rsid w:val="00971B87"/>
    <w:rsid w:val="00971C77"/>
    <w:rsid w:val="0097203A"/>
    <w:rsid w:val="00972417"/>
    <w:rsid w:val="00972746"/>
    <w:rsid w:val="00972FCD"/>
    <w:rsid w:val="009732DF"/>
    <w:rsid w:val="00973324"/>
    <w:rsid w:val="009736DF"/>
    <w:rsid w:val="009741AE"/>
    <w:rsid w:val="009741FC"/>
    <w:rsid w:val="00974782"/>
    <w:rsid w:val="00974923"/>
    <w:rsid w:val="00975909"/>
    <w:rsid w:val="00977C3D"/>
    <w:rsid w:val="00980D3D"/>
    <w:rsid w:val="0098103E"/>
    <w:rsid w:val="0098157D"/>
    <w:rsid w:val="00983101"/>
    <w:rsid w:val="00983E41"/>
    <w:rsid w:val="009845E1"/>
    <w:rsid w:val="00984D1B"/>
    <w:rsid w:val="00986246"/>
    <w:rsid w:val="00987A30"/>
    <w:rsid w:val="00990312"/>
    <w:rsid w:val="0099182E"/>
    <w:rsid w:val="009922EC"/>
    <w:rsid w:val="00992BB3"/>
    <w:rsid w:val="00992CF3"/>
    <w:rsid w:val="00993194"/>
    <w:rsid w:val="0099321E"/>
    <w:rsid w:val="00993C99"/>
    <w:rsid w:val="00994171"/>
    <w:rsid w:val="00994868"/>
    <w:rsid w:val="00994976"/>
    <w:rsid w:val="00994D28"/>
    <w:rsid w:val="00994F12"/>
    <w:rsid w:val="00994F2C"/>
    <w:rsid w:val="00995720"/>
    <w:rsid w:val="009957CC"/>
    <w:rsid w:val="009968D6"/>
    <w:rsid w:val="00997953"/>
    <w:rsid w:val="00997D55"/>
    <w:rsid w:val="009A0BFF"/>
    <w:rsid w:val="009A10A0"/>
    <w:rsid w:val="009A1CAB"/>
    <w:rsid w:val="009A2359"/>
    <w:rsid w:val="009A24F1"/>
    <w:rsid w:val="009A27E0"/>
    <w:rsid w:val="009A2ECA"/>
    <w:rsid w:val="009A3CF6"/>
    <w:rsid w:val="009A4182"/>
    <w:rsid w:val="009A4D57"/>
    <w:rsid w:val="009A51A5"/>
    <w:rsid w:val="009A5923"/>
    <w:rsid w:val="009A60D1"/>
    <w:rsid w:val="009A6225"/>
    <w:rsid w:val="009A64A3"/>
    <w:rsid w:val="009A64F5"/>
    <w:rsid w:val="009B00D2"/>
    <w:rsid w:val="009B05B3"/>
    <w:rsid w:val="009B0CAF"/>
    <w:rsid w:val="009B1324"/>
    <w:rsid w:val="009B2558"/>
    <w:rsid w:val="009B284F"/>
    <w:rsid w:val="009B2951"/>
    <w:rsid w:val="009B3764"/>
    <w:rsid w:val="009B3840"/>
    <w:rsid w:val="009B3FCD"/>
    <w:rsid w:val="009B52AC"/>
    <w:rsid w:val="009B59EA"/>
    <w:rsid w:val="009B6330"/>
    <w:rsid w:val="009B66CE"/>
    <w:rsid w:val="009B6FD3"/>
    <w:rsid w:val="009B72BE"/>
    <w:rsid w:val="009B72CB"/>
    <w:rsid w:val="009B78A4"/>
    <w:rsid w:val="009B7DB2"/>
    <w:rsid w:val="009C00A9"/>
    <w:rsid w:val="009C03DB"/>
    <w:rsid w:val="009C1334"/>
    <w:rsid w:val="009C15AF"/>
    <w:rsid w:val="009C1750"/>
    <w:rsid w:val="009C190B"/>
    <w:rsid w:val="009C22C7"/>
    <w:rsid w:val="009C2E29"/>
    <w:rsid w:val="009C3E65"/>
    <w:rsid w:val="009C3E8F"/>
    <w:rsid w:val="009C554B"/>
    <w:rsid w:val="009C5E83"/>
    <w:rsid w:val="009C709E"/>
    <w:rsid w:val="009C7126"/>
    <w:rsid w:val="009C719E"/>
    <w:rsid w:val="009C7799"/>
    <w:rsid w:val="009C7E77"/>
    <w:rsid w:val="009D07A9"/>
    <w:rsid w:val="009D099A"/>
    <w:rsid w:val="009D0AE2"/>
    <w:rsid w:val="009D0D9F"/>
    <w:rsid w:val="009D0EBB"/>
    <w:rsid w:val="009D2145"/>
    <w:rsid w:val="009D2C46"/>
    <w:rsid w:val="009D3ACD"/>
    <w:rsid w:val="009D4254"/>
    <w:rsid w:val="009D4F21"/>
    <w:rsid w:val="009D587D"/>
    <w:rsid w:val="009D5A16"/>
    <w:rsid w:val="009D6D20"/>
    <w:rsid w:val="009D7731"/>
    <w:rsid w:val="009E1120"/>
    <w:rsid w:val="009E1393"/>
    <w:rsid w:val="009E1922"/>
    <w:rsid w:val="009E1A3D"/>
    <w:rsid w:val="009E1A7D"/>
    <w:rsid w:val="009E3531"/>
    <w:rsid w:val="009E4715"/>
    <w:rsid w:val="009E4A58"/>
    <w:rsid w:val="009E5273"/>
    <w:rsid w:val="009E57A8"/>
    <w:rsid w:val="009E5B85"/>
    <w:rsid w:val="009E5DDB"/>
    <w:rsid w:val="009F254D"/>
    <w:rsid w:val="009F2921"/>
    <w:rsid w:val="009F42CF"/>
    <w:rsid w:val="009F455D"/>
    <w:rsid w:val="009F4982"/>
    <w:rsid w:val="009F4CA7"/>
    <w:rsid w:val="009F4F6A"/>
    <w:rsid w:val="009F55BA"/>
    <w:rsid w:val="009F5FA1"/>
    <w:rsid w:val="009F6B1F"/>
    <w:rsid w:val="009F6D92"/>
    <w:rsid w:val="009F7D36"/>
    <w:rsid w:val="009F7D61"/>
    <w:rsid w:val="00A00DAE"/>
    <w:rsid w:val="00A00E71"/>
    <w:rsid w:val="00A024FB"/>
    <w:rsid w:val="00A0306F"/>
    <w:rsid w:val="00A03511"/>
    <w:rsid w:val="00A03B10"/>
    <w:rsid w:val="00A03E2E"/>
    <w:rsid w:val="00A04616"/>
    <w:rsid w:val="00A04717"/>
    <w:rsid w:val="00A04D45"/>
    <w:rsid w:val="00A05D8F"/>
    <w:rsid w:val="00A05EE4"/>
    <w:rsid w:val="00A06F99"/>
    <w:rsid w:val="00A0748D"/>
    <w:rsid w:val="00A1053B"/>
    <w:rsid w:val="00A10D66"/>
    <w:rsid w:val="00A112A6"/>
    <w:rsid w:val="00A113A4"/>
    <w:rsid w:val="00A12D51"/>
    <w:rsid w:val="00A14114"/>
    <w:rsid w:val="00A16413"/>
    <w:rsid w:val="00A16545"/>
    <w:rsid w:val="00A1671B"/>
    <w:rsid w:val="00A16A1A"/>
    <w:rsid w:val="00A16AED"/>
    <w:rsid w:val="00A16BD3"/>
    <w:rsid w:val="00A16C37"/>
    <w:rsid w:val="00A16E1D"/>
    <w:rsid w:val="00A171D5"/>
    <w:rsid w:val="00A17A15"/>
    <w:rsid w:val="00A17A37"/>
    <w:rsid w:val="00A17D5B"/>
    <w:rsid w:val="00A2016A"/>
    <w:rsid w:val="00A201E1"/>
    <w:rsid w:val="00A208E9"/>
    <w:rsid w:val="00A20CF9"/>
    <w:rsid w:val="00A20FE1"/>
    <w:rsid w:val="00A21B4D"/>
    <w:rsid w:val="00A22073"/>
    <w:rsid w:val="00A223E0"/>
    <w:rsid w:val="00A22959"/>
    <w:rsid w:val="00A23158"/>
    <w:rsid w:val="00A232D7"/>
    <w:rsid w:val="00A23847"/>
    <w:rsid w:val="00A23E43"/>
    <w:rsid w:val="00A23EB3"/>
    <w:rsid w:val="00A24726"/>
    <w:rsid w:val="00A24DEB"/>
    <w:rsid w:val="00A24ED9"/>
    <w:rsid w:val="00A251DB"/>
    <w:rsid w:val="00A25216"/>
    <w:rsid w:val="00A25950"/>
    <w:rsid w:val="00A2597D"/>
    <w:rsid w:val="00A25E62"/>
    <w:rsid w:val="00A2628E"/>
    <w:rsid w:val="00A266BF"/>
    <w:rsid w:val="00A26803"/>
    <w:rsid w:val="00A2731E"/>
    <w:rsid w:val="00A309AC"/>
    <w:rsid w:val="00A30AC7"/>
    <w:rsid w:val="00A30F65"/>
    <w:rsid w:val="00A3218F"/>
    <w:rsid w:val="00A3279E"/>
    <w:rsid w:val="00A33DB1"/>
    <w:rsid w:val="00A33EEB"/>
    <w:rsid w:val="00A35900"/>
    <w:rsid w:val="00A402EA"/>
    <w:rsid w:val="00A40EAC"/>
    <w:rsid w:val="00A411F0"/>
    <w:rsid w:val="00A418BC"/>
    <w:rsid w:val="00A419FF"/>
    <w:rsid w:val="00A41FCF"/>
    <w:rsid w:val="00A426A9"/>
    <w:rsid w:val="00A42936"/>
    <w:rsid w:val="00A4378E"/>
    <w:rsid w:val="00A43CF8"/>
    <w:rsid w:val="00A43DF2"/>
    <w:rsid w:val="00A445A8"/>
    <w:rsid w:val="00A446AE"/>
    <w:rsid w:val="00A44B0D"/>
    <w:rsid w:val="00A44D21"/>
    <w:rsid w:val="00A45087"/>
    <w:rsid w:val="00A45489"/>
    <w:rsid w:val="00A45858"/>
    <w:rsid w:val="00A45CED"/>
    <w:rsid w:val="00A465E9"/>
    <w:rsid w:val="00A468E7"/>
    <w:rsid w:val="00A46DE0"/>
    <w:rsid w:val="00A478BA"/>
    <w:rsid w:val="00A50D73"/>
    <w:rsid w:val="00A518BB"/>
    <w:rsid w:val="00A52A88"/>
    <w:rsid w:val="00A52CAD"/>
    <w:rsid w:val="00A52F9F"/>
    <w:rsid w:val="00A53FC7"/>
    <w:rsid w:val="00A55569"/>
    <w:rsid w:val="00A561A9"/>
    <w:rsid w:val="00A566A0"/>
    <w:rsid w:val="00A566AF"/>
    <w:rsid w:val="00A57AC9"/>
    <w:rsid w:val="00A601E7"/>
    <w:rsid w:val="00A60A8F"/>
    <w:rsid w:val="00A60AC1"/>
    <w:rsid w:val="00A61462"/>
    <w:rsid w:val="00A61EB1"/>
    <w:rsid w:val="00A61ED1"/>
    <w:rsid w:val="00A626FF"/>
    <w:rsid w:val="00A62C6B"/>
    <w:rsid w:val="00A62CE1"/>
    <w:rsid w:val="00A63235"/>
    <w:rsid w:val="00A65469"/>
    <w:rsid w:val="00A65528"/>
    <w:rsid w:val="00A655D3"/>
    <w:rsid w:val="00A662D9"/>
    <w:rsid w:val="00A6630C"/>
    <w:rsid w:val="00A6741E"/>
    <w:rsid w:val="00A67CB4"/>
    <w:rsid w:val="00A67E29"/>
    <w:rsid w:val="00A7016A"/>
    <w:rsid w:val="00A7018D"/>
    <w:rsid w:val="00A7191D"/>
    <w:rsid w:val="00A71FE9"/>
    <w:rsid w:val="00A72038"/>
    <w:rsid w:val="00A722F9"/>
    <w:rsid w:val="00A72D42"/>
    <w:rsid w:val="00A746C9"/>
    <w:rsid w:val="00A74C2A"/>
    <w:rsid w:val="00A75448"/>
    <w:rsid w:val="00A75658"/>
    <w:rsid w:val="00A75E40"/>
    <w:rsid w:val="00A7608E"/>
    <w:rsid w:val="00A76818"/>
    <w:rsid w:val="00A77D1D"/>
    <w:rsid w:val="00A81652"/>
    <w:rsid w:val="00A82BF0"/>
    <w:rsid w:val="00A82C91"/>
    <w:rsid w:val="00A82E9D"/>
    <w:rsid w:val="00A83150"/>
    <w:rsid w:val="00A83398"/>
    <w:rsid w:val="00A83D6E"/>
    <w:rsid w:val="00A83F27"/>
    <w:rsid w:val="00A83FD5"/>
    <w:rsid w:val="00A84AEA"/>
    <w:rsid w:val="00A8521A"/>
    <w:rsid w:val="00A857C0"/>
    <w:rsid w:val="00A85ACB"/>
    <w:rsid w:val="00A874D9"/>
    <w:rsid w:val="00A9092B"/>
    <w:rsid w:val="00A90F2C"/>
    <w:rsid w:val="00A90FED"/>
    <w:rsid w:val="00A91482"/>
    <w:rsid w:val="00A9189D"/>
    <w:rsid w:val="00A91E71"/>
    <w:rsid w:val="00A925B1"/>
    <w:rsid w:val="00A92A3E"/>
    <w:rsid w:val="00A934F9"/>
    <w:rsid w:val="00A940E3"/>
    <w:rsid w:val="00A94983"/>
    <w:rsid w:val="00A9532C"/>
    <w:rsid w:val="00A95AB2"/>
    <w:rsid w:val="00A95F1A"/>
    <w:rsid w:val="00A96116"/>
    <w:rsid w:val="00A9614E"/>
    <w:rsid w:val="00A96422"/>
    <w:rsid w:val="00A96C0F"/>
    <w:rsid w:val="00A97075"/>
    <w:rsid w:val="00AA0E80"/>
    <w:rsid w:val="00AA17CD"/>
    <w:rsid w:val="00AA182D"/>
    <w:rsid w:val="00AA1D85"/>
    <w:rsid w:val="00AA212B"/>
    <w:rsid w:val="00AA212F"/>
    <w:rsid w:val="00AA26A9"/>
    <w:rsid w:val="00AA2996"/>
    <w:rsid w:val="00AA2AF4"/>
    <w:rsid w:val="00AA4282"/>
    <w:rsid w:val="00AA43F2"/>
    <w:rsid w:val="00AA4790"/>
    <w:rsid w:val="00AA52BF"/>
    <w:rsid w:val="00AA559A"/>
    <w:rsid w:val="00AA6B3B"/>
    <w:rsid w:val="00AA6C31"/>
    <w:rsid w:val="00AA7264"/>
    <w:rsid w:val="00AA7752"/>
    <w:rsid w:val="00AA7CE8"/>
    <w:rsid w:val="00AB1457"/>
    <w:rsid w:val="00AB2587"/>
    <w:rsid w:val="00AB293A"/>
    <w:rsid w:val="00AB2AF1"/>
    <w:rsid w:val="00AB32CB"/>
    <w:rsid w:val="00AB3BA7"/>
    <w:rsid w:val="00AB3EC7"/>
    <w:rsid w:val="00AB56B1"/>
    <w:rsid w:val="00AB5A64"/>
    <w:rsid w:val="00AB5CA1"/>
    <w:rsid w:val="00AB6456"/>
    <w:rsid w:val="00AB75C5"/>
    <w:rsid w:val="00AC044E"/>
    <w:rsid w:val="00AC11EB"/>
    <w:rsid w:val="00AC1909"/>
    <w:rsid w:val="00AC2118"/>
    <w:rsid w:val="00AC2395"/>
    <w:rsid w:val="00AC2960"/>
    <w:rsid w:val="00AC2AC4"/>
    <w:rsid w:val="00AC3200"/>
    <w:rsid w:val="00AC4284"/>
    <w:rsid w:val="00AC45BD"/>
    <w:rsid w:val="00AC50BB"/>
    <w:rsid w:val="00AC70A0"/>
    <w:rsid w:val="00AD0B22"/>
    <w:rsid w:val="00AD0B67"/>
    <w:rsid w:val="00AD0EE7"/>
    <w:rsid w:val="00AD168E"/>
    <w:rsid w:val="00AD2C19"/>
    <w:rsid w:val="00AD306C"/>
    <w:rsid w:val="00AD44CD"/>
    <w:rsid w:val="00AD5AD2"/>
    <w:rsid w:val="00AD6462"/>
    <w:rsid w:val="00AD66C5"/>
    <w:rsid w:val="00AD68C4"/>
    <w:rsid w:val="00AD71F9"/>
    <w:rsid w:val="00AE09B3"/>
    <w:rsid w:val="00AE1733"/>
    <w:rsid w:val="00AE1A83"/>
    <w:rsid w:val="00AE2358"/>
    <w:rsid w:val="00AE30BE"/>
    <w:rsid w:val="00AE3E6A"/>
    <w:rsid w:val="00AE417E"/>
    <w:rsid w:val="00AE49C7"/>
    <w:rsid w:val="00AE6414"/>
    <w:rsid w:val="00AE7269"/>
    <w:rsid w:val="00AE7975"/>
    <w:rsid w:val="00AE797C"/>
    <w:rsid w:val="00AE7CE7"/>
    <w:rsid w:val="00AE7FAB"/>
    <w:rsid w:val="00AF0097"/>
    <w:rsid w:val="00AF0657"/>
    <w:rsid w:val="00AF0DE4"/>
    <w:rsid w:val="00AF12A0"/>
    <w:rsid w:val="00AF1E87"/>
    <w:rsid w:val="00AF436B"/>
    <w:rsid w:val="00AF5179"/>
    <w:rsid w:val="00AF586E"/>
    <w:rsid w:val="00AF5CC2"/>
    <w:rsid w:val="00AF6776"/>
    <w:rsid w:val="00AF6F98"/>
    <w:rsid w:val="00AF7277"/>
    <w:rsid w:val="00B00550"/>
    <w:rsid w:val="00B00913"/>
    <w:rsid w:val="00B01593"/>
    <w:rsid w:val="00B01FF9"/>
    <w:rsid w:val="00B023F2"/>
    <w:rsid w:val="00B026FE"/>
    <w:rsid w:val="00B0271F"/>
    <w:rsid w:val="00B038CA"/>
    <w:rsid w:val="00B05F00"/>
    <w:rsid w:val="00B06DB4"/>
    <w:rsid w:val="00B0750D"/>
    <w:rsid w:val="00B07850"/>
    <w:rsid w:val="00B0799C"/>
    <w:rsid w:val="00B102CE"/>
    <w:rsid w:val="00B10A4D"/>
    <w:rsid w:val="00B10C90"/>
    <w:rsid w:val="00B11002"/>
    <w:rsid w:val="00B1114F"/>
    <w:rsid w:val="00B1208C"/>
    <w:rsid w:val="00B121B2"/>
    <w:rsid w:val="00B131B1"/>
    <w:rsid w:val="00B141B6"/>
    <w:rsid w:val="00B14BC1"/>
    <w:rsid w:val="00B154DE"/>
    <w:rsid w:val="00B162C3"/>
    <w:rsid w:val="00B16DD1"/>
    <w:rsid w:val="00B16EB8"/>
    <w:rsid w:val="00B1700A"/>
    <w:rsid w:val="00B176EA"/>
    <w:rsid w:val="00B17E71"/>
    <w:rsid w:val="00B17FDE"/>
    <w:rsid w:val="00B204BA"/>
    <w:rsid w:val="00B20632"/>
    <w:rsid w:val="00B22760"/>
    <w:rsid w:val="00B2379C"/>
    <w:rsid w:val="00B23AEF"/>
    <w:rsid w:val="00B23D5D"/>
    <w:rsid w:val="00B23E6E"/>
    <w:rsid w:val="00B2450C"/>
    <w:rsid w:val="00B25A19"/>
    <w:rsid w:val="00B2687D"/>
    <w:rsid w:val="00B3108D"/>
    <w:rsid w:val="00B32535"/>
    <w:rsid w:val="00B32DDB"/>
    <w:rsid w:val="00B32F57"/>
    <w:rsid w:val="00B33336"/>
    <w:rsid w:val="00B3345C"/>
    <w:rsid w:val="00B34170"/>
    <w:rsid w:val="00B34528"/>
    <w:rsid w:val="00B34CC9"/>
    <w:rsid w:val="00B34CDA"/>
    <w:rsid w:val="00B3563B"/>
    <w:rsid w:val="00B36BDC"/>
    <w:rsid w:val="00B37D3A"/>
    <w:rsid w:val="00B37D96"/>
    <w:rsid w:val="00B402FC"/>
    <w:rsid w:val="00B416B4"/>
    <w:rsid w:val="00B422E2"/>
    <w:rsid w:val="00B422EC"/>
    <w:rsid w:val="00B42D5F"/>
    <w:rsid w:val="00B43216"/>
    <w:rsid w:val="00B439DA"/>
    <w:rsid w:val="00B4411A"/>
    <w:rsid w:val="00B45872"/>
    <w:rsid w:val="00B458B9"/>
    <w:rsid w:val="00B45FE8"/>
    <w:rsid w:val="00B46604"/>
    <w:rsid w:val="00B47089"/>
    <w:rsid w:val="00B47587"/>
    <w:rsid w:val="00B51406"/>
    <w:rsid w:val="00B5150A"/>
    <w:rsid w:val="00B52151"/>
    <w:rsid w:val="00B530CD"/>
    <w:rsid w:val="00B53639"/>
    <w:rsid w:val="00B53C7D"/>
    <w:rsid w:val="00B53E56"/>
    <w:rsid w:val="00B55149"/>
    <w:rsid w:val="00B55A97"/>
    <w:rsid w:val="00B55F5E"/>
    <w:rsid w:val="00B5601B"/>
    <w:rsid w:val="00B5642C"/>
    <w:rsid w:val="00B5658D"/>
    <w:rsid w:val="00B56B6F"/>
    <w:rsid w:val="00B5752E"/>
    <w:rsid w:val="00B60AC1"/>
    <w:rsid w:val="00B61FF6"/>
    <w:rsid w:val="00B62316"/>
    <w:rsid w:val="00B62A2F"/>
    <w:rsid w:val="00B63A11"/>
    <w:rsid w:val="00B64425"/>
    <w:rsid w:val="00B64C24"/>
    <w:rsid w:val="00B65CEF"/>
    <w:rsid w:val="00B6608F"/>
    <w:rsid w:val="00B67749"/>
    <w:rsid w:val="00B679FB"/>
    <w:rsid w:val="00B70F3B"/>
    <w:rsid w:val="00B71FBF"/>
    <w:rsid w:val="00B7252C"/>
    <w:rsid w:val="00B72725"/>
    <w:rsid w:val="00B734A0"/>
    <w:rsid w:val="00B73A14"/>
    <w:rsid w:val="00B748BD"/>
    <w:rsid w:val="00B74A99"/>
    <w:rsid w:val="00B755F7"/>
    <w:rsid w:val="00B7649A"/>
    <w:rsid w:val="00B7680F"/>
    <w:rsid w:val="00B76B48"/>
    <w:rsid w:val="00B76D1E"/>
    <w:rsid w:val="00B77543"/>
    <w:rsid w:val="00B77584"/>
    <w:rsid w:val="00B77E34"/>
    <w:rsid w:val="00B80D89"/>
    <w:rsid w:val="00B80EC6"/>
    <w:rsid w:val="00B81288"/>
    <w:rsid w:val="00B81C3B"/>
    <w:rsid w:val="00B81D70"/>
    <w:rsid w:val="00B833B9"/>
    <w:rsid w:val="00B83AAF"/>
    <w:rsid w:val="00B83E07"/>
    <w:rsid w:val="00B84CF6"/>
    <w:rsid w:val="00B85016"/>
    <w:rsid w:val="00B8561A"/>
    <w:rsid w:val="00B85943"/>
    <w:rsid w:val="00B86628"/>
    <w:rsid w:val="00B86643"/>
    <w:rsid w:val="00B868F7"/>
    <w:rsid w:val="00B90131"/>
    <w:rsid w:val="00B905D7"/>
    <w:rsid w:val="00B92951"/>
    <w:rsid w:val="00B92D1D"/>
    <w:rsid w:val="00B92D7E"/>
    <w:rsid w:val="00B930CE"/>
    <w:rsid w:val="00B938C5"/>
    <w:rsid w:val="00B940A8"/>
    <w:rsid w:val="00B9486C"/>
    <w:rsid w:val="00B9554A"/>
    <w:rsid w:val="00B95940"/>
    <w:rsid w:val="00B95ACA"/>
    <w:rsid w:val="00B96D74"/>
    <w:rsid w:val="00B9720E"/>
    <w:rsid w:val="00B97ACC"/>
    <w:rsid w:val="00B97FE2"/>
    <w:rsid w:val="00BA0E0B"/>
    <w:rsid w:val="00BA201A"/>
    <w:rsid w:val="00BA21DF"/>
    <w:rsid w:val="00BA2867"/>
    <w:rsid w:val="00BA361D"/>
    <w:rsid w:val="00BA3787"/>
    <w:rsid w:val="00BA403A"/>
    <w:rsid w:val="00BA44F9"/>
    <w:rsid w:val="00BA46E8"/>
    <w:rsid w:val="00BA4AE9"/>
    <w:rsid w:val="00BA4E19"/>
    <w:rsid w:val="00BA5237"/>
    <w:rsid w:val="00BA6436"/>
    <w:rsid w:val="00BA64F2"/>
    <w:rsid w:val="00BA684E"/>
    <w:rsid w:val="00BA6BE8"/>
    <w:rsid w:val="00BA6C2B"/>
    <w:rsid w:val="00BA7B64"/>
    <w:rsid w:val="00BB02A3"/>
    <w:rsid w:val="00BB0351"/>
    <w:rsid w:val="00BB15C3"/>
    <w:rsid w:val="00BB1AF4"/>
    <w:rsid w:val="00BB1CBB"/>
    <w:rsid w:val="00BB2202"/>
    <w:rsid w:val="00BB3C6B"/>
    <w:rsid w:val="00BB3FD6"/>
    <w:rsid w:val="00BB453F"/>
    <w:rsid w:val="00BB46F3"/>
    <w:rsid w:val="00BB4A71"/>
    <w:rsid w:val="00BB4CB1"/>
    <w:rsid w:val="00BB4F98"/>
    <w:rsid w:val="00BB50C0"/>
    <w:rsid w:val="00BB5AB2"/>
    <w:rsid w:val="00BB5ABF"/>
    <w:rsid w:val="00BB5FB6"/>
    <w:rsid w:val="00BB6EA2"/>
    <w:rsid w:val="00BB76F3"/>
    <w:rsid w:val="00BB7B5B"/>
    <w:rsid w:val="00BB7EB1"/>
    <w:rsid w:val="00BC003F"/>
    <w:rsid w:val="00BC0930"/>
    <w:rsid w:val="00BC327F"/>
    <w:rsid w:val="00BC3512"/>
    <w:rsid w:val="00BC4B35"/>
    <w:rsid w:val="00BC50BE"/>
    <w:rsid w:val="00BC5332"/>
    <w:rsid w:val="00BC5715"/>
    <w:rsid w:val="00BC5C12"/>
    <w:rsid w:val="00BC641B"/>
    <w:rsid w:val="00BC7154"/>
    <w:rsid w:val="00BC731E"/>
    <w:rsid w:val="00BC7614"/>
    <w:rsid w:val="00BD041B"/>
    <w:rsid w:val="00BD0941"/>
    <w:rsid w:val="00BD25BB"/>
    <w:rsid w:val="00BD2AA3"/>
    <w:rsid w:val="00BD2AF8"/>
    <w:rsid w:val="00BD366B"/>
    <w:rsid w:val="00BD3C09"/>
    <w:rsid w:val="00BD410B"/>
    <w:rsid w:val="00BD4A73"/>
    <w:rsid w:val="00BD4EF4"/>
    <w:rsid w:val="00BD5825"/>
    <w:rsid w:val="00BD6659"/>
    <w:rsid w:val="00BD6C75"/>
    <w:rsid w:val="00BD6D50"/>
    <w:rsid w:val="00BD73D2"/>
    <w:rsid w:val="00BD7808"/>
    <w:rsid w:val="00BE0AD1"/>
    <w:rsid w:val="00BE0EF9"/>
    <w:rsid w:val="00BE10A1"/>
    <w:rsid w:val="00BE18B9"/>
    <w:rsid w:val="00BE190A"/>
    <w:rsid w:val="00BE2495"/>
    <w:rsid w:val="00BE24DD"/>
    <w:rsid w:val="00BE2A0D"/>
    <w:rsid w:val="00BE2D28"/>
    <w:rsid w:val="00BE305A"/>
    <w:rsid w:val="00BE380D"/>
    <w:rsid w:val="00BE386D"/>
    <w:rsid w:val="00BE4DA9"/>
    <w:rsid w:val="00BE54BF"/>
    <w:rsid w:val="00BE557B"/>
    <w:rsid w:val="00BE7F5F"/>
    <w:rsid w:val="00BF02C8"/>
    <w:rsid w:val="00BF04F1"/>
    <w:rsid w:val="00BF1578"/>
    <w:rsid w:val="00BF15CA"/>
    <w:rsid w:val="00BF1D12"/>
    <w:rsid w:val="00BF1D3A"/>
    <w:rsid w:val="00BF2B5B"/>
    <w:rsid w:val="00BF2D41"/>
    <w:rsid w:val="00BF3274"/>
    <w:rsid w:val="00BF32DC"/>
    <w:rsid w:val="00BF35C9"/>
    <w:rsid w:val="00BF3D31"/>
    <w:rsid w:val="00BF4329"/>
    <w:rsid w:val="00BF4C7A"/>
    <w:rsid w:val="00BF4E0C"/>
    <w:rsid w:val="00BF4E43"/>
    <w:rsid w:val="00BF5C4C"/>
    <w:rsid w:val="00BF71E1"/>
    <w:rsid w:val="00BF77FC"/>
    <w:rsid w:val="00C0011B"/>
    <w:rsid w:val="00C00147"/>
    <w:rsid w:val="00C006D6"/>
    <w:rsid w:val="00C00BD7"/>
    <w:rsid w:val="00C0119D"/>
    <w:rsid w:val="00C01410"/>
    <w:rsid w:val="00C017B3"/>
    <w:rsid w:val="00C02D23"/>
    <w:rsid w:val="00C03796"/>
    <w:rsid w:val="00C03D4D"/>
    <w:rsid w:val="00C044F4"/>
    <w:rsid w:val="00C04B78"/>
    <w:rsid w:val="00C052AA"/>
    <w:rsid w:val="00C06CA1"/>
    <w:rsid w:val="00C06EE3"/>
    <w:rsid w:val="00C07279"/>
    <w:rsid w:val="00C073F7"/>
    <w:rsid w:val="00C07749"/>
    <w:rsid w:val="00C07C67"/>
    <w:rsid w:val="00C1117E"/>
    <w:rsid w:val="00C11244"/>
    <w:rsid w:val="00C11D48"/>
    <w:rsid w:val="00C12304"/>
    <w:rsid w:val="00C12316"/>
    <w:rsid w:val="00C1246C"/>
    <w:rsid w:val="00C144B0"/>
    <w:rsid w:val="00C1493E"/>
    <w:rsid w:val="00C14E1F"/>
    <w:rsid w:val="00C15407"/>
    <w:rsid w:val="00C15DBD"/>
    <w:rsid w:val="00C161C5"/>
    <w:rsid w:val="00C167F9"/>
    <w:rsid w:val="00C172F7"/>
    <w:rsid w:val="00C2010D"/>
    <w:rsid w:val="00C20CB5"/>
    <w:rsid w:val="00C21430"/>
    <w:rsid w:val="00C216DF"/>
    <w:rsid w:val="00C21E61"/>
    <w:rsid w:val="00C21F94"/>
    <w:rsid w:val="00C224BD"/>
    <w:rsid w:val="00C234DB"/>
    <w:rsid w:val="00C23C5C"/>
    <w:rsid w:val="00C2479A"/>
    <w:rsid w:val="00C24903"/>
    <w:rsid w:val="00C2590D"/>
    <w:rsid w:val="00C25D9C"/>
    <w:rsid w:val="00C274D1"/>
    <w:rsid w:val="00C27913"/>
    <w:rsid w:val="00C27FA7"/>
    <w:rsid w:val="00C300E2"/>
    <w:rsid w:val="00C31F21"/>
    <w:rsid w:val="00C32631"/>
    <w:rsid w:val="00C33301"/>
    <w:rsid w:val="00C33311"/>
    <w:rsid w:val="00C336F0"/>
    <w:rsid w:val="00C33B68"/>
    <w:rsid w:val="00C34AD4"/>
    <w:rsid w:val="00C35570"/>
    <w:rsid w:val="00C35A2A"/>
    <w:rsid w:val="00C36A79"/>
    <w:rsid w:val="00C401A9"/>
    <w:rsid w:val="00C401D2"/>
    <w:rsid w:val="00C4031A"/>
    <w:rsid w:val="00C405D4"/>
    <w:rsid w:val="00C419D5"/>
    <w:rsid w:val="00C41D54"/>
    <w:rsid w:val="00C428FC"/>
    <w:rsid w:val="00C42EBB"/>
    <w:rsid w:val="00C43839"/>
    <w:rsid w:val="00C43A5F"/>
    <w:rsid w:val="00C4513B"/>
    <w:rsid w:val="00C475E8"/>
    <w:rsid w:val="00C47900"/>
    <w:rsid w:val="00C50E79"/>
    <w:rsid w:val="00C5197D"/>
    <w:rsid w:val="00C525FB"/>
    <w:rsid w:val="00C5390B"/>
    <w:rsid w:val="00C53F2B"/>
    <w:rsid w:val="00C54257"/>
    <w:rsid w:val="00C545DE"/>
    <w:rsid w:val="00C54697"/>
    <w:rsid w:val="00C550CE"/>
    <w:rsid w:val="00C553A5"/>
    <w:rsid w:val="00C55402"/>
    <w:rsid w:val="00C5571B"/>
    <w:rsid w:val="00C5603B"/>
    <w:rsid w:val="00C60AE3"/>
    <w:rsid w:val="00C618D5"/>
    <w:rsid w:val="00C61F47"/>
    <w:rsid w:val="00C62828"/>
    <w:rsid w:val="00C64C25"/>
    <w:rsid w:val="00C661B4"/>
    <w:rsid w:val="00C706D2"/>
    <w:rsid w:val="00C708AA"/>
    <w:rsid w:val="00C715CC"/>
    <w:rsid w:val="00C719A3"/>
    <w:rsid w:val="00C71C93"/>
    <w:rsid w:val="00C71D2F"/>
    <w:rsid w:val="00C72133"/>
    <w:rsid w:val="00C72984"/>
    <w:rsid w:val="00C73885"/>
    <w:rsid w:val="00C73C93"/>
    <w:rsid w:val="00C7435A"/>
    <w:rsid w:val="00C747B1"/>
    <w:rsid w:val="00C747B4"/>
    <w:rsid w:val="00C75510"/>
    <w:rsid w:val="00C755F9"/>
    <w:rsid w:val="00C75752"/>
    <w:rsid w:val="00C75B60"/>
    <w:rsid w:val="00C761EC"/>
    <w:rsid w:val="00C770C9"/>
    <w:rsid w:val="00C77569"/>
    <w:rsid w:val="00C807F6"/>
    <w:rsid w:val="00C81070"/>
    <w:rsid w:val="00C8174E"/>
    <w:rsid w:val="00C82191"/>
    <w:rsid w:val="00C83134"/>
    <w:rsid w:val="00C831E7"/>
    <w:rsid w:val="00C832F3"/>
    <w:rsid w:val="00C84307"/>
    <w:rsid w:val="00C845A4"/>
    <w:rsid w:val="00C85545"/>
    <w:rsid w:val="00C855B5"/>
    <w:rsid w:val="00C85F0E"/>
    <w:rsid w:val="00C86FFC"/>
    <w:rsid w:val="00C872AA"/>
    <w:rsid w:val="00C90CF4"/>
    <w:rsid w:val="00C91C20"/>
    <w:rsid w:val="00C922DE"/>
    <w:rsid w:val="00C92843"/>
    <w:rsid w:val="00C92EB6"/>
    <w:rsid w:val="00C93389"/>
    <w:rsid w:val="00C9364A"/>
    <w:rsid w:val="00C948E6"/>
    <w:rsid w:val="00C9491D"/>
    <w:rsid w:val="00C94CDD"/>
    <w:rsid w:val="00C97588"/>
    <w:rsid w:val="00CA0346"/>
    <w:rsid w:val="00CA0DA1"/>
    <w:rsid w:val="00CA1BD6"/>
    <w:rsid w:val="00CA25CF"/>
    <w:rsid w:val="00CA375D"/>
    <w:rsid w:val="00CA37FF"/>
    <w:rsid w:val="00CA423A"/>
    <w:rsid w:val="00CA47BC"/>
    <w:rsid w:val="00CA5EAD"/>
    <w:rsid w:val="00CA644C"/>
    <w:rsid w:val="00CA6AB4"/>
    <w:rsid w:val="00CA6B65"/>
    <w:rsid w:val="00CA7255"/>
    <w:rsid w:val="00CB1BEE"/>
    <w:rsid w:val="00CB2351"/>
    <w:rsid w:val="00CB28DB"/>
    <w:rsid w:val="00CB4022"/>
    <w:rsid w:val="00CB4193"/>
    <w:rsid w:val="00CB4930"/>
    <w:rsid w:val="00CB4BA9"/>
    <w:rsid w:val="00CB4C63"/>
    <w:rsid w:val="00CB56C8"/>
    <w:rsid w:val="00CB5A48"/>
    <w:rsid w:val="00CB5E10"/>
    <w:rsid w:val="00CB613B"/>
    <w:rsid w:val="00CB6152"/>
    <w:rsid w:val="00CB64E1"/>
    <w:rsid w:val="00CB67CD"/>
    <w:rsid w:val="00CB6E4D"/>
    <w:rsid w:val="00CC009B"/>
    <w:rsid w:val="00CC0834"/>
    <w:rsid w:val="00CC0AEA"/>
    <w:rsid w:val="00CC20FE"/>
    <w:rsid w:val="00CC225C"/>
    <w:rsid w:val="00CC2E7D"/>
    <w:rsid w:val="00CC5BE8"/>
    <w:rsid w:val="00CC612B"/>
    <w:rsid w:val="00CC655F"/>
    <w:rsid w:val="00CC66F9"/>
    <w:rsid w:val="00CC6C2A"/>
    <w:rsid w:val="00CC6FE5"/>
    <w:rsid w:val="00CC7458"/>
    <w:rsid w:val="00CC76BD"/>
    <w:rsid w:val="00CC7A87"/>
    <w:rsid w:val="00CD0C7F"/>
    <w:rsid w:val="00CD0C9C"/>
    <w:rsid w:val="00CD0D6B"/>
    <w:rsid w:val="00CD1060"/>
    <w:rsid w:val="00CD10A5"/>
    <w:rsid w:val="00CD1129"/>
    <w:rsid w:val="00CD181C"/>
    <w:rsid w:val="00CD1A80"/>
    <w:rsid w:val="00CD1CB5"/>
    <w:rsid w:val="00CD2076"/>
    <w:rsid w:val="00CD24CE"/>
    <w:rsid w:val="00CD29B5"/>
    <w:rsid w:val="00CD2B78"/>
    <w:rsid w:val="00CD38C1"/>
    <w:rsid w:val="00CD3FAB"/>
    <w:rsid w:val="00CD5456"/>
    <w:rsid w:val="00CD5C3E"/>
    <w:rsid w:val="00CD5C57"/>
    <w:rsid w:val="00CD6331"/>
    <w:rsid w:val="00CE14BE"/>
    <w:rsid w:val="00CE17A4"/>
    <w:rsid w:val="00CE1BA9"/>
    <w:rsid w:val="00CE2D8F"/>
    <w:rsid w:val="00CE3532"/>
    <w:rsid w:val="00CE3E48"/>
    <w:rsid w:val="00CE46C0"/>
    <w:rsid w:val="00CE47B8"/>
    <w:rsid w:val="00CE54FD"/>
    <w:rsid w:val="00CE5945"/>
    <w:rsid w:val="00CE62FA"/>
    <w:rsid w:val="00CE63FC"/>
    <w:rsid w:val="00CE670B"/>
    <w:rsid w:val="00CE6833"/>
    <w:rsid w:val="00CE6BF7"/>
    <w:rsid w:val="00CE6D4F"/>
    <w:rsid w:val="00CE7624"/>
    <w:rsid w:val="00CF020B"/>
    <w:rsid w:val="00CF15BF"/>
    <w:rsid w:val="00CF23B7"/>
    <w:rsid w:val="00CF2E4D"/>
    <w:rsid w:val="00CF2ED5"/>
    <w:rsid w:val="00CF399E"/>
    <w:rsid w:val="00CF4205"/>
    <w:rsid w:val="00CF42F0"/>
    <w:rsid w:val="00CF4908"/>
    <w:rsid w:val="00CF51EC"/>
    <w:rsid w:val="00CF545D"/>
    <w:rsid w:val="00CF5873"/>
    <w:rsid w:val="00CF5F83"/>
    <w:rsid w:val="00CF6AB7"/>
    <w:rsid w:val="00CF73AE"/>
    <w:rsid w:val="00CF7777"/>
    <w:rsid w:val="00D00220"/>
    <w:rsid w:val="00D00287"/>
    <w:rsid w:val="00D006D3"/>
    <w:rsid w:val="00D0085A"/>
    <w:rsid w:val="00D01404"/>
    <w:rsid w:val="00D016D4"/>
    <w:rsid w:val="00D0197F"/>
    <w:rsid w:val="00D01B31"/>
    <w:rsid w:val="00D0242D"/>
    <w:rsid w:val="00D02716"/>
    <w:rsid w:val="00D03A72"/>
    <w:rsid w:val="00D040DD"/>
    <w:rsid w:val="00D04134"/>
    <w:rsid w:val="00D045CA"/>
    <w:rsid w:val="00D05C65"/>
    <w:rsid w:val="00D06B56"/>
    <w:rsid w:val="00D06BFD"/>
    <w:rsid w:val="00D06D68"/>
    <w:rsid w:val="00D075BE"/>
    <w:rsid w:val="00D07AFF"/>
    <w:rsid w:val="00D10C15"/>
    <w:rsid w:val="00D11011"/>
    <w:rsid w:val="00D11476"/>
    <w:rsid w:val="00D12C25"/>
    <w:rsid w:val="00D133B4"/>
    <w:rsid w:val="00D136CF"/>
    <w:rsid w:val="00D13986"/>
    <w:rsid w:val="00D14C5B"/>
    <w:rsid w:val="00D15FED"/>
    <w:rsid w:val="00D16712"/>
    <w:rsid w:val="00D214EF"/>
    <w:rsid w:val="00D215B0"/>
    <w:rsid w:val="00D21D6D"/>
    <w:rsid w:val="00D21D83"/>
    <w:rsid w:val="00D21F55"/>
    <w:rsid w:val="00D22A47"/>
    <w:rsid w:val="00D235B7"/>
    <w:rsid w:val="00D23FAE"/>
    <w:rsid w:val="00D245B3"/>
    <w:rsid w:val="00D2534D"/>
    <w:rsid w:val="00D25E5A"/>
    <w:rsid w:val="00D25F28"/>
    <w:rsid w:val="00D26071"/>
    <w:rsid w:val="00D260C7"/>
    <w:rsid w:val="00D269B9"/>
    <w:rsid w:val="00D27973"/>
    <w:rsid w:val="00D27F3A"/>
    <w:rsid w:val="00D30490"/>
    <w:rsid w:val="00D309E6"/>
    <w:rsid w:val="00D30A7C"/>
    <w:rsid w:val="00D31537"/>
    <w:rsid w:val="00D31E1E"/>
    <w:rsid w:val="00D31EB3"/>
    <w:rsid w:val="00D322A0"/>
    <w:rsid w:val="00D32824"/>
    <w:rsid w:val="00D334E2"/>
    <w:rsid w:val="00D350B1"/>
    <w:rsid w:val="00D35AD6"/>
    <w:rsid w:val="00D35BBB"/>
    <w:rsid w:val="00D35E1A"/>
    <w:rsid w:val="00D36B0A"/>
    <w:rsid w:val="00D36DFB"/>
    <w:rsid w:val="00D36E1C"/>
    <w:rsid w:val="00D373AF"/>
    <w:rsid w:val="00D40556"/>
    <w:rsid w:val="00D41F74"/>
    <w:rsid w:val="00D428C8"/>
    <w:rsid w:val="00D43034"/>
    <w:rsid w:val="00D43ED2"/>
    <w:rsid w:val="00D44AC8"/>
    <w:rsid w:val="00D44B44"/>
    <w:rsid w:val="00D50F46"/>
    <w:rsid w:val="00D529D0"/>
    <w:rsid w:val="00D52DB5"/>
    <w:rsid w:val="00D535A8"/>
    <w:rsid w:val="00D5384E"/>
    <w:rsid w:val="00D53D59"/>
    <w:rsid w:val="00D544E7"/>
    <w:rsid w:val="00D5499F"/>
    <w:rsid w:val="00D5560A"/>
    <w:rsid w:val="00D56FBF"/>
    <w:rsid w:val="00D57677"/>
    <w:rsid w:val="00D5781F"/>
    <w:rsid w:val="00D60415"/>
    <w:rsid w:val="00D60E3C"/>
    <w:rsid w:val="00D61777"/>
    <w:rsid w:val="00D618F5"/>
    <w:rsid w:val="00D61FAB"/>
    <w:rsid w:val="00D63BE5"/>
    <w:rsid w:val="00D6475F"/>
    <w:rsid w:val="00D655D4"/>
    <w:rsid w:val="00D6581C"/>
    <w:rsid w:val="00D65C90"/>
    <w:rsid w:val="00D66223"/>
    <w:rsid w:val="00D667B8"/>
    <w:rsid w:val="00D67D55"/>
    <w:rsid w:val="00D70289"/>
    <w:rsid w:val="00D70822"/>
    <w:rsid w:val="00D72076"/>
    <w:rsid w:val="00D721B4"/>
    <w:rsid w:val="00D726A9"/>
    <w:rsid w:val="00D72DBA"/>
    <w:rsid w:val="00D73483"/>
    <w:rsid w:val="00D743E0"/>
    <w:rsid w:val="00D7490C"/>
    <w:rsid w:val="00D74E3B"/>
    <w:rsid w:val="00D74F6E"/>
    <w:rsid w:val="00D75AC1"/>
    <w:rsid w:val="00D77252"/>
    <w:rsid w:val="00D807D7"/>
    <w:rsid w:val="00D8084C"/>
    <w:rsid w:val="00D817C9"/>
    <w:rsid w:val="00D81809"/>
    <w:rsid w:val="00D82EF1"/>
    <w:rsid w:val="00D832B9"/>
    <w:rsid w:val="00D83695"/>
    <w:rsid w:val="00D84CC9"/>
    <w:rsid w:val="00D84F43"/>
    <w:rsid w:val="00D85114"/>
    <w:rsid w:val="00D85821"/>
    <w:rsid w:val="00D8598C"/>
    <w:rsid w:val="00D870E5"/>
    <w:rsid w:val="00D87C06"/>
    <w:rsid w:val="00D87E4D"/>
    <w:rsid w:val="00D90B4B"/>
    <w:rsid w:val="00D915EA"/>
    <w:rsid w:val="00D919ED"/>
    <w:rsid w:val="00D92277"/>
    <w:rsid w:val="00D922A1"/>
    <w:rsid w:val="00D928BE"/>
    <w:rsid w:val="00D9317C"/>
    <w:rsid w:val="00D932B8"/>
    <w:rsid w:val="00D940AB"/>
    <w:rsid w:val="00D952A1"/>
    <w:rsid w:val="00D95302"/>
    <w:rsid w:val="00D95889"/>
    <w:rsid w:val="00D95C5D"/>
    <w:rsid w:val="00D97D00"/>
    <w:rsid w:val="00DA096C"/>
    <w:rsid w:val="00DA1AB6"/>
    <w:rsid w:val="00DA1DA5"/>
    <w:rsid w:val="00DA2216"/>
    <w:rsid w:val="00DA2E65"/>
    <w:rsid w:val="00DA328B"/>
    <w:rsid w:val="00DA3ADF"/>
    <w:rsid w:val="00DA4174"/>
    <w:rsid w:val="00DA5181"/>
    <w:rsid w:val="00DA544C"/>
    <w:rsid w:val="00DA5F8E"/>
    <w:rsid w:val="00DA6364"/>
    <w:rsid w:val="00DA6ABA"/>
    <w:rsid w:val="00DA6F48"/>
    <w:rsid w:val="00DA7114"/>
    <w:rsid w:val="00DA7C0C"/>
    <w:rsid w:val="00DB03DD"/>
    <w:rsid w:val="00DB08A9"/>
    <w:rsid w:val="00DB0B33"/>
    <w:rsid w:val="00DB0FD9"/>
    <w:rsid w:val="00DB12BC"/>
    <w:rsid w:val="00DB1FF0"/>
    <w:rsid w:val="00DB2999"/>
    <w:rsid w:val="00DB2DFA"/>
    <w:rsid w:val="00DB2EC8"/>
    <w:rsid w:val="00DB321D"/>
    <w:rsid w:val="00DB3697"/>
    <w:rsid w:val="00DB405C"/>
    <w:rsid w:val="00DB459B"/>
    <w:rsid w:val="00DB47FD"/>
    <w:rsid w:val="00DB5E3A"/>
    <w:rsid w:val="00DB5E9A"/>
    <w:rsid w:val="00DB613B"/>
    <w:rsid w:val="00DB657E"/>
    <w:rsid w:val="00DB7342"/>
    <w:rsid w:val="00DB7489"/>
    <w:rsid w:val="00DC17D0"/>
    <w:rsid w:val="00DC1E5D"/>
    <w:rsid w:val="00DC2783"/>
    <w:rsid w:val="00DC2B41"/>
    <w:rsid w:val="00DC3128"/>
    <w:rsid w:val="00DC435B"/>
    <w:rsid w:val="00DC53D8"/>
    <w:rsid w:val="00DC56FE"/>
    <w:rsid w:val="00DC5B3B"/>
    <w:rsid w:val="00DC5EEF"/>
    <w:rsid w:val="00DC6C2D"/>
    <w:rsid w:val="00DC6C86"/>
    <w:rsid w:val="00DC7B1A"/>
    <w:rsid w:val="00DD04B0"/>
    <w:rsid w:val="00DD0FD2"/>
    <w:rsid w:val="00DD129F"/>
    <w:rsid w:val="00DD13FC"/>
    <w:rsid w:val="00DD1A3F"/>
    <w:rsid w:val="00DD29B5"/>
    <w:rsid w:val="00DD32DD"/>
    <w:rsid w:val="00DD33E8"/>
    <w:rsid w:val="00DD403F"/>
    <w:rsid w:val="00DD5287"/>
    <w:rsid w:val="00DD5B36"/>
    <w:rsid w:val="00DD754E"/>
    <w:rsid w:val="00DD7849"/>
    <w:rsid w:val="00DE03DE"/>
    <w:rsid w:val="00DE0D8B"/>
    <w:rsid w:val="00DE10D3"/>
    <w:rsid w:val="00DE1237"/>
    <w:rsid w:val="00DE140F"/>
    <w:rsid w:val="00DE15D5"/>
    <w:rsid w:val="00DE17E9"/>
    <w:rsid w:val="00DE2491"/>
    <w:rsid w:val="00DE3A05"/>
    <w:rsid w:val="00DE450F"/>
    <w:rsid w:val="00DE5CA6"/>
    <w:rsid w:val="00DE5DAF"/>
    <w:rsid w:val="00DE7AC8"/>
    <w:rsid w:val="00DE7F5A"/>
    <w:rsid w:val="00DF0830"/>
    <w:rsid w:val="00DF132C"/>
    <w:rsid w:val="00DF2C5D"/>
    <w:rsid w:val="00DF3643"/>
    <w:rsid w:val="00DF42FF"/>
    <w:rsid w:val="00DF4369"/>
    <w:rsid w:val="00DF4423"/>
    <w:rsid w:val="00DF4ADF"/>
    <w:rsid w:val="00DF5472"/>
    <w:rsid w:val="00DF57D6"/>
    <w:rsid w:val="00DF5D1E"/>
    <w:rsid w:val="00DF62FA"/>
    <w:rsid w:val="00DF6ABF"/>
    <w:rsid w:val="00DF77E4"/>
    <w:rsid w:val="00DF7F88"/>
    <w:rsid w:val="00E00B88"/>
    <w:rsid w:val="00E01C0E"/>
    <w:rsid w:val="00E0368F"/>
    <w:rsid w:val="00E03D73"/>
    <w:rsid w:val="00E03F9A"/>
    <w:rsid w:val="00E040DA"/>
    <w:rsid w:val="00E04694"/>
    <w:rsid w:val="00E079DE"/>
    <w:rsid w:val="00E07E59"/>
    <w:rsid w:val="00E07F2A"/>
    <w:rsid w:val="00E1168B"/>
    <w:rsid w:val="00E12191"/>
    <w:rsid w:val="00E129E7"/>
    <w:rsid w:val="00E12ABE"/>
    <w:rsid w:val="00E12B1E"/>
    <w:rsid w:val="00E135EB"/>
    <w:rsid w:val="00E13718"/>
    <w:rsid w:val="00E13995"/>
    <w:rsid w:val="00E1444C"/>
    <w:rsid w:val="00E16CD7"/>
    <w:rsid w:val="00E17262"/>
    <w:rsid w:val="00E17F36"/>
    <w:rsid w:val="00E20016"/>
    <w:rsid w:val="00E2009B"/>
    <w:rsid w:val="00E20BB9"/>
    <w:rsid w:val="00E20BCC"/>
    <w:rsid w:val="00E2182D"/>
    <w:rsid w:val="00E2251C"/>
    <w:rsid w:val="00E22F57"/>
    <w:rsid w:val="00E2363D"/>
    <w:rsid w:val="00E23C6A"/>
    <w:rsid w:val="00E2484B"/>
    <w:rsid w:val="00E253A2"/>
    <w:rsid w:val="00E260F6"/>
    <w:rsid w:val="00E269D0"/>
    <w:rsid w:val="00E27127"/>
    <w:rsid w:val="00E27233"/>
    <w:rsid w:val="00E274BB"/>
    <w:rsid w:val="00E30F15"/>
    <w:rsid w:val="00E31771"/>
    <w:rsid w:val="00E3186D"/>
    <w:rsid w:val="00E31A3E"/>
    <w:rsid w:val="00E32080"/>
    <w:rsid w:val="00E32778"/>
    <w:rsid w:val="00E32837"/>
    <w:rsid w:val="00E3309D"/>
    <w:rsid w:val="00E340FA"/>
    <w:rsid w:val="00E34E3F"/>
    <w:rsid w:val="00E350B1"/>
    <w:rsid w:val="00E35A53"/>
    <w:rsid w:val="00E3634A"/>
    <w:rsid w:val="00E3656B"/>
    <w:rsid w:val="00E3712B"/>
    <w:rsid w:val="00E3724A"/>
    <w:rsid w:val="00E378B1"/>
    <w:rsid w:val="00E37FB6"/>
    <w:rsid w:val="00E417BE"/>
    <w:rsid w:val="00E41CD5"/>
    <w:rsid w:val="00E42054"/>
    <w:rsid w:val="00E4372D"/>
    <w:rsid w:val="00E43A9E"/>
    <w:rsid w:val="00E44243"/>
    <w:rsid w:val="00E4439C"/>
    <w:rsid w:val="00E449BA"/>
    <w:rsid w:val="00E453F9"/>
    <w:rsid w:val="00E45D7D"/>
    <w:rsid w:val="00E4623F"/>
    <w:rsid w:val="00E4665D"/>
    <w:rsid w:val="00E47854"/>
    <w:rsid w:val="00E47EBA"/>
    <w:rsid w:val="00E50156"/>
    <w:rsid w:val="00E504EB"/>
    <w:rsid w:val="00E5076C"/>
    <w:rsid w:val="00E50D2E"/>
    <w:rsid w:val="00E50D7D"/>
    <w:rsid w:val="00E51423"/>
    <w:rsid w:val="00E51EF0"/>
    <w:rsid w:val="00E52D68"/>
    <w:rsid w:val="00E53470"/>
    <w:rsid w:val="00E5353B"/>
    <w:rsid w:val="00E5368D"/>
    <w:rsid w:val="00E539F6"/>
    <w:rsid w:val="00E54698"/>
    <w:rsid w:val="00E546EC"/>
    <w:rsid w:val="00E54FB4"/>
    <w:rsid w:val="00E5539A"/>
    <w:rsid w:val="00E55791"/>
    <w:rsid w:val="00E55E1A"/>
    <w:rsid w:val="00E55F64"/>
    <w:rsid w:val="00E56530"/>
    <w:rsid w:val="00E5748E"/>
    <w:rsid w:val="00E578A2"/>
    <w:rsid w:val="00E579ED"/>
    <w:rsid w:val="00E60043"/>
    <w:rsid w:val="00E61708"/>
    <w:rsid w:val="00E61740"/>
    <w:rsid w:val="00E61EB5"/>
    <w:rsid w:val="00E629F7"/>
    <w:rsid w:val="00E6324D"/>
    <w:rsid w:val="00E633BF"/>
    <w:rsid w:val="00E6402D"/>
    <w:rsid w:val="00E649F0"/>
    <w:rsid w:val="00E65084"/>
    <w:rsid w:val="00E6519D"/>
    <w:rsid w:val="00E66062"/>
    <w:rsid w:val="00E6660E"/>
    <w:rsid w:val="00E66768"/>
    <w:rsid w:val="00E67305"/>
    <w:rsid w:val="00E67601"/>
    <w:rsid w:val="00E67696"/>
    <w:rsid w:val="00E70C5F"/>
    <w:rsid w:val="00E71A58"/>
    <w:rsid w:val="00E728D7"/>
    <w:rsid w:val="00E72A26"/>
    <w:rsid w:val="00E72A7A"/>
    <w:rsid w:val="00E7335A"/>
    <w:rsid w:val="00E7467D"/>
    <w:rsid w:val="00E747DC"/>
    <w:rsid w:val="00E74A2D"/>
    <w:rsid w:val="00E75C94"/>
    <w:rsid w:val="00E76A08"/>
    <w:rsid w:val="00E76B9B"/>
    <w:rsid w:val="00E76E61"/>
    <w:rsid w:val="00E77CC0"/>
    <w:rsid w:val="00E80B3D"/>
    <w:rsid w:val="00E80CA3"/>
    <w:rsid w:val="00E82618"/>
    <w:rsid w:val="00E84E09"/>
    <w:rsid w:val="00E85512"/>
    <w:rsid w:val="00E87CE2"/>
    <w:rsid w:val="00E90CA8"/>
    <w:rsid w:val="00E911C6"/>
    <w:rsid w:val="00E930A1"/>
    <w:rsid w:val="00E93820"/>
    <w:rsid w:val="00E93DE5"/>
    <w:rsid w:val="00E94722"/>
    <w:rsid w:val="00E94A86"/>
    <w:rsid w:val="00E9504F"/>
    <w:rsid w:val="00E951AB"/>
    <w:rsid w:val="00E953F6"/>
    <w:rsid w:val="00E96143"/>
    <w:rsid w:val="00E96833"/>
    <w:rsid w:val="00E97506"/>
    <w:rsid w:val="00E975C2"/>
    <w:rsid w:val="00E97BB5"/>
    <w:rsid w:val="00E97F14"/>
    <w:rsid w:val="00EA0122"/>
    <w:rsid w:val="00EA0C68"/>
    <w:rsid w:val="00EA0E39"/>
    <w:rsid w:val="00EA1D0E"/>
    <w:rsid w:val="00EA2072"/>
    <w:rsid w:val="00EA2841"/>
    <w:rsid w:val="00EA32BC"/>
    <w:rsid w:val="00EA35A7"/>
    <w:rsid w:val="00EA3B32"/>
    <w:rsid w:val="00EA3CEB"/>
    <w:rsid w:val="00EA3D05"/>
    <w:rsid w:val="00EA4402"/>
    <w:rsid w:val="00EA4409"/>
    <w:rsid w:val="00EA4B8D"/>
    <w:rsid w:val="00EA5051"/>
    <w:rsid w:val="00EA513E"/>
    <w:rsid w:val="00EA7419"/>
    <w:rsid w:val="00EB0948"/>
    <w:rsid w:val="00EB0E32"/>
    <w:rsid w:val="00EB1FC0"/>
    <w:rsid w:val="00EB3B2B"/>
    <w:rsid w:val="00EB3E60"/>
    <w:rsid w:val="00EB4511"/>
    <w:rsid w:val="00EB48D7"/>
    <w:rsid w:val="00EB49F1"/>
    <w:rsid w:val="00EB4A8E"/>
    <w:rsid w:val="00EB4B8C"/>
    <w:rsid w:val="00EB4BC5"/>
    <w:rsid w:val="00EB5BF7"/>
    <w:rsid w:val="00EB5E79"/>
    <w:rsid w:val="00EB6FAC"/>
    <w:rsid w:val="00EB7BAC"/>
    <w:rsid w:val="00EB7CC9"/>
    <w:rsid w:val="00EC03D7"/>
    <w:rsid w:val="00EC1101"/>
    <w:rsid w:val="00EC13A7"/>
    <w:rsid w:val="00EC1F02"/>
    <w:rsid w:val="00EC2EB6"/>
    <w:rsid w:val="00EC4FFF"/>
    <w:rsid w:val="00EC69A2"/>
    <w:rsid w:val="00EC6D30"/>
    <w:rsid w:val="00EC6E8C"/>
    <w:rsid w:val="00ED0EF0"/>
    <w:rsid w:val="00ED12B9"/>
    <w:rsid w:val="00ED16B8"/>
    <w:rsid w:val="00ED1959"/>
    <w:rsid w:val="00ED1A00"/>
    <w:rsid w:val="00ED1DF0"/>
    <w:rsid w:val="00ED2386"/>
    <w:rsid w:val="00ED2DBD"/>
    <w:rsid w:val="00ED2EA1"/>
    <w:rsid w:val="00ED3851"/>
    <w:rsid w:val="00ED3A8B"/>
    <w:rsid w:val="00ED3E51"/>
    <w:rsid w:val="00ED3F10"/>
    <w:rsid w:val="00ED3F9B"/>
    <w:rsid w:val="00ED451F"/>
    <w:rsid w:val="00ED46F2"/>
    <w:rsid w:val="00ED47EE"/>
    <w:rsid w:val="00ED4D04"/>
    <w:rsid w:val="00ED566D"/>
    <w:rsid w:val="00ED5907"/>
    <w:rsid w:val="00ED5F5B"/>
    <w:rsid w:val="00ED62C6"/>
    <w:rsid w:val="00ED649B"/>
    <w:rsid w:val="00ED64C1"/>
    <w:rsid w:val="00ED781F"/>
    <w:rsid w:val="00EE0E7E"/>
    <w:rsid w:val="00EE249F"/>
    <w:rsid w:val="00EE2EB4"/>
    <w:rsid w:val="00EE3446"/>
    <w:rsid w:val="00EE3E78"/>
    <w:rsid w:val="00EE41FD"/>
    <w:rsid w:val="00EE460E"/>
    <w:rsid w:val="00EE4B1B"/>
    <w:rsid w:val="00EE5572"/>
    <w:rsid w:val="00EE5D97"/>
    <w:rsid w:val="00EE5FBA"/>
    <w:rsid w:val="00EE6E06"/>
    <w:rsid w:val="00EE7179"/>
    <w:rsid w:val="00EF042A"/>
    <w:rsid w:val="00EF0A6D"/>
    <w:rsid w:val="00EF0D90"/>
    <w:rsid w:val="00EF150D"/>
    <w:rsid w:val="00EF1F5A"/>
    <w:rsid w:val="00EF23B5"/>
    <w:rsid w:val="00EF2CA7"/>
    <w:rsid w:val="00EF326A"/>
    <w:rsid w:val="00EF3898"/>
    <w:rsid w:val="00EF3C97"/>
    <w:rsid w:val="00EF47BF"/>
    <w:rsid w:val="00EF52F7"/>
    <w:rsid w:val="00EF59B1"/>
    <w:rsid w:val="00EF5A13"/>
    <w:rsid w:val="00EF5F53"/>
    <w:rsid w:val="00EF5FF9"/>
    <w:rsid w:val="00EF65B5"/>
    <w:rsid w:val="00EF7624"/>
    <w:rsid w:val="00EF77D4"/>
    <w:rsid w:val="00EF7CC7"/>
    <w:rsid w:val="00F00853"/>
    <w:rsid w:val="00F00866"/>
    <w:rsid w:val="00F00EC8"/>
    <w:rsid w:val="00F0160B"/>
    <w:rsid w:val="00F0193E"/>
    <w:rsid w:val="00F01F13"/>
    <w:rsid w:val="00F02982"/>
    <w:rsid w:val="00F03E2F"/>
    <w:rsid w:val="00F03F8D"/>
    <w:rsid w:val="00F04811"/>
    <w:rsid w:val="00F0488C"/>
    <w:rsid w:val="00F073ED"/>
    <w:rsid w:val="00F07C4C"/>
    <w:rsid w:val="00F10F11"/>
    <w:rsid w:val="00F11159"/>
    <w:rsid w:val="00F115E4"/>
    <w:rsid w:val="00F11AC4"/>
    <w:rsid w:val="00F11BD5"/>
    <w:rsid w:val="00F120A5"/>
    <w:rsid w:val="00F12197"/>
    <w:rsid w:val="00F12CFB"/>
    <w:rsid w:val="00F13E60"/>
    <w:rsid w:val="00F13FDB"/>
    <w:rsid w:val="00F15AAA"/>
    <w:rsid w:val="00F15BEF"/>
    <w:rsid w:val="00F1729B"/>
    <w:rsid w:val="00F17898"/>
    <w:rsid w:val="00F204BF"/>
    <w:rsid w:val="00F207C2"/>
    <w:rsid w:val="00F207E5"/>
    <w:rsid w:val="00F209D1"/>
    <w:rsid w:val="00F21337"/>
    <w:rsid w:val="00F219A1"/>
    <w:rsid w:val="00F23E20"/>
    <w:rsid w:val="00F24407"/>
    <w:rsid w:val="00F24FAA"/>
    <w:rsid w:val="00F25040"/>
    <w:rsid w:val="00F25486"/>
    <w:rsid w:val="00F2618F"/>
    <w:rsid w:val="00F26770"/>
    <w:rsid w:val="00F27071"/>
    <w:rsid w:val="00F27331"/>
    <w:rsid w:val="00F276D3"/>
    <w:rsid w:val="00F27EE5"/>
    <w:rsid w:val="00F27FB1"/>
    <w:rsid w:val="00F27FD6"/>
    <w:rsid w:val="00F307CB"/>
    <w:rsid w:val="00F30C65"/>
    <w:rsid w:val="00F321D2"/>
    <w:rsid w:val="00F32649"/>
    <w:rsid w:val="00F32785"/>
    <w:rsid w:val="00F32EC0"/>
    <w:rsid w:val="00F33523"/>
    <w:rsid w:val="00F3364D"/>
    <w:rsid w:val="00F33914"/>
    <w:rsid w:val="00F345C7"/>
    <w:rsid w:val="00F349BF"/>
    <w:rsid w:val="00F34DDC"/>
    <w:rsid w:val="00F36191"/>
    <w:rsid w:val="00F3629F"/>
    <w:rsid w:val="00F36930"/>
    <w:rsid w:val="00F36DF3"/>
    <w:rsid w:val="00F37362"/>
    <w:rsid w:val="00F37EDC"/>
    <w:rsid w:val="00F437CC"/>
    <w:rsid w:val="00F44537"/>
    <w:rsid w:val="00F445EE"/>
    <w:rsid w:val="00F46185"/>
    <w:rsid w:val="00F46423"/>
    <w:rsid w:val="00F4648F"/>
    <w:rsid w:val="00F4696A"/>
    <w:rsid w:val="00F47067"/>
    <w:rsid w:val="00F47234"/>
    <w:rsid w:val="00F47F8D"/>
    <w:rsid w:val="00F51AA9"/>
    <w:rsid w:val="00F51ADD"/>
    <w:rsid w:val="00F525AB"/>
    <w:rsid w:val="00F525EB"/>
    <w:rsid w:val="00F52CB5"/>
    <w:rsid w:val="00F53378"/>
    <w:rsid w:val="00F53A68"/>
    <w:rsid w:val="00F54934"/>
    <w:rsid w:val="00F55A92"/>
    <w:rsid w:val="00F5615B"/>
    <w:rsid w:val="00F568A1"/>
    <w:rsid w:val="00F575D3"/>
    <w:rsid w:val="00F57D57"/>
    <w:rsid w:val="00F62BFF"/>
    <w:rsid w:val="00F63092"/>
    <w:rsid w:val="00F63AAE"/>
    <w:rsid w:val="00F63D6E"/>
    <w:rsid w:val="00F63DDE"/>
    <w:rsid w:val="00F63FB7"/>
    <w:rsid w:val="00F6421B"/>
    <w:rsid w:val="00F647F1"/>
    <w:rsid w:val="00F649D2"/>
    <w:rsid w:val="00F64D5A"/>
    <w:rsid w:val="00F65EB4"/>
    <w:rsid w:val="00F6602B"/>
    <w:rsid w:val="00F6799D"/>
    <w:rsid w:val="00F70D82"/>
    <w:rsid w:val="00F7150B"/>
    <w:rsid w:val="00F717E4"/>
    <w:rsid w:val="00F7189A"/>
    <w:rsid w:val="00F71DE6"/>
    <w:rsid w:val="00F72104"/>
    <w:rsid w:val="00F72662"/>
    <w:rsid w:val="00F72849"/>
    <w:rsid w:val="00F72D71"/>
    <w:rsid w:val="00F7381C"/>
    <w:rsid w:val="00F73A0C"/>
    <w:rsid w:val="00F752DC"/>
    <w:rsid w:val="00F7549F"/>
    <w:rsid w:val="00F756DB"/>
    <w:rsid w:val="00F75E30"/>
    <w:rsid w:val="00F766BE"/>
    <w:rsid w:val="00F767A8"/>
    <w:rsid w:val="00F77590"/>
    <w:rsid w:val="00F82D14"/>
    <w:rsid w:val="00F836DA"/>
    <w:rsid w:val="00F84E7D"/>
    <w:rsid w:val="00F85066"/>
    <w:rsid w:val="00F87A4D"/>
    <w:rsid w:val="00F90AB1"/>
    <w:rsid w:val="00F92623"/>
    <w:rsid w:val="00F93688"/>
    <w:rsid w:val="00F936CF"/>
    <w:rsid w:val="00F939F3"/>
    <w:rsid w:val="00F93C6E"/>
    <w:rsid w:val="00F93F2C"/>
    <w:rsid w:val="00F9533C"/>
    <w:rsid w:val="00F962AD"/>
    <w:rsid w:val="00F9644E"/>
    <w:rsid w:val="00F96E1F"/>
    <w:rsid w:val="00FA00D4"/>
    <w:rsid w:val="00FA0105"/>
    <w:rsid w:val="00FA05A0"/>
    <w:rsid w:val="00FA0AEF"/>
    <w:rsid w:val="00FA17CC"/>
    <w:rsid w:val="00FA1CFE"/>
    <w:rsid w:val="00FA1F01"/>
    <w:rsid w:val="00FA26DF"/>
    <w:rsid w:val="00FA2A90"/>
    <w:rsid w:val="00FA32BC"/>
    <w:rsid w:val="00FA3FA8"/>
    <w:rsid w:val="00FA4059"/>
    <w:rsid w:val="00FA4574"/>
    <w:rsid w:val="00FA48A4"/>
    <w:rsid w:val="00FA4CB7"/>
    <w:rsid w:val="00FA4E3E"/>
    <w:rsid w:val="00FA5112"/>
    <w:rsid w:val="00FA5526"/>
    <w:rsid w:val="00FA5D4D"/>
    <w:rsid w:val="00FA6CB6"/>
    <w:rsid w:val="00FA70D3"/>
    <w:rsid w:val="00FA7AEC"/>
    <w:rsid w:val="00FA7F11"/>
    <w:rsid w:val="00FB0AC3"/>
    <w:rsid w:val="00FB0AEA"/>
    <w:rsid w:val="00FB0EE2"/>
    <w:rsid w:val="00FB1135"/>
    <w:rsid w:val="00FB1A79"/>
    <w:rsid w:val="00FB208B"/>
    <w:rsid w:val="00FB2B2D"/>
    <w:rsid w:val="00FB542E"/>
    <w:rsid w:val="00FB5580"/>
    <w:rsid w:val="00FB564F"/>
    <w:rsid w:val="00FB6532"/>
    <w:rsid w:val="00FB77F5"/>
    <w:rsid w:val="00FB7DBB"/>
    <w:rsid w:val="00FC05F8"/>
    <w:rsid w:val="00FC077B"/>
    <w:rsid w:val="00FC0E5F"/>
    <w:rsid w:val="00FC1266"/>
    <w:rsid w:val="00FC1A95"/>
    <w:rsid w:val="00FC1ED4"/>
    <w:rsid w:val="00FC3BEC"/>
    <w:rsid w:val="00FC3DB2"/>
    <w:rsid w:val="00FC440B"/>
    <w:rsid w:val="00FC4640"/>
    <w:rsid w:val="00FC56DE"/>
    <w:rsid w:val="00FC583C"/>
    <w:rsid w:val="00FC63D9"/>
    <w:rsid w:val="00FC64DE"/>
    <w:rsid w:val="00FC6785"/>
    <w:rsid w:val="00FC684B"/>
    <w:rsid w:val="00FC7D98"/>
    <w:rsid w:val="00FD0344"/>
    <w:rsid w:val="00FD1135"/>
    <w:rsid w:val="00FD1910"/>
    <w:rsid w:val="00FD2D20"/>
    <w:rsid w:val="00FD3265"/>
    <w:rsid w:val="00FD38C6"/>
    <w:rsid w:val="00FD3CF7"/>
    <w:rsid w:val="00FD4916"/>
    <w:rsid w:val="00FD4D12"/>
    <w:rsid w:val="00FD4F73"/>
    <w:rsid w:val="00FD595E"/>
    <w:rsid w:val="00FD7802"/>
    <w:rsid w:val="00FE27C7"/>
    <w:rsid w:val="00FE2BC0"/>
    <w:rsid w:val="00FE2C7E"/>
    <w:rsid w:val="00FE2F78"/>
    <w:rsid w:val="00FE3137"/>
    <w:rsid w:val="00FE346B"/>
    <w:rsid w:val="00FE346F"/>
    <w:rsid w:val="00FE48E4"/>
    <w:rsid w:val="00FE5DC9"/>
    <w:rsid w:val="00FE634C"/>
    <w:rsid w:val="00FE6E69"/>
    <w:rsid w:val="00FE6F59"/>
    <w:rsid w:val="00FF01B6"/>
    <w:rsid w:val="00FF1136"/>
    <w:rsid w:val="00FF3D76"/>
    <w:rsid w:val="00FF5B8C"/>
    <w:rsid w:val="00FF63E6"/>
    <w:rsid w:val="00FF77F9"/>
    <w:rsid w:val="00FF7B9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zabojnikova31519\Documents\Anal&#253;za\Q\2021Q2\Eng\Makroanal&#253;za%20grafy_e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zabojnikova31519\Documents\Anal&#253;za\Q\2021Q2\Eng\Makroanal&#253;za%20grafy_e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zabojnikova31519\Documents\Anal&#253;za\Q\2021Q2\Eng\Makroanal&#253;za%20grafy_e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249577845322527E-2"/>
          <c:y val="2.1811335019919161E-2"/>
          <c:w val="0.92237743255066085"/>
          <c:h val="0.73318107621299466"/>
        </c:manualLayout>
      </c:layout>
      <c:barChart>
        <c:barDir val="col"/>
        <c:grouping val="clustered"/>
        <c:varyColors val="0"/>
        <c:ser>
          <c:idx val="0"/>
          <c:order val="0"/>
          <c:tx>
            <c:strRef>
              <c:f>'Ceny 2'!$C$5</c:f>
              <c:strCache>
                <c:ptCount val="1"/>
                <c:pt idx="0">
                  <c:v>Total</c:v>
                </c:pt>
              </c:strCache>
            </c:strRef>
          </c:tx>
          <c:spPr>
            <a:solidFill>
              <a:schemeClr val="bg1">
                <a:lumMod val="65000"/>
              </a:schemeClr>
            </a:solidFill>
            <a:ln w="19050">
              <a:noFill/>
            </a:ln>
          </c:spPr>
          <c:invertIfNegative val="0"/>
          <c:cat>
            <c:multiLvlStrRef>
              <c:f>'Ceny 2'!$A$22:$B$43</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2016</c:v>
                  </c:pt>
                  <c:pt idx="4">
                    <c:v>2017</c:v>
                  </c:pt>
                  <c:pt idx="8">
                    <c:v>2018</c:v>
                  </c:pt>
                  <c:pt idx="12">
                    <c:v>2019</c:v>
                  </c:pt>
                  <c:pt idx="16">
                    <c:v>2020</c:v>
                  </c:pt>
                  <c:pt idx="20">
                    <c:v>2021</c:v>
                  </c:pt>
                </c:lvl>
              </c:multiLvlStrCache>
            </c:multiLvlStrRef>
          </c:cat>
          <c:val>
            <c:numRef>
              <c:f>'Ceny 2'!$C$22:$C$43</c:f>
              <c:numCache>
                <c:formatCode>0.0</c:formatCode>
                <c:ptCount val="22"/>
                <c:pt idx="0">
                  <c:v>0.5</c:v>
                </c:pt>
                <c:pt idx="1">
                  <c:v>0.20000000000000284</c:v>
                </c:pt>
                <c:pt idx="2">
                  <c:v>0.5</c:v>
                </c:pt>
                <c:pt idx="3">
                  <c:v>1.4000000000000057</c:v>
                </c:pt>
                <c:pt idx="4" formatCode="General">
                  <c:v>2.4000000000000057</c:v>
                </c:pt>
                <c:pt idx="5" formatCode="General">
                  <c:v>2.2000000000000028</c:v>
                </c:pt>
                <c:pt idx="6">
                  <c:v>2.5</c:v>
                </c:pt>
                <c:pt idx="7">
                  <c:v>2.6</c:v>
                </c:pt>
                <c:pt idx="8">
                  <c:v>1.9</c:v>
                </c:pt>
                <c:pt idx="9">
                  <c:v>2.2999999999999998</c:v>
                </c:pt>
                <c:pt idx="10">
                  <c:v>2.4</c:v>
                </c:pt>
                <c:pt idx="11">
                  <c:v>2.1</c:v>
                </c:pt>
                <c:pt idx="12">
                  <c:v>2.7</c:v>
                </c:pt>
                <c:pt idx="13">
                  <c:v>2.8</c:v>
                </c:pt>
                <c:pt idx="14">
                  <c:v>2.8</c:v>
                </c:pt>
                <c:pt idx="15">
                  <c:v>3</c:v>
                </c:pt>
                <c:pt idx="16">
                  <c:v>3.6</c:v>
                </c:pt>
                <c:pt idx="17">
                  <c:v>3.1</c:v>
                </c:pt>
                <c:pt idx="18">
                  <c:v>3.3</c:v>
                </c:pt>
                <c:pt idx="19">
                  <c:v>2.6</c:v>
                </c:pt>
                <c:pt idx="20">
                  <c:v>2.2000000000000002</c:v>
                </c:pt>
                <c:pt idx="21">
                  <c:v>2.9</c:v>
                </c:pt>
              </c:numCache>
            </c:numRef>
          </c:val>
          <c:extLst>
            <c:ext xmlns:c16="http://schemas.microsoft.com/office/drawing/2014/chart" uri="{C3380CC4-5D6E-409C-BE32-E72D297353CC}">
              <c16:uniqueId val="{00000000-8168-4DEA-9626-B78928442E8A}"/>
            </c:ext>
          </c:extLst>
        </c:ser>
        <c:dLbls>
          <c:showLegendKey val="0"/>
          <c:showVal val="0"/>
          <c:showCatName val="0"/>
          <c:showSerName val="0"/>
          <c:showPercent val="0"/>
          <c:showBubbleSize val="0"/>
        </c:dLbls>
        <c:gapWidth val="95"/>
        <c:axId val="130513536"/>
        <c:axId val="130531712"/>
      </c:barChart>
      <c:lineChart>
        <c:grouping val="standard"/>
        <c:varyColors val="0"/>
        <c:ser>
          <c:idx val="1"/>
          <c:order val="1"/>
          <c:tx>
            <c:strRef>
              <c:f>'Ceny 2'!$D$5</c:f>
              <c:strCache>
                <c:ptCount val="1"/>
                <c:pt idx="0">
                  <c:v>Food</c:v>
                </c:pt>
              </c:strCache>
            </c:strRef>
          </c:tx>
          <c:spPr>
            <a:ln w="19050">
              <a:solidFill>
                <a:srgbClr val="0071BC"/>
              </a:solidFill>
            </a:ln>
          </c:spPr>
          <c:marker>
            <c:symbol val="none"/>
          </c:marker>
          <c:cat>
            <c:multiLvlStrRef>
              <c:f>'Ceny 2'!$A$22:$B$43</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2016</c:v>
                  </c:pt>
                  <c:pt idx="4">
                    <c:v>2017</c:v>
                  </c:pt>
                  <c:pt idx="8">
                    <c:v>2018</c:v>
                  </c:pt>
                  <c:pt idx="12">
                    <c:v>2019</c:v>
                  </c:pt>
                  <c:pt idx="16">
                    <c:v>2020</c:v>
                  </c:pt>
                  <c:pt idx="20">
                    <c:v>2021</c:v>
                  </c:pt>
                </c:lvl>
              </c:multiLvlStrCache>
            </c:multiLvlStrRef>
          </c:cat>
          <c:val>
            <c:numRef>
              <c:f>'Ceny 2'!$D$22:$D$43</c:f>
              <c:numCache>
                <c:formatCode>0.0</c:formatCode>
                <c:ptCount val="22"/>
                <c:pt idx="0">
                  <c:v>-1.7000000000000028</c:v>
                </c:pt>
                <c:pt idx="1">
                  <c:v>-2.4000000000000057</c:v>
                </c:pt>
                <c:pt idx="2">
                  <c:v>-0.79999999999999716</c:v>
                </c:pt>
                <c:pt idx="3">
                  <c:v>1.2000000000000028</c:v>
                </c:pt>
                <c:pt idx="4" formatCode="General">
                  <c:v>4.2000000000000028</c:v>
                </c:pt>
                <c:pt idx="5" formatCode="General">
                  <c:v>4.5</c:v>
                </c:pt>
                <c:pt idx="6">
                  <c:v>5.7</c:v>
                </c:pt>
                <c:pt idx="7">
                  <c:v>6.3</c:v>
                </c:pt>
                <c:pt idx="8">
                  <c:v>2.9</c:v>
                </c:pt>
                <c:pt idx="9" formatCode="#\ ##0.0_ ;\-#\ ##0.0\ ">
                  <c:v>2.2999999999999998</c:v>
                </c:pt>
                <c:pt idx="10">
                  <c:v>0.6</c:v>
                </c:pt>
                <c:pt idx="11">
                  <c:v>-0.5</c:v>
                </c:pt>
                <c:pt idx="12">
                  <c:v>1</c:v>
                </c:pt>
                <c:pt idx="13">
                  <c:v>2.5</c:v>
                </c:pt>
                <c:pt idx="14">
                  <c:v>3.5</c:v>
                </c:pt>
                <c:pt idx="15">
                  <c:v>4.3</c:v>
                </c:pt>
                <c:pt idx="16">
                  <c:v>6.1</c:v>
                </c:pt>
                <c:pt idx="17">
                  <c:v>6.5</c:v>
                </c:pt>
                <c:pt idx="18">
                  <c:v>4</c:v>
                </c:pt>
                <c:pt idx="19">
                  <c:v>1.7</c:v>
                </c:pt>
                <c:pt idx="20">
                  <c:v>0.3</c:v>
                </c:pt>
                <c:pt idx="21">
                  <c:v>-0.8</c:v>
                </c:pt>
              </c:numCache>
            </c:numRef>
          </c:val>
          <c:smooth val="0"/>
          <c:extLst>
            <c:ext xmlns:c16="http://schemas.microsoft.com/office/drawing/2014/chart" uri="{C3380CC4-5D6E-409C-BE32-E72D297353CC}">
              <c16:uniqueId val="{00000001-8168-4DEA-9626-B78928442E8A}"/>
            </c:ext>
          </c:extLst>
        </c:ser>
        <c:ser>
          <c:idx val="3"/>
          <c:order val="2"/>
          <c:tx>
            <c:strRef>
              <c:f>'Ceny 2'!$F$5</c:f>
              <c:strCache>
                <c:ptCount val="1"/>
                <c:pt idx="0">
                  <c:v>Housing and energy</c:v>
                </c:pt>
              </c:strCache>
            </c:strRef>
          </c:tx>
          <c:spPr>
            <a:ln w="19050">
              <a:solidFill>
                <a:srgbClr val="7DBB2D"/>
              </a:solidFill>
            </a:ln>
          </c:spPr>
          <c:marker>
            <c:symbol val="none"/>
          </c:marker>
          <c:cat>
            <c:multiLvlStrRef>
              <c:f>'Ceny 2'!$A$22:$B$43</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2016</c:v>
                  </c:pt>
                  <c:pt idx="4">
                    <c:v>2017</c:v>
                  </c:pt>
                  <c:pt idx="8">
                    <c:v>2018</c:v>
                  </c:pt>
                  <c:pt idx="12">
                    <c:v>2019</c:v>
                  </c:pt>
                  <c:pt idx="16">
                    <c:v>2020</c:v>
                  </c:pt>
                  <c:pt idx="20">
                    <c:v>2021</c:v>
                  </c:pt>
                </c:lvl>
              </c:multiLvlStrCache>
            </c:multiLvlStrRef>
          </c:cat>
          <c:val>
            <c:numRef>
              <c:f>'Ceny 2'!$F$22:$F$43</c:f>
              <c:numCache>
                <c:formatCode>0.0</c:formatCode>
                <c:ptCount val="22"/>
                <c:pt idx="0">
                  <c:v>0.90000000000000568</c:v>
                </c:pt>
                <c:pt idx="1">
                  <c:v>0.5</c:v>
                </c:pt>
                <c:pt idx="2">
                  <c:v>0.40000000000000568</c:v>
                </c:pt>
                <c:pt idx="3">
                  <c:v>0.59999999999999432</c:v>
                </c:pt>
                <c:pt idx="4" formatCode="General">
                  <c:v>0.79999999999999716</c:v>
                </c:pt>
                <c:pt idx="5" formatCode="General">
                  <c:v>1.5</c:v>
                </c:pt>
                <c:pt idx="6">
                  <c:v>2.1</c:v>
                </c:pt>
                <c:pt idx="7">
                  <c:v>2.2000000000000002</c:v>
                </c:pt>
                <c:pt idx="8">
                  <c:v>2.2999999999999998</c:v>
                </c:pt>
                <c:pt idx="9">
                  <c:v>2.6</c:v>
                </c:pt>
                <c:pt idx="10">
                  <c:v>3.2</c:v>
                </c:pt>
                <c:pt idx="11">
                  <c:v>3.8</c:v>
                </c:pt>
                <c:pt idx="12">
                  <c:v>5.4</c:v>
                </c:pt>
                <c:pt idx="13">
                  <c:v>5.7</c:v>
                </c:pt>
                <c:pt idx="14">
                  <c:v>5.2</c:v>
                </c:pt>
                <c:pt idx="15">
                  <c:v>5</c:v>
                </c:pt>
                <c:pt idx="16">
                  <c:v>4.2</c:v>
                </c:pt>
                <c:pt idx="17">
                  <c:v>3.2</c:v>
                </c:pt>
                <c:pt idx="18">
                  <c:v>2.7</c:v>
                </c:pt>
                <c:pt idx="19">
                  <c:v>1.4</c:v>
                </c:pt>
                <c:pt idx="20">
                  <c:v>0.6</c:v>
                </c:pt>
                <c:pt idx="21">
                  <c:v>1.3</c:v>
                </c:pt>
              </c:numCache>
            </c:numRef>
          </c:val>
          <c:smooth val="0"/>
          <c:extLst>
            <c:ext xmlns:c16="http://schemas.microsoft.com/office/drawing/2014/chart" uri="{C3380CC4-5D6E-409C-BE32-E72D297353CC}">
              <c16:uniqueId val="{00000002-8168-4DEA-9626-B78928442E8A}"/>
            </c:ext>
          </c:extLst>
        </c:ser>
        <c:ser>
          <c:idx val="4"/>
          <c:order val="3"/>
          <c:tx>
            <c:strRef>
              <c:f>'Ceny 2'!$G$5</c:f>
              <c:strCache>
                <c:ptCount val="1"/>
                <c:pt idx="0">
                  <c:v>Transportation</c:v>
                </c:pt>
              </c:strCache>
            </c:strRef>
          </c:tx>
          <c:spPr>
            <a:ln w="19050">
              <a:solidFill>
                <a:srgbClr val="FFC000"/>
              </a:solidFill>
            </a:ln>
          </c:spPr>
          <c:marker>
            <c:symbol val="none"/>
          </c:marker>
          <c:cat>
            <c:multiLvlStrRef>
              <c:f>'Ceny 2'!$A$22:$B$43</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2016</c:v>
                  </c:pt>
                  <c:pt idx="4">
                    <c:v>2017</c:v>
                  </c:pt>
                  <c:pt idx="8">
                    <c:v>2018</c:v>
                  </c:pt>
                  <c:pt idx="12">
                    <c:v>2019</c:v>
                  </c:pt>
                  <c:pt idx="16">
                    <c:v>2020</c:v>
                  </c:pt>
                  <c:pt idx="20">
                    <c:v>2021</c:v>
                  </c:pt>
                </c:lvl>
              </c:multiLvlStrCache>
            </c:multiLvlStrRef>
          </c:cat>
          <c:val>
            <c:numRef>
              <c:f>'Ceny 2'!$G$22:$G$43</c:f>
              <c:numCache>
                <c:formatCode>General</c:formatCode>
                <c:ptCount val="22"/>
                <c:pt idx="0">
                  <c:v>-2.7000000000000028</c:v>
                </c:pt>
                <c:pt idx="1">
                  <c:v>-2.9000000000000057</c:v>
                </c:pt>
                <c:pt idx="2">
                  <c:v>-2.2999999999999972</c:v>
                </c:pt>
                <c:pt idx="3">
                  <c:v>1.0999999999999943</c:v>
                </c:pt>
                <c:pt idx="4">
                  <c:v>6</c:v>
                </c:pt>
                <c:pt idx="5">
                  <c:v>3.9000000000000057</c:v>
                </c:pt>
                <c:pt idx="6" formatCode="0.0">
                  <c:v>2.5</c:v>
                </c:pt>
                <c:pt idx="7" formatCode="0.0">
                  <c:v>2.5</c:v>
                </c:pt>
                <c:pt idx="8" formatCode="0.0">
                  <c:v>1</c:v>
                </c:pt>
                <c:pt idx="9" formatCode="0.0">
                  <c:v>3</c:v>
                </c:pt>
                <c:pt idx="10" formatCode="0.0">
                  <c:v>4.5</c:v>
                </c:pt>
                <c:pt idx="11" formatCode="0.0">
                  <c:v>2.6</c:v>
                </c:pt>
                <c:pt idx="12" formatCode="0.0">
                  <c:v>0.6</c:v>
                </c:pt>
                <c:pt idx="13" formatCode="0.0">
                  <c:v>0.8</c:v>
                </c:pt>
                <c:pt idx="14" formatCode="0.0">
                  <c:v>-0.2</c:v>
                </c:pt>
                <c:pt idx="15" formatCode="0.0">
                  <c:v>0.5</c:v>
                </c:pt>
                <c:pt idx="16">
                  <c:v>1.7</c:v>
                </c:pt>
                <c:pt idx="17" formatCode="0.0">
                  <c:v>-3.4</c:v>
                </c:pt>
                <c:pt idx="18" formatCode="0.0">
                  <c:v>-0.2</c:v>
                </c:pt>
                <c:pt idx="19" formatCode="0.0">
                  <c:v>0.6</c:v>
                </c:pt>
                <c:pt idx="20" formatCode="0.0">
                  <c:v>2.4</c:v>
                </c:pt>
                <c:pt idx="21" formatCode="0.0">
                  <c:v>9.1</c:v>
                </c:pt>
              </c:numCache>
            </c:numRef>
          </c:val>
          <c:smooth val="0"/>
          <c:extLst>
            <c:ext xmlns:c16="http://schemas.microsoft.com/office/drawing/2014/chart" uri="{C3380CC4-5D6E-409C-BE32-E72D297353CC}">
              <c16:uniqueId val="{00000003-8168-4DEA-9626-B78928442E8A}"/>
            </c:ext>
          </c:extLst>
        </c:ser>
        <c:ser>
          <c:idx val="5"/>
          <c:order val="4"/>
          <c:tx>
            <c:strRef>
              <c:f>'Ceny 2'!$E$5</c:f>
              <c:strCache>
                <c:ptCount val="1"/>
                <c:pt idx="0">
                  <c:v>Alcoholic beverages and tobacco</c:v>
                </c:pt>
              </c:strCache>
            </c:strRef>
          </c:tx>
          <c:spPr>
            <a:ln w="22225">
              <a:solidFill>
                <a:schemeClr val="accent2"/>
              </a:solidFill>
            </a:ln>
          </c:spPr>
          <c:marker>
            <c:symbol val="none"/>
          </c:marker>
          <c:cat>
            <c:multiLvlStrRef>
              <c:f>'Ceny 2'!$A$22:$B$43</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2016</c:v>
                  </c:pt>
                  <c:pt idx="4">
                    <c:v>2017</c:v>
                  </c:pt>
                  <c:pt idx="8">
                    <c:v>2018</c:v>
                  </c:pt>
                  <c:pt idx="12">
                    <c:v>2019</c:v>
                  </c:pt>
                  <c:pt idx="16">
                    <c:v>2020</c:v>
                  </c:pt>
                  <c:pt idx="20">
                    <c:v>2021</c:v>
                  </c:pt>
                </c:lvl>
              </c:multiLvlStrCache>
            </c:multiLvlStrRef>
          </c:cat>
          <c:val>
            <c:numRef>
              <c:f>'Ceny 2'!$E$22:$E$43</c:f>
              <c:numCache>
                <c:formatCode>0.0</c:formatCode>
                <c:ptCount val="22"/>
                <c:pt idx="0">
                  <c:v>3.5</c:v>
                </c:pt>
                <c:pt idx="1">
                  <c:v>4.4000000000000057</c:v>
                </c:pt>
                <c:pt idx="2">
                  <c:v>4.5</c:v>
                </c:pt>
                <c:pt idx="3">
                  <c:v>5.2000000000000028</c:v>
                </c:pt>
                <c:pt idx="4" formatCode="General">
                  <c:v>3.4000000000000057</c:v>
                </c:pt>
                <c:pt idx="5" formatCode="General">
                  <c:v>0.79999999999999716</c:v>
                </c:pt>
                <c:pt idx="6">
                  <c:v>1.3</c:v>
                </c:pt>
                <c:pt idx="7">
                  <c:v>1.5</c:v>
                </c:pt>
                <c:pt idx="8">
                  <c:v>2.5</c:v>
                </c:pt>
                <c:pt idx="9">
                  <c:v>3.6</c:v>
                </c:pt>
                <c:pt idx="10">
                  <c:v>2.8</c:v>
                </c:pt>
                <c:pt idx="11">
                  <c:v>3.1</c:v>
                </c:pt>
                <c:pt idx="12">
                  <c:v>3.3</c:v>
                </c:pt>
                <c:pt idx="13">
                  <c:v>1.7</c:v>
                </c:pt>
                <c:pt idx="14">
                  <c:v>1.9</c:v>
                </c:pt>
                <c:pt idx="15">
                  <c:v>1.8</c:v>
                </c:pt>
                <c:pt idx="16" formatCode="General">
                  <c:v>3.5</c:v>
                </c:pt>
                <c:pt idx="17">
                  <c:v>6.6</c:v>
                </c:pt>
                <c:pt idx="18">
                  <c:v>10.3</c:v>
                </c:pt>
                <c:pt idx="19">
                  <c:v>9.9</c:v>
                </c:pt>
                <c:pt idx="20">
                  <c:v>9.9</c:v>
                </c:pt>
                <c:pt idx="21">
                  <c:v>9.8000000000000007</c:v>
                </c:pt>
              </c:numCache>
            </c:numRef>
          </c:val>
          <c:smooth val="0"/>
          <c:extLst>
            <c:ext xmlns:c16="http://schemas.microsoft.com/office/drawing/2014/chart" uri="{C3380CC4-5D6E-409C-BE32-E72D297353CC}">
              <c16:uniqueId val="{00000004-8168-4DEA-9626-B78928442E8A}"/>
            </c:ext>
          </c:extLst>
        </c:ser>
        <c:ser>
          <c:idx val="2"/>
          <c:order val="5"/>
          <c:tx>
            <c:strRef>
              <c:f>'Ceny 2'!$H$5</c:f>
              <c:strCache>
                <c:ptCount val="1"/>
                <c:pt idx="0">
                  <c:v>Restaurants and hotels</c:v>
                </c:pt>
              </c:strCache>
              <c:extLst xmlns:c15="http://schemas.microsoft.com/office/drawing/2012/chart"/>
            </c:strRef>
          </c:tx>
          <c:spPr>
            <a:ln w="19050">
              <a:solidFill>
                <a:srgbClr val="7030A0"/>
              </a:solidFill>
            </a:ln>
          </c:spPr>
          <c:marker>
            <c:symbol val="none"/>
          </c:marker>
          <c:cat>
            <c:multiLvlStrRef>
              <c:f>'Ceny 2'!$A$22:$B$43</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2016</c:v>
                  </c:pt>
                  <c:pt idx="4">
                    <c:v>2017</c:v>
                  </c:pt>
                  <c:pt idx="8">
                    <c:v>2018</c:v>
                  </c:pt>
                  <c:pt idx="12">
                    <c:v>2019</c:v>
                  </c:pt>
                  <c:pt idx="16">
                    <c:v>2020</c:v>
                  </c:pt>
                  <c:pt idx="20">
                    <c:v>2021</c:v>
                  </c:pt>
                </c:lvl>
              </c:multiLvlStrCache>
            </c:multiLvlStrRef>
          </c:cat>
          <c:val>
            <c:numRef>
              <c:f>'Ceny 2'!$H$22:$H$43</c:f>
              <c:numCache>
                <c:formatCode>###\ ###\ ##0.0</c:formatCode>
                <c:ptCount val="22"/>
                <c:pt idx="0">
                  <c:v>1.2000000000000028</c:v>
                </c:pt>
                <c:pt idx="1">
                  <c:v>1.0999999999999943</c:v>
                </c:pt>
                <c:pt idx="2">
                  <c:v>1.2000000000000028</c:v>
                </c:pt>
                <c:pt idx="3">
                  <c:v>2.7000000000000028</c:v>
                </c:pt>
                <c:pt idx="4">
                  <c:v>5.2000000000000028</c:v>
                </c:pt>
                <c:pt idx="5">
                  <c:v>5.7999999999999972</c:v>
                </c:pt>
                <c:pt idx="6">
                  <c:v>6.2999999999999972</c:v>
                </c:pt>
                <c:pt idx="7" formatCode="0.0">
                  <c:v>5.6</c:v>
                </c:pt>
                <c:pt idx="8" formatCode="0.0">
                  <c:v>3.5</c:v>
                </c:pt>
                <c:pt idx="9" formatCode="0.0">
                  <c:v>3.6</c:v>
                </c:pt>
                <c:pt idx="10" formatCode="0.0">
                  <c:v>3.5</c:v>
                </c:pt>
                <c:pt idx="11" formatCode="0.0">
                  <c:v>3.7</c:v>
                </c:pt>
                <c:pt idx="12" formatCode="0.0">
                  <c:v>3.8</c:v>
                </c:pt>
                <c:pt idx="13" formatCode="0.0">
                  <c:v>4</c:v>
                </c:pt>
                <c:pt idx="14" formatCode="0.0">
                  <c:v>4.5</c:v>
                </c:pt>
                <c:pt idx="15" formatCode="0.0">
                  <c:v>4.5999999999999996</c:v>
                </c:pt>
                <c:pt idx="16" formatCode="0.0">
                  <c:v>5.5</c:v>
                </c:pt>
                <c:pt idx="17" formatCode="0.0">
                  <c:v>5.0999999999999996</c:v>
                </c:pt>
                <c:pt idx="18" formatCode="0.0">
                  <c:v>4.9000000000000004</c:v>
                </c:pt>
                <c:pt idx="19" formatCode="0.0">
                  <c:v>4.3</c:v>
                </c:pt>
                <c:pt idx="20" formatCode="0.0">
                  <c:v>3</c:v>
                </c:pt>
                <c:pt idx="21" formatCode="0.0">
                  <c:v>2.9</c:v>
                </c:pt>
              </c:numCache>
            </c:numRef>
          </c:val>
          <c:smooth val="0"/>
          <c:extLst xmlns:c15="http://schemas.microsoft.com/office/drawing/2012/chart">
            <c:ext xmlns:c16="http://schemas.microsoft.com/office/drawing/2014/chart" uri="{C3380CC4-5D6E-409C-BE32-E72D297353CC}">
              <c16:uniqueId val="{00000005-8168-4DEA-9626-B78928442E8A}"/>
            </c:ext>
          </c:extLst>
        </c:ser>
        <c:dLbls>
          <c:showLegendKey val="0"/>
          <c:showVal val="0"/>
          <c:showCatName val="0"/>
          <c:showSerName val="0"/>
          <c:showPercent val="0"/>
          <c:showBubbleSize val="0"/>
        </c:dLbls>
        <c:marker val="1"/>
        <c:smooth val="0"/>
        <c:axId val="130513536"/>
        <c:axId val="130531712"/>
        <c:extLst/>
      </c:lineChart>
      <c:catAx>
        <c:axId val="130513536"/>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30531712"/>
        <c:crosses val="autoZero"/>
        <c:auto val="1"/>
        <c:lblAlgn val="ctr"/>
        <c:lblOffset val="100"/>
        <c:noMultiLvlLbl val="0"/>
      </c:catAx>
      <c:valAx>
        <c:axId val="130531712"/>
        <c:scaling>
          <c:orientation val="minMax"/>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30513536"/>
        <c:crosses val="autoZero"/>
        <c:crossBetween val="between"/>
        <c:majorUnit val="1"/>
      </c:valAx>
      <c:spPr>
        <a:ln>
          <a:solidFill>
            <a:schemeClr val="tx1"/>
          </a:solidFill>
        </a:ln>
      </c:spPr>
    </c:plotArea>
    <c:legend>
      <c:legendPos val="b"/>
      <c:layout>
        <c:manualLayout>
          <c:xMode val="edge"/>
          <c:yMode val="edge"/>
          <c:x val="5.6562816616008108E-2"/>
          <c:y val="0.87970674321738151"/>
          <c:w val="0.92175447483958117"/>
          <c:h val="0.1095705279747833"/>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258203189717562E-2"/>
          <c:y val="2.9569886214146503E-2"/>
          <c:w val="0.92637856314472322"/>
          <c:h val="0.73556653157716956"/>
        </c:manualLayout>
      </c:layout>
      <c:barChart>
        <c:barDir val="col"/>
        <c:grouping val="clustered"/>
        <c:varyColors val="0"/>
        <c:ser>
          <c:idx val="0"/>
          <c:order val="0"/>
          <c:tx>
            <c:strRef>
              <c:f>'Ceny 1'!$C$5</c:f>
              <c:strCache>
                <c:ptCount val="1"/>
                <c:pt idx="0">
                  <c:v>Realised prices of older flats, the CR</c:v>
                </c:pt>
              </c:strCache>
            </c:strRef>
          </c:tx>
          <c:spPr>
            <a:solidFill>
              <a:schemeClr val="bg1">
                <a:lumMod val="65000"/>
              </a:schemeClr>
            </a:solidFill>
            <a:ln w="19050">
              <a:noFill/>
            </a:ln>
          </c:spPr>
          <c:invertIfNegative val="0"/>
          <c:cat>
            <c:multiLvlStrRef>
              <c:f>'Ceny 1'!$A$22:$B$43</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2016</c:v>
                  </c:pt>
                  <c:pt idx="4">
                    <c:v>2017</c:v>
                  </c:pt>
                  <c:pt idx="8">
                    <c:v>2018</c:v>
                  </c:pt>
                  <c:pt idx="12">
                    <c:v>2019</c:v>
                  </c:pt>
                  <c:pt idx="16">
                    <c:v>2020</c:v>
                  </c:pt>
                  <c:pt idx="20">
                    <c:v>2021</c:v>
                  </c:pt>
                </c:lvl>
              </c:multiLvlStrCache>
            </c:multiLvlStrRef>
          </c:cat>
          <c:val>
            <c:numRef>
              <c:f>'Ceny 1'!$C$22:$C$43</c:f>
              <c:numCache>
                <c:formatCode>General</c:formatCode>
                <c:ptCount val="22"/>
                <c:pt idx="0">
                  <c:v>8.9000000000000057</c:v>
                </c:pt>
                <c:pt idx="1">
                  <c:v>10.299999999999997</c:v>
                </c:pt>
                <c:pt idx="2">
                  <c:v>12.299999999999997</c:v>
                </c:pt>
                <c:pt idx="3">
                  <c:v>14.599999999999994</c:v>
                </c:pt>
                <c:pt idx="4">
                  <c:v>17.200000000000003</c:v>
                </c:pt>
                <c:pt idx="5">
                  <c:v>18.700000000000003</c:v>
                </c:pt>
                <c:pt idx="6">
                  <c:v>15.799999999999997</c:v>
                </c:pt>
                <c:pt idx="7">
                  <c:v>12</c:v>
                </c:pt>
                <c:pt idx="8">
                  <c:v>9.2000000000000028</c:v>
                </c:pt>
                <c:pt idx="9">
                  <c:v>8</c:v>
                </c:pt>
                <c:pt idx="10">
                  <c:v>9.4000000000000057</c:v>
                </c:pt>
                <c:pt idx="11">
                  <c:v>11.400000000000006</c:v>
                </c:pt>
                <c:pt idx="12">
                  <c:v>11.299999999999997</c:v>
                </c:pt>
                <c:pt idx="13">
                  <c:v>10.599999999999994</c:v>
                </c:pt>
                <c:pt idx="14">
                  <c:v>9.5</c:v>
                </c:pt>
                <c:pt idx="15">
                  <c:v>9.4000000000000057</c:v>
                </c:pt>
                <c:pt idx="16">
                  <c:v>10.599999999999994</c:v>
                </c:pt>
                <c:pt idx="17">
                  <c:v>10.200000000000003</c:v>
                </c:pt>
                <c:pt idx="18">
                  <c:v>11.200000000000003</c:v>
                </c:pt>
                <c:pt idx="19">
                  <c:v>13.299999999999997</c:v>
                </c:pt>
                <c:pt idx="20">
                  <c:v>15.200000000000003</c:v>
                </c:pt>
                <c:pt idx="21">
                  <c:v>17.900000000000006</c:v>
                </c:pt>
              </c:numCache>
            </c:numRef>
          </c:val>
          <c:extLst>
            <c:ext xmlns:c16="http://schemas.microsoft.com/office/drawing/2014/chart" uri="{C3380CC4-5D6E-409C-BE32-E72D297353CC}">
              <c16:uniqueId val="{00000000-FA65-40DF-AD4F-DB47646B8C50}"/>
            </c:ext>
          </c:extLst>
        </c:ser>
        <c:ser>
          <c:idx val="1"/>
          <c:order val="1"/>
          <c:tx>
            <c:strRef>
              <c:f>'Ceny 1'!$D$5</c:f>
              <c:strCache>
                <c:ptCount val="1"/>
                <c:pt idx="0">
                  <c:v>Realised prices of older flats, Prague</c:v>
                </c:pt>
              </c:strCache>
            </c:strRef>
          </c:tx>
          <c:spPr>
            <a:solidFill>
              <a:prstClr val="black">
                <a:lumMod val="50000"/>
                <a:lumOff val="50000"/>
              </a:prstClr>
            </a:solidFill>
            <a:ln w="19050">
              <a:noFill/>
            </a:ln>
          </c:spPr>
          <c:invertIfNegative val="0"/>
          <c:cat>
            <c:multiLvlStrRef>
              <c:f>'Ceny 1'!$A$22:$B$43</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2016</c:v>
                  </c:pt>
                  <c:pt idx="4">
                    <c:v>2017</c:v>
                  </c:pt>
                  <c:pt idx="8">
                    <c:v>2018</c:v>
                  </c:pt>
                  <c:pt idx="12">
                    <c:v>2019</c:v>
                  </c:pt>
                  <c:pt idx="16">
                    <c:v>2020</c:v>
                  </c:pt>
                  <c:pt idx="20">
                    <c:v>2021</c:v>
                  </c:pt>
                </c:lvl>
              </c:multiLvlStrCache>
            </c:multiLvlStrRef>
          </c:cat>
          <c:val>
            <c:numRef>
              <c:f>'Ceny 1'!$D$22:$D$43</c:f>
              <c:numCache>
                <c:formatCode>General</c:formatCode>
                <c:ptCount val="22"/>
                <c:pt idx="0">
                  <c:v>5.7999999999999972</c:v>
                </c:pt>
                <c:pt idx="1">
                  <c:v>7.5</c:v>
                </c:pt>
                <c:pt idx="2">
                  <c:v>9.4000000000000057</c:v>
                </c:pt>
                <c:pt idx="3">
                  <c:v>13.900000000000006</c:v>
                </c:pt>
                <c:pt idx="4">
                  <c:v>16.200000000000003</c:v>
                </c:pt>
                <c:pt idx="5">
                  <c:v>19</c:v>
                </c:pt>
                <c:pt idx="6">
                  <c:v>16.400000000000006</c:v>
                </c:pt>
                <c:pt idx="7">
                  <c:v>11.099999999999994</c:v>
                </c:pt>
                <c:pt idx="8">
                  <c:v>8.2999999999999972</c:v>
                </c:pt>
                <c:pt idx="9">
                  <c:v>4</c:v>
                </c:pt>
                <c:pt idx="10">
                  <c:v>6</c:v>
                </c:pt>
                <c:pt idx="11">
                  <c:v>8.7000000000000028</c:v>
                </c:pt>
                <c:pt idx="12">
                  <c:v>9.4000000000000057</c:v>
                </c:pt>
                <c:pt idx="13">
                  <c:v>8.7000000000000028</c:v>
                </c:pt>
                <c:pt idx="14">
                  <c:v>6.5</c:v>
                </c:pt>
                <c:pt idx="15">
                  <c:v>7.0999999999999943</c:v>
                </c:pt>
                <c:pt idx="16">
                  <c:v>6.2000000000000028</c:v>
                </c:pt>
                <c:pt idx="17">
                  <c:v>8</c:v>
                </c:pt>
                <c:pt idx="18">
                  <c:v>9.4000000000000057</c:v>
                </c:pt>
                <c:pt idx="19">
                  <c:v>10.599999999999994</c:v>
                </c:pt>
                <c:pt idx="20">
                  <c:v>14.299999999999997</c:v>
                </c:pt>
                <c:pt idx="21">
                  <c:v>15.799999999999997</c:v>
                </c:pt>
              </c:numCache>
            </c:numRef>
          </c:val>
          <c:extLst>
            <c:ext xmlns:c16="http://schemas.microsoft.com/office/drawing/2014/chart" uri="{C3380CC4-5D6E-409C-BE32-E72D297353CC}">
              <c16:uniqueId val="{00000001-FA65-40DF-AD4F-DB47646B8C50}"/>
            </c:ext>
          </c:extLst>
        </c:ser>
        <c:dLbls>
          <c:showLegendKey val="0"/>
          <c:showVal val="0"/>
          <c:showCatName val="0"/>
          <c:showSerName val="0"/>
          <c:showPercent val="0"/>
          <c:showBubbleSize val="0"/>
        </c:dLbls>
        <c:gapWidth val="95"/>
        <c:axId val="130418560"/>
        <c:axId val="130420096"/>
      </c:barChart>
      <c:lineChart>
        <c:grouping val="standard"/>
        <c:varyColors val="0"/>
        <c:ser>
          <c:idx val="2"/>
          <c:order val="2"/>
          <c:tx>
            <c:strRef>
              <c:f>'Ceny 1'!$E$5</c:f>
              <c:strCache>
                <c:ptCount val="1"/>
                <c:pt idx="0">
                  <c:v>Catalogue prices of flats, the CR</c:v>
                </c:pt>
              </c:strCache>
            </c:strRef>
          </c:tx>
          <c:spPr>
            <a:ln w="19050">
              <a:solidFill>
                <a:schemeClr val="accent2"/>
              </a:solidFill>
            </a:ln>
          </c:spPr>
          <c:marker>
            <c:symbol val="none"/>
          </c:marker>
          <c:cat>
            <c:multiLvlStrRef>
              <c:f>'Ceny 1'!$A$22:$B$43</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2016</c:v>
                  </c:pt>
                  <c:pt idx="4">
                    <c:v>2017</c:v>
                  </c:pt>
                  <c:pt idx="8">
                    <c:v>2018</c:v>
                  </c:pt>
                  <c:pt idx="12">
                    <c:v>2019</c:v>
                  </c:pt>
                  <c:pt idx="16">
                    <c:v>2020</c:v>
                  </c:pt>
                  <c:pt idx="20">
                    <c:v>2021</c:v>
                  </c:pt>
                </c:lvl>
              </c:multiLvlStrCache>
            </c:multiLvlStrRef>
          </c:cat>
          <c:val>
            <c:numRef>
              <c:f>'Ceny 1'!$E$22:$E$43</c:f>
              <c:numCache>
                <c:formatCode>0.0</c:formatCode>
                <c:ptCount val="22"/>
                <c:pt idx="0">
                  <c:v>10.204081632653043</c:v>
                </c:pt>
                <c:pt idx="1">
                  <c:v>10.321969696969703</c:v>
                </c:pt>
                <c:pt idx="2">
                  <c:v>9.8982423681776197</c:v>
                </c:pt>
                <c:pt idx="3">
                  <c:v>9.918845807033378</c:v>
                </c:pt>
                <c:pt idx="4">
                  <c:v>9.5238095238095184</c:v>
                </c:pt>
                <c:pt idx="5" formatCode="General">
                  <c:v>9.5278969957081472</c:v>
                </c:pt>
                <c:pt idx="6" formatCode="General">
                  <c:v>12.542087542087543</c:v>
                </c:pt>
                <c:pt idx="7" formatCode="General">
                  <c:v>12.469237079573418</c:v>
                </c:pt>
                <c:pt idx="8" formatCode="General">
                  <c:v>12.801932367149746</c:v>
                </c:pt>
                <c:pt idx="9" formatCode="General">
                  <c:v>12.225705329153584</c:v>
                </c:pt>
                <c:pt idx="10" formatCode="General">
                  <c:v>9.498878085265531</c:v>
                </c:pt>
                <c:pt idx="11" formatCode="General">
                  <c:v>8.4609773887673185</c:v>
                </c:pt>
                <c:pt idx="12" formatCode="General">
                  <c:v>7.4232690935046435</c:v>
                </c:pt>
                <c:pt idx="13" formatCode="General">
                  <c:v>5.7262569832402335</c:v>
                </c:pt>
                <c:pt idx="14" formatCode="General">
                  <c:v>5.1912568306010911</c:v>
                </c:pt>
                <c:pt idx="15" formatCode="General">
                  <c:v>5.5144586415601964</c:v>
                </c:pt>
                <c:pt idx="16" formatCode="General">
                  <c:v>6.0465116279069662</c:v>
                </c:pt>
                <c:pt idx="17" formatCode="General">
                  <c:v>7.1334214002641829</c:v>
                </c:pt>
                <c:pt idx="18" formatCode="General">
                  <c:v>7.9870129870129887</c:v>
                </c:pt>
                <c:pt idx="19" formatCode="General">
                  <c:v>7.6481835564053569</c:v>
                </c:pt>
                <c:pt idx="20" formatCode="General">
                  <c:v>7.6441102756892292</c:v>
                </c:pt>
                <c:pt idx="21" formatCode="General">
                  <c:v>7.9531442663378584</c:v>
                </c:pt>
              </c:numCache>
            </c:numRef>
          </c:val>
          <c:smooth val="0"/>
          <c:extLst>
            <c:ext xmlns:c16="http://schemas.microsoft.com/office/drawing/2014/chart" uri="{C3380CC4-5D6E-409C-BE32-E72D297353CC}">
              <c16:uniqueId val="{00000002-FA65-40DF-AD4F-DB47646B8C50}"/>
            </c:ext>
          </c:extLst>
        </c:ser>
        <c:ser>
          <c:idx val="3"/>
          <c:order val="3"/>
          <c:tx>
            <c:strRef>
              <c:f>'Ceny 1'!$F$5</c:f>
              <c:strCache>
                <c:ptCount val="1"/>
                <c:pt idx="0">
                  <c:v>Catalogue prices of flats, Prague</c:v>
                </c:pt>
              </c:strCache>
            </c:strRef>
          </c:tx>
          <c:spPr>
            <a:ln>
              <a:solidFill>
                <a:schemeClr val="accent1"/>
              </a:solidFill>
            </a:ln>
          </c:spPr>
          <c:marker>
            <c:symbol val="none"/>
          </c:marker>
          <c:cat>
            <c:multiLvlStrRef>
              <c:f>'Ceny 1'!$A$22:$B$43</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2016</c:v>
                  </c:pt>
                  <c:pt idx="4">
                    <c:v>2017</c:v>
                  </c:pt>
                  <c:pt idx="8">
                    <c:v>2018</c:v>
                  </c:pt>
                  <c:pt idx="12">
                    <c:v>2019</c:v>
                  </c:pt>
                  <c:pt idx="16">
                    <c:v>2020</c:v>
                  </c:pt>
                  <c:pt idx="20">
                    <c:v>2021</c:v>
                  </c:pt>
                </c:lvl>
              </c:multiLvlStrCache>
            </c:multiLvlStrRef>
          </c:cat>
          <c:val>
            <c:numRef>
              <c:f>'Ceny 1'!$F$22:$F$43</c:f>
              <c:numCache>
                <c:formatCode>0.0</c:formatCode>
                <c:ptCount val="22"/>
                <c:pt idx="0">
                  <c:v>10.196779964221832</c:v>
                </c:pt>
                <c:pt idx="1">
                  <c:v>10.549258936355699</c:v>
                </c:pt>
                <c:pt idx="2">
                  <c:v>9.7706032285471451</c:v>
                </c:pt>
                <c:pt idx="3">
                  <c:v>11.323896752706062</c:v>
                </c:pt>
                <c:pt idx="4">
                  <c:v>13.636363636363626</c:v>
                </c:pt>
                <c:pt idx="5" formatCode="General">
                  <c:v>14.589905362776051</c:v>
                </c:pt>
                <c:pt idx="6" formatCode="General">
                  <c:v>18.266253869969049</c:v>
                </c:pt>
                <c:pt idx="7" formatCode="General">
                  <c:v>18.773373223635019</c:v>
                </c:pt>
                <c:pt idx="8" formatCode="General">
                  <c:v>15.071428571428555</c:v>
                </c:pt>
                <c:pt idx="9" formatCode="General">
                  <c:v>14.24638678596007</c:v>
                </c:pt>
                <c:pt idx="10" formatCode="General">
                  <c:v>10.732984293193695</c:v>
                </c:pt>
                <c:pt idx="11" formatCode="General">
                  <c:v>8.7531486146095574</c:v>
                </c:pt>
                <c:pt idx="12" formatCode="General">
                  <c:v>8.3178150217256359</c:v>
                </c:pt>
                <c:pt idx="13" formatCode="General">
                  <c:v>4.9397590361445651</c:v>
                </c:pt>
                <c:pt idx="14" formatCode="General">
                  <c:v>3.3096926713947994</c:v>
                </c:pt>
                <c:pt idx="15" formatCode="General">
                  <c:v>2.9530978575564575</c:v>
                </c:pt>
                <c:pt idx="16" formatCode="General">
                  <c:v>3.5530085959885298</c:v>
                </c:pt>
                <c:pt idx="17" formatCode="General">
                  <c:v>5.2812858783008068</c:v>
                </c:pt>
                <c:pt idx="18" formatCode="General">
                  <c:v>6.2356979405034281</c:v>
                </c:pt>
                <c:pt idx="19" formatCode="General">
                  <c:v>5.1743532058492718</c:v>
                </c:pt>
                <c:pt idx="20" formatCode="General">
                  <c:v>4.759269507470961</c:v>
                </c:pt>
                <c:pt idx="21" formatCode="General">
                  <c:v>4.5256270447110012</c:v>
                </c:pt>
              </c:numCache>
            </c:numRef>
          </c:val>
          <c:smooth val="0"/>
          <c:extLst>
            <c:ext xmlns:c16="http://schemas.microsoft.com/office/drawing/2014/chart" uri="{C3380CC4-5D6E-409C-BE32-E72D297353CC}">
              <c16:uniqueId val="{00000003-FA65-40DF-AD4F-DB47646B8C50}"/>
            </c:ext>
          </c:extLst>
        </c:ser>
        <c:dLbls>
          <c:showLegendKey val="0"/>
          <c:showVal val="0"/>
          <c:showCatName val="0"/>
          <c:showSerName val="0"/>
          <c:showPercent val="0"/>
          <c:showBubbleSize val="0"/>
        </c:dLbls>
        <c:marker val="1"/>
        <c:smooth val="0"/>
        <c:axId val="130418560"/>
        <c:axId val="130420096"/>
      </c:lineChart>
      <c:catAx>
        <c:axId val="130418560"/>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30420096"/>
        <c:crosses val="autoZero"/>
        <c:auto val="1"/>
        <c:lblAlgn val="ctr"/>
        <c:lblOffset val="100"/>
        <c:noMultiLvlLbl val="0"/>
      </c:catAx>
      <c:valAx>
        <c:axId val="130420096"/>
        <c:scaling>
          <c:orientation val="minMax"/>
          <c:min val="-6"/>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30418560"/>
        <c:crosses val="autoZero"/>
        <c:crossBetween val="between"/>
        <c:majorUnit val="2"/>
      </c:valAx>
      <c:spPr>
        <a:ln>
          <a:solidFill>
            <a:schemeClr val="tx1"/>
          </a:solidFill>
        </a:ln>
      </c:spPr>
    </c:plotArea>
    <c:legend>
      <c:legendPos val="b"/>
      <c:layout>
        <c:manualLayout>
          <c:xMode val="edge"/>
          <c:yMode val="edge"/>
          <c:x val="4.6528021206651497E-2"/>
          <c:y val="0.88817854328492629"/>
          <c:w val="0.9267997314289258"/>
          <c:h val="9.8380614657210319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1707738197712412E-2"/>
          <c:y val="2.1811315924219993E-2"/>
          <c:w val="0.89142432050272657"/>
          <c:h val="0.71663233141956562"/>
        </c:manualLayout>
      </c:layout>
      <c:barChart>
        <c:barDir val="col"/>
        <c:grouping val="clustered"/>
        <c:varyColors val="0"/>
        <c:ser>
          <c:idx val="0"/>
          <c:order val="0"/>
          <c:tx>
            <c:strRef>
              <c:f>'Ceny 4'!$C$5</c:f>
              <c:strCache>
                <c:ptCount val="1"/>
                <c:pt idx="0">
                  <c:v>Total</c:v>
                </c:pt>
              </c:strCache>
            </c:strRef>
          </c:tx>
          <c:spPr>
            <a:solidFill>
              <a:schemeClr val="bg1">
                <a:lumMod val="65000"/>
              </a:schemeClr>
            </a:solidFill>
            <a:ln w="19050">
              <a:noFill/>
            </a:ln>
          </c:spPr>
          <c:invertIfNegative val="0"/>
          <c:cat>
            <c:multiLvlStrRef>
              <c:f>'Ceny 4'!$A$42:$B$107</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2016</c:v>
                  </c:pt>
                  <c:pt idx="12">
                    <c:v>2017</c:v>
                  </c:pt>
                  <c:pt idx="24">
                    <c:v>2018</c:v>
                  </c:pt>
                  <c:pt idx="36">
                    <c:v>2019</c:v>
                  </c:pt>
                  <c:pt idx="48">
                    <c:v>2020</c:v>
                  </c:pt>
                  <c:pt idx="60">
                    <c:v>2021</c:v>
                  </c:pt>
                </c:lvl>
              </c:multiLvlStrCache>
            </c:multiLvlStrRef>
          </c:cat>
          <c:val>
            <c:numRef>
              <c:f>'Ceny 4'!$C$42:$C$107</c:f>
              <c:numCache>
                <c:formatCode>0.0</c:formatCode>
                <c:ptCount val="66"/>
                <c:pt idx="0">
                  <c:v>-3.4000000000000057</c:v>
                </c:pt>
                <c:pt idx="1">
                  <c:v>-4</c:v>
                </c:pt>
                <c:pt idx="2">
                  <c:v>-4.5</c:v>
                </c:pt>
                <c:pt idx="3">
                  <c:v>-4.7000000000000028</c:v>
                </c:pt>
                <c:pt idx="4">
                  <c:v>-4.7999999999999972</c:v>
                </c:pt>
                <c:pt idx="5">
                  <c:v>-4.4000000000000057</c:v>
                </c:pt>
                <c:pt idx="6">
                  <c:v>-4</c:v>
                </c:pt>
                <c:pt idx="7">
                  <c:v>-3.4000000000000057</c:v>
                </c:pt>
                <c:pt idx="8">
                  <c:v>-2.4000000000000057</c:v>
                </c:pt>
                <c:pt idx="9">
                  <c:v>-1.7000000000000028</c:v>
                </c:pt>
                <c:pt idx="10">
                  <c:v>-1.2999999999999972</c:v>
                </c:pt>
                <c:pt idx="11">
                  <c:v>-0.40000000000000568</c:v>
                </c:pt>
                <c:pt idx="12" formatCode="General">
                  <c:v>2.0999999999999943</c:v>
                </c:pt>
                <c:pt idx="13" formatCode="General">
                  <c:v>3.0999999999999943</c:v>
                </c:pt>
                <c:pt idx="14">
                  <c:v>3</c:v>
                </c:pt>
                <c:pt idx="15">
                  <c:v>3.2000000000000028</c:v>
                </c:pt>
                <c:pt idx="16" formatCode="General">
                  <c:v>2.2999999999999972</c:v>
                </c:pt>
                <c:pt idx="17" formatCode="General">
                  <c:v>1.2999999999999972</c:v>
                </c:pt>
                <c:pt idx="18" formatCode="General">
                  <c:v>1.1000000000000001</c:v>
                </c:pt>
                <c:pt idx="19" formatCode="General">
                  <c:v>1.4</c:v>
                </c:pt>
                <c:pt idx="20" formatCode="General">
                  <c:v>1.7</c:v>
                </c:pt>
                <c:pt idx="21" formatCode="General">
                  <c:v>1.1000000000000001</c:v>
                </c:pt>
                <c:pt idx="22" formatCode="General">
                  <c:v>0.9</c:v>
                </c:pt>
                <c:pt idx="23" formatCode="General">
                  <c:v>0.7</c:v>
                </c:pt>
                <c:pt idx="24" formatCode="General">
                  <c:v>0.5</c:v>
                </c:pt>
                <c:pt idx="25" formatCode="General">
                  <c:v>-0.3</c:v>
                </c:pt>
                <c:pt idx="26" formatCode="General">
                  <c:v>0.1</c:v>
                </c:pt>
                <c:pt idx="27" formatCode="General">
                  <c:v>0</c:v>
                </c:pt>
                <c:pt idx="28" formatCode="General">
                  <c:v>1.5</c:v>
                </c:pt>
                <c:pt idx="29" formatCode="General">
                  <c:v>2.9</c:v>
                </c:pt>
                <c:pt idx="30" formatCode="General">
                  <c:v>3.4</c:v>
                </c:pt>
                <c:pt idx="31" formatCode="General">
                  <c:v>3.3</c:v>
                </c:pt>
                <c:pt idx="32" formatCode="General">
                  <c:v>3.2</c:v>
                </c:pt>
                <c:pt idx="33" formatCode="General">
                  <c:v>3.9</c:v>
                </c:pt>
                <c:pt idx="34" formatCode="General">
                  <c:v>3.9</c:v>
                </c:pt>
                <c:pt idx="35" formatCode="General">
                  <c:v>2.4</c:v>
                </c:pt>
                <c:pt idx="36" formatCode="General">
                  <c:v>2.9</c:v>
                </c:pt>
                <c:pt idx="37" formatCode="General">
                  <c:v>3.6</c:v>
                </c:pt>
                <c:pt idx="38" formatCode="General">
                  <c:v>3.8</c:v>
                </c:pt>
                <c:pt idx="39" formatCode="General">
                  <c:v>4.3</c:v>
                </c:pt>
                <c:pt idx="40" formatCode="General">
                  <c:v>3.8</c:v>
                </c:pt>
                <c:pt idx="41" formatCode="General">
                  <c:v>2.5</c:v>
                </c:pt>
                <c:pt idx="42" formatCode="General">
                  <c:v>2.1</c:v>
                </c:pt>
                <c:pt idx="43" formatCode="General">
                  <c:v>2.1</c:v>
                </c:pt>
                <c:pt idx="44" formatCode="General">
                  <c:v>1.9</c:v>
                </c:pt>
                <c:pt idx="45" formatCode="General">
                  <c:v>0.9</c:v>
                </c:pt>
                <c:pt idx="46" formatCode="General">
                  <c:v>0.9</c:v>
                </c:pt>
                <c:pt idx="47" formatCode="General">
                  <c:v>2.1</c:v>
                </c:pt>
                <c:pt idx="48" formatCode="General">
                  <c:v>2.4</c:v>
                </c:pt>
                <c:pt idx="49" formatCode="General">
                  <c:v>1.4</c:v>
                </c:pt>
                <c:pt idx="50" formatCode="General">
                  <c:v>0.4</c:v>
                </c:pt>
                <c:pt idx="51" formatCode="General">
                  <c:v>-0.8</c:v>
                </c:pt>
                <c:pt idx="52" formatCode="General">
                  <c:v>-0.9</c:v>
                </c:pt>
                <c:pt idx="53" formatCode="General">
                  <c:v>-0.3</c:v>
                </c:pt>
                <c:pt idx="54" formatCode="General">
                  <c:v>-0.1</c:v>
                </c:pt>
                <c:pt idx="55" formatCode="General">
                  <c:v>-0.5</c:v>
                </c:pt>
                <c:pt idx="56" formatCode="General">
                  <c:v>-0.4</c:v>
                </c:pt>
                <c:pt idx="57" formatCode="General">
                  <c:v>0.3</c:v>
                </c:pt>
                <c:pt idx="58" formatCode="General">
                  <c:v>-0.1</c:v>
                </c:pt>
                <c:pt idx="59" formatCode="General">
                  <c:v>0</c:v>
                </c:pt>
                <c:pt idx="60" formatCode="General">
                  <c:v>0</c:v>
                </c:pt>
                <c:pt idx="61" formatCode="General">
                  <c:v>1.4</c:v>
                </c:pt>
                <c:pt idx="62" formatCode="General">
                  <c:v>3.3</c:v>
                </c:pt>
                <c:pt idx="63" formatCode="General">
                  <c:v>4.5999999999999996</c:v>
                </c:pt>
                <c:pt idx="64" formatCode="General">
                  <c:v>5.0999999999999996</c:v>
                </c:pt>
                <c:pt idx="65" formatCode="General">
                  <c:v>6.1</c:v>
                </c:pt>
              </c:numCache>
            </c:numRef>
          </c:val>
          <c:extLst>
            <c:ext xmlns:c16="http://schemas.microsoft.com/office/drawing/2014/chart" uri="{C3380CC4-5D6E-409C-BE32-E72D297353CC}">
              <c16:uniqueId val="{00000000-0F94-4FA1-B0C6-2C66C3DA6733}"/>
            </c:ext>
          </c:extLst>
        </c:ser>
        <c:dLbls>
          <c:showLegendKey val="0"/>
          <c:showVal val="0"/>
          <c:showCatName val="0"/>
          <c:showSerName val="0"/>
          <c:showPercent val="0"/>
          <c:showBubbleSize val="0"/>
        </c:dLbls>
        <c:gapWidth val="96"/>
        <c:axId val="119381376"/>
        <c:axId val="130745472"/>
      </c:barChart>
      <c:lineChart>
        <c:grouping val="standard"/>
        <c:varyColors val="0"/>
        <c:ser>
          <c:idx val="1"/>
          <c:order val="1"/>
          <c:tx>
            <c:strRef>
              <c:f>'Ceny 4'!$D$5</c:f>
              <c:strCache>
                <c:ptCount val="1"/>
                <c:pt idx="0">
                  <c:v>Mining and quarrying,</c:v>
                </c:pt>
              </c:strCache>
            </c:strRef>
          </c:tx>
          <c:spPr>
            <a:ln w="19050">
              <a:solidFill>
                <a:srgbClr val="7DBB2D"/>
              </a:solidFill>
            </a:ln>
          </c:spPr>
          <c:marker>
            <c:symbol val="none"/>
          </c:marker>
          <c:cat>
            <c:multiLvlStrRef>
              <c:f>'Ceny 4'!$A$42:$B$107</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2016</c:v>
                  </c:pt>
                  <c:pt idx="12">
                    <c:v>2017</c:v>
                  </c:pt>
                  <c:pt idx="24">
                    <c:v>2018</c:v>
                  </c:pt>
                  <c:pt idx="36">
                    <c:v>2019</c:v>
                  </c:pt>
                  <c:pt idx="48">
                    <c:v>2020</c:v>
                  </c:pt>
                  <c:pt idx="60">
                    <c:v>2021</c:v>
                  </c:pt>
                </c:lvl>
              </c:multiLvlStrCache>
            </c:multiLvlStrRef>
          </c:cat>
          <c:val>
            <c:numRef>
              <c:f>'Ceny 4'!$D$42:$D$107</c:f>
              <c:numCache>
                <c:formatCode>0.0</c:formatCode>
                <c:ptCount val="66"/>
                <c:pt idx="0">
                  <c:v>-6.5999999999999943</c:v>
                </c:pt>
                <c:pt idx="1">
                  <c:v>-6.0999999999999943</c:v>
                </c:pt>
                <c:pt idx="2">
                  <c:v>-6.5</c:v>
                </c:pt>
                <c:pt idx="3">
                  <c:v>-7</c:v>
                </c:pt>
                <c:pt idx="4">
                  <c:v>-7.0999999999999943</c:v>
                </c:pt>
                <c:pt idx="5">
                  <c:v>-7.2999999999999972</c:v>
                </c:pt>
                <c:pt idx="6">
                  <c:v>-6.5999999999999943</c:v>
                </c:pt>
                <c:pt idx="7">
                  <c:v>-6</c:v>
                </c:pt>
                <c:pt idx="8">
                  <c:v>-4.9000000000000057</c:v>
                </c:pt>
                <c:pt idx="9">
                  <c:v>-5.2000000000000028</c:v>
                </c:pt>
                <c:pt idx="10">
                  <c:v>-5.2999999999999972</c:v>
                </c:pt>
                <c:pt idx="11">
                  <c:v>-5.0999999999999943</c:v>
                </c:pt>
                <c:pt idx="12" formatCode="General">
                  <c:v>2.2999999999999972</c:v>
                </c:pt>
                <c:pt idx="13" formatCode="General">
                  <c:v>5.7999999999999972</c:v>
                </c:pt>
                <c:pt idx="14">
                  <c:v>6.2000000000000028</c:v>
                </c:pt>
                <c:pt idx="15">
                  <c:v>6.4000000000000057</c:v>
                </c:pt>
                <c:pt idx="16" formatCode="General">
                  <c:v>4.2999999999999972</c:v>
                </c:pt>
                <c:pt idx="17" formatCode="General">
                  <c:v>4.0999999999999943</c:v>
                </c:pt>
                <c:pt idx="18" formatCode="General">
                  <c:v>2.9</c:v>
                </c:pt>
                <c:pt idx="19" formatCode="General">
                  <c:v>1.7</c:v>
                </c:pt>
                <c:pt idx="20" formatCode="General">
                  <c:v>1.9</c:v>
                </c:pt>
                <c:pt idx="21" formatCode="General">
                  <c:v>3.4</c:v>
                </c:pt>
                <c:pt idx="22" formatCode="General">
                  <c:v>3.3</c:v>
                </c:pt>
                <c:pt idx="23" formatCode="General">
                  <c:v>3.6</c:v>
                </c:pt>
                <c:pt idx="24" formatCode="General">
                  <c:v>6.7</c:v>
                </c:pt>
                <c:pt idx="25" formatCode="General">
                  <c:v>5</c:v>
                </c:pt>
                <c:pt idx="26" formatCode="General">
                  <c:v>4.3</c:v>
                </c:pt>
                <c:pt idx="27" formatCode="General">
                  <c:v>4.5999999999999996</c:v>
                </c:pt>
                <c:pt idx="28" formatCode="General">
                  <c:v>7.4</c:v>
                </c:pt>
                <c:pt idx="29" formatCode="General">
                  <c:v>8</c:v>
                </c:pt>
                <c:pt idx="30" formatCode="General">
                  <c:v>8.4</c:v>
                </c:pt>
                <c:pt idx="31" formatCode="General">
                  <c:v>10.1</c:v>
                </c:pt>
                <c:pt idx="32" formatCode="General">
                  <c:v>9.9</c:v>
                </c:pt>
                <c:pt idx="33" formatCode="General">
                  <c:v>9</c:v>
                </c:pt>
                <c:pt idx="34" formatCode="General">
                  <c:v>9.1999999999999993</c:v>
                </c:pt>
                <c:pt idx="35" formatCode="General">
                  <c:v>8.3000000000000007</c:v>
                </c:pt>
                <c:pt idx="36" formatCode="General">
                  <c:v>7.9</c:v>
                </c:pt>
                <c:pt idx="37" formatCode="General">
                  <c:v>7.4</c:v>
                </c:pt>
                <c:pt idx="38" formatCode="General">
                  <c:v>8</c:v>
                </c:pt>
                <c:pt idx="39" formatCode="General">
                  <c:v>8.4</c:v>
                </c:pt>
                <c:pt idx="40" formatCode="General">
                  <c:v>7.5</c:v>
                </c:pt>
                <c:pt idx="41" formatCode="General">
                  <c:v>7.1</c:v>
                </c:pt>
                <c:pt idx="42" formatCode="General">
                  <c:v>6.9</c:v>
                </c:pt>
                <c:pt idx="43" formatCode="General">
                  <c:v>6.8</c:v>
                </c:pt>
                <c:pt idx="44" formatCode="General">
                  <c:v>6.6</c:v>
                </c:pt>
                <c:pt idx="45" formatCode="General">
                  <c:v>3.6</c:v>
                </c:pt>
                <c:pt idx="46" formatCode="General">
                  <c:v>3.2</c:v>
                </c:pt>
                <c:pt idx="47" formatCode="General">
                  <c:v>4.3</c:v>
                </c:pt>
                <c:pt idx="48" formatCode="General">
                  <c:v>-2.1</c:v>
                </c:pt>
                <c:pt idx="49" formatCode="General">
                  <c:v>-1.8</c:v>
                </c:pt>
                <c:pt idx="50" formatCode="General">
                  <c:v>-2.6</c:v>
                </c:pt>
                <c:pt idx="51" formatCode="General">
                  <c:v>-3.7</c:v>
                </c:pt>
                <c:pt idx="52" formatCode="General">
                  <c:v>-3.1</c:v>
                </c:pt>
                <c:pt idx="53" formatCode="General">
                  <c:v>-3.6</c:v>
                </c:pt>
                <c:pt idx="54" formatCode="General">
                  <c:v>-3.5</c:v>
                </c:pt>
                <c:pt idx="55" formatCode="General">
                  <c:v>-3.5</c:v>
                </c:pt>
                <c:pt idx="56" formatCode="General">
                  <c:v>-3.7</c:v>
                </c:pt>
                <c:pt idx="57" formatCode="General">
                  <c:v>-1.9</c:v>
                </c:pt>
                <c:pt idx="58" formatCode="General">
                  <c:v>-1.8</c:v>
                </c:pt>
                <c:pt idx="59" formatCode="General">
                  <c:v>-2.2000000000000002</c:v>
                </c:pt>
                <c:pt idx="60" formatCode="General">
                  <c:v>-0.3</c:v>
                </c:pt>
                <c:pt idx="61" formatCode="General">
                  <c:v>-0.8</c:v>
                </c:pt>
                <c:pt idx="62" formatCode="General">
                  <c:v>-0.3</c:v>
                </c:pt>
                <c:pt idx="63" formatCode="General">
                  <c:v>1</c:v>
                </c:pt>
                <c:pt idx="64" formatCode="General">
                  <c:v>0.3</c:v>
                </c:pt>
                <c:pt idx="65" formatCode="General">
                  <c:v>1.1000000000000001</c:v>
                </c:pt>
              </c:numCache>
            </c:numRef>
          </c:val>
          <c:smooth val="0"/>
          <c:extLst>
            <c:ext xmlns:c16="http://schemas.microsoft.com/office/drawing/2014/chart" uri="{C3380CC4-5D6E-409C-BE32-E72D297353CC}">
              <c16:uniqueId val="{00000001-0F94-4FA1-B0C6-2C66C3DA6733}"/>
            </c:ext>
          </c:extLst>
        </c:ser>
        <c:ser>
          <c:idx val="2"/>
          <c:order val="2"/>
          <c:tx>
            <c:strRef>
              <c:f>'Ceny 4'!$E$5</c:f>
              <c:strCache>
                <c:ptCount val="1"/>
                <c:pt idx="0">
                  <c:v>Manufacturing</c:v>
                </c:pt>
              </c:strCache>
            </c:strRef>
          </c:tx>
          <c:spPr>
            <a:ln w="19050">
              <a:solidFill>
                <a:srgbClr val="BD1B21"/>
              </a:solidFill>
            </a:ln>
          </c:spPr>
          <c:marker>
            <c:symbol val="none"/>
          </c:marker>
          <c:cat>
            <c:multiLvlStrRef>
              <c:f>'Ceny 4'!$A$42:$B$107</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2016</c:v>
                  </c:pt>
                  <c:pt idx="12">
                    <c:v>2017</c:v>
                  </c:pt>
                  <c:pt idx="24">
                    <c:v>2018</c:v>
                  </c:pt>
                  <c:pt idx="36">
                    <c:v>2019</c:v>
                  </c:pt>
                  <c:pt idx="48">
                    <c:v>2020</c:v>
                  </c:pt>
                  <c:pt idx="60">
                    <c:v>2021</c:v>
                  </c:pt>
                </c:lvl>
              </c:multiLvlStrCache>
            </c:multiLvlStrRef>
          </c:cat>
          <c:val>
            <c:numRef>
              <c:f>'Ceny 4'!$E$42:$E$107</c:f>
              <c:numCache>
                <c:formatCode>0.0</c:formatCode>
                <c:ptCount val="66"/>
                <c:pt idx="0">
                  <c:v>-3.2999999999999972</c:v>
                </c:pt>
                <c:pt idx="1">
                  <c:v>-4.0999999999999943</c:v>
                </c:pt>
                <c:pt idx="2">
                  <c:v>-4.5999999999999943</c:v>
                </c:pt>
                <c:pt idx="3">
                  <c:v>-4.9000000000000057</c:v>
                </c:pt>
                <c:pt idx="4">
                  <c:v>-5</c:v>
                </c:pt>
                <c:pt idx="5">
                  <c:v>-4.5</c:v>
                </c:pt>
                <c:pt idx="6">
                  <c:v>-4</c:v>
                </c:pt>
                <c:pt idx="7">
                  <c:v>-3.2000000000000028</c:v>
                </c:pt>
                <c:pt idx="8">
                  <c:v>-2</c:v>
                </c:pt>
                <c:pt idx="9">
                  <c:v>-1.0999999999999943</c:v>
                </c:pt>
                <c:pt idx="10">
                  <c:v>-0.59999999999999432</c:v>
                </c:pt>
                <c:pt idx="11">
                  <c:v>0.59999999999999432</c:v>
                </c:pt>
                <c:pt idx="12" formatCode="General">
                  <c:v>2.5999999999999943</c:v>
                </c:pt>
                <c:pt idx="13" formatCode="General">
                  <c:v>4</c:v>
                </c:pt>
                <c:pt idx="14">
                  <c:v>3.7999999999999972</c:v>
                </c:pt>
                <c:pt idx="15">
                  <c:v>4</c:v>
                </c:pt>
                <c:pt idx="16" formatCode="General">
                  <c:v>2.7999999999999972</c:v>
                </c:pt>
                <c:pt idx="17" formatCode="General">
                  <c:v>1.5</c:v>
                </c:pt>
                <c:pt idx="18" formatCode="General">
                  <c:v>1.4</c:v>
                </c:pt>
                <c:pt idx="19" formatCode="General">
                  <c:v>2</c:v>
                </c:pt>
                <c:pt idx="20" formatCode="General">
                  <c:v>2.1</c:v>
                </c:pt>
                <c:pt idx="21" formatCode="General">
                  <c:v>1.4</c:v>
                </c:pt>
                <c:pt idx="22" formatCode="General">
                  <c:v>1.1000000000000001</c:v>
                </c:pt>
                <c:pt idx="23" formatCode="General">
                  <c:v>0.9</c:v>
                </c:pt>
                <c:pt idx="24" formatCode="General">
                  <c:v>0.2</c:v>
                </c:pt>
                <c:pt idx="25" formatCode="General">
                  <c:v>-0.9</c:v>
                </c:pt>
                <c:pt idx="26" formatCode="General">
                  <c:v>-0.5</c:v>
                </c:pt>
                <c:pt idx="27" formatCode="General">
                  <c:v>-0.5</c:v>
                </c:pt>
                <c:pt idx="28" formatCode="General">
                  <c:v>1.3</c:v>
                </c:pt>
                <c:pt idx="29" formatCode="General">
                  <c:v>2.8</c:v>
                </c:pt>
                <c:pt idx="30" formatCode="General">
                  <c:v>3.4</c:v>
                </c:pt>
                <c:pt idx="31" formatCode="General">
                  <c:v>3.2</c:v>
                </c:pt>
                <c:pt idx="32" formatCode="General">
                  <c:v>3</c:v>
                </c:pt>
                <c:pt idx="33" formatCode="General">
                  <c:v>3.8</c:v>
                </c:pt>
                <c:pt idx="34" formatCode="General">
                  <c:v>3.9</c:v>
                </c:pt>
                <c:pt idx="35" formatCode="General">
                  <c:v>2.2000000000000002</c:v>
                </c:pt>
                <c:pt idx="36" formatCode="General">
                  <c:v>1.9</c:v>
                </c:pt>
                <c:pt idx="37" formatCode="General">
                  <c:v>2.9</c:v>
                </c:pt>
                <c:pt idx="38" formatCode="General">
                  <c:v>3</c:v>
                </c:pt>
                <c:pt idx="39" formatCode="General">
                  <c:v>3.5</c:v>
                </c:pt>
                <c:pt idx="40" formatCode="General">
                  <c:v>2.9</c:v>
                </c:pt>
                <c:pt idx="41" formatCode="General">
                  <c:v>1.4</c:v>
                </c:pt>
                <c:pt idx="42" formatCode="General">
                  <c:v>0.9</c:v>
                </c:pt>
                <c:pt idx="43" formatCode="General">
                  <c:v>0.8</c:v>
                </c:pt>
                <c:pt idx="44" formatCode="General">
                  <c:v>0.7</c:v>
                </c:pt>
                <c:pt idx="45" formatCode="General">
                  <c:v>-0.4</c:v>
                </c:pt>
                <c:pt idx="46" formatCode="General">
                  <c:v>-0.7</c:v>
                </c:pt>
                <c:pt idx="47" formatCode="General">
                  <c:v>0.8</c:v>
                </c:pt>
                <c:pt idx="48" formatCode="General">
                  <c:v>1.2</c:v>
                </c:pt>
                <c:pt idx="49" formatCode="General">
                  <c:v>-0.1</c:v>
                </c:pt>
                <c:pt idx="50" formatCode="General">
                  <c:v>-1.2</c:v>
                </c:pt>
                <c:pt idx="51" formatCode="General">
                  <c:v>-2.5</c:v>
                </c:pt>
                <c:pt idx="52" formatCode="General">
                  <c:v>-2.6</c:v>
                </c:pt>
                <c:pt idx="53" formatCode="General">
                  <c:v>-1.9</c:v>
                </c:pt>
                <c:pt idx="54" formatCode="General">
                  <c:v>-1.6</c:v>
                </c:pt>
                <c:pt idx="55" formatCode="General">
                  <c:v>-2</c:v>
                </c:pt>
                <c:pt idx="56" formatCode="General">
                  <c:v>-1.9</c:v>
                </c:pt>
                <c:pt idx="57" formatCode="General">
                  <c:v>-1.1000000000000001</c:v>
                </c:pt>
                <c:pt idx="58" formatCode="General">
                  <c:v>-1.4</c:v>
                </c:pt>
                <c:pt idx="59" formatCode="General">
                  <c:v>-1.2</c:v>
                </c:pt>
                <c:pt idx="60" formatCode="General">
                  <c:v>-0.3</c:v>
                </c:pt>
                <c:pt idx="61" formatCode="General">
                  <c:v>1.6</c:v>
                </c:pt>
                <c:pt idx="62" formatCode="General">
                  <c:v>4.0999999999999996</c:v>
                </c:pt>
                <c:pt idx="63" formatCode="General">
                  <c:v>5.6</c:v>
                </c:pt>
                <c:pt idx="64" formatCode="General">
                  <c:v>6.3</c:v>
                </c:pt>
                <c:pt idx="65" formatCode="General">
                  <c:v>7.4</c:v>
                </c:pt>
              </c:numCache>
            </c:numRef>
          </c:val>
          <c:smooth val="0"/>
          <c:extLst>
            <c:ext xmlns:c16="http://schemas.microsoft.com/office/drawing/2014/chart" uri="{C3380CC4-5D6E-409C-BE32-E72D297353CC}">
              <c16:uniqueId val="{00000002-0F94-4FA1-B0C6-2C66C3DA6733}"/>
            </c:ext>
          </c:extLst>
        </c:ser>
        <c:ser>
          <c:idx val="3"/>
          <c:order val="3"/>
          <c:tx>
            <c:strRef>
              <c:f>'Ceny 4'!$F$5</c:f>
              <c:strCache>
                <c:ptCount val="1"/>
                <c:pt idx="0">
                  <c:v>Electricity, gas, steam and air conditioning supply</c:v>
                </c:pt>
              </c:strCache>
            </c:strRef>
          </c:tx>
          <c:spPr>
            <a:ln w="19050">
              <a:solidFill>
                <a:srgbClr val="F8A124"/>
              </a:solidFill>
            </a:ln>
          </c:spPr>
          <c:marker>
            <c:symbol val="none"/>
          </c:marker>
          <c:cat>
            <c:multiLvlStrRef>
              <c:f>'Ceny 4'!$A$42:$B$107</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2016</c:v>
                  </c:pt>
                  <c:pt idx="12">
                    <c:v>2017</c:v>
                  </c:pt>
                  <c:pt idx="24">
                    <c:v>2018</c:v>
                  </c:pt>
                  <c:pt idx="36">
                    <c:v>2019</c:v>
                  </c:pt>
                  <c:pt idx="48">
                    <c:v>2020</c:v>
                  </c:pt>
                  <c:pt idx="60">
                    <c:v>2021</c:v>
                  </c:pt>
                </c:lvl>
              </c:multiLvlStrCache>
            </c:multiLvlStrRef>
          </c:cat>
          <c:val>
            <c:numRef>
              <c:f>'Ceny 4'!$F$42:$F$107</c:f>
              <c:numCache>
                <c:formatCode>0.0</c:formatCode>
                <c:ptCount val="66"/>
                <c:pt idx="0">
                  <c:v>-4</c:v>
                </c:pt>
                <c:pt idx="1">
                  <c:v>-4.0999999999999943</c:v>
                </c:pt>
                <c:pt idx="2">
                  <c:v>-4.0999999999999943</c:v>
                </c:pt>
                <c:pt idx="3">
                  <c:v>-4</c:v>
                </c:pt>
                <c:pt idx="4">
                  <c:v>-4</c:v>
                </c:pt>
                <c:pt idx="5">
                  <c:v>-4.0999999999999943</c:v>
                </c:pt>
                <c:pt idx="6">
                  <c:v>-4</c:v>
                </c:pt>
                <c:pt idx="7">
                  <c:v>-4</c:v>
                </c:pt>
                <c:pt idx="8">
                  <c:v>-4.0999999999999943</c:v>
                </c:pt>
                <c:pt idx="9">
                  <c:v>-4.0999999999999943</c:v>
                </c:pt>
                <c:pt idx="10">
                  <c:v>-4.0999999999999943</c:v>
                </c:pt>
                <c:pt idx="11">
                  <c:v>-4.0999999999999943</c:v>
                </c:pt>
                <c:pt idx="12" formatCode="General">
                  <c:v>-1.0999999999999943</c:v>
                </c:pt>
                <c:pt idx="13" formatCode="General">
                  <c:v>-1.2000000000000028</c:v>
                </c:pt>
                <c:pt idx="14">
                  <c:v>-1.2000000000000028</c:v>
                </c:pt>
                <c:pt idx="15">
                  <c:v>-1.4000000000000057</c:v>
                </c:pt>
                <c:pt idx="16" formatCode="General">
                  <c:v>-1.2999999999999972</c:v>
                </c:pt>
                <c:pt idx="17" formatCode="General">
                  <c:v>-1.0999999999999943</c:v>
                </c:pt>
                <c:pt idx="18" formatCode="General">
                  <c:v>-1.1000000000000001</c:v>
                </c:pt>
                <c:pt idx="19" formatCode="General">
                  <c:v>-1.3</c:v>
                </c:pt>
                <c:pt idx="20" formatCode="General">
                  <c:v>-1.1000000000000001</c:v>
                </c:pt>
                <c:pt idx="21" formatCode="General">
                  <c:v>-1.1000000000000001</c:v>
                </c:pt>
                <c:pt idx="22" formatCode="General">
                  <c:v>-1.1000000000000001</c:v>
                </c:pt>
                <c:pt idx="23" formatCode="General">
                  <c:v>-1.1000000000000001</c:v>
                </c:pt>
                <c:pt idx="24" formatCode="General">
                  <c:v>1.5</c:v>
                </c:pt>
                <c:pt idx="25" formatCode="General">
                  <c:v>1.6</c:v>
                </c:pt>
                <c:pt idx="26" formatCode="General">
                  <c:v>1.6</c:v>
                </c:pt>
                <c:pt idx="27" formatCode="General">
                  <c:v>1.7</c:v>
                </c:pt>
                <c:pt idx="28" formatCode="General">
                  <c:v>1.7</c:v>
                </c:pt>
                <c:pt idx="29" formatCode="General">
                  <c:v>2.2999999999999998</c:v>
                </c:pt>
                <c:pt idx="30" formatCode="General">
                  <c:v>2.2999999999999998</c:v>
                </c:pt>
                <c:pt idx="31" formatCode="General">
                  <c:v>2.6</c:v>
                </c:pt>
                <c:pt idx="32" formatCode="General">
                  <c:v>2.7</c:v>
                </c:pt>
                <c:pt idx="33" formatCode="General">
                  <c:v>2.8</c:v>
                </c:pt>
                <c:pt idx="34" formatCode="General">
                  <c:v>2.8</c:v>
                </c:pt>
                <c:pt idx="35" formatCode="General">
                  <c:v>2.8</c:v>
                </c:pt>
                <c:pt idx="36" formatCode="General">
                  <c:v>7.2</c:v>
                </c:pt>
                <c:pt idx="37" formatCode="General">
                  <c:v>7.5</c:v>
                </c:pt>
                <c:pt idx="38" formatCode="General">
                  <c:v>8.4</c:v>
                </c:pt>
                <c:pt idx="39" formatCode="General">
                  <c:v>8.1999999999999993</c:v>
                </c:pt>
                <c:pt idx="40" formatCode="General">
                  <c:v>8.6</c:v>
                </c:pt>
                <c:pt idx="41" formatCode="General">
                  <c:v>7.9</c:v>
                </c:pt>
                <c:pt idx="42" formatCode="General">
                  <c:v>8</c:v>
                </c:pt>
                <c:pt idx="43" formatCode="General">
                  <c:v>7.7</c:v>
                </c:pt>
                <c:pt idx="44" formatCode="General">
                  <c:v>7.7</c:v>
                </c:pt>
                <c:pt idx="45" formatCode="General">
                  <c:v>7.5</c:v>
                </c:pt>
                <c:pt idx="46" formatCode="General">
                  <c:v>8.6999999999999993</c:v>
                </c:pt>
                <c:pt idx="47" formatCode="General">
                  <c:v>8.8000000000000007</c:v>
                </c:pt>
                <c:pt idx="48" formatCode="General">
                  <c:v>9.3000000000000007</c:v>
                </c:pt>
                <c:pt idx="49" formatCode="General">
                  <c:v>9</c:v>
                </c:pt>
                <c:pt idx="50" formatCode="General">
                  <c:v>8.3000000000000007</c:v>
                </c:pt>
                <c:pt idx="51" formatCode="General">
                  <c:v>8.6</c:v>
                </c:pt>
                <c:pt idx="52" formatCode="General">
                  <c:v>8</c:v>
                </c:pt>
                <c:pt idx="53" formatCode="General">
                  <c:v>8</c:v>
                </c:pt>
                <c:pt idx="54" formatCode="General">
                  <c:v>7.7</c:v>
                </c:pt>
                <c:pt idx="55" formatCode="General">
                  <c:v>7.9</c:v>
                </c:pt>
                <c:pt idx="56" formatCode="General">
                  <c:v>7.7</c:v>
                </c:pt>
                <c:pt idx="57" formatCode="General">
                  <c:v>7</c:v>
                </c:pt>
                <c:pt idx="58" formatCode="General">
                  <c:v>5.8</c:v>
                </c:pt>
                <c:pt idx="59" formatCode="General">
                  <c:v>5.6</c:v>
                </c:pt>
                <c:pt idx="60" formatCode="General">
                  <c:v>0.4</c:v>
                </c:pt>
                <c:pt idx="61" formatCode="General">
                  <c:v>0.4</c:v>
                </c:pt>
                <c:pt idx="62" formatCode="General">
                  <c:v>0.1</c:v>
                </c:pt>
                <c:pt idx="63" formatCode="General">
                  <c:v>-0.1</c:v>
                </c:pt>
                <c:pt idx="64" formatCode="General">
                  <c:v>0.2</c:v>
                </c:pt>
                <c:pt idx="65" formatCode="General">
                  <c:v>0.2</c:v>
                </c:pt>
              </c:numCache>
            </c:numRef>
          </c:val>
          <c:smooth val="0"/>
          <c:extLst>
            <c:ext xmlns:c16="http://schemas.microsoft.com/office/drawing/2014/chart" uri="{C3380CC4-5D6E-409C-BE32-E72D297353CC}">
              <c16:uniqueId val="{00000003-0F94-4FA1-B0C6-2C66C3DA6733}"/>
            </c:ext>
          </c:extLst>
        </c:ser>
        <c:ser>
          <c:idx val="4"/>
          <c:order val="4"/>
          <c:tx>
            <c:strRef>
              <c:f>'Ceny 4'!$G$5</c:f>
              <c:strCache>
                <c:ptCount val="1"/>
                <c:pt idx="0">
                  <c:v>Water supply, sewerage</c:v>
                </c:pt>
              </c:strCache>
            </c:strRef>
          </c:tx>
          <c:spPr>
            <a:ln w="19050">
              <a:solidFill>
                <a:schemeClr val="accent1"/>
              </a:solidFill>
            </a:ln>
          </c:spPr>
          <c:marker>
            <c:symbol val="none"/>
          </c:marker>
          <c:cat>
            <c:multiLvlStrRef>
              <c:f>'Ceny 4'!$A$42:$B$107</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2016</c:v>
                  </c:pt>
                  <c:pt idx="12">
                    <c:v>2017</c:v>
                  </c:pt>
                  <c:pt idx="24">
                    <c:v>2018</c:v>
                  </c:pt>
                  <c:pt idx="36">
                    <c:v>2019</c:v>
                  </c:pt>
                  <c:pt idx="48">
                    <c:v>2020</c:v>
                  </c:pt>
                  <c:pt idx="60">
                    <c:v>2021</c:v>
                  </c:pt>
                </c:lvl>
              </c:multiLvlStrCache>
            </c:multiLvlStrRef>
          </c:cat>
          <c:val>
            <c:numRef>
              <c:f>'Ceny 4'!$G$42:$G$107</c:f>
              <c:numCache>
                <c:formatCode>General</c:formatCode>
                <c:ptCount val="66"/>
                <c:pt idx="0">
                  <c:v>0.5</c:v>
                </c:pt>
                <c:pt idx="1">
                  <c:v>0.5</c:v>
                </c:pt>
                <c:pt idx="2">
                  <c:v>0.5</c:v>
                </c:pt>
                <c:pt idx="3">
                  <c:v>1.5999999999999943</c:v>
                </c:pt>
                <c:pt idx="4">
                  <c:v>1.5999999999999943</c:v>
                </c:pt>
                <c:pt idx="5">
                  <c:v>1.5999999999999943</c:v>
                </c:pt>
                <c:pt idx="6">
                  <c:v>1.5999999999999943</c:v>
                </c:pt>
                <c:pt idx="7">
                  <c:v>1.5999999999999943</c:v>
                </c:pt>
                <c:pt idx="8">
                  <c:v>1.5999999999999943</c:v>
                </c:pt>
                <c:pt idx="9">
                  <c:v>1.5999999999999943</c:v>
                </c:pt>
                <c:pt idx="10">
                  <c:v>1.5999999999999943</c:v>
                </c:pt>
                <c:pt idx="11">
                  <c:v>1.5999999999999943</c:v>
                </c:pt>
                <c:pt idx="12">
                  <c:v>2.0999999999999943</c:v>
                </c:pt>
                <c:pt idx="13">
                  <c:v>2.0999999999999943</c:v>
                </c:pt>
                <c:pt idx="14" formatCode="0.0">
                  <c:v>2.0999999999999943</c:v>
                </c:pt>
                <c:pt idx="15" formatCode="0.0">
                  <c:v>1</c:v>
                </c:pt>
                <c:pt idx="16">
                  <c:v>1</c:v>
                </c:pt>
                <c:pt idx="17">
                  <c:v>1</c:v>
                </c:pt>
                <c:pt idx="18">
                  <c:v>1</c:v>
                </c:pt>
                <c:pt idx="19">
                  <c:v>1</c:v>
                </c:pt>
                <c:pt idx="20">
                  <c:v>1</c:v>
                </c:pt>
                <c:pt idx="21">
                  <c:v>1</c:v>
                </c:pt>
                <c:pt idx="22">
                  <c:v>1</c:v>
                </c:pt>
                <c:pt idx="23">
                  <c:v>1</c:v>
                </c:pt>
                <c:pt idx="24">
                  <c:v>1.9</c:v>
                </c:pt>
                <c:pt idx="25">
                  <c:v>1.9</c:v>
                </c:pt>
                <c:pt idx="26">
                  <c:v>1.9</c:v>
                </c:pt>
                <c:pt idx="27">
                  <c:v>1.9</c:v>
                </c:pt>
                <c:pt idx="28">
                  <c:v>1.9</c:v>
                </c:pt>
                <c:pt idx="29">
                  <c:v>1.9</c:v>
                </c:pt>
                <c:pt idx="30">
                  <c:v>1.9</c:v>
                </c:pt>
                <c:pt idx="31">
                  <c:v>1.9</c:v>
                </c:pt>
                <c:pt idx="32">
                  <c:v>1.9</c:v>
                </c:pt>
                <c:pt idx="33">
                  <c:v>1.9</c:v>
                </c:pt>
                <c:pt idx="34">
                  <c:v>1.9</c:v>
                </c:pt>
                <c:pt idx="35">
                  <c:v>1.9</c:v>
                </c:pt>
                <c:pt idx="36">
                  <c:v>2.9</c:v>
                </c:pt>
                <c:pt idx="37">
                  <c:v>2.9</c:v>
                </c:pt>
                <c:pt idx="38">
                  <c:v>2.9</c:v>
                </c:pt>
                <c:pt idx="39">
                  <c:v>2.9</c:v>
                </c:pt>
                <c:pt idx="40">
                  <c:v>2.9</c:v>
                </c:pt>
                <c:pt idx="41">
                  <c:v>2.9</c:v>
                </c:pt>
                <c:pt idx="42">
                  <c:v>2.9</c:v>
                </c:pt>
                <c:pt idx="43">
                  <c:v>2.9</c:v>
                </c:pt>
                <c:pt idx="44">
                  <c:v>2.9</c:v>
                </c:pt>
                <c:pt idx="45">
                  <c:v>2.9</c:v>
                </c:pt>
                <c:pt idx="46">
                  <c:v>2.9</c:v>
                </c:pt>
                <c:pt idx="47">
                  <c:v>2.9</c:v>
                </c:pt>
                <c:pt idx="48">
                  <c:v>5.4</c:v>
                </c:pt>
                <c:pt idx="49">
                  <c:v>5.4</c:v>
                </c:pt>
                <c:pt idx="50">
                  <c:v>5.4</c:v>
                </c:pt>
                <c:pt idx="51">
                  <c:v>5.4</c:v>
                </c:pt>
                <c:pt idx="52">
                  <c:v>6.4</c:v>
                </c:pt>
                <c:pt idx="53">
                  <c:v>6.4</c:v>
                </c:pt>
                <c:pt idx="54">
                  <c:v>6.4</c:v>
                </c:pt>
                <c:pt idx="55">
                  <c:v>6.4</c:v>
                </c:pt>
                <c:pt idx="56">
                  <c:v>6.4</c:v>
                </c:pt>
                <c:pt idx="57">
                  <c:v>6.4</c:v>
                </c:pt>
                <c:pt idx="58">
                  <c:v>6.4</c:v>
                </c:pt>
                <c:pt idx="59">
                  <c:v>6.4</c:v>
                </c:pt>
                <c:pt idx="60">
                  <c:v>6.9</c:v>
                </c:pt>
                <c:pt idx="61">
                  <c:v>6.9</c:v>
                </c:pt>
                <c:pt idx="62">
                  <c:v>6.9</c:v>
                </c:pt>
                <c:pt idx="63">
                  <c:v>6.9</c:v>
                </c:pt>
                <c:pt idx="64">
                  <c:v>5.9</c:v>
                </c:pt>
                <c:pt idx="65">
                  <c:v>5.9</c:v>
                </c:pt>
              </c:numCache>
            </c:numRef>
          </c:val>
          <c:smooth val="0"/>
          <c:extLst>
            <c:ext xmlns:c16="http://schemas.microsoft.com/office/drawing/2014/chart" uri="{C3380CC4-5D6E-409C-BE32-E72D297353CC}">
              <c16:uniqueId val="{00000004-0F94-4FA1-B0C6-2C66C3DA6733}"/>
            </c:ext>
          </c:extLst>
        </c:ser>
        <c:dLbls>
          <c:showLegendKey val="0"/>
          <c:showVal val="0"/>
          <c:showCatName val="0"/>
          <c:showSerName val="0"/>
          <c:showPercent val="0"/>
          <c:showBubbleSize val="0"/>
        </c:dLbls>
        <c:marker val="1"/>
        <c:smooth val="0"/>
        <c:axId val="119381376"/>
        <c:axId val="130745472"/>
      </c:lineChart>
      <c:catAx>
        <c:axId val="119381376"/>
        <c:scaling>
          <c:orientation val="minMax"/>
        </c:scaling>
        <c:delete val="0"/>
        <c:axPos val="b"/>
        <c:numFmt formatCode="General" sourceLinked="0"/>
        <c:majorTickMark val="out"/>
        <c:minorTickMark val="none"/>
        <c:tickLblPos val="low"/>
        <c:spPr>
          <a:ln>
            <a:solidFill>
              <a:schemeClr val="tx1"/>
            </a:solidFill>
          </a:ln>
        </c:spPr>
        <c:crossAx val="130745472"/>
        <c:crosses val="autoZero"/>
        <c:auto val="1"/>
        <c:lblAlgn val="ctr"/>
        <c:lblOffset val="100"/>
        <c:noMultiLvlLbl val="0"/>
      </c:catAx>
      <c:valAx>
        <c:axId val="130745472"/>
        <c:scaling>
          <c:orientation val="minMax"/>
          <c:max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9381376"/>
        <c:crosses val="autoZero"/>
        <c:crossBetween val="between"/>
        <c:majorUnit val="2"/>
      </c:valAx>
      <c:spPr>
        <a:ln>
          <a:solidFill>
            <a:schemeClr val="tx1"/>
          </a:solidFill>
        </a:ln>
      </c:spPr>
    </c:plotArea>
    <c:legend>
      <c:legendPos val="b"/>
      <c:layout>
        <c:manualLayout>
          <c:xMode val="edge"/>
          <c:yMode val="edge"/>
          <c:x val="5.0596282132642133E-2"/>
          <c:y val="0.86223931272106069"/>
          <c:w val="0.89560705842620769"/>
          <c:h val="0.12109402425765123"/>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E7EA2-0120-46FB-8377-CFA050B2C4A6}">
  <ds:schemaRefs>
    <ds:schemaRef ds:uri="http://schemas.openxmlformats.org/officeDocument/2006/bibliography"/>
  </ds:schemaRefs>
</ds:datastoreItem>
</file>

<file path=customXml/itemProps2.xml><?xml version="1.0" encoding="utf-8"?>
<ds:datastoreItem xmlns:ds="http://schemas.openxmlformats.org/officeDocument/2006/customXml" ds:itemID="{87B10E04-3758-4EC0-B8E8-2ABA7AF5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285</TotalTime>
  <Pages>5</Pages>
  <Words>1987</Words>
  <Characters>11730</Characters>
  <Application>Microsoft Office Word</Application>
  <DocSecurity>0</DocSecurity>
  <Lines>97</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13690</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Mgr. Karolína Zábojníková</cp:lastModifiedBy>
  <cp:revision>13</cp:revision>
  <cp:lastPrinted>2019-04-08T10:52:00Z</cp:lastPrinted>
  <dcterms:created xsi:type="dcterms:W3CDTF">2021-10-13T08:35:00Z</dcterms:created>
  <dcterms:modified xsi:type="dcterms:W3CDTF">2021-10-14T10:37:00Z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2021-09-21T09:22:12Z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4c807463-2e13-4ff5-a9c2-71b88174dae9</vt:lpwstr>
  </property>
  <property fmtid="{D5CDD505-2E9C-101B-9397-08002B2CF9AE}" pid="8" name="MSIP_Label_29db9e61-aac5-4f6e-805d-ceb8cb9983a1_ContentBits">
    <vt:lpwstr>0</vt:lpwstr>
  </property>
</Properties>
</file>