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48D53" w14:textId="5E6554F4" w:rsidR="00FE431E" w:rsidRPr="009110F7" w:rsidRDefault="00FE431E" w:rsidP="005A7ABD">
      <w:pPr>
        <w:pStyle w:val="Nadpis1"/>
      </w:pPr>
      <w:bookmarkStart w:id="0" w:name="_Toc74643854"/>
      <w:bookmarkStart w:id="1" w:name="_Toc66719928"/>
      <w:bookmarkStart w:id="2" w:name="_Toc19090676"/>
      <w:bookmarkStart w:id="3" w:name="_Toc58605372"/>
      <w:bookmarkStart w:id="4" w:name="_Toc90395910"/>
      <w:r w:rsidRPr="0077605B">
        <w:t>2</w:t>
      </w:r>
      <w:r>
        <w:t xml:space="preserve">. </w:t>
      </w:r>
      <w:r w:rsidRPr="0077605B">
        <w:t>Souhrnná výkonnost</w:t>
      </w:r>
      <w:bookmarkEnd w:id="4"/>
    </w:p>
    <w:tbl>
      <w:tblPr>
        <w:tblW w:w="9639" w:type="dxa"/>
        <w:tblInd w:w="-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6"/>
        <w:gridCol w:w="223"/>
        <w:gridCol w:w="7610"/>
      </w:tblGrid>
      <w:tr w:rsidR="00FE431E" w:rsidRPr="009110F7" w14:paraId="24FC2C13" w14:textId="77777777" w:rsidTr="00B86EB1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2F0EA11D" w14:textId="77777777" w:rsidR="00FE431E" w:rsidRDefault="00FE431E" w:rsidP="00B86EB1">
            <w:pPr>
              <w:pStyle w:val="Marginlie"/>
            </w:pPr>
            <w:r>
              <w:t>Hrubý domácí produkt se ve 3. čtvrtletí zvýšil.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5F47A7F4" w14:textId="77777777" w:rsidR="00FE431E" w:rsidRDefault="00FE431E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5B033459" w14:textId="77777777" w:rsidR="00FE431E" w:rsidRPr="00014ED0" w:rsidRDefault="00FE431E" w:rsidP="00B86EB1">
            <w:pPr>
              <w:rPr>
                <w:spacing w:val="-2"/>
              </w:rPr>
            </w:pPr>
            <w:r>
              <w:rPr>
                <w:spacing w:val="-2"/>
              </w:rPr>
              <w:t>Ve 3. čtvrtletí 2021 již českou ekonomiku neomezovala protipandemická opatření cílená na obchod a služby, na druhé straně se ale prohlubovaly problémy s dodávkami komponent v důležitých exportních odvětvích. Hrubý domácí produkt (HDP) se oproti 2. čtvrtletí reálně zvýšil o 1,5 %</w:t>
            </w:r>
            <w:r w:rsidRPr="00014ED0">
              <w:rPr>
                <w:rStyle w:val="Znakapoznpodarou"/>
                <w:rFonts w:cs="Arial"/>
                <w:spacing w:val="-2"/>
              </w:rPr>
              <w:footnoteReference w:id="1"/>
            </w:r>
            <w:r>
              <w:rPr>
                <w:spacing w:val="-2"/>
              </w:rPr>
              <w:t>. Na tom měl hlavní podíl růst spotřeby, především u domácností. Výrazně se zvýšily i zásoby, což bylo hlavní hnací silou nárůstu výdajů na tvorbu hrubého kapitálu. Prohlubující se problémy s dodávkami komponent pro automobilový průmysl negativně ovlivnily export, takže zahraniční poptávka naopak silnějšímu ekonomickému růstu výrazně bránila. Meziročně byl HDP vyšší o 3,1 %. Nejvíce přírůstek podpořily výdaje na tvorbu hrubého kapitálu posílené zvýšenou tvorbou zásob. Oproti loňskému 3. kvartálu posílila spotřeba domácností i vlády. Zatím ale hrubý domácí produkt reálně nedosáhl na předkrizovou úroveň.</w:t>
            </w:r>
          </w:p>
        </w:tc>
      </w:tr>
      <w:tr w:rsidR="00FE431E" w:rsidRPr="009110F7" w14:paraId="3C2AD954" w14:textId="77777777" w:rsidTr="00B86EB1">
        <w:trPr>
          <w:trHeight w:val="170"/>
        </w:trPr>
        <w:tc>
          <w:tcPr>
            <w:tcW w:w="1806" w:type="dxa"/>
            <w:vMerge w:val="restart"/>
            <w:shd w:val="clear" w:color="auto" w:fill="auto"/>
            <w:tcMar>
              <w:left w:w="0" w:type="dxa"/>
            </w:tcMar>
          </w:tcPr>
          <w:p w14:paraId="7933A466" w14:textId="77777777" w:rsidR="00FE431E" w:rsidRDefault="00FE431E" w:rsidP="00B86EB1">
            <w:pPr>
              <w:pStyle w:val="Marginlie"/>
            </w:pPr>
          </w:p>
        </w:tc>
        <w:tc>
          <w:tcPr>
            <w:tcW w:w="223" w:type="dxa"/>
            <w:vMerge w:val="restart"/>
            <w:shd w:val="clear" w:color="auto" w:fill="auto"/>
            <w:tcMar>
              <w:left w:w="0" w:type="dxa"/>
            </w:tcMar>
          </w:tcPr>
          <w:p w14:paraId="4D36D28B" w14:textId="77777777" w:rsidR="00FE431E" w:rsidRDefault="00FE431E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4B37F124" w14:textId="77777777" w:rsidR="00FE431E" w:rsidRPr="00D721B4" w:rsidRDefault="00FE431E" w:rsidP="00B86EB1">
            <w:pPr>
              <w:spacing w:after="0"/>
              <w:rPr>
                <w:b/>
                <w:szCs w:val="20"/>
              </w:rPr>
            </w:pPr>
            <w:r w:rsidRPr="00D721B4">
              <w:rPr>
                <w:rFonts w:cs="Arial"/>
                <w:b/>
                <w:bCs/>
                <w:color w:val="000000"/>
                <w:szCs w:val="20"/>
              </w:rPr>
              <w:t>Graf č. 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D721B4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D721B4">
              <w:rPr>
                <w:rFonts w:cs="Arial"/>
                <w:b/>
                <w:szCs w:val="20"/>
                <w:lang w:eastAsia="en-US"/>
              </w:rPr>
              <w:t xml:space="preserve">HDP </w:t>
            </w:r>
            <w:r w:rsidRPr="00D721B4">
              <w:rPr>
                <w:rFonts w:cs="Arial"/>
                <w:bCs/>
                <w:szCs w:val="20"/>
                <w:lang w:eastAsia="en-US"/>
              </w:rPr>
              <w:t>(objemové indexy, očištěno o sezónní a kalendářní vlivy, v %)</w:t>
            </w:r>
          </w:p>
        </w:tc>
      </w:tr>
      <w:tr w:rsidR="00FE431E" w:rsidRPr="009110F7" w14:paraId="14A6ED9C" w14:textId="77777777" w:rsidTr="00B86EB1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6" w:type="dxa"/>
            <w:vMerge/>
            <w:shd w:val="clear" w:color="auto" w:fill="auto"/>
          </w:tcPr>
          <w:p w14:paraId="52E050E5" w14:textId="77777777" w:rsidR="00FE431E" w:rsidRPr="009110F7" w:rsidRDefault="00FE431E" w:rsidP="00B86EB1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</w:tcPr>
          <w:p w14:paraId="028C31D1" w14:textId="77777777" w:rsidR="00FE431E" w:rsidRPr="009110F7" w:rsidRDefault="00FE431E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575FE37C" w14:textId="77777777" w:rsidR="00FE431E" w:rsidRPr="009110F7" w:rsidRDefault="00FE431E" w:rsidP="00B86EB1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0605E0A" wp14:editId="0C046699">
                  <wp:extent cx="4734425" cy="3378575"/>
                  <wp:effectExtent l="0" t="0" r="0" b="0"/>
                  <wp:docPr id="16" name="Graf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FE431E" w:rsidRPr="009110F7" w14:paraId="382F2747" w14:textId="77777777" w:rsidTr="00B86EB1">
        <w:trPr>
          <w:trHeight w:val="170"/>
        </w:trPr>
        <w:tc>
          <w:tcPr>
            <w:tcW w:w="1806" w:type="dxa"/>
            <w:vMerge/>
            <w:shd w:val="clear" w:color="auto" w:fill="auto"/>
            <w:tcMar>
              <w:left w:w="0" w:type="dxa"/>
            </w:tcMar>
          </w:tcPr>
          <w:p w14:paraId="62F630D1" w14:textId="77777777" w:rsidR="00FE431E" w:rsidRPr="009110F7" w:rsidRDefault="00FE431E" w:rsidP="00B86EB1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  <w:tcMar>
              <w:left w:w="0" w:type="dxa"/>
            </w:tcMar>
          </w:tcPr>
          <w:p w14:paraId="19BBB624" w14:textId="77777777" w:rsidR="00FE431E" w:rsidRPr="009110F7" w:rsidRDefault="00FE431E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5147525A" w14:textId="77777777" w:rsidR="00FE431E" w:rsidRPr="009110F7" w:rsidRDefault="00FE431E" w:rsidP="00B86EB1">
            <w:pPr>
              <w:spacing w:after="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Zdroj: ČSÚ, Eurostat</w:t>
            </w:r>
          </w:p>
        </w:tc>
      </w:tr>
      <w:tr w:rsidR="00FE431E" w:rsidRPr="009110F7" w14:paraId="7710B4E7" w14:textId="77777777" w:rsidTr="00B86EB1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0402ADCE" w14:textId="77777777" w:rsidR="00FE431E" w:rsidRDefault="00FE431E" w:rsidP="00B86EB1">
            <w:pPr>
              <w:pStyle w:val="Marginlie"/>
            </w:pPr>
            <w:r>
              <w:t>Postupně se zotavují i ostatní evropské ekonomiky.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75D27799" w14:textId="77777777" w:rsidR="00FE431E" w:rsidRDefault="00FE431E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26431887" w14:textId="5179DBC6" w:rsidR="00FE431E" w:rsidRDefault="00FE5466" w:rsidP="00B86EB1">
            <w:r>
              <w:t>Hrubý domácí produkt v Evropské unii byl ve 3. čtvrtletí mezičtvrtletně vyšší o 2,1 %</w:t>
            </w:r>
            <w:r>
              <w:rPr>
                <w:rStyle w:val="Znakapoznpodarou"/>
              </w:rPr>
              <w:footnoteReference w:id="2"/>
            </w:r>
            <w:r>
              <w:t>. S výjimkou stagnujícího hospodářství Litvy vzrostl podle dostupných dat HDP ve všech zemích EU. Největšího mezičtvrtletního přírůstku dosáhly ekonomiky Rakouska (3,3 %), Francie (3,0 %) a Portugalska (2,9 %). Jen mírně naopak rostl HDP v Rumunsku (0,3 %), na Slovensku (0,4 %) a v Lotyšsku (0,6 %). Meziročně byl HDP v EU vyšší o 3,9 %. Nejvíce vzrostl HDP v Chorvatsku (15,5 %), na Maltě (9,8 %) a v Estonsku (9,2 %). Nejmírnější byl přírůstek na Slovensku (1,3 %), v Německu (2,6 %) a ve Španělsku (2,7 %). Ve většině zemí EU (podle dostupných údajů celkem v 16) již HDP reálně</w:t>
            </w:r>
            <w:r>
              <w:rPr>
                <w:rStyle w:val="Znakapoznpodarou"/>
              </w:rPr>
              <w:footnoteReference w:id="3"/>
            </w:r>
            <w:r>
              <w:t xml:space="preserve"> vystoupal nad úroveň 3. čtvrtletí 2019. Nejvíce v Estonsku (5,6 %), Litvě (5,3 %) a Lucembursku (5,3 %). Za předkrizovou úrovní HDP nejvíce zaostával ve Španělsku (–6,2 %), Česku (–2,5 %) a v Portugalsku (–2,4 %). Zaostávaly i velké evropské ekonomiky Itálie (–1,7 %), Německa (–1,2 %) a Francie (–0,4 %), což ve </w:t>
            </w:r>
            <w:r>
              <w:lastRenderedPageBreak/>
              <w:t>výsledku znamenalo, že celkový HDP v Evropské unii byl ve srovnání se 3. čtvrtletím 2019 nižší o 0,2 %.</w:t>
            </w:r>
          </w:p>
        </w:tc>
      </w:tr>
      <w:tr w:rsidR="00FE431E" w:rsidRPr="009110F7" w14:paraId="683A1EE8" w14:textId="77777777" w:rsidTr="00B86EB1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56F8F528" w14:textId="77777777" w:rsidR="00FE431E" w:rsidRDefault="00FE431E" w:rsidP="00B86EB1">
            <w:pPr>
              <w:pStyle w:val="Marginlie"/>
            </w:pPr>
            <w:r>
              <w:lastRenderedPageBreak/>
              <w:t>Objem vyplacených mezd a platů i zaměstnanost rostly.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27E1E775" w14:textId="77777777" w:rsidR="00FE431E" w:rsidRDefault="00FE431E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20794ADF" w14:textId="6559FD0C" w:rsidR="00FE431E" w:rsidRPr="00014ED0" w:rsidRDefault="00FE431E" w:rsidP="00B86EB1">
            <w:pPr>
              <w:rPr>
                <w:spacing w:val="-2"/>
              </w:rPr>
            </w:pPr>
            <w:r>
              <w:rPr>
                <w:spacing w:val="-2"/>
              </w:rPr>
              <w:t>Objem vyplacených mez</w:t>
            </w:r>
            <w:r w:rsidR="009112E3">
              <w:rPr>
                <w:spacing w:val="-2"/>
              </w:rPr>
              <w:t>d</w:t>
            </w:r>
            <w:r>
              <w:rPr>
                <w:spacing w:val="-2"/>
              </w:rPr>
              <w:t xml:space="preserve"> a platů byl ve srovnání s letošním 2. kvartálem vyšší o 1,9 %. Mírně mezičtvrtletně posílila i celková zaměstnanost</w:t>
            </w:r>
            <w:r w:rsidRPr="00014ED0">
              <w:rPr>
                <w:rStyle w:val="Znakapoznpodarou"/>
                <w:spacing w:val="-2"/>
              </w:rPr>
              <w:footnoteReference w:id="4"/>
            </w:r>
            <w:r>
              <w:rPr>
                <w:spacing w:val="-2"/>
              </w:rPr>
              <w:t xml:space="preserve"> (0,4 %). Silně se oproti 2. čtvrtletí zvyšovaly výdělky v uskupení obchod, doprava, ubytování a pohostinství (12,7 %) a v ostatních činnostech (13,1 %, zahrnují například služby osobní péče), což byla odvětví služeb, která byla nejvíce omezována protipandemickými opatřeními. S výjimkou odvětví s převahou sektoru vládních institucí</w:t>
            </w:r>
            <w:r>
              <w:rPr>
                <w:rStyle w:val="Znakapoznpodarou"/>
                <w:spacing w:val="-2"/>
              </w:rPr>
              <w:footnoteReference w:id="5"/>
            </w:r>
            <w:r>
              <w:rPr>
                <w:spacing w:val="-2"/>
              </w:rPr>
              <w:t xml:space="preserve"> (–8,7 %</w:t>
            </w:r>
            <w:r>
              <w:rPr>
                <w:rStyle w:val="Znakapoznpodarou"/>
                <w:spacing w:val="-2"/>
              </w:rPr>
              <w:footnoteReference w:id="6"/>
            </w:r>
            <w:r>
              <w:rPr>
                <w:spacing w:val="-2"/>
              </w:rPr>
              <w:t>) pak mezičtvrtletně rostl objem vyplacených prostředků v celé ekonomice. Meziročně objem vyplacených mezd a platů ve 3. čtvrtletí vzrostl o 7,4 %. Celková zaměstnanost se zvýšila mírně (0,6 %). Do kupní síly výdělků se ale negativně promítl silný cenový růst, takže reálný meziroční růst objemu mezd a platů ve 3. čtvrtletí dosáhl 3,5 %</w:t>
            </w:r>
            <w:r>
              <w:rPr>
                <w:rStyle w:val="Znakapoznpodarou"/>
                <w:spacing w:val="-2"/>
              </w:rPr>
              <w:footnoteReference w:id="7"/>
            </w:r>
            <w:r>
              <w:rPr>
                <w:spacing w:val="-2"/>
              </w:rPr>
              <w:t>. Nejvíce objem vyplacených mzdových prostředků meziročně rostl u činností v oblasti nemovitostí (16,3 %, zaměstnanost se zde zvýšila o 1,7 %). Silné byly i přírůstky u informačních a komunikačních činností (8,9 %, zaměstnanost vzrostla o 3,5 %), profesních, vědeckých, technických a administrativních činností (8,7 %, přírůstek zaměstnanosti činil 2,3 %) a v uskupení obchod, doprava, ubytování a pohostinství (8,0 %, zaměstnanost byla nižší o 0,7 %). Okolo průměru celé ekonomiky se pohyboval přírůstek výdělků ve zpracovatelském průmyslu (7,4 %, zaměstnanost byla vyšší jen o 0,3 %) a v odvětvích s převahou vládního sektoru (7,3 % při nárůstu zaměstnanosti o 2,9 %). Mírnější, ale stále solidní nárůsty měly stavebnictví (5,8 %, pokles zaměstnanosti činil 0,6 %), peněžnictví a pojišťovnictví (5,2 %, zaměstnanost byla nižší o 2,4 %), zemědělství, lesnictví a rybářství (5,0 %, zaměstnanost klesla o 2,9 %) a ostatní činnosti (4,8 %, zaměstnanost nižší o 0,4 %).</w:t>
            </w:r>
          </w:p>
        </w:tc>
      </w:tr>
      <w:tr w:rsidR="00FE431E" w:rsidRPr="009110F7" w14:paraId="17168F90" w14:textId="77777777" w:rsidTr="00B86EB1">
        <w:trPr>
          <w:trHeight w:val="170"/>
        </w:trPr>
        <w:tc>
          <w:tcPr>
            <w:tcW w:w="1806" w:type="dxa"/>
            <w:vMerge w:val="restart"/>
            <w:shd w:val="clear" w:color="auto" w:fill="auto"/>
            <w:tcMar>
              <w:left w:w="0" w:type="dxa"/>
            </w:tcMar>
          </w:tcPr>
          <w:p w14:paraId="18C09894" w14:textId="77777777" w:rsidR="00FE431E" w:rsidRDefault="00FE431E" w:rsidP="00B86EB1">
            <w:pPr>
              <w:pStyle w:val="Marginlie"/>
            </w:pPr>
          </w:p>
        </w:tc>
        <w:tc>
          <w:tcPr>
            <w:tcW w:w="223" w:type="dxa"/>
            <w:vMerge w:val="restart"/>
            <w:shd w:val="clear" w:color="auto" w:fill="auto"/>
            <w:tcMar>
              <w:left w:w="0" w:type="dxa"/>
            </w:tcMar>
          </w:tcPr>
          <w:p w14:paraId="2FAA27A1" w14:textId="77777777" w:rsidR="00FE431E" w:rsidRDefault="00FE431E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2DBF185E" w14:textId="77777777" w:rsidR="00FE431E" w:rsidRPr="00D721B4" w:rsidRDefault="00FE431E" w:rsidP="00B86EB1">
            <w:pPr>
              <w:spacing w:after="0"/>
              <w:rPr>
                <w:szCs w:val="20"/>
              </w:rPr>
            </w:pPr>
            <w:r w:rsidRPr="00D721B4">
              <w:rPr>
                <w:b/>
                <w:szCs w:val="20"/>
              </w:rPr>
              <w:t>Graf č. 2</w:t>
            </w:r>
            <w:r>
              <w:rPr>
                <w:b/>
                <w:szCs w:val="20"/>
              </w:rPr>
              <w:t xml:space="preserve"> </w:t>
            </w:r>
            <w:r w:rsidRPr="00D721B4">
              <w:rPr>
                <w:b/>
                <w:szCs w:val="20"/>
              </w:rPr>
              <w:t xml:space="preserve"> </w:t>
            </w:r>
            <w:r w:rsidRPr="00D721B4">
              <w:rPr>
                <w:rFonts w:cs="Arial"/>
                <w:b/>
                <w:szCs w:val="20"/>
                <w:lang w:eastAsia="en-US"/>
              </w:rPr>
              <w:t xml:space="preserve">Příspěvky výdajových složek k reálné změně HDP* </w:t>
            </w:r>
            <w:r w:rsidRPr="00D721B4">
              <w:rPr>
                <w:rFonts w:cs="Arial"/>
                <w:bCs/>
                <w:szCs w:val="20"/>
                <w:lang w:eastAsia="en-US"/>
              </w:rPr>
              <w:t>(objemové indexy, meziroční růst, příspěvky v p. b., HDP v %)</w:t>
            </w:r>
          </w:p>
        </w:tc>
      </w:tr>
      <w:tr w:rsidR="00FE431E" w:rsidRPr="009110F7" w14:paraId="5CB7FCF4" w14:textId="77777777" w:rsidTr="00B86EB1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6" w:type="dxa"/>
            <w:vMerge/>
            <w:shd w:val="clear" w:color="auto" w:fill="auto"/>
          </w:tcPr>
          <w:p w14:paraId="578E50BE" w14:textId="77777777" w:rsidR="00FE431E" w:rsidRDefault="00FE431E" w:rsidP="00B86EB1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</w:tcPr>
          <w:p w14:paraId="09BC632A" w14:textId="77777777" w:rsidR="00FE431E" w:rsidRDefault="00FE431E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1B350971" w14:textId="77777777" w:rsidR="00FE431E" w:rsidRDefault="00FE431E" w:rsidP="00B86EB1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FE0C192" wp14:editId="0C6EB28F">
                  <wp:extent cx="4743950" cy="3369050"/>
                  <wp:effectExtent l="0" t="0" r="0" b="3175"/>
                  <wp:docPr id="20" name="Graf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FE431E" w:rsidRPr="009110F7" w14:paraId="48AAEFF8" w14:textId="77777777" w:rsidTr="00B86EB1">
        <w:trPr>
          <w:trHeight w:val="170"/>
        </w:trPr>
        <w:tc>
          <w:tcPr>
            <w:tcW w:w="1806" w:type="dxa"/>
            <w:vMerge/>
            <w:shd w:val="clear" w:color="auto" w:fill="auto"/>
            <w:tcMar>
              <w:left w:w="0" w:type="dxa"/>
            </w:tcMar>
          </w:tcPr>
          <w:p w14:paraId="197012BB" w14:textId="77777777" w:rsidR="00FE431E" w:rsidRDefault="00FE431E" w:rsidP="00B86EB1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  <w:tcMar>
              <w:left w:w="0" w:type="dxa"/>
            </w:tcMar>
          </w:tcPr>
          <w:p w14:paraId="7B8B4D99" w14:textId="77777777" w:rsidR="00FE431E" w:rsidRDefault="00FE431E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2A2CD33B" w14:textId="77777777" w:rsidR="00FE431E" w:rsidRDefault="00FE431E" w:rsidP="00B86EB1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Zdroj: ČSÚ</w:t>
            </w:r>
          </w:p>
          <w:p w14:paraId="14B04099" w14:textId="77777777" w:rsidR="00FE431E" w:rsidRDefault="00FE431E" w:rsidP="00B86EB1">
            <w:r>
              <w:rPr>
                <w:sz w:val="14"/>
                <w:szCs w:val="14"/>
              </w:rPr>
              <w:t>* po vyloučení dovozu pro konečné užití</w:t>
            </w:r>
          </w:p>
        </w:tc>
      </w:tr>
      <w:tr w:rsidR="00FE431E" w:rsidRPr="009110F7" w14:paraId="6CCA7F72" w14:textId="77777777" w:rsidTr="00B86EB1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60C4D462" w14:textId="77777777" w:rsidR="00FE431E" w:rsidRDefault="00FE431E" w:rsidP="00B86EB1">
            <w:pPr>
              <w:pStyle w:val="Marginlie"/>
            </w:pPr>
            <w:r>
              <w:lastRenderedPageBreak/>
              <w:t>Domácí spotřeba byla jedním z hlavních tahounů růstu.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7A14A4E4" w14:textId="77777777" w:rsidR="00FE431E" w:rsidRDefault="00FE431E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0506B13F" w14:textId="77777777" w:rsidR="00FE431E" w:rsidRDefault="00FE431E" w:rsidP="00B86EB1">
            <w:r>
              <w:rPr>
                <w:spacing w:val="-2"/>
              </w:rPr>
              <w:t>Domácí spotřeba oproti letošnímu 2. čtvrtletí, do kterého ještě zasáhly restrikce obchodu a služeb, vzrostla o 3,7 %. Z toho spotřeba domácností byla vyšší o 4,3 % a vlády o 2,6 %. Mezičtvrtletně posilovala zejména spotřeba služeb (6,1 %)</w:t>
            </w:r>
            <w:r>
              <w:rPr>
                <w:rStyle w:val="Znakapoznpodarou"/>
              </w:rPr>
              <w:footnoteReference w:id="8"/>
            </w:r>
            <w:r>
              <w:rPr>
                <w:spacing w:val="-2"/>
              </w:rPr>
              <w:t xml:space="preserve"> i dlouhodobých (5,6 %) a střednědobých statků</w:t>
            </w:r>
            <w:r>
              <w:rPr>
                <w:rStyle w:val="Znakapoznpodarou"/>
                <w:spacing w:val="-2"/>
              </w:rPr>
              <w:footnoteReference w:id="9"/>
            </w:r>
            <w:r>
              <w:rPr>
                <w:spacing w:val="-2"/>
              </w:rPr>
              <w:t xml:space="preserve"> (8,8 %), u kterých se projevoval efekt odložené poptávky z předchozích čtvrtletí. Meziročně se spotřeba zvýšila o 5,9 %, přičemž u domácností vzrostla o 6,4 % a v případě vlády o 5,0 %. K meziročnímu růstu HDP spotřeba přispěla 3,4 p. b.</w:t>
            </w:r>
            <w:r w:rsidRPr="00014ED0">
              <w:rPr>
                <w:rStyle w:val="Znakapoznpodarou"/>
                <w:spacing w:val="-2"/>
              </w:rPr>
              <w:footnoteReference w:id="10"/>
            </w:r>
            <w:r>
              <w:rPr>
                <w:spacing w:val="-2"/>
              </w:rPr>
              <w:t xml:space="preserve"> Meziročně vyšší byla spotřeba všech druhů zboží podle trvanlivosti. Spotřeba služeb vzrostla o 8,0 %, předmětů dlouhodobé spotřeby o 4,9 %, střednědobé spotřeby o 3,5 % a netrvanlivého zboží o 3,9 %.</w:t>
            </w:r>
          </w:p>
        </w:tc>
      </w:tr>
      <w:tr w:rsidR="00FE431E" w:rsidRPr="009110F7" w14:paraId="320243C7" w14:textId="77777777" w:rsidTr="00B86EB1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2F883625" w14:textId="77777777" w:rsidR="00FE431E" w:rsidRDefault="00FE431E" w:rsidP="00B86EB1">
            <w:pPr>
              <w:pStyle w:val="Marginlie"/>
            </w:pPr>
            <w:r>
              <w:t>Především nárůst zásob stál za masivním navýšením výdajů na hrubý kapitál.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1791FB7E" w14:textId="77777777" w:rsidR="00FE431E" w:rsidRDefault="00FE431E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5669C047" w14:textId="77777777" w:rsidR="00FE431E" w:rsidRDefault="00FE431E" w:rsidP="00B86EB1">
            <w:r>
              <w:t>Výdaje na tvorbu hrubého kapitálu výrazně přispívaly k meziročnímu (+5,6 p. b.) i mezičtvrtletnímu růstu HDP. Silný mezičtvrtletní (3,4 %) i meziroční (25,2 %) přírůstek tvorby hrubého kapitálu ale ovlivnila zejména tvorba zásob</w:t>
            </w:r>
            <w:r>
              <w:rPr>
                <w:rStyle w:val="Znakapoznpodarou"/>
              </w:rPr>
              <w:footnoteReference w:id="11"/>
            </w:r>
            <w:r>
              <w:t>. Narůstaly zásoby zboží, materiálu a nedokončené výroby, což lze spojit i se situací výrobců čekajících na dodávky komponent potřebných k finalizaci výrobků určených na další prodej a export. Výdaje na tvorbu hrubého fixního kapitálu (investiční aktivita) mezičtvrtletně klesly o 3,1 %, nejvíce od 1. čtvrtletí 2020. Nižší byly přitom výdaje na všechny druhy investic. Propadly se zejména investice do produktů duševního vlastnictví (–4,9 %) a výrazný byl i pokles investic do obydlí (–3,7 %) a ostatních budov a staveb (–3,2 %). Meziročně investiční aktivita mírně rostla (0,7 %). Vyšší byly přitom investice do obydlí (6,7 %), dopravních prostředků a zařízení (5,5 %) a produktů duševního vlastnictví (5,7 %). Naopak meziroční propad ve 3. čtvrtletí vykázaly investice do ostatních budov a staveb (–4,6 %) a ICT a ostatních strojů a zařízení (–2,9 %).</w:t>
            </w:r>
          </w:p>
        </w:tc>
      </w:tr>
      <w:tr w:rsidR="00FE431E" w:rsidRPr="009110F7" w14:paraId="2FB9CA37" w14:textId="77777777" w:rsidTr="00B86EB1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1BEEF6EC" w14:textId="77777777" w:rsidR="00FE431E" w:rsidRDefault="00FE431E" w:rsidP="00B86EB1">
            <w:pPr>
              <w:pStyle w:val="Marginlie"/>
            </w:pPr>
            <w:r>
              <w:t>Došlo k rekordnímu meziročnímu propadu bilance zahraničního obchodu.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3983761B" w14:textId="77777777" w:rsidR="00FE431E" w:rsidRDefault="00FE431E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0356B065" w14:textId="77777777" w:rsidR="00FE431E" w:rsidRDefault="00FE431E" w:rsidP="00B86EB1">
            <w:r>
              <w:t>Vývoj bilance zahraničního obchodu růst HDP výrazně brzdil. Ve 3. čtvrtletí totiž saldo zahraničního obchodu sice dosáhlo přebytku 15,8 mld. korun</w:t>
            </w:r>
            <w:r w:rsidRPr="009110F7">
              <w:rPr>
                <w:rStyle w:val="Znakapoznpodarou"/>
              </w:rPr>
              <w:footnoteReference w:id="12"/>
            </w:r>
            <w:r>
              <w:t>, ten se ale mezičtvrtletně snížil o 38,3 mld. a meziročně klesl o rekordních 102,1 mld.</w:t>
            </w:r>
            <w:r>
              <w:rPr>
                <w:rStyle w:val="Znakapoznpodarou"/>
              </w:rPr>
              <w:footnoteReference w:id="13"/>
            </w:r>
            <w:r>
              <w:t xml:space="preserve"> Klesala zejména bilance obchodu se zbožím, která spadla do deficitu –15,1 mld. korun. Šlo o první deficit obchodu se zbožím od 4. čtvrtletí 2008. Přebytek zahraničního obchodu se službami dosáhl 30,9 mld. korun a mírně meziročně i mezičtvrtletně posílil. Vývoz mezičtvrtletně reálně klesl o 5,9 % a dovoz o 3,3 %. Meziročně byl export nižší o 2,3 %, ale import naopak reálně vzrostl o 8,3 %.</w:t>
            </w:r>
          </w:p>
        </w:tc>
      </w:tr>
      <w:tr w:rsidR="00FE431E" w:rsidRPr="009110F7" w14:paraId="1E87D2BB" w14:textId="77777777" w:rsidTr="00B86EB1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058F6A50" w14:textId="77777777" w:rsidR="00FE431E" w:rsidRDefault="00FE431E" w:rsidP="00B86EB1">
            <w:pPr>
              <w:pStyle w:val="Marginlie"/>
            </w:pPr>
            <w:r>
              <w:t>Růst hrubé přidané hodnoty podporovala zejména odvětví služeb.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69EE39BB" w14:textId="77777777" w:rsidR="00FE431E" w:rsidRDefault="00FE431E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73299D63" w14:textId="77777777" w:rsidR="00FE431E" w:rsidRPr="00F93F2C" w:rsidRDefault="00FE431E" w:rsidP="00B86EB1">
            <w:r>
              <w:t xml:space="preserve">Hrubá přidaná hodnota (HPH) ve 3. čtvrtletí mezičtvrtletně vzrostla o 1,4 %. Úplné zrušení omezení v obchodě a službách, která ještě zasahovala do 2. kvartálu, vedlo k tomu, že nejsilnější přírůstek HPH měly ostatní činnosti (18,4 %) a uskupení obchod, doprava, ubytování a pohostinství (7,0 %). Výrazně rostla i HPH v odvětvích s převahou vládního sektoru (1,9 %), v činnostech v oblasti nemovitostí (1,7 %) a v peněžnictví a pojišťovnictví (1,0 %). Mírný mezičtvrtletní přírůstek pak vykázalo stavebnictví (0,5 %), informační a komunikační činnosti (0,4 %) a profesní, vědecké, technické a administrativní činnosti (0,1 %). Oproti 2. čtvrtletí klesla HPH ve zpracovatelském průmyslu (–3,1 %), který sužovalo přerušení mezinárodních dodavatelských řetězců, a nižší byla HPH také v zemědělství, lesnictví a rybářství </w:t>
            </w:r>
            <w:r>
              <w:br/>
              <w:t>(–0,7 %).</w:t>
            </w:r>
          </w:p>
        </w:tc>
      </w:tr>
      <w:tr w:rsidR="00FE431E" w:rsidRPr="009110F7" w14:paraId="71EC76D3" w14:textId="77777777" w:rsidTr="00B86EB1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5BAC1BD6" w14:textId="77777777" w:rsidR="00FE431E" w:rsidRDefault="00FE431E" w:rsidP="00B86EB1">
            <w:pPr>
              <w:pStyle w:val="Marginlie"/>
            </w:pPr>
            <w:r>
              <w:t>Zpracovatelský průmysl meziročně stagnoval.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74B4BAA7" w14:textId="77777777" w:rsidR="00FE431E" w:rsidRDefault="00FE431E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546997AC" w14:textId="77777777" w:rsidR="00FE431E" w:rsidRDefault="00FE431E" w:rsidP="00B86EB1">
            <w:r>
              <w:t xml:space="preserve">Meziroční přírůstek HPH ve 3. čtvrtletí dosáhl 2,9 %. Úroveň loňského 3. čtvrtletí nejvíce překonala HPH v peněžnictví a pojišťovnictví (7,2 %), ale hlavní podíl na celkovém růstu HPH mělo uskupení obchod, doprava, ubytování a pohostinství (meziroční růst HPH o 6,6 %). Výrazný nárůst HPH zaznamenaly i informační </w:t>
            </w:r>
            <w:r>
              <w:lastRenderedPageBreak/>
              <w:t>a komunikační činnosti (5,5 %), profesní, vědecké, technické a administrativní činnosti (5,3 %) a odvětví s převahou vládního sektoru (3,6 %). Po tříletém období meziročních poklesů se mírný růst HPH již dvě čtvrtletí drží ve stavebnictví (1,9 %). Jen mírně nad úroveň loňského 3. kvartálu se dostala HPH činností v oblasti nemovitostí (0,3 %) a ve zpracovatelském průmyslu (0,2 %). Hrubá přidaná hodnota byla meziročně nižší v ostatních činnostech (–0,6 %) a zemědělství, lesnictví a rybářství (–0,1 %).</w:t>
            </w:r>
          </w:p>
        </w:tc>
      </w:tr>
      <w:tr w:rsidR="00FE431E" w:rsidRPr="009110F7" w14:paraId="72BDBC19" w14:textId="77777777" w:rsidTr="00B86EB1">
        <w:trPr>
          <w:trHeight w:val="170"/>
        </w:trPr>
        <w:tc>
          <w:tcPr>
            <w:tcW w:w="1806" w:type="dxa"/>
            <w:vMerge w:val="restart"/>
            <w:shd w:val="clear" w:color="auto" w:fill="auto"/>
            <w:tcMar>
              <w:left w:w="0" w:type="dxa"/>
            </w:tcMar>
          </w:tcPr>
          <w:p w14:paraId="17977896" w14:textId="77777777" w:rsidR="00FE431E" w:rsidRDefault="00FE431E" w:rsidP="00B86EB1">
            <w:pPr>
              <w:pStyle w:val="Marginlie"/>
            </w:pPr>
          </w:p>
        </w:tc>
        <w:tc>
          <w:tcPr>
            <w:tcW w:w="223" w:type="dxa"/>
            <w:vMerge w:val="restart"/>
            <w:shd w:val="clear" w:color="auto" w:fill="auto"/>
            <w:tcMar>
              <w:left w:w="0" w:type="dxa"/>
            </w:tcMar>
          </w:tcPr>
          <w:p w14:paraId="28F9D6C1" w14:textId="77777777" w:rsidR="00FE431E" w:rsidRDefault="00FE431E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13B06FCD" w14:textId="77777777" w:rsidR="00FE431E" w:rsidRPr="00D721B4" w:rsidRDefault="00FE431E" w:rsidP="00B86EB1">
            <w:pPr>
              <w:spacing w:after="0"/>
              <w:rPr>
                <w:szCs w:val="20"/>
              </w:rPr>
            </w:pPr>
            <w:r w:rsidRPr="00D721B4">
              <w:rPr>
                <w:b/>
                <w:szCs w:val="20"/>
              </w:rPr>
              <w:t>Graf č. 3</w:t>
            </w:r>
            <w:r>
              <w:rPr>
                <w:b/>
                <w:szCs w:val="20"/>
              </w:rPr>
              <w:t xml:space="preserve"> </w:t>
            </w:r>
            <w:r w:rsidRPr="00D721B4">
              <w:rPr>
                <w:b/>
                <w:szCs w:val="20"/>
              </w:rPr>
              <w:t xml:space="preserve"> </w:t>
            </w:r>
            <w:r w:rsidRPr="00D721B4">
              <w:rPr>
                <w:rFonts w:cs="Arial"/>
                <w:b/>
                <w:szCs w:val="20"/>
                <w:lang w:eastAsia="en-US"/>
              </w:rPr>
              <w:t xml:space="preserve">Příspěvky odvětví k reálné změně HPH </w:t>
            </w:r>
            <w:r w:rsidRPr="00D721B4">
              <w:rPr>
                <w:rFonts w:cs="Arial"/>
                <w:bCs/>
                <w:szCs w:val="20"/>
                <w:lang w:eastAsia="en-US"/>
              </w:rPr>
              <w:t>(objemové indexy, meziroční příspěvky v p. b., HPH v %)</w:t>
            </w:r>
          </w:p>
        </w:tc>
      </w:tr>
      <w:tr w:rsidR="00FE431E" w:rsidRPr="009110F7" w14:paraId="4913DFEF" w14:textId="77777777" w:rsidTr="00B86EB1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6" w:type="dxa"/>
            <w:vMerge/>
            <w:shd w:val="clear" w:color="auto" w:fill="auto"/>
          </w:tcPr>
          <w:p w14:paraId="73E606DC" w14:textId="77777777" w:rsidR="00FE431E" w:rsidRPr="009110F7" w:rsidRDefault="00FE431E" w:rsidP="00B86EB1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</w:tcPr>
          <w:p w14:paraId="5AA228D2" w14:textId="77777777" w:rsidR="00FE431E" w:rsidRPr="009110F7" w:rsidRDefault="00FE431E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1A04E6B8" w14:textId="77777777" w:rsidR="00FE431E" w:rsidRPr="009110F7" w:rsidRDefault="00FE431E" w:rsidP="00B86EB1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DC4C8D8" wp14:editId="5159BABB">
                  <wp:extent cx="4737600" cy="3318250"/>
                  <wp:effectExtent l="0" t="0" r="6350" b="0"/>
                  <wp:docPr id="2" name="Graf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FE431E" w:rsidRPr="009110F7" w14:paraId="2A9409D7" w14:textId="77777777" w:rsidTr="00B86EB1">
        <w:trPr>
          <w:trHeight w:val="170"/>
        </w:trPr>
        <w:tc>
          <w:tcPr>
            <w:tcW w:w="1806" w:type="dxa"/>
            <w:vMerge/>
            <w:shd w:val="clear" w:color="auto" w:fill="auto"/>
            <w:tcMar>
              <w:left w:w="0" w:type="dxa"/>
            </w:tcMar>
          </w:tcPr>
          <w:p w14:paraId="1A82AB6B" w14:textId="77777777" w:rsidR="00FE431E" w:rsidRPr="009110F7" w:rsidRDefault="00FE431E" w:rsidP="00B86EB1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  <w:tcMar>
              <w:left w:w="0" w:type="dxa"/>
            </w:tcMar>
          </w:tcPr>
          <w:p w14:paraId="21F6E850" w14:textId="77777777" w:rsidR="00FE431E" w:rsidRPr="009110F7" w:rsidRDefault="00FE431E" w:rsidP="00B86EB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183B00A2" w14:textId="77777777" w:rsidR="00FE431E" w:rsidRPr="009110F7" w:rsidRDefault="00FE431E" w:rsidP="00B86EB1">
            <w:pPr>
              <w:rPr>
                <w:sz w:val="14"/>
                <w:szCs w:val="14"/>
              </w:rPr>
            </w:pPr>
            <w:r w:rsidRPr="00A85DE1">
              <w:rPr>
                <w:sz w:val="14"/>
                <w:szCs w:val="14"/>
              </w:rPr>
              <w:t>Zdroj: ČSÚ</w:t>
            </w:r>
          </w:p>
        </w:tc>
      </w:tr>
    </w:tbl>
    <w:p w14:paraId="0C4A3F6C" w14:textId="77777777" w:rsidR="00FE431E" w:rsidRPr="00C41D54" w:rsidRDefault="00FE431E" w:rsidP="00FE431E">
      <w:pPr>
        <w:pStyle w:val="Nadpis11"/>
        <w:rPr>
          <w:b w:val="0"/>
          <w:sz w:val="2"/>
          <w:szCs w:val="2"/>
          <w:highlight w:val="yellow"/>
        </w:rPr>
      </w:pPr>
    </w:p>
    <w:p w14:paraId="176FBC32" w14:textId="77777777" w:rsidR="00FE431E" w:rsidRPr="00DA3ADF" w:rsidRDefault="00FE431E" w:rsidP="00FE431E">
      <w:pPr>
        <w:spacing w:after="0" w:line="240" w:lineRule="auto"/>
        <w:jc w:val="left"/>
        <w:rPr>
          <w:rFonts w:eastAsia="MS Gothic"/>
          <w:bCs/>
          <w:color w:val="71818C"/>
          <w:sz w:val="2"/>
          <w:szCs w:val="2"/>
          <w:highlight w:val="yellow"/>
        </w:rPr>
      </w:pPr>
    </w:p>
    <w:p w14:paraId="34939937" w14:textId="77777777" w:rsidR="00FE431E" w:rsidRDefault="00FE431E" w:rsidP="00FE431E">
      <w:pPr>
        <w:spacing w:after="0" w:line="240" w:lineRule="auto"/>
        <w:jc w:val="left"/>
        <w:rPr>
          <w:b/>
          <w:sz w:val="2"/>
          <w:szCs w:val="2"/>
          <w:highlight w:val="yellow"/>
        </w:rPr>
      </w:pPr>
    </w:p>
    <w:p w14:paraId="1D699EA9" w14:textId="77777777" w:rsidR="00FE431E" w:rsidRPr="00E42054" w:rsidRDefault="00FE431E" w:rsidP="00FE431E">
      <w:pPr>
        <w:pStyle w:val="Nadpis11"/>
        <w:spacing w:after="0"/>
        <w:rPr>
          <w:b w:val="0"/>
          <w:sz w:val="2"/>
          <w:szCs w:val="2"/>
        </w:rPr>
      </w:pPr>
    </w:p>
    <w:p w14:paraId="77F87E67" w14:textId="77777777" w:rsidR="00FE431E" w:rsidRDefault="00FE431E" w:rsidP="00FE431E">
      <w:pPr>
        <w:spacing w:after="0" w:line="240" w:lineRule="auto"/>
        <w:jc w:val="left"/>
        <w:rPr>
          <w:b/>
          <w:sz w:val="2"/>
          <w:szCs w:val="2"/>
          <w:highlight w:val="yellow"/>
        </w:rPr>
      </w:pPr>
    </w:p>
    <w:p w14:paraId="13161A6D" w14:textId="77777777" w:rsidR="00FE431E" w:rsidRPr="000F45E7" w:rsidRDefault="00FE431E" w:rsidP="00FE431E">
      <w:pPr>
        <w:pStyle w:val="Nadpis11"/>
        <w:spacing w:after="0"/>
        <w:rPr>
          <w:b w:val="0"/>
          <w:sz w:val="2"/>
          <w:szCs w:val="2"/>
        </w:rPr>
      </w:pPr>
    </w:p>
    <w:p w14:paraId="52007561" w14:textId="77777777" w:rsidR="00FE431E" w:rsidRPr="00E42054" w:rsidRDefault="00FE431E" w:rsidP="00FE431E">
      <w:pPr>
        <w:pStyle w:val="Nadpis11"/>
        <w:rPr>
          <w:b w:val="0"/>
          <w:sz w:val="2"/>
          <w:szCs w:val="2"/>
        </w:rPr>
      </w:pPr>
    </w:p>
    <w:bookmarkEnd w:id="0"/>
    <w:p w14:paraId="76A3E366" w14:textId="77777777" w:rsidR="00FE431E" w:rsidRPr="000F45E7" w:rsidRDefault="00FE431E" w:rsidP="00FE431E">
      <w:pPr>
        <w:pStyle w:val="Nadpis11"/>
        <w:spacing w:after="0"/>
        <w:rPr>
          <w:b w:val="0"/>
          <w:sz w:val="2"/>
          <w:szCs w:val="2"/>
        </w:rPr>
      </w:pPr>
    </w:p>
    <w:p w14:paraId="0857C61B" w14:textId="77777777" w:rsidR="00FE431E" w:rsidRPr="000F45E7" w:rsidRDefault="00FE431E" w:rsidP="00FE431E">
      <w:pPr>
        <w:pStyle w:val="Nadpis11"/>
        <w:spacing w:after="0"/>
        <w:rPr>
          <w:b w:val="0"/>
          <w:sz w:val="2"/>
          <w:szCs w:val="2"/>
        </w:rPr>
      </w:pPr>
      <w:bookmarkStart w:id="5" w:name="_GoBack"/>
      <w:bookmarkEnd w:id="5"/>
    </w:p>
    <w:bookmarkEnd w:id="1"/>
    <w:bookmarkEnd w:id="2"/>
    <w:bookmarkEnd w:id="3"/>
    <w:sectPr w:rsidR="00FE431E" w:rsidRPr="000F45E7" w:rsidSect="00CE4C30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680" w:footer="737" w:gutter="0"/>
      <w:pgNumType w:start="5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05233" w16cex:dateUtc="2021-12-12T09:49:00Z"/>
  <w16cex:commentExtensible w16cex:durableId="25605965" w16cex:dateUtc="2021-12-12T10:20:00Z"/>
  <w16cex:commentExtensible w16cex:durableId="256059E5" w16cex:dateUtc="2021-12-12T10:22:00Z"/>
  <w16cex:commentExtensible w16cex:durableId="255E05D5" w16cex:dateUtc="2021-12-10T15:59:00Z"/>
  <w16cex:commentExtensible w16cex:durableId="2560964B" w16cex:dateUtc="2021-12-12T14:39:00Z"/>
  <w16cex:commentExtensible w16cex:durableId="255E068F" w16cex:dateUtc="2021-12-10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C02D9A" w16cid:durableId="25605233"/>
  <w16cid:commentId w16cid:paraId="47A2534C" w16cid:durableId="25605965"/>
  <w16cid:commentId w16cid:paraId="39626918" w16cid:durableId="256059E5"/>
  <w16cid:commentId w16cid:paraId="0F66996F" w16cid:durableId="255E05D5"/>
  <w16cid:commentId w16cid:paraId="6E18F763" w16cid:durableId="2560964B"/>
  <w16cid:commentId w16cid:paraId="3AE6BE9D" w16cid:durableId="255E06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2A9BC" w14:textId="77777777" w:rsidR="009112E3" w:rsidRDefault="009112E3" w:rsidP="00E71A58">
      <w:r>
        <w:separator/>
      </w:r>
    </w:p>
  </w:endnote>
  <w:endnote w:type="continuationSeparator" w:id="0">
    <w:p w14:paraId="6D76B327" w14:textId="77777777" w:rsidR="009112E3" w:rsidRDefault="009112E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4DD13B9F" w:rsidR="009112E3" w:rsidRPr="00932443" w:rsidRDefault="009112E3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CE4C30">
      <w:rPr>
        <w:szCs w:val="16"/>
      </w:rPr>
      <w:t>6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až 3. čtvrtletí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04C1E886" w:rsidR="009112E3" w:rsidRPr="00932443" w:rsidRDefault="009112E3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1. až 3. čtvrtletí 2021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CE4C30">
      <w:rPr>
        <w:rStyle w:val="ZpatChar"/>
        <w:szCs w:val="16"/>
      </w:rPr>
      <w:t>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90601" w14:textId="77777777" w:rsidR="009112E3" w:rsidRDefault="009112E3" w:rsidP="00A21B4D">
      <w:pPr>
        <w:spacing w:after="0"/>
      </w:pPr>
      <w:r>
        <w:separator/>
      </w:r>
    </w:p>
  </w:footnote>
  <w:footnote w:type="continuationSeparator" w:id="0">
    <w:p w14:paraId="5EDF8C8E" w14:textId="77777777" w:rsidR="009112E3" w:rsidRDefault="009112E3" w:rsidP="00E71A58">
      <w:r>
        <w:continuationSeparator/>
      </w:r>
    </w:p>
  </w:footnote>
  <w:footnote w:id="1">
    <w:p w14:paraId="7A5D793A" w14:textId="77777777" w:rsidR="009112E3" w:rsidRPr="000348AF" w:rsidRDefault="009112E3" w:rsidP="00FE431E">
      <w:pPr>
        <w:pStyle w:val="Textpoznpodarou"/>
        <w:rPr>
          <w:sz w:val="16"/>
          <w:szCs w:val="16"/>
        </w:rPr>
      </w:pPr>
      <w:r w:rsidRPr="000348AF">
        <w:rPr>
          <w:rStyle w:val="Znakapoznpodarou"/>
          <w:sz w:val="16"/>
          <w:szCs w:val="16"/>
        </w:rPr>
        <w:footnoteRef/>
      </w:r>
      <w:r w:rsidRPr="000348AF">
        <w:rPr>
          <w:sz w:val="16"/>
          <w:szCs w:val="16"/>
        </w:rPr>
        <w:t xml:space="preserve"> Vývoj HDP, hrubé přidané hodnoty a jejich složek je vyjádřen prostřednictvím objemových indexů (tj. očištěn o vliv cen) a po očištění o sezónní a kalendářní vlivy. Údaje jsou platné k </w:t>
      </w:r>
      <w:r>
        <w:rPr>
          <w:sz w:val="16"/>
          <w:szCs w:val="16"/>
        </w:rPr>
        <w:t>30</w:t>
      </w:r>
      <w:r w:rsidRPr="000348AF">
        <w:rPr>
          <w:sz w:val="16"/>
          <w:szCs w:val="16"/>
        </w:rPr>
        <w:t>. </w:t>
      </w:r>
      <w:r>
        <w:rPr>
          <w:sz w:val="16"/>
          <w:szCs w:val="16"/>
        </w:rPr>
        <w:t>11</w:t>
      </w:r>
      <w:r w:rsidRPr="000348AF">
        <w:rPr>
          <w:sz w:val="16"/>
          <w:szCs w:val="16"/>
        </w:rPr>
        <w:t>. 2021.</w:t>
      </w:r>
    </w:p>
  </w:footnote>
  <w:footnote w:id="2">
    <w:p w14:paraId="4AF125C7" w14:textId="77777777" w:rsidR="009112E3" w:rsidRPr="001E74E3" w:rsidRDefault="009112E3" w:rsidP="00FE5466">
      <w:pPr>
        <w:pStyle w:val="Textpoznpodarou"/>
        <w:rPr>
          <w:sz w:val="16"/>
          <w:szCs w:val="16"/>
        </w:rPr>
      </w:pPr>
      <w:r w:rsidRPr="001E74E3">
        <w:rPr>
          <w:rStyle w:val="Znakapoznpodarou"/>
          <w:sz w:val="16"/>
          <w:szCs w:val="16"/>
        </w:rPr>
        <w:footnoteRef/>
      </w:r>
      <w:r w:rsidRPr="001E74E3">
        <w:rPr>
          <w:sz w:val="16"/>
          <w:szCs w:val="16"/>
        </w:rPr>
        <w:t xml:space="preserve"> Data za Bulharsko, Irsko, a</w:t>
      </w:r>
      <w:r>
        <w:rPr>
          <w:sz w:val="16"/>
          <w:szCs w:val="16"/>
        </w:rPr>
        <w:t> </w:t>
      </w:r>
      <w:r w:rsidRPr="001E74E3">
        <w:rPr>
          <w:sz w:val="16"/>
          <w:szCs w:val="16"/>
        </w:rPr>
        <w:t>Řecko nebyla dostupná.</w:t>
      </w:r>
    </w:p>
  </w:footnote>
  <w:footnote w:id="3">
    <w:p w14:paraId="20431DE2" w14:textId="77777777" w:rsidR="009112E3" w:rsidRPr="001E74E3" w:rsidRDefault="009112E3" w:rsidP="00FE5466">
      <w:pPr>
        <w:pStyle w:val="Textpoznpodarou"/>
        <w:rPr>
          <w:sz w:val="16"/>
          <w:szCs w:val="16"/>
        </w:rPr>
      </w:pPr>
      <w:r w:rsidRPr="001E74E3">
        <w:rPr>
          <w:rStyle w:val="Znakapoznpodarou"/>
          <w:sz w:val="16"/>
          <w:szCs w:val="16"/>
        </w:rPr>
        <w:footnoteRef/>
      </w:r>
      <w:r w:rsidRPr="001E74E3">
        <w:rPr>
          <w:sz w:val="16"/>
          <w:szCs w:val="16"/>
        </w:rPr>
        <w:t xml:space="preserve"> Srovnání HDP v cenách roku 2015.</w:t>
      </w:r>
    </w:p>
  </w:footnote>
  <w:footnote w:id="4">
    <w:p w14:paraId="086185AB" w14:textId="77777777" w:rsidR="009112E3" w:rsidRDefault="009112E3" w:rsidP="00FE431E">
      <w:pPr>
        <w:pStyle w:val="Textpoznpodarou"/>
      </w:pPr>
      <w:r w:rsidRPr="009C6EA8">
        <w:rPr>
          <w:rStyle w:val="Znakapoznpodarou"/>
          <w:sz w:val="16"/>
          <w:szCs w:val="16"/>
        </w:rPr>
        <w:footnoteRef/>
      </w:r>
      <w:r w:rsidRPr="009C6EA8">
        <w:rPr>
          <w:sz w:val="16"/>
          <w:szCs w:val="16"/>
        </w:rPr>
        <w:t xml:space="preserve"> </w:t>
      </w:r>
      <w:r>
        <w:rPr>
          <w:sz w:val="16"/>
          <w:szCs w:val="16"/>
        </w:rPr>
        <w:t>Zaměstnanost v</w:t>
      </w:r>
      <w:r w:rsidRPr="009C6EA8">
        <w:rPr>
          <w:sz w:val="16"/>
          <w:szCs w:val="16"/>
        </w:rPr>
        <w:t> pojetí národních účtů</w:t>
      </w:r>
      <w:r>
        <w:rPr>
          <w:sz w:val="16"/>
          <w:szCs w:val="16"/>
        </w:rPr>
        <w:t xml:space="preserve"> (osoby)</w:t>
      </w:r>
      <w:r w:rsidRPr="009C6EA8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údaj je </w:t>
      </w:r>
      <w:r w:rsidRPr="009C6EA8">
        <w:rPr>
          <w:sz w:val="16"/>
          <w:szCs w:val="16"/>
        </w:rPr>
        <w:t>sezónně očištěn</w:t>
      </w:r>
      <w:r w:rsidRPr="00004BA8">
        <w:rPr>
          <w:sz w:val="16"/>
        </w:rPr>
        <w:t>.</w:t>
      </w:r>
    </w:p>
  </w:footnote>
  <w:footnote w:id="5">
    <w:p w14:paraId="2051988A" w14:textId="77777777" w:rsidR="009112E3" w:rsidRPr="00771972" w:rsidRDefault="009112E3" w:rsidP="00FE431E">
      <w:pPr>
        <w:pStyle w:val="Textpoznpodarou"/>
        <w:rPr>
          <w:sz w:val="16"/>
          <w:szCs w:val="16"/>
        </w:rPr>
      </w:pPr>
      <w:r w:rsidRPr="00771972">
        <w:rPr>
          <w:rStyle w:val="Znakapoznpodarou"/>
          <w:sz w:val="16"/>
          <w:szCs w:val="16"/>
        </w:rPr>
        <w:footnoteRef/>
      </w:r>
      <w:r w:rsidRPr="00771972">
        <w:rPr>
          <w:sz w:val="16"/>
          <w:szCs w:val="16"/>
        </w:rPr>
        <w:t xml:space="preserve"> Veřejná správa a</w:t>
      </w:r>
      <w:r>
        <w:rPr>
          <w:sz w:val="16"/>
          <w:szCs w:val="16"/>
        </w:rPr>
        <w:t> </w:t>
      </w:r>
      <w:r w:rsidRPr="00771972">
        <w:rPr>
          <w:sz w:val="16"/>
          <w:szCs w:val="16"/>
        </w:rPr>
        <w:t>obrana, vzdělávání, zdravotní a</w:t>
      </w:r>
      <w:r>
        <w:rPr>
          <w:sz w:val="16"/>
          <w:szCs w:val="16"/>
        </w:rPr>
        <w:t> </w:t>
      </w:r>
      <w:r w:rsidRPr="00771972">
        <w:rPr>
          <w:sz w:val="16"/>
          <w:szCs w:val="16"/>
        </w:rPr>
        <w:t>sociální péče.</w:t>
      </w:r>
    </w:p>
  </w:footnote>
  <w:footnote w:id="6">
    <w:p w14:paraId="75559F11" w14:textId="77777777" w:rsidR="009112E3" w:rsidRPr="003764DF" w:rsidRDefault="009112E3" w:rsidP="00FE431E">
      <w:pPr>
        <w:pStyle w:val="Textpoznpodarou"/>
        <w:rPr>
          <w:sz w:val="16"/>
          <w:szCs w:val="16"/>
        </w:rPr>
      </w:pPr>
      <w:r w:rsidRPr="003764DF">
        <w:rPr>
          <w:rStyle w:val="Znakapoznpodarou"/>
          <w:sz w:val="16"/>
          <w:szCs w:val="16"/>
        </w:rPr>
        <w:footnoteRef/>
      </w:r>
      <w:r w:rsidRPr="003764DF">
        <w:rPr>
          <w:sz w:val="16"/>
          <w:szCs w:val="16"/>
        </w:rPr>
        <w:t xml:space="preserve"> Projevila se zejména vysoká základna 2.</w:t>
      </w:r>
      <w:r>
        <w:rPr>
          <w:sz w:val="16"/>
          <w:szCs w:val="16"/>
        </w:rPr>
        <w:t> čtvrtlet</w:t>
      </w:r>
      <w:r w:rsidRPr="003764DF">
        <w:rPr>
          <w:sz w:val="16"/>
          <w:szCs w:val="16"/>
        </w:rPr>
        <w:t>í, kdy byly vypláceny mimořádné odměny zdravotníkům.</w:t>
      </w:r>
    </w:p>
  </w:footnote>
  <w:footnote w:id="7">
    <w:p w14:paraId="70C441ED" w14:textId="77777777" w:rsidR="009112E3" w:rsidRPr="005F75B1" w:rsidRDefault="009112E3" w:rsidP="00FE431E">
      <w:pPr>
        <w:pStyle w:val="Textpoznpodarou"/>
        <w:rPr>
          <w:sz w:val="16"/>
          <w:szCs w:val="16"/>
        </w:rPr>
      </w:pPr>
      <w:r w:rsidRPr="005F75B1">
        <w:rPr>
          <w:rStyle w:val="Znakapoznpodarou"/>
          <w:sz w:val="16"/>
          <w:szCs w:val="16"/>
        </w:rPr>
        <w:footnoteRef/>
      </w:r>
      <w:r w:rsidRPr="005F75B1">
        <w:rPr>
          <w:sz w:val="16"/>
          <w:szCs w:val="16"/>
        </w:rPr>
        <w:t xml:space="preserve"> Do reálného vyjádření převedeno s pomocí deflátoru spotřeby domácností.</w:t>
      </w:r>
    </w:p>
  </w:footnote>
  <w:footnote w:id="8">
    <w:p w14:paraId="3422152A" w14:textId="77777777" w:rsidR="009112E3" w:rsidRPr="00954992" w:rsidRDefault="009112E3" w:rsidP="00FE431E">
      <w:pPr>
        <w:pStyle w:val="Textpoznpodarou"/>
        <w:rPr>
          <w:sz w:val="16"/>
          <w:szCs w:val="16"/>
        </w:rPr>
      </w:pPr>
      <w:r w:rsidRPr="00954992">
        <w:rPr>
          <w:rStyle w:val="Znakapoznpodarou"/>
          <w:sz w:val="16"/>
          <w:szCs w:val="16"/>
        </w:rPr>
        <w:footnoteRef/>
      </w:r>
      <w:r w:rsidRPr="00954992">
        <w:rPr>
          <w:sz w:val="16"/>
          <w:szCs w:val="16"/>
        </w:rPr>
        <w:t xml:space="preserve"> Údaje o</w:t>
      </w:r>
      <w:r>
        <w:rPr>
          <w:sz w:val="16"/>
          <w:szCs w:val="16"/>
        </w:rPr>
        <w:t> </w:t>
      </w:r>
      <w:r w:rsidRPr="00954992">
        <w:rPr>
          <w:sz w:val="16"/>
          <w:szCs w:val="16"/>
        </w:rPr>
        <w:t>spotřebě dle trvanlivosti jsou v domácím pojetí</w:t>
      </w:r>
      <w:r>
        <w:rPr>
          <w:sz w:val="16"/>
          <w:szCs w:val="16"/>
        </w:rPr>
        <w:t>.</w:t>
      </w:r>
    </w:p>
  </w:footnote>
  <w:footnote w:id="9">
    <w:p w14:paraId="1A92ADAC" w14:textId="77777777" w:rsidR="009112E3" w:rsidRPr="00AA3676" w:rsidRDefault="009112E3" w:rsidP="00FE431E">
      <w:pPr>
        <w:pStyle w:val="Textpoznpodarou"/>
        <w:rPr>
          <w:sz w:val="16"/>
          <w:szCs w:val="16"/>
        </w:rPr>
      </w:pPr>
      <w:r w:rsidRPr="00AA3676">
        <w:rPr>
          <w:rStyle w:val="Znakapoznpodarou"/>
          <w:sz w:val="16"/>
          <w:szCs w:val="16"/>
        </w:rPr>
        <w:footnoteRef/>
      </w:r>
      <w:r w:rsidRPr="00AA3676">
        <w:rPr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 w:rsidRPr="00AA3676">
        <w:rPr>
          <w:spacing w:val="-2"/>
          <w:sz w:val="16"/>
          <w:szCs w:val="16"/>
        </w:rPr>
        <w:t>o</w:t>
      </w:r>
      <w:r>
        <w:rPr>
          <w:spacing w:val="-2"/>
          <w:sz w:val="16"/>
          <w:szCs w:val="16"/>
        </w:rPr>
        <w:t xml:space="preserve"> střednědobé</w:t>
      </w:r>
      <w:r w:rsidRPr="00AA3676">
        <w:rPr>
          <w:spacing w:val="-2"/>
          <w:sz w:val="16"/>
          <w:szCs w:val="16"/>
        </w:rPr>
        <w:t xml:space="preserve"> kategorie spadá velká část omezeného maloobchodu</w:t>
      </w:r>
      <w:r>
        <w:rPr>
          <w:spacing w:val="-2"/>
          <w:sz w:val="16"/>
          <w:szCs w:val="16"/>
        </w:rPr>
        <w:t> </w:t>
      </w:r>
      <w:r w:rsidRPr="00AA3676">
        <w:rPr>
          <w:spacing w:val="-2"/>
          <w:sz w:val="16"/>
          <w:szCs w:val="16"/>
        </w:rPr>
        <w:t>– oděvy, rekreační a</w:t>
      </w:r>
      <w:r>
        <w:rPr>
          <w:spacing w:val="-2"/>
          <w:sz w:val="16"/>
          <w:szCs w:val="16"/>
        </w:rPr>
        <w:t> </w:t>
      </w:r>
      <w:r w:rsidRPr="00AA3676">
        <w:rPr>
          <w:spacing w:val="-2"/>
          <w:sz w:val="16"/>
          <w:szCs w:val="16"/>
        </w:rPr>
        <w:t>sportovní potřeby a</w:t>
      </w:r>
      <w:r>
        <w:rPr>
          <w:spacing w:val="-2"/>
          <w:sz w:val="16"/>
          <w:szCs w:val="16"/>
        </w:rPr>
        <w:t> </w:t>
      </w:r>
      <w:r w:rsidRPr="00AA3676">
        <w:rPr>
          <w:spacing w:val="-2"/>
          <w:sz w:val="16"/>
          <w:szCs w:val="16"/>
        </w:rPr>
        <w:t>pod</w:t>
      </w:r>
      <w:r>
        <w:rPr>
          <w:spacing w:val="-2"/>
          <w:sz w:val="16"/>
          <w:szCs w:val="16"/>
        </w:rPr>
        <w:t>obně</w:t>
      </w:r>
      <w:r w:rsidRPr="00AA3676">
        <w:rPr>
          <w:spacing w:val="-2"/>
          <w:sz w:val="16"/>
          <w:szCs w:val="16"/>
        </w:rPr>
        <w:t>.</w:t>
      </w:r>
    </w:p>
  </w:footnote>
  <w:footnote w:id="10">
    <w:p w14:paraId="081D68EB" w14:textId="77777777" w:rsidR="009112E3" w:rsidRPr="009C6EA8" w:rsidRDefault="009112E3" w:rsidP="00FE431E">
      <w:pPr>
        <w:pStyle w:val="Textpoznpodarou"/>
        <w:rPr>
          <w:sz w:val="16"/>
          <w:szCs w:val="16"/>
        </w:rPr>
      </w:pPr>
      <w:r w:rsidRPr="009C6EA8">
        <w:rPr>
          <w:rStyle w:val="Znakapoznpodarou"/>
          <w:sz w:val="16"/>
          <w:szCs w:val="16"/>
        </w:rPr>
        <w:footnoteRef/>
      </w:r>
      <w:r w:rsidRPr="009C6EA8">
        <w:rPr>
          <w:sz w:val="16"/>
          <w:szCs w:val="16"/>
        </w:rPr>
        <w:t xml:space="preserve"> Příspěvky ke změně HDP po vyloučení dovozu pro konečné užití.</w:t>
      </w:r>
    </w:p>
  </w:footnote>
  <w:footnote w:id="11">
    <w:p w14:paraId="6B4EB325" w14:textId="77777777" w:rsidR="009112E3" w:rsidRPr="004831F6" w:rsidRDefault="009112E3" w:rsidP="00FE431E">
      <w:pPr>
        <w:pStyle w:val="Textpoznpodarou"/>
        <w:rPr>
          <w:sz w:val="16"/>
          <w:szCs w:val="16"/>
        </w:rPr>
      </w:pPr>
      <w:r w:rsidRPr="004831F6">
        <w:rPr>
          <w:rStyle w:val="Znakapoznpodarou"/>
          <w:sz w:val="16"/>
          <w:szCs w:val="16"/>
        </w:rPr>
        <w:footnoteRef/>
      </w:r>
      <w:r w:rsidRPr="004831F6">
        <w:rPr>
          <w:sz w:val="16"/>
          <w:szCs w:val="16"/>
        </w:rPr>
        <w:t xml:space="preserve"> Změna zásob (v</w:t>
      </w:r>
      <w:r>
        <w:rPr>
          <w:sz w:val="16"/>
          <w:szCs w:val="16"/>
        </w:rPr>
        <w:t> </w:t>
      </w:r>
      <w:r w:rsidRPr="004831F6">
        <w:rPr>
          <w:sz w:val="16"/>
          <w:szCs w:val="16"/>
        </w:rPr>
        <w:t>běžných cenách a</w:t>
      </w:r>
      <w:r>
        <w:rPr>
          <w:sz w:val="16"/>
          <w:szCs w:val="16"/>
        </w:rPr>
        <w:t> </w:t>
      </w:r>
      <w:r w:rsidRPr="004831F6">
        <w:rPr>
          <w:sz w:val="16"/>
          <w:szCs w:val="16"/>
        </w:rPr>
        <w:t>sezónně neočištěná) dosáhla ve 2.</w:t>
      </w:r>
      <w:r>
        <w:rPr>
          <w:sz w:val="16"/>
          <w:szCs w:val="16"/>
        </w:rPr>
        <w:t> čtvrtlet</w:t>
      </w:r>
      <w:r w:rsidRPr="004831F6">
        <w:rPr>
          <w:sz w:val="16"/>
          <w:szCs w:val="16"/>
        </w:rPr>
        <w:t>í +</w:t>
      </w:r>
      <w:r>
        <w:rPr>
          <w:sz w:val="16"/>
          <w:szCs w:val="16"/>
        </w:rPr>
        <w:t>114,0 mld.</w:t>
      </w:r>
      <w:r w:rsidRPr="004831F6">
        <w:rPr>
          <w:sz w:val="16"/>
          <w:szCs w:val="16"/>
        </w:rPr>
        <w:t xml:space="preserve"> korun.</w:t>
      </w:r>
    </w:p>
  </w:footnote>
  <w:footnote w:id="12">
    <w:p w14:paraId="453B7FFD" w14:textId="77777777" w:rsidR="009112E3" w:rsidRPr="00167B30" w:rsidRDefault="009112E3" w:rsidP="00FE431E">
      <w:pPr>
        <w:pStyle w:val="Textpoznpodarou"/>
        <w:rPr>
          <w:sz w:val="16"/>
          <w:szCs w:val="16"/>
        </w:rPr>
      </w:pPr>
      <w:r w:rsidRPr="00167B30">
        <w:rPr>
          <w:rStyle w:val="Znakapoznpodarou"/>
          <w:sz w:val="16"/>
          <w:szCs w:val="16"/>
        </w:rPr>
        <w:footnoteRef/>
      </w:r>
      <w:r w:rsidRPr="00167B30">
        <w:rPr>
          <w:sz w:val="16"/>
          <w:szCs w:val="16"/>
        </w:rPr>
        <w:t xml:space="preserve"> Podle metodiky čtvrtletních národních účtů (vývoz a</w:t>
      </w:r>
      <w:r>
        <w:rPr>
          <w:sz w:val="16"/>
          <w:szCs w:val="16"/>
        </w:rPr>
        <w:t> </w:t>
      </w:r>
      <w:r w:rsidRPr="00167B30">
        <w:rPr>
          <w:sz w:val="16"/>
          <w:szCs w:val="16"/>
        </w:rPr>
        <w:t>dovoz v ocenění FOB/FOB)</w:t>
      </w:r>
      <w:r>
        <w:rPr>
          <w:sz w:val="16"/>
          <w:szCs w:val="16"/>
        </w:rPr>
        <w:t>.</w:t>
      </w:r>
    </w:p>
  </w:footnote>
  <w:footnote w:id="13">
    <w:p w14:paraId="16A9D5F8" w14:textId="77777777" w:rsidR="009112E3" w:rsidRPr="00200302" w:rsidRDefault="009112E3" w:rsidP="00FE431E">
      <w:pPr>
        <w:pStyle w:val="Textpoznpodarou"/>
        <w:rPr>
          <w:sz w:val="16"/>
          <w:szCs w:val="16"/>
        </w:rPr>
      </w:pPr>
      <w:r w:rsidRPr="00200302">
        <w:rPr>
          <w:rStyle w:val="Znakapoznpodarou"/>
          <w:sz w:val="16"/>
          <w:szCs w:val="16"/>
        </w:rPr>
        <w:footnoteRef/>
      </w:r>
      <w:r w:rsidRPr="00200302">
        <w:rPr>
          <w:sz w:val="16"/>
          <w:szCs w:val="16"/>
        </w:rPr>
        <w:t xml:space="preserve"> To je více než v loňském 2.</w:t>
      </w:r>
      <w:r>
        <w:rPr>
          <w:sz w:val="16"/>
          <w:szCs w:val="16"/>
        </w:rPr>
        <w:t> čtvrtlet</w:t>
      </w:r>
      <w:r w:rsidRPr="00200302">
        <w:rPr>
          <w:sz w:val="16"/>
          <w:szCs w:val="16"/>
        </w:rPr>
        <w:t xml:space="preserve">í, kdy byl zahraniční obchod paralyzován </w:t>
      </w:r>
      <w:r>
        <w:rPr>
          <w:sz w:val="16"/>
          <w:szCs w:val="16"/>
        </w:rPr>
        <w:t>odstávkami a </w:t>
      </w:r>
      <w:r w:rsidRPr="00200302">
        <w:rPr>
          <w:sz w:val="16"/>
          <w:szCs w:val="16"/>
        </w:rPr>
        <w:t>protipandemickými restrikcemi.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9112E3" w:rsidRDefault="009112E3" w:rsidP="00937AE2">
    <w:pPr>
      <w:pStyle w:val="Zhlav"/>
    </w:pPr>
    <w:r>
      <w:t>Vývoj ekonomiky České republiky</w:t>
    </w:r>
  </w:p>
  <w:p w14:paraId="3E881AB3" w14:textId="77777777" w:rsidR="009112E3" w:rsidRPr="006F5416" w:rsidRDefault="009112E3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9112E3" w:rsidRDefault="009112E3" w:rsidP="00937AE2">
    <w:pPr>
      <w:pStyle w:val="Zhlav"/>
    </w:pPr>
    <w:r>
      <w:t>Vývoj ekonomiky České republiky</w:t>
    </w:r>
  </w:p>
  <w:p w14:paraId="57266714" w14:textId="77777777" w:rsidR="009112E3" w:rsidRPr="006F5416" w:rsidRDefault="009112E3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2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6"/>
  </w:num>
  <w:num w:numId="14">
    <w:abstractNumId w:val="13"/>
  </w:num>
  <w:num w:numId="15">
    <w:abstractNumId w:val="19"/>
  </w:num>
  <w:num w:numId="16">
    <w:abstractNumId w:val="15"/>
  </w:num>
  <w:num w:numId="17">
    <w:abstractNumId w:val="27"/>
  </w:num>
  <w:num w:numId="18">
    <w:abstractNumId w:val="20"/>
  </w:num>
  <w:num w:numId="19">
    <w:abstractNumId w:val="28"/>
  </w:num>
  <w:num w:numId="20">
    <w:abstractNumId w:val="29"/>
  </w:num>
  <w:num w:numId="21">
    <w:abstractNumId w:val="25"/>
  </w:num>
  <w:num w:numId="22">
    <w:abstractNumId w:val="18"/>
  </w:num>
  <w:num w:numId="23">
    <w:abstractNumId w:val="16"/>
  </w:num>
  <w:num w:numId="24">
    <w:abstractNumId w:val="17"/>
  </w:num>
  <w:num w:numId="25">
    <w:abstractNumId w:val="12"/>
  </w:num>
  <w:num w:numId="26">
    <w:abstractNumId w:val="22"/>
  </w:num>
  <w:num w:numId="27">
    <w:abstractNumId w:val="21"/>
  </w:num>
  <w:num w:numId="28">
    <w:abstractNumId w:val="10"/>
  </w:num>
  <w:num w:numId="29">
    <w:abstractNumId w:val="29"/>
  </w:num>
  <w:num w:numId="30">
    <w:abstractNumId w:val="23"/>
  </w:num>
  <w:num w:numId="31">
    <w:abstractNumId w:val="1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B55"/>
    <w:rsid w:val="0000209D"/>
    <w:rsid w:val="00002566"/>
    <w:rsid w:val="0000370A"/>
    <w:rsid w:val="00003849"/>
    <w:rsid w:val="00003F5C"/>
    <w:rsid w:val="00004D5A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128E"/>
    <w:rsid w:val="00011912"/>
    <w:rsid w:val="000129B7"/>
    <w:rsid w:val="0001387D"/>
    <w:rsid w:val="00014ED0"/>
    <w:rsid w:val="00016420"/>
    <w:rsid w:val="00016BDB"/>
    <w:rsid w:val="00017B01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389"/>
    <w:rsid w:val="0002669F"/>
    <w:rsid w:val="000279E5"/>
    <w:rsid w:val="000305E0"/>
    <w:rsid w:val="00031AE0"/>
    <w:rsid w:val="00031BB2"/>
    <w:rsid w:val="000322EF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4183"/>
    <w:rsid w:val="0004431D"/>
    <w:rsid w:val="0004694F"/>
    <w:rsid w:val="00046F2F"/>
    <w:rsid w:val="00047AD4"/>
    <w:rsid w:val="00047D54"/>
    <w:rsid w:val="0005054A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EC5"/>
    <w:rsid w:val="00062F22"/>
    <w:rsid w:val="00063975"/>
    <w:rsid w:val="00063CEA"/>
    <w:rsid w:val="0006444D"/>
    <w:rsid w:val="000645FC"/>
    <w:rsid w:val="0006533F"/>
    <w:rsid w:val="00065348"/>
    <w:rsid w:val="0006551C"/>
    <w:rsid w:val="00065A75"/>
    <w:rsid w:val="000663F0"/>
    <w:rsid w:val="00066558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7CD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3B1"/>
    <w:rsid w:val="0009290F"/>
    <w:rsid w:val="00093241"/>
    <w:rsid w:val="00093868"/>
    <w:rsid w:val="00094A84"/>
    <w:rsid w:val="00095025"/>
    <w:rsid w:val="00095135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A2C"/>
    <w:rsid w:val="000A3D9E"/>
    <w:rsid w:val="000A4A54"/>
    <w:rsid w:val="000A4ED9"/>
    <w:rsid w:val="000A5DB7"/>
    <w:rsid w:val="000A6753"/>
    <w:rsid w:val="000A6D94"/>
    <w:rsid w:val="000A7377"/>
    <w:rsid w:val="000A74A4"/>
    <w:rsid w:val="000A775A"/>
    <w:rsid w:val="000A7FF4"/>
    <w:rsid w:val="000B03CC"/>
    <w:rsid w:val="000B4212"/>
    <w:rsid w:val="000B67B7"/>
    <w:rsid w:val="000C0CA6"/>
    <w:rsid w:val="000C0EA8"/>
    <w:rsid w:val="000C13A2"/>
    <w:rsid w:val="000C21E7"/>
    <w:rsid w:val="000C23EC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D0A26"/>
    <w:rsid w:val="000D13CB"/>
    <w:rsid w:val="000D2196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3F3B"/>
    <w:rsid w:val="000F4721"/>
    <w:rsid w:val="000F47E8"/>
    <w:rsid w:val="000F70E4"/>
    <w:rsid w:val="000F76EA"/>
    <w:rsid w:val="00100A8B"/>
    <w:rsid w:val="00100F5C"/>
    <w:rsid w:val="00101CDA"/>
    <w:rsid w:val="00102037"/>
    <w:rsid w:val="00103DCB"/>
    <w:rsid w:val="00104C4C"/>
    <w:rsid w:val="00105015"/>
    <w:rsid w:val="001055D2"/>
    <w:rsid w:val="001057C2"/>
    <w:rsid w:val="00107124"/>
    <w:rsid w:val="0011038E"/>
    <w:rsid w:val="001125EF"/>
    <w:rsid w:val="00112CAB"/>
    <w:rsid w:val="0011440C"/>
    <w:rsid w:val="00114C33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E0"/>
    <w:rsid w:val="00125D69"/>
    <w:rsid w:val="0012799C"/>
    <w:rsid w:val="00127BC2"/>
    <w:rsid w:val="00127E15"/>
    <w:rsid w:val="00130ADC"/>
    <w:rsid w:val="00130D9F"/>
    <w:rsid w:val="00132C4D"/>
    <w:rsid w:val="00133FC1"/>
    <w:rsid w:val="00134659"/>
    <w:rsid w:val="00136A6F"/>
    <w:rsid w:val="00136C1A"/>
    <w:rsid w:val="001405FA"/>
    <w:rsid w:val="00140D1A"/>
    <w:rsid w:val="00141184"/>
    <w:rsid w:val="00141315"/>
    <w:rsid w:val="00141AA0"/>
    <w:rsid w:val="001425C3"/>
    <w:rsid w:val="0014262D"/>
    <w:rsid w:val="00142B29"/>
    <w:rsid w:val="00144588"/>
    <w:rsid w:val="001447DD"/>
    <w:rsid w:val="00145358"/>
    <w:rsid w:val="001459BC"/>
    <w:rsid w:val="00150ECA"/>
    <w:rsid w:val="00151707"/>
    <w:rsid w:val="00152C86"/>
    <w:rsid w:val="00152F4F"/>
    <w:rsid w:val="0015329F"/>
    <w:rsid w:val="001544A1"/>
    <w:rsid w:val="001553B8"/>
    <w:rsid w:val="001554C2"/>
    <w:rsid w:val="001571C0"/>
    <w:rsid w:val="0015753D"/>
    <w:rsid w:val="00157CC9"/>
    <w:rsid w:val="00160C21"/>
    <w:rsid w:val="001612F4"/>
    <w:rsid w:val="00161553"/>
    <w:rsid w:val="0016216F"/>
    <w:rsid w:val="0016256B"/>
    <w:rsid w:val="00162F81"/>
    <w:rsid w:val="00163793"/>
    <w:rsid w:val="00164CA1"/>
    <w:rsid w:val="00165313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81029"/>
    <w:rsid w:val="00181BBC"/>
    <w:rsid w:val="0018385F"/>
    <w:rsid w:val="00183BCF"/>
    <w:rsid w:val="00184017"/>
    <w:rsid w:val="001847BB"/>
    <w:rsid w:val="00184B08"/>
    <w:rsid w:val="00185010"/>
    <w:rsid w:val="00185C22"/>
    <w:rsid w:val="00186BA9"/>
    <w:rsid w:val="00187D50"/>
    <w:rsid w:val="0019196C"/>
    <w:rsid w:val="001926A9"/>
    <w:rsid w:val="00192F05"/>
    <w:rsid w:val="00194729"/>
    <w:rsid w:val="00194850"/>
    <w:rsid w:val="00195234"/>
    <w:rsid w:val="00196016"/>
    <w:rsid w:val="00196117"/>
    <w:rsid w:val="00197A70"/>
    <w:rsid w:val="00197C0F"/>
    <w:rsid w:val="00197D0E"/>
    <w:rsid w:val="001A0487"/>
    <w:rsid w:val="001A0675"/>
    <w:rsid w:val="001A0A37"/>
    <w:rsid w:val="001A1F68"/>
    <w:rsid w:val="001A21FA"/>
    <w:rsid w:val="001A4D7C"/>
    <w:rsid w:val="001A4EF0"/>
    <w:rsid w:val="001A552F"/>
    <w:rsid w:val="001A70B1"/>
    <w:rsid w:val="001B0738"/>
    <w:rsid w:val="001B1235"/>
    <w:rsid w:val="001B158D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B24"/>
    <w:rsid w:val="001C1B66"/>
    <w:rsid w:val="001C2732"/>
    <w:rsid w:val="001C31A2"/>
    <w:rsid w:val="001C351D"/>
    <w:rsid w:val="001C4B8F"/>
    <w:rsid w:val="001C4BB8"/>
    <w:rsid w:val="001C4FD0"/>
    <w:rsid w:val="001C544D"/>
    <w:rsid w:val="001C5E46"/>
    <w:rsid w:val="001C6B3B"/>
    <w:rsid w:val="001C7A26"/>
    <w:rsid w:val="001C7E3F"/>
    <w:rsid w:val="001D0EF1"/>
    <w:rsid w:val="001D22C2"/>
    <w:rsid w:val="001D2C99"/>
    <w:rsid w:val="001D452E"/>
    <w:rsid w:val="001D54C1"/>
    <w:rsid w:val="001D556E"/>
    <w:rsid w:val="001D5DF2"/>
    <w:rsid w:val="001D6175"/>
    <w:rsid w:val="001D68B2"/>
    <w:rsid w:val="001D7EFD"/>
    <w:rsid w:val="001D7F60"/>
    <w:rsid w:val="001E085B"/>
    <w:rsid w:val="001E149B"/>
    <w:rsid w:val="001E15CB"/>
    <w:rsid w:val="001E3306"/>
    <w:rsid w:val="001E504C"/>
    <w:rsid w:val="001E5A17"/>
    <w:rsid w:val="001E74C5"/>
    <w:rsid w:val="001F1236"/>
    <w:rsid w:val="001F2F90"/>
    <w:rsid w:val="001F4597"/>
    <w:rsid w:val="001F4826"/>
    <w:rsid w:val="001F59C8"/>
    <w:rsid w:val="001F6CD3"/>
    <w:rsid w:val="001F75DA"/>
    <w:rsid w:val="001F7CE0"/>
    <w:rsid w:val="00200085"/>
    <w:rsid w:val="00203332"/>
    <w:rsid w:val="00203CD5"/>
    <w:rsid w:val="00203D8F"/>
    <w:rsid w:val="00203DA4"/>
    <w:rsid w:val="00204EA6"/>
    <w:rsid w:val="00205186"/>
    <w:rsid w:val="00206516"/>
    <w:rsid w:val="002070CF"/>
    <w:rsid w:val="002071D5"/>
    <w:rsid w:val="002111E5"/>
    <w:rsid w:val="0021149E"/>
    <w:rsid w:val="002118B9"/>
    <w:rsid w:val="00213691"/>
    <w:rsid w:val="002142C0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4652"/>
    <w:rsid w:val="00244A15"/>
    <w:rsid w:val="002452D9"/>
    <w:rsid w:val="00247319"/>
    <w:rsid w:val="0024799E"/>
    <w:rsid w:val="00247E60"/>
    <w:rsid w:val="00251496"/>
    <w:rsid w:val="00251B08"/>
    <w:rsid w:val="00251C53"/>
    <w:rsid w:val="00252AB9"/>
    <w:rsid w:val="002532B1"/>
    <w:rsid w:val="00253C0F"/>
    <w:rsid w:val="002558C1"/>
    <w:rsid w:val="00256207"/>
    <w:rsid w:val="002575F3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DEF"/>
    <w:rsid w:val="002763A2"/>
    <w:rsid w:val="00276B33"/>
    <w:rsid w:val="00277669"/>
    <w:rsid w:val="002803A5"/>
    <w:rsid w:val="00280ACB"/>
    <w:rsid w:val="002812E3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509B"/>
    <w:rsid w:val="0029588F"/>
    <w:rsid w:val="00295E96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3209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E4C"/>
    <w:rsid w:val="002E4EA7"/>
    <w:rsid w:val="002E5846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46D6"/>
    <w:rsid w:val="002F498A"/>
    <w:rsid w:val="002F4AD8"/>
    <w:rsid w:val="002F5285"/>
    <w:rsid w:val="002F5820"/>
    <w:rsid w:val="002F64BB"/>
    <w:rsid w:val="002F7D9B"/>
    <w:rsid w:val="00300C31"/>
    <w:rsid w:val="003017EC"/>
    <w:rsid w:val="00302165"/>
    <w:rsid w:val="00303BB4"/>
    <w:rsid w:val="00304771"/>
    <w:rsid w:val="00304F9C"/>
    <w:rsid w:val="003052D4"/>
    <w:rsid w:val="00305863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5169"/>
    <w:rsid w:val="003153C8"/>
    <w:rsid w:val="00315524"/>
    <w:rsid w:val="00315561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40BF3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54F89"/>
    <w:rsid w:val="0035506D"/>
    <w:rsid w:val="0036077F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624C"/>
    <w:rsid w:val="00367F84"/>
    <w:rsid w:val="003712BC"/>
    <w:rsid w:val="00372164"/>
    <w:rsid w:val="003738BD"/>
    <w:rsid w:val="00374263"/>
    <w:rsid w:val="003746F0"/>
    <w:rsid w:val="00374A20"/>
    <w:rsid w:val="00374E21"/>
    <w:rsid w:val="0037537A"/>
    <w:rsid w:val="00377B2E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6739"/>
    <w:rsid w:val="003978B1"/>
    <w:rsid w:val="003A04F6"/>
    <w:rsid w:val="003A0837"/>
    <w:rsid w:val="003A2B4D"/>
    <w:rsid w:val="003A2D12"/>
    <w:rsid w:val="003A2EBA"/>
    <w:rsid w:val="003A45E3"/>
    <w:rsid w:val="003A46B8"/>
    <w:rsid w:val="003A478C"/>
    <w:rsid w:val="003A4A38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E8"/>
    <w:rsid w:val="003C3D2C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EF8"/>
    <w:rsid w:val="003E2DFB"/>
    <w:rsid w:val="003E4466"/>
    <w:rsid w:val="003E4C91"/>
    <w:rsid w:val="003E52D8"/>
    <w:rsid w:val="003E62F1"/>
    <w:rsid w:val="003E6F84"/>
    <w:rsid w:val="003F313C"/>
    <w:rsid w:val="003F33B1"/>
    <w:rsid w:val="003F33B9"/>
    <w:rsid w:val="003F37FC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20880"/>
    <w:rsid w:val="00421179"/>
    <w:rsid w:val="00423623"/>
    <w:rsid w:val="0042470E"/>
    <w:rsid w:val="00425352"/>
    <w:rsid w:val="00426C99"/>
    <w:rsid w:val="00430C96"/>
    <w:rsid w:val="0043174F"/>
    <w:rsid w:val="00431BFF"/>
    <w:rsid w:val="00432199"/>
    <w:rsid w:val="00432A58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F1"/>
    <w:rsid w:val="00452E60"/>
    <w:rsid w:val="0045321B"/>
    <w:rsid w:val="00456FE5"/>
    <w:rsid w:val="00457490"/>
    <w:rsid w:val="0045786C"/>
    <w:rsid w:val="00457953"/>
    <w:rsid w:val="004604D8"/>
    <w:rsid w:val="00460656"/>
    <w:rsid w:val="00460FB3"/>
    <w:rsid w:val="00463D3C"/>
    <w:rsid w:val="00464851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368C"/>
    <w:rsid w:val="0048372F"/>
    <w:rsid w:val="00483A0C"/>
    <w:rsid w:val="004841CC"/>
    <w:rsid w:val="00484ECE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531F"/>
    <w:rsid w:val="004979A5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B1417"/>
    <w:rsid w:val="004B305C"/>
    <w:rsid w:val="004B31B8"/>
    <w:rsid w:val="004B339A"/>
    <w:rsid w:val="004B4C83"/>
    <w:rsid w:val="004B55B7"/>
    <w:rsid w:val="004B5BFA"/>
    <w:rsid w:val="004B619E"/>
    <w:rsid w:val="004B6468"/>
    <w:rsid w:val="004B6EF8"/>
    <w:rsid w:val="004B7125"/>
    <w:rsid w:val="004B756A"/>
    <w:rsid w:val="004B7FB1"/>
    <w:rsid w:val="004C0B3F"/>
    <w:rsid w:val="004C0F87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E03"/>
    <w:rsid w:val="004D3296"/>
    <w:rsid w:val="004D4056"/>
    <w:rsid w:val="004D4CB0"/>
    <w:rsid w:val="004D5B0F"/>
    <w:rsid w:val="004D7626"/>
    <w:rsid w:val="004E186A"/>
    <w:rsid w:val="004E1A40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2461"/>
    <w:rsid w:val="00512585"/>
    <w:rsid w:val="00512A2F"/>
    <w:rsid w:val="00513B7E"/>
    <w:rsid w:val="00513E9D"/>
    <w:rsid w:val="0051475D"/>
    <w:rsid w:val="00514B11"/>
    <w:rsid w:val="00515485"/>
    <w:rsid w:val="00515BE9"/>
    <w:rsid w:val="00515C74"/>
    <w:rsid w:val="0051630F"/>
    <w:rsid w:val="00517113"/>
    <w:rsid w:val="0052007E"/>
    <w:rsid w:val="00521CAD"/>
    <w:rsid w:val="0052200D"/>
    <w:rsid w:val="00522425"/>
    <w:rsid w:val="00522E01"/>
    <w:rsid w:val="0052337A"/>
    <w:rsid w:val="00524385"/>
    <w:rsid w:val="005246BE"/>
    <w:rsid w:val="00525137"/>
    <w:rsid w:val="005251DD"/>
    <w:rsid w:val="0052762C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FC7"/>
    <w:rsid w:val="005500F9"/>
    <w:rsid w:val="00550160"/>
    <w:rsid w:val="005519E2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C41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7671"/>
    <w:rsid w:val="00597BBF"/>
    <w:rsid w:val="005A0463"/>
    <w:rsid w:val="005A0948"/>
    <w:rsid w:val="005A0A03"/>
    <w:rsid w:val="005A10F2"/>
    <w:rsid w:val="005A16C0"/>
    <w:rsid w:val="005A21E0"/>
    <w:rsid w:val="005A28FF"/>
    <w:rsid w:val="005A2C09"/>
    <w:rsid w:val="005A3778"/>
    <w:rsid w:val="005A37B0"/>
    <w:rsid w:val="005A3DF8"/>
    <w:rsid w:val="005A5549"/>
    <w:rsid w:val="005A566A"/>
    <w:rsid w:val="005A7ABD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0CE1"/>
    <w:rsid w:val="005C11B8"/>
    <w:rsid w:val="005C216C"/>
    <w:rsid w:val="005C2609"/>
    <w:rsid w:val="005C2B30"/>
    <w:rsid w:val="005C412B"/>
    <w:rsid w:val="005C43EC"/>
    <w:rsid w:val="005C45DD"/>
    <w:rsid w:val="005C4704"/>
    <w:rsid w:val="005C4CB1"/>
    <w:rsid w:val="005D3F06"/>
    <w:rsid w:val="005D4B73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13E"/>
    <w:rsid w:val="005F466B"/>
    <w:rsid w:val="005F46D8"/>
    <w:rsid w:val="005F480F"/>
    <w:rsid w:val="005F5469"/>
    <w:rsid w:val="005F63F3"/>
    <w:rsid w:val="005F66F0"/>
    <w:rsid w:val="005F6D7F"/>
    <w:rsid w:val="005F7174"/>
    <w:rsid w:val="0060120D"/>
    <w:rsid w:val="006017C1"/>
    <w:rsid w:val="00601ADE"/>
    <w:rsid w:val="00601EEF"/>
    <w:rsid w:val="0060255A"/>
    <w:rsid w:val="00602EB3"/>
    <w:rsid w:val="00604307"/>
    <w:rsid w:val="0060487F"/>
    <w:rsid w:val="00604EAD"/>
    <w:rsid w:val="0060513F"/>
    <w:rsid w:val="006065E2"/>
    <w:rsid w:val="0060694B"/>
    <w:rsid w:val="006104FB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72A"/>
    <w:rsid w:val="00616E05"/>
    <w:rsid w:val="00617985"/>
    <w:rsid w:val="00620B77"/>
    <w:rsid w:val="0062131B"/>
    <w:rsid w:val="00621E26"/>
    <w:rsid w:val="006224EA"/>
    <w:rsid w:val="0062263A"/>
    <w:rsid w:val="006227DF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6B3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2E30"/>
    <w:rsid w:val="00653BD0"/>
    <w:rsid w:val="00654110"/>
    <w:rsid w:val="00656C5D"/>
    <w:rsid w:val="00656CFB"/>
    <w:rsid w:val="00656D25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982"/>
    <w:rsid w:val="00665BA4"/>
    <w:rsid w:val="00666BF3"/>
    <w:rsid w:val="00667856"/>
    <w:rsid w:val="00667AF2"/>
    <w:rsid w:val="00670489"/>
    <w:rsid w:val="006710C9"/>
    <w:rsid w:val="00671D85"/>
    <w:rsid w:val="00672586"/>
    <w:rsid w:val="006741CD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B9B"/>
    <w:rsid w:val="00684D59"/>
    <w:rsid w:val="00684E25"/>
    <w:rsid w:val="006858A4"/>
    <w:rsid w:val="00685C08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5F4B"/>
    <w:rsid w:val="006A6114"/>
    <w:rsid w:val="006A65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AEC"/>
    <w:rsid w:val="006C7CA6"/>
    <w:rsid w:val="006D18B3"/>
    <w:rsid w:val="006D1E89"/>
    <w:rsid w:val="006D26CE"/>
    <w:rsid w:val="006D317E"/>
    <w:rsid w:val="006D3E8A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BF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605B"/>
    <w:rsid w:val="00776169"/>
    <w:rsid w:val="00776527"/>
    <w:rsid w:val="00777040"/>
    <w:rsid w:val="00777CE6"/>
    <w:rsid w:val="00777D57"/>
    <w:rsid w:val="00780EF1"/>
    <w:rsid w:val="00781A91"/>
    <w:rsid w:val="00781AD3"/>
    <w:rsid w:val="00781F36"/>
    <w:rsid w:val="0078357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5725"/>
    <w:rsid w:val="007B5C1F"/>
    <w:rsid w:val="007B6689"/>
    <w:rsid w:val="007B6747"/>
    <w:rsid w:val="007B6F72"/>
    <w:rsid w:val="007B74AA"/>
    <w:rsid w:val="007C10BD"/>
    <w:rsid w:val="007C162D"/>
    <w:rsid w:val="007C1F0C"/>
    <w:rsid w:val="007C1FFB"/>
    <w:rsid w:val="007C2D94"/>
    <w:rsid w:val="007C4A6B"/>
    <w:rsid w:val="007C5F92"/>
    <w:rsid w:val="007C6227"/>
    <w:rsid w:val="007C6BBD"/>
    <w:rsid w:val="007C6D89"/>
    <w:rsid w:val="007C6F5E"/>
    <w:rsid w:val="007D0382"/>
    <w:rsid w:val="007D0F6B"/>
    <w:rsid w:val="007D14FE"/>
    <w:rsid w:val="007D1A1F"/>
    <w:rsid w:val="007D213B"/>
    <w:rsid w:val="007D2E18"/>
    <w:rsid w:val="007D40DF"/>
    <w:rsid w:val="007D42E5"/>
    <w:rsid w:val="007D4458"/>
    <w:rsid w:val="007D6AF9"/>
    <w:rsid w:val="007E0535"/>
    <w:rsid w:val="007E07F2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34C"/>
    <w:rsid w:val="00807C82"/>
    <w:rsid w:val="008117CC"/>
    <w:rsid w:val="00811FF8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20A8"/>
    <w:rsid w:val="00852217"/>
    <w:rsid w:val="00853282"/>
    <w:rsid w:val="0085334C"/>
    <w:rsid w:val="00854291"/>
    <w:rsid w:val="00855408"/>
    <w:rsid w:val="00855D03"/>
    <w:rsid w:val="00856D65"/>
    <w:rsid w:val="00856FA4"/>
    <w:rsid w:val="00860D79"/>
    <w:rsid w:val="00861B41"/>
    <w:rsid w:val="00861B9F"/>
    <w:rsid w:val="00861BE3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ECD"/>
    <w:rsid w:val="0087347C"/>
    <w:rsid w:val="008734E7"/>
    <w:rsid w:val="0087368D"/>
    <w:rsid w:val="008740CC"/>
    <w:rsid w:val="0087442A"/>
    <w:rsid w:val="00874FE8"/>
    <w:rsid w:val="00875A32"/>
    <w:rsid w:val="00876086"/>
    <w:rsid w:val="00876651"/>
    <w:rsid w:val="00876E83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2639"/>
    <w:rsid w:val="008B3537"/>
    <w:rsid w:val="008B3690"/>
    <w:rsid w:val="008B3A80"/>
    <w:rsid w:val="008B3AEC"/>
    <w:rsid w:val="008B3C07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1717"/>
    <w:rsid w:val="008C17F0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6C3A"/>
    <w:rsid w:val="008D70E2"/>
    <w:rsid w:val="008E0001"/>
    <w:rsid w:val="008E292B"/>
    <w:rsid w:val="008E2C57"/>
    <w:rsid w:val="008E31FF"/>
    <w:rsid w:val="008E3287"/>
    <w:rsid w:val="008E38E4"/>
    <w:rsid w:val="008E51EB"/>
    <w:rsid w:val="008E6DCB"/>
    <w:rsid w:val="008E6F06"/>
    <w:rsid w:val="008E7000"/>
    <w:rsid w:val="008E723E"/>
    <w:rsid w:val="008E7B8E"/>
    <w:rsid w:val="008E7FC9"/>
    <w:rsid w:val="008F0107"/>
    <w:rsid w:val="008F029B"/>
    <w:rsid w:val="008F0589"/>
    <w:rsid w:val="008F2A5D"/>
    <w:rsid w:val="008F2BC7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476D"/>
    <w:rsid w:val="00915D07"/>
    <w:rsid w:val="009162AE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48B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1D45"/>
    <w:rsid w:val="00992BB3"/>
    <w:rsid w:val="00992CF3"/>
    <w:rsid w:val="00993194"/>
    <w:rsid w:val="0099321E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CAB"/>
    <w:rsid w:val="009A2359"/>
    <w:rsid w:val="009A24F1"/>
    <w:rsid w:val="009A27E0"/>
    <w:rsid w:val="009A4D57"/>
    <w:rsid w:val="009A51A5"/>
    <w:rsid w:val="009A5309"/>
    <w:rsid w:val="009A60D1"/>
    <w:rsid w:val="009A6225"/>
    <w:rsid w:val="009A64F5"/>
    <w:rsid w:val="009B00D2"/>
    <w:rsid w:val="009B05B3"/>
    <w:rsid w:val="009B0CAF"/>
    <w:rsid w:val="009B1324"/>
    <w:rsid w:val="009B2558"/>
    <w:rsid w:val="009B284F"/>
    <w:rsid w:val="009B3764"/>
    <w:rsid w:val="009B3840"/>
    <w:rsid w:val="009B52AC"/>
    <w:rsid w:val="009B59EA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1CA6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306F"/>
    <w:rsid w:val="00A03511"/>
    <w:rsid w:val="00A03B10"/>
    <w:rsid w:val="00A03E2E"/>
    <w:rsid w:val="00A04616"/>
    <w:rsid w:val="00A04717"/>
    <w:rsid w:val="00A05D8F"/>
    <w:rsid w:val="00A05EE4"/>
    <w:rsid w:val="00A06F99"/>
    <w:rsid w:val="00A1053B"/>
    <w:rsid w:val="00A10D66"/>
    <w:rsid w:val="00A113A4"/>
    <w:rsid w:val="00A14114"/>
    <w:rsid w:val="00A16413"/>
    <w:rsid w:val="00A16545"/>
    <w:rsid w:val="00A16A1A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6777"/>
    <w:rsid w:val="00A2731E"/>
    <w:rsid w:val="00A309AC"/>
    <w:rsid w:val="00A30F65"/>
    <w:rsid w:val="00A3279E"/>
    <w:rsid w:val="00A33DB1"/>
    <w:rsid w:val="00A33EEB"/>
    <w:rsid w:val="00A35900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8BA"/>
    <w:rsid w:val="00A50D73"/>
    <w:rsid w:val="00A518BB"/>
    <w:rsid w:val="00A52A88"/>
    <w:rsid w:val="00A52CAD"/>
    <w:rsid w:val="00A53FC7"/>
    <w:rsid w:val="00A55569"/>
    <w:rsid w:val="00A566A0"/>
    <w:rsid w:val="00A601E7"/>
    <w:rsid w:val="00A60AC1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92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D0B22"/>
    <w:rsid w:val="00AD0EE7"/>
    <w:rsid w:val="00AD168E"/>
    <w:rsid w:val="00AD306C"/>
    <w:rsid w:val="00AD44CD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417E"/>
    <w:rsid w:val="00AE6414"/>
    <w:rsid w:val="00AE7269"/>
    <w:rsid w:val="00AE797C"/>
    <w:rsid w:val="00AE7CE7"/>
    <w:rsid w:val="00AE7FAB"/>
    <w:rsid w:val="00AF0DE4"/>
    <w:rsid w:val="00AF12A0"/>
    <w:rsid w:val="00AF1E87"/>
    <w:rsid w:val="00AF436B"/>
    <w:rsid w:val="00AF5179"/>
    <w:rsid w:val="00AF5CC2"/>
    <w:rsid w:val="00AF6776"/>
    <w:rsid w:val="00AF6F98"/>
    <w:rsid w:val="00AF7277"/>
    <w:rsid w:val="00B00550"/>
    <w:rsid w:val="00B00913"/>
    <w:rsid w:val="00B01593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63B"/>
    <w:rsid w:val="00B36BDC"/>
    <w:rsid w:val="00B37D3A"/>
    <w:rsid w:val="00B37D96"/>
    <w:rsid w:val="00B402FC"/>
    <w:rsid w:val="00B422E2"/>
    <w:rsid w:val="00B42517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3A11"/>
    <w:rsid w:val="00B64425"/>
    <w:rsid w:val="00B64C24"/>
    <w:rsid w:val="00B65CEF"/>
    <w:rsid w:val="00B6608F"/>
    <w:rsid w:val="00B67749"/>
    <w:rsid w:val="00B679FB"/>
    <w:rsid w:val="00B71FBF"/>
    <w:rsid w:val="00B734A0"/>
    <w:rsid w:val="00B73A14"/>
    <w:rsid w:val="00B748BD"/>
    <w:rsid w:val="00B76100"/>
    <w:rsid w:val="00B7680F"/>
    <w:rsid w:val="00B76B48"/>
    <w:rsid w:val="00B76D1E"/>
    <w:rsid w:val="00B77543"/>
    <w:rsid w:val="00B77584"/>
    <w:rsid w:val="00B77E3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6D74"/>
    <w:rsid w:val="00B9720E"/>
    <w:rsid w:val="00B97ACC"/>
    <w:rsid w:val="00B97FE2"/>
    <w:rsid w:val="00BA0E0B"/>
    <w:rsid w:val="00BA201A"/>
    <w:rsid w:val="00BA21DF"/>
    <w:rsid w:val="00BA361D"/>
    <w:rsid w:val="00BA3787"/>
    <w:rsid w:val="00BA403A"/>
    <w:rsid w:val="00BA46E8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0C0"/>
    <w:rsid w:val="00BB5AB2"/>
    <w:rsid w:val="00BB5ABF"/>
    <w:rsid w:val="00BB6EA2"/>
    <w:rsid w:val="00BB76F3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86D"/>
    <w:rsid w:val="00BE4DA9"/>
    <w:rsid w:val="00BE54BF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7FC"/>
    <w:rsid w:val="00C006D6"/>
    <w:rsid w:val="00C00BD7"/>
    <w:rsid w:val="00C01410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1244"/>
    <w:rsid w:val="00C11D48"/>
    <w:rsid w:val="00C12304"/>
    <w:rsid w:val="00C12316"/>
    <w:rsid w:val="00C1246C"/>
    <w:rsid w:val="00C1493E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34DB"/>
    <w:rsid w:val="00C23C5C"/>
    <w:rsid w:val="00C2479A"/>
    <w:rsid w:val="00C24903"/>
    <w:rsid w:val="00C2590D"/>
    <w:rsid w:val="00C25D9C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0AE3"/>
    <w:rsid w:val="00C61F47"/>
    <w:rsid w:val="00C62828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867F9"/>
    <w:rsid w:val="00C872AA"/>
    <w:rsid w:val="00C87C6B"/>
    <w:rsid w:val="00C90CF4"/>
    <w:rsid w:val="00C91C20"/>
    <w:rsid w:val="00C922DE"/>
    <w:rsid w:val="00C92843"/>
    <w:rsid w:val="00C92EB6"/>
    <w:rsid w:val="00C93389"/>
    <w:rsid w:val="00C948E6"/>
    <w:rsid w:val="00C94CDD"/>
    <w:rsid w:val="00C95123"/>
    <w:rsid w:val="00C97588"/>
    <w:rsid w:val="00CA0346"/>
    <w:rsid w:val="00CA0DA1"/>
    <w:rsid w:val="00CA1BD6"/>
    <w:rsid w:val="00CA37FF"/>
    <w:rsid w:val="00CA423A"/>
    <w:rsid w:val="00CA47BC"/>
    <w:rsid w:val="00CA5EAD"/>
    <w:rsid w:val="00CA6AB4"/>
    <w:rsid w:val="00CA7255"/>
    <w:rsid w:val="00CB111E"/>
    <w:rsid w:val="00CB1BEE"/>
    <w:rsid w:val="00CB2351"/>
    <w:rsid w:val="00CB4022"/>
    <w:rsid w:val="00CB4930"/>
    <w:rsid w:val="00CB4BA9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6331"/>
    <w:rsid w:val="00CE14BE"/>
    <w:rsid w:val="00CE17A4"/>
    <w:rsid w:val="00CE1BA9"/>
    <w:rsid w:val="00CE2D8F"/>
    <w:rsid w:val="00CE3532"/>
    <w:rsid w:val="00CE3E48"/>
    <w:rsid w:val="00CE46C0"/>
    <w:rsid w:val="00CE47B8"/>
    <w:rsid w:val="00CE4C30"/>
    <w:rsid w:val="00CE54FD"/>
    <w:rsid w:val="00CE5C92"/>
    <w:rsid w:val="00CE62FA"/>
    <w:rsid w:val="00CE670B"/>
    <w:rsid w:val="00CE6833"/>
    <w:rsid w:val="00CF020B"/>
    <w:rsid w:val="00CF15BF"/>
    <w:rsid w:val="00CF2E4D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3F3E"/>
    <w:rsid w:val="00D14C5B"/>
    <w:rsid w:val="00D15FED"/>
    <w:rsid w:val="00D16712"/>
    <w:rsid w:val="00D214EF"/>
    <w:rsid w:val="00D215B0"/>
    <w:rsid w:val="00D21D6D"/>
    <w:rsid w:val="00D21D83"/>
    <w:rsid w:val="00D22A47"/>
    <w:rsid w:val="00D235B7"/>
    <w:rsid w:val="00D23FAE"/>
    <w:rsid w:val="00D25F28"/>
    <w:rsid w:val="00D26071"/>
    <w:rsid w:val="00D260C7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E3C"/>
    <w:rsid w:val="00D61FAB"/>
    <w:rsid w:val="00D63BE5"/>
    <w:rsid w:val="00D6475F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32B8"/>
    <w:rsid w:val="00D95302"/>
    <w:rsid w:val="00D95889"/>
    <w:rsid w:val="00D95C5D"/>
    <w:rsid w:val="00D97D00"/>
    <w:rsid w:val="00DA096C"/>
    <w:rsid w:val="00DA1AB6"/>
    <w:rsid w:val="00DA2E65"/>
    <w:rsid w:val="00DA3ADF"/>
    <w:rsid w:val="00DA4174"/>
    <w:rsid w:val="00DA544C"/>
    <w:rsid w:val="00DA5F8E"/>
    <w:rsid w:val="00DA6364"/>
    <w:rsid w:val="00DA7114"/>
    <w:rsid w:val="00DA7C0C"/>
    <w:rsid w:val="00DB03DD"/>
    <w:rsid w:val="00DB08A9"/>
    <w:rsid w:val="00DB0B33"/>
    <w:rsid w:val="00DB0FD9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3E5D"/>
    <w:rsid w:val="00DE450F"/>
    <w:rsid w:val="00DE4865"/>
    <w:rsid w:val="00DE5CA6"/>
    <w:rsid w:val="00DE5E55"/>
    <w:rsid w:val="00DE7AC8"/>
    <w:rsid w:val="00DF0830"/>
    <w:rsid w:val="00DF2C5D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1168B"/>
    <w:rsid w:val="00E12191"/>
    <w:rsid w:val="00E129E7"/>
    <w:rsid w:val="00E12ABE"/>
    <w:rsid w:val="00E12B1E"/>
    <w:rsid w:val="00E135EB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7CC0"/>
    <w:rsid w:val="00E80B3D"/>
    <w:rsid w:val="00E80CA3"/>
    <w:rsid w:val="00E82618"/>
    <w:rsid w:val="00E84E09"/>
    <w:rsid w:val="00E87CE2"/>
    <w:rsid w:val="00E90CA8"/>
    <w:rsid w:val="00E911C6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402"/>
    <w:rsid w:val="00EA4B8D"/>
    <w:rsid w:val="00EA513E"/>
    <w:rsid w:val="00EA7419"/>
    <w:rsid w:val="00EB0E32"/>
    <w:rsid w:val="00EB3E60"/>
    <w:rsid w:val="00EB4511"/>
    <w:rsid w:val="00EB48D7"/>
    <w:rsid w:val="00EB49F1"/>
    <w:rsid w:val="00EB4A8E"/>
    <w:rsid w:val="00EB4BC5"/>
    <w:rsid w:val="00EB5BF7"/>
    <w:rsid w:val="00EB5E79"/>
    <w:rsid w:val="00EB6FAC"/>
    <w:rsid w:val="00EB7BAC"/>
    <w:rsid w:val="00EB7CC9"/>
    <w:rsid w:val="00EC03D7"/>
    <w:rsid w:val="00EC13A7"/>
    <w:rsid w:val="00EC2EB6"/>
    <w:rsid w:val="00EC4FFF"/>
    <w:rsid w:val="00EC6E8C"/>
    <w:rsid w:val="00ED0EF0"/>
    <w:rsid w:val="00ED12B9"/>
    <w:rsid w:val="00ED16B8"/>
    <w:rsid w:val="00ED1959"/>
    <w:rsid w:val="00ED1A00"/>
    <w:rsid w:val="00ED1DF0"/>
    <w:rsid w:val="00ED2386"/>
    <w:rsid w:val="00ED2EA1"/>
    <w:rsid w:val="00ED3851"/>
    <w:rsid w:val="00ED3E51"/>
    <w:rsid w:val="00ED3F10"/>
    <w:rsid w:val="00ED3F9B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E06"/>
    <w:rsid w:val="00EE7179"/>
    <w:rsid w:val="00EF0D90"/>
    <w:rsid w:val="00EF150D"/>
    <w:rsid w:val="00EF1F5A"/>
    <w:rsid w:val="00EF23B5"/>
    <w:rsid w:val="00EF326A"/>
    <w:rsid w:val="00EF3898"/>
    <w:rsid w:val="00EF47BF"/>
    <w:rsid w:val="00EF52F7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73ED"/>
    <w:rsid w:val="00F07C4C"/>
    <w:rsid w:val="00F10F11"/>
    <w:rsid w:val="00F11159"/>
    <w:rsid w:val="00F115E4"/>
    <w:rsid w:val="00F11AC4"/>
    <w:rsid w:val="00F120A5"/>
    <w:rsid w:val="00F12CFB"/>
    <w:rsid w:val="00F13E60"/>
    <w:rsid w:val="00F13FDB"/>
    <w:rsid w:val="00F15AAA"/>
    <w:rsid w:val="00F15BEF"/>
    <w:rsid w:val="00F17898"/>
    <w:rsid w:val="00F204BF"/>
    <w:rsid w:val="00F207C2"/>
    <w:rsid w:val="00F21337"/>
    <w:rsid w:val="00F219A1"/>
    <w:rsid w:val="00F23E20"/>
    <w:rsid w:val="00F24407"/>
    <w:rsid w:val="00F24FAA"/>
    <w:rsid w:val="00F25040"/>
    <w:rsid w:val="00F27071"/>
    <w:rsid w:val="00F27331"/>
    <w:rsid w:val="00F276D3"/>
    <w:rsid w:val="00F27EE5"/>
    <w:rsid w:val="00F27FB1"/>
    <w:rsid w:val="00F27FD6"/>
    <w:rsid w:val="00F307CB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A68"/>
    <w:rsid w:val="00F54934"/>
    <w:rsid w:val="00F55A92"/>
    <w:rsid w:val="00F5615B"/>
    <w:rsid w:val="00F575D3"/>
    <w:rsid w:val="00F57A76"/>
    <w:rsid w:val="00F57D57"/>
    <w:rsid w:val="00F6178B"/>
    <w:rsid w:val="00F62BFF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82D14"/>
    <w:rsid w:val="00F84E7D"/>
    <w:rsid w:val="00F85066"/>
    <w:rsid w:val="00F87A4D"/>
    <w:rsid w:val="00F93688"/>
    <w:rsid w:val="00F939F3"/>
    <w:rsid w:val="00F93C6E"/>
    <w:rsid w:val="00F93F2C"/>
    <w:rsid w:val="00F962AD"/>
    <w:rsid w:val="00F9644E"/>
    <w:rsid w:val="00FA0105"/>
    <w:rsid w:val="00FA05A0"/>
    <w:rsid w:val="00FA0AEF"/>
    <w:rsid w:val="00FA17CC"/>
    <w:rsid w:val="00FA1CFE"/>
    <w:rsid w:val="00FA1F01"/>
    <w:rsid w:val="00FA26DF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916"/>
    <w:rsid w:val="00FD4D12"/>
    <w:rsid w:val="00FD4F73"/>
    <w:rsid w:val="00FD595E"/>
    <w:rsid w:val="00FD7802"/>
    <w:rsid w:val="00FD7D3B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1136"/>
    <w:rsid w:val="00FF3D76"/>
    <w:rsid w:val="00FF5B8C"/>
    <w:rsid w:val="00FF63E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36" Type="http://schemas.microsoft.com/office/2016/09/relationships/commentsIds" Target="commentsIds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1.xml"/><Relationship Id="rId35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&#253;za\Q\2021Q3\Makroanal&#253;za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&#253;za\Q\2021Q3\Makroanal&#253;za%20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&#253;za\Q\2021Q3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324257007767645E-2"/>
          <c:y val="2.3046636085626952E-2"/>
          <c:w val="0.92008633063154344"/>
          <c:h val="0.741928402566716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'souhrnná výkonnost 1'!$C$4</c:f>
              <c:strCache>
                <c:ptCount val="1"/>
                <c:pt idx="0">
                  <c:v>ČR meziroční změna</c:v>
                </c:pt>
              </c:strCache>
            </c:strRef>
          </c:tx>
          <c:spPr>
            <a:solidFill>
              <a:srgbClr val="A6A6A6"/>
            </a:solidFill>
            <a:ln>
              <a:noFill/>
            </a:ln>
          </c:spPr>
          <c:invertIfNegative val="0"/>
          <c:cat>
            <c:multiLvlStrRef>
              <c:f>'souhrnná výkonnost 1'!$A$21:$B$43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'souhrnná výkonnost 1'!$C$21:$C$43</c:f>
              <c:numCache>
                <c:formatCode>#\ ##0.0</c:formatCode>
                <c:ptCount val="23"/>
                <c:pt idx="0">
                  <c:v>3.3935679863989208</c:v>
                </c:pt>
                <c:pt idx="1">
                  <c:v>2.2554525211863137</c:v>
                </c:pt>
                <c:pt idx="2">
                  <c:v>1.9595698850867365</c:v>
                </c:pt>
                <c:pt idx="3">
                  <c:v>2.1706116744660449</c:v>
                </c:pt>
                <c:pt idx="4">
                  <c:v>3.5703667972288571</c:v>
                </c:pt>
                <c:pt idx="5">
                  <c:v>6.1313858438531526</c:v>
                </c:pt>
                <c:pt idx="6">
                  <c:v>5.8793571478929323</c:v>
                </c:pt>
                <c:pt idx="7">
                  <c:v>5.8948576142013849</c:v>
                </c:pt>
                <c:pt idx="8">
                  <c:v>4.8045186709861412</c:v>
                </c:pt>
                <c:pt idx="9" formatCode="General">
                  <c:v>2.6817351351516834</c:v>
                </c:pt>
                <c:pt idx="10" formatCode="General">
                  <c:v>2.7294466842677565</c:v>
                </c:pt>
                <c:pt idx="11">
                  <c:v>2.5583350179001485</c:v>
                </c:pt>
                <c:pt idx="12">
                  <c:v>2.9671766091530287</c:v>
                </c:pt>
                <c:pt idx="13" formatCode="General">
                  <c:v>3.0195090485548093</c:v>
                </c:pt>
                <c:pt idx="14" formatCode="General">
                  <c:v>2.9551051697276307</c:v>
                </c:pt>
                <c:pt idx="15" formatCode="General">
                  <c:v>2.8845218371908743</c:v>
                </c:pt>
                <c:pt idx="16" formatCode="General">
                  <c:v>-1.4626768956389213</c:v>
                </c:pt>
                <c:pt idx="17" formatCode="General">
                  <c:v>-10.942094363882291</c:v>
                </c:pt>
                <c:pt idx="18" formatCode="General">
                  <c:v>-5.4470154857909989</c:v>
                </c:pt>
                <c:pt idx="19" formatCode="General">
                  <c:v>-5.3453232021546739</c:v>
                </c:pt>
                <c:pt idx="20" formatCode="General">
                  <c:v>-2.4560730013380834</c:v>
                </c:pt>
                <c:pt idx="21" formatCode="General">
                  <c:v>8.4781040670799399</c:v>
                </c:pt>
                <c:pt idx="22" formatCode="General">
                  <c:v>3.1381078256552826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D4-457C-A16A-3B55C46300F2}"/>
            </c:ext>
          </c:extLst>
        </c:ser>
        <c:ser>
          <c:idx val="1"/>
          <c:order val="1"/>
          <c:tx>
            <c:strRef>
              <c:f>'souhrnná výkonnost 1'!$D$4</c:f>
              <c:strCache>
                <c:ptCount val="1"/>
                <c:pt idx="0">
                  <c:v>EU27 meziroční změna</c:v>
                </c:pt>
              </c:strCache>
            </c:strRef>
          </c:tx>
          <c:spPr>
            <a:solidFill>
              <a:srgbClr val="808080"/>
            </a:solidFill>
            <a:ln>
              <a:noFill/>
            </a:ln>
          </c:spPr>
          <c:invertIfNegative val="0"/>
          <c:cat>
            <c:multiLvlStrRef>
              <c:f>'souhrnná výkonnost 1'!$A$21:$B$43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'souhrnná výkonnost 1'!$D$21:$D$43</c:f>
              <c:numCache>
                <c:formatCode>#\ ##0.0</c:formatCode>
                <c:ptCount val="23"/>
                <c:pt idx="0">
                  <c:v>2.1</c:v>
                </c:pt>
                <c:pt idx="1">
                  <c:v>1.9</c:v>
                </c:pt>
                <c:pt idx="2">
                  <c:v>1.8</c:v>
                </c:pt>
                <c:pt idx="3">
                  <c:v>2.2000000000000002</c:v>
                </c:pt>
                <c:pt idx="4">
                  <c:v>2.4</c:v>
                </c:pt>
                <c:pt idx="5">
                  <c:v>2.9</c:v>
                </c:pt>
                <c:pt idx="6">
                  <c:v>3.2</c:v>
                </c:pt>
                <c:pt idx="7">
                  <c:v>3.2</c:v>
                </c:pt>
                <c:pt idx="8">
                  <c:v>2.6</c:v>
                </c:pt>
                <c:pt idx="9">
                  <c:v>2.2999999999999998</c:v>
                </c:pt>
                <c:pt idx="10">
                  <c:v>1.8</c:v>
                </c:pt>
                <c:pt idx="11">
                  <c:v>1.5</c:v>
                </c:pt>
                <c:pt idx="12">
                  <c:v>2.2000000000000002</c:v>
                </c:pt>
                <c:pt idx="13">
                  <c:v>1.8</c:v>
                </c:pt>
                <c:pt idx="14">
                  <c:v>2</c:v>
                </c:pt>
                <c:pt idx="15">
                  <c:v>1.4</c:v>
                </c:pt>
                <c:pt idx="16">
                  <c:v>-2.5</c:v>
                </c:pt>
                <c:pt idx="17">
                  <c:v>-13.7</c:v>
                </c:pt>
                <c:pt idx="18">
                  <c:v>-3.9</c:v>
                </c:pt>
                <c:pt idx="19">
                  <c:v>-4.0999999999999996</c:v>
                </c:pt>
                <c:pt idx="20">
                  <c:v>-1.2</c:v>
                </c:pt>
                <c:pt idx="21">
                  <c:v>13.7</c:v>
                </c:pt>
                <c:pt idx="22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D4-457C-A16A-3B55C46300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67753344"/>
        <c:axId val="267767808"/>
      </c:barChart>
      <c:lineChart>
        <c:grouping val="standard"/>
        <c:varyColors val="0"/>
        <c:ser>
          <c:idx val="2"/>
          <c:order val="2"/>
          <c:tx>
            <c:strRef>
              <c:f>'souhrnná výkonnost 1'!$E$4</c:f>
              <c:strCache>
                <c:ptCount val="1"/>
                <c:pt idx="0">
                  <c:v>ČR mezičtvrtletní změna</c:v>
                </c:pt>
              </c:strCache>
            </c:strRef>
          </c:tx>
          <c:spPr>
            <a:ln w="19050">
              <a:noFill/>
            </a:ln>
          </c:spPr>
          <c:marker>
            <c:symbol val="dash"/>
            <c:size val="8"/>
            <c:spPr>
              <a:solidFill>
                <a:srgbClr val="0071BC"/>
              </a:solidFill>
              <a:ln>
                <a:noFill/>
              </a:ln>
            </c:spPr>
          </c:marker>
          <c:cat>
            <c:multiLvlStrRef>
              <c:f>'souhrnná výkonnost 1'!$A$21:$B$43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'souhrnná výkonnost 1'!$E$21:$E$43</c:f>
              <c:numCache>
                <c:formatCode>#\ ##0.0</c:formatCode>
                <c:ptCount val="23"/>
                <c:pt idx="0">
                  <c:v>0.16332296495187393</c:v>
                </c:pt>
                <c:pt idx="1">
                  <c:v>0.33620140081080763</c:v>
                </c:pt>
                <c:pt idx="2">
                  <c:v>0.80409486945227115</c:v>
                </c:pt>
                <c:pt idx="3">
                  <c:v>0.85128584892957804</c:v>
                </c:pt>
                <c:pt idx="4">
                  <c:v>1.5355778838110723</c:v>
                </c:pt>
                <c:pt idx="5">
                  <c:v>2.8172481596437962</c:v>
                </c:pt>
                <c:pt idx="6">
                  <c:v>0.56471681577477284</c:v>
                </c:pt>
                <c:pt idx="7">
                  <c:v>0.86605021849675268</c:v>
                </c:pt>
                <c:pt idx="8">
                  <c:v>0.49012395731429592</c:v>
                </c:pt>
                <c:pt idx="9">
                  <c:v>0.73471618143510398</c:v>
                </c:pt>
                <c:pt idx="10">
                  <c:v>0.61144468241420213</c:v>
                </c:pt>
                <c:pt idx="11">
                  <c:v>0.69804232504577612</c:v>
                </c:pt>
                <c:pt idx="12">
                  <c:v>0.89072077059854848</c:v>
                </c:pt>
                <c:pt idx="13" formatCode="General">
                  <c:v>0.78591398644272203</c:v>
                </c:pt>
                <c:pt idx="14" formatCode="General">
                  <c:v>0.54854623384075296</c:v>
                </c:pt>
                <c:pt idx="15" formatCode="General">
                  <c:v>0.62900637587634378</c:v>
                </c:pt>
                <c:pt idx="16" formatCode="General">
                  <c:v>-3.3722335169499615</c:v>
                </c:pt>
                <c:pt idx="17" formatCode="General">
                  <c:v>-8.9098208224286566</c:v>
                </c:pt>
                <c:pt idx="18" formatCode="General">
                  <c:v>6.7526242287794531</c:v>
                </c:pt>
                <c:pt idx="19" formatCode="General">
                  <c:v>0.73723345629051096</c:v>
                </c:pt>
                <c:pt idx="20" formatCode="General">
                  <c:v>-0.42275650049082003</c:v>
                </c:pt>
                <c:pt idx="21" formatCode="General">
                  <c:v>1.3009240077969366</c:v>
                </c:pt>
                <c:pt idx="22" formatCode="General">
                  <c:v>1.4975673023476048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1D4-457C-A16A-3B55C46300F2}"/>
            </c:ext>
          </c:extLst>
        </c:ser>
        <c:ser>
          <c:idx val="3"/>
          <c:order val="3"/>
          <c:tx>
            <c:strRef>
              <c:f>'souhrnná výkonnost 1'!$F$4</c:f>
              <c:strCache>
                <c:ptCount val="1"/>
                <c:pt idx="0">
                  <c:v>EU27 mezičtvrtletní změna</c:v>
                </c:pt>
              </c:strCache>
            </c:strRef>
          </c:tx>
          <c:spPr>
            <a:ln w="19050">
              <a:noFill/>
            </a:ln>
          </c:spPr>
          <c:marker>
            <c:symbol val="dash"/>
            <c:size val="8"/>
            <c:spPr>
              <a:solidFill>
                <a:srgbClr val="BD1B21"/>
              </a:solidFill>
              <a:ln>
                <a:noFill/>
              </a:ln>
            </c:spPr>
          </c:marker>
          <c:cat>
            <c:multiLvlStrRef>
              <c:f>'souhrnná výkonnost 1'!$A$21:$B$43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'souhrnná výkonnost 1'!$F$21:$F$43</c:f>
              <c:numCache>
                <c:formatCode>#\ ##0.0</c:formatCode>
                <c:ptCount val="23"/>
                <c:pt idx="0">
                  <c:v>0.5</c:v>
                </c:pt>
                <c:pt idx="1">
                  <c:v>0.3</c:v>
                </c:pt>
                <c:pt idx="2">
                  <c:v>0.5</c:v>
                </c:pt>
                <c:pt idx="3">
                  <c:v>0.8</c:v>
                </c:pt>
                <c:pt idx="4">
                  <c:v>0.7</c:v>
                </c:pt>
                <c:pt idx="5">
                  <c:v>0.9</c:v>
                </c:pt>
                <c:pt idx="6">
                  <c:v>0.7</c:v>
                </c:pt>
                <c:pt idx="7">
                  <c:v>0.9</c:v>
                </c:pt>
                <c:pt idx="8">
                  <c:v>0.1</c:v>
                </c:pt>
                <c:pt idx="9">
                  <c:v>0.6</c:v>
                </c:pt>
                <c:pt idx="10">
                  <c:v>0.2</c:v>
                </c:pt>
                <c:pt idx="11">
                  <c:v>0.6</c:v>
                </c:pt>
                <c:pt idx="12">
                  <c:v>0.8</c:v>
                </c:pt>
                <c:pt idx="13">
                  <c:v>0.2</c:v>
                </c:pt>
                <c:pt idx="14">
                  <c:v>0.3</c:v>
                </c:pt>
                <c:pt idx="15">
                  <c:v>0</c:v>
                </c:pt>
                <c:pt idx="16">
                  <c:v>-3.1</c:v>
                </c:pt>
                <c:pt idx="17">
                  <c:v>-11.3</c:v>
                </c:pt>
                <c:pt idx="18">
                  <c:v>11.8</c:v>
                </c:pt>
                <c:pt idx="19">
                  <c:v>-0.2</c:v>
                </c:pt>
                <c:pt idx="20">
                  <c:v>-0.1</c:v>
                </c:pt>
                <c:pt idx="21">
                  <c:v>2</c:v>
                </c:pt>
                <c:pt idx="22">
                  <c:v>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1D4-457C-A16A-3B55C46300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7753344"/>
        <c:axId val="267767808"/>
      </c:lineChart>
      <c:catAx>
        <c:axId val="267753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267767808"/>
        <c:crosses val="autoZero"/>
        <c:auto val="1"/>
        <c:lblAlgn val="ctr"/>
        <c:lblOffset val="100"/>
        <c:noMultiLvlLbl val="0"/>
      </c:catAx>
      <c:valAx>
        <c:axId val="26776780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67753344"/>
        <c:crosses val="autoZero"/>
        <c:crossBetween val="between"/>
        <c:majorUnit val="3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8431906450523471E-2"/>
          <c:y val="0.89437255125717996"/>
          <c:w val="0.91838441404930771"/>
          <c:h val="9.0301755758791014E-2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629137115839245E-2"/>
          <c:y val="2.8458510079622041E-2"/>
          <c:w val="0.93688386524822698"/>
          <c:h val="0.6497469886299676"/>
        </c:manualLayout>
      </c:layout>
      <c:barChart>
        <c:barDir val="col"/>
        <c:grouping val="stacked"/>
        <c:varyColors val="0"/>
        <c:ser>
          <c:idx val="5"/>
          <c:order val="1"/>
          <c:tx>
            <c:strRef>
              <c:f>'souhrnná výkonnost 3'!$D$5</c:f>
              <c:strCache>
                <c:ptCount val="1"/>
                <c:pt idx="0">
                  <c:v>Výdaje na konečnou spotřebu domácností (vč. nezisk. inst.)</c:v>
                </c:pt>
              </c:strCache>
            </c:strRef>
          </c:tx>
          <c:spPr>
            <a:solidFill>
              <a:srgbClr val="0071BC"/>
            </a:solidFill>
            <a:ln>
              <a:noFill/>
            </a:ln>
          </c:spPr>
          <c:invertIfNegative val="0"/>
          <c:val>
            <c:numRef>
              <c:f>'souhrnná výkonnost 3'!$D$22:$D$44</c:f>
              <c:numCache>
                <c:formatCode>#\ ##0.0</c:formatCode>
                <c:ptCount val="23"/>
                <c:pt idx="0">
                  <c:v>0.93618616091517504</c:v>
                </c:pt>
                <c:pt idx="1">
                  <c:v>0.87008623065588986</c:v>
                </c:pt>
                <c:pt idx="2">
                  <c:v>1.088831374618116</c:v>
                </c:pt>
                <c:pt idx="3">
                  <c:v>0.98663697427429853</c:v>
                </c:pt>
                <c:pt idx="4">
                  <c:v>1.1317605173808631</c:v>
                </c:pt>
                <c:pt idx="5">
                  <c:v>1.4117084709383003</c:v>
                </c:pt>
                <c:pt idx="6">
                  <c:v>1.3280225164734749</c:v>
                </c:pt>
                <c:pt idx="7">
                  <c:v>1.0794473419672266</c:v>
                </c:pt>
                <c:pt idx="8">
                  <c:v>1.580542821710847</c:v>
                </c:pt>
                <c:pt idx="9">
                  <c:v>1.2036281398321482</c:v>
                </c:pt>
                <c:pt idx="10">
                  <c:v>0.99314647332669792</c:v>
                </c:pt>
                <c:pt idx="11">
                  <c:v>0.88688082354953479</c:v>
                </c:pt>
                <c:pt idx="12">
                  <c:v>0.92742283153358485</c:v>
                </c:pt>
                <c:pt idx="13">
                  <c:v>1.2648435786040815</c:v>
                </c:pt>
                <c:pt idx="14">
                  <c:v>1.0200882664173805</c:v>
                </c:pt>
                <c:pt idx="15">
                  <c:v>1.1768223210480195</c:v>
                </c:pt>
                <c:pt idx="16">
                  <c:v>-0.95160085945739037</c:v>
                </c:pt>
                <c:pt idx="17">
                  <c:v>-3.3386088539954577</c:v>
                </c:pt>
                <c:pt idx="18">
                  <c:v>-2.0623300718590203</c:v>
                </c:pt>
                <c:pt idx="19">
                  <c:v>-4.5307141342269546</c:v>
                </c:pt>
                <c:pt idx="20">
                  <c:v>-3.2272095782230288</c:v>
                </c:pt>
                <c:pt idx="21">
                  <c:v>1.442853509914144</c:v>
                </c:pt>
                <c:pt idx="22">
                  <c:v>2.284766160102381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C6-443E-92F3-F3C54265E3D1}"/>
            </c:ext>
          </c:extLst>
        </c:ser>
        <c:ser>
          <c:idx val="4"/>
          <c:order val="2"/>
          <c:tx>
            <c:strRef>
              <c:f>'souhrnná výkonnost 3'!$E$5</c:f>
              <c:strCache>
                <c:ptCount val="1"/>
                <c:pt idx="0">
                  <c:v>Výdaje na konečnou spotřebu vládních institucí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invertIfNegative val="0"/>
          <c:val>
            <c:numRef>
              <c:f>'souhrnná výkonnost 3'!$E$22:$E$44</c:f>
              <c:numCache>
                <c:formatCode>#\ ##0.0</c:formatCode>
                <c:ptCount val="23"/>
                <c:pt idx="0">
                  <c:v>0.42019916860676243</c:v>
                </c:pt>
                <c:pt idx="1">
                  <c:v>0.46376177295031862</c:v>
                </c:pt>
                <c:pt idx="2">
                  <c:v>0.44114936351097495</c:v>
                </c:pt>
                <c:pt idx="3">
                  <c:v>0.47675559244176158</c:v>
                </c:pt>
                <c:pt idx="4">
                  <c:v>0.44404461559069486</c:v>
                </c:pt>
                <c:pt idx="5">
                  <c:v>0.37751399613724029</c:v>
                </c:pt>
                <c:pt idx="6">
                  <c:v>0.21407569926635237</c:v>
                </c:pt>
                <c:pt idx="7">
                  <c:v>0.2341267263946423</c:v>
                </c:pt>
                <c:pt idx="8">
                  <c:v>0.57862841580255708</c:v>
                </c:pt>
                <c:pt idx="9">
                  <c:v>0.55642773333565732</c:v>
                </c:pt>
                <c:pt idx="10">
                  <c:v>0.89021022766775593</c:v>
                </c:pt>
                <c:pt idx="11">
                  <c:v>0.75191010842186412</c:v>
                </c:pt>
                <c:pt idx="12">
                  <c:v>0.41419150368088392</c:v>
                </c:pt>
                <c:pt idx="13">
                  <c:v>0.52913615091977828</c:v>
                </c:pt>
                <c:pt idx="14">
                  <c:v>0.42716769248184294</c:v>
                </c:pt>
                <c:pt idx="15">
                  <c:v>0.3389878995673522</c:v>
                </c:pt>
                <c:pt idx="16">
                  <c:v>0.69736075453620827</c:v>
                </c:pt>
                <c:pt idx="17">
                  <c:v>0.62242994402829654</c:v>
                </c:pt>
                <c:pt idx="18">
                  <c:v>0.43330470629342294</c:v>
                </c:pt>
                <c:pt idx="19">
                  <c:v>1.139349452193801</c:v>
                </c:pt>
                <c:pt idx="20">
                  <c:v>0.70949104926544204</c:v>
                </c:pt>
                <c:pt idx="21">
                  <c:v>0.50418024320062538</c:v>
                </c:pt>
                <c:pt idx="22">
                  <c:v>1.022041761386661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C6-443E-92F3-F3C54265E3D1}"/>
            </c:ext>
          </c:extLst>
        </c:ser>
        <c:ser>
          <c:idx val="3"/>
          <c:order val="3"/>
          <c:tx>
            <c:strRef>
              <c:f>'souhrnná výkonnost 3'!$G$5</c:f>
              <c:strCache>
                <c:ptCount val="1"/>
                <c:pt idx="0">
                  <c:v>Tvorba hrubého kapitálu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invertIfNegative val="0"/>
          <c:val>
            <c:numRef>
              <c:f>'souhrnná výkonnost 3'!$G$22:$G$44</c:f>
              <c:numCache>
                <c:formatCode>#\ ##0.0</c:formatCode>
                <c:ptCount val="23"/>
                <c:pt idx="0">
                  <c:v>0.16571758684643292</c:v>
                </c:pt>
                <c:pt idx="1">
                  <c:v>-1.6231279926014353</c:v>
                </c:pt>
                <c:pt idx="2">
                  <c:v>-0.9230024021929123</c:v>
                </c:pt>
                <c:pt idx="3">
                  <c:v>-0.55002076148293633</c:v>
                </c:pt>
                <c:pt idx="4">
                  <c:v>-1.2630660286446516</c:v>
                </c:pt>
                <c:pt idx="5">
                  <c:v>0.84009326563270514</c:v>
                </c:pt>
                <c:pt idx="6">
                  <c:v>1.6097758497475534</c:v>
                </c:pt>
                <c:pt idx="7">
                  <c:v>2.3721301843681739</c:v>
                </c:pt>
                <c:pt idx="8">
                  <c:v>2.8713468902027719</c:v>
                </c:pt>
                <c:pt idx="9">
                  <c:v>1.5905888817549036</c:v>
                </c:pt>
                <c:pt idx="10">
                  <c:v>1.9208851743389141</c:v>
                </c:pt>
                <c:pt idx="11">
                  <c:v>0.56073143718343366</c:v>
                </c:pt>
                <c:pt idx="12">
                  <c:v>1.5826437930914861</c:v>
                </c:pt>
                <c:pt idx="13">
                  <c:v>-0.15800458401897696</c:v>
                </c:pt>
                <c:pt idx="14">
                  <c:v>5.6924086841567925E-2</c:v>
                </c:pt>
                <c:pt idx="15">
                  <c:v>2.5116661705287227</c:v>
                </c:pt>
                <c:pt idx="16">
                  <c:v>-0.56428697696015839</c:v>
                </c:pt>
                <c:pt idx="17">
                  <c:v>-8.245764306033404E-2</c:v>
                </c:pt>
                <c:pt idx="18">
                  <c:v>-3.8102892591409159</c:v>
                </c:pt>
                <c:pt idx="19">
                  <c:v>-5.3123935717685367</c:v>
                </c:pt>
                <c:pt idx="20">
                  <c:v>9.7362664958123374E-2</c:v>
                </c:pt>
                <c:pt idx="21">
                  <c:v>1.7256150507690575</c:v>
                </c:pt>
                <c:pt idx="22">
                  <c:v>5.552685723601253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6C6-443E-92F3-F3C54265E3D1}"/>
            </c:ext>
          </c:extLst>
        </c:ser>
        <c:ser>
          <c:idx val="1"/>
          <c:order val="4"/>
          <c:tx>
            <c:strRef>
              <c:f>'souhrnná výkonnost 3'!$F$5</c:f>
              <c:strCache>
                <c:ptCount val="1"/>
                <c:pt idx="0">
                  <c:v>Bilance zahraničního obchodu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invertIfNegative val="0"/>
          <c:val>
            <c:numRef>
              <c:f>'souhrnná výkonnost 3'!$F$22:$F$44</c:f>
              <c:numCache>
                <c:formatCode>#\ ##0.0</c:formatCode>
                <c:ptCount val="23"/>
                <c:pt idx="0">
                  <c:v>1.8167152604552226</c:v>
                </c:pt>
                <c:pt idx="1">
                  <c:v>2.4919364052715784</c:v>
                </c:pt>
                <c:pt idx="2">
                  <c:v>1.2934583130738089</c:v>
                </c:pt>
                <c:pt idx="3">
                  <c:v>1.1926166397447078</c:v>
                </c:pt>
                <c:pt idx="4">
                  <c:v>3.1780322387555695</c:v>
                </c:pt>
                <c:pt idx="5">
                  <c:v>3.4186500578903547</c:v>
                </c:pt>
                <c:pt idx="6">
                  <c:v>2.6451757604214197</c:v>
                </c:pt>
                <c:pt idx="7">
                  <c:v>2.134600536374907</c:v>
                </c:pt>
                <c:pt idx="8">
                  <c:v>-0.34846185861429246</c:v>
                </c:pt>
                <c:pt idx="9">
                  <c:v>-0.77956175506757264</c:v>
                </c:pt>
                <c:pt idx="10">
                  <c:v>-1.1814783274089611</c:v>
                </c:pt>
                <c:pt idx="11">
                  <c:v>0.25173122797348579</c:v>
                </c:pt>
                <c:pt idx="12">
                  <c:v>4.8271345411210476E-4</c:v>
                </c:pt>
                <c:pt idx="13">
                  <c:v>1.3310256349867293</c:v>
                </c:pt>
                <c:pt idx="14">
                  <c:v>1.3927593162025209</c:v>
                </c:pt>
                <c:pt idx="15">
                  <c:v>-1.1986582855082308</c:v>
                </c:pt>
                <c:pt idx="16">
                  <c:v>-0.71023464620906629</c:v>
                </c:pt>
                <c:pt idx="17">
                  <c:v>-8.1886210333748206</c:v>
                </c:pt>
                <c:pt idx="18">
                  <c:v>-3.9700810334303505E-2</c:v>
                </c:pt>
                <c:pt idx="19">
                  <c:v>3.3165688255399948</c:v>
                </c:pt>
                <c:pt idx="20">
                  <c:v>-5.7481486059446141E-2</c:v>
                </c:pt>
                <c:pt idx="21">
                  <c:v>4.756495510639553</c:v>
                </c:pt>
                <c:pt idx="22">
                  <c:v>-5.7839895548205025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6C6-443E-92F3-F3C54265E3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100"/>
        <c:axId val="267591040"/>
        <c:axId val="267605120"/>
      </c:barChart>
      <c:lineChart>
        <c:grouping val="standard"/>
        <c:varyColors val="0"/>
        <c:ser>
          <c:idx val="0"/>
          <c:order val="0"/>
          <c:tx>
            <c:strRef>
              <c:f>'souhrnná výkonnost 3'!$C$5</c:f>
              <c:strCache>
                <c:ptCount val="1"/>
                <c:pt idx="0">
                  <c:v>HDP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marker>
            <c:symbol val="none"/>
          </c:marker>
          <c:cat>
            <c:multiLvlStrRef>
              <c:f>'souhrnná výkonnost 3'!$A$22:$B$44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'souhrnná výkonnost 3'!$C$22:$C$44</c:f>
              <c:numCache>
                <c:formatCode>#\ ##0.0</c:formatCode>
                <c:ptCount val="23"/>
                <c:pt idx="0">
                  <c:v>3.3935594356915999</c:v>
                </c:pt>
                <c:pt idx="1">
                  <c:v>2.2554753959572764</c:v>
                </c:pt>
                <c:pt idx="2">
                  <c:v>1.9595326225544341</c:v>
                </c:pt>
                <c:pt idx="3">
                  <c:v>2.1706344977514362</c:v>
                </c:pt>
                <c:pt idx="4">
                  <c:v>3.5703737623319967</c:v>
                </c:pt>
                <c:pt idx="5">
                  <c:v>6.1313612268321123</c:v>
                </c:pt>
                <c:pt idx="6">
                  <c:v>5.8793927561599588</c:v>
                </c:pt>
                <c:pt idx="7">
                  <c:v>5.8948496206722893</c:v>
                </c:pt>
                <c:pt idx="8">
                  <c:v>4.8044975547299202</c:v>
                </c:pt>
                <c:pt idx="9">
                  <c:v>2.6817571455975582</c:v>
                </c:pt>
                <c:pt idx="10">
                  <c:v>2.7294056681603536</c:v>
                </c:pt>
                <c:pt idx="11">
                  <c:v>2.5583059250702433</c:v>
                </c:pt>
                <c:pt idx="12">
                  <c:v>2.9672187450501895</c:v>
                </c:pt>
                <c:pt idx="13">
                  <c:v>3.0195256065361349</c:v>
                </c:pt>
                <c:pt idx="14">
                  <c:v>2.9551413626175673</c:v>
                </c:pt>
                <c:pt idx="15">
                  <c:v>2.8845629323214155</c:v>
                </c:pt>
                <c:pt idx="16">
                  <c:v>-1.4626739052791606</c:v>
                </c:pt>
                <c:pt idx="17">
                  <c:v>-10.94212682938624</c:v>
                </c:pt>
                <c:pt idx="18">
                  <c:v>-5.44703894048574</c:v>
                </c:pt>
                <c:pt idx="19">
                  <c:v>-5.345334491331073</c:v>
                </c:pt>
                <c:pt idx="20">
                  <c:v>-2.4560720159266083</c:v>
                </c:pt>
                <c:pt idx="21">
                  <c:v>8.4781037256246066</c:v>
                </c:pt>
                <c:pt idx="22">
                  <c:v>3.1381185435505898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6C6-443E-92F3-F3C54265E3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7591040"/>
        <c:axId val="267605120"/>
      </c:lineChart>
      <c:catAx>
        <c:axId val="267591040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267605120"/>
        <c:crosses val="autoZero"/>
        <c:auto val="1"/>
        <c:lblAlgn val="ctr"/>
        <c:lblOffset val="100"/>
        <c:noMultiLvlLbl val="0"/>
      </c:catAx>
      <c:valAx>
        <c:axId val="267605120"/>
        <c:scaling>
          <c:orientation val="minMax"/>
          <c:max val="9"/>
          <c:min val="-12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#,##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67591040"/>
        <c:crosses val="autoZero"/>
        <c:crossBetween val="between"/>
        <c:majorUnit val="3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7571766295170556E-2"/>
          <c:y val="0.79301446583361457"/>
          <c:w val="0.93781598277608913"/>
          <c:h val="0.19014325115388939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126857480580882E-2"/>
          <c:y val="3.7154479717354444E-2"/>
          <c:w val="0.9260266801756164"/>
          <c:h val="0.63445260610154264"/>
        </c:manualLayout>
      </c:layout>
      <c:barChart>
        <c:barDir val="col"/>
        <c:grouping val="stacked"/>
        <c:varyColors val="0"/>
        <c:ser>
          <c:idx val="4"/>
          <c:order val="0"/>
          <c:tx>
            <c:strRef>
              <c:f>'souhrnná výkonnost 4'!$C$5</c:f>
              <c:strCache>
                <c:ptCount val="1"/>
                <c:pt idx="0">
                  <c:v>Zemědělství, lesnictví a rybářství</c:v>
                </c:pt>
              </c:strCache>
            </c:strRef>
          </c:tx>
          <c:spPr>
            <a:solidFill>
              <a:srgbClr val="0071BC"/>
            </a:solidFill>
            <a:ln>
              <a:noFill/>
            </a:ln>
          </c:spPr>
          <c:invertIfNegative val="0"/>
          <c:val>
            <c:numRef>
              <c:f>'souhrnná výkonnost 4'!$C$22:$C$44</c:f>
              <c:numCache>
                <c:formatCode>#\ ##0.0</c:formatCode>
                <c:ptCount val="23"/>
                <c:pt idx="0">
                  <c:v>9.4765725889982E-2</c:v>
                </c:pt>
                <c:pt idx="1">
                  <c:v>0.15637528256042468</c:v>
                </c:pt>
                <c:pt idx="2">
                  <c:v>0.1869741986923065</c:v>
                </c:pt>
                <c:pt idx="3">
                  <c:v>7.7625901535376199E-2</c:v>
                </c:pt>
                <c:pt idx="4">
                  <c:v>-1.3383627512345413E-2</c:v>
                </c:pt>
                <c:pt idx="5">
                  <c:v>-0.10833526835550926</c:v>
                </c:pt>
                <c:pt idx="6">
                  <c:v>-0.17417145567790579</c:v>
                </c:pt>
                <c:pt idx="7">
                  <c:v>-5.6339788104083438E-2</c:v>
                </c:pt>
                <c:pt idx="8">
                  <c:v>3.3108455773835969E-2</c:v>
                </c:pt>
                <c:pt idx="9">
                  <c:v>6.7464623058102177E-2</c:v>
                </c:pt>
                <c:pt idx="10">
                  <c:v>0.13279889414520776</c:v>
                </c:pt>
                <c:pt idx="11">
                  <c:v>0.13730282461152749</c:v>
                </c:pt>
                <c:pt idx="12">
                  <c:v>8.2716288855485917E-2</c:v>
                </c:pt>
                <c:pt idx="13">
                  <c:v>9.2139384026042048E-2</c:v>
                </c:pt>
                <c:pt idx="14">
                  <c:v>0.10854763671027451</c:v>
                </c:pt>
                <c:pt idx="15">
                  <c:v>0.11881072235188453</c:v>
                </c:pt>
                <c:pt idx="16">
                  <c:v>0.14184046318480331</c:v>
                </c:pt>
                <c:pt idx="17">
                  <c:v>0.11212507120139492</c:v>
                </c:pt>
                <c:pt idx="18">
                  <c:v>0.13937941427353459</c:v>
                </c:pt>
                <c:pt idx="19">
                  <c:v>0.13855826563016213</c:v>
                </c:pt>
                <c:pt idx="20">
                  <c:v>0.15652352073482564</c:v>
                </c:pt>
                <c:pt idx="21">
                  <c:v>7.9585266456503753E-2</c:v>
                </c:pt>
                <c:pt idx="22">
                  <c:v>-3.263121773789414E-3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0B-4EFC-8BF7-556C5A76E45B}"/>
            </c:ext>
          </c:extLst>
        </c:ser>
        <c:ser>
          <c:idx val="3"/>
          <c:order val="1"/>
          <c:tx>
            <c:strRef>
              <c:f>'souhrnná výkonnost 4'!$D$5</c:f>
              <c:strCache>
                <c:ptCount val="1"/>
                <c:pt idx="0">
                  <c:v>Zpracovatelský průmysl (CZ-NACE C)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invertIfNegative val="0"/>
          <c:val>
            <c:numRef>
              <c:f>'souhrnná výkonnost 4'!$D$22:$D$44</c:f>
              <c:numCache>
                <c:formatCode>#\ ##0.0</c:formatCode>
                <c:ptCount val="23"/>
                <c:pt idx="0">
                  <c:v>1.6106591209137211</c:v>
                </c:pt>
                <c:pt idx="1">
                  <c:v>0.76053941356552957</c:v>
                </c:pt>
                <c:pt idx="2">
                  <c:v>0.94570363726203222</c:v>
                </c:pt>
                <c:pt idx="3">
                  <c:v>1.2222885842881583</c:v>
                </c:pt>
                <c:pt idx="4">
                  <c:v>1.3672331304188452</c:v>
                </c:pt>
                <c:pt idx="5">
                  <c:v>3.1345037144202608</c:v>
                </c:pt>
                <c:pt idx="6">
                  <c:v>3.0577731838821371</c:v>
                </c:pt>
                <c:pt idx="7">
                  <c:v>2.3545310158669421</c:v>
                </c:pt>
                <c:pt idx="8">
                  <c:v>1.5576365516094002</c:v>
                </c:pt>
                <c:pt idx="9">
                  <c:v>0.11177812966818869</c:v>
                </c:pt>
                <c:pt idx="10">
                  <c:v>3.2580368933372936E-3</c:v>
                </c:pt>
                <c:pt idx="11">
                  <c:v>0.30391701062646553</c:v>
                </c:pt>
                <c:pt idx="12">
                  <c:v>0.83241284936767035</c:v>
                </c:pt>
                <c:pt idx="13">
                  <c:v>1.3015365945875272</c:v>
                </c:pt>
                <c:pt idx="14">
                  <c:v>1.3300175165245307</c:v>
                </c:pt>
                <c:pt idx="15">
                  <c:v>1.0288201442114486</c:v>
                </c:pt>
                <c:pt idx="16">
                  <c:v>-0.53680284510878806</c:v>
                </c:pt>
                <c:pt idx="17">
                  <c:v>-5.0058505193508473</c:v>
                </c:pt>
                <c:pt idx="18">
                  <c:v>-1.4524158675902747</c:v>
                </c:pt>
                <c:pt idx="19">
                  <c:v>-0.93731068541695106</c:v>
                </c:pt>
                <c:pt idx="20">
                  <c:v>0.21213283585867598</c:v>
                </c:pt>
                <c:pt idx="21">
                  <c:v>5.2223898881858588</c:v>
                </c:pt>
                <c:pt idx="22">
                  <c:v>4.9018080954217745E-2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0B-4EFC-8BF7-556C5A76E45B}"/>
            </c:ext>
          </c:extLst>
        </c:ser>
        <c:ser>
          <c:idx val="2"/>
          <c:order val="2"/>
          <c:tx>
            <c:strRef>
              <c:f>'souhrnná výkonnost 4'!$E$5</c:f>
              <c:strCache>
                <c:ptCount val="1"/>
                <c:pt idx="0">
                  <c:v>Ostatní průmyslová odvětví (CZ-NACE B, D, E)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invertIfNegative val="0"/>
          <c:val>
            <c:numRef>
              <c:f>'souhrnná výkonnost 4'!$E$22:$E$44</c:f>
              <c:numCache>
                <c:formatCode>#\ ##0.0</c:formatCode>
                <c:ptCount val="23"/>
                <c:pt idx="0">
                  <c:v>-0.60910811421333144</c:v>
                </c:pt>
                <c:pt idx="1">
                  <c:v>-0.22876574071995925</c:v>
                </c:pt>
                <c:pt idx="2">
                  <c:v>-0.20221592700743152</c:v>
                </c:pt>
                <c:pt idx="3">
                  <c:v>1.1159198434038675E-3</c:v>
                </c:pt>
                <c:pt idx="4">
                  <c:v>0.19369937090646161</c:v>
                </c:pt>
                <c:pt idx="5">
                  <c:v>8.7518834667852374E-2</c:v>
                </c:pt>
                <c:pt idx="6">
                  <c:v>0.12818764673017169</c:v>
                </c:pt>
                <c:pt idx="7">
                  <c:v>-3.2004861050359601E-2</c:v>
                </c:pt>
                <c:pt idx="8">
                  <c:v>-0.10299697854726397</c:v>
                </c:pt>
                <c:pt idx="9">
                  <c:v>-3.2072706595271713E-2</c:v>
                </c:pt>
                <c:pt idx="10" formatCode="General">
                  <c:v>8.1524592449955802E-2</c:v>
                </c:pt>
                <c:pt idx="11" formatCode="General">
                  <c:v>-6.1061461784250731E-2</c:v>
                </c:pt>
                <c:pt idx="12" formatCode="General">
                  <c:v>-0.20672058053663489</c:v>
                </c:pt>
                <c:pt idx="13" formatCode="General">
                  <c:v>-0.37407520858030863</c:v>
                </c:pt>
                <c:pt idx="14" formatCode="General">
                  <c:v>-0.71461913133162358</c:v>
                </c:pt>
                <c:pt idx="15" formatCode="General">
                  <c:v>-0.46214248963662286</c:v>
                </c:pt>
                <c:pt idx="16" formatCode="General">
                  <c:v>-0.82933877978192383</c:v>
                </c:pt>
                <c:pt idx="17" formatCode="General">
                  <c:v>-0.99599126054138232</c:v>
                </c:pt>
                <c:pt idx="18" formatCode="General">
                  <c:v>-0.66853823795995804</c:v>
                </c:pt>
                <c:pt idx="19" formatCode="General">
                  <c:v>-0.51144805126555193</c:v>
                </c:pt>
                <c:pt idx="20" formatCode="General">
                  <c:v>-6.2511388524835954E-2</c:v>
                </c:pt>
                <c:pt idx="21" formatCode="General">
                  <c:v>1.7104743097497099E-2</c:v>
                </c:pt>
                <c:pt idx="22" formatCode="General">
                  <c:v>4.6960912598259172E-3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0B-4EFC-8BF7-556C5A76E45B}"/>
            </c:ext>
          </c:extLst>
        </c:ser>
        <c:ser>
          <c:idx val="1"/>
          <c:order val="3"/>
          <c:tx>
            <c:strRef>
              <c:f>'souhrnná výkonnost 4'!$F$5</c:f>
              <c:strCache>
                <c:ptCount val="1"/>
                <c:pt idx="0">
                  <c:v>Stavebnictví</c:v>
                </c:pt>
              </c:strCache>
            </c:strRef>
          </c:tx>
          <c:spPr>
            <a:solidFill>
              <a:srgbClr val="E8AFB2"/>
            </a:solidFill>
            <a:ln>
              <a:noFill/>
            </a:ln>
          </c:spPr>
          <c:invertIfNegative val="0"/>
          <c:val>
            <c:numRef>
              <c:f>'souhrnná výkonnost 4'!$F$22:$F$44</c:f>
              <c:numCache>
                <c:formatCode>#\ ##0.0</c:formatCode>
                <c:ptCount val="23"/>
                <c:pt idx="0">
                  <c:v>-0.13118840376974297</c:v>
                </c:pt>
                <c:pt idx="1">
                  <c:v>-0.28594902920034482</c:v>
                </c:pt>
                <c:pt idx="2">
                  <c:v>-0.26701712597535621</c:v>
                </c:pt>
                <c:pt idx="3">
                  <c:v>-0.18704467160622129</c:v>
                </c:pt>
                <c:pt idx="4">
                  <c:v>-0.1200139265751739</c:v>
                </c:pt>
                <c:pt idx="5">
                  <c:v>0.12420386515100609</c:v>
                </c:pt>
                <c:pt idx="6">
                  <c:v>7.1592239994959186E-2</c:v>
                </c:pt>
                <c:pt idx="7">
                  <c:v>0.17310415185088521</c:v>
                </c:pt>
                <c:pt idx="8">
                  <c:v>0.12249795664753446</c:v>
                </c:pt>
                <c:pt idx="9">
                  <c:v>-4.2660685745634658E-3</c:v>
                </c:pt>
                <c:pt idx="10">
                  <c:v>-1.804304477728428E-2</c:v>
                </c:pt>
                <c:pt idx="11">
                  <c:v>-0.11218045217553656</c:v>
                </c:pt>
                <c:pt idx="12">
                  <c:v>-0.20636296686894753</c:v>
                </c:pt>
                <c:pt idx="13">
                  <c:v>-6.4792774942168993E-2</c:v>
                </c:pt>
                <c:pt idx="14">
                  <c:v>-7.9269271643787567E-2</c:v>
                </c:pt>
                <c:pt idx="15">
                  <c:v>-5.6020948993661966E-2</c:v>
                </c:pt>
                <c:pt idx="16">
                  <c:v>-0.1910625729986753</c:v>
                </c:pt>
                <c:pt idx="17">
                  <c:v>-0.60295311908818527</c:v>
                </c:pt>
                <c:pt idx="18">
                  <c:v>-0.54755592054880697</c:v>
                </c:pt>
                <c:pt idx="19">
                  <c:v>-0.62049917307457436</c:v>
                </c:pt>
                <c:pt idx="20">
                  <c:v>-0.38011083766821685</c:v>
                </c:pt>
                <c:pt idx="21">
                  <c:v>9.9465119388311332E-2</c:v>
                </c:pt>
                <c:pt idx="22">
                  <c:v>0.1009912892395979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20B-4EFC-8BF7-556C5A76E45B}"/>
            </c:ext>
          </c:extLst>
        </c:ser>
        <c:ser>
          <c:idx val="0"/>
          <c:order val="4"/>
          <c:tx>
            <c:strRef>
              <c:f>'souhrnná výkonnost 4'!$G$5</c:f>
              <c:strCache>
                <c:ptCount val="1"/>
                <c:pt idx="0">
                  <c:v>Služby (CZ-NACE G až U)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invertIfNegative val="0"/>
          <c:val>
            <c:numRef>
              <c:f>'souhrnná výkonnost 4'!$G$22:$G$44</c:f>
              <c:numCache>
                <c:formatCode>#\ ##0.0</c:formatCode>
                <c:ptCount val="23"/>
                <c:pt idx="0">
                  <c:v>2.2780910878465543</c:v>
                </c:pt>
                <c:pt idx="1">
                  <c:v>1.7791133450565915</c:v>
                </c:pt>
                <c:pt idx="2">
                  <c:v>1.1751996503140407</c:v>
                </c:pt>
                <c:pt idx="3">
                  <c:v>1.1971206910823469</c:v>
                </c:pt>
                <c:pt idx="4">
                  <c:v>2.1480829000947486</c:v>
                </c:pt>
                <c:pt idx="5">
                  <c:v>3.0747805417077498</c:v>
                </c:pt>
                <c:pt idx="6">
                  <c:v>2.9994469566684199</c:v>
                </c:pt>
                <c:pt idx="7">
                  <c:v>3.2896815901667287</c:v>
                </c:pt>
                <c:pt idx="8">
                  <c:v>3.1749514751083248</c:v>
                </c:pt>
                <c:pt idx="9">
                  <c:v>2.6275397496035438</c:v>
                </c:pt>
                <c:pt idx="10" formatCode="General">
                  <c:v>2.7719971256974341</c:v>
                </c:pt>
                <c:pt idx="11" formatCode="General">
                  <c:v>2.5972842205241453</c:v>
                </c:pt>
                <c:pt idx="12" formatCode="General">
                  <c:v>2.508296604685702</c:v>
                </c:pt>
                <c:pt idx="13" formatCode="General">
                  <c:v>2.0834684133018309</c:v>
                </c:pt>
                <c:pt idx="14" formatCode="General">
                  <c:v>2.1657395752754183</c:v>
                </c:pt>
                <c:pt idx="15" formatCode="General">
                  <c:v>2.2150289387573601</c:v>
                </c:pt>
                <c:pt idx="16" formatCode="General">
                  <c:v>0.35842147618069087</c:v>
                </c:pt>
                <c:pt idx="17" formatCode="General">
                  <c:v>-4.6526468154620559</c:v>
                </c:pt>
                <c:pt idx="18" formatCode="General">
                  <c:v>-2.6797110005821319</c:v>
                </c:pt>
                <c:pt idx="19" formatCode="General">
                  <c:v>-3.089633953611683</c:v>
                </c:pt>
                <c:pt idx="20" formatCode="General">
                  <c:v>-2.3941163543008215</c:v>
                </c:pt>
                <c:pt idx="21" formatCode="General">
                  <c:v>3.3854322131046803</c:v>
                </c:pt>
                <c:pt idx="22" formatCode="General">
                  <c:v>2.7796212510820242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20B-4EFC-8BF7-556C5A76E4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100"/>
        <c:axId val="269005952"/>
        <c:axId val="269007488"/>
      </c:barChart>
      <c:lineChart>
        <c:grouping val="standard"/>
        <c:varyColors val="0"/>
        <c:ser>
          <c:idx val="5"/>
          <c:order val="5"/>
          <c:tx>
            <c:strRef>
              <c:f>'souhrnná výkonnost 4'!$H$5</c:f>
              <c:strCache>
                <c:ptCount val="1"/>
                <c:pt idx="0">
                  <c:v>Hrubá přidaná hodnota celkem</c:v>
                </c:pt>
              </c:strCache>
            </c:strRef>
          </c:tx>
          <c:spPr>
            <a:ln w="19050">
              <a:solidFill>
                <a:prstClr val="black"/>
              </a:solidFill>
            </a:ln>
          </c:spPr>
          <c:marker>
            <c:symbol val="none"/>
          </c:marker>
          <c:cat>
            <c:multiLvlStrRef>
              <c:f>'souhrnná výkonnost 4'!$A$22:$B$44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'souhrnná výkonnost 4'!$H$22:$H$44</c:f>
              <c:numCache>
                <c:formatCode>#\ ##0.0</c:formatCode>
                <c:ptCount val="23"/>
                <c:pt idx="0">
                  <c:v>3.2432073755742579</c:v>
                </c:pt>
                <c:pt idx="1">
                  <c:v>2.1812977926827415</c:v>
                </c:pt>
                <c:pt idx="2">
                  <c:v>1.8386996228235262</c:v>
                </c:pt>
                <c:pt idx="3">
                  <c:v>2.3109605829682209</c:v>
                </c:pt>
                <c:pt idx="4">
                  <c:v>3.5756277740391482</c:v>
                </c:pt>
                <c:pt idx="5">
                  <c:v>6.3126226044967666</c:v>
                </c:pt>
                <c:pt idx="6">
                  <c:v>6.0829220489310671</c:v>
                </c:pt>
                <c:pt idx="7">
                  <c:v>5.7291078447527326</c:v>
                </c:pt>
                <c:pt idx="8">
                  <c:v>4.8981845225873855</c:v>
                </c:pt>
                <c:pt idx="9">
                  <c:v>2.7705379621629049</c:v>
                </c:pt>
                <c:pt idx="10">
                  <c:v>2.9716135031952859</c:v>
                </c:pt>
                <c:pt idx="11">
                  <c:v>2.8650954448108195</c:v>
                </c:pt>
                <c:pt idx="12">
                  <c:v>3.0103555185936557</c:v>
                </c:pt>
                <c:pt idx="13">
                  <c:v>3.0382784412400667</c:v>
                </c:pt>
                <c:pt idx="14">
                  <c:v>2.810283179001118</c:v>
                </c:pt>
                <c:pt idx="15">
                  <c:v>2.8446208831943522</c:v>
                </c:pt>
                <c:pt idx="16">
                  <c:v>-1.0569722929019179</c:v>
                </c:pt>
                <c:pt idx="17">
                  <c:v>-11.145421355586024</c:v>
                </c:pt>
                <c:pt idx="18">
                  <c:v>-5.2086519445039414</c:v>
                </c:pt>
                <c:pt idx="19">
                  <c:v>-5.0205707503875487</c:v>
                </c:pt>
                <c:pt idx="20">
                  <c:v>-2.4682043083898293</c:v>
                </c:pt>
                <c:pt idx="21">
                  <c:v>8.8041959492458375</c:v>
                </c:pt>
                <c:pt idx="22">
                  <c:v>2.9309671769658365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20B-4EFC-8BF7-556C5A76E4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9005952"/>
        <c:axId val="269007488"/>
      </c:lineChart>
      <c:catAx>
        <c:axId val="269005952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269007488"/>
        <c:crosses val="autoZero"/>
        <c:auto val="1"/>
        <c:lblAlgn val="ctr"/>
        <c:lblOffset val="100"/>
        <c:noMultiLvlLbl val="0"/>
      </c:catAx>
      <c:valAx>
        <c:axId val="269007488"/>
        <c:scaling>
          <c:orientation val="minMax"/>
          <c:max val="9"/>
          <c:min val="-12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69005952"/>
        <c:crosses val="autoZero"/>
        <c:crossBetween val="between"/>
        <c:majorUnit val="3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4144292468760548E-2"/>
          <c:y val="0.79016604750647301"/>
          <c:w val="0.92386482607227283"/>
          <c:h val="0.19462484520994944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3BE8-7413-4BA3-A192-F8F53578D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B22E39-C78E-4B3A-AC1C-9D4E02B7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64</TotalTime>
  <Pages>4</Pages>
  <Words>1271</Words>
  <Characters>7501</Characters>
  <Application>Microsoft Office Word</Application>
  <DocSecurity>0</DocSecurity>
  <Lines>62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8755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Mgr. Karolína Zábojníková</cp:lastModifiedBy>
  <cp:revision>5</cp:revision>
  <cp:lastPrinted>2019-04-08T10:52:00Z</cp:lastPrinted>
  <dcterms:created xsi:type="dcterms:W3CDTF">2021-12-15T07:16:00Z</dcterms:created>
  <dcterms:modified xsi:type="dcterms:W3CDTF">2021-12-15T09:38:00Z</dcterms:modified>
</cp:coreProperties>
</file>