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B" w:rsidRPr="007D0E6B" w:rsidRDefault="0045113E" w:rsidP="007D0E6B">
      <w:pPr>
        <w:pStyle w:val="Nzev"/>
      </w:pPr>
      <w:r>
        <w:t>PRŮMĚRNÁ MÍRA INFLACE V ROCE 2016 BYLA 0,7 %</w:t>
      </w:r>
      <w:r w:rsidR="001E5319" w:rsidRPr="007D0E6B">
        <w:t xml:space="preserve"> </w:t>
      </w:r>
    </w:p>
    <w:p w:rsidR="007D0E6B" w:rsidRPr="007D0E6B" w:rsidRDefault="007D0E6B" w:rsidP="007D0E6B">
      <w:pPr>
        <w:pStyle w:val="Podtitulek"/>
        <w:jc w:val="center"/>
        <w:rPr>
          <w:sz w:val="24"/>
          <w:szCs w:val="24"/>
        </w:rPr>
      </w:pPr>
      <w:r w:rsidRPr="007D0E6B">
        <w:rPr>
          <w:sz w:val="24"/>
          <w:szCs w:val="24"/>
        </w:rPr>
        <w:t>Indexy spotř</w:t>
      </w:r>
      <w:r w:rsidR="002445D8">
        <w:rPr>
          <w:sz w:val="24"/>
          <w:szCs w:val="24"/>
        </w:rPr>
        <w:t xml:space="preserve">ebitelských cen – inflace – </w:t>
      </w:r>
      <w:r w:rsidR="0045113E">
        <w:rPr>
          <w:sz w:val="24"/>
          <w:szCs w:val="24"/>
        </w:rPr>
        <w:t>prosinec</w:t>
      </w:r>
      <w:r w:rsidRPr="007D0E6B">
        <w:rPr>
          <w:sz w:val="24"/>
          <w:szCs w:val="24"/>
        </w:rPr>
        <w:t> 2016</w:t>
      </w:r>
    </w:p>
    <w:p w:rsidR="00622E62" w:rsidRPr="00B650AB" w:rsidRDefault="00622E62" w:rsidP="00622E62">
      <w:pPr>
        <w:pStyle w:val="Perex"/>
        <w:spacing w:before="120" w:line="283" w:lineRule="auto"/>
      </w:pPr>
      <w:r w:rsidRPr="00B650AB">
        <w:t xml:space="preserve">Spotřebitelské ceny </w:t>
      </w:r>
      <w:r>
        <w:t>vzrostly</w:t>
      </w:r>
      <w:r w:rsidRPr="00B650AB">
        <w:t xml:space="preserve"> v </w:t>
      </w:r>
      <w:r>
        <w:t>prosinci</w:t>
      </w:r>
      <w:r w:rsidRPr="00B650AB">
        <w:t xml:space="preserve"> </w:t>
      </w:r>
      <w:r>
        <w:t xml:space="preserve">proti listopadu </w:t>
      </w:r>
      <w:r w:rsidRPr="00B650AB">
        <w:t>o 0,</w:t>
      </w:r>
      <w:r>
        <w:t>3</w:t>
      </w:r>
      <w:r w:rsidRPr="00B650AB">
        <w:t xml:space="preserve"> %. Tento vývoj ovlivnilo zejména </w:t>
      </w:r>
      <w:r>
        <w:t>zvýšení cen v oddílech potraviny a nealkoholické nápoje, stravování a ubytování, doprava.</w:t>
      </w:r>
      <w:r w:rsidRPr="00B650AB">
        <w:t xml:space="preserve"> </w:t>
      </w:r>
      <w:r w:rsidRPr="00895A77">
        <w:t>Meziročně vzrostly spotřebitelské ceny o </w:t>
      </w:r>
      <w:r>
        <w:t>2,0</w:t>
      </w:r>
      <w:r w:rsidRPr="00895A77">
        <w:t> %</w:t>
      </w:r>
      <w:r>
        <w:t>, což bylo o 0,5</w:t>
      </w:r>
      <w:r w:rsidRPr="00895A77">
        <w:t xml:space="preserve"> procentního bodu </w:t>
      </w:r>
      <w:r>
        <w:t>více než </w:t>
      </w:r>
      <w:r w:rsidRPr="00895A77">
        <w:t>v</w:t>
      </w:r>
      <w:r>
        <w:t> listopadu. Jedná se o nejvyšší meziroční růst cen od </w:t>
      </w:r>
      <w:r w:rsidRPr="00F1030C">
        <w:t>prosince</w:t>
      </w:r>
      <w:r>
        <w:t> </w:t>
      </w:r>
      <w:r w:rsidRPr="00F1030C">
        <w:t>2012</w:t>
      </w:r>
      <w:r>
        <w:t>.</w:t>
      </w:r>
    </w:p>
    <w:p w:rsidR="00622E62" w:rsidRDefault="00622E62" w:rsidP="00622E62">
      <w:pPr>
        <w:spacing w:before="120" w:line="283" w:lineRule="auto"/>
        <w:rPr>
          <w:rFonts w:cs="Arial"/>
          <w:bCs/>
        </w:rPr>
      </w:pPr>
      <w:r w:rsidRPr="00A04CED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A04CED">
        <w:rPr>
          <w:rFonts w:cs="Arial"/>
          <w:b/>
          <w:bCs/>
        </w:rPr>
        <w:t xml:space="preserve"> </w:t>
      </w:r>
      <w:r>
        <w:rPr>
          <w:rFonts w:cs="Arial"/>
          <w:bCs/>
        </w:rPr>
        <w:t>spotřebitelských cen v </w:t>
      </w:r>
      <w:r w:rsidRPr="00A04CED">
        <w:rPr>
          <w:rFonts w:cs="Arial"/>
          <w:bCs/>
        </w:rPr>
        <w:t xml:space="preserve">oddíle </w:t>
      </w:r>
      <w:r>
        <w:t>potraviny a </w:t>
      </w:r>
      <w:r w:rsidRPr="00A04CED">
        <w:t xml:space="preserve">nealkoholické nápoje způsobilo </w:t>
      </w:r>
      <w:r w:rsidRPr="00A04CED">
        <w:rPr>
          <w:rFonts w:cs="Arial"/>
        </w:rPr>
        <w:t>zejména</w:t>
      </w:r>
      <w:r>
        <w:rPr>
          <w:rFonts w:cs="Arial"/>
        </w:rPr>
        <w:t xml:space="preserve"> zvýšení cen zeleniny o 10,6 %, z toho ceny plodové zeleniny vzrostly o 40,8 %.</w:t>
      </w:r>
      <w:r>
        <w:rPr>
          <w:rFonts w:cs="Arial"/>
          <w:bCs/>
        </w:rPr>
        <w:t xml:space="preserve"> Ceny běžného pečiva byly vyšší o 8,7 %, chleba o 4,0 %, vajec o 3,5 % a ceny ve skupině ostatní mléčné výrobky o 1,6 %. </w:t>
      </w:r>
      <w:r>
        <w:t>V oddíle stravování a ubytování vzrostly ceny stravovacích služeb o 2,4 %, z toho ceny v restauracích a kavárnách o </w:t>
      </w:r>
      <w:r w:rsidRPr="00D554D7">
        <w:t>3,0</w:t>
      </w:r>
      <w:r>
        <w:t> </w:t>
      </w:r>
      <w:r w:rsidRPr="00D554D7">
        <w:t>%.</w:t>
      </w:r>
      <w:r w:rsidRPr="00D554D7">
        <w:rPr>
          <w:rFonts w:cs="Arial"/>
          <w:bCs/>
        </w:rPr>
        <w:t xml:space="preserve"> </w:t>
      </w:r>
      <w:r w:rsidRPr="00D554D7">
        <w:t>V</w:t>
      </w:r>
      <w:r w:rsidRPr="00186648">
        <w:t xml:space="preserve"> oddíle doprava pokračoval již </w:t>
      </w:r>
      <w:r>
        <w:t>čtvrtý</w:t>
      </w:r>
      <w:r w:rsidRPr="00186648">
        <w:t xml:space="preserve"> měsíc </w:t>
      </w:r>
      <w:r>
        <w:t>růst</w:t>
      </w:r>
      <w:r w:rsidRPr="00186648">
        <w:t xml:space="preserve"> cen pohonných hmot, který byl v prosinci 2,</w:t>
      </w:r>
      <w:r>
        <w:t>2 </w:t>
      </w:r>
      <w:r w:rsidRPr="00186648">
        <w:t>%.</w:t>
      </w:r>
      <w:r>
        <w:rPr>
          <w:rFonts w:cs="Arial"/>
          <w:bCs/>
        </w:rPr>
        <w:t xml:space="preserve"> </w:t>
      </w:r>
      <w:r>
        <w:t xml:space="preserve">Průměrná cena benzinu </w:t>
      </w:r>
      <w:proofErr w:type="spellStart"/>
      <w:r>
        <w:t>Natural</w:t>
      </w:r>
      <w:proofErr w:type="spellEnd"/>
      <w:r>
        <w:t> </w:t>
      </w:r>
      <w:r w:rsidRPr="00186648">
        <w:t>95 (</w:t>
      </w:r>
      <w:r>
        <w:t xml:space="preserve">30,00 Kč/l) a </w:t>
      </w:r>
      <w:r w:rsidRPr="00186648">
        <w:t>průměrná cena motorové nafty (2</w:t>
      </w:r>
      <w:r>
        <w:t>9</w:t>
      </w:r>
      <w:r w:rsidRPr="00186648">
        <w:t>,</w:t>
      </w:r>
      <w:r>
        <w:t>40 </w:t>
      </w:r>
      <w:r w:rsidRPr="00186648">
        <w:t xml:space="preserve">Kč/l) byly </w:t>
      </w:r>
      <w:r>
        <w:t>nejvyšší od října, resp. listopadu</w:t>
      </w:r>
      <w:r w:rsidRPr="00186648">
        <w:t xml:space="preserve"> 20</w:t>
      </w:r>
      <w:r>
        <w:t>15</w:t>
      </w:r>
      <w:r w:rsidRPr="00186648">
        <w:t>.</w:t>
      </w:r>
      <w:r>
        <w:t xml:space="preserve"> </w:t>
      </w:r>
      <w:r>
        <w:rPr>
          <w:rFonts w:cs="Arial"/>
          <w:szCs w:val="20"/>
        </w:rPr>
        <w:t>V oddíle rekreace a </w:t>
      </w:r>
      <w:r w:rsidRPr="00186648">
        <w:rPr>
          <w:rFonts w:cs="Arial"/>
          <w:szCs w:val="20"/>
        </w:rPr>
        <w:t>kultura</w:t>
      </w:r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 xml:space="preserve">se zvýšily ceny </w:t>
      </w:r>
      <w:r>
        <w:rPr>
          <w:rFonts w:cs="Arial"/>
          <w:szCs w:val="20"/>
        </w:rPr>
        <w:t>rekreačních a </w:t>
      </w:r>
      <w:r w:rsidRPr="00186648">
        <w:rPr>
          <w:rFonts w:cs="Arial"/>
          <w:szCs w:val="20"/>
        </w:rPr>
        <w:t>kulturních služeb</w:t>
      </w:r>
      <w:r w:rsidRPr="00B650AB">
        <w:rPr>
          <w:rFonts w:cs="Arial"/>
          <w:bCs/>
        </w:rPr>
        <w:t xml:space="preserve"> </w:t>
      </w:r>
      <w:r>
        <w:rPr>
          <w:rFonts w:cs="Arial"/>
          <w:bCs/>
        </w:rPr>
        <w:t>o 0,6 %.</w:t>
      </w:r>
    </w:p>
    <w:p w:rsidR="00622E62" w:rsidRPr="00E2248F" w:rsidRDefault="00622E62" w:rsidP="00622E62">
      <w:pPr>
        <w:spacing w:before="120" w:line="283" w:lineRule="auto"/>
      </w:pPr>
      <w:r w:rsidRPr="00E2248F">
        <w:rPr>
          <w:rFonts w:cs="Arial"/>
          <w:iCs/>
        </w:rPr>
        <w:t>Na snižování celkové cenové hladiny působil v prosinci především pokles cen v oddíle</w:t>
      </w:r>
      <w:r>
        <w:rPr>
          <w:rFonts w:cs="Arial"/>
          <w:iCs/>
        </w:rPr>
        <w:t xml:space="preserve"> alkoholické nápoje a </w:t>
      </w:r>
      <w:r w:rsidRPr="00E2248F">
        <w:rPr>
          <w:rFonts w:cs="Arial"/>
          <w:iCs/>
        </w:rPr>
        <w:t>tabák</w:t>
      </w:r>
      <w:r>
        <w:rPr>
          <w:rFonts w:cs="Arial"/>
          <w:iCs/>
        </w:rPr>
        <w:t>, kde </w:t>
      </w:r>
      <w:r w:rsidRPr="00E2248F">
        <w:rPr>
          <w:rFonts w:cs="Arial"/>
          <w:iCs/>
        </w:rPr>
        <w:t>se snížily ce</w:t>
      </w:r>
      <w:r>
        <w:rPr>
          <w:rFonts w:cs="Arial"/>
          <w:iCs/>
        </w:rPr>
        <w:t>ny lihovin o 3,1 %, ceny piva o 1,4 % a </w:t>
      </w:r>
      <w:r w:rsidRPr="00E2248F">
        <w:rPr>
          <w:rFonts w:cs="Arial"/>
          <w:iCs/>
        </w:rPr>
        <w:t xml:space="preserve">ceny vína o 1,2 %. </w:t>
      </w:r>
      <w:r w:rsidRPr="00E2248F">
        <w:rPr>
          <w:rFonts w:cs="Arial"/>
        </w:rPr>
        <w:t>V </w:t>
      </w:r>
      <w:r w:rsidRPr="00E2248F">
        <w:t>oddíle ostatní zboží</w:t>
      </w:r>
      <w:r>
        <w:t xml:space="preserve"> a služby klesly ceny výrobků a </w:t>
      </w:r>
      <w:r w:rsidRPr="00E2248F">
        <w:t xml:space="preserve">služeb </w:t>
      </w:r>
      <w:r>
        <w:t>spojených s </w:t>
      </w:r>
      <w:r w:rsidRPr="00E2248F">
        <w:t>osobní péč</w:t>
      </w:r>
      <w:r>
        <w:t>í</w:t>
      </w:r>
      <w:r w:rsidRPr="00E2248F">
        <w:t xml:space="preserve"> o 0,6 %</w:t>
      </w:r>
      <w:r>
        <w:t xml:space="preserve"> a ceny finančních služeb o 1,2 %. Z potravin byly nižší zejména ceny citrusů o 18,8 %, drůbežího masa o 3,5 %, jogurtů o 6,4 % a nealkoholických nápojů o 1,6 %.</w:t>
      </w:r>
    </w:p>
    <w:p w:rsidR="00622E62" w:rsidRDefault="00622E62" w:rsidP="00622E62">
      <w:pPr>
        <w:pStyle w:val="Zkladntextodsazen2"/>
        <w:spacing w:before="120" w:after="0" w:line="283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650AB">
        <w:rPr>
          <w:rFonts w:cs="Arial"/>
          <w:szCs w:val="20"/>
        </w:rPr>
        <w:t>ceny služeb o 0,</w:t>
      </w:r>
      <w:r>
        <w:rPr>
          <w:rFonts w:cs="Arial"/>
          <w:szCs w:val="20"/>
        </w:rPr>
        <w:t>5</w:t>
      </w:r>
      <w:r w:rsidRPr="00B650AB">
        <w:rPr>
          <w:rFonts w:cs="Arial"/>
          <w:szCs w:val="20"/>
        </w:rPr>
        <w:t> %.</w:t>
      </w:r>
    </w:p>
    <w:p w:rsidR="00622E62" w:rsidRPr="00260974" w:rsidRDefault="00622E62" w:rsidP="00622E62">
      <w:pPr>
        <w:pStyle w:val="Zkladntext"/>
        <w:tabs>
          <w:tab w:val="left" w:pos="4900"/>
        </w:tabs>
        <w:spacing w:before="120" w:line="283" w:lineRule="auto"/>
        <w:rPr>
          <w:rFonts w:cs="Arial"/>
          <w:sz w:val="20"/>
          <w:szCs w:val="20"/>
        </w:rPr>
      </w:pPr>
      <w:r w:rsidRPr="00B650AB">
        <w:rPr>
          <w:rFonts w:cs="Arial"/>
          <w:b/>
          <w:i w:val="0"/>
          <w:sz w:val="20"/>
          <w:szCs w:val="20"/>
        </w:rPr>
        <w:t>Meziročně</w:t>
      </w:r>
      <w:r w:rsidRPr="00B650AB">
        <w:rPr>
          <w:rFonts w:cs="Arial"/>
          <w:i w:val="0"/>
          <w:sz w:val="20"/>
          <w:szCs w:val="20"/>
        </w:rPr>
        <w:t xml:space="preserve"> vzrostly </w:t>
      </w:r>
      <w:r w:rsidRPr="004D64F5">
        <w:rPr>
          <w:rFonts w:cs="Arial"/>
          <w:i w:val="0"/>
          <w:sz w:val="20"/>
          <w:szCs w:val="20"/>
        </w:rPr>
        <w:t>spotřebitelské ceny v </w:t>
      </w:r>
      <w:r>
        <w:rPr>
          <w:rFonts w:cs="Arial"/>
          <w:i w:val="0"/>
          <w:sz w:val="20"/>
          <w:szCs w:val="20"/>
        </w:rPr>
        <w:t>prosinci</w:t>
      </w:r>
      <w:r w:rsidRPr="004D64F5">
        <w:rPr>
          <w:rFonts w:cs="Arial"/>
          <w:i w:val="0"/>
          <w:sz w:val="20"/>
          <w:szCs w:val="20"/>
        </w:rPr>
        <w:t xml:space="preserve"> o </w:t>
      </w:r>
      <w:r>
        <w:rPr>
          <w:rFonts w:cs="Arial"/>
          <w:i w:val="0"/>
          <w:sz w:val="20"/>
          <w:szCs w:val="20"/>
        </w:rPr>
        <w:t>2,0</w:t>
      </w:r>
      <w:r w:rsidRPr="004D64F5">
        <w:rPr>
          <w:rFonts w:cs="Arial"/>
          <w:i w:val="0"/>
          <w:sz w:val="20"/>
          <w:szCs w:val="20"/>
        </w:rPr>
        <w:t> %, což bylo o 0,</w:t>
      </w:r>
      <w:r>
        <w:rPr>
          <w:rFonts w:cs="Arial"/>
          <w:i w:val="0"/>
          <w:sz w:val="20"/>
          <w:szCs w:val="20"/>
        </w:rPr>
        <w:t>5</w:t>
      </w:r>
      <w:r w:rsidRPr="004D64F5">
        <w:rPr>
          <w:rFonts w:cs="Arial"/>
          <w:i w:val="0"/>
          <w:sz w:val="20"/>
          <w:szCs w:val="20"/>
        </w:rPr>
        <w:t> procentního bodu více než v </w:t>
      </w:r>
      <w:r>
        <w:rPr>
          <w:rFonts w:cs="Arial"/>
          <w:i w:val="0"/>
          <w:sz w:val="20"/>
          <w:szCs w:val="20"/>
        </w:rPr>
        <w:t>listopadu</w:t>
      </w:r>
      <w:r w:rsidRPr="004D64F5">
        <w:rPr>
          <w:rFonts w:cs="Arial"/>
          <w:i w:val="0"/>
          <w:sz w:val="20"/>
          <w:szCs w:val="20"/>
        </w:rPr>
        <w:t xml:space="preserve">. </w:t>
      </w:r>
      <w:r w:rsidRPr="0098522B">
        <w:rPr>
          <w:rFonts w:cs="Arial"/>
          <w:i w:val="0"/>
          <w:sz w:val="20"/>
          <w:szCs w:val="20"/>
        </w:rPr>
        <w:t>Zvýšení meziroční cenové hladiny</w:t>
      </w:r>
      <w:r>
        <w:rPr>
          <w:rFonts w:cs="Arial"/>
          <w:i w:val="0"/>
          <w:sz w:val="20"/>
          <w:szCs w:val="20"/>
        </w:rPr>
        <w:t xml:space="preserve"> nastalo především v </w:t>
      </w:r>
      <w:r w:rsidRPr="00F44F55">
        <w:rPr>
          <w:rFonts w:cs="Arial"/>
          <w:i w:val="0"/>
          <w:sz w:val="20"/>
          <w:szCs w:val="20"/>
        </w:rPr>
        <w:t xml:space="preserve">oddíle </w:t>
      </w:r>
      <w:r>
        <w:rPr>
          <w:rFonts w:cs="Arial"/>
          <w:i w:val="0"/>
          <w:sz w:val="20"/>
          <w:szCs w:val="20"/>
        </w:rPr>
        <w:t xml:space="preserve">potraviny a nealkoholické nápoje, kde u řady potravin došlo buď ke zrychlení jejich cenového </w:t>
      </w:r>
      <w:proofErr w:type="gramStart"/>
      <w:r>
        <w:rPr>
          <w:rFonts w:cs="Arial"/>
          <w:i w:val="0"/>
          <w:sz w:val="20"/>
          <w:szCs w:val="20"/>
        </w:rPr>
        <w:t>růstu nebo</w:t>
      </w:r>
      <w:proofErr w:type="gramEnd"/>
      <w:r>
        <w:rPr>
          <w:rFonts w:cs="Arial"/>
          <w:i w:val="0"/>
          <w:sz w:val="20"/>
          <w:szCs w:val="20"/>
        </w:rPr>
        <w:t xml:space="preserve"> k přechodu v růst z listopadového poklesu. Ceny běžného pečiva byly vyšší o 10,4 % (v listopadu o 1,5 %), vajec o 13,7 % (v listopadu o 10,3 %), čerstvého másla o 20,7 % (v listopadu o 16,6 %). Ceny plodové zeleniny byly v prosinci vyšší o 41,5 % (v listopadu pokles o 10,1 %). V oddíle doprava ceny pohonných hmot </w:t>
      </w:r>
      <w:r w:rsidRPr="00D14B5E">
        <w:rPr>
          <w:rFonts w:cs="Arial"/>
          <w:i w:val="0"/>
          <w:sz w:val="20"/>
          <w:szCs w:val="20"/>
        </w:rPr>
        <w:t xml:space="preserve">přešly v růst o 4,3 % </w:t>
      </w:r>
      <w:r>
        <w:rPr>
          <w:rFonts w:cs="Arial"/>
          <w:i w:val="0"/>
          <w:sz w:val="20"/>
          <w:szCs w:val="20"/>
        </w:rPr>
        <w:t>z poklesu o </w:t>
      </w:r>
      <w:r w:rsidRPr="00D14B5E">
        <w:rPr>
          <w:rFonts w:cs="Arial"/>
          <w:i w:val="0"/>
          <w:sz w:val="20"/>
          <w:szCs w:val="20"/>
        </w:rPr>
        <w:t>0,3 %</w:t>
      </w:r>
      <w:r>
        <w:rPr>
          <w:rFonts w:cs="Arial"/>
          <w:i w:val="0"/>
          <w:sz w:val="20"/>
          <w:szCs w:val="20"/>
        </w:rPr>
        <w:t xml:space="preserve"> v </w:t>
      </w:r>
      <w:r w:rsidRPr="00D14B5E">
        <w:rPr>
          <w:rFonts w:cs="Arial"/>
          <w:i w:val="0"/>
          <w:sz w:val="20"/>
          <w:szCs w:val="20"/>
        </w:rPr>
        <w:t>listopadu.</w:t>
      </w:r>
      <w:r>
        <w:rPr>
          <w:rFonts w:cs="Arial"/>
          <w:i w:val="0"/>
          <w:sz w:val="20"/>
          <w:szCs w:val="20"/>
        </w:rPr>
        <w:t xml:space="preserve"> Na </w:t>
      </w:r>
      <w:r w:rsidRPr="001F237F">
        <w:rPr>
          <w:rFonts w:cs="Arial"/>
          <w:i w:val="0"/>
          <w:sz w:val="20"/>
          <w:szCs w:val="20"/>
        </w:rPr>
        <w:t>zrychlení cenového</w:t>
      </w:r>
      <w:r w:rsidRPr="00325575">
        <w:rPr>
          <w:rFonts w:cs="Arial"/>
          <w:i w:val="0"/>
          <w:sz w:val="20"/>
          <w:szCs w:val="20"/>
        </w:rPr>
        <w:t xml:space="preserve"> růstu v těchto dvou oddílech měl též vliv jejich meziměsíční pokles v prosinci 2015</w:t>
      </w:r>
      <w:r>
        <w:rPr>
          <w:rFonts w:cs="Arial"/>
          <w:i w:val="0"/>
          <w:sz w:val="20"/>
          <w:szCs w:val="20"/>
        </w:rPr>
        <w:t>. V oddíle stravování a </w:t>
      </w:r>
      <w:r w:rsidRPr="00325575">
        <w:rPr>
          <w:rFonts w:cs="Arial"/>
          <w:i w:val="0"/>
          <w:sz w:val="20"/>
          <w:szCs w:val="20"/>
        </w:rPr>
        <w:t>ubytování zrychlily svůj růst ceny stravovacíc</w:t>
      </w:r>
      <w:r w:rsidRPr="00260974">
        <w:rPr>
          <w:rFonts w:cs="Arial"/>
          <w:i w:val="0"/>
          <w:sz w:val="20"/>
          <w:szCs w:val="20"/>
        </w:rPr>
        <w:t>h služeb</w:t>
      </w:r>
      <w:r>
        <w:rPr>
          <w:rFonts w:cs="Arial"/>
          <w:i w:val="0"/>
          <w:sz w:val="20"/>
          <w:szCs w:val="20"/>
        </w:rPr>
        <w:t xml:space="preserve"> na 4,8 % (z 2,5 % v listopadu) a ubytovacích služeb na 1,5 % (z 0,6 % v listopadu).</w:t>
      </w:r>
    </w:p>
    <w:p w:rsidR="00622E62" w:rsidRDefault="00622E62" w:rsidP="00622E62">
      <w:pPr>
        <w:spacing w:before="120" w:line="283" w:lineRule="auto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 xml:space="preserve"> prosinci </w:t>
      </w:r>
      <w:r w:rsidRPr="00B650AB">
        <w:t>největší vliv 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>
        <w:t>potraviny a nealkoholické nápoje (nárůst o 3,3 </w:t>
      </w:r>
      <w:r w:rsidRPr="00D554D7">
        <w:t>%).</w:t>
      </w:r>
      <w:r>
        <w:t xml:space="preserve"> Dalším v pořadí vlivu byly ceny v oddíle</w:t>
      </w:r>
      <w:r w:rsidRPr="009A5F5F">
        <w:t xml:space="preserve"> </w:t>
      </w:r>
      <w:r w:rsidRPr="00B650AB">
        <w:t xml:space="preserve">alkoholické nápoje </w:t>
      </w:r>
      <w:r>
        <w:t>a </w:t>
      </w:r>
      <w:r w:rsidRPr="00B650AB">
        <w:t>tabák</w:t>
      </w:r>
      <w:r>
        <w:t>, kde byly vyšší ceny alkoholických nápojů o 3,1 % a ceny tabákových výrobků o 6,5 %. Vliv na zvýšení</w:t>
      </w:r>
      <w:r w:rsidRPr="00B650AB">
        <w:t xml:space="preserve"> </w:t>
      </w:r>
      <w:r w:rsidRPr="00605C02">
        <w:t>cenové úrovně</w:t>
      </w:r>
      <w:r>
        <w:t xml:space="preserve"> </w:t>
      </w:r>
      <w:r w:rsidRPr="00B650AB">
        <w:t xml:space="preserve">měly </w:t>
      </w:r>
      <w:r>
        <w:t xml:space="preserve">též </w:t>
      </w:r>
      <w:r w:rsidRPr="00B650AB">
        <w:t xml:space="preserve">ceny v oddíle </w:t>
      </w:r>
      <w:r>
        <w:t xml:space="preserve">doprava a v oddíle stravování a ubytování. V oddíle </w:t>
      </w:r>
      <w:r w:rsidRPr="00B650AB">
        <w:t>bydlení</w:t>
      </w:r>
      <w:r>
        <w:t> </w:t>
      </w:r>
      <w:r w:rsidRPr="00B650AB">
        <w:t>vzrostly ceny čistého nájemného o </w:t>
      </w:r>
      <w:r>
        <w:t>1,5</w:t>
      </w:r>
      <w:r w:rsidRPr="00B650AB">
        <w:t> %, vodného o</w:t>
      </w:r>
      <w:r>
        <w:t> 1,6 %, stočného o 5,3 </w:t>
      </w:r>
      <w:r w:rsidRPr="00B650AB">
        <w:t>%</w:t>
      </w:r>
      <w:r>
        <w:t>, elektřiny o 1,2 </w:t>
      </w:r>
      <w:r w:rsidRPr="00B650AB">
        <w:t>%, tepla o 1,1</w:t>
      </w:r>
      <w:r>
        <w:t> </w:t>
      </w:r>
      <w:r w:rsidRPr="00B650AB">
        <w:t>%.</w:t>
      </w:r>
      <w:r>
        <w:t xml:space="preserve"> V oddíle zdraví vzrostly ceny léků a jejich doplatků o 2,7 %.</w:t>
      </w:r>
      <w:r w:rsidRPr="00B650AB">
        <w:t xml:space="preserve"> </w:t>
      </w:r>
      <w:r w:rsidRPr="00D554D7">
        <w:t>Vliv</w:t>
      </w:r>
      <w:r>
        <w:t xml:space="preserve"> </w:t>
      </w:r>
      <w:r w:rsidRPr="004D64F5">
        <w:t>na</w:t>
      </w:r>
      <w:r>
        <w:t> </w:t>
      </w:r>
      <w:r w:rsidRPr="004D64F5">
        <w:t>zvyšování</w:t>
      </w:r>
      <w:r>
        <w:t xml:space="preserve"> cenové úrovně měly i ceny v</w:t>
      </w:r>
      <w:r w:rsidRPr="00B650AB">
        <w:t> oddíle</w:t>
      </w:r>
      <w:r>
        <w:t xml:space="preserve"> </w:t>
      </w:r>
      <w:r w:rsidRPr="00525FD9">
        <w:t>ostatní zboží a služby</w:t>
      </w:r>
      <w:r>
        <w:t xml:space="preserve">, </w:t>
      </w:r>
      <w:r w:rsidRPr="00F1030C">
        <w:t>kde</w:t>
      </w:r>
      <w:r>
        <w:t> </w:t>
      </w:r>
      <w:r w:rsidRPr="00F1030C">
        <w:t>byly</w:t>
      </w:r>
      <w:r>
        <w:t xml:space="preserve"> vyšší</w:t>
      </w:r>
      <w:r w:rsidRPr="00525FD9">
        <w:t xml:space="preserve"> ceny pojištění o 2,</w:t>
      </w:r>
      <w:r>
        <w:t>5</w:t>
      </w:r>
      <w:r w:rsidRPr="00525FD9">
        <w:t> %</w:t>
      </w:r>
      <w:r>
        <w:t xml:space="preserve"> a ceny finančních služeb o 1,2 %.</w:t>
      </w:r>
    </w:p>
    <w:p w:rsidR="00622E62" w:rsidRDefault="00622E62" w:rsidP="00622E62">
      <w:pPr>
        <w:spacing w:before="120" w:line="283" w:lineRule="auto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186648">
        <w:rPr>
          <w:rFonts w:cs="Arial"/>
          <w:szCs w:val="20"/>
        </w:rPr>
        <w:t xml:space="preserve">snižování meziroční cenové hladiny </w:t>
      </w:r>
      <w:r>
        <w:rPr>
          <w:rFonts w:cs="Arial"/>
          <w:szCs w:val="20"/>
        </w:rPr>
        <w:t>působily ceny v oddíle</w:t>
      </w:r>
      <w:r w:rsidRPr="009C60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bytové vybavení a </w:t>
      </w:r>
      <w:r w:rsidRPr="00DB7E36">
        <w:rPr>
          <w:rFonts w:cs="Arial"/>
          <w:szCs w:val="20"/>
        </w:rPr>
        <w:t>zařízení domácnosti</w:t>
      </w:r>
      <w:r>
        <w:rPr>
          <w:rFonts w:cs="Arial"/>
          <w:szCs w:val="20"/>
        </w:rPr>
        <w:t xml:space="preserve"> (pokles o 1,2 %). </w:t>
      </w:r>
      <w:r w:rsidRPr="00D05461">
        <w:rPr>
          <w:rFonts w:cs="Arial"/>
          <w:szCs w:val="20"/>
        </w:rPr>
        <w:t>V oddíle bydlení klesly ceny zemního plynu o 6,9 %.</w:t>
      </w:r>
    </w:p>
    <w:p w:rsidR="00622E62" w:rsidRPr="00576E20" w:rsidRDefault="00622E62" w:rsidP="00622E62">
      <w:pPr>
        <w:pStyle w:val="Zkladntext"/>
        <w:tabs>
          <w:tab w:val="left" w:pos="4900"/>
        </w:tabs>
        <w:spacing w:before="120" w:line="283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1,9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(v listopadu o 1,5 </w:t>
      </w:r>
      <w:r w:rsidRPr="00D554D7">
        <w:rPr>
          <w:rFonts w:cs="Arial"/>
          <w:i w:val="0"/>
          <w:sz w:val="20"/>
          <w:szCs w:val="20"/>
        </w:rPr>
        <w:t xml:space="preserve">%) a ceny služeb o 2,0 % </w:t>
      </w:r>
      <w:r>
        <w:rPr>
          <w:rFonts w:cs="Arial"/>
          <w:i w:val="0"/>
          <w:sz w:val="20"/>
          <w:szCs w:val="20"/>
        </w:rPr>
        <w:t>(v </w:t>
      </w:r>
      <w:r w:rsidRPr="00D554D7">
        <w:rPr>
          <w:rFonts w:cs="Arial"/>
          <w:i w:val="0"/>
          <w:sz w:val="20"/>
          <w:szCs w:val="20"/>
        </w:rPr>
        <w:t>listopadu o </w:t>
      </w:r>
      <w:r>
        <w:rPr>
          <w:rFonts w:cs="Arial"/>
          <w:i w:val="0"/>
          <w:sz w:val="20"/>
          <w:szCs w:val="20"/>
        </w:rPr>
        <w:t>1,7 </w:t>
      </w:r>
      <w:r w:rsidRPr="00D554D7">
        <w:rPr>
          <w:rFonts w:cs="Arial"/>
          <w:i w:val="0"/>
          <w:sz w:val="20"/>
          <w:szCs w:val="20"/>
        </w:rPr>
        <w:t>%). Úhrnný index spotřebitelských cen bez započtení imputovaného nájemného byl</w:t>
      </w:r>
      <w:r w:rsidRPr="00916640">
        <w:rPr>
          <w:rFonts w:cs="Arial"/>
          <w:i w:val="0"/>
          <w:sz w:val="20"/>
          <w:szCs w:val="20"/>
        </w:rPr>
        <w:t xml:space="preserve"> meziročně </w:t>
      </w:r>
      <w:r>
        <w:rPr>
          <w:rFonts w:cs="Arial"/>
          <w:i w:val="0"/>
          <w:sz w:val="20"/>
          <w:szCs w:val="20"/>
        </w:rPr>
        <w:t>102,0</w:t>
      </w:r>
      <w:r w:rsidRPr="00916640">
        <w:rPr>
          <w:rFonts w:cs="Arial"/>
          <w:i w:val="0"/>
          <w:sz w:val="20"/>
          <w:szCs w:val="20"/>
        </w:rPr>
        <w:t> %.</w:t>
      </w:r>
    </w:p>
    <w:p w:rsidR="00622E62" w:rsidRPr="003B3542" w:rsidRDefault="00622E62" w:rsidP="00622E62">
      <w:pPr>
        <w:pStyle w:val="Zkladntext"/>
        <w:spacing w:before="120" w:line="283" w:lineRule="auto"/>
        <w:outlineLvl w:val="0"/>
        <w:rPr>
          <w:rFonts w:cs="Arial"/>
          <w:i w:val="0"/>
          <w:sz w:val="20"/>
          <w:szCs w:val="20"/>
        </w:rPr>
      </w:pPr>
      <w:r w:rsidRPr="003B3542">
        <w:rPr>
          <w:rFonts w:cs="Arial"/>
          <w:b/>
          <w:bCs/>
          <w:i w:val="0"/>
          <w:sz w:val="20"/>
          <w:szCs w:val="20"/>
        </w:rPr>
        <w:t>Průměrná míra inflace</w:t>
      </w:r>
      <w:r w:rsidRPr="003B3542">
        <w:rPr>
          <w:rFonts w:cs="Arial"/>
          <w:i w:val="0"/>
          <w:sz w:val="20"/>
          <w:szCs w:val="20"/>
        </w:rPr>
        <w:t xml:space="preserve"> vyjádřená přírůstkem indexu spotřebitelských cen v roce 2016 proti pr</w:t>
      </w:r>
      <w:r>
        <w:rPr>
          <w:rFonts w:cs="Arial"/>
          <w:i w:val="0"/>
          <w:sz w:val="20"/>
          <w:szCs w:val="20"/>
        </w:rPr>
        <w:t>ůměru roku 2015 byla 0,7 %, což je o 0,4 procentního bodu více než v roce 2015 a nejvyšší hodnota za </w:t>
      </w:r>
      <w:r w:rsidRPr="003B3542">
        <w:rPr>
          <w:rFonts w:cs="Arial"/>
          <w:i w:val="0"/>
          <w:sz w:val="20"/>
          <w:szCs w:val="20"/>
        </w:rPr>
        <w:t xml:space="preserve">poslední tři roky. </w:t>
      </w:r>
    </w:p>
    <w:p w:rsidR="001061E2" w:rsidRDefault="00622E62" w:rsidP="00622E62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listopadu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6</w:t>
      </w:r>
      <w:r w:rsidRPr="0077017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říjnu</w:t>
      </w:r>
      <w:r w:rsidRPr="0077017F">
        <w:rPr>
          <w:rFonts w:cs="Arial"/>
          <w:sz w:val="20"/>
          <w:szCs w:val="20"/>
        </w:rPr>
        <w:t>. Nejvíce vzrostly ceny v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lgii (o 1,7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České republice (o 1,6 %)</w:t>
      </w:r>
      <w:r w:rsidRPr="0077017F">
        <w:rPr>
          <w:rFonts w:cs="Arial"/>
          <w:sz w:val="20"/>
          <w:szCs w:val="20"/>
        </w:rPr>
        <w:t xml:space="preserve">. Naopak </w:t>
      </w:r>
      <w:r>
        <w:rPr>
          <w:rFonts w:cs="Arial"/>
          <w:sz w:val="20"/>
          <w:szCs w:val="20"/>
        </w:rPr>
        <w:t xml:space="preserve">pokles cen nastal </w:t>
      </w:r>
      <w:r w:rsidRPr="001A62D5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šesti</w:t>
      </w:r>
      <w:r w:rsidRPr="001A62D5">
        <w:rPr>
          <w:rFonts w:cs="Arial"/>
          <w:sz w:val="20"/>
          <w:szCs w:val="20"/>
        </w:rPr>
        <w:t xml:space="preserve"> zemích EU, z toho nejvíce v</w:t>
      </w:r>
      <w:r>
        <w:rPr>
          <w:rFonts w:cs="Arial"/>
          <w:sz w:val="20"/>
          <w:szCs w:val="20"/>
        </w:rPr>
        <w:t> Bulharsk</w:t>
      </w:r>
      <w:r w:rsidRPr="001A62D5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a na Kypru</w:t>
      </w:r>
      <w:r w:rsidRPr="001A62D5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 xml:space="preserve">shodně </w:t>
      </w:r>
      <w:r w:rsidRPr="001A62D5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0</w:t>
      </w:r>
      <w:r w:rsidRPr="001A62D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8</w:t>
      </w:r>
      <w:r w:rsidRPr="001A62D5">
        <w:rPr>
          <w:rFonts w:cs="Arial"/>
          <w:sz w:val="20"/>
          <w:szCs w:val="20"/>
        </w:rPr>
        <w:t> %). Na Slovensku ceny klesly o 0,</w:t>
      </w:r>
      <w:r>
        <w:rPr>
          <w:rFonts w:cs="Arial"/>
          <w:sz w:val="20"/>
          <w:szCs w:val="20"/>
        </w:rPr>
        <w:t>2</w:t>
      </w:r>
      <w:r w:rsidRPr="001A62D5">
        <w:rPr>
          <w:rFonts w:cs="Arial"/>
          <w:sz w:val="20"/>
          <w:szCs w:val="20"/>
        </w:rPr>
        <w:t xml:space="preserve"> %. </w:t>
      </w:r>
      <w:r w:rsidRPr="0077017F">
        <w:rPr>
          <w:rFonts w:cs="Arial"/>
          <w:sz w:val="20"/>
          <w:szCs w:val="20"/>
        </w:rPr>
        <w:t xml:space="preserve">V Německu </w:t>
      </w:r>
      <w:r>
        <w:rPr>
          <w:rFonts w:cs="Arial"/>
          <w:sz w:val="20"/>
          <w:szCs w:val="20"/>
        </w:rPr>
        <w:t>vzrostly</w:t>
      </w:r>
      <w:r w:rsidRPr="004875C1">
        <w:rPr>
          <w:rFonts w:cs="Arial"/>
          <w:sz w:val="20"/>
          <w:szCs w:val="20"/>
        </w:rPr>
        <w:t xml:space="preserve"> ceny v</w:t>
      </w:r>
      <w:r>
        <w:rPr>
          <w:rFonts w:cs="Arial"/>
          <w:sz w:val="20"/>
          <w:szCs w:val="20"/>
        </w:rPr>
        <w:t xml:space="preserve"> listopadu stejně jako v říjnu, tj. </w:t>
      </w:r>
      <w:r w:rsidRPr="004875C1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 0,7</w:t>
      </w:r>
      <w:r w:rsidRPr="004875C1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.</w:t>
      </w:r>
      <w:r w:rsidRPr="004875C1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předběžných výpočtů vzrostl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0,</w:t>
      </w:r>
      <w:r>
        <w:rPr>
          <w:rFonts w:cs="Arial"/>
          <w:sz w:val="20"/>
          <w:szCs w:val="20"/>
        </w:rPr>
        <w:t>3</w:t>
      </w:r>
      <w:r w:rsidRPr="004A212A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 xml:space="preserve">meziročně </w:t>
      </w:r>
      <w:r>
        <w:rPr>
          <w:rFonts w:cs="Arial"/>
          <w:sz w:val="20"/>
          <w:szCs w:val="20"/>
        </w:rPr>
        <w:t xml:space="preserve">o 2,1 %.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prosinec </w:t>
      </w:r>
      <w:r w:rsidRPr="004A212A">
        <w:rPr>
          <w:rFonts w:cs="Arial"/>
          <w:b/>
          <w:bCs/>
          <w:sz w:val="20"/>
          <w:szCs w:val="20"/>
        </w:rPr>
        <w:t>2016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>
        <w:rPr>
          <w:rFonts w:cs="Arial"/>
          <w:sz w:val="20"/>
          <w:szCs w:val="20"/>
        </w:rPr>
        <w:t>1,1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780597" w:rsidRPr="00780597" w:rsidRDefault="00780597" w:rsidP="00780597">
      <w:pPr>
        <w:pStyle w:val="Zkladntext"/>
        <w:spacing w:before="120" w:line="283" w:lineRule="auto"/>
        <w:rPr>
          <w:rFonts w:cs="Arial"/>
          <w:i w:val="0"/>
          <w:sz w:val="20"/>
          <w:szCs w:val="20"/>
        </w:rPr>
      </w:pPr>
      <w:r w:rsidRPr="00780597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780597">
        <w:rPr>
          <w:rFonts w:cs="Arial"/>
          <w:b/>
          <w:bCs/>
          <w:i w:val="0"/>
          <w:sz w:val="20"/>
          <w:szCs w:val="20"/>
        </w:rPr>
        <w:t>domácností důchodců</w:t>
      </w:r>
      <w:r w:rsidRPr="00780597">
        <w:rPr>
          <w:rFonts w:cs="Arial"/>
          <w:i w:val="0"/>
          <w:sz w:val="20"/>
          <w:szCs w:val="20"/>
        </w:rPr>
        <w:t xml:space="preserve"> stouply v prosinci ve srovnání s předcházejícím měsícem o 0,1 %. V oddíle stravování a ubytování došlo ke zvýšení cen o 2,3 %. Vzrostly zejména ceny v </w:t>
      </w:r>
      <w:r>
        <w:rPr>
          <w:rFonts w:cs="Arial"/>
          <w:i w:val="0"/>
          <w:sz w:val="20"/>
          <w:szCs w:val="20"/>
        </w:rPr>
        <w:t>restauracích, kavárnách a </w:t>
      </w:r>
      <w:r w:rsidRPr="00780597">
        <w:rPr>
          <w:rFonts w:cs="Arial"/>
          <w:i w:val="0"/>
          <w:sz w:val="20"/>
          <w:szCs w:val="20"/>
        </w:rPr>
        <w:t>podobných zařízeních. V oddíle doprava se zvýšil index spotřebitelských cen o 1,0 %. Bylo to způsobeno zejména cenami pohonných hmot. V oddíle potraviny a nealkoholické nápoje se zvýšily ceny o 0,7 %. Působily zde hlavně vyšší ceny zeleniny. Na druhé straně se projevilo snížení cen v oddíle alkoholické nápoje a tabák o 1,1 %. Pokles byl způsoben nižšími cenami lihovin, piva a vína. V oddíle odívání a obuv bylo zaznamenáno snížení</w:t>
      </w:r>
      <w:r>
        <w:rPr>
          <w:rFonts w:cs="Arial"/>
          <w:i w:val="0"/>
          <w:sz w:val="20"/>
          <w:szCs w:val="20"/>
        </w:rPr>
        <w:t xml:space="preserve"> cen o </w:t>
      </w:r>
      <w:r w:rsidRPr="00780597">
        <w:rPr>
          <w:rFonts w:cs="Arial"/>
          <w:i w:val="0"/>
          <w:sz w:val="20"/>
          <w:szCs w:val="20"/>
        </w:rPr>
        <w:t>0,5 %. Důvodem byly nižší ceny oděvů a obuvi.</w:t>
      </w:r>
    </w:p>
    <w:p w:rsidR="00780597" w:rsidRPr="00780597" w:rsidRDefault="00780597" w:rsidP="00780597">
      <w:pPr>
        <w:pStyle w:val="Zkladntext"/>
        <w:spacing w:before="120" w:line="283" w:lineRule="auto"/>
        <w:rPr>
          <w:rFonts w:cs="Arial"/>
          <w:i w:val="0"/>
          <w:sz w:val="20"/>
          <w:szCs w:val="20"/>
        </w:rPr>
      </w:pPr>
      <w:r w:rsidRPr="00780597">
        <w:rPr>
          <w:rFonts w:cs="Arial"/>
          <w:b/>
          <w:bCs/>
          <w:i w:val="0"/>
          <w:sz w:val="20"/>
          <w:szCs w:val="20"/>
        </w:rPr>
        <w:t>V hlavním městě Praze</w:t>
      </w:r>
      <w:r w:rsidRPr="00780597">
        <w:rPr>
          <w:rFonts w:cs="Arial"/>
          <w:i w:val="0"/>
          <w:sz w:val="20"/>
          <w:szCs w:val="20"/>
        </w:rPr>
        <w:t xml:space="preserve"> úhrnný index spotřebitelských cen (životních nákladů) vzrostl ve srovnání s minulým měsícem o 0,4 % (0,3 % v celé ČR). V oddíle stravování a ubytování se zvýšil index spotřebitelských cen o 2,9 % (2,2 % v ČR). Vzrostly zejména ceny v restauracích, kavárnách a podobných zařízeních. V Praze se zvýšila hladina spotřebitelských cen v oddíle potraviny a nealkoholické nápoje o 1,2 % (0,8 % v ČR). V tomto oddíle vzrostly zejména ceny zeleniny. Na druhé straně byl zaznamenán pokles indexu spotřebitelských cen v oddíle odívání a obuv o 0,9 % (-0,5 % v ČR). Byly zjištěny zejména nižší ceny oděvů. V oddíle alkoholické nápoje a tabák klesly spotřebitelské ceny o 0,7 % (-0,9 % v ČR). Pokles byl zaznamenán u lihovin, piva a vína.</w:t>
      </w:r>
    </w:p>
    <w:p w:rsidR="00320160" w:rsidRPr="00780597" w:rsidRDefault="00320160" w:rsidP="00780597">
      <w:pPr>
        <w:pStyle w:val="Zkladntextodsazen3"/>
        <w:spacing w:before="120" w:after="0" w:line="283" w:lineRule="auto"/>
        <w:ind w:left="0"/>
        <w:rPr>
          <w:rFonts w:cs="Arial"/>
          <w:sz w:val="20"/>
          <w:szCs w:val="20"/>
        </w:rPr>
      </w:pPr>
    </w:p>
    <w:p w:rsidR="002445D8" w:rsidRPr="002445D8" w:rsidRDefault="002445D8" w:rsidP="009C406B">
      <w:pPr>
        <w:pStyle w:val="Zkladntextodsazen3"/>
        <w:spacing w:before="120" w:line="283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2445D8" w:rsidRPr="002445D8" w:rsidRDefault="001E5319" w:rsidP="009C406B">
      <w:pPr>
        <w:pStyle w:val="Zkladntextodsazen3"/>
        <w:spacing w:before="120" w:after="0" w:line="283" w:lineRule="auto"/>
        <w:ind w:left="0"/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Od </w:t>
      </w:r>
      <w:r w:rsidRPr="009174C1">
        <w:rPr>
          <w:rFonts w:eastAsia="Times New Roman" w:cs="Arial"/>
          <w:iCs/>
          <w:sz w:val="20"/>
          <w:szCs w:val="20"/>
        </w:rPr>
        <w:t xml:space="preserve">ledna 2017 bude nově zavedena časová řada bazických indexů </w:t>
      </w:r>
      <w:r>
        <w:rPr>
          <w:rFonts w:eastAsia="Times New Roman" w:cs="Arial"/>
          <w:iCs/>
          <w:sz w:val="20"/>
          <w:szCs w:val="20"/>
        </w:rPr>
        <w:t>se </w:t>
      </w:r>
      <w:r w:rsidRPr="009174C1">
        <w:rPr>
          <w:rFonts w:eastAsia="Times New Roman" w:cs="Arial"/>
          <w:iCs/>
          <w:sz w:val="20"/>
          <w:szCs w:val="20"/>
        </w:rPr>
        <w:t xml:space="preserve">základem průměr roku 2015 = 100. Z této časové řady budou počítány indexy k dalším základům (předchozí měsíc = 100, stejné období předchozího roku = </w:t>
      </w:r>
      <w:smartTag w:uri="urn:schemas-microsoft-com:office:smarttags" w:element="metricconverter">
        <w:smartTagPr>
          <w:attr w:name="ProductID" w:val="100 a"/>
        </w:smartTagPr>
        <w:r w:rsidRPr="009174C1">
          <w:rPr>
            <w:rFonts w:eastAsia="Times New Roman" w:cs="Arial"/>
            <w:iCs/>
            <w:sz w:val="20"/>
            <w:szCs w:val="20"/>
          </w:rPr>
          <w:t>100 a </w:t>
        </w:r>
      </w:smartTag>
      <w:r w:rsidRPr="009174C1">
        <w:rPr>
          <w:rFonts w:eastAsia="Times New Roman" w:cs="Arial"/>
          <w:iCs/>
          <w:sz w:val="20"/>
          <w:szCs w:val="20"/>
        </w:rPr>
        <w:t>index klou</w:t>
      </w:r>
      <w:r>
        <w:rPr>
          <w:rFonts w:eastAsia="Times New Roman" w:cs="Arial"/>
          <w:iCs/>
          <w:sz w:val="20"/>
          <w:szCs w:val="20"/>
        </w:rPr>
        <w:t>zavých průměrů za posledních 12 měsíců k průměru 12 </w:t>
      </w:r>
      <w:r w:rsidRPr="009174C1">
        <w:rPr>
          <w:rFonts w:eastAsia="Times New Roman" w:cs="Arial"/>
          <w:iCs/>
          <w:sz w:val="20"/>
          <w:szCs w:val="20"/>
        </w:rPr>
        <w:t xml:space="preserve">předcházejících měsíců). </w:t>
      </w:r>
      <w:r>
        <w:rPr>
          <w:rFonts w:eastAsia="Times New Roman" w:cs="Arial"/>
          <w:iCs/>
          <w:sz w:val="20"/>
          <w:szCs w:val="20"/>
        </w:rPr>
        <w:t>Indexy vypočtené z </w:t>
      </w:r>
      <w:r w:rsidRPr="009174C1">
        <w:rPr>
          <w:rFonts w:eastAsia="Times New Roman" w:cs="Arial"/>
          <w:iCs/>
          <w:sz w:val="20"/>
          <w:szCs w:val="20"/>
        </w:rPr>
        <w:t xml:space="preserve">dosavadní časové řady bazických indexů průměr roku 2005 = 100 zůstávají platné, nedojde </w:t>
      </w:r>
      <w:r>
        <w:rPr>
          <w:rFonts w:eastAsia="Times New Roman" w:cs="Arial"/>
          <w:iCs/>
          <w:sz w:val="20"/>
          <w:szCs w:val="20"/>
        </w:rPr>
        <w:t>k revizi již </w:t>
      </w:r>
      <w:r w:rsidRPr="009174C1">
        <w:rPr>
          <w:rFonts w:eastAsia="Times New Roman" w:cs="Arial"/>
          <w:iCs/>
          <w:sz w:val="20"/>
          <w:szCs w:val="20"/>
        </w:rPr>
        <w:t xml:space="preserve">publikovaných </w:t>
      </w:r>
      <w:r>
        <w:rPr>
          <w:rFonts w:eastAsia="Times New Roman" w:cs="Arial"/>
          <w:iCs/>
          <w:sz w:val="20"/>
          <w:szCs w:val="20"/>
        </w:rPr>
        <w:t>údaj</w:t>
      </w:r>
      <w:r w:rsidRPr="009174C1">
        <w:rPr>
          <w:rFonts w:eastAsia="Times New Roman" w:cs="Arial"/>
          <w:iCs/>
          <w:sz w:val="20"/>
          <w:szCs w:val="20"/>
        </w:rPr>
        <w:t>ů. Původní časová řada se</w:t>
      </w:r>
      <w:r>
        <w:rPr>
          <w:rFonts w:eastAsia="Times New Roman" w:cs="Arial"/>
          <w:iCs/>
          <w:sz w:val="20"/>
          <w:szCs w:val="20"/>
        </w:rPr>
        <w:t> </w:t>
      </w:r>
      <w:r w:rsidRPr="009174C1">
        <w:rPr>
          <w:rFonts w:eastAsia="Times New Roman" w:cs="Arial"/>
          <w:iCs/>
          <w:sz w:val="20"/>
          <w:szCs w:val="20"/>
        </w:rPr>
        <w:t>základem průměr roku 2005 = 100 bude nadále počítána i publikována</w:t>
      </w:r>
      <w:r>
        <w:rPr>
          <w:rFonts w:eastAsia="Times New Roman" w:cs="Arial"/>
          <w:iCs/>
          <w:sz w:val="20"/>
          <w:szCs w:val="20"/>
        </w:rPr>
        <w:t>, ale </w:t>
      </w:r>
      <w:r w:rsidRPr="009174C1">
        <w:rPr>
          <w:rFonts w:eastAsia="Times New Roman" w:cs="Arial"/>
          <w:iCs/>
          <w:sz w:val="20"/>
          <w:szCs w:val="20"/>
        </w:rPr>
        <w:t xml:space="preserve">nebudou </w:t>
      </w:r>
      <w:r>
        <w:rPr>
          <w:rFonts w:eastAsia="Times New Roman" w:cs="Arial"/>
          <w:iCs/>
          <w:sz w:val="20"/>
          <w:szCs w:val="20"/>
        </w:rPr>
        <w:t>z ní již </w:t>
      </w:r>
      <w:r w:rsidRPr="009174C1">
        <w:rPr>
          <w:rFonts w:eastAsia="Times New Roman" w:cs="Arial"/>
          <w:iCs/>
          <w:sz w:val="20"/>
          <w:szCs w:val="20"/>
        </w:rPr>
        <w:t>odvozovány jiné indexy.</w:t>
      </w:r>
      <w:r w:rsidR="001061E2" w:rsidRPr="009174C1">
        <w:rPr>
          <w:rFonts w:eastAsia="Times New Roman" w:cs="Arial"/>
          <w:iCs/>
          <w:sz w:val="20"/>
          <w:szCs w:val="20"/>
        </w:rPr>
        <w:t xml:space="preserve"> </w:t>
      </w:r>
    </w:p>
    <w:sectPr w:rsidR="002445D8" w:rsidRPr="002445D8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E0" w:rsidRDefault="001C6DE0" w:rsidP="008C3834">
      <w:pPr>
        <w:spacing w:line="240" w:lineRule="auto"/>
      </w:pPr>
      <w:r>
        <w:separator/>
      </w:r>
    </w:p>
  </w:endnote>
  <w:endnote w:type="continuationSeparator" w:id="0">
    <w:p w:rsidR="001C6DE0" w:rsidRDefault="001C6DE0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E0" w:rsidRDefault="001C6DE0" w:rsidP="008C3834">
      <w:pPr>
        <w:spacing w:line="240" w:lineRule="auto"/>
      </w:pPr>
      <w:r>
        <w:separator/>
      </w:r>
    </w:p>
  </w:footnote>
  <w:footnote w:type="continuationSeparator" w:id="0">
    <w:p w:rsidR="001C6DE0" w:rsidRDefault="001C6DE0" w:rsidP="008C3834">
      <w:pPr>
        <w:spacing w:line="240" w:lineRule="auto"/>
      </w:pPr>
      <w:r>
        <w:continuationSeparator/>
      </w:r>
    </w:p>
  </w:footnote>
  <w:footnote w:id="1">
    <w:p w:rsidR="00622E62" w:rsidRDefault="00622E62" w:rsidP="00622E62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30E86"/>
    <w:rsid w:val="00070D33"/>
    <w:rsid w:val="00071B2F"/>
    <w:rsid w:val="00073263"/>
    <w:rsid w:val="00084ABB"/>
    <w:rsid w:val="00092500"/>
    <w:rsid w:val="000A6678"/>
    <w:rsid w:val="000D72AF"/>
    <w:rsid w:val="000E345D"/>
    <w:rsid w:val="001061E2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C6DE0"/>
    <w:rsid w:val="001E3FE3"/>
    <w:rsid w:val="001E5319"/>
    <w:rsid w:val="00200C90"/>
    <w:rsid w:val="00203875"/>
    <w:rsid w:val="002330B4"/>
    <w:rsid w:val="0023409C"/>
    <w:rsid w:val="002445D8"/>
    <w:rsid w:val="00246975"/>
    <w:rsid w:val="002804EA"/>
    <w:rsid w:val="00296046"/>
    <w:rsid w:val="00297D47"/>
    <w:rsid w:val="002A3D94"/>
    <w:rsid w:val="002A6AA2"/>
    <w:rsid w:val="002B022A"/>
    <w:rsid w:val="002D63C4"/>
    <w:rsid w:val="002E5024"/>
    <w:rsid w:val="002F0EF4"/>
    <w:rsid w:val="00312409"/>
    <w:rsid w:val="00320160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0A40"/>
    <w:rsid w:val="004127A6"/>
    <w:rsid w:val="00432955"/>
    <w:rsid w:val="0045113E"/>
    <w:rsid w:val="00453F4B"/>
    <w:rsid w:val="004828D6"/>
    <w:rsid w:val="00485B53"/>
    <w:rsid w:val="00490504"/>
    <w:rsid w:val="00491475"/>
    <w:rsid w:val="004A191B"/>
    <w:rsid w:val="004A23B0"/>
    <w:rsid w:val="004B6B71"/>
    <w:rsid w:val="004B7D5D"/>
    <w:rsid w:val="004C23AB"/>
    <w:rsid w:val="004C569E"/>
    <w:rsid w:val="004D56DE"/>
    <w:rsid w:val="004E157A"/>
    <w:rsid w:val="004E42A1"/>
    <w:rsid w:val="004E531D"/>
    <w:rsid w:val="00526B09"/>
    <w:rsid w:val="00543053"/>
    <w:rsid w:val="00561AAC"/>
    <w:rsid w:val="00571F3C"/>
    <w:rsid w:val="005B4698"/>
    <w:rsid w:val="005C742B"/>
    <w:rsid w:val="005E03C1"/>
    <w:rsid w:val="005F6DE4"/>
    <w:rsid w:val="005F7A6D"/>
    <w:rsid w:val="006018E5"/>
    <w:rsid w:val="00622E62"/>
    <w:rsid w:val="00632678"/>
    <w:rsid w:val="006469B4"/>
    <w:rsid w:val="0066105E"/>
    <w:rsid w:val="0067046B"/>
    <w:rsid w:val="00671F1F"/>
    <w:rsid w:val="006866EE"/>
    <w:rsid w:val="006A01B7"/>
    <w:rsid w:val="006B6F19"/>
    <w:rsid w:val="006E6E86"/>
    <w:rsid w:val="006F6772"/>
    <w:rsid w:val="00705EC3"/>
    <w:rsid w:val="0070777D"/>
    <w:rsid w:val="007206DF"/>
    <w:rsid w:val="00721A66"/>
    <w:rsid w:val="0073782D"/>
    <w:rsid w:val="00780597"/>
    <w:rsid w:val="007874E7"/>
    <w:rsid w:val="007B7D29"/>
    <w:rsid w:val="007C54B1"/>
    <w:rsid w:val="007D0E6B"/>
    <w:rsid w:val="007E2212"/>
    <w:rsid w:val="007E296D"/>
    <w:rsid w:val="007E69C2"/>
    <w:rsid w:val="00803C0D"/>
    <w:rsid w:val="00804183"/>
    <w:rsid w:val="00820ECF"/>
    <w:rsid w:val="00832EE2"/>
    <w:rsid w:val="00834220"/>
    <w:rsid w:val="00836EAD"/>
    <w:rsid w:val="00842330"/>
    <w:rsid w:val="00850C16"/>
    <w:rsid w:val="00854E9D"/>
    <w:rsid w:val="00864BCB"/>
    <w:rsid w:val="008663AD"/>
    <w:rsid w:val="00893B2D"/>
    <w:rsid w:val="008C168B"/>
    <w:rsid w:val="008C3834"/>
    <w:rsid w:val="008D2F9A"/>
    <w:rsid w:val="008E23B3"/>
    <w:rsid w:val="008F63B2"/>
    <w:rsid w:val="00900D08"/>
    <w:rsid w:val="00904FBB"/>
    <w:rsid w:val="00910650"/>
    <w:rsid w:val="009109E3"/>
    <w:rsid w:val="0091425F"/>
    <w:rsid w:val="00954772"/>
    <w:rsid w:val="00954E0A"/>
    <w:rsid w:val="00977000"/>
    <w:rsid w:val="009775A4"/>
    <w:rsid w:val="00986BAE"/>
    <w:rsid w:val="00987D8E"/>
    <w:rsid w:val="009C2090"/>
    <w:rsid w:val="009C406B"/>
    <w:rsid w:val="009D3EB5"/>
    <w:rsid w:val="009D7280"/>
    <w:rsid w:val="009E320A"/>
    <w:rsid w:val="009F22D8"/>
    <w:rsid w:val="00A068DB"/>
    <w:rsid w:val="00A06F75"/>
    <w:rsid w:val="00A2580F"/>
    <w:rsid w:val="00A975E4"/>
    <w:rsid w:val="00AB21F4"/>
    <w:rsid w:val="00AC10BF"/>
    <w:rsid w:val="00AD636E"/>
    <w:rsid w:val="00AE5A76"/>
    <w:rsid w:val="00B04D86"/>
    <w:rsid w:val="00B4728C"/>
    <w:rsid w:val="00B50B98"/>
    <w:rsid w:val="00B60FB5"/>
    <w:rsid w:val="00B67728"/>
    <w:rsid w:val="00BA4F7B"/>
    <w:rsid w:val="00BB7F1A"/>
    <w:rsid w:val="00BC301A"/>
    <w:rsid w:val="00BC5C50"/>
    <w:rsid w:val="00BF1447"/>
    <w:rsid w:val="00C026A2"/>
    <w:rsid w:val="00C02C10"/>
    <w:rsid w:val="00C06D31"/>
    <w:rsid w:val="00C12679"/>
    <w:rsid w:val="00C15407"/>
    <w:rsid w:val="00C45EE5"/>
    <w:rsid w:val="00C4793F"/>
    <w:rsid w:val="00C51FC0"/>
    <w:rsid w:val="00C708E7"/>
    <w:rsid w:val="00C75051"/>
    <w:rsid w:val="00C75C62"/>
    <w:rsid w:val="00C82E42"/>
    <w:rsid w:val="00CA0C21"/>
    <w:rsid w:val="00CC1386"/>
    <w:rsid w:val="00CF291B"/>
    <w:rsid w:val="00D01CDB"/>
    <w:rsid w:val="00D0358B"/>
    <w:rsid w:val="00D168E6"/>
    <w:rsid w:val="00D2477B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3AB0"/>
    <w:rsid w:val="00E14A09"/>
    <w:rsid w:val="00E14D13"/>
    <w:rsid w:val="00E23CC9"/>
    <w:rsid w:val="00E304F3"/>
    <w:rsid w:val="00E31EA7"/>
    <w:rsid w:val="00E657E2"/>
    <w:rsid w:val="00E71451"/>
    <w:rsid w:val="00E74B01"/>
    <w:rsid w:val="00E9287C"/>
    <w:rsid w:val="00E9477D"/>
    <w:rsid w:val="00E96BFA"/>
    <w:rsid w:val="00EB4260"/>
    <w:rsid w:val="00ED5916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3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319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6729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3</cp:revision>
  <dcterms:created xsi:type="dcterms:W3CDTF">2017-01-16T06:47:00Z</dcterms:created>
  <dcterms:modified xsi:type="dcterms:W3CDTF">2017-01-16T06:49:00Z</dcterms:modified>
</cp:coreProperties>
</file>