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1DE26" w14:textId="77777777" w:rsidR="00BA5125" w:rsidRPr="00652444" w:rsidRDefault="00BA5125" w:rsidP="00BA5125">
      <w:pPr>
        <w:pStyle w:val="Nadpis11"/>
      </w:pPr>
      <w:bookmarkStart w:id="0" w:name="_Toc121993822"/>
      <w:bookmarkStart w:id="1" w:name="_Toc161914423"/>
      <w:bookmarkStart w:id="2" w:name="_Toc145318534"/>
      <w:r w:rsidRPr="00652444">
        <w:rPr>
          <w:szCs w:val="32"/>
        </w:rPr>
        <w:t>3</w:t>
      </w:r>
      <w:r w:rsidRPr="00652444">
        <w:t>. Výkonnost odvětví</w:t>
      </w:r>
      <w:bookmarkEnd w:id="1"/>
    </w:p>
    <w:p w14:paraId="4C24079C" w14:textId="77777777" w:rsidR="00BA5125" w:rsidRPr="004E1DB2" w:rsidRDefault="00BA5125" w:rsidP="00BA5125">
      <w:pPr>
        <w:pStyle w:val="Nadpis11"/>
        <w:rPr>
          <w:b w:val="0"/>
          <w:sz w:val="2"/>
          <w:szCs w:val="2"/>
          <w:highlight w:val="yellow"/>
        </w:rPr>
      </w:pPr>
    </w:p>
    <w:p w14:paraId="1D44C12B" w14:textId="77777777" w:rsidR="00BA5125" w:rsidRPr="004E1DB2" w:rsidRDefault="00BA5125" w:rsidP="00BA5125">
      <w:pPr>
        <w:pStyle w:val="Nadpis11"/>
        <w:rPr>
          <w:b w:val="0"/>
          <w:sz w:val="2"/>
          <w:szCs w:val="2"/>
          <w:highlight w:val="yellow"/>
        </w:rPr>
      </w:pPr>
    </w:p>
    <w:tbl>
      <w:tblPr>
        <w:tblW w:w="963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14"/>
        <w:gridCol w:w="229"/>
        <w:gridCol w:w="7596"/>
      </w:tblGrid>
      <w:tr w:rsidR="00BA5125" w:rsidRPr="00316308" w14:paraId="0038449A" w14:textId="77777777" w:rsidTr="00BA5125">
        <w:trPr>
          <w:trHeight w:val="145"/>
        </w:trPr>
        <w:tc>
          <w:tcPr>
            <w:tcW w:w="1814" w:type="dxa"/>
            <w:tcBorders>
              <w:top w:val="nil"/>
              <w:left w:val="nil"/>
              <w:bottom w:val="nil"/>
              <w:right w:val="nil"/>
            </w:tcBorders>
            <w:shd w:val="clear" w:color="auto" w:fill="auto"/>
            <w:tcMar>
              <w:left w:w="0" w:type="dxa"/>
            </w:tcMar>
          </w:tcPr>
          <w:p w14:paraId="71B34BC3" w14:textId="77777777" w:rsidR="00BA5125" w:rsidRDefault="00BA5125" w:rsidP="00BA5125">
            <w:pPr>
              <w:pStyle w:val="Marginlie"/>
            </w:pPr>
            <w:r>
              <w:t>Hrubá přidaná hodnota během 2. i 3. čtvrtletí klesla. Výkon ekonomiky nedosáhl ani v závěru loňského roku rekordní úrovně z roku 2019.</w:t>
            </w:r>
          </w:p>
          <w:p w14:paraId="066E5A13" w14:textId="77777777" w:rsidR="00BA5125" w:rsidRDefault="00BA5125" w:rsidP="00BA5125">
            <w:pPr>
              <w:pStyle w:val="Marginlie"/>
            </w:pPr>
          </w:p>
        </w:tc>
        <w:tc>
          <w:tcPr>
            <w:tcW w:w="229" w:type="dxa"/>
            <w:tcBorders>
              <w:top w:val="nil"/>
              <w:left w:val="nil"/>
              <w:bottom w:val="nil"/>
              <w:right w:val="nil"/>
            </w:tcBorders>
            <w:shd w:val="clear" w:color="auto" w:fill="auto"/>
            <w:tcMar>
              <w:left w:w="0" w:type="dxa"/>
            </w:tcMar>
          </w:tcPr>
          <w:p w14:paraId="52824379" w14:textId="77777777" w:rsidR="00BA5125" w:rsidRPr="003B1401"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6A63581D" w14:textId="77777777" w:rsidR="00BA5125" w:rsidRPr="00C95A68" w:rsidRDefault="00BA5125" w:rsidP="00BA5125">
            <w:pPr>
              <w:spacing w:after="200"/>
              <w:rPr>
                <w:color w:val="0D0D0D" w:themeColor="text1" w:themeTint="F2"/>
              </w:rPr>
            </w:pPr>
            <w:r w:rsidRPr="0040727B">
              <w:rPr>
                <w:color w:val="0D0D0D" w:themeColor="text1" w:themeTint="F2"/>
              </w:rPr>
              <w:t xml:space="preserve">Údaje z nabídkové strany ekonomiky </w:t>
            </w:r>
            <w:r>
              <w:rPr>
                <w:color w:val="0D0D0D" w:themeColor="text1" w:themeTint="F2"/>
              </w:rPr>
              <w:t xml:space="preserve">potvrzují slabou hospodářskou dynamiku patrnou po celý loňský rok. V 1. čtvrtletí 2023, kdy se národní hospodářství vymanilo z krátké mělké recese, se </w:t>
            </w:r>
            <w:r>
              <w:rPr>
                <w:bCs/>
              </w:rPr>
              <w:t>h</w:t>
            </w:r>
            <w:r w:rsidRPr="00C03F0D">
              <w:rPr>
                <w:bCs/>
              </w:rPr>
              <w:t>rubá přidaná hodnota</w:t>
            </w:r>
            <w:r>
              <w:rPr>
                <w:bCs/>
              </w:rPr>
              <w:t xml:space="preserve"> (HPH)</w:t>
            </w:r>
            <w:r w:rsidRPr="003D1D6D">
              <w:rPr>
                <w:rStyle w:val="Znakapoznpodarou"/>
                <w:color w:val="0D0D0D" w:themeColor="text1" w:themeTint="F2"/>
                <w:spacing w:val="-5"/>
              </w:rPr>
              <w:footnoteReference w:id="1"/>
            </w:r>
            <w:r>
              <w:rPr>
                <w:bCs/>
              </w:rPr>
              <w:t xml:space="preserve"> mezikvartálně mírně zvýšila (+0,5 %), a to především díky veřejným službám</w:t>
            </w:r>
            <w:r>
              <w:rPr>
                <w:rStyle w:val="Znakapoznpodarou"/>
                <w:bCs/>
              </w:rPr>
              <w:footnoteReference w:id="2"/>
            </w:r>
            <w:r>
              <w:rPr>
                <w:bCs/>
              </w:rPr>
              <w:t>, IT, ale také stavebnictví, kde došlo k oživení zásluhou nezvykle teplé zimy. Během dvou následujících kvartálů se růst HPH zastavil. Na výkon průmyslu i stavebnictví působila stále více slabá tuzemská i zahraniční poptávka. Navíc přetrvávající pokles spotřeby domácností oslaboval i klíčová odvětví služeb. Na konci roku pak došlo k dílčímu oživení a celková  HPH se oproti 3. čtvrtletí 2023 zvýšila o 0,6 %. K tomu ovšem zásadně přispěl jen zpracovatelský průmysl tažený růstem proexportní výroby dopravních prostředků, neboť výkon ve většině odvětví služeb spíše stagnoval. I proto HPH v celé ekonomice stále nepatrně zaostávala za vrcholem z období předpandemické konjunktury (za 4. čtvrtletím 2019 o 0,1 %).</w:t>
            </w:r>
          </w:p>
        </w:tc>
      </w:tr>
      <w:tr w:rsidR="00BA5125" w:rsidRPr="003D1D6D" w14:paraId="208EB2F5" w14:textId="77777777" w:rsidTr="00BA5125">
        <w:trPr>
          <w:trHeight w:val="145"/>
        </w:trPr>
        <w:tc>
          <w:tcPr>
            <w:tcW w:w="1814" w:type="dxa"/>
            <w:tcBorders>
              <w:top w:val="nil"/>
              <w:left w:val="nil"/>
              <w:bottom w:val="nil"/>
              <w:right w:val="nil"/>
            </w:tcBorders>
            <w:shd w:val="clear" w:color="auto" w:fill="auto"/>
            <w:tcMar>
              <w:left w:w="0" w:type="dxa"/>
            </w:tcMar>
          </w:tcPr>
          <w:p w14:paraId="09AC8949" w14:textId="77777777" w:rsidR="00BA5125" w:rsidRDefault="00BA5125" w:rsidP="00BA5125">
            <w:pPr>
              <w:pStyle w:val="Marginlie"/>
            </w:pPr>
            <w:r>
              <w:t xml:space="preserve">K meziročnímu růstu HPH přispěly loni nejvíce zpracovatelský průmysl </w:t>
            </w:r>
            <w:r>
              <w:br/>
              <w:t xml:space="preserve">a oblast IT, opačně působil hlavně propad výkonu těžby </w:t>
            </w:r>
            <w:r>
              <w:br/>
              <w:t>a energetiky.</w:t>
            </w:r>
          </w:p>
          <w:p w14:paraId="3B1B77FC" w14:textId="77777777" w:rsidR="00BA5125" w:rsidRPr="00C95A68" w:rsidRDefault="00BA5125" w:rsidP="00BA5125">
            <w:pPr>
              <w:pStyle w:val="Marginlie"/>
              <w:rPr>
                <w:color w:val="0D0D0D" w:themeColor="text1" w:themeTint="F2"/>
                <w:spacing w:val="-4"/>
              </w:rPr>
            </w:pPr>
          </w:p>
        </w:tc>
        <w:tc>
          <w:tcPr>
            <w:tcW w:w="229" w:type="dxa"/>
            <w:tcBorders>
              <w:top w:val="nil"/>
              <w:left w:val="nil"/>
              <w:bottom w:val="nil"/>
              <w:right w:val="nil"/>
            </w:tcBorders>
            <w:shd w:val="clear" w:color="auto" w:fill="auto"/>
            <w:tcMar>
              <w:left w:w="0" w:type="dxa"/>
            </w:tcMar>
          </w:tcPr>
          <w:p w14:paraId="27D6C4D2" w14:textId="77777777" w:rsidR="00BA5125" w:rsidRPr="00C95A68"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75498560" w14:textId="77777777" w:rsidR="00BA5125" w:rsidRPr="00C95A68" w:rsidRDefault="00BA5125" w:rsidP="00BA5125">
            <w:pPr>
              <w:spacing w:after="200"/>
              <w:rPr>
                <w:color w:val="0D0D0D" w:themeColor="text1" w:themeTint="F2"/>
                <w:spacing w:val="-4"/>
              </w:rPr>
            </w:pPr>
            <w:r>
              <w:rPr>
                <w:color w:val="0D0D0D" w:themeColor="text1" w:themeTint="F2"/>
                <w:spacing w:val="-4"/>
              </w:rPr>
              <w:t>Za celý rok 2023 se souhrnná HPH zvýšila o 0,5 %, když meziroční růst zvolnil druhým rokem po sobě. Potřetí v řadě přispěl k růstu nejvíce zpracovatelský průmysl (+0,5 p. b.), jehož výkon loni vzrostl o 2,2 %. Jen nepatrně menší vliv měly dlouhodobě rozvíjející se informační a komunikační činnosti, v nichž HPH vzrostla nejvíce ze všech hlavních odvětví (6,2 %). Nezanedbatelnou roli držely i veřejné služby (+0,2 p. b.), přestože se jejich výkon zvýšil nejméně za posledních osm let (1,1 %). Naopak negativně působily především těžba a dobývání, v nichž se HPH meziročně propadla téměř o pětinu, a proti růstu celé ekonomiky působila silou (</w:t>
            </w:r>
            <w:r>
              <w:rPr>
                <w:color w:val="0D0D0D" w:themeColor="text1" w:themeTint="F2"/>
              </w:rPr>
              <w:t>−</w:t>
            </w:r>
            <w:r>
              <w:rPr>
                <w:color w:val="0D0D0D" w:themeColor="text1" w:themeTint="F2"/>
                <w:spacing w:val="-4"/>
              </w:rPr>
              <w:t>0,4 p. b.)</w:t>
            </w:r>
            <w:r>
              <w:rPr>
                <w:rStyle w:val="Znakapoznpodarou"/>
                <w:color w:val="0D0D0D" w:themeColor="text1" w:themeTint="F2"/>
                <w:spacing w:val="-4"/>
              </w:rPr>
              <w:footnoteReference w:id="3"/>
            </w:r>
            <w:r>
              <w:rPr>
                <w:color w:val="0D0D0D" w:themeColor="text1" w:themeTint="F2"/>
                <w:spacing w:val="-4"/>
              </w:rPr>
              <w:t xml:space="preserve">. Srovnatelný vliv na vývoj HPH mělo také </w:t>
            </w:r>
            <w:r>
              <w:rPr>
                <w:bCs/>
              </w:rPr>
              <w:t>uskupení o</w:t>
            </w:r>
            <w:r w:rsidRPr="00F3101E">
              <w:rPr>
                <w:bCs/>
              </w:rPr>
              <w:t>bchod, doprava, ubytování a pohostinstv</w:t>
            </w:r>
            <w:r>
              <w:rPr>
                <w:bCs/>
              </w:rPr>
              <w:t>í, jehož výkon se za loňský rok snížil o 1,8</w:t>
            </w:r>
            <w:r>
              <w:rPr>
                <w:color w:val="0D0D0D" w:themeColor="text1" w:themeTint="F2"/>
                <w:spacing w:val="-4"/>
              </w:rPr>
              <w:t> </w:t>
            </w:r>
            <w:r>
              <w:rPr>
                <w:bCs/>
              </w:rPr>
              <w:t xml:space="preserve">%. Vliv citelného poklesu spotřeby tuzemských domácností za základní i „zbytné“ statky byl částečně tlumen rostoucí poptávkou nerezidentů v cestovním ruchu. Pátý rok v řadě se snížila HPH ve stavebnictví, loňský pokles byl ovšem za toto období nejméně výrazný (−1,2 %) a jeho makroekonomický dopad tak zůstal ve stínu ostatních odvětví. </w:t>
            </w:r>
          </w:p>
        </w:tc>
      </w:tr>
      <w:tr w:rsidR="00BA5125" w:rsidRPr="003D1D6D" w14:paraId="285CC07E" w14:textId="77777777" w:rsidTr="00BA5125">
        <w:trPr>
          <w:trHeight w:val="145"/>
        </w:trPr>
        <w:tc>
          <w:tcPr>
            <w:tcW w:w="1814" w:type="dxa"/>
            <w:tcBorders>
              <w:top w:val="nil"/>
              <w:left w:val="nil"/>
              <w:bottom w:val="nil"/>
              <w:right w:val="nil"/>
            </w:tcBorders>
            <w:shd w:val="clear" w:color="auto" w:fill="auto"/>
            <w:tcMar>
              <w:left w:w="0" w:type="dxa"/>
            </w:tcMar>
          </w:tcPr>
          <w:p w14:paraId="1D7416E1" w14:textId="77777777" w:rsidR="00BA5125" w:rsidRPr="0089127D" w:rsidRDefault="00BA5125" w:rsidP="00BA5125">
            <w:pPr>
              <w:pStyle w:val="Marginlie"/>
              <w:rPr>
                <w:color w:val="0D0D0D" w:themeColor="text1" w:themeTint="F2"/>
                <w:spacing w:val="-4"/>
              </w:rPr>
            </w:pPr>
            <w:r>
              <w:rPr>
                <w:color w:val="0D0D0D" w:themeColor="text1" w:themeTint="F2"/>
                <w:spacing w:val="-4"/>
              </w:rPr>
              <w:t xml:space="preserve">Pokles těžby dřeva se zmírňoval. Výroba masa nadále klesala. Loňská úroda byla u většiny hlavních plodin dobrá. </w:t>
            </w:r>
          </w:p>
        </w:tc>
        <w:tc>
          <w:tcPr>
            <w:tcW w:w="229" w:type="dxa"/>
            <w:tcBorders>
              <w:top w:val="nil"/>
              <w:left w:val="nil"/>
              <w:bottom w:val="nil"/>
              <w:right w:val="nil"/>
            </w:tcBorders>
            <w:shd w:val="clear" w:color="auto" w:fill="auto"/>
            <w:tcMar>
              <w:left w:w="0" w:type="dxa"/>
            </w:tcMar>
          </w:tcPr>
          <w:p w14:paraId="099E8038" w14:textId="77777777" w:rsidR="00BA5125" w:rsidRPr="0089127D"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20A9ACF4" w14:textId="77777777" w:rsidR="00BA5125" w:rsidRPr="0089127D" w:rsidRDefault="00BA5125" w:rsidP="00BA5125">
            <w:pPr>
              <w:spacing w:after="200"/>
              <w:rPr>
                <w:color w:val="0D0D0D" w:themeColor="text1" w:themeTint="F2"/>
              </w:rPr>
            </w:pPr>
            <w:r w:rsidRPr="0089127D">
              <w:rPr>
                <w:bCs/>
                <w:color w:val="0D0D0D" w:themeColor="text1" w:themeTint="F2"/>
              </w:rPr>
              <w:t>V primárním sektoru se HPH po dvou výraznějších poklesech v letech 2021 a 2022 loni téměř nezmě</w:t>
            </w:r>
            <w:r>
              <w:rPr>
                <w:bCs/>
                <w:color w:val="0D0D0D" w:themeColor="text1" w:themeTint="F2"/>
              </w:rPr>
              <w:t>nila (+0,3 %). Přetrvával útlum</w:t>
            </w:r>
            <w:r w:rsidRPr="0089127D">
              <w:rPr>
                <w:bCs/>
                <w:color w:val="0D0D0D" w:themeColor="text1" w:themeTint="F2"/>
              </w:rPr>
              <w:t xml:space="preserve"> kůrovcové těžby dřeva, ale pomalejším tempem než v předchozích dvou letech. Objem celkové těžby se postupně přibližuje k úrovni před vypuknutím kůrovcové kalamity (rok 2017). </w:t>
            </w:r>
            <w:r w:rsidRPr="0089127D">
              <w:rPr>
                <w:color w:val="0D0D0D" w:themeColor="text1" w:themeTint="F2"/>
              </w:rPr>
              <w:t>V zemědělství loni klesla výroba masa na jatkách (</w:t>
            </w:r>
            <w:r>
              <w:rPr>
                <w:color w:val="0D0D0D" w:themeColor="text1" w:themeTint="F2"/>
              </w:rPr>
              <w:t>−</w:t>
            </w:r>
            <w:r w:rsidRPr="0089127D">
              <w:rPr>
                <w:color w:val="0D0D0D" w:themeColor="text1" w:themeTint="F2"/>
              </w:rPr>
              <w:t xml:space="preserve">2,6 %), </w:t>
            </w:r>
            <w:r>
              <w:rPr>
                <w:color w:val="0D0D0D" w:themeColor="text1" w:themeTint="F2"/>
              </w:rPr>
              <w:t>avšak mírněji než v roce 2022 (−</w:t>
            </w:r>
            <w:r w:rsidRPr="0089127D">
              <w:rPr>
                <w:color w:val="0D0D0D" w:themeColor="text1" w:themeTint="F2"/>
              </w:rPr>
              <w:t>4,2 %). Naopak dlouhodobý trend mírného posilování výroby mléka přetrval</w:t>
            </w:r>
            <w:r w:rsidRPr="0089127D">
              <w:rPr>
                <w:rStyle w:val="Znakapoznpodarou"/>
                <w:color w:val="0D0D0D" w:themeColor="text1" w:themeTint="F2"/>
              </w:rPr>
              <w:footnoteReference w:id="4"/>
            </w:r>
            <w:r w:rsidRPr="0089127D">
              <w:rPr>
                <w:color w:val="0D0D0D" w:themeColor="text1" w:themeTint="F2"/>
              </w:rPr>
              <w:t>. U většiny hlavních plodin došlo sice k meziročnímu poklesu úrody</w:t>
            </w:r>
            <w:r w:rsidRPr="0089127D">
              <w:rPr>
                <w:rStyle w:val="Znakapoznpodarou"/>
                <w:color w:val="0D0D0D" w:themeColor="text1" w:themeTint="F2"/>
              </w:rPr>
              <w:footnoteReference w:id="5"/>
            </w:r>
            <w:r>
              <w:rPr>
                <w:color w:val="0D0D0D" w:themeColor="text1" w:themeTint="F2"/>
              </w:rPr>
              <w:t>, i tak lze loňskou</w:t>
            </w:r>
            <w:r w:rsidRPr="0089127D">
              <w:rPr>
                <w:color w:val="0D0D0D" w:themeColor="text1" w:themeTint="F2"/>
              </w:rPr>
              <w:t xml:space="preserve"> sklizeň považovat za dobrou (u některých obilovin či olejnin dokonce za nadprůměrnou).</w:t>
            </w:r>
          </w:p>
        </w:tc>
      </w:tr>
      <w:tr w:rsidR="00BA5125" w:rsidRPr="003D1D6D" w14:paraId="1D2392A2" w14:textId="77777777" w:rsidTr="00BA5125">
        <w:trPr>
          <w:trHeight w:val="145"/>
        </w:trPr>
        <w:tc>
          <w:tcPr>
            <w:tcW w:w="1814" w:type="dxa"/>
            <w:tcBorders>
              <w:top w:val="nil"/>
              <w:left w:val="nil"/>
              <w:bottom w:val="nil"/>
              <w:right w:val="nil"/>
            </w:tcBorders>
            <w:shd w:val="clear" w:color="auto" w:fill="auto"/>
            <w:tcMar>
              <w:left w:w="0" w:type="dxa"/>
            </w:tcMar>
          </w:tcPr>
          <w:p w14:paraId="09516FED" w14:textId="77777777" w:rsidR="00BA5125" w:rsidRDefault="00BA5125" w:rsidP="00BA5125">
            <w:pPr>
              <w:pStyle w:val="Marginlie"/>
              <w:rPr>
                <w:color w:val="0D0D0D" w:themeColor="text1" w:themeTint="F2"/>
                <w:spacing w:val="-4"/>
              </w:rPr>
            </w:pPr>
            <w:r>
              <w:rPr>
                <w:color w:val="0D0D0D" w:themeColor="text1" w:themeTint="F2"/>
                <w:spacing w:val="-4"/>
              </w:rPr>
              <w:t>Průmysl procházel cyklickým útlumem. Po celý loňský rok se potýkal s vysokou cenovou úrovní vstupů i slabou domácí a zahraniční poptávkou.</w:t>
            </w:r>
          </w:p>
          <w:p w14:paraId="143F9BE3" w14:textId="77777777" w:rsidR="00BA5125" w:rsidRDefault="00BA5125" w:rsidP="00BA5125">
            <w:pPr>
              <w:pStyle w:val="Marginlie"/>
              <w:rPr>
                <w:color w:val="0D0D0D" w:themeColor="text1" w:themeTint="F2"/>
                <w:spacing w:val="-4"/>
              </w:rPr>
            </w:pPr>
          </w:p>
          <w:p w14:paraId="674BFD33" w14:textId="77777777" w:rsidR="00BA5125" w:rsidRDefault="00BA5125" w:rsidP="00BA5125">
            <w:pPr>
              <w:pStyle w:val="Marginlie"/>
              <w:rPr>
                <w:color w:val="0D0D0D" w:themeColor="text1" w:themeTint="F2"/>
                <w:spacing w:val="-4"/>
              </w:rPr>
            </w:pPr>
            <w:r>
              <w:rPr>
                <w:color w:val="0D0D0D" w:themeColor="text1" w:themeTint="F2"/>
                <w:spacing w:val="-4"/>
              </w:rPr>
              <w:t xml:space="preserve">Nepříznivý vývoj průmyslu byl tlumen vyšší produkcí výroby motorových vozidel. Ani ta se ovšem nevyvarovala krátkodobých výpadků. </w:t>
            </w:r>
          </w:p>
        </w:tc>
        <w:tc>
          <w:tcPr>
            <w:tcW w:w="229" w:type="dxa"/>
            <w:tcBorders>
              <w:top w:val="nil"/>
              <w:left w:val="nil"/>
              <w:bottom w:val="nil"/>
              <w:right w:val="nil"/>
            </w:tcBorders>
            <w:shd w:val="clear" w:color="auto" w:fill="auto"/>
            <w:tcMar>
              <w:left w:w="0" w:type="dxa"/>
            </w:tcMar>
          </w:tcPr>
          <w:p w14:paraId="693D6E08"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74B3274F" w14:textId="77777777" w:rsidR="00BA5125" w:rsidRPr="0013125D" w:rsidRDefault="00BA5125" w:rsidP="00BA5125">
            <w:pPr>
              <w:spacing w:after="0"/>
              <w:rPr>
                <w:color w:val="0D0D0D" w:themeColor="text1" w:themeTint="F2"/>
                <w:spacing w:val="-4"/>
              </w:rPr>
            </w:pPr>
            <w:r w:rsidRPr="00340D81">
              <w:rPr>
                <w:color w:val="0D0D0D" w:themeColor="text1" w:themeTint="F2"/>
                <w:spacing w:val="-4"/>
              </w:rPr>
              <w:t>Průmysl v</w:t>
            </w:r>
            <w:r>
              <w:rPr>
                <w:color w:val="0D0D0D" w:themeColor="text1" w:themeTint="F2"/>
                <w:spacing w:val="-4"/>
              </w:rPr>
              <w:t> </w:t>
            </w:r>
            <w:r w:rsidRPr="00340D81">
              <w:rPr>
                <w:color w:val="0D0D0D" w:themeColor="text1" w:themeTint="F2"/>
                <w:spacing w:val="-4"/>
              </w:rPr>
              <w:t>Česku</w:t>
            </w:r>
            <w:r>
              <w:rPr>
                <w:color w:val="0D0D0D" w:themeColor="text1" w:themeTint="F2"/>
                <w:spacing w:val="-4"/>
              </w:rPr>
              <w:t>,</w:t>
            </w:r>
            <w:r w:rsidRPr="00340D81">
              <w:rPr>
                <w:color w:val="0D0D0D" w:themeColor="text1" w:themeTint="F2"/>
                <w:spacing w:val="-4"/>
              </w:rPr>
              <w:t xml:space="preserve"> podobně jako ve většině států EU</w:t>
            </w:r>
            <w:r>
              <w:rPr>
                <w:color w:val="0D0D0D" w:themeColor="text1" w:themeTint="F2"/>
                <w:spacing w:val="-4"/>
              </w:rPr>
              <w:t>,</w:t>
            </w:r>
            <w:r w:rsidRPr="00340D81">
              <w:rPr>
                <w:color w:val="0D0D0D" w:themeColor="text1" w:themeTint="F2"/>
                <w:spacing w:val="-4"/>
              </w:rPr>
              <w:t xml:space="preserve"> </w:t>
            </w:r>
            <w:r>
              <w:rPr>
                <w:color w:val="0D0D0D" w:themeColor="text1" w:themeTint="F2"/>
                <w:spacing w:val="-4"/>
              </w:rPr>
              <w:t xml:space="preserve">se </w:t>
            </w:r>
            <w:r w:rsidRPr="00340D81">
              <w:rPr>
                <w:color w:val="0D0D0D" w:themeColor="text1" w:themeTint="F2"/>
                <w:spacing w:val="-4"/>
              </w:rPr>
              <w:t xml:space="preserve">loni nacházel v cyklickém útlumu, jehož počátek lze vystopovat již v polovině roku 2022. </w:t>
            </w:r>
            <w:r>
              <w:rPr>
                <w:color w:val="0D0D0D" w:themeColor="text1" w:themeTint="F2"/>
                <w:spacing w:val="-4"/>
              </w:rPr>
              <w:t>Nákladové tlaky spojené s prudkým růstem cen energií a</w:t>
            </w:r>
            <w:r>
              <w:rPr>
                <w:spacing w:val="-5"/>
              </w:rPr>
              <w:t> </w:t>
            </w:r>
            <w:r>
              <w:rPr>
                <w:color w:val="0D0D0D" w:themeColor="text1" w:themeTint="F2"/>
                <w:spacing w:val="-4"/>
              </w:rPr>
              <w:t xml:space="preserve">dalších vstupů (i </w:t>
            </w:r>
            <w:r w:rsidRPr="0014753A">
              <w:rPr>
                <w:color w:val="0D0D0D" w:themeColor="text1" w:themeTint="F2"/>
                <w:spacing w:val="-4"/>
              </w:rPr>
              <w:t>nejistoty ohledně jejich vývoje) byly umocněny slábnoucí poptávkou v klíčových exportních</w:t>
            </w:r>
            <w:r>
              <w:rPr>
                <w:color w:val="0D0D0D" w:themeColor="text1" w:themeTint="F2"/>
                <w:spacing w:val="-4"/>
              </w:rPr>
              <w:t xml:space="preserve"> teritoriích. Vedle toho působily útlum spotřeby </w:t>
            </w:r>
            <w:r>
              <w:rPr>
                <w:color w:val="0D0D0D" w:themeColor="text1" w:themeTint="F2"/>
                <w:spacing w:val="-4"/>
              </w:rPr>
              <w:lastRenderedPageBreak/>
              <w:t>domácností i soukromé investiční aktivity. Přestože ceny energií se loni stabilizovaly, nacházely se stále výrazně nad úrovní roku 2021. To mělo přirozeně dopad zejména na energeticky náročné průmyslové obory. Nepříznivý vývoj byl tlumen oživením v automobilovém průmyslu, jenž postupně finalizoval větší objem zakázek nahromaděných z období, kdy plynulost výroby vázla kvůli narušeným dodavatelským řetězcům</w:t>
            </w:r>
            <w:r w:rsidRPr="004C5026">
              <w:rPr>
                <w:color w:val="0D0D0D" w:themeColor="text1" w:themeTint="F2"/>
                <w:spacing w:val="-4"/>
              </w:rPr>
              <w:t xml:space="preserve">. </w:t>
            </w:r>
            <w:r>
              <w:rPr>
                <w:color w:val="0D0D0D" w:themeColor="text1" w:themeTint="F2"/>
                <w:spacing w:val="-4"/>
              </w:rPr>
              <w:t>Tuzemská průmyslová</w:t>
            </w:r>
            <w:r w:rsidRPr="004C5026">
              <w:rPr>
                <w:color w:val="0D0D0D" w:themeColor="text1" w:themeTint="F2"/>
                <w:spacing w:val="-4"/>
              </w:rPr>
              <w:t xml:space="preserve"> produkce</w:t>
            </w:r>
            <w:r w:rsidRPr="004C5026">
              <w:rPr>
                <w:rStyle w:val="Znakapoznpodarou"/>
                <w:color w:val="0D0D0D" w:themeColor="text1" w:themeTint="F2"/>
                <w:spacing w:val="-4"/>
              </w:rPr>
              <w:footnoteReference w:id="6"/>
            </w:r>
            <w:r w:rsidRPr="004C5026">
              <w:rPr>
                <w:color w:val="0D0D0D" w:themeColor="text1" w:themeTint="F2"/>
                <w:spacing w:val="-4"/>
              </w:rPr>
              <w:t xml:space="preserve"> v první polovině roku 2023 </w:t>
            </w:r>
            <w:r>
              <w:rPr>
                <w:color w:val="0D0D0D" w:themeColor="text1" w:themeTint="F2"/>
                <w:spacing w:val="-4"/>
              </w:rPr>
              <w:t xml:space="preserve">mezikvartálně </w:t>
            </w:r>
            <w:r w:rsidRPr="004C5026">
              <w:rPr>
                <w:color w:val="0D0D0D" w:themeColor="text1" w:themeTint="F2"/>
                <w:spacing w:val="-4"/>
              </w:rPr>
              <w:t>spíše stagnoval</w:t>
            </w:r>
            <w:r>
              <w:rPr>
                <w:color w:val="0D0D0D" w:themeColor="text1" w:themeTint="F2"/>
                <w:spacing w:val="-4"/>
              </w:rPr>
              <w:t xml:space="preserve">a, ve 3. čtvrtletí se snížila o 2,3 % (nejvíce za poslední tři roky), zejména vlivem výroby motorových vozidel, jejíž plynulost byla krátkodobě narušena problémy s dodávkami některých komponent. Ve 4. čtvrtletí došlo k dílčímu oživení, neboť produkce vzrostla o 1,9 %, a to především zásluhou výroby dopravních prostředků (kde byly realizovány i některé velké </w:t>
            </w:r>
            <w:r w:rsidRPr="0013125D">
              <w:rPr>
                <w:color w:val="0D0D0D" w:themeColor="text1" w:themeTint="F2"/>
                <w:spacing w:val="-4"/>
              </w:rPr>
              <w:t>mimořádné zakázky) a jejich hlavních dodavatelských odvětví. I přesto produkce celého průmyslu na konci roku mírně zaostávala (o 1,1 %)</w:t>
            </w:r>
            <w:r>
              <w:rPr>
                <w:rStyle w:val="Znakapoznpodarou"/>
                <w:color w:val="0D0D0D" w:themeColor="text1" w:themeTint="F2"/>
                <w:spacing w:val="-4"/>
              </w:rPr>
              <w:footnoteReference w:id="7"/>
            </w:r>
            <w:r>
              <w:rPr>
                <w:color w:val="0D0D0D" w:themeColor="text1" w:themeTint="F2"/>
                <w:spacing w:val="-4"/>
              </w:rPr>
              <w:t xml:space="preserve"> </w:t>
            </w:r>
            <w:r w:rsidRPr="0013125D">
              <w:rPr>
                <w:color w:val="0D0D0D" w:themeColor="text1" w:themeTint="F2"/>
                <w:spacing w:val="-4"/>
              </w:rPr>
              <w:t>za vrcholem</w:t>
            </w:r>
            <w:r>
              <w:rPr>
                <w:color w:val="0D0D0D" w:themeColor="text1" w:themeTint="F2"/>
                <w:spacing w:val="-4"/>
              </w:rPr>
              <w:t xml:space="preserve"> z</w:t>
            </w:r>
            <w:r w:rsidRPr="004C5026">
              <w:rPr>
                <w:color w:val="0D0D0D" w:themeColor="text1" w:themeTint="F2"/>
                <w:spacing w:val="-4"/>
              </w:rPr>
              <w:t> </w:t>
            </w:r>
            <w:r w:rsidRPr="0013125D">
              <w:rPr>
                <w:color w:val="0D0D0D" w:themeColor="text1" w:themeTint="F2"/>
                <w:spacing w:val="-4"/>
              </w:rPr>
              <w:t>období předpandemické konjunktury (2. čtvrtletí 2019)</w:t>
            </w:r>
            <w:r>
              <w:rPr>
                <w:color w:val="0D0D0D" w:themeColor="text1" w:themeTint="F2"/>
                <w:spacing w:val="-4"/>
              </w:rPr>
              <w:t>.</w:t>
            </w:r>
          </w:p>
          <w:p w14:paraId="17F7EBF3" w14:textId="77777777" w:rsidR="00BA5125" w:rsidRDefault="00BA5125" w:rsidP="00BA5125">
            <w:pPr>
              <w:spacing w:after="0"/>
              <w:rPr>
                <w:color w:val="0D0D0D" w:themeColor="text1" w:themeTint="F2"/>
                <w:spacing w:val="-4"/>
              </w:rPr>
            </w:pPr>
          </w:p>
        </w:tc>
      </w:tr>
      <w:tr w:rsidR="00BA5125" w:rsidRPr="003D1D6D" w14:paraId="519756E2" w14:textId="77777777" w:rsidTr="00BA5125">
        <w:trPr>
          <w:trHeight w:val="145"/>
        </w:trPr>
        <w:tc>
          <w:tcPr>
            <w:tcW w:w="1814" w:type="dxa"/>
            <w:tcBorders>
              <w:top w:val="nil"/>
              <w:left w:val="nil"/>
              <w:bottom w:val="nil"/>
              <w:right w:val="nil"/>
            </w:tcBorders>
            <w:shd w:val="clear" w:color="auto" w:fill="auto"/>
            <w:tcMar>
              <w:left w:w="0" w:type="dxa"/>
            </w:tcMar>
          </w:tcPr>
          <w:p w14:paraId="78BD2405" w14:textId="77777777" w:rsidR="00BA5125" w:rsidRDefault="00BA5125" w:rsidP="00BA5125">
            <w:pPr>
              <w:pStyle w:val="Marginlie"/>
              <w:rPr>
                <w:color w:val="0D0D0D" w:themeColor="text1" w:themeTint="F2"/>
                <w:spacing w:val="-4"/>
              </w:rPr>
            </w:pPr>
            <w:r>
              <w:rPr>
                <w:color w:val="0D0D0D" w:themeColor="text1" w:themeTint="F2"/>
                <w:spacing w:val="-4"/>
              </w:rPr>
              <w:lastRenderedPageBreak/>
              <w:t>Navzdory rychlému růstu produkce ve výrobě dopravních prostředků se výkon celého průmyslu loni mírně snížil.</w:t>
            </w:r>
          </w:p>
        </w:tc>
        <w:tc>
          <w:tcPr>
            <w:tcW w:w="229" w:type="dxa"/>
            <w:tcBorders>
              <w:top w:val="nil"/>
              <w:left w:val="nil"/>
              <w:bottom w:val="nil"/>
              <w:right w:val="nil"/>
            </w:tcBorders>
            <w:shd w:val="clear" w:color="auto" w:fill="auto"/>
            <w:tcMar>
              <w:left w:w="0" w:type="dxa"/>
            </w:tcMar>
          </w:tcPr>
          <w:p w14:paraId="0B1BC57C"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4373EEA7" w14:textId="77777777" w:rsidR="00BA5125" w:rsidRDefault="00BA5125" w:rsidP="00BA5125">
            <w:pPr>
              <w:spacing w:after="180"/>
              <w:rPr>
                <w:color w:val="0D0D0D" w:themeColor="text1" w:themeTint="F2"/>
                <w:spacing w:val="-4"/>
              </w:rPr>
            </w:pPr>
            <w:r>
              <w:rPr>
                <w:color w:val="0D0D0D" w:themeColor="text1" w:themeTint="F2"/>
                <w:spacing w:val="-4"/>
              </w:rPr>
              <w:t>Za celý loňský rok se průmyslová produkce snížila o 0,8 %, klesla tak po dvou letech pokrizového zotavování. Vývoj průmyslu výrazně ovlivnila výroba dopravních prostředků, kde růst produkce loni zrychlil na 16,6 % (nejvíce za posledních 12 let)</w:t>
            </w:r>
            <w:r>
              <w:rPr>
                <w:rStyle w:val="Znakapoznpodarou"/>
                <w:color w:val="0D0D0D" w:themeColor="text1" w:themeTint="F2"/>
                <w:spacing w:val="-4"/>
              </w:rPr>
              <w:footnoteReference w:id="8"/>
            </w:r>
            <w:r>
              <w:rPr>
                <w:color w:val="0D0D0D" w:themeColor="text1" w:themeTint="F2"/>
                <w:spacing w:val="-4"/>
              </w:rPr>
              <w:t>. Dařilo se jak výrobě osobních automobilů</w:t>
            </w:r>
            <w:r>
              <w:rPr>
                <w:rStyle w:val="Znakapoznpodarou"/>
                <w:color w:val="0D0D0D" w:themeColor="text1" w:themeTint="F2"/>
                <w:spacing w:val="-4"/>
              </w:rPr>
              <w:footnoteReference w:id="9"/>
            </w:r>
            <w:r>
              <w:rPr>
                <w:color w:val="0D0D0D" w:themeColor="text1" w:themeTint="F2"/>
                <w:spacing w:val="-4"/>
              </w:rPr>
              <w:t xml:space="preserve"> (profitující z rostoucí tuzemské i zahraniční poptávky</w:t>
            </w:r>
            <w:r>
              <w:rPr>
                <w:rStyle w:val="Znakapoznpodarou"/>
                <w:color w:val="0D0D0D" w:themeColor="text1" w:themeTint="F2"/>
                <w:spacing w:val="-4"/>
              </w:rPr>
              <w:footnoteReference w:id="10"/>
            </w:r>
            <w:r>
              <w:rPr>
                <w:color w:val="0D0D0D" w:themeColor="text1" w:themeTint="F2"/>
                <w:spacing w:val="-4"/>
              </w:rPr>
              <w:t>), tak ostatních dopravních prostředků (tažené významnými tuzemskými zakázkami pro armádu a také železnice). I přes občasné dílčí výpadky v dodávkách některých výrobních komponent zůstalo po většinu loňského roku využití výrobních kapacit ve výrobě motorových vozidel nad 92 % a patřilo v rámci průmyslu k nejvyšším</w:t>
            </w:r>
            <w:r>
              <w:rPr>
                <w:rStyle w:val="Znakapoznpodarou"/>
                <w:color w:val="0D0D0D" w:themeColor="text1" w:themeTint="F2"/>
                <w:spacing w:val="-4"/>
              </w:rPr>
              <w:footnoteReference w:id="11"/>
            </w:r>
            <w:r>
              <w:rPr>
                <w:color w:val="0D0D0D" w:themeColor="text1" w:themeTint="F2"/>
                <w:spacing w:val="-4"/>
              </w:rPr>
              <w:t xml:space="preserve">. </w:t>
            </w:r>
          </w:p>
        </w:tc>
      </w:tr>
      <w:tr w:rsidR="00BA5125" w:rsidRPr="003D1D6D" w14:paraId="031471AE" w14:textId="77777777" w:rsidTr="00BA5125">
        <w:trPr>
          <w:trHeight w:val="145"/>
        </w:trPr>
        <w:tc>
          <w:tcPr>
            <w:tcW w:w="1814" w:type="dxa"/>
            <w:tcBorders>
              <w:top w:val="nil"/>
              <w:left w:val="nil"/>
              <w:bottom w:val="nil"/>
              <w:right w:val="nil"/>
            </w:tcBorders>
            <w:shd w:val="clear" w:color="auto" w:fill="auto"/>
            <w:tcMar>
              <w:left w:w="0" w:type="dxa"/>
            </w:tcMar>
          </w:tcPr>
          <w:p w14:paraId="35ECEA41" w14:textId="77777777" w:rsidR="00BA5125" w:rsidRDefault="00BA5125" w:rsidP="00BA5125">
            <w:pPr>
              <w:pStyle w:val="Marginlie"/>
              <w:rPr>
                <w:color w:val="0D0D0D" w:themeColor="text1" w:themeTint="F2"/>
                <w:spacing w:val="-4"/>
              </w:rPr>
            </w:pPr>
            <w:r>
              <w:rPr>
                <w:color w:val="0D0D0D" w:themeColor="text1" w:themeTint="F2"/>
                <w:spacing w:val="-4"/>
              </w:rPr>
              <w:t>Největší útlum postihl výrobu stavebních materiálů. Ve většině energeticky náročných zpracovatelských oborů klesala produkce v roce 2022 i 2023.</w:t>
            </w:r>
          </w:p>
        </w:tc>
        <w:tc>
          <w:tcPr>
            <w:tcW w:w="229" w:type="dxa"/>
            <w:tcBorders>
              <w:top w:val="nil"/>
              <w:left w:val="nil"/>
              <w:bottom w:val="nil"/>
              <w:right w:val="nil"/>
            </w:tcBorders>
            <w:shd w:val="clear" w:color="auto" w:fill="auto"/>
            <w:tcMar>
              <w:left w:w="0" w:type="dxa"/>
            </w:tcMar>
          </w:tcPr>
          <w:p w14:paraId="5CE38465"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1F5B0D28" w14:textId="77777777" w:rsidR="00BA5125" w:rsidRPr="00457369" w:rsidRDefault="00BA5125" w:rsidP="00BA5125">
            <w:pPr>
              <w:spacing w:after="180"/>
              <w:rPr>
                <w:spacing w:val="-5"/>
              </w:rPr>
            </w:pPr>
            <w:r>
              <w:rPr>
                <w:spacing w:val="-5"/>
              </w:rPr>
              <w:t>Rozvoj výroby dopravních prostředků podpořil i návazný obor elektrotechnického průmyslu, který však rostl mírněji (+4,2 %) a ve směru růstu celého průmyslu přispěl pouze 0,3 p. b. V dalším návazném oboru – gumárenství a plastikářství – produkce dokonce mírně klesla (</w:t>
            </w:r>
            <w:r>
              <w:rPr>
                <w:color w:val="0D0D0D" w:themeColor="text1" w:themeTint="F2"/>
              </w:rPr>
              <w:t>−</w:t>
            </w:r>
            <w:r>
              <w:rPr>
                <w:spacing w:val="-5"/>
              </w:rPr>
              <w:t>4,5</w:t>
            </w:r>
            <w:r>
              <w:rPr>
                <w:color w:val="0D0D0D" w:themeColor="text1" w:themeTint="F2"/>
                <w:spacing w:val="-4"/>
              </w:rPr>
              <w:t> </w:t>
            </w:r>
            <w:r>
              <w:rPr>
                <w:spacing w:val="-5"/>
              </w:rPr>
              <w:t xml:space="preserve">%), zčásti patrně i proto, že ve srovnání s výše uvedenými se tento vyznačuje vyšší energetickou náročností. Ta spolu se sníženou poptávkou ze strany stavebnictví výrazně ovlivňovala výrobu ostatních nekovových minerálních výrobců, kde se loni produkce propadla o 17,1 % (nejvíce po roce 2009), nejintenzivněji ze všech průmyslových oborů. </w:t>
            </w:r>
            <w:r>
              <w:rPr>
                <w:color w:val="0D0D0D" w:themeColor="text1" w:themeTint="F2"/>
                <w:spacing w:val="-4"/>
              </w:rPr>
              <w:t>Se slabšími výkony stavebnictví souvisí i změna poptávky po technických textiliích, jež se odrazila v 11% poklesu produkce v celém textilním průmyslu</w:t>
            </w:r>
            <w:r>
              <w:rPr>
                <w:spacing w:val="-5"/>
              </w:rPr>
              <w:t xml:space="preserve">. Slabá tuzemská i zahraniční poptávka vyústila ve více než 14% útlum v hutnictví a slévárenství (produkce se snížila druhý rok v řadě, za posledních pět let skoro o čtvrtinu). Obdobně také chemický průmysl se loni druhý rok v řadě potýkal s prudkým růstem cen vstupů a současně s poklesem poptávky po produkci. Ta se loni snížila o 9,4 %. Strádaly i některé malé obory s energeticky náročnou produkcí, v případě dřevozpracujícího a papírenského průmyslu k tomu však významně přispěla i nižší těžba dřeva. </w:t>
            </w:r>
          </w:p>
        </w:tc>
      </w:tr>
      <w:tr w:rsidR="00BA5125" w:rsidRPr="003D1D6D" w14:paraId="3DAAD178" w14:textId="77777777" w:rsidTr="00BA5125">
        <w:trPr>
          <w:trHeight w:val="145"/>
        </w:trPr>
        <w:tc>
          <w:tcPr>
            <w:tcW w:w="1814" w:type="dxa"/>
            <w:tcBorders>
              <w:top w:val="nil"/>
              <w:left w:val="nil"/>
              <w:bottom w:val="nil"/>
              <w:right w:val="nil"/>
            </w:tcBorders>
            <w:shd w:val="clear" w:color="auto" w:fill="auto"/>
            <w:tcMar>
              <w:left w:w="0" w:type="dxa"/>
            </w:tcMar>
          </w:tcPr>
          <w:p w14:paraId="4259D1E3" w14:textId="77777777" w:rsidR="00BA5125" w:rsidRDefault="00BA5125" w:rsidP="00BA5125">
            <w:pPr>
              <w:pStyle w:val="Marginlie"/>
              <w:rPr>
                <w:color w:val="0D0D0D" w:themeColor="text1" w:themeTint="F2"/>
                <w:spacing w:val="-4"/>
              </w:rPr>
            </w:pPr>
            <w:r>
              <w:rPr>
                <w:color w:val="0D0D0D" w:themeColor="text1" w:themeTint="F2"/>
                <w:spacing w:val="-4"/>
              </w:rPr>
              <w:t xml:space="preserve">Z oborů vyrábějících investiční produkty klesla nejvíce produkce ve strojírenství. Negativně </w:t>
            </w:r>
            <w:r>
              <w:rPr>
                <w:color w:val="0D0D0D" w:themeColor="text1" w:themeTint="F2"/>
                <w:spacing w:val="-4"/>
              </w:rPr>
              <w:lastRenderedPageBreak/>
              <w:t xml:space="preserve">působila hlavně slabší zahraniční poptávka. </w:t>
            </w:r>
          </w:p>
        </w:tc>
        <w:tc>
          <w:tcPr>
            <w:tcW w:w="229" w:type="dxa"/>
            <w:tcBorders>
              <w:top w:val="nil"/>
              <w:left w:val="nil"/>
              <w:bottom w:val="nil"/>
              <w:right w:val="nil"/>
            </w:tcBorders>
            <w:shd w:val="clear" w:color="auto" w:fill="auto"/>
            <w:tcMar>
              <w:left w:w="0" w:type="dxa"/>
            </w:tcMar>
          </w:tcPr>
          <w:p w14:paraId="0AD5DBB8"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495ADBB0" w14:textId="77777777" w:rsidR="00BA5125" w:rsidRDefault="00BA5125" w:rsidP="00BA5125">
            <w:pPr>
              <w:spacing w:after="180"/>
              <w:rPr>
                <w:color w:val="0D0D0D" w:themeColor="text1" w:themeTint="F2"/>
                <w:spacing w:val="-4"/>
              </w:rPr>
            </w:pPr>
            <w:r>
              <w:rPr>
                <w:color w:val="0D0D0D" w:themeColor="text1" w:themeTint="F2"/>
                <w:spacing w:val="-4"/>
              </w:rPr>
              <w:t xml:space="preserve">Přetrvávající slabší důvěra podnikatelů v ekonomiku spolu se zhoršenou dostupností úvěrového financování (vlivem vysokých úrokových sazeb) podvazuje růst soukromé investiční aktivity. To negativně dopadá na většinu průmyslových oborů zaměřených na </w:t>
            </w:r>
            <w:r>
              <w:rPr>
                <w:color w:val="0D0D0D" w:themeColor="text1" w:themeTint="F2"/>
                <w:spacing w:val="-4"/>
              </w:rPr>
              <w:lastRenderedPageBreak/>
              <w:t xml:space="preserve">výrobu investičních produktů. V letech 2021 i 2022 sice patřila produkce ve strojírenství v rámci průmyslu k nejrychleji rostoucím, loni se však snížila o 1,6 %, v první řadě vinou </w:t>
            </w:r>
            <w:r w:rsidRPr="00C25DB9">
              <w:rPr>
                <w:color w:val="0D0D0D" w:themeColor="text1" w:themeTint="F2"/>
                <w:spacing w:val="-2"/>
              </w:rPr>
              <w:t>slabší zahraniční</w:t>
            </w:r>
            <w:r>
              <w:rPr>
                <w:color w:val="0D0D0D" w:themeColor="text1" w:themeTint="F2"/>
                <w:spacing w:val="-2"/>
              </w:rPr>
              <w:t xml:space="preserve"> poptávky. Ta stála rovněž</w:t>
            </w:r>
            <w:r w:rsidRPr="00C25DB9">
              <w:rPr>
                <w:color w:val="0D0D0D" w:themeColor="text1" w:themeTint="F2"/>
                <w:spacing w:val="-2"/>
              </w:rPr>
              <w:t xml:space="preserve"> za mírným loňským poklesem kovodělného</w:t>
            </w:r>
            <w:r>
              <w:rPr>
                <w:color w:val="0D0D0D" w:themeColor="text1" w:themeTint="F2"/>
                <w:spacing w:val="-2"/>
              </w:rPr>
              <w:t xml:space="preserve"> průmyslu (−1,1</w:t>
            </w:r>
            <w:r w:rsidRPr="00C25DB9">
              <w:rPr>
                <w:color w:val="0D0D0D" w:themeColor="text1" w:themeTint="F2"/>
                <w:spacing w:val="-2"/>
              </w:rPr>
              <w:t xml:space="preserve"> %)</w:t>
            </w:r>
            <w:r>
              <w:rPr>
                <w:color w:val="0D0D0D" w:themeColor="text1" w:themeTint="F2"/>
                <w:spacing w:val="-2"/>
              </w:rPr>
              <w:t>, kde většímu útlumu zabránila tuzemská poptávka (</w:t>
            </w:r>
            <w:r>
              <w:rPr>
                <w:color w:val="0D0D0D" w:themeColor="text1" w:themeTint="F2"/>
                <w:spacing w:val="-4"/>
              </w:rPr>
              <w:t xml:space="preserve">státní zakázky v oblasti obrany a bezpečnosti). Tato poptávka mj. v podobě rozvoje fotovoltaiky  podpořila také elektronický průmysl, kde produkce mírně rostla třetí rok v řadě (loni </w:t>
            </w:r>
            <w:r>
              <w:rPr>
                <w:color w:val="0D0D0D" w:themeColor="text1" w:themeTint="F2"/>
              </w:rPr>
              <w:t>+1,3</w:t>
            </w:r>
            <w:r>
              <w:rPr>
                <w:color w:val="0D0D0D" w:themeColor="text1" w:themeTint="F2"/>
                <w:spacing w:val="-4"/>
              </w:rPr>
              <w:t xml:space="preserve"> %). </w:t>
            </w:r>
          </w:p>
        </w:tc>
      </w:tr>
      <w:tr w:rsidR="00BA5125" w:rsidRPr="003D1D6D" w14:paraId="624805FD" w14:textId="77777777" w:rsidTr="00BA5125">
        <w:trPr>
          <w:trHeight w:val="145"/>
        </w:trPr>
        <w:tc>
          <w:tcPr>
            <w:tcW w:w="1814" w:type="dxa"/>
            <w:tcBorders>
              <w:top w:val="nil"/>
              <w:left w:val="nil"/>
              <w:bottom w:val="nil"/>
              <w:right w:val="nil"/>
            </w:tcBorders>
            <w:shd w:val="clear" w:color="auto" w:fill="auto"/>
            <w:tcMar>
              <w:left w:w="0" w:type="dxa"/>
            </w:tcMar>
          </w:tcPr>
          <w:p w14:paraId="5D32BCF6" w14:textId="77777777" w:rsidR="00BA5125" w:rsidRDefault="00BA5125" w:rsidP="00BA5125">
            <w:pPr>
              <w:pStyle w:val="Marginlie"/>
              <w:rPr>
                <w:color w:val="0D0D0D" w:themeColor="text1" w:themeTint="F2"/>
                <w:spacing w:val="-4"/>
              </w:rPr>
            </w:pPr>
            <w:r>
              <w:rPr>
                <w:color w:val="0D0D0D" w:themeColor="text1" w:themeTint="F2"/>
                <w:spacing w:val="-4"/>
              </w:rPr>
              <w:lastRenderedPageBreak/>
              <w:t>Omezování zbytných i běžných výdajů domácností vedlo k poklesu potravinářského, nápojového či nábytkářského průmyslu.</w:t>
            </w:r>
          </w:p>
          <w:p w14:paraId="7E88176F" w14:textId="77777777" w:rsidR="00BA5125" w:rsidRDefault="00BA5125" w:rsidP="00BA5125">
            <w:pPr>
              <w:pStyle w:val="Marginlie"/>
              <w:rPr>
                <w:color w:val="0D0D0D" w:themeColor="text1" w:themeTint="F2"/>
                <w:spacing w:val="-4"/>
              </w:rPr>
            </w:pPr>
          </w:p>
          <w:p w14:paraId="45F7F702" w14:textId="77777777" w:rsidR="00BA5125" w:rsidRDefault="00BA5125" w:rsidP="00BA5125">
            <w:pPr>
              <w:pStyle w:val="Marginlie"/>
              <w:rPr>
                <w:color w:val="0D0D0D" w:themeColor="text1" w:themeTint="F2"/>
                <w:spacing w:val="-4"/>
              </w:rPr>
            </w:pPr>
          </w:p>
          <w:p w14:paraId="54CBE0F7" w14:textId="77777777" w:rsidR="00BA5125" w:rsidRDefault="00BA5125" w:rsidP="00BA5125">
            <w:pPr>
              <w:pStyle w:val="Marginlie"/>
              <w:rPr>
                <w:color w:val="0D0D0D" w:themeColor="text1" w:themeTint="F2"/>
                <w:spacing w:val="-4"/>
              </w:rPr>
            </w:pPr>
          </w:p>
          <w:p w14:paraId="2C824A62" w14:textId="77777777" w:rsidR="00BA5125" w:rsidRDefault="00BA5125" w:rsidP="00BA5125">
            <w:pPr>
              <w:pStyle w:val="Marginlie"/>
              <w:rPr>
                <w:color w:val="0D0D0D" w:themeColor="text1" w:themeTint="F2"/>
                <w:spacing w:val="-4"/>
              </w:rPr>
            </w:pPr>
          </w:p>
          <w:p w14:paraId="1D6C6599" w14:textId="77777777" w:rsidR="00BA5125" w:rsidRDefault="00BA5125" w:rsidP="00BA5125">
            <w:pPr>
              <w:pStyle w:val="Marginlie"/>
              <w:rPr>
                <w:color w:val="0D0D0D" w:themeColor="text1" w:themeTint="F2"/>
                <w:spacing w:val="-4"/>
              </w:rPr>
            </w:pPr>
          </w:p>
          <w:p w14:paraId="628269CF" w14:textId="77777777" w:rsidR="00BA5125" w:rsidRDefault="00BA5125" w:rsidP="00BA5125">
            <w:pPr>
              <w:pStyle w:val="Marginlie"/>
              <w:rPr>
                <w:color w:val="0D0D0D" w:themeColor="text1" w:themeTint="F2"/>
                <w:spacing w:val="-4"/>
              </w:rPr>
            </w:pPr>
            <w:r>
              <w:rPr>
                <w:color w:val="0D0D0D" w:themeColor="text1" w:themeTint="F2"/>
                <w:spacing w:val="-4"/>
              </w:rPr>
              <w:t>Pokračující růst farmaceutického i kožedělného průmyslu podpořila zahraniční poptávka.</w:t>
            </w:r>
          </w:p>
          <w:p w14:paraId="40221220" w14:textId="77777777" w:rsidR="00BA5125" w:rsidRDefault="00BA5125" w:rsidP="00BA5125">
            <w:pPr>
              <w:pStyle w:val="Marginlie"/>
              <w:rPr>
                <w:color w:val="0D0D0D" w:themeColor="text1" w:themeTint="F2"/>
                <w:spacing w:val="-4"/>
              </w:rPr>
            </w:pPr>
          </w:p>
        </w:tc>
        <w:tc>
          <w:tcPr>
            <w:tcW w:w="229" w:type="dxa"/>
            <w:tcBorders>
              <w:top w:val="nil"/>
              <w:left w:val="nil"/>
              <w:bottom w:val="nil"/>
              <w:right w:val="nil"/>
            </w:tcBorders>
            <w:shd w:val="clear" w:color="auto" w:fill="auto"/>
            <w:tcMar>
              <w:left w:w="0" w:type="dxa"/>
            </w:tcMar>
          </w:tcPr>
          <w:p w14:paraId="761E2CFD"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7EB0DE2B" w14:textId="77777777" w:rsidR="00BA5125" w:rsidRDefault="00BA5125" w:rsidP="00BA5125">
            <w:pPr>
              <w:spacing w:after="180"/>
              <w:rPr>
                <w:color w:val="0D0D0D" w:themeColor="text1" w:themeTint="F2"/>
                <w:spacing w:val="-4"/>
              </w:rPr>
            </w:pPr>
            <w:r>
              <w:rPr>
                <w:color w:val="0D0D0D" w:themeColor="text1" w:themeTint="F2"/>
                <w:spacing w:val="-4"/>
              </w:rPr>
              <w:t>Poklesu produkce se loni nevyhnula ani většina zpravidla menších zpracovatelských oborů zaměřených převážně na produkty krátkodobé spotřeby. Výkon potravinářství se mírně snížil druhý rok v řadě, loni o 1,5 %</w:t>
            </w:r>
            <w:r>
              <w:rPr>
                <w:rStyle w:val="Znakapoznpodarou"/>
                <w:color w:val="0D0D0D" w:themeColor="text1" w:themeTint="F2"/>
                <w:spacing w:val="-4"/>
              </w:rPr>
              <w:footnoteReference w:id="12"/>
            </w:r>
            <w:r>
              <w:rPr>
                <w:color w:val="0D0D0D" w:themeColor="text1" w:themeTint="F2"/>
                <w:spacing w:val="-4"/>
              </w:rPr>
              <w:t xml:space="preserve">. Podobný pokles postihl v roce 2023 i výrobce nápojů. Ještě výrazněji se snížila produkce ve výrazně proexportně zaměřeném oděvním průmyslu </w:t>
            </w:r>
            <w:r w:rsidRPr="006C59E1">
              <w:rPr>
                <w:color w:val="0D0D0D" w:themeColor="text1" w:themeTint="F2"/>
                <w:spacing w:val="-6"/>
              </w:rPr>
              <w:t>(</w:t>
            </w:r>
            <w:r>
              <w:rPr>
                <w:color w:val="0D0D0D" w:themeColor="text1" w:themeTint="F2"/>
                <w:spacing w:val="-6"/>
              </w:rPr>
              <w:t>−</w:t>
            </w:r>
            <w:r w:rsidRPr="006C59E1">
              <w:rPr>
                <w:color w:val="0D0D0D" w:themeColor="text1" w:themeTint="F2"/>
                <w:spacing w:val="-6"/>
              </w:rPr>
              <w:t>4,3 %), který nenavázal na předloňské oživení.  Omezování „zbytných“ výdajů domácností</w:t>
            </w:r>
            <w:r w:rsidRPr="00201E70">
              <w:rPr>
                <w:color w:val="0D0D0D" w:themeColor="text1" w:themeTint="F2"/>
                <w:spacing w:val="-4"/>
              </w:rPr>
              <w:t xml:space="preserve"> v reakci na propad reálných výdělků</w:t>
            </w:r>
            <w:r>
              <w:rPr>
                <w:color w:val="0D0D0D" w:themeColor="text1" w:themeTint="F2"/>
                <w:spacing w:val="-4"/>
              </w:rPr>
              <w:t xml:space="preserve"> patrně loni zastavilo dlouhodobě rozvíjející se ostatní zpracovatelský průmysl</w:t>
            </w:r>
            <w:r>
              <w:rPr>
                <w:rStyle w:val="Znakapoznpodarou"/>
                <w:color w:val="0D0D0D" w:themeColor="text1" w:themeTint="F2"/>
                <w:spacing w:val="-4"/>
              </w:rPr>
              <w:footnoteReference w:id="13"/>
            </w:r>
            <w:r>
              <w:rPr>
                <w:color w:val="0D0D0D" w:themeColor="text1" w:themeTint="F2"/>
                <w:spacing w:val="-4"/>
              </w:rPr>
              <w:t xml:space="preserve">. Jeho produkce klesla o 3,6 % </w:t>
            </w:r>
            <w:r w:rsidRPr="00C25DB9">
              <w:rPr>
                <w:color w:val="0D0D0D" w:themeColor="text1" w:themeTint="F2"/>
                <w:spacing w:val="-2"/>
              </w:rPr>
              <w:t>–</w:t>
            </w:r>
            <w:r>
              <w:rPr>
                <w:color w:val="0D0D0D" w:themeColor="text1" w:themeTint="F2"/>
                <w:spacing w:val="-2"/>
              </w:rPr>
              <w:t xml:space="preserve"> </w:t>
            </w:r>
            <w:r>
              <w:rPr>
                <w:color w:val="0D0D0D" w:themeColor="text1" w:themeTint="F2"/>
                <w:spacing w:val="-4"/>
              </w:rPr>
              <w:t>nejvíce po roce 2009. Podobné vlivy působily loni i na nábytkářský průmysl, jeho výrazný propad (</w:t>
            </w:r>
            <w:r>
              <w:rPr>
                <w:color w:val="0D0D0D" w:themeColor="text1" w:themeTint="F2"/>
                <w:spacing w:val="-2"/>
              </w:rPr>
              <w:t>o</w:t>
            </w:r>
            <w:r>
              <w:rPr>
                <w:color w:val="0D0D0D" w:themeColor="text1" w:themeTint="F2"/>
                <w:spacing w:val="-4"/>
              </w:rPr>
              <w:t> 11,1 %) je však v první řadě důsledkem slabé zahraniční poptávky. Z malých oborů se vymykal dlouhodobě rostoucí výrazně proexportně zaměřený farmaceutický průmysl, v němž loni produkce vzrostla o 6,1 % (za posledních pět let o 42,9 %). Vedle stabilní zahraniční poptávky mu pomohl i loňský růst zakázek z tuzemska. Díky zahraniční poptávce se dařilo také kožedělnému a obuvnickému průmyslu, jenž zaznamenal vyšší produkci třetí rok v řadě.</w:t>
            </w:r>
          </w:p>
        </w:tc>
      </w:tr>
      <w:tr w:rsidR="00BA5125" w:rsidRPr="00A92514" w14:paraId="6469CBB5" w14:textId="77777777" w:rsidTr="00BA5125">
        <w:trPr>
          <w:trHeight w:val="170"/>
        </w:trPr>
        <w:tc>
          <w:tcPr>
            <w:tcW w:w="1814" w:type="dxa"/>
            <w:vMerge w:val="restart"/>
            <w:tcBorders>
              <w:top w:val="nil"/>
              <w:left w:val="nil"/>
              <w:bottom w:val="nil"/>
              <w:right w:val="nil"/>
            </w:tcBorders>
            <w:shd w:val="clear" w:color="auto" w:fill="auto"/>
            <w:tcMar>
              <w:left w:w="0" w:type="dxa"/>
            </w:tcMar>
          </w:tcPr>
          <w:p w14:paraId="001AAA2F" w14:textId="77777777" w:rsidR="00BA5125" w:rsidRDefault="00BA5125" w:rsidP="00BA5125">
            <w:pPr>
              <w:pStyle w:val="Marginlie"/>
            </w:pPr>
          </w:p>
        </w:tc>
        <w:tc>
          <w:tcPr>
            <w:tcW w:w="229" w:type="dxa"/>
            <w:vMerge w:val="restart"/>
            <w:tcBorders>
              <w:top w:val="nil"/>
              <w:left w:val="nil"/>
              <w:bottom w:val="nil"/>
              <w:right w:val="nil"/>
            </w:tcBorders>
            <w:shd w:val="clear" w:color="auto" w:fill="auto"/>
            <w:tcMar>
              <w:left w:w="0" w:type="dxa"/>
            </w:tcMar>
          </w:tcPr>
          <w:p w14:paraId="19FF7670"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786F645A" w14:textId="77777777" w:rsidR="00BA5125" w:rsidRPr="00884AAD" w:rsidRDefault="00BA5125" w:rsidP="00BA5125">
            <w:pPr>
              <w:spacing w:after="0"/>
              <w:rPr>
                <w:spacing w:val="-2"/>
              </w:rPr>
            </w:pPr>
            <w:r w:rsidRPr="00884AAD">
              <w:rPr>
                <w:rFonts w:cs="Arial"/>
                <w:b/>
                <w:bCs/>
                <w:color w:val="000000"/>
                <w:spacing w:val="-2"/>
                <w:szCs w:val="20"/>
              </w:rPr>
              <w:t xml:space="preserve">Graf č. 4 </w:t>
            </w:r>
            <w:r w:rsidRPr="00884AAD">
              <w:rPr>
                <w:b/>
                <w:spacing w:val="-2"/>
              </w:rPr>
              <w:t xml:space="preserve">Příspěvky dílčích odvětví k meziroční změně průmyslové produkce v ČR </w:t>
            </w:r>
            <w:r w:rsidRPr="00884AAD">
              <w:rPr>
                <w:spacing w:val="-2"/>
              </w:rPr>
              <w:t xml:space="preserve">(očištěno o kalendářní vlivy, reálně, v p. b.) </w:t>
            </w:r>
            <w:r w:rsidRPr="00884AAD">
              <w:rPr>
                <w:b/>
                <w:spacing w:val="-2"/>
              </w:rPr>
              <w:t xml:space="preserve">a produkce v celém průmyslu v ČR, Německu a EU27 </w:t>
            </w:r>
            <w:r w:rsidRPr="00884AAD">
              <w:rPr>
                <w:spacing w:val="-2"/>
              </w:rPr>
              <w:t>(se</w:t>
            </w:r>
            <w:r>
              <w:rPr>
                <w:spacing w:val="-2"/>
              </w:rPr>
              <w:t>zónně očištěno, úroveň roku 2021</w:t>
            </w:r>
            <w:r w:rsidRPr="00884AAD">
              <w:rPr>
                <w:spacing w:val="-2"/>
              </w:rPr>
              <w:t>=100, pravá osa)</w:t>
            </w:r>
          </w:p>
        </w:tc>
      </w:tr>
      <w:tr w:rsidR="00BA5125" w:rsidRPr="0067514E" w14:paraId="66A1866B" w14:textId="77777777" w:rsidTr="00BA5125">
        <w:tblPrEx>
          <w:tblCellMar>
            <w:left w:w="70" w:type="dxa"/>
            <w:right w:w="70" w:type="dxa"/>
          </w:tblCellMar>
        </w:tblPrEx>
        <w:trPr>
          <w:trHeight w:val="170"/>
        </w:trPr>
        <w:tc>
          <w:tcPr>
            <w:tcW w:w="1814" w:type="dxa"/>
            <w:vMerge/>
            <w:tcBorders>
              <w:top w:val="nil"/>
              <w:left w:val="nil"/>
              <w:bottom w:val="nil"/>
              <w:right w:val="nil"/>
            </w:tcBorders>
            <w:shd w:val="clear" w:color="auto" w:fill="auto"/>
          </w:tcPr>
          <w:p w14:paraId="49B8CA47" w14:textId="77777777" w:rsidR="00BA5125" w:rsidRDefault="00BA5125" w:rsidP="00BA5125">
            <w:pPr>
              <w:pStyle w:val="Marginlie"/>
            </w:pPr>
          </w:p>
        </w:tc>
        <w:tc>
          <w:tcPr>
            <w:tcW w:w="229" w:type="dxa"/>
            <w:vMerge/>
            <w:tcBorders>
              <w:top w:val="nil"/>
              <w:left w:val="nil"/>
              <w:bottom w:val="nil"/>
              <w:right w:val="nil"/>
            </w:tcBorders>
            <w:shd w:val="clear" w:color="auto" w:fill="auto"/>
          </w:tcPr>
          <w:p w14:paraId="5134D25E"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Pr>
          <w:p w14:paraId="72775269" w14:textId="77777777" w:rsidR="00BA5125" w:rsidRPr="0067514E" w:rsidRDefault="00BA5125" w:rsidP="00BA5125">
            <w:pPr>
              <w:spacing w:after="0"/>
              <w:rPr>
                <w:spacing w:val="-6"/>
              </w:rPr>
            </w:pPr>
            <w:r>
              <w:rPr>
                <w:noProof/>
              </w:rPr>
              <w:drawing>
                <wp:inline distT="0" distB="0" distL="0" distR="0" wp14:anchorId="66E6C107" wp14:editId="3D881CA2">
                  <wp:extent cx="4613910" cy="3536950"/>
                  <wp:effectExtent l="0" t="0" r="0" b="635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BA5125" w:rsidRPr="00E52D45" w14:paraId="3172F44F" w14:textId="77777777" w:rsidTr="00BA5125">
        <w:trPr>
          <w:trHeight w:val="170"/>
        </w:trPr>
        <w:tc>
          <w:tcPr>
            <w:tcW w:w="1814" w:type="dxa"/>
            <w:vMerge/>
            <w:tcBorders>
              <w:top w:val="nil"/>
              <w:left w:val="nil"/>
              <w:bottom w:val="nil"/>
              <w:right w:val="nil"/>
            </w:tcBorders>
            <w:shd w:val="clear" w:color="auto" w:fill="auto"/>
            <w:tcMar>
              <w:left w:w="0" w:type="dxa"/>
            </w:tcMar>
          </w:tcPr>
          <w:p w14:paraId="5DAEB5E0" w14:textId="77777777" w:rsidR="00BA5125" w:rsidRDefault="00BA5125" w:rsidP="00BA5125">
            <w:pPr>
              <w:pStyle w:val="Marginlie"/>
            </w:pPr>
          </w:p>
        </w:tc>
        <w:tc>
          <w:tcPr>
            <w:tcW w:w="229" w:type="dxa"/>
            <w:vMerge/>
            <w:tcBorders>
              <w:top w:val="nil"/>
              <w:left w:val="nil"/>
              <w:bottom w:val="nil"/>
              <w:right w:val="nil"/>
            </w:tcBorders>
            <w:shd w:val="clear" w:color="auto" w:fill="auto"/>
            <w:tcMar>
              <w:left w:w="0" w:type="dxa"/>
            </w:tcMar>
          </w:tcPr>
          <w:p w14:paraId="128427A6"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72F1B38A" w14:textId="77777777" w:rsidR="00BA5125" w:rsidRDefault="00BA5125" w:rsidP="00BA5125">
            <w:pPr>
              <w:tabs>
                <w:tab w:val="right" w:pos="7683"/>
              </w:tabs>
              <w:spacing w:after="0" w:line="240" w:lineRule="auto"/>
              <w:jc w:val="left"/>
              <w:rPr>
                <w:rFonts w:cs="Arial"/>
                <w:sz w:val="14"/>
                <w:szCs w:val="14"/>
              </w:rPr>
            </w:pPr>
            <w:r>
              <w:rPr>
                <w:rFonts w:cs="Arial"/>
                <w:sz w:val="14"/>
                <w:szCs w:val="14"/>
              </w:rPr>
              <w:t xml:space="preserve">Poznámka: Tržby jsou uvedeny v běžných cenách. </w:t>
            </w:r>
            <w:r>
              <w:rPr>
                <w:rFonts w:cs="Arial"/>
                <w:sz w:val="14"/>
                <w:szCs w:val="14"/>
              </w:rPr>
              <w:tab/>
              <w:t xml:space="preserve"> </w:t>
            </w:r>
          </w:p>
          <w:p w14:paraId="3D81A3BA" w14:textId="77777777" w:rsidR="00BA5125" w:rsidRPr="00E52D45" w:rsidRDefault="00BA5125" w:rsidP="00BA5125">
            <w:pPr>
              <w:tabs>
                <w:tab w:val="right" w:pos="7683"/>
              </w:tabs>
              <w:spacing w:after="200" w:line="240" w:lineRule="auto"/>
              <w:jc w:val="left"/>
              <w:rPr>
                <w:spacing w:val="-2"/>
                <w:sz w:val="14"/>
                <w:szCs w:val="14"/>
              </w:rPr>
            </w:pPr>
            <w:r w:rsidRPr="00883202">
              <w:rPr>
                <w:rFonts w:cs="Arial"/>
                <w:sz w:val="14"/>
                <w:szCs w:val="14"/>
              </w:rPr>
              <w:t>Zdroj: ČSÚ</w:t>
            </w:r>
            <w:r>
              <w:rPr>
                <w:rFonts w:cs="Arial"/>
                <w:sz w:val="14"/>
                <w:szCs w:val="14"/>
              </w:rPr>
              <w:t>, Eurostat</w:t>
            </w:r>
          </w:p>
        </w:tc>
      </w:tr>
      <w:tr w:rsidR="00BA5125" w:rsidRPr="00823342" w14:paraId="7625DA87" w14:textId="77777777" w:rsidTr="00BA5125">
        <w:trPr>
          <w:trHeight w:val="170"/>
        </w:trPr>
        <w:tc>
          <w:tcPr>
            <w:tcW w:w="1814" w:type="dxa"/>
            <w:tcBorders>
              <w:top w:val="nil"/>
              <w:left w:val="nil"/>
              <w:bottom w:val="nil"/>
              <w:right w:val="nil"/>
            </w:tcBorders>
            <w:shd w:val="clear" w:color="auto" w:fill="auto"/>
            <w:tcMar>
              <w:left w:w="0" w:type="dxa"/>
            </w:tcMar>
          </w:tcPr>
          <w:p w14:paraId="22133718" w14:textId="77777777" w:rsidR="00BA5125" w:rsidRDefault="00BA5125" w:rsidP="00BA5125">
            <w:pPr>
              <w:pStyle w:val="Marginlie"/>
              <w:rPr>
                <w:color w:val="0D0D0D" w:themeColor="text1" w:themeTint="F2"/>
                <w:spacing w:val="-4"/>
              </w:rPr>
            </w:pPr>
            <w:r>
              <w:rPr>
                <w:color w:val="0D0D0D" w:themeColor="text1" w:themeTint="F2"/>
                <w:spacing w:val="-4"/>
              </w:rPr>
              <w:t xml:space="preserve">Za nižší produkcí v průmyslu stála hlavně energetika. Pokles spotřeby elektřiny, plynu a tepla v podnicích </w:t>
            </w:r>
            <w:r>
              <w:rPr>
                <w:color w:val="0D0D0D" w:themeColor="text1" w:themeTint="F2"/>
                <w:spacing w:val="-4"/>
              </w:rPr>
              <w:lastRenderedPageBreak/>
              <w:t>i domácnostech pokračoval.</w:t>
            </w:r>
          </w:p>
          <w:p w14:paraId="563556A1" w14:textId="77777777" w:rsidR="00BA5125" w:rsidRDefault="00BA5125" w:rsidP="00BA5125">
            <w:pPr>
              <w:pStyle w:val="Marginlie"/>
              <w:rPr>
                <w:color w:val="0D0D0D" w:themeColor="text1" w:themeTint="F2"/>
                <w:spacing w:val="-4"/>
              </w:rPr>
            </w:pPr>
            <w:r>
              <w:rPr>
                <w:color w:val="0D0D0D" w:themeColor="text1" w:themeTint="F2"/>
                <w:spacing w:val="-4"/>
              </w:rPr>
              <w:t>Po dvouletém oživení se opět propadla produkce v těžebním průmyslu. Vytěžilo se méně uhlí i stavebních materiálů.</w:t>
            </w:r>
          </w:p>
          <w:p w14:paraId="57494032" w14:textId="77777777" w:rsidR="00BA5125" w:rsidRDefault="00BA5125" w:rsidP="00BA5125">
            <w:pPr>
              <w:pStyle w:val="Marginlie"/>
              <w:rPr>
                <w:color w:val="0D0D0D" w:themeColor="text1" w:themeTint="F2"/>
                <w:spacing w:val="-4"/>
              </w:rPr>
            </w:pPr>
          </w:p>
        </w:tc>
        <w:tc>
          <w:tcPr>
            <w:tcW w:w="229" w:type="dxa"/>
            <w:tcBorders>
              <w:top w:val="nil"/>
              <w:left w:val="nil"/>
              <w:bottom w:val="nil"/>
              <w:right w:val="nil"/>
            </w:tcBorders>
            <w:shd w:val="clear" w:color="auto" w:fill="auto"/>
            <w:tcMar>
              <w:left w:w="0" w:type="dxa"/>
            </w:tcMar>
          </w:tcPr>
          <w:p w14:paraId="3030929C"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52753959" w14:textId="77777777" w:rsidR="00BA5125" w:rsidRDefault="00BA5125" w:rsidP="00BA5125">
            <w:pPr>
              <w:spacing w:after="180"/>
              <w:rPr>
                <w:color w:val="0D0D0D" w:themeColor="text1" w:themeTint="F2"/>
                <w:spacing w:val="-4"/>
              </w:rPr>
            </w:pPr>
            <w:r>
              <w:rPr>
                <w:color w:val="0D0D0D" w:themeColor="text1" w:themeTint="F2"/>
                <w:spacing w:val="-4"/>
              </w:rPr>
              <w:t xml:space="preserve">Výkon celého průmyslu loni nejvíce brzdila energetika, jejíž produkce se propadla o rekordních 11,1 % (v roce 2022 „jen“ o 2,3 %) a k poklesu průmyslu přispěla 1,1 p. b. </w:t>
            </w:r>
            <w:r>
              <w:rPr>
                <w:color w:val="0D0D0D" w:themeColor="text1" w:themeTint="F2"/>
                <w:spacing w:val="-5"/>
              </w:rPr>
              <w:t>Za nižší výrobou elektřiny stál z drtivé části hlubší útlum u parních a paroplynových elektráren (</w:t>
            </w:r>
            <w:r>
              <w:rPr>
                <w:color w:val="0D0D0D" w:themeColor="text1" w:themeTint="F2"/>
                <w:spacing w:val="-2"/>
              </w:rPr>
              <w:t>−1</w:t>
            </w:r>
            <w:r>
              <w:rPr>
                <w:color w:val="0D0D0D" w:themeColor="text1" w:themeTint="F2"/>
                <w:spacing w:val="-5"/>
              </w:rPr>
              <w:t xml:space="preserve">8 %), řádově menší dopad měla produkce jaderných elektráren (−2,0 %). Vedle </w:t>
            </w:r>
            <w:r>
              <w:rPr>
                <w:color w:val="0D0D0D" w:themeColor="text1" w:themeTint="F2"/>
                <w:spacing w:val="-5"/>
              </w:rPr>
              <w:lastRenderedPageBreak/>
              <w:t>pravidelných odstávek výrobních zařízení souvisel výkon celé energetiky s dalším očekávaným poklesem tuzemské poptávky</w:t>
            </w:r>
            <w:r w:rsidRPr="00B0580E">
              <w:rPr>
                <w:rStyle w:val="Znakapoznpodarou"/>
                <w:color w:val="0D0D0D" w:themeColor="text1" w:themeTint="F2"/>
                <w:spacing w:val="-5"/>
              </w:rPr>
              <w:footnoteReference w:id="14"/>
            </w:r>
            <w:r>
              <w:rPr>
                <w:color w:val="0D0D0D" w:themeColor="text1" w:themeTint="F2"/>
                <w:spacing w:val="-5"/>
              </w:rPr>
              <w:t xml:space="preserve">. V ní se loni stejně jako v roce 2022 projevily dopady opatření směřující k </w:t>
            </w:r>
            <w:r w:rsidRPr="005447DB">
              <w:rPr>
                <w:color w:val="0D0D0D" w:themeColor="text1" w:themeTint="F2"/>
                <w:spacing w:val="-5"/>
              </w:rPr>
              <w:t>úspor</w:t>
            </w:r>
            <w:r>
              <w:rPr>
                <w:color w:val="0D0D0D" w:themeColor="text1" w:themeTint="F2"/>
                <w:spacing w:val="-5"/>
              </w:rPr>
              <w:t>ám spotřeby</w:t>
            </w:r>
            <w:r w:rsidRPr="005447DB">
              <w:rPr>
                <w:color w:val="0D0D0D" w:themeColor="text1" w:themeTint="F2"/>
                <w:spacing w:val="-5"/>
              </w:rPr>
              <w:t xml:space="preserve"> elektřiny, zemní</w:t>
            </w:r>
            <w:r>
              <w:rPr>
                <w:color w:val="0D0D0D" w:themeColor="text1" w:themeTint="F2"/>
                <w:spacing w:val="-5"/>
              </w:rPr>
              <w:t>ho</w:t>
            </w:r>
            <w:r w:rsidRPr="005447DB">
              <w:rPr>
                <w:color w:val="0D0D0D" w:themeColor="text1" w:themeTint="F2"/>
                <w:spacing w:val="-5"/>
              </w:rPr>
              <w:t xml:space="preserve"> plynu i tepla na straně domácností </w:t>
            </w:r>
            <w:r w:rsidRPr="00B0580E">
              <w:rPr>
                <w:color w:val="0D0D0D" w:themeColor="text1" w:themeTint="F2"/>
                <w:spacing w:val="-5"/>
              </w:rPr>
              <w:t>i firem</w:t>
            </w:r>
            <w:r>
              <w:rPr>
                <w:color w:val="0D0D0D" w:themeColor="text1" w:themeTint="F2"/>
                <w:spacing w:val="-5"/>
              </w:rPr>
              <w:t>. Ve srovnání s rokem 2022 navíc vzrostl vliv nižší poptávky po energiích v podnicích kvůli poklesu výrobní činnosti</w:t>
            </w:r>
            <w:r>
              <w:rPr>
                <w:rStyle w:val="Znakapoznpodarou"/>
                <w:color w:val="0D0D0D" w:themeColor="text1" w:themeTint="F2"/>
                <w:spacing w:val="-5"/>
              </w:rPr>
              <w:footnoteReference w:id="15"/>
            </w:r>
            <w:r>
              <w:rPr>
                <w:color w:val="0D0D0D" w:themeColor="text1" w:themeTint="F2"/>
                <w:spacing w:val="-5"/>
              </w:rPr>
              <w:t>, ale i díky příznivým klimatickým podmínkám</w:t>
            </w:r>
            <w:r>
              <w:rPr>
                <w:rStyle w:val="Znakapoznpodarou"/>
                <w:color w:val="0D0D0D" w:themeColor="text1" w:themeTint="F2"/>
                <w:spacing w:val="-5"/>
              </w:rPr>
              <w:footnoteReference w:id="16"/>
            </w:r>
            <w:r>
              <w:rPr>
                <w:color w:val="0D0D0D" w:themeColor="text1" w:themeTint="F2"/>
                <w:spacing w:val="-5"/>
              </w:rPr>
              <w:t xml:space="preserve">. Po dočasném oživení v letech 2021 i 2022 se loni propadla o celou šestinu produkce ve vysoce energeticky náročném odvětví těžby a dobývání. K tomu přispěl zejména řízený dlouhodobý útlum stále méně rentabilní těžby uhlí, přerušený jen mírným růstem v roce 2022. Loni se naopak prohloubil pokles výkonu v těžbě </w:t>
            </w:r>
            <w:r>
              <w:rPr>
                <w:color w:val="0D0D0D" w:themeColor="text1" w:themeTint="F2"/>
                <w:spacing w:val="-4"/>
              </w:rPr>
              <w:t xml:space="preserve">stavebních materiálů (na −16,4 %), ten se přitom před nástupem energetické krize slibně rozvíjel. </w:t>
            </w:r>
          </w:p>
        </w:tc>
      </w:tr>
      <w:tr w:rsidR="00BA5125" w:rsidRPr="00705C3E" w14:paraId="02C1A53A" w14:textId="77777777" w:rsidTr="00BA5125">
        <w:trPr>
          <w:trHeight w:val="134"/>
        </w:trPr>
        <w:tc>
          <w:tcPr>
            <w:tcW w:w="1814" w:type="dxa"/>
            <w:vMerge w:val="restart"/>
            <w:tcBorders>
              <w:top w:val="nil"/>
              <w:left w:val="nil"/>
              <w:bottom w:val="nil"/>
              <w:right w:val="nil"/>
            </w:tcBorders>
            <w:shd w:val="clear" w:color="auto" w:fill="auto"/>
            <w:tcMar>
              <w:left w:w="0" w:type="dxa"/>
            </w:tcMar>
          </w:tcPr>
          <w:p w14:paraId="253D6D06" w14:textId="77777777" w:rsidR="00BA5125" w:rsidRDefault="00BA5125" w:rsidP="00BA5125">
            <w:pPr>
              <w:pStyle w:val="Marginlie"/>
            </w:pPr>
          </w:p>
        </w:tc>
        <w:tc>
          <w:tcPr>
            <w:tcW w:w="229" w:type="dxa"/>
            <w:vMerge w:val="restart"/>
            <w:tcBorders>
              <w:top w:val="nil"/>
              <w:left w:val="nil"/>
              <w:bottom w:val="nil"/>
              <w:right w:val="nil"/>
            </w:tcBorders>
            <w:shd w:val="clear" w:color="auto" w:fill="auto"/>
            <w:tcMar>
              <w:left w:w="0" w:type="dxa"/>
            </w:tcMar>
          </w:tcPr>
          <w:p w14:paraId="408C3BF2"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5EE498AA" w14:textId="77777777" w:rsidR="00BA5125" w:rsidRPr="00705C3E" w:rsidRDefault="00BA5125" w:rsidP="00BA5125">
            <w:pPr>
              <w:spacing w:after="0"/>
              <w:rPr>
                <w:color w:val="0D0D0D" w:themeColor="text1" w:themeTint="F2"/>
                <w:spacing w:val="-5"/>
              </w:rPr>
            </w:pPr>
            <w:r w:rsidRPr="00760356">
              <w:rPr>
                <w:b/>
                <w:spacing w:val="-2"/>
              </w:rPr>
              <w:t>Graf č. 5</w:t>
            </w:r>
            <w:r>
              <w:rPr>
                <w:b/>
                <w:spacing w:val="-2"/>
              </w:rPr>
              <w:t xml:space="preserve">  Nové zakázky v </w:t>
            </w:r>
            <w:r w:rsidRPr="00760356">
              <w:rPr>
                <w:b/>
                <w:spacing w:val="-2"/>
              </w:rPr>
              <w:t xml:space="preserve">průmyslu </w:t>
            </w:r>
            <w:r w:rsidRPr="00760356">
              <w:rPr>
                <w:bCs/>
                <w:spacing w:val="-2"/>
              </w:rPr>
              <w:t>(</w:t>
            </w:r>
            <w:r>
              <w:rPr>
                <w:bCs/>
                <w:spacing w:val="-2"/>
              </w:rPr>
              <w:t>nominálně</w:t>
            </w:r>
            <w:r w:rsidRPr="00760356">
              <w:rPr>
                <w:bCs/>
                <w:spacing w:val="-2"/>
              </w:rPr>
              <w:t xml:space="preserve">, </w:t>
            </w:r>
            <w:r w:rsidRPr="00760356">
              <w:rPr>
                <w:spacing w:val="-2"/>
              </w:rPr>
              <w:t>meziročně</w:t>
            </w:r>
            <w:r>
              <w:rPr>
                <w:spacing w:val="-2"/>
              </w:rPr>
              <w:t>,</w:t>
            </w:r>
            <w:r w:rsidRPr="00760356">
              <w:rPr>
                <w:bCs/>
                <w:spacing w:val="-2"/>
              </w:rPr>
              <w:t xml:space="preserve"> v %)</w:t>
            </w:r>
            <w:r>
              <w:rPr>
                <w:b/>
                <w:spacing w:val="-2"/>
              </w:rPr>
              <w:t xml:space="preserve">, </w:t>
            </w:r>
            <w:r w:rsidRPr="00760356">
              <w:rPr>
                <w:b/>
                <w:spacing w:val="-2"/>
              </w:rPr>
              <w:t>využi</w:t>
            </w:r>
            <w:r>
              <w:rPr>
                <w:b/>
                <w:spacing w:val="-2"/>
              </w:rPr>
              <w:t xml:space="preserve">tí výrobních kapacit v průmyslu, </w:t>
            </w:r>
            <w:r w:rsidRPr="00760356">
              <w:rPr>
                <w:b/>
                <w:spacing w:val="-2"/>
              </w:rPr>
              <w:t>vybrané bariéry růst</w:t>
            </w:r>
            <w:r w:rsidRPr="006E759E">
              <w:rPr>
                <w:b/>
                <w:spacing w:val="-2"/>
              </w:rPr>
              <w:t>u</w:t>
            </w:r>
            <w:r w:rsidRPr="006E759E">
              <w:rPr>
                <w:spacing w:val="-2"/>
              </w:rPr>
              <w:t xml:space="preserve">* (v %, pravá osa) </w:t>
            </w:r>
            <w:r w:rsidRPr="006E759E">
              <w:rPr>
                <w:b/>
                <w:spacing w:val="-2"/>
              </w:rPr>
              <w:t>a </w:t>
            </w:r>
            <w:r>
              <w:rPr>
                <w:b/>
              </w:rPr>
              <w:t>saldo</w:t>
            </w:r>
            <w:r w:rsidRPr="006E759E">
              <w:rPr>
                <w:b/>
              </w:rPr>
              <w:t xml:space="preserve"> důvěry</w:t>
            </w:r>
            <w:r w:rsidRPr="00883202">
              <w:rPr>
                <w:b/>
              </w:rPr>
              <w:t xml:space="preserve"> </w:t>
            </w:r>
            <w:r>
              <w:rPr>
                <w:b/>
              </w:rPr>
              <w:t xml:space="preserve">podnikatelů </w:t>
            </w:r>
            <w:r w:rsidRPr="00883202">
              <w:rPr>
                <w:b/>
              </w:rPr>
              <w:t xml:space="preserve">v průmyslu* </w:t>
            </w:r>
            <w:r>
              <w:t xml:space="preserve">(v p. b., pravá </w:t>
            </w:r>
            <w:r w:rsidRPr="00883202">
              <w:t>osa)</w:t>
            </w:r>
          </w:p>
        </w:tc>
      </w:tr>
      <w:tr w:rsidR="00BA5125" w:rsidRPr="00705C3E" w14:paraId="3574061A" w14:textId="77777777" w:rsidTr="00BA5125">
        <w:tblPrEx>
          <w:tblCellMar>
            <w:left w:w="70" w:type="dxa"/>
            <w:right w:w="70" w:type="dxa"/>
          </w:tblCellMar>
        </w:tblPrEx>
        <w:trPr>
          <w:trHeight w:val="133"/>
        </w:trPr>
        <w:tc>
          <w:tcPr>
            <w:tcW w:w="1814" w:type="dxa"/>
            <w:vMerge/>
            <w:tcBorders>
              <w:top w:val="nil"/>
              <w:left w:val="nil"/>
              <w:bottom w:val="nil"/>
              <w:right w:val="nil"/>
            </w:tcBorders>
            <w:shd w:val="clear" w:color="auto" w:fill="auto"/>
          </w:tcPr>
          <w:p w14:paraId="59EC5206" w14:textId="77777777" w:rsidR="00BA5125" w:rsidRDefault="00BA5125" w:rsidP="00BA5125">
            <w:pPr>
              <w:pStyle w:val="Marginlie"/>
            </w:pPr>
          </w:p>
        </w:tc>
        <w:tc>
          <w:tcPr>
            <w:tcW w:w="229" w:type="dxa"/>
            <w:vMerge/>
            <w:tcBorders>
              <w:top w:val="nil"/>
              <w:left w:val="nil"/>
              <w:bottom w:val="nil"/>
              <w:right w:val="nil"/>
            </w:tcBorders>
            <w:shd w:val="clear" w:color="auto" w:fill="auto"/>
          </w:tcPr>
          <w:p w14:paraId="5A13939C"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Pr>
          <w:p w14:paraId="3C12B9F0" w14:textId="77777777" w:rsidR="00BA5125" w:rsidRPr="00705C3E" w:rsidRDefault="00BA5125" w:rsidP="00BA5125">
            <w:pPr>
              <w:spacing w:after="0"/>
              <w:rPr>
                <w:color w:val="0D0D0D" w:themeColor="text1" w:themeTint="F2"/>
                <w:spacing w:val="-5"/>
              </w:rPr>
            </w:pPr>
            <w:r>
              <w:rPr>
                <w:noProof/>
              </w:rPr>
              <w:drawing>
                <wp:inline distT="0" distB="0" distL="0" distR="0" wp14:anchorId="29BF4CB1" wp14:editId="2AEDF3F9">
                  <wp:extent cx="4679332" cy="3636780"/>
                  <wp:effectExtent l="0" t="0" r="6985" b="1905"/>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BA5125" w:rsidRPr="00705C3E" w14:paraId="657AE2C8" w14:textId="77777777" w:rsidTr="00BA5125">
        <w:trPr>
          <w:trHeight w:val="133"/>
        </w:trPr>
        <w:tc>
          <w:tcPr>
            <w:tcW w:w="1814" w:type="dxa"/>
            <w:vMerge/>
            <w:tcBorders>
              <w:top w:val="nil"/>
              <w:left w:val="nil"/>
              <w:bottom w:val="nil"/>
              <w:right w:val="nil"/>
            </w:tcBorders>
            <w:shd w:val="clear" w:color="auto" w:fill="auto"/>
            <w:tcMar>
              <w:left w:w="0" w:type="dxa"/>
            </w:tcMar>
          </w:tcPr>
          <w:p w14:paraId="3F1AEC16" w14:textId="77777777" w:rsidR="00BA5125" w:rsidRDefault="00BA5125" w:rsidP="00BA5125">
            <w:pPr>
              <w:pStyle w:val="Marginlie"/>
            </w:pPr>
          </w:p>
        </w:tc>
        <w:tc>
          <w:tcPr>
            <w:tcW w:w="229" w:type="dxa"/>
            <w:vMerge/>
            <w:tcBorders>
              <w:top w:val="nil"/>
              <w:left w:val="nil"/>
              <w:bottom w:val="nil"/>
              <w:right w:val="nil"/>
            </w:tcBorders>
            <w:shd w:val="clear" w:color="auto" w:fill="auto"/>
            <w:tcMar>
              <w:left w:w="0" w:type="dxa"/>
            </w:tcMar>
          </w:tcPr>
          <w:p w14:paraId="06DFDD44"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553821F0" w14:textId="77777777" w:rsidR="00BA5125" w:rsidRPr="00705C3E" w:rsidRDefault="00BA5125" w:rsidP="00BA5125">
            <w:pPr>
              <w:spacing w:after="200" w:line="240" w:lineRule="auto"/>
              <w:rPr>
                <w:color w:val="0D0D0D" w:themeColor="text1" w:themeTint="F2"/>
                <w:spacing w:val="-5"/>
              </w:rPr>
            </w:pPr>
            <w:r w:rsidRPr="008B3FE9">
              <w:rPr>
                <w:color w:val="0D0D0D" w:themeColor="text1" w:themeTint="F2"/>
                <w:spacing w:val="-5"/>
                <w:sz w:val="14"/>
                <w:szCs w:val="14"/>
              </w:rPr>
              <w:t>*</w:t>
            </w:r>
            <w:r w:rsidRPr="008B3FE9">
              <w:rPr>
                <w:rFonts w:cs="Arial"/>
                <w:sz w:val="14"/>
                <w:szCs w:val="14"/>
              </w:rPr>
              <w:t>Vyu</w:t>
            </w:r>
            <w:r w:rsidRPr="00883202">
              <w:rPr>
                <w:rFonts w:cs="Arial"/>
                <w:sz w:val="14"/>
                <w:szCs w:val="14"/>
              </w:rPr>
              <w:t>žití průmys</w:t>
            </w:r>
            <w:r>
              <w:rPr>
                <w:rFonts w:cs="Arial"/>
                <w:sz w:val="14"/>
                <w:szCs w:val="14"/>
              </w:rPr>
              <w:t xml:space="preserve">lových kapacit i bariéry růstu vyjadřují stav v prvním měsíci daného čtvrtletí, </w:t>
            </w:r>
            <w:r w:rsidRPr="006E759E">
              <w:rPr>
                <w:rFonts w:cs="Arial"/>
                <w:sz w:val="14"/>
                <w:szCs w:val="14"/>
              </w:rPr>
              <w:t>saldo důvěry</w:t>
            </w:r>
            <w:r>
              <w:rPr>
                <w:rFonts w:cs="Arial"/>
                <w:sz w:val="14"/>
                <w:szCs w:val="14"/>
              </w:rPr>
              <w:t xml:space="preserve"> podnikatelů je vztaženo k</w:t>
            </w:r>
            <w:r w:rsidRPr="00883202">
              <w:rPr>
                <w:rFonts w:cs="Arial"/>
                <w:sz w:val="14"/>
                <w:szCs w:val="14"/>
              </w:rPr>
              <w:t xml:space="preserve">e </w:t>
            </w:r>
            <w:r>
              <w:rPr>
                <w:rFonts w:cs="Arial"/>
                <w:sz w:val="14"/>
                <w:szCs w:val="14"/>
              </w:rPr>
              <w:t xml:space="preserve">druhému měsíci čtvrtletí. Zakázky jsou očištěny o kalendářní vlivy, ostatní ukazatele jsou </w:t>
            </w:r>
            <w:r w:rsidRPr="00883202">
              <w:rPr>
                <w:rFonts w:cs="Arial"/>
                <w:spacing w:val="-2"/>
                <w:sz w:val="14"/>
                <w:szCs w:val="14"/>
              </w:rPr>
              <w:t>sezónně očištěny</w:t>
            </w:r>
            <w:r>
              <w:rPr>
                <w:rFonts w:cs="Arial"/>
                <w:spacing w:val="-2"/>
                <w:sz w:val="14"/>
                <w:szCs w:val="14"/>
              </w:rPr>
              <w:t>.</w:t>
            </w:r>
            <w:r w:rsidRPr="00883202">
              <w:rPr>
                <w:rFonts w:cs="Arial"/>
                <w:spacing w:val="-2"/>
                <w:sz w:val="14"/>
                <w:szCs w:val="14"/>
              </w:rPr>
              <w:t xml:space="preserve"> </w:t>
            </w:r>
            <w:r>
              <w:rPr>
                <w:rFonts w:cs="Arial"/>
                <w:sz w:val="14"/>
                <w:szCs w:val="14"/>
              </w:rPr>
              <w:t xml:space="preserve">Podniky mohly uvést více hlavních růstových bariér současně.                                                                   </w:t>
            </w:r>
            <w:r w:rsidRPr="00883202">
              <w:rPr>
                <w:rFonts w:cs="Arial"/>
                <w:sz w:val="14"/>
                <w:szCs w:val="14"/>
              </w:rPr>
              <w:t>Zdroj: ČSÚ</w:t>
            </w:r>
            <w:r>
              <w:rPr>
                <w:rFonts w:cs="Arial"/>
                <w:sz w:val="14"/>
                <w:szCs w:val="14"/>
              </w:rPr>
              <w:t>, Eurostat</w:t>
            </w:r>
          </w:p>
        </w:tc>
      </w:tr>
      <w:tr w:rsidR="00BA5125" w:rsidRPr="005A37A7" w14:paraId="6D10388C" w14:textId="77777777" w:rsidTr="00BA5125">
        <w:trPr>
          <w:trHeight w:val="170"/>
        </w:trPr>
        <w:tc>
          <w:tcPr>
            <w:tcW w:w="1814" w:type="dxa"/>
            <w:tcBorders>
              <w:top w:val="nil"/>
              <w:left w:val="nil"/>
              <w:bottom w:val="nil"/>
              <w:right w:val="nil"/>
            </w:tcBorders>
            <w:shd w:val="clear" w:color="auto" w:fill="auto"/>
            <w:tcMar>
              <w:left w:w="0" w:type="dxa"/>
            </w:tcMar>
          </w:tcPr>
          <w:p w14:paraId="365AF064" w14:textId="77777777" w:rsidR="00BA5125" w:rsidRDefault="00BA5125" w:rsidP="00BA5125">
            <w:pPr>
              <w:pStyle w:val="Marginlie"/>
              <w:rPr>
                <w:color w:val="0D0D0D" w:themeColor="text1" w:themeTint="F2"/>
              </w:rPr>
            </w:pPr>
            <w:r>
              <w:rPr>
                <w:color w:val="0D0D0D" w:themeColor="text1" w:themeTint="F2"/>
              </w:rPr>
              <w:t>Hodnota nových průmyslových zakázek se po většinu loňského roku mírně snižovala.</w:t>
            </w:r>
          </w:p>
          <w:p w14:paraId="59C50F15" w14:textId="77777777" w:rsidR="00BA5125" w:rsidRDefault="00BA5125" w:rsidP="00BA5125">
            <w:pPr>
              <w:pStyle w:val="Marginlie"/>
              <w:rPr>
                <w:color w:val="0D0D0D" w:themeColor="text1" w:themeTint="F2"/>
                <w:sz w:val="20"/>
                <w:szCs w:val="20"/>
              </w:rPr>
            </w:pPr>
          </w:p>
          <w:p w14:paraId="77E081E6" w14:textId="77777777" w:rsidR="00BA5125" w:rsidRPr="0014753A" w:rsidRDefault="00BA5125" w:rsidP="00BA5125">
            <w:pPr>
              <w:pStyle w:val="Marginlie"/>
              <w:rPr>
                <w:color w:val="0D0D0D" w:themeColor="text1" w:themeTint="F2"/>
                <w:sz w:val="20"/>
                <w:szCs w:val="20"/>
              </w:rPr>
            </w:pPr>
          </w:p>
          <w:p w14:paraId="7AE45C9F" w14:textId="77777777" w:rsidR="00BA5125" w:rsidRPr="000067CC" w:rsidRDefault="00BA5125" w:rsidP="00BA5125">
            <w:pPr>
              <w:pStyle w:val="Marginlie"/>
              <w:rPr>
                <w:color w:val="0D0D0D" w:themeColor="text1" w:themeTint="F2"/>
                <w:sz w:val="20"/>
                <w:szCs w:val="20"/>
              </w:rPr>
            </w:pPr>
            <w:r>
              <w:rPr>
                <w:color w:val="0D0D0D" w:themeColor="text1" w:themeTint="F2"/>
                <w:spacing w:val="-5"/>
              </w:rPr>
              <w:lastRenderedPageBreak/>
              <w:t>Nepříznivé vyhlídky se stále týkaly energeticky náročných oborů.</w:t>
            </w:r>
            <w:r>
              <w:rPr>
                <w:color w:val="0D0D0D" w:themeColor="text1" w:themeTint="F2"/>
                <w:sz w:val="20"/>
                <w:szCs w:val="20"/>
              </w:rPr>
              <w:t xml:space="preserve"> </w:t>
            </w:r>
            <w:r>
              <w:rPr>
                <w:color w:val="0D0D0D" w:themeColor="text1" w:themeTint="F2"/>
              </w:rPr>
              <w:t>Mírný růst poptávky přetrvával ve výrobě motorových vozidel a elektrotechnice.</w:t>
            </w:r>
          </w:p>
        </w:tc>
        <w:tc>
          <w:tcPr>
            <w:tcW w:w="229" w:type="dxa"/>
            <w:tcBorders>
              <w:top w:val="nil"/>
              <w:left w:val="nil"/>
              <w:bottom w:val="nil"/>
              <w:right w:val="nil"/>
            </w:tcBorders>
            <w:shd w:val="clear" w:color="auto" w:fill="auto"/>
            <w:tcMar>
              <w:left w:w="0" w:type="dxa"/>
            </w:tcMar>
          </w:tcPr>
          <w:p w14:paraId="25C23A92" w14:textId="77777777" w:rsidR="00BA5125" w:rsidRPr="00B51DC6"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274DC1CA" w14:textId="77777777" w:rsidR="00BA5125" w:rsidRPr="000067CC" w:rsidRDefault="00BA5125" w:rsidP="00BA5125">
            <w:pPr>
              <w:spacing w:after="200"/>
              <w:rPr>
                <w:color w:val="0D0D0D" w:themeColor="text1" w:themeTint="F2"/>
                <w:spacing w:val="-5"/>
              </w:rPr>
            </w:pPr>
            <w:r w:rsidRPr="003C78DE">
              <w:rPr>
                <w:color w:val="0D0D0D" w:themeColor="text1" w:themeTint="F2"/>
                <w:spacing w:val="-5"/>
              </w:rPr>
              <w:t xml:space="preserve">Dynamika nových průmyslových zakázek potvrzovala </w:t>
            </w:r>
            <w:r>
              <w:rPr>
                <w:color w:val="0D0D0D" w:themeColor="text1" w:themeTint="F2"/>
                <w:spacing w:val="-5"/>
              </w:rPr>
              <w:t xml:space="preserve">přetrvávající slabou poptávku. Nominální hodnota zakázek </w:t>
            </w:r>
            <w:r w:rsidRPr="00D97905">
              <w:rPr>
                <w:color w:val="0D0D0D" w:themeColor="text1" w:themeTint="F2"/>
                <w:spacing w:val="-5"/>
              </w:rPr>
              <w:t xml:space="preserve">ve sledovaných </w:t>
            </w:r>
            <w:r>
              <w:rPr>
                <w:color w:val="0D0D0D" w:themeColor="text1" w:themeTint="F2"/>
                <w:spacing w:val="-5"/>
              </w:rPr>
              <w:t>průmyslových oborech</w:t>
            </w:r>
            <w:r w:rsidRPr="00030362">
              <w:rPr>
                <w:rStyle w:val="Znakapoznpodarou"/>
                <w:color w:val="0D0D0D" w:themeColor="text1" w:themeTint="F2"/>
                <w:spacing w:val="-5"/>
              </w:rPr>
              <w:footnoteReference w:id="17"/>
            </w:r>
            <w:r>
              <w:rPr>
                <w:color w:val="0D0D0D" w:themeColor="text1" w:themeTint="F2"/>
                <w:spacing w:val="-5"/>
              </w:rPr>
              <w:t xml:space="preserve"> klesala po většinu loňského roku a v jeho úhrnu se meziročně snížila o 1,3 %. Druhým rokem v řadě naznačovaly méně příznivý vývoj zahraniční zakázky (oproti tuzemským). Ve 4. čtvrtletí 2023 sice celkové zakázky klesly jen o 1,0 %, nižší poptávku ovšem signalizovala většina </w:t>
            </w:r>
            <w:r>
              <w:rPr>
                <w:color w:val="0D0D0D" w:themeColor="text1" w:themeTint="F2"/>
                <w:spacing w:val="-5"/>
              </w:rPr>
              <w:lastRenderedPageBreak/>
              <w:t>oborů – nejvíce hutnictví (</w:t>
            </w:r>
            <w:r>
              <w:rPr>
                <w:color w:val="0D0D0D" w:themeColor="text1" w:themeTint="F2"/>
                <w:spacing w:val="-2"/>
              </w:rPr>
              <w:t>−</w:t>
            </w:r>
            <w:r>
              <w:rPr>
                <w:color w:val="0D0D0D" w:themeColor="text1" w:themeTint="F2"/>
                <w:spacing w:val="-5"/>
              </w:rPr>
              <w:t>21 %) a chemický průmysl (</w:t>
            </w:r>
            <w:r>
              <w:rPr>
                <w:color w:val="0D0D0D" w:themeColor="text1" w:themeTint="F2"/>
                <w:spacing w:val="-2"/>
              </w:rPr>
              <w:t>−</w:t>
            </w:r>
            <w:r>
              <w:rPr>
                <w:color w:val="0D0D0D" w:themeColor="text1" w:themeTint="F2"/>
                <w:spacing w:val="-5"/>
              </w:rPr>
              <w:t>18 %), ale také elektronický průmysl (</w:t>
            </w:r>
            <w:r>
              <w:rPr>
                <w:color w:val="0D0D0D" w:themeColor="text1" w:themeTint="F2"/>
                <w:spacing w:val="-2"/>
              </w:rPr>
              <w:t>−</w:t>
            </w:r>
            <w:r>
              <w:rPr>
                <w:color w:val="0D0D0D" w:themeColor="text1" w:themeTint="F2"/>
                <w:spacing w:val="-5"/>
              </w:rPr>
              <w:t>12 %), který přitom patří k energeticky nejméně náročným průmyslovým oborům. Mírněji klesly zakázky ve strojírenství (</w:t>
            </w:r>
            <w:r>
              <w:rPr>
                <w:color w:val="0D0D0D" w:themeColor="text1" w:themeTint="F2"/>
                <w:spacing w:val="-2"/>
              </w:rPr>
              <w:t>−</w:t>
            </w:r>
            <w:r>
              <w:rPr>
                <w:color w:val="0D0D0D" w:themeColor="text1" w:themeTint="F2"/>
                <w:spacing w:val="-5"/>
              </w:rPr>
              <w:t>5 %) a kovodělném průmyslu (</w:t>
            </w:r>
            <w:r>
              <w:rPr>
                <w:color w:val="0D0D0D" w:themeColor="text1" w:themeTint="F2"/>
                <w:spacing w:val="-2"/>
              </w:rPr>
              <w:t>−</w:t>
            </w:r>
            <w:r>
              <w:rPr>
                <w:color w:val="0D0D0D" w:themeColor="text1" w:themeTint="F2"/>
                <w:spacing w:val="-5"/>
              </w:rPr>
              <w:t>2 %). Ve výrobě motorových vozidel rostly zakázky po celý rok, ve 4. čtvrtletí o 9 % (zvyšovala se poptávka z tuzemska i zahraničí). Mírný růst celkové poptávky se týkal i výroby elektrických zařízení, z malých oborů pak oděvnictví.</w:t>
            </w:r>
          </w:p>
        </w:tc>
      </w:tr>
      <w:tr w:rsidR="00BA5125" w:rsidRPr="005A37A7" w14:paraId="602E8055" w14:textId="77777777" w:rsidTr="00BA5125">
        <w:trPr>
          <w:trHeight w:val="170"/>
        </w:trPr>
        <w:tc>
          <w:tcPr>
            <w:tcW w:w="1814" w:type="dxa"/>
            <w:tcBorders>
              <w:top w:val="nil"/>
              <w:left w:val="nil"/>
              <w:bottom w:val="nil"/>
              <w:right w:val="nil"/>
            </w:tcBorders>
            <w:shd w:val="clear" w:color="auto" w:fill="auto"/>
            <w:tcMar>
              <w:left w:w="0" w:type="dxa"/>
            </w:tcMar>
          </w:tcPr>
          <w:p w14:paraId="22564EB8" w14:textId="77777777" w:rsidR="00BA5125" w:rsidRDefault="00BA5125" w:rsidP="00BA5125">
            <w:pPr>
              <w:pStyle w:val="Marginlie"/>
              <w:rPr>
                <w:color w:val="0D0D0D" w:themeColor="text1" w:themeTint="F2"/>
                <w:spacing w:val="-4"/>
              </w:rPr>
            </w:pPr>
            <w:r>
              <w:rPr>
                <w:color w:val="0D0D0D" w:themeColor="text1" w:themeTint="F2"/>
                <w:spacing w:val="-4"/>
              </w:rPr>
              <w:lastRenderedPageBreak/>
              <w:t>Důvěra podnikatelů v průmyslu setrvávala po celý rok 2023 v mírně negativním pásmu. Na počátku letošního roku se zhoršila.</w:t>
            </w:r>
          </w:p>
          <w:p w14:paraId="6416A60F" w14:textId="77777777" w:rsidR="00BA5125" w:rsidRDefault="00BA5125" w:rsidP="00BA5125">
            <w:pPr>
              <w:pStyle w:val="Marginlie"/>
              <w:rPr>
                <w:color w:val="0D0D0D" w:themeColor="text1" w:themeTint="F2"/>
                <w:spacing w:val="-4"/>
              </w:rPr>
            </w:pPr>
          </w:p>
          <w:p w14:paraId="53ED76A6" w14:textId="77777777" w:rsidR="00BA5125" w:rsidRDefault="00BA5125" w:rsidP="00BA5125">
            <w:pPr>
              <w:pStyle w:val="Marginlie"/>
              <w:rPr>
                <w:color w:val="0D0D0D" w:themeColor="text1" w:themeTint="F2"/>
                <w:spacing w:val="-4"/>
              </w:rPr>
            </w:pPr>
          </w:p>
          <w:p w14:paraId="57ED990B" w14:textId="77777777" w:rsidR="00BA5125" w:rsidRDefault="00BA5125" w:rsidP="00BA5125">
            <w:pPr>
              <w:pStyle w:val="Marginlie"/>
              <w:rPr>
                <w:color w:val="0D0D0D" w:themeColor="text1" w:themeTint="F2"/>
                <w:spacing w:val="-4"/>
              </w:rPr>
            </w:pPr>
          </w:p>
          <w:p w14:paraId="51151390" w14:textId="77777777" w:rsidR="00BA5125" w:rsidRDefault="00BA5125" w:rsidP="00BA5125">
            <w:pPr>
              <w:pStyle w:val="Marginlie"/>
              <w:rPr>
                <w:color w:val="0D0D0D" w:themeColor="text1" w:themeTint="F2"/>
                <w:spacing w:val="-4"/>
              </w:rPr>
            </w:pPr>
            <w:r>
              <w:rPr>
                <w:color w:val="0D0D0D" w:themeColor="text1" w:themeTint="F2"/>
                <w:spacing w:val="-4"/>
              </w:rPr>
              <w:t xml:space="preserve">Aktuální hodnocení současné poptávky je nejhorší za poslední tři </w:t>
            </w:r>
            <w:r>
              <w:rPr>
                <w:color w:val="0D0D0D" w:themeColor="text1" w:themeTint="F2"/>
                <w:spacing w:val="-4"/>
              </w:rPr>
              <w:br/>
              <w:t>a půl roku.</w:t>
            </w:r>
          </w:p>
        </w:tc>
        <w:tc>
          <w:tcPr>
            <w:tcW w:w="229" w:type="dxa"/>
            <w:tcBorders>
              <w:top w:val="nil"/>
              <w:left w:val="nil"/>
              <w:bottom w:val="nil"/>
              <w:right w:val="nil"/>
            </w:tcBorders>
            <w:shd w:val="clear" w:color="auto" w:fill="auto"/>
            <w:tcMar>
              <w:left w:w="0" w:type="dxa"/>
            </w:tcMar>
          </w:tcPr>
          <w:p w14:paraId="309C499D" w14:textId="77777777" w:rsidR="00BA5125" w:rsidRPr="004B53F7"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76C0DEC1" w14:textId="77777777" w:rsidR="00BA5125" w:rsidRPr="00AE4366" w:rsidRDefault="00BA5125" w:rsidP="00BA5125">
            <w:pPr>
              <w:spacing w:after="200"/>
              <w:rPr>
                <w:color w:val="0D0D0D" w:themeColor="text1" w:themeTint="F2"/>
                <w:spacing w:val="-3"/>
              </w:rPr>
            </w:pPr>
            <w:r w:rsidRPr="00305A06">
              <w:rPr>
                <w:color w:val="0D0D0D" w:themeColor="text1" w:themeTint="F2"/>
                <w:spacing w:val="-3"/>
              </w:rPr>
              <w:t>Důvěra podnikatelů v průmyslu zůstávala po celý loňský rok v</w:t>
            </w:r>
            <w:r>
              <w:rPr>
                <w:color w:val="0D0D0D" w:themeColor="text1" w:themeTint="F2"/>
                <w:spacing w:val="-3"/>
              </w:rPr>
              <w:t xml:space="preserve"> mírně </w:t>
            </w:r>
            <w:r w:rsidRPr="00305A06">
              <w:rPr>
                <w:color w:val="0D0D0D" w:themeColor="text1" w:themeTint="F2"/>
                <w:spacing w:val="-3"/>
              </w:rPr>
              <w:t xml:space="preserve">negativním </w:t>
            </w:r>
            <w:r>
              <w:rPr>
                <w:color w:val="0D0D0D" w:themeColor="text1" w:themeTint="F2"/>
                <w:spacing w:val="-3"/>
              </w:rPr>
              <w:t>pásmu. Zejména v 1. pololetí 2023 se</w:t>
            </w:r>
            <w:r w:rsidRPr="00305A06">
              <w:rPr>
                <w:color w:val="0D0D0D" w:themeColor="text1" w:themeTint="F2"/>
                <w:spacing w:val="-3"/>
              </w:rPr>
              <w:t xml:space="preserve"> </w:t>
            </w:r>
            <w:r>
              <w:rPr>
                <w:color w:val="0D0D0D" w:themeColor="text1" w:themeTint="F2"/>
                <w:spacing w:val="-3"/>
              </w:rPr>
              <w:t xml:space="preserve">snižovala </w:t>
            </w:r>
            <w:r w:rsidRPr="00305A06">
              <w:rPr>
                <w:color w:val="0D0D0D" w:themeColor="text1" w:themeTint="F2"/>
                <w:spacing w:val="-3"/>
              </w:rPr>
              <w:t>vlivem zhoršujících se hospodářských výhledů v klíčových expo</w:t>
            </w:r>
            <w:r>
              <w:rPr>
                <w:color w:val="0D0D0D" w:themeColor="text1" w:themeTint="F2"/>
                <w:spacing w:val="-3"/>
              </w:rPr>
              <w:t xml:space="preserve">rtních destinacích. </w:t>
            </w:r>
            <w:r w:rsidRPr="00305A06">
              <w:rPr>
                <w:color w:val="0D0D0D" w:themeColor="text1" w:themeTint="F2"/>
                <w:spacing w:val="-3"/>
              </w:rPr>
              <w:t>V</w:t>
            </w:r>
            <w:r>
              <w:rPr>
                <w:color w:val="0D0D0D" w:themeColor="text1" w:themeTint="F2"/>
                <w:spacing w:val="-3"/>
              </w:rPr>
              <w:t> září dosáhla tříletého minima. Příznivější vývoj, podpořený posílením optimismu výrobců motorových vozidel patrným ve 4. čtvrtletí, skončil s nástupem letošního roku. Aktuálně narůstající pesimismus souvisí se zhoršeným hodnocením u poptávky (zejména zahraniční), krátkodobých očekávání vlastní výroby, hospodářské situace podniku i mírným růstem zásob hotových výrobků. Již skoro polovina podniků (nejvíce za posledních tři a půl roku) uvedla letos v únoru nedostatečnou poptávku jako jednu z bariér růstu</w:t>
            </w:r>
            <w:r w:rsidRPr="005A37A7">
              <w:rPr>
                <w:rStyle w:val="Znakapoznpodarou"/>
                <w:color w:val="0D0D0D" w:themeColor="text1" w:themeTint="F2"/>
                <w:spacing w:val="-3"/>
              </w:rPr>
              <w:footnoteReference w:id="18"/>
            </w:r>
            <w:r>
              <w:rPr>
                <w:color w:val="0D0D0D" w:themeColor="text1" w:themeTint="F2"/>
                <w:spacing w:val="-3"/>
              </w:rPr>
              <w:t>. Naopak nedostatek pracovníků limitoval méně než 15 % podniků</w:t>
            </w:r>
            <w:r>
              <w:rPr>
                <w:rStyle w:val="Znakapoznpodarou"/>
                <w:color w:val="0D0D0D" w:themeColor="text1" w:themeTint="F2"/>
                <w:spacing w:val="-3"/>
              </w:rPr>
              <w:footnoteReference w:id="19"/>
            </w:r>
            <w:r>
              <w:rPr>
                <w:color w:val="0D0D0D" w:themeColor="text1" w:themeTint="F2"/>
                <w:spacing w:val="-3"/>
              </w:rPr>
              <w:t>. Po příznivém vývoji ve 2. pololetí 2023 se nedostupnost materiálu a zařízení stává aktuálně opět palčivějším problémem, jenž limituje skoro třetinu podniků</w:t>
            </w:r>
            <w:r>
              <w:rPr>
                <w:rStyle w:val="Znakapoznpodarou"/>
                <w:color w:val="0D0D0D" w:themeColor="text1" w:themeTint="F2"/>
                <w:spacing w:val="-3"/>
              </w:rPr>
              <w:footnoteReference w:id="20"/>
            </w:r>
            <w:r>
              <w:rPr>
                <w:color w:val="0D0D0D" w:themeColor="text1" w:themeTint="F2"/>
                <w:spacing w:val="-3"/>
              </w:rPr>
              <w:t>, což je však stále méně než na počátku loňského roku.</w:t>
            </w:r>
          </w:p>
        </w:tc>
      </w:tr>
      <w:tr w:rsidR="00BA5125" w:rsidRPr="00784EC8" w14:paraId="3A608136" w14:textId="77777777" w:rsidTr="00BA5125">
        <w:trPr>
          <w:trHeight w:val="170"/>
        </w:trPr>
        <w:tc>
          <w:tcPr>
            <w:tcW w:w="1814" w:type="dxa"/>
            <w:tcBorders>
              <w:top w:val="nil"/>
              <w:left w:val="nil"/>
              <w:bottom w:val="nil"/>
              <w:right w:val="nil"/>
            </w:tcBorders>
            <w:shd w:val="clear" w:color="auto" w:fill="auto"/>
            <w:tcMar>
              <w:left w:w="0" w:type="dxa"/>
            </w:tcMar>
          </w:tcPr>
          <w:p w14:paraId="72FE1E35" w14:textId="77777777" w:rsidR="00BA5125" w:rsidRDefault="00BA5125" w:rsidP="00BA5125">
            <w:pPr>
              <w:pStyle w:val="Marginlie"/>
              <w:rPr>
                <w:color w:val="0D0D0D" w:themeColor="text1" w:themeTint="F2"/>
                <w:spacing w:val="-4"/>
              </w:rPr>
            </w:pPr>
            <w:r>
              <w:rPr>
                <w:color w:val="0D0D0D" w:themeColor="text1" w:themeTint="F2"/>
                <w:spacing w:val="-4"/>
              </w:rPr>
              <w:t xml:space="preserve">Výkon stavebnictví stále ovlivňovaly významné nákladové tlaky i slábnoucí soukromá investiční aktivita. </w:t>
            </w:r>
          </w:p>
        </w:tc>
        <w:tc>
          <w:tcPr>
            <w:tcW w:w="229" w:type="dxa"/>
            <w:tcBorders>
              <w:top w:val="nil"/>
              <w:left w:val="nil"/>
              <w:bottom w:val="nil"/>
              <w:right w:val="nil"/>
            </w:tcBorders>
            <w:shd w:val="clear" w:color="auto" w:fill="auto"/>
            <w:tcMar>
              <w:left w:w="0" w:type="dxa"/>
            </w:tcMar>
          </w:tcPr>
          <w:p w14:paraId="19D9D596" w14:textId="77777777" w:rsidR="00BA5125" w:rsidRPr="00784EC8"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54E3988F" w14:textId="77777777" w:rsidR="00BA5125" w:rsidRDefault="00BA5125" w:rsidP="00BA5125">
            <w:pPr>
              <w:spacing w:after="200"/>
              <w:rPr>
                <w:color w:val="0D0D0D" w:themeColor="text1" w:themeTint="F2"/>
                <w:spacing w:val="-6"/>
              </w:rPr>
            </w:pPr>
            <w:r>
              <w:rPr>
                <w:color w:val="0D0D0D" w:themeColor="text1" w:themeTint="F2"/>
                <w:spacing w:val="-6"/>
              </w:rPr>
              <w:t>Na s</w:t>
            </w:r>
            <w:r w:rsidRPr="0036189F">
              <w:rPr>
                <w:color w:val="0D0D0D" w:themeColor="text1" w:themeTint="F2"/>
                <w:spacing w:val="-6"/>
              </w:rPr>
              <w:t xml:space="preserve">tavebnictví </w:t>
            </w:r>
            <w:r>
              <w:rPr>
                <w:color w:val="0D0D0D" w:themeColor="text1" w:themeTint="F2"/>
                <w:spacing w:val="-6"/>
              </w:rPr>
              <w:t>loni působily</w:t>
            </w:r>
            <w:r w:rsidRPr="0036189F">
              <w:rPr>
                <w:color w:val="0D0D0D" w:themeColor="text1" w:themeTint="F2"/>
                <w:spacing w:val="-6"/>
              </w:rPr>
              <w:t xml:space="preserve"> </w:t>
            </w:r>
            <w:r>
              <w:rPr>
                <w:color w:val="0D0D0D" w:themeColor="text1" w:themeTint="F2"/>
                <w:spacing w:val="-6"/>
              </w:rPr>
              <w:t>přetrvávající nákladové tlaky i slabá investiční aktivita v soukromé sféře. Ačkoli meziroční růst cen stavebních materiálů zmírňoval (v září dokonce již ceny po více než třech letech nepatrně klesly), výraznějšímu poklesu realizovaných i očekávaných cen stavební výroby</w:t>
            </w:r>
            <w:r>
              <w:rPr>
                <w:rStyle w:val="Znakapoznpodarou"/>
                <w:color w:val="0D0D0D" w:themeColor="text1" w:themeTint="F2"/>
                <w:spacing w:val="-6"/>
              </w:rPr>
              <w:footnoteReference w:id="21"/>
            </w:r>
            <w:r>
              <w:rPr>
                <w:color w:val="0D0D0D" w:themeColor="text1" w:themeTint="F2"/>
                <w:spacing w:val="-6"/>
              </w:rPr>
              <w:t xml:space="preserve"> bránil svižný růst pracovních nákladů ovlivněný </w:t>
            </w:r>
            <w:r w:rsidRPr="000F6F33">
              <w:rPr>
                <w:color w:val="0D0D0D" w:themeColor="text1" w:themeTint="F2"/>
                <w:spacing w:val="-4"/>
              </w:rPr>
              <w:t xml:space="preserve">chronickým nedostatkem </w:t>
            </w:r>
            <w:r>
              <w:rPr>
                <w:color w:val="0D0D0D" w:themeColor="text1" w:themeTint="F2"/>
                <w:spacing w:val="-4"/>
              </w:rPr>
              <w:t xml:space="preserve">(zejména </w:t>
            </w:r>
            <w:r w:rsidRPr="000F6F33">
              <w:rPr>
                <w:color w:val="0D0D0D" w:themeColor="text1" w:themeTint="F2"/>
                <w:spacing w:val="-4"/>
              </w:rPr>
              <w:t>kvalifikované</w:t>
            </w:r>
            <w:r>
              <w:rPr>
                <w:color w:val="0D0D0D" w:themeColor="text1" w:themeTint="F2"/>
                <w:spacing w:val="-4"/>
              </w:rPr>
              <w:t>) pracovní síly</w:t>
            </w:r>
            <w:r w:rsidRPr="000F6F33">
              <w:rPr>
                <w:color w:val="0D0D0D" w:themeColor="text1" w:themeTint="F2"/>
                <w:spacing w:val="-4"/>
              </w:rPr>
              <w:t xml:space="preserve">. </w:t>
            </w:r>
            <w:r w:rsidRPr="000F6F33">
              <w:rPr>
                <w:rStyle w:val="normaltextrun"/>
                <w:rFonts w:eastAsia="MS Gothic" w:cs="Arial"/>
                <w:spacing w:val="-4"/>
                <w:szCs w:val="20"/>
              </w:rPr>
              <w:t>Zhoršená finanční situace domácností</w:t>
            </w:r>
            <w:r>
              <w:rPr>
                <w:rStyle w:val="normaltextrun"/>
                <w:rFonts w:eastAsia="MS Gothic" w:cs="Arial"/>
                <w:szCs w:val="20"/>
              </w:rPr>
              <w:t xml:space="preserve"> spolu se sníženou dostupností hypoték</w:t>
            </w:r>
            <w:r>
              <w:rPr>
                <w:rStyle w:val="Znakapoznpodarou"/>
                <w:rFonts w:eastAsia="MS Gothic"/>
                <w:szCs w:val="20"/>
              </w:rPr>
              <w:footnoteReference w:id="22"/>
            </w:r>
            <w:r>
              <w:rPr>
                <w:rStyle w:val="normaltextrun"/>
                <w:rFonts w:eastAsia="MS Gothic" w:cs="Arial"/>
                <w:szCs w:val="20"/>
              </w:rPr>
              <w:t xml:space="preserve"> zásadně ochladily loňský boom realitního trhu. Proti hlubšímu útlumu výkonu stavebnictví naopak působily veřejné investice</w:t>
            </w:r>
            <w:r>
              <w:rPr>
                <w:rStyle w:val="Znakapoznpodarou"/>
                <w:rFonts w:eastAsia="MS Gothic"/>
                <w:szCs w:val="20"/>
              </w:rPr>
              <w:footnoteReference w:id="23"/>
            </w:r>
            <w:r>
              <w:rPr>
                <w:rStyle w:val="normaltextrun"/>
                <w:rFonts w:eastAsia="MS Gothic" w:cs="Arial"/>
                <w:szCs w:val="20"/>
              </w:rPr>
              <w:t>, resp. sílící příliv prostředků z rozpočtu EU určený na výstavbu i modernizaci dopravní infrastruktury či na snížení energetické náročnosti v oblasti bydlení.</w:t>
            </w:r>
          </w:p>
        </w:tc>
      </w:tr>
      <w:tr w:rsidR="00BA5125" w:rsidRPr="00784EC8" w14:paraId="4B6D923C" w14:textId="77777777" w:rsidTr="00BA5125">
        <w:trPr>
          <w:trHeight w:val="170"/>
        </w:trPr>
        <w:tc>
          <w:tcPr>
            <w:tcW w:w="1814" w:type="dxa"/>
            <w:tcBorders>
              <w:top w:val="nil"/>
              <w:left w:val="nil"/>
              <w:bottom w:val="nil"/>
              <w:right w:val="nil"/>
            </w:tcBorders>
            <w:shd w:val="clear" w:color="auto" w:fill="auto"/>
            <w:tcMar>
              <w:left w:w="0" w:type="dxa"/>
            </w:tcMar>
          </w:tcPr>
          <w:p w14:paraId="2349D799" w14:textId="77777777" w:rsidR="00BA5125" w:rsidRDefault="00BA5125" w:rsidP="00BA5125">
            <w:pPr>
              <w:pStyle w:val="Marginlie"/>
              <w:rPr>
                <w:color w:val="0D0D0D" w:themeColor="text1" w:themeTint="F2"/>
                <w:spacing w:val="-4"/>
              </w:rPr>
            </w:pPr>
            <w:r>
              <w:rPr>
                <w:color w:val="0D0D0D" w:themeColor="text1" w:themeTint="F2"/>
                <w:spacing w:val="-4"/>
              </w:rPr>
              <w:t>Po mírném oživení v letech 2021 i 2022 se stavební produkce loni snížila, klesly pozemní i inženýrské stavitelství.</w:t>
            </w:r>
          </w:p>
        </w:tc>
        <w:tc>
          <w:tcPr>
            <w:tcW w:w="229" w:type="dxa"/>
            <w:tcBorders>
              <w:top w:val="nil"/>
              <w:left w:val="nil"/>
              <w:bottom w:val="nil"/>
              <w:right w:val="nil"/>
            </w:tcBorders>
            <w:shd w:val="clear" w:color="auto" w:fill="auto"/>
            <w:tcMar>
              <w:left w:w="0" w:type="dxa"/>
            </w:tcMar>
          </w:tcPr>
          <w:p w14:paraId="62E0E065" w14:textId="77777777" w:rsidR="00BA5125" w:rsidRPr="00784EC8"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680D7E65" w14:textId="77777777" w:rsidR="00BA5125" w:rsidRDefault="00BA5125" w:rsidP="00BA5125">
            <w:pPr>
              <w:spacing w:after="0"/>
              <w:rPr>
                <w:color w:val="0D0D0D" w:themeColor="text1" w:themeTint="F2"/>
                <w:spacing w:val="-6"/>
              </w:rPr>
            </w:pPr>
            <w:r>
              <w:rPr>
                <w:color w:val="0D0D0D" w:themeColor="text1" w:themeTint="F2"/>
                <w:spacing w:val="-6"/>
              </w:rPr>
              <w:t>S</w:t>
            </w:r>
            <w:r w:rsidRPr="0047559F">
              <w:rPr>
                <w:color w:val="0D0D0D" w:themeColor="text1" w:themeTint="F2"/>
                <w:spacing w:val="-6"/>
              </w:rPr>
              <w:t>tavební produkce</w:t>
            </w:r>
            <w:r w:rsidRPr="0047559F">
              <w:rPr>
                <w:rStyle w:val="Znakapoznpodarou"/>
                <w:color w:val="0D0D0D" w:themeColor="text1" w:themeTint="F2"/>
                <w:spacing w:val="-6"/>
              </w:rPr>
              <w:footnoteReference w:id="24"/>
            </w:r>
            <w:r>
              <w:rPr>
                <w:color w:val="0D0D0D" w:themeColor="text1" w:themeTint="F2"/>
                <w:spacing w:val="-6"/>
              </w:rPr>
              <w:t xml:space="preserve"> sice na počátku roku 2023 mezikvartálně vzrostla o 1,8 % (zčásti díky velmi mírné zimě, jež pomohla zejména pozemnímu stavitelství), v následujícím kvartálu se však výrazněji snížila (o 2,8 %). Ve 2. pololetí sestupný trend produkce pokračoval, byť mírnějšími tempy. Na sklonku roku tak výkon celého odvětví za vrcholem z období poslední konjunk</w:t>
            </w:r>
            <w:r w:rsidRPr="008D1961">
              <w:rPr>
                <w:color w:val="0D0D0D" w:themeColor="text1" w:themeTint="F2"/>
                <w:spacing w:val="-6"/>
              </w:rPr>
              <w:t>tury</w:t>
            </w:r>
            <w:r>
              <w:rPr>
                <w:color w:val="0D0D0D" w:themeColor="text1" w:themeTint="F2"/>
                <w:spacing w:val="-6"/>
              </w:rPr>
              <w:t xml:space="preserve"> (3. čtvrtletí 2019) bezmála o 6 % zaostával (z toho pozemní stavitelství o 8,3 %). Ve srovnání se stejným obdobím předcházejícího roku klesala stavební produkce ve všech loňských čtvrtletích a za celý rok 2023 pak o 2,4 %, k čemuž přispělo především pozemní stavitelství (</w:t>
            </w:r>
            <w:r>
              <w:rPr>
                <w:color w:val="0D0D0D" w:themeColor="text1" w:themeTint="F2"/>
                <w:spacing w:val="-2"/>
              </w:rPr>
              <w:t>−</w:t>
            </w:r>
            <w:r>
              <w:rPr>
                <w:color w:val="0D0D0D" w:themeColor="text1" w:themeTint="F2"/>
                <w:spacing w:val="-6"/>
              </w:rPr>
              <w:t>0,9 p. b.).</w:t>
            </w:r>
          </w:p>
          <w:p w14:paraId="68B6E49F" w14:textId="77777777" w:rsidR="00BA5125" w:rsidRDefault="00BA5125" w:rsidP="00BA5125">
            <w:pPr>
              <w:spacing w:after="0"/>
              <w:rPr>
                <w:color w:val="0D0D0D" w:themeColor="text1" w:themeTint="F2"/>
                <w:spacing w:val="-6"/>
              </w:rPr>
            </w:pPr>
          </w:p>
        </w:tc>
      </w:tr>
      <w:tr w:rsidR="00BA5125" w:rsidRPr="00784EC8" w14:paraId="185C7D66" w14:textId="77777777" w:rsidTr="00BA5125">
        <w:trPr>
          <w:trHeight w:val="170"/>
        </w:trPr>
        <w:tc>
          <w:tcPr>
            <w:tcW w:w="1814" w:type="dxa"/>
            <w:tcBorders>
              <w:top w:val="nil"/>
              <w:left w:val="nil"/>
              <w:bottom w:val="nil"/>
              <w:right w:val="nil"/>
            </w:tcBorders>
            <w:shd w:val="clear" w:color="auto" w:fill="auto"/>
            <w:tcMar>
              <w:left w:w="0" w:type="dxa"/>
            </w:tcMar>
          </w:tcPr>
          <w:p w14:paraId="458FE5E8" w14:textId="77777777" w:rsidR="00BA5125" w:rsidRDefault="00BA5125" w:rsidP="00BA5125">
            <w:pPr>
              <w:pStyle w:val="Marginlie"/>
              <w:rPr>
                <w:color w:val="0D0D0D" w:themeColor="text1" w:themeTint="F2"/>
                <w:spacing w:val="-4"/>
              </w:rPr>
            </w:pPr>
            <w:r>
              <w:rPr>
                <w:color w:val="0D0D0D" w:themeColor="text1" w:themeTint="F2"/>
                <w:spacing w:val="-4"/>
              </w:rPr>
              <w:t xml:space="preserve">Pokles poptávky se zřetelně otiskl v zahajované bytové výstavbě, kde se výrazně </w:t>
            </w:r>
            <w:r>
              <w:rPr>
                <w:color w:val="0D0D0D" w:themeColor="text1" w:themeTint="F2"/>
                <w:spacing w:val="-4"/>
              </w:rPr>
              <w:lastRenderedPageBreak/>
              <w:t>propadl počet bytů v rodinných domech.</w:t>
            </w:r>
          </w:p>
          <w:p w14:paraId="3C73D484" w14:textId="77777777" w:rsidR="00BA5125" w:rsidRDefault="00BA5125" w:rsidP="00BA5125">
            <w:pPr>
              <w:pStyle w:val="Marginlie"/>
              <w:rPr>
                <w:color w:val="0D0D0D" w:themeColor="text1" w:themeTint="F2"/>
                <w:spacing w:val="-4"/>
              </w:rPr>
            </w:pPr>
          </w:p>
          <w:p w14:paraId="42ACA09F" w14:textId="77777777" w:rsidR="00BA5125" w:rsidRDefault="00BA5125" w:rsidP="00BA5125">
            <w:pPr>
              <w:pStyle w:val="Marginlie"/>
              <w:rPr>
                <w:color w:val="0D0D0D" w:themeColor="text1" w:themeTint="F2"/>
                <w:spacing w:val="-4"/>
              </w:rPr>
            </w:pPr>
          </w:p>
          <w:p w14:paraId="739AD757" w14:textId="77777777" w:rsidR="00BA5125" w:rsidRDefault="00BA5125" w:rsidP="00BA5125">
            <w:pPr>
              <w:pStyle w:val="Marginlie"/>
              <w:rPr>
                <w:color w:val="0D0D0D" w:themeColor="text1" w:themeTint="F2"/>
                <w:spacing w:val="-4"/>
              </w:rPr>
            </w:pPr>
            <w:r>
              <w:rPr>
                <w:color w:val="0D0D0D" w:themeColor="text1" w:themeTint="F2"/>
                <w:spacing w:val="-4"/>
              </w:rPr>
              <w:t>Počet dokončených bytů v bytových domech stále konkuroval rozsahu výstavby z konjunkturních let nulté dekády.</w:t>
            </w:r>
          </w:p>
          <w:p w14:paraId="16440DCF" w14:textId="77777777" w:rsidR="00BA5125" w:rsidRPr="00784EC8" w:rsidRDefault="00BA5125" w:rsidP="00BA5125">
            <w:pPr>
              <w:pStyle w:val="Marginlie"/>
              <w:rPr>
                <w:color w:val="0D0D0D" w:themeColor="text1" w:themeTint="F2"/>
                <w:spacing w:val="-4"/>
              </w:rPr>
            </w:pPr>
          </w:p>
        </w:tc>
        <w:tc>
          <w:tcPr>
            <w:tcW w:w="229" w:type="dxa"/>
            <w:tcBorders>
              <w:top w:val="nil"/>
              <w:left w:val="nil"/>
              <w:bottom w:val="nil"/>
              <w:right w:val="nil"/>
            </w:tcBorders>
            <w:shd w:val="clear" w:color="auto" w:fill="auto"/>
            <w:tcMar>
              <w:left w:w="0" w:type="dxa"/>
            </w:tcMar>
          </w:tcPr>
          <w:p w14:paraId="4BD27293" w14:textId="77777777" w:rsidR="00BA5125" w:rsidRPr="00784EC8"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638249F7" w14:textId="77777777" w:rsidR="00BA5125" w:rsidRPr="00C301B8" w:rsidRDefault="00BA5125" w:rsidP="00BA5125">
            <w:pPr>
              <w:spacing w:after="200"/>
              <w:rPr>
                <w:rFonts w:eastAsia="MS Gothic" w:cs="Arial"/>
                <w:spacing w:val="-2"/>
                <w:szCs w:val="20"/>
              </w:rPr>
            </w:pPr>
            <w:r w:rsidRPr="505056C0">
              <w:t xml:space="preserve">„Zamrznutí“ realitního trhu se stále </w:t>
            </w:r>
            <w:r>
              <w:t xml:space="preserve">zřetelněji </w:t>
            </w:r>
            <w:r w:rsidRPr="505056C0">
              <w:t>odráželo v nízké intenzitě zahajované výstavby, hlavně rodinných domů.</w:t>
            </w:r>
            <w:r>
              <w:t xml:space="preserve"> Pokles výstavby započatý v roce 2022 se loni prohloubil (na 15,5 % meziročně). </w:t>
            </w:r>
            <w:r>
              <w:rPr>
                <w:color w:val="0D0D0D" w:themeColor="text1" w:themeTint="F2"/>
                <w:spacing w:val="-6"/>
              </w:rPr>
              <w:t xml:space="preserve">Nejvíce se snížila výstavba rodinných domů, kde byl </w:t>
            </w:r>
            <w:r>
              <w:rPr>
                <w:rStyle w:val="normaltextrun"/>
                <w:rFonts w:eastAsia="MS Gothic" w:cs="Arial"/>
                <w:spacing w:val="-4"/>
                <w:szCs w:val="20"/>
              </w:rPr>
              <w:lastRenderedPageBreak/>
              <w:t>v</w:t>
            </w:r>
            <w:r w:rsidRPr="00713180">
              <w:rPr>
                <w:rStyle w:val="normaltextrun"/>
                <w:rFonts w:eastAsia="MS Gothic" w:cs="Arial"/>
                <w:spacing w:val="-4"/>
                <w:szCs w:val="20"/>
              </w:rPr>
              <w:t>livem vysokých finančních nákladů i nedostatku pracovníků</w:t>
            </w:r>
            <w:r>
              <w:rPr>
                <w:rStyle w:val="normaltextrun"/>
                <w:rFonts w:eastAsia="MS Gothic" w:cs="Arial"/>
                <w:szCs w:val="20"/>
              </w:rPr>
              <w:t xml:space="preserve"> (hlavně v menších stavebních firmách) </w:t>
            </w:r>
            <w:r>
              <w:rPr>
                <w:color w:val="0D0D0D" w:themeColor="text1" w:themeTint="F2"/>
                <w:spacing w:val="-6"/>
              </w:rPr>
              <w:t>počet zahájených bytů nejnižší za posledních osm let (14,6 tis.), k poklesu došlo ale i ve všech dalších segmentech výstavby (vyjma úprav stávajících bytových domů).</w:t>
            </w:r>
            <w:r>
              <w:rPr>
                <w:rStyle w:val="normaltextrun"/>
                <w:rFonts w:eastAsia="MS Gothic" w:cs="Arial"/>
                <w:szCs w:val="20"/>
              </w:rPr>
              <w:t xml:space="preserve"> Počet dokončených bytů vlivem vysoké </w:t>
            </w:r>
            <w:r w:rsidRPr="00D1005F">
              <w:rPr>
                <w:rStyle w:val="normaltextrun"/>
                <w:rFonts w:eastAsia="MS Gothic" w:cs="Arial"/>
                <w:spacing w:val="-2"/>
                <w:szCs w:val="20"/>
              </w:rPr>
              <w:t xml:space="preserve">rozestavěnosti z předchozích </w:t>
            </w:r>
            <w:r>
              <w:rPr>
                <w:rStyle w:val="normaltextrun"/>
                <w:rFonts w:eastAsia="MS Gothic" w:cs="Arial"/>
                <w:spacing w:val="-2"/>
                <w:szCs w:val="20"/>
              </w:rPr>
              <w:t>let loni klesl jen mírně (o 3,4 %), k čemuž opět nejvíce přispěla slabší výstavba rodinných domů. Naopak v kategorii bytových domů se počet bytů potřetí v řadě meziročně zvýšil a činil 14,2 tis. (vyšší výstavba v éře samostatné ČR byla docílena jen v roce 2007, a to 18,2 tis.). Více než třetina z celkového počtu všech dokončených bytů v Česku dlouhodobě připadá na Prahu a Středočeský kraj.</w:t>
            </w:r>
          </w:p>
        </w:tc>
      </w:tr>
      <w:tr w:rsidR="00BA5125" w:rsidRPr="00D232BB" w14:paraId="3F96B3FE" w14:textId="77777777" w:rsidTr="00BA5125">
        <w:trPr>
          <w:trHeight w:val="170"/>
        </w:trPr>
        <w:tc>
          <w:tcPr>
            <w:tcW w:w="1814" w:type="dxa"/>
            <w:vMerge w:val="restart"/>
            <w:tcBorders>
              <w:top w:val="nil"/>
              <w:left w:val="nil"/>
              <w:bottom w:val="nil"/>
              <w:right w:val="nil"/>
            </w:tcBorders>
            <w:shd w:val="clear" w:color="auto" w:fill="auto"/>
            <w:tcMar>
              <w:left w:w="0" w:type="dxa"/>
            </w:tcMar>
          </w:tcPr>
          <w:p w14:paraId="2F435E6A" w14:textId="77777777" w:rsidR="00BA5125" w:rsidRDefault="00BA5125" w:rsidP="00BA5125">
            <w:pPr>
              <w:pStyle w:val="Marginlie"/>
            </w:pPr>
          </w:p>
        </w:tc>
        <w:tc>
          <w:tcPr>
            <w:tcW w:w="229" w:type="dxa"/>
            <w:vMerge w:val="restart"/>
            <w:tcBorders>
              <w:top w:val="nil"/>
              <w:left w:val="nil"/>
              <w:bottom w:val="nil"/>
              <w:right w:val="nil"/>
            </w:tcBorders>
            <w:shd w:val="clear" w:color="auto" w:fill="auto"/>
            <w:tcMar>
              <w:left w:w="0" w:type="dxa"/>
            </w:tcMar>
          </w:tcPr>
          <w:p w14:paraId="4689D05D"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300B610B" w14:textId="77777777" w:rsidR="00BA5125" w:rsidRPr="00D232BB" w:rsidRDefault="00BA5125" w:rsidP="00BA5125">
            <w:pPr>
              <w:spacing w:after="20"/>
              <w:rPr>
                <w:rFonts w:cs="Arial"/>
                <w:bCs/>
              </w:rPr>
            </w:pPr>
            <w:r w:rsidRPr="006E759E">
              <w:rPr>
                <w:b/>
                <w:spacing w:val="-5"/>
              </w:rPr>
              <w:t xml:space="preserve">Graf č. 6 Příspěvky odvětví k meziroční změně stavební produkce </w:t>
            </w:r>
            <w:r w:rsidRPr="006E759E">
              <w:rPr>
                <w:spacing w:val="-5"/>
              </w:rPr>
              <w:t>(reálně, v p. b.)</w:t>
            </w:r>
            <w:r w:rsidRPr="006E759E">
              <w:rPr>
                <w:b/>
                <w:bCs/>
                <w:spacing w:val="-5"/>
              </w:rPr>
              <w:t>,</w:t>
            </w:r>
            <w:r w:rsidRPr="006E759E">
              <w:rPr>
                <w:b/>
                <w:bCs/>
                <w:spacing w:val="-5"/>
              </w:rPr>
              <w:br/>
            </w:r>
            <w:r w:rsidRPr="006E759E">
              <w:rPr>
                <w:b/>
                <w:spacing w:val="-5"/>
              </w:rPr>
              <w:t xml:space="preserve">nové stavební zakázky </w:t>
            </w:r>
            <w:r w:rsidRPr="006E759E">
              <w:rPr>
                <w:spacing w:val="-5"/>
              </w:rPr>
              <w:t>(</w:t>
            </w:r>
            <w:r w:rsidRPr="006E759E">
              <w:rPr>
                <w:bCs/>
                <w:spacing w:val="-5"/>
              </w:rPr>
              <w:t xml:space="preserve">nominálně, </w:t>
            </w:r>
            <w:r w:rsidRPr="006E759E">
              <w:rPr>
                <w:spacing w:val="-5"/>
              </w:rPr>
              <w:t>meziročně,</w:t>
            </w:r>
            <w:r w:rsidRPr="006E759E">
              <w:rPr>
                <w:bCs/>
                <w:spacing w:val="-5"/>
              </w:rPr>
              <w:t xml:space="preserve"> v %)</w:t>
            </w:r>
            <w:r w:rsidRPr="006E759E">
              <w:rPr>
                <w:b/>
                <w:spacing w:val="-5"/>
              </w:rPr>
              <w:t>, saldo důvěry podnikatelů ve stavebnictví*</w:t>
            </w:r>
            <w:r w:rsidRPr="006E759E">
              <w:rPr>
                <w:spacing w:val="-5"/>
              </w:rPr>
              <w:t xml:space="preserve"> (v p. b., pravá osa) </w:t>
            </w:r>
            <w:r w:rsidRPr="006E759E">
              <w:rPr>
                <w:b/>
                <w:spacing w:val="-5"/>
              </w:rPr>
              <w:t>a vybrané bariéry růstu</w:t>
            </w:r>
            <w:r w:rsidRPr="006E759E">
              <w:rPr>
                <w:spacing w:val="-5"/>
              </w:rPr>
              <w:t>* (v %, pravá osa)</w:t>
            </w:r>
          </w:p>
        </w:tc>
      </w:tr>
      <w:tr w:rsidR="00BA5125" w:rsidRPr="0067514E" w14:paraId="37FB4DDE" w14:textId="77777777" w:rsidTr="00BA5125">
        <w:tblPrEx>
          <w:tblCellMar>
            <w:left w:w="70" w:type="dxa"/>
            <w:right w:w="70" w:type="dxa"/>
          </w:tblCellMar>
        </w:tblPrEx>
        <w:trPr>
          <w:trHeight w:val="170"/>
        </w:trPr>
        <w:tc>
          <w:tcPr>
            <w:tcW w:w="1814" w:type="dxa"/>
            <w:vMerge/>
            <w:tcBorders>
              <w:top w:val="nil"/>
              <w:left w:val="nil"/>
              <w:bottom w:val="nil"/>
              <w:right w:val="nil"/>
            </w:tcBorders>
            <w:shd w:val="clear" w:color="auto" w:fill="auto"/>
          </w:tcPr>
          <w:p w14:paraId="1383FEAD" w14:textId="77777777" w:rsidR="00BA5125" w:rsidRDefault="00BA5125" w:rsidP="00BA5125">
            <w:pPr>
              <w:pStyle w:val="Marginlie"/>
            </w:pPr>
          </w:p>
        </w:tc>
        <w:tc>
          <w:tcPr>
            <w:tcW w:w="229" w:type="dxa"/>
            <w:vMerge/>
            <w:tcBorders>
              <w:top w:val="nil"/>
              <w:left w:val="nil"/>
              <w:bottom w:val="nil"/>
              <w:right w:val="nil"/>
            </w:tcBorders>
            <w:shd w:val="clear" w:color="auto" w:fill="auto"/>
          </w:tcPr>
          <w:p w14:paraId="49CDFFCC"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Pr>
          <w:p w14:paraId="7EDB23DA" w14:textId="77777777" w:rsidR="00BA5125" w:rsidRPr="0067514E" w:rsidRDefault="00BA5125" w:rsidP="00BA5125">
            <w:pPr>
              <w:spacing w:after="0"/>
              <w:rPr>
                <w:spacing w:val="-6"/>
              </w:rPr>
            </w:pPr>
            <w:r>
              <w:rPr>
                <w:noProof/>
              </w:rPr>
              <w:drawing>
                <wp:inline distT="0" distB="0" distL="0" distR="0" wp14:anchorId="05B570DA" wp14:editId="1CB7030F">
                  <wp:extent cx="4734560" cy="3331845"/>
                  <wp:effectExtent l="0" t="0" r="8890" b="190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BA5125" w:rsidRPr="008F2BE2" w14:paraId="56811CDE" w14:textId="77777777" w:rsidTr="00BA5125">
        <w:trPr>
          <w:trHeight w:val="170"/>
        </w:trPr>
        <w:tc>
          <w:tcPr>
            <w:tcW w:w="1814" w:type="dxa"/>
            <w:vMerge/>
            <w:tcBorders>
              <w:top w:val="nil"/>
              <w:left w:val="nil"/>
              <w:bottom w:val="nil"/>
              <w:right w:val="nil"/>
            </w:tcBorders>
            <w:shd w:val="clear" w:color="auto" w:fill="auto"/>
            <w:tcMar>
              <w:left w:w="0" w:type="dxa"/>
            </w:tcMar>
          </w:tcPr>
          <w:p w14:paraId="3EE7183D" w14:textId="77777777" w:rsidR="00BA5125" w:rsidRDefault="00BA5125" w:rsidP="00BA5125">
            <w:pPr>
              <w:pStyle w:val="Marginlie"/>
            </w:pPr>
          </w:p>
        </w:tc>
        <w:tc>
          <w:tcPr>
            <w:tcW w:w="229" w:type="dxa"/>
            <w:vMerge/>
            <w:tcBorders>
              <w:top w:val="nil"/>
              <w:left w:val="nil"/>
              <w:bottom w:val="nil"/>
              <w:right w:val="nil"/>
            </w:tcBorders>
            <w:shd w:val="clear" w:color="auto" w:fill="auto"/>
            <w:tcMar>
              <w:left w:w="0" w:type="dxa"/>
            </w:tcMar>
          </w:tcPr>
          <w:p w14:paraId="4299A6CA"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1BA069ED" w14:textId="77777777" w:rsidR="00BA5125" w:rsidRPr="00883202" w:rsidRDefault="00BA5125" w:rsidP="00BA5125">
            <w:pPr>
              <w:spacing w:after="0"/>
              <w:rPr>
                <w:rFonts w:cs="Arial"/>
                <w:sz w:val="14"/>
                <w:szCs w:val="14"/>
              </w:rPr>
            </w:pPr>
            <w:r>
              <w:rPr>
                <w:rFonts w:cs="Arial"/>
                <w:sz w:val="14"/>
                <w:szCs w:val="14"/>
              </w:rPr>
              <w:t xml:space="preserve">Poznámka: </w:t>
            </w:r>
            <w:r w:rsidRPr="00883202">
              <w:rPr>
                <w:rFonts w:cs="Arial"/>
                <w:sz w:val="14"/>
                <w:szCs w:val="14"/>
              </w:rPr>
              <w:t>Údaje o stavební produkci jsou očištěny o kalendářní vlivy.</w:t>
            </w:r>
          </w:p>
          <w:p w14:paraId="740C7B11" w14:textId="77777777" w:rsidR="00BA5125" w:rsidRDefault="00BA5125" w:rsidP="00BA5125">
            <w:pPr>
              <w:pStyle w:val="Textpoznpodarou"/>
              <w:jc w:val="both"/>
              <w:rPr>
                <w:rFonts w:cs="Arial"/>
                <w:sz w:val="14"/>
                <w:szCs w:val="14"/>
              </w:rPr>
            </w:pPr>
            <w:r w:rsidRPr="00883202">
              <w:rPr>
                <w:rFonts w:cs="Arial"/>
                <w:sz w:val="14"/>
                <w:szCs w:val="14"/>
              </w:rPr>
              <w:t>*</w:t>
            </w:r>
            <w:r w:rsidRPr="006E759E">
              <w:rPr>
                <w:rFonts w:cs="Arial"/>
                <w:spacing w:val="-2"/>
                <w:sz w:val="14"/>
                <w:szCs w:val="14"/>
              </w:rPr>
              <w:t>Saldo důvěry podnikatelů i bariéry</w:t>
            </w:r>
            <w:r w:rsidRPr="00883202">
              <w:rPr>
                <w:rFonts w:cs="Arial"/>
                <w:spacing w:val="-2"/>
                <w:sz w:val="14"/>
                <w:szCs w:val="14"/>
              </w:rPr>
              <w:t xml:space="preserve"> růstu jsou sezónně očištěny a vyjadřují stav ve druhém měsíci daného čtvrtletí</w:t>
            </w:r>
            <w:r w:rsidRPr="00883202">
              <w:rPr>
                <w:rFonts w:cs="Arial"/>
                <w:sz w:val="14"/>
                <w:szCs w:val="14"/>
              </w:rPr>
              <w:t>.</w:t>
            </w:r>
            <w:r>
              <w:rPr>
                <w:rFonts w:cs="Arial"/>
                <w:sz w:val="14"/>
                <w:szCs w:val="14"/>
              </w:rPr>
              <w:t xml:space="preserve"> Podniky mohly uvést více hlavních bariér současně.                                                                                                 </w:t>
            </w:r>
            <w:r w:rsidRPr="00883202">
              <w:rPr>
                <w:rFonts w:cs="Arial"/>
                <w:sz w:val="14"/>
                <w:szCs w:val="14"/>
              </w:rPr>
              <w:t>Zdroj: ČSÚ</w:t>
            </w:r>
            <w:r>
              <w:rPr>
                <w:rFonts w:cs="Arial"/>
                <w:sz w:val="14"/>
                <w:szCs w:val="14"/>
              </w:rPr>
              <w:t>, Eurostat</w:t>
            </w:r>
          </w:p>
          <w:p w14:paraId="1DDA3071" w14:textId="77777777" w:rsidR="00BA5125" w:rsidRPr="008F2BE2" w:rsidRDefault="00BA5125" w:rsidP="00BA5125">
            <w:pPr>
              <w:pStyle w:val="Textpoznpodarou"/>
              <w:jc w:val="both"/>
              <w:rPr>
                <w:spacing w:val="-4"/>
                <w:sz w:val="14"/>
                <w:szCs w:val="14"/>
              </w:rPr>
            </w:pPr>
          </w:p>
        </w:tc>
      </w:tr>
      <w:tr w:rsidR="00BA5125" w14:paraId="026B331B" w14:textId="77777777" w:rsidTr="00BA5125">
        <w:trPr>
          <w:trHeight w:val="170"/>
        </w:trPr>
        <w:tc>
          <w:tcPr>
            <w:tcW w:w="1814" w:type="dxa"/>
            <w:tcBorders>
              <w:top w:val="nil"/>
              <w:left w:val="nil"/>
              <w:bottom w:val="nil"/>
              <w:right w:val="nil"/>
            </w:tcBorders>
            <w:shd w:val="clear" w:color="auto" w:fill="auto"/>
            <w:tcMar>
              <w:left w:w="0" w:type="dxa"/>
            </w:tcMar>
          </w:tcPr>
          <w:p w14:paraId="323D44DE" w14:textId="77777777" w:rsidR="00BA5125" w:rsidRDefault="00BA5125" w:rsidP="00BA5125">
            <w:pPr>
              <w:pStyle w:val="Marginlie"/>
              <w:rPr>
                <w:rFonts w:cs="Arial"/>
                <w:color w:val="0D0D0D" w:themeColor="text1" w:themeTint="F2"/>
                <w:spacing w:val="-4"/>
              </w:rPr>
            </w:pPr>
            <w:r>
              <w:rPr>
                <w:rFonts w:cs="Arial"/>
                <w:color w:val="0D0D0D" w:themeColor="text1" w:themeTint="F2"/>
                <w:spacing w:val="-4"/>
              </w:rPr>
              <w:t xml:space="preserve">Orientační hodnota povolených staveb ve </w:t>
            </w:r>
            <w:r>
              <w:rPr>
                <w:rFonts w:cs="Arial"/>
                <w:color w:val="0D0D0D" w:themeColor="text1" w:themeTint="F2"/>
                <w:spacing w:val="-4"/>
              </w:rPr>
              <w:br/>
              <w:t xml:space="preserve">4. čtvrtletí výrazněji vzrostla. Mírněji se zvýšil </w:t>
            </w:r>
            <w:r>
              <w:rPr>
                <w:rFonts w:cs="Arial"/>
                <w:color w:val="0D0D0D" w:themeColor="text1" w:themeTint="F2"/>
                <w:spacing w:val="-4"/>
              </w:rPr>
              <w:br/>
              <w:t>i objem zakázek, stále však vázla soukromá poptávka.</w:t>
            </w:r>
          </w:p>
          <w:p w14:paraId="7387D8C7" w14:textId="77777777" w:rsidR="00BA5125" w:rsidRDefault="00BA5125" w:rsidP="00BA5125">
            <w:pPr>
              <w:pStyle w:val="Marginlie"/>
              <w:rPr>
                <w:rFonts w:cs="Arial"/>
                <w:color w:val="0D0D0D" w:themeColor="text1" w:themeTint="F2"/>
                <w:spacing w:val="-4"/>
              </w:rPr>
            </w:pPr>
          </w:p>
          <w:p w14:paraId="3D944C38" w14:textId="77777777" w:rsidR="00BA5125" w:rsidRDefault="00BA5125" w:rsidP="00BA5125">
            <w:pPr>
              <w:pStyle w:val="Marginlie"/>
              <w:rPr>
                <w:rFonts w:cs="Arial"/>
                <w:color w:val="0D0D0D" w:themeColor="text1" w:themeTint="F2"/>
                <w:spacing w:val="-4"/>
              </w:rPr>
            </w:pPr>
          </w:p>
          <w:p w14:paraId="7D3CD8FB" w14:textId="77777777" w:rsidR="00BA5125" w:rsidRDefault="00BA5125" w:rsidP="00BA5125">
            <w:pPr>
              <w:pStyle w:val="Marginlie"/>
              <w:rPr>
                <w:rFonts w:cs="Arial"/>
                <w:color w:val="0D0D0D" w:themeColor="text1" w:themeTint="F2"/>
                <w:spacing w:val="-4"/>
              </w:rPr>
            </w:pPr>
          </w:p>
          <w:p w14:paraId="225D10D1" w14:textId="77777777" w:rsidR="00BA5125" w:rsidRDefault="00BA5125" w:rsidP="00BA5125">
            <w:pPr>
              <w:pStyle w:val="Marginlie"/>
              <w:rPr>
                <w:rFonts w:cs="Arial"/>
                <w:color w:val="0D0D0D" w:themeColor="text1" w:themeTint="F2"/>
                <w:spacing w:val="-4"/>
              </w:rPr>
            </w:pPr>
          </w:p>
          <w:p w14:paraId="675AF0AC" w14:textId="77777777" w:rsidR="00BA5125" w:rsidRDefault="00BA5125" w:rsidP="00BA5125">
            <w:pPr>
              <w:pStyle w:val="Marginlie"/>
              <w:rPr>
                <w:rFonts w:cs="Arial"/>
                <w:color w:val="0D0D0D" w:themeColor="text1" w:themeTint="F2"/>
                <w:spacing w:val="-4"/>
              </w:rPr>
            </w:pPr>
            <w:r>
              <w:rPr>
                <w:spacing w:val="-4"/>
              </w:rPr>
              <w:t>Pesimismus podnikatelů ve stavebnictví se letos na počátku roku snížil.</w:t>
            </w:r>
          </w:p>
          <w:p w14:paraId="26CFF304" w14:textId="77777777" w:rsidR="00BA5125" w:rsidRPr="00E16B2A" w:rsidRDefault="00BA5125" w:rsidP="00BA5125">
            <w:pPr>
              <w:pStyle w:val="Marginlie"/>
              <w:rPr>
                <w:rFonts w:cs="Arial"/>
                <w:color w:val="0D0D0D" w:themeColor="text1" w:themeTint="F2"/>
                <w:spacing w:val="-4"/>
              </w:rPr>
            </w:pPr>
          </w:p>
        </w:tc>
        <w:tc>
          <w:tcPr>
            <w:tcW w:w="229" w:type="dxa"/>
            <w:tcBorders>
              <w:top w:val="nil"/>
              <w:left w:val="nil"/>
              <w:bottom w:val="nil"/>
              <w:right w:val="nil"/>
            </w:tcBorders>
            <w:shd w:val="clear" w:color="auto" w:fill="auto"/>
            <w:tcMar>
              <w:left w:w="0" w:type="dxa"/>
            </w:tcMar>
          </w:tcPr>
          <w:p w14:paraId="12AAB5F3" w14:textId="77777777" w:rsidR="00BA5125" w:rsidRPr="00D87405" w:rsidRDefault="00BA5125" w:rsidP="00BA5125">
            <w:pPr>
              <w:pStyle w:val="Textpoznpodarou"/>
              <w:jc w:val="both"/>
              <w:rPr>
                <w:rFonts w:eastAsia="Times New Roman" w:cs="Arial"/>
                <w:color w:val="0D0D0D" w:themeColor="text1" w:themeTint="F2"/>
                <w:spacing w:val="-4"/>
              </w:rPr>
            </w:pPr>
          </w:p>
        </w:tc>
        <w:tc>
          <w:tcPr>
            <w:tcW w:w="7596" w:type="dxa"/>
            <w:tcBorders>
              <w:top w:val="nil"/>
              <w:left w:val="nil"/>
              <w:bottom w:val="nil"/>
              <w:right w:val="nil"/>
            </w:tcBorders>
            <w:shd w:val="clear" w:color="auto" w:fill="auto"/>
            <w:tcMar>
              <w:left w:w="0" w:type="dxa"/>
            </w:tcMar>
          </w:tcPr>
          <w:p w14:paraId="3A12E86B" w14:textId="77777777" w:rsidR="00BA5125" w:rsidRPr="00C301B8" w:rsidRDefault="00BA5125" w:rsidP="00BA5125">
            <w:pPr>
              <w:spacing w:after="120"/>
              <w:rPr>
                <w:color w:val="0D0D0D" w:themeColor="text1" w:themeTint="F2"/>
                <w:spacing w:val="-6"/>
              </w:rPr>
            </w:pPr>
            <w:r>
              <w:rPr>
                <w:color w:val="0D0D0D" w:themeColor="text1" w:themeTint="F2"/>
                <w:spacing w:val="-6"/>
              </w:rPr>
              <w:t>Některé p</w:t>
            </w:r>
            <w:r w:rsidRPr="00C301B8">
              <w:rPr>
                <w:color w:val="0D0D0D" w:themeColor="text1" w:themeTint="F2"/>
                <w:spacing w:val="-6"/>
              </w:rPr>
              <w:t>ředst</w:t>
            </w:r>
            <w:r>
              <w:rPr>
                <w:color w:val="0D0D0D" w:themeColor="text1" w:themeTint="F2"/>
                <w:spacing w:val="-6"/>
              </w:rPr>
              <w:t>ihové ukazatele ve stavebnictví</w:t>
            </w:r>
            <w:r w:rsidRPr="00C301B8">
              <w:rPr>
                <w:color w:val="0D0D0D" w:themeColor="text1" w:themeTint="F2"/>
                <w:spacing w:val="-6"/>
              </w:rPr>
              <w:t xml:space="preserve"> mohou zavdávat mírnému optimismu. Orientační hodnota povolených staveb vzrostla ve 4. čtvrtletí meziročně o 35 %, jen v prosinci o</w:t>
            </w:r>
            <w:r>
              <w:rPr>
                <w:color w:val="0D0D0D" w:themeColor="text1" w:themeTint="F2"/>
                <w:spacing w:val="-6"/>
              </w:rPr>
              <w:t xml:space="preserve"> 62 % </w:t>
            </w:r>
            <w:r w:rsidRPr="00C25DB9">
              <w:rPr>
                <w:color w:val="0D0D0D" w:themeColor="text1" w:themeTint="F2"/>
                <w:spacing w:val="-2"/>
              </w:rPr>
              <w:t>–</w:t>
            </w:r>
            <w:r>
              <w:rPr>
                <w:color w:val="0D0D0D" w:themeColor="text1" w:themeTint="F2"/>
                <w:spacing w:val="-6"/>
              </w:rPr>
              <w:t xml:space="preserve"> tedy na 84 mld. korun (druhou</w:t>
            </w:r>
            <w:r w:rsidRPr="00C301B8">
              <w:rPr>
                <w:color w:val="0D0D0D" w:themeColor="text1" w:themeTint="F2"/>
                <w:spacing w:val="-6"/>
              </w:rPr>
              <w:t xml:space="preserve"> nejvyšší hodnotu v historii – za červencem 2021, kdy byla </w:t>
            </w:r>
            <w:r>
              <w:rPr>
                <w:color w:val="0D0D0D" w:themeColor="text1" w:themeTint="F2"/>
                <w:spacing w:val="-6"/>
              </w:rPr>
              <w:t xml:space="preserve">v Praze </w:t>
            </w:r>
            <w:r w:rsidRPr="00C301B8">
              <w:rPr>
                <w:color w:val="0D0D0D" w:themeColor="text1" w:themeTint="F2"/>
                <w:spacing w:val="-6"/>
              </w:rPr>
              <w:t xml:space="preserve">povolena výstavba metra D). Prosincový růst měl </w:t>
            </w:r>
            <w:r>
              <w:rPr>
                <w:color w:val="0D0D0D" w:themeColor="text1" w:themeTint="F2"/>
                <w:spacing w:val="-6"/>
              </w:rPr>
              <w:t xml:space="preserve">takřka </w:t>
            </w:r>
            <w:r w:rsidRPr="00C301B8">
              <w:rPr>
                <w:color w:val="0D0D0D" w:themeColor="text1" w:themeTint="F2"/>
                <w:spacing w:val="-6"/>
              </w:rPr>
              <w:t xml:space="preserve">plošný charakter, po odečtení velkých staveb (nad 1 mld. korun) činil nominálně 20 % (reálně 17 %). Hodnota nových zakázek byla ve </w:t>
            </w:r>
            <w:r>
              <w:rPr>
                <w:color w:val="0D0D0D" w:themeColor="text1" w:themeTint="F2"/>
                <w:spacing w:val="-6"/>
              </w:rPr>
              <w:t>4. čtvrtletí meziročně vyšší o 9,3</w:t>
            </w:r>
            <w:r w:rsidRPr="00C301B8">
              <w:rPr>
                <w:color w:val="0D0D0D" w:themeColor="text1" w:themeTint="F2"/>
                <w:spacing w:val="-6"/>
              </w:rPr>
              <w:t xml:space="preserve"> % (rostla druhý kvartál v řadě), projevilo se </w:t>
            </w:r>
            <w:r>
              <w:rPr>
                <w:color w:val="0D0D0D" w:themeColor="text1" w:themeTint="F2"/>
                <w:spacing w:val="-6"/>
              </w:rPr>
              <w:t>v ní</w:t>
            </w:r>
            <w:r w:rsidRPr="00C301B8">
              <w:rPr>
                <w:color w:val="0D0D0D" w:themeColor="text1" w:themeTint="F2"/>
                <w:spacing w:val="-6"/>
              </w:rPr>
              <w:t xml:space="preserve"> oživení pozemního stavitelství. Celková zásoba práce (stav hodnoty dosud nerealizovaných zakázek) byla n</w:t>
            </w:r>
            <w:r>
              <w:rPr>
                <w:color w:val="0D0D0D" w:themeColor="text1" w:themeTint="F2"/>
                <w:spacing w:val="-6"/>
              </w:rPr>
              <w:t>a konci prosince meziročně o rovných 7</w:t>
            </w:r>
            <w:r w:rsidRPr="00C301B8">
              <w:rPr>
                <w:color w:val="0D0D0D" w:themeColor="text1" w:themeTint="F2"/>
                <w:spacing w:val="-6"/>
              </w:rPr>
              <w:t xml:space="preserve"> % vyšší, zatím ale jen díky vyšší poptávce od veřejných zadavatelů. Mírný růst poptávky, stavební činnosti i</w:t>
            </w:r>
            <w:r>
              <w:rPr>
                <w:color w:val="0D0D0D" w:themeColor="text1" w:themeTint="F2"/>
                <w:spacing w:val="-6"/>
              </w:rPr>
              <w:t> </w:t>
            </w:r>
            <w:r w:rsidRPr="00C301B8">
              <w:rPr>
                <w:color w:val="0D0D0D" w:themeColor="text1" w:themeTint="F2"/>
                <w:spacing w:val="-6"/>
              </w:rPr>
              <w:t>zaměstnanosti očekávají dle konjunkturálního šetření (leden 2024) i stavební podnikatelé. Je</w:t>
            </w:r>
            <w:r>
              <w:rPr>
                <w:color w:val="0D0D0D" w:themeColor="text1" w:themeTint="F2"/>
                <w:spacing w:val="-6"/>
              </w:rPr>
              <w:t xml:space="preserve">jich saldo důvěry bylo letos v únoru nejvyšší za posledních 15 </w:t>
            </w:r>
            <w:r w:rsidRPr="00C301B8">
              <w:rPr>
                <w:color w:val="0D0D0D" w:themeColor="text1" w:themeTint="F2"/>
                <w:spacing w:val="-6"/>
              </w:rPr>
              <w:t>měsíců.</w:t>
            </w:r>
          </w:p>
        </w:tc>
      </w:tr>
      <w:tr w:rsidR="00BA5125" w14:paraId="639218E8" w14:textId="77777777" w:rsidTr="00BA5125">
        <w:trPr>
          <w:trHeight w:val="170"/>
        </w:trPr>
        <w:tc>
          <w:tcPr>
            <w:tcW w:w="1814" w:type="dxa"/>
            <w:tcBorders>
              <w:top w:val="nil"/>
              <w:left w:val="nil"/>
              <w:bottom w:val="nil"/>
              <w:right w:val="nil"/>
            </w:tcBorders>
            <w:shd w:val="clear" w:color="auto" w:fill="auto"/>
            <w:tcMar>
              <w:left w:w="0" w:type="dxa"/>
            </w:tcMar>
          </w:tcPr>
          <w:p w14:paraId="65944B4D" w14:textId="77777777" w:rsidR="00BA5125" w:rsidRDefault="00BA5125" w:rsidP="00BA5125">
            <w:pPr>
              <w:pStyle w:val="Marginlie"/>
              <w:rPr>
                <w:color w:val="0D0D0D" w:themeColor="text1" w:themeTint="F2"/>
                <w:spacing w:val="-4"/>
              </w:rPr>
            </w:pPr>
            <w:r>
              <w:rPr>
                <w:color w:val="0D0D0D" w:themeColor="text1" w:themeTint="F2"/>
                <w:spacing w:val="-4"/>
              </w:rPr>
              <w:t>Mezikvartální pokles tržeb ve službách přetrvával po většinu roku. Výše tržeb opět klesla pod předkrizovou úroveň.</w:t>
            </w:r>
          </w:p>
        </w:tc>
        <w:tc>
          <w:tcPr>
            <w:tcW w:w="229" w:type="dxa"/>
            <w:tcBorders>
              <w:top w:val="nil"/>
              <w:left w:val="nil"/>
              <w:bottom w:val="nil"/>
              <w:right w:val="nil"/>
            </w:tcBorders>
            <w:shd w:val="clear" w:color="auto" w:fill="auto"/>
            <w:tcMar>
              <w:left w:w="0" w:type="dxa"/>
            </w:tcMar>
          </w:tcPr>
          <w:p w14:paraId="0519C788" w14:textId="77777777" w:rsidR="00BA5125" w:rsidRPr="00784EC8"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49086EDE" w14:textId="77777777" w:rsidR="00BA5125" w:rsidRPr="00690662" w:rsidRDefault="00BA5125" w:rsidP="00BA5125">
            <w:r w:rsidRPr="00C8516F">
              <w:rPr>
                <w:color w:val="0D0D0D" w:themeColor="text1" w:themeTint="F2"/>
                <w:spacing w:val="-4"/>
              </w:rPr>
              <w:t>Poptávka po službách byla po celý loňský rok utlumená. Ačkoli potenciál</w:t>
            </w:r>
            <w:r w:rsidRPr="00C8516F">
              <w:rPr>
                <w:rFonts w:cs="Arial"/>
                <w:color w:val="0D0D0D" w:themeColor="text1" w:themeTint="F2"/>
                <w:spacing w:val="-4"/>
              </w:rPr>
              <w:t xml:space="preserve"> jejího oživení se po odeznění pandemie v některých segmentech služeb (např. v cestovním ruchu) zatím zcela nevyčerpal, významnější roli hrálo to, že u řady oblastí se projevila tendence tuzemských domácností k omezování „zbytných“ výdajů. Dopady vysokého růstu cen </w:t>
            </w:r>
            <w:r>
              <w:rPr>
                <w:rFonts w:cs="Arial"/>
                <w:color w:val="0D0D0D" w:themeColor="text1" w:themeTint="F2"/>
                <w:spacing w:val="-4"/>
              </w:rPr>
              <w:br/>
            </w:r>
            <w:r w:rsidRPr="00C8516F">
              <w:rPr>
                <w:rFonts w:cs="Arial"/>
                <w:color w:val="0D0D0D" w:themeColor="text1" w:themeTint="F2"/>
                <w:spacing w:val="-4"/>
              </w:rPr>
              <w:t>i ekonomické stagnace z</w:t>
            </w:r>
            <w:r>
              <w:rPr>
                <w:rFonts w:cs="Arial"/>
                <w:color w:val="0D0D0D" w:themeColor="text1" w:themeTint="F2"/>
                <w:spacing w:val="-4"/>
              </w:rPr>
              <w:t>asáhly rovněž</w:t>
            </w:r>
            <w:r w:rsidRPr="00C8516F">
              <w:rPr>
                <w:rFonts w:cs="Arial"/>
                <w:color w:val="0D0D0D" w:themeColor="text1" w:themeTint="F2"/>
                <w:spacing w:val="-4"/>
              </w:rPr>
              <w:t xml:space="preserve"> podnikovou sféru, což vedlo ke zvýšené potřebě optimalizace výrobních nákladů (např. u podpůrných a administrativních činností).</w:t>
            </w:r>
            <w:r w:rsidRPr="00C8516F">
              <w:rPr>
                <w:color w:val="0D0D0D" w:themeColor="text1" w:themeTint="F2"/>
                <w:spacing w:val="-4"/>
              </w:rPr>
              <w:t xml:space="preserve"> </w:t>
            </w:r>
            <w:r w:rsidRPr="00C8516F">
              <w:rPr>
                <w:rFonts w:cs="Arial"/>
                <w:color w:val="0D0D0D" w:themeColor="text1" w:themeTint="F2"/>
                <w:spacing w:val="-4"/>
              </w:rPr>
              <w:t xml:space="preserve">Tržby </w:t>
            </w:r>
            <w:r w:rsidRPr="00C8516F">
              <w:rPr>
                <w:rFonts w:cs="Arial"/>
                <w:color w:val="0D0D0D" w:themeColor="text1" w:themeTint="F2"/>
                <w:spacing w:val="-4"/>
              </w:rPr>
              <w:lastRenderedPageBreak/>
              <w:t>ve službách</w:t>
            </w:r>
            <w:r w:rsidRPr="00C8516F">
              <w:rPr>
                <w:color w:val="0D0D0D" w:themeColor="text1" w:themeTint="F2"/>
                <w:spacing w:val="-4"/>
                <w:vertAlign w:val="superscript"/>
              </w:rPr>
              <w:footnoteReference w:id="25"/>
            </w:r>
            <w:r w:rsidRPr="00C8516F">
              <w:rPr>
                <w:rFonts w:cs="Arial"/>
                <w:color w:val="0D0D0D" w:themeColor="text1" w:themeTint="F2"/>
                <w:spacing w:val="-4"/>
              </w:rPr>
              <w:t xml:space="preserve"> loni na počátku roku mezikvartálně kl</w:t>
            </w:r>
            <w:r>
              <w:rPr>
                <w:rFonts w:cs="Arial"/>
                <w:color w:val="0D0D0D" w:themeColor="text1" w:themeTint="F2"/>
                <w:spacing w:val="-4"/>
              </w:rPr>
              <w:t>esly o 0,3</w:t>
            </w:r>
            <w:r w:rsidRPr="00C8516F">
              <w:rPr>
                <w:rFonts w:cs="Arial"/>
                <w:color w:val="0D0D0D" w:themeColor="text1" w:themeTint="F2"/>
                <w:spacing w:val="-4"/>
              </w:rPr>
              <w:t xml:space="preserve"> %, ve 2. i 3. čtvrtletí se</w:t>
            </w:r>
            <w:r>
              <w:rPr>
                <w:rFonts w:cs="Arial"/>
                <w:color w:val="0D0D0D" w:themeColor="text1" w:themeTint="F2"/>
                <w:spacing w:val="-4"/>
              </w:rPr>
              <w:t xml:space="preserve"> následně snížily o dalších 1,5</w:t>
            </w:r>
            <w:r w:rsidRPr="00C8516F">
              <w:rPr>
                <w:rFonts w:cs="Arial"/>
                <w:color w:val="0D0D0D" w:themeColor="text1" w:themeTint="F2"/>
                <w:spacing w:val="-4"/>
              </w:rPr>
              <w:t> </w:t>
            </w:r>
            <w:r>
              <w:rPr>
                <w:rFonts w:cs="Arial"/>
                <w:color w:val="0D0D0D" w:themeColor="text1" w:themeTint="F2"/>
                <w:spacing w:val="-4"/>
              </w:rPr>
              <w:t>%, resp. 1,1</w:t>
            </w:r>
            <w:r w:rsidRPr="00C8516F">
              <w:rPr>
                <w:rFonts w:cs="Arial"/>
                <w:color w:val="0D0D0D" w:themeColor="text1" w:themeTint="F2"/>
                <w:spacing w:val="-4"/>
              </w:rPr>
              <w:t xml:space="preserve"> %. </w:t>
            </w:r>
            <w:r>
              <w:rPr>
                <w:rFonts w:cs="Arial"/>
                <w:color w:val="0D0D0D" w:themeColor="text1" w:themeTint="F2"/>
                <w:spacing w:val="-4"/>
              </w:rPr>
              <w:t>Na poklesu tržeb, který započal již ve 4. čtvrtletí 2022 a skončil ve 4. čtvrtletí 2023,</w:t>
            </w:r>
            <w:r>
              <w:t xml:space="preserve"> </w:t>
            </w:r>
            <w:r w:rsidRPr="00C8516F">
              <w:rPr>
                <w:rFonts w:cs="Arial"/>
                <w:color w:val="0D0D0D" w:themeColor="text1" w:themeTint="F2"/>
                <w:spacing w:val="-4"/>
              </w:rPr>
              <w:t>mělo zásadní pod</w:t>
            </w:r>
            <w:r>
              <w:rPr>
                <w:rFonts w:cs="Arial"/>
                <w:color w:val="0D0D0D" w:themeColor="text1" w:themeTint="F2"/>
                <w:spacing w:val="-4"/>
              </w:rPr>
              <w:t>íl odvětví dopravy a skladování. P</w:t>
            </w:r>
            <w:r w:rsidRPr="00C8516F">
              <w:rPr>
                <w:rFonts w:cs="Arial"/>
                <w:color w:val="0D0D0D" w:themeColor="text1" w:themeTint="F2"/>
                <w:spacing w:val="-4"/>
              </w:rPr>
              <w:t>optávka se ovšem snižovala</w:t>
            </w:r>
            <w:r>
              <w:rPr>
                <w:rFonts w:cs="Arial"/>
                <w:color w:val="0D0D0D" w:themeColor="text1" w:themeTint="F2"/>
                <w:spacing w:val="-4"/>
              </w:rPr>
              <w:t xml:space="preserve"> </w:t>
            </w:r>
            <w:r w:rsidRPr="00C8516F">
              <w:rPr>
                <w:rFonts w:cs="Arial"/>
                <w:color w:val="0D0D0D" w:themeColor="text1" w:themeTint="F2"/>
                <w:spacing w:val="-4"/>
              </w:rPr>
              <w:t>i ve většině ostatních odvětví</w:t>
            </w:r>
            <w:r>
              <w:rPr>
                <w:rFonts w:cs="Arial"/>
                <w:color w:val="0D0D0D" w:themeColor="text1" w:themeTint="F2"/>
                <w:spacing w:val="-4"/>
              </w:rPr>
              <w:t xml:space="preserve"> služeb.</w:t>
            </w:r>
            <w:r w:rsidRPr="00C8516F">
              <w:rPr>
                <w:rFonts w:cs="Arial"/>
                <w:color w:val="0D0D0D" w:themeColor="text1" w:themeTint="F2"/>
                <w:spacing w:val="-4"/>
              </w:rPr>
              <w:t xml:space="preserve"> Na konci roku 2023 došlo ke stabilizaci, když se mezikvartáln</w:t>
            </w:r>
            <w:r>
              <w:rPr>
                <w:rFonts w:cs="Arial"/>
                <w:color w:val="0D0D0D" w:themeColor="text1" w:themeTint="F2"/>
                <w:spacing w:val="-4"/>
              </w:rPr>
              <w:t>í pokles tržeb zastavil (+0,4</w:t>
            </w:r>
            <w:r w:rsidRPr="00C8516F">
              <w:rPr>
                <w:rFonts w:cs="Arial"/>
                <w:color w:val="0D0D0D" w:themeColor="text1" w:themeTint="F2"/>
                <w:spacing w:val="-4"/>
              </w:rPr>
              <w:t xml:space="preserve"> %), v samotné dopravě a skladování ale poptávka dále slábla. Celkové tržby v</w:t>
            </w:r>
            <w:r>
              <w:rPr>
                <w:rFonts w:cs="Arial"/>
                <w:color w:val="0D0D0D" w:themeColor="text1" w:themeTint="F2"/>
                <w:spacing w:val="-4"/>
              </w:rPr>
              <w:t>e službách za svým vrcholem z období předpandemické konjunktury (2. čtvrtletí 2019) po většinu loňského roku mírně zaostávaly, ve 4. čtvrtletí o necelé 1 %</w:t>
            </w:r>
            <w:r w:rsidRPr="00C8516F">
              <w:rPr>
                <w:rStyle w:val="Znakapoznpodarou"/>
                <w:color w:val="0D0D0D" w:themeColor="text1" w:themeTint="F2"/>
                <w:spacing w:val="-4"/>
              </w:rPr>
              <w:footnoteReference w:id="26"/>
            </w:r>
            <w:r w:rsidRPr="00C8516F">
              <w:rPr>
                <w:rFonts w:cs="Arial"/>
                <w:color w:val="0D0D0D" w:themeColor="text1" w:themeTint="F2"/>
                <w:spacing w:val="-4"/>
              </w:rPr>
              <w:t>.</w:t>
            </w:r>
          </w:p>
        </w:tc>
      </w:tr>
      <w:tr w:rsidR="00BA5125" w14:paraId="302BD928" w14:textId="77777777" w:rsidTr="00BA5125">
        <w:trPr>
          <w:trHeight w:val="170"/>
        </w:trPr>
        <w:tc>
          <w:tcPr>
            <w:tcW w:w="1814" w:type="dxa"/>
            <w:tcBorders>
              <w:top w:val="nil"/>
              <w:left w:val="nil"/>
              <w:bottom w:val="nil"/>
              <w:right w:val="nil"/>
            </w:tcBorders>
            <w:shd w:val="clear" w:color="auto" w:fill="auto"/>
            <w:tcMar>
              <w:left w:w="0" w:type="dxa"/>
            </w:tcMar>
          </w:tcPr>
          <w:p w14:paraId="76D26973" w14:textId="77777777" w:rsidR="00BA5125" w:rsidRDefault="00BA5125" w:rsidP="00BA5125">
            <w:pPr>
              <w:pStyle w:val="Marginlie"/>
            </w:pPr>
            <w:r>
              <w:lastRenderedPageBreak/>
              <w:t xml:space="preserve">Za celoročním poklesem tržeb ve službách stála loni hlavně doprava a skladování. </w:t>
            </w:r>
          </w:p>
          <w:p w14:paraId="01245392" w14:textId="77777777" w:rsidR="00BA5125" w:rsidRDefault="00BA5125" w:rsidP="00BA5125">
            <w:pPr>
              <w:pStyle w:val="Marginlie"/>
            </w:pPr>
          </w:p>
          <w:p w14:paraId="69A6C601" w14:textId="77777777" w:rsidR="00BA5125" w:rsidRDefault="00BA5125" w:rsidP="00BA5125">
            <w:pPr>
              <w:pStyle w:val="Marginlie"/>
            </w:pPr>
          </w:p>
          <w:p w14:paraId="3E06F685" w14:textId="77777777" w:rsidR="00BA5125" w:rsidRDefault="00BA5125" w:rsidP="00BA5125">
            <w:pPr>
              <w:pStyle w:val="Marginlie"/>
            </w:pPr>
          </w:p>
          <w:p w14:paraId="2C2C2FAC" w14:textId="77777777" w:rsidR="00BA5125" w:rsidRDefault="00BA5125" w:rsidP="00BA5125">
            <w:pPr>
              <w:pStyle w:val="Marginlie"/>
            </w:pPr>
          </w:p>
          <w:p w14:paraId="362DADC8" w14:textId="77777777" w:rsidR="00BA5125" w:rsidRDefault="00BA5125" w:rsidP="00BA5125">
            <w:pPr>
              <w:pStyle w:val="Marginlie"/>
            </w:pPr>
          </w:p>
          <w:p w14:paraId="11709266" w14:textId="77777777" w:rsidR="00BA5125" w:rsidRDefault="00BA5125" w:rsidP="00BA5125">
            <w:pPr>
              <w:pStyle w:val="Marginlie"/>
            </w:pPr>
            <w:r>
              <w:t>Přepravní výkony osobní dopravy rostly, v nákladní dopravě klesaly.</w:t>
            </w:r>
          </w:p>
        </w:tc>
        <w:tc>
          <w:tcPr>
            <w:tcW w:w="229" w:type="dxa"/>
            <w:tcBorders>
              <w:top w:val="nil"/>
              <w:left w:val="nil"/>
              <w:bottom w:val="nil"/>
              <w:right w:val="nil"/>
            </w:tcBorders>
            <w:shd w:val="clear" w:color="auto" w:fill="auto"/>
            <w:tcMar>
              <w:left w:w="0" w:type="dxa"/>
            </w:tcMar>
          </w:tcPr>
          <w:p w14:paraId="26AD0422"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56846537" w14:textId="77777777" w:rsidR="00BA5125" w:rsidRPr="00103038" w:rsidRDefault="00BA5125" w:rsidP="00BA5125">
            <w:r w:rsidRPr="008503CF">
              <w:rPr>
                <w:rFonts w:cs="Arial"/>
                <w:color w:val="0D0D0D" w:themeColor="text1" w:themeTint="F2"/>
                <w:spacing w:val="-4"/>
              </w:rPr>
              <w:t>Tržby ve službách se v roce 2023 (po svižném růstu v pře</w:t>
            </w:r>
            <w:r>
              <w:rPr>
                <w:rFonts w:cs="Arial"/>
                <w:color w:val="0D0D0D" w:themeColor="text1" w:themeTint="F2"/>
                <w:spacing w:val="-4"/>
              </w:rPr>
              <w:t xml:space="preserve">dchozích dvou letech) snížily </w:t>
            </w:r>
            <w:r w:rsidRPr="008503CF">
              <w:rPr>
                <w:rFonts w:cs="Arial"/>
                <w:color w:val="0D0D0D" w:themeColor="text1" w:themeTint="F2"/>
                <w:spacing w:val="-4"/>
              </w:rPr>
              <w:t>o 1,6 %</w:t>
            </w:r>
            <w:r>
              <w:rPr>
                <w:rFonts w:cs="Arial"/>
                <w:color w:val="0D0D0D" w:themeColor="text1" w:themeTint="F2"/>
                <w:spacing w:val="-6"/>
              </w:rPr>
              <w:t xml:space="preserve"> (meziročně klesaly od 2. čtvrtletí 2023). Na tom měla zcela zásadní vliv slabá poptávka v klíčovém odvětví dopravy a skladování (celoroční pokles o 8,4 %, příspěvek k vývoji služeb </w:t>
            </w:r>
            <w:r>
              <w:rPr>
                <w:color w:val="0D0D0D" w:themeColor="text1" w:themeTint="F2"/>
                <w:spacing w:val="-6"/>
              </w:rPr>
              <w:t>−</w:t>
            </w:r>
            <w:r>
              <w:rPr>
                <w:rFonts w:cs="Arial"/>
                <w:color w:val="0D0D0D" w:themeColor="text1" w:themeTint="F2"/>
                <w:spacing w:val="-6"/>
              </w:rPr>
              <w:t>2,6 p. b.). Z toho ve skladování (vč. vedlejších činností v dopravě</w:t>
            </w:r>
            <w:r>
              <w:rPr>
                <w:color w:val="0D0D0D" w:themeColor="text1" w:themeTint="F2"/>
                <w:spacing w:val="-6"/>
              </w:rPr>
              <w:t>)</w:t>
            </w:r>
            <w:r>
              <w:rPr>
                <w:rFonts w:cs="Arial"/>
                <w:color w:val="0D0D0D" w:themeColor="text1" w:themeTint="F2"/>
                <w:spacing w:val="-6"/>
              </w:rPr>
              <w:t xml:space="preserve"> se tržby propadly o</w:t>
            </w:r>
            <w:r w:rsidRPr="00C8516F">
              <w:rPr>
                <w:rFonts w:cs="Arial"/>
                <w:color w:val="0D0D0D" w:themeColor="text1" w:themeTint="F2"/>
                <w:spacing w:val="-4"/>
              </w:rPr>
              <w:t> </w:t>
            </w:r>
            <w:r>
              <w:rPr>
                <w:rFonts w:cs="Arial"/>
                <w:color w:val="0D0D0D" w:themeColor="text1" w:themeTint="F2"/>
                <w:spacing w:val="-6"/>
              </w:rPr>
              <w:t>rekordních 11,4 %</w:t>
            </w:r>
            <w:r>
              <w:rPr>
                <w:rStyle w:val="Znakapoznpodarou"/>
                <w:color w:val="0D0D0D" w:themeColor="text1" w:themeTint="F2"/>
                <w:spacing w:val="-6"/>
              </w:rPr>
              <w:footnoteReference w:id="27"/>
            </w:r>
            <w:r>
              <w:rPr>
                <w:rFonts w:cs="Arial"/>
                <w:color w:val="0D0D0D" w:themeColor="text1" w:themeTint="F2"/>
                <w:spacing w:val="-6"/>
              </w:rPr>
              <w:t>. K hlubokému poklesu došlo i v pozemní a potrubní dopravě (</w:t>
            </w:r>
            <w:r>
              <w:rPr>
                <w:color w:val="0D0D0D" w:themeColor="text1" w:themeTint="F2"/>
                <w:spacing w:val="-6"/>
              </w:rPr>
              <w:t>−</w:t>
            </w:r>
            <w:r>
              <w:rPr>
                <w:rFonts w:cs="Arial"/>
                <w:color w:val="0D0D0D" w:themeColor="text1" w:themeTint="F2"/>
                <w:spacing w:val="-6"/>
              </w:rPr>
              <w:t xml:space="preserve">8,0 %). Recese v průmyslu, stavebnictví i obchodu doprovázená poklesem obratu zahraničního </w:t>
            </w:r>
            <w:r w:rsidRPr="00F4476A">
              <w:rPr>
                <w:rFonts w:cs="Arial"/>
                <w:color w:val="0D0D0D" w:themeColor="text1" w:themeTint="F2"/>
                <w:spacing w:val="-4"/>
              </w:rPr>
              <w:t>obchodu</w:t>
            </w:r>
            <w:r w:rsidRPr="00F4476A">
              <w:rPr>
                <w:rStyle w:val="Znakapoznpodarou"/>
                <w:color w:val="0D0D0D" w:themeColor="text1" w:themeTint="F2"/>
                <w:spacing w:val="-4"/>
              </w:rPr>
              <w:footnoteReference w:id="28"/>
            </w:r>
            <w:r w:rsidRPr="00F4476A">
              <w:rPr>
                <w:rFonts w:cs="Arial"/>
                <w:color w:val="0D0D0D" w:themeColor="text1" w:themeTint="F2"/>
                <w:spacing w:val="-4"/>
              </w:rPr>
              <w:t xml:space="preserve"> se odrazila v nižších přepravních výkone</w:t>
            </w:r>
            <w:r>
              <w:rPr>
                <w:rFonts w:cs="Arial"/>
                <w:color w:val="0D0D0D" w:themeColor="text1" w:themeTint="F2"/>
                <w:spacing w:val="-4"/>
              </w:rPr>
              <w:t>ch silniční i</w:t>
            </w:r>
            <w:r w:rsidRPr="00C8516F">
              <w:rPr>
                <w:rFonts w:cs="Arial"/>
                <w:color w:val="0D0D0D" w:themeColor="text1" w:themeTint="F2"/>
                <w:spacing w:val="-4"/>
              </w:rPr>
              <w:t> </w:t>
            </w:r>
            <w:r w:rsidRPr="00F4476A">
              <w:rPr>
                <w:rFonts w:cs="Arial"/>
                <w:color w:val="0D0D0D" w:themeColor="text1" w:themeTint="F2"/>
                <w:spacing w:val="-4"/>
              </w:rPr>
              <w:t>železniční</w:t>
            </w:r>
            <w:r>
              <w:rPr>
                <w:rFonts w:cs="Arial"/>
                <w:color w:val="0D0D0D" w:themeColor="text1" w:themeTint="F2"/>
                <w:spacing w:val="-4"/>
              </w:rPr>
              <w:t xml:space="preserve"> nákladní dopravy</w:t>
            </w:r>
            <w:r w:rsidRPr="00F4476A">
              <w:rPr>
                <w:rStyle w:val="Znakapoznpodarou"/>
                <w:color w:val="0D0D0D" w:themeColor="text1" w:themeTint="F2"/>
                <w:spacing w:val="-4"/>
              </w:rPr>
              <w:footnoteReference w:id="29"/>
            </w:r>
            <w:r w:rsidRPr="00F4476A">
              <w:rPr>
                <w:rFonts w:cs="Arial"/>
                <w:color w:val="0D0D0D" w:themeColor="text1" w:themeTint="F2"/>
                <w:spacing w:val="-4"/>
              </w:rPr>
              <w:t>.</w:t>
            </w:r>
            <w:r>
              <w:rPr>
                <w:rFonts w:cs="Arial"/>
                <w:color w:val="0D0D0D" w:themeColor="text1" w:themeTint="F2"/>
                <w:spacing w:val="-6"/>
              </w:rPr>
              <w:t xml:space="preserve"> Pozitivně se naopak v tržbách pozemní dopravy projevil mírný růst výkonů osobní železniční dopravy spojený s výraznějším posílením přeshraniční dopravy, ale i</w:t>
            </w:r>
            <w:r w:rsidRPr="00C8516F">
              <w:rPr>
                <w:rFonts w:cs="Arial"/>
                <w:color w:val="0D0D0D" w:themeColor="text1" w:themeTint="F2"/>
                <w:spacing w:val="-4"/>
              </w:rPr>
              <w:t> </w:t>
            </w:r>
            <w:r>
              <w:rPr>
                <w:rFonts w:cs="Arial"/>
                <w:color w:val="0D0D0D" w:themeColor="text1" w:themeTint="F2"/>
                <w:spacing w:val="-4"/>
              </w:rPr>
              <w:t xml:space="preserve">s </w:t>
            </w:r>
            <w:r>
              <w:rPr>
                <w:rFonts w:cs="Arial"/>
                <w:color w:val="0D0D0D" w:themeColor="text1" w:themeTint="F2"/>
                <w:spacing w:val="-6"/>
              </w:rPr>
              <w:t xml:space="preserve">rozvojem regionální dopravy (modernizace tratí, </w:t>
            </w:r>
            <w:r w:rsidRPr="008B794B">
              <w:rPr>
                <w:rFonts w:cs="Arial"/>
                <w:color w:val="0D0D0D" w:themeColor="text1" w:themeTint="F2"/>
                <w:spacing w:val="-6"/>
              </w:rPr>
              <w:t>zapojování nových oblastí do systémů integrované dopravy).</w:t>
            </w:r>
            <w:r>
              <w:rPr>
                <w:rFonts w:cs="Arial"/>
                <w:color w:val="0D0D0D" w:themeColor="text1" w:themeTint="F2"/>
                <w:spacing w:val="-6"/>
              </w:rPr>
              <w:t xml:space="preserve"> Meziročně vzrostly i výkony pravidelné v</w:t>
            </w:r>
            <w:r w:rsidRPr="0098768D">
              <w:rPr>
                <w:rFonts w:cs="Arial"/>
                <w:color w:val="0D0D0D" w:themeColor="text1" w:themeTint="F2"/>
                <w:spacing w:val="-6"/>
              </w:rPr>
              <w:t>e</w:t>
            </w:r>
            <w:r>
              <w:rPr>
                <w:rFonts w:cs="Arial"/>
                <w:color w:val="0D0D0D" w:themeColor="text1" w:themeTint="F2"/>
                <w:spacing w:val="-6"/>
              </w:rPr>
              <w:t>řejné autobusové dopravy (stejně jako v ostatních druzích osobní dopravy však zaostaly za „předcovidovou“ úrovní). Pokračující zotavování příjezdového cestovního ruchu podpořilo tržby v letecké dopravě (+5,1 %). Mírně se zvýšily rovněž tržby ve vodní dopravě. Naopak p</w:t>
            </w:r>
            <w:r w:rsidRPr="008A6FD3">
              <w:rPr>
                <w:rFonts w:cs="Arial"/>
                <w:color w:val="0D0D0D" w:themeColor="text1" w:themeTint="F2"/>
                <w:spacing w:val="-6"/>
              </w:rPr>
              <w:t>oštovní a kurýrní činnosti</w:t>
            </w:r>
            <w:r>
              <w:rPr>
                <w:rFonts w:cs="Arial"/>
                <w:color w:val="0D0D0D" w:themeColor="text1" w:themeTint="F2"/>
                <w:spacing w:val="-6"/>
              </w:rPr>
              <w:t xml:space="preserve"> utržily meziročně o 3,3 % méně. Výkon zde částečně i vlivem slabší poptávky po </w:t>
            </w:r>
            <w:r w:rsidRPr="00103038">
              <w:rPr>
                <w:rFonts w:cs="Arial"/>
                <w:color w:val="0D0D0D" w:themeColor="text1" w:themeTint="F2"/>
                <w:spacing w:val="-7"/>
              </w:rPr>
              <w:t>internetových prodejích klesl druhý rok v řadě, oproti roku 2019 však byl o téměř osminu vyšší.</w:t>
            </w:r>
          </w:p>
        </w:tc>
      </w:tr>
      <w:tr w:rsidR="00BA5125" w14:paraId="15301107" w14:textId="77777777" w:rsidTr="00BA5125">
        <w:trPr>
          <w:trHeight w:val="170"/>
        </w:trPr>
        <w:tc>
          <w:tcPr>
            <w:tcW w:w="1814" w:type="dxa"/>
            <w:tcBorders>
              <w:top w:val="nil"/>
              <w:left w:val="nil"/>
              <w:bottom w:val="nil"/>
              <w:right w:val="nil"/>
            </w:tcBorders>
            <w:shd w:val="clear" w:color="auto" w:fill="auto"/>
            <w:tcMar>
              <w:left w:w="0" w:type="dxa"/>
            </w:tcMar>
          </w:tcPr>
          <w:p w14:paraId="1D3695C5" w14:textId="77777777" w:rsidR="00BA5125" w:rsidRPr="002A2FF6" w:rsidRDefault="00BA5125" w:rsidP="00BA5125">
            <w:pPr>
              <w:pStyle w:val="Marginlie"/>
              <w:rPr>
                <w:color w:val="0D0D0D" w:themeColor="text1" w:themeTint="F2"/>
              </w:rPr>
            </w:pPr>
            <w:r w:rsidRPr="002A2FF6">
              <w:rPr>
                <w:color w:val="0D0D0D" w:themeColor="text1" w:themeTint="F2"/>
              </w:rPr>
              <w:t>Propad tržeb pracovních agentur pokračoval, cyklický útlum poptávky nastal i ve většině dalších podnikových služeb.</w:t>
            </w:r>
          </w:p>
          <w:p w14:paraId="521C6FEC" w14:textId="77777777" w:rsidR="00BA5125" w:rsidRDefault="00BA5125" w:rsidP="00BA5125">
            <w:pPr>
              <w:pStyle w:val="Marginlie"/>
            </w:pPr>
            <w:r>
              <w:t xml:space="preserve"> </w:t>
            </w:r>
          </w:p>
        </w:tc>
        <w:tc>
          <w:tcPr>
            <w:tcW w:w="229" w:type="dxa"/>
            <w:tcBorders>
              <w:top w:val="nil"/>
              <w:left w:val="nil"/>
              <w:bottom w:val="nil"/>
              <w:right w:val="nil"/>
            </w:tcBorders>
            <w:shd w:val="clear" w:color="auto" w:fill="auto"/>
            <w:tcMar>
              <w:left w:w="0" w:type="dxa"/>
            </w:tcMar>
          </w:tcPr>
          <w:p w14:paraId="27FE83E8"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6A172695" w14:textId="77777777" w:rsidR="00BA5125" w:rsidRPr="00FA02C0" w:rsidRDefault="00BA5125" w:rsidP="00BA5125">
            <w:pPr>
              <w:spacing w:after="200"/>
              <w:rPr>
                <w:color w:val="0D0D0D" w:themeColor="text1" w:themeTint="F2"/>
                <w:spacing w:val="-4"/>
              </w:rPr>
            </w:pPr>
            <w:r>
              <w:rPr>
                <w:color w:val="0D0D0D" w:themeColor="text1" w:themeTint="F2"/>
                <w:spacing w:val="-4"/>
              </w:rPr>
              <w:t>V odvětví administrativní a podpůrné činnosti tržby za loňský rok velmi mírně vzrostly (+0,8 %). Zásadní roli zde měly</w:t>
            </w:r>
            <w:r w:rsidRPr="00583B84">
              <w:rPr>
                <w:rFonts w:cs="Arial"/>
                <w:color w:val="0D0D0D" w:themeColor="text1" w:themeTint="F2"/>
                <w:spacing w:val="-2"/>
              </w:rPr>
              <w:t xml:space="preserve"> </w:t>
            </w:r>
            <w:r>
              <w:rPr>
                <w:rFonts w:cs="Arial"/>
                <w:color w:val="0D0D0D" w:themeColor="text1" w:themeTint="F2"/>
                <w:spacing w:val="-2"/>
              </w:rPr>
              <w:t>cestovní</w:t>
            </w:r>
            <w:r w:rsidRPr="00583B84">
              <w:rPr>
                <w:rFonts w:cs="Arial"/>
                <w:color w:val="0D0D0D" w:themeColor="text1" w:themeTint="F2"/>
                <w:spacing w:val="-2"/>
              </w:rPr>
              <w:t xml:space="preserve"> age</w:t>
            </w:r>
            <w:r>
              <w:rPr>
                <w:rFonts w:cs="Arial"/>
                <w:color w:val="0D0D0D" w:themeColor="text1" w:themeTint="F2"/>
                <w:spacing w:val="-2"/>
              </w:rPr>
              <w:t>ntury a</w:t>
            </w:r>
            <w:r>
              <w:rPr>
                <w:color w:val="0D0D0D" w:themeColor="text1" w:themeTint="F2"/>
                <w:spacing w:val="-4"/>
              </w:rPr>
              <w:t> </w:t>
            </w:r>
            <w:r>
              <w:rPr>
                <w:rFonts w:cs="Arial"/>
                <w:color w:val="0D0D0D" w:themeColor="text1" w:themeTint="F2"/>
                <w:spacing w:val="-2"/>
              </w:rPr>
              <w:t>kanceláře, jimž za loňský rok tržby vzrostly o</w:t>
            </w:r>
            <w:r w:rsidRPr="00362082">
              <w:rPr>
                <w:color w:val="0D0D0D" w:themeColor="text1" w:themeTint="F2"/>
                <w:spacing w:val="-4"/>
              </w:rPr>
              <w:t> </w:t>
            </w:r>
            <w:r>
              <w:rPr>
                <w:color w:val="0D0D0D" w:themeColor="text1" w:themeTint="F2"/>
                <w:spacing w:val="-4"/>
              </w:rPr>
              <w:t>rovných 16</w:t>
            </w:r>
            <w:r w:rsidRPr="00583B84">
              <w:rPr>
                <w:rFonts w:cs="Arial"/>
                <w:color w:val="0D0D0D" w:themeColor="text1" w:themeTint="F2"/>
                <w:spacing w:val="-2"/>
              </w:rPr>
              <w:t xml:space="preserve"> %</w:t>
            </w:r>
            <w:r>
              <w:rPr>
                <w:rFonts w:cs="Arial"/>
                <w:color w:val="0D0D0D" w:themeColor="text1" w:themeTint="F2"/>
                <w:spacing w:val="-2"/>
              </w:rPr>
              <w:t xml:space="preserve"> (a poprvé lehce překonaly úroveň z roku 2019) a kompenzovaly tak klesající tržby v ostatních dílčích odvětvích (navázaných primárně na poptávku ze strany podniků). </w:t>
            </w:r>
            <w:r>
              <w:rPr>
                <w:color w:val="0D0D0D" w:themeColor="text1" w:themeTint="F2"/>
                <w:spacing w:val="-4"/>
              </w:rPr>
              <w:t>U nich se projevil především nižší výkon pracovních agentur (</w:t>
            </w:r>
            <w:r>
              <w:rPr>
                <w:color w:val="0D0D0D" w:themeColor="text1" w:themeTint="F2"/>
                <w:spacing w:val="-6"/>
              </w:rPr>
              <w:t>−</w:t>
            </w:r>
            <w:r>
              <w:rPr>
                <w:color w:val="0D0D0D" w:themeColor="text1" w:themeTint="F2"/>
                <w:spacing w:val="-4"/>
              </w:rPr>
              <w:t xml:space="preserve">13,8 %, za </w:t>
            </w:r>
            <w:r w:rsidRPr="002A2FF6">
              <w:rPr>
                <w:color w:val="0D0D0D" w:themeColor="text1" w:themeTint="F2"/>
                <w:spacing w:val="-2"/>
              </w:rPr>
              <w:t xml:space="preserve">dva roky </w:t>
            </w:r>
            <w:r>
              <w:rPr>
                <w:color w:val="0D0D0D" w:themeColor="text1" w:themeTint="F2"/>
                <w:spacing w:val="-2"/>
              </w:rPr>
              <w:t>−</w:t>
            </w:r>
            <w:r w:rsidRPr="002A2FF6">
              <w:rPr>
                <w:color w:val="0D0D0D" w:themeColor="text1" w:themeTint="F2"/>
                <w:spacing w:val="-2"/>
              </w:rPr>
              <w:t>22,4 %)</w:t>
            </w:r>
            <w:r w:rsidRPr="002A2FF6">
              <w:rPr>
                <w:rStyle w:val="Znakapoznpodarou"/>
                <w:color w:val="0D0D0D" w:themeColor="text1" w:themeTint="F2"/>
                <w:spacing w:val="-2"/>
              </w:rPr>
              <w:footnoteReference w:id="30"/>
            </w:r>
            <w:r w:rsidRPr="002A2FF6">
              <w:rPr>
                <w:color w:val="0D0D0D" w:themeColor="text1" w:themeTint="F2"/>
                <w:spacing w:val="-2"/>
              </w:rPr>
              <w:t xml:space="preserve">. Mírnější cyklický útlum poptávky </w:t>
            </w:r>
            <w:r>
              <w:rPr>
                <w:color w:val="0D0D0D" w:themeColor="text1" w:themeTint="F2"/>
                <w:spacing w:val="-2"/>
              </w:rPr>
              <w:t xml:space="preserve">pak </w:t>
            </w:r>
            <w:r w:rsidRPr="002A2FF6">
              <w:rPr>
                <w:color w:val="0D0D0D" w:themeColor="text1" w:themeTint="F2"/>
                <w:spacing w:val="-2"/>
              </w:rPr>
              <w:t>nastal v oblasti pronájmu a operativního</w:t>
            </w:r>
            <w:r w:rsidRPr="00362082">
              <w:rPr>
                <w:color w:val="0D0D0D" w:themeColor="text1" w:themeTint="F2"/>
                <w:spacing w:val="-4"/>
              </w:rPr>
              <w:t xml:space="preserve"> leasingu</w:t>
            </w:r>
            <w:r>
              <w:rPr>
                <w:color w:val="0D0D0D" w:themeColor="text1" w:themeTint="F2"/>
                <w:spacing w:val="-4"/>
              </w:rPr>
              <w:t xml:space="preserve"> (</w:t>
            </w:r>
            <w:r>
              <w:rPr>
                <w:color w:val="0D0D0D" w:themeColor="text1" w:themeTint="F2"/>
                <w:spacing w:val="-6"/>
              </w:rPr>
              <w:t>−</w:t>
            </w:r>
            <w:r>
              <w:rPr>
                <w:color w:val="0D0D0D" w:themeColor="text1" w:themeTint="F2"/>
                <w:spacing w:val="-4"/>
              </w:rPr>
              <w:t>3,5 %), kde nejvíce klesaly tržby za stroje, zařízení a nákladní automobily, ale rovněž za výrobky</w:t>
            </w:r>
            <w:r w:rsidRPr="00362082">
              <w:rPr>
                <w:color w:val="0D0D0D" w:themeColor="text1" w:themeTint="F2"/>
                <w:spacing w:val="-4"/>
              </w:rPr>
              <w:t xml:space="preserve"> pro osobní potřebu a převážně pro domácnost</w:t>
            </w:r>
            <w:r>
              <w:rPr>
                <w:color w:val="0D0D0D" w:themeColor="text1" w:themeTint="F2"/>
                <w:spacing w:val="-4"/>
              </w:rPr>
              <w:t>. Tlak na snižování nákladů i rozvoj digitalizace vyústily ve slabší poptávku po úklidových činnostech či po b</w:t>
            </w:r>
            <w:r w:rsidRPr="00DE1692">
              <w:rPr>
                <w:color w:val="0D0D0D" w:themeColor="text1" w:themeTint="F2"/>
                <w:spacing w:val="-4"/>
              </w:rPr>
              <w:t>ezpečnostní</w:t>
            </w:r>
            <w:r>
              <w:rPr>
                <w:color w:val="0D0D0D" w:themeColor="text1" w:themeTint="F2"/>
                <w:spacing w:val="-4"/>
              </w:rPr>
              <w:t>ch</w:t>
            </w:r>
            <w:r w:rsidRPr="00DE1692">
              <w:rPr>
                <w:color w:val="0D0D0D" w:themeColor="text1" w:themeTint="F2"/>
                <w:spacing w:val="-4"/>
              </w:rPr>
              <w:t xml:space="preserve"> a pátrací</w:t>
            </w:r>
            <w:r>
              <w:rPr>
                <w:color w:val="0D0D0D" w:themeColor="text1" w:themeTint="F2"/>
                <w:spacing w:val="-4"/>
              </w:rPr>
              <w:t>ch činnostech.</w:t>
            </w:r>
          </w:p>
        </w:tc>
      </w:tr>
      <w:tr w:rsidR="00BA5125" w14:paraId="3C73F299" w14:textId="77777777" w:rsidTr="00BA5125">
        <w:trPr>
          <w:trHeight w:val="170"/>
        </w:trPr>
        <w:tc>
          <w:tcPr>
            <w:tcW w:w="1814" w:type="dxa"/>
            <w:tcBorders>
              <w:top w:val="nil"/>
              <w:left w:val="nil"/>
              <w:bottom w:val="nil"/>
              <w:right w:val="nil"/>
            </w:tcBorders>
            <w:shd w:val="clear" w:color="auto" w:fill="auto"/>
            <w:tcMar>
              <w:left w:w="0" w:type="dxa"/>
            </w:tcMar>
          </w:tcPr>
          <w:p w14:paraId="7009E66C" w14:textId="77777777" w:rsidR="00BA5125" w:rsidRDefault="00BA5125" w:rsidP="00BA5125">
            <w:pPr>
              <w:pStyle w:val="Marginlie"/>
            </w:pPr>
            <w:r>
              <w:t>Tržby v ubytování loni nadále rostly, celoroční poptávka v tuzemském cestovním ruchu ale stále plně nedosáhla úrovně z roku 2019.</w:t>
            </w:r>
          </w:p>
        </w:tc>
        <w:tc>
          <w:tcPr>
            <w:tcW w:w="229" w:type="dxa"/>
            <w:tcBorders>
              <w:top w:val="nil"/>
              <w:left w:val="nil"/>
              <w:bottom w:val="nil"/>
              <w:right w:val="nil"/>
            </w:tcBorders>
            <w:shd w:val="clear" w:color="auto" w:fill="auto"/>
            <w:tcMar>
              <w:left w:w="0" w:type="dxa"/>
            </w:tcMar>
          </w:tcPr>
          <w:p w14:paraId="46D9B5DE"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2922F093" w14:textId="77777777" w:rsidR="00BA5125" w:rsidRDefault="00BA5125" w:rsidP="00BA5125">
            <w:pPr>
              <w:spacing w:after="200"/>
              <w:rPr>
                <w:rFonts w:cs="Arial"/>
                <w:color w:val="0D0D0D" w:themeColor="text1" w:themeTint="F2"/>
                <w:szCs w:val="20"/>
              </w:rPr>
            </w:pPr>
            <w:r>
              <w:rPr>
                <w:rFonts w:cs="Arial"/>
                <w:color w:val="0D0D0D" w:themeColor="text1" w:themeTint="F2"/>
                <w:szCs w:val="20"/>
              </w:rPr>
              <w:t xml:space="preserve">Rozvíjející se cestovních ruch se odrazil i ve výkonu odvětví </w:t>
            </w:r>
            <w:r>
              <w:rPr>
                <w:color w:val="0D0D0D" w:themeColor="text1" w:themeTint="F2"/>
                <w:spacing w:val="-6"/>
              </w:rPr>
              <w:t>u</w:t>
            </w:r>
            <w:r w:rsidRPr="00F65FD8">
              <w:rPr>
                <w:color w:val="0D0D0D" w:themeColor="text1" w:themeTint="F2"/>
                <w:spacing w:val="-6"/>
              </w:rPr>
              <w:t>byt</w:t>
            </w:r>
            <w:r>
              <w:rPr>
                <w:color w:val="0D0D0D" w:themeColor="text1" w:themeTint="F2"/>
                <w:spacing w:val="-6"/>
              </w:rPr>
              <w:t xml:space="preserve">ování, stravování a pohostinství, kde se loni tržby navýšily o 2,5 %. Stejně jako v roce 2022, rostla i loni svižněji poptávka v ubytování (+3,0 %), kde těžila z častějších příjezdů zahraničních hostů. Především díky nim se celková poptávka v tuzemském cestovním ruchu dynamicky zvyšovala druhým rokem v řadě. Celoroční počet všech přenocování v hromadných ubytovacích zařízeních v ČR se však ani loni plně nedorovnal rekordní úrovni z roku 2019 </w:t>
            </w:r>
            <w:r>
              <w:rPr>
                <w:color w:val="0D0D0D" w:themeColor="text1" w:themeTint="F2"/>
                <w:spacing w:val="-6"/>
              </w:rPr>
              <w:lastRenderedPageBreak/>
              <w:t>(o 1,8 %, z toho u nerezidentů zaostal o celých 14 %)</w:t>
            </w:r>
            <w:r>
              <w:rPr>
                <w:rStyle w:val="Znakapoznpodarou"/>
                <w:color w:val="0D0D0D" w:themeColor="text1" w:themeTint="F2"/>
                <w:spacing w:val="-6"/>
              </w:rPr>
              <w:footnoteReference w:id="31"/>
            </w:r>
            <w:r>
              <w:rPr>
                <w:color w:val="0D0D0D" w:themeColor="text1" w:themeTint="F2"/>
                <w:spacing w:val="-6"/>
              </w:rPr>
              <w:t xml:space="preserve">, zčásti také kvůli zkracující se délce pobytů. </w:t>
            </w:r>
            <w:r>
              <w:rPr>
                <w:color w:val="0D0D0D" w:themeColor="text1" w:themeTint="F2"/>
                <w:spacing w:val="-4"/>
              </w:rPr>
              <w:t>Segment stravování a pohostinství více ovlivňovala stále slábnoucí kupní síla tuzemských domácností a tržby zde loni meziročně posílily jen o 2,3 %.</w:t>
            </w:r>
          </w:p>
        </w:tc>
      </w:tr>
      <w:tr w:rsidR="00BA5125" w14:paraId="2DCE3E66" w14:textId="77777777" w:rsidTr="00BA5125">
        <w:trPr>
          <w:trHeight w:val="170"/>
        </w:trPr>
        <w:tc>
          <w:tcPr>
            <w:tcW w:w="1814" w:type="dxa"/>
            <w:tcBorders>
              <w:top w:val="nil"/>
              <w:left w:val="nil"/>
              <w:bottom w:val="nil"/>
              <w:right w:val="nil"/>
            </w:tcBorders>
            <w:shd w:val="clear" w:color="auto" w:fill="auto"/>
            <w:tcMar>
              <w:left w:w="0" w:type="dxa"/>
            </w:tcMar>
          </w:tcPr>
          <w:p w14:paraId="472E9E17" w14:textId="77777777" w:rsidR="00BA5125" w:rsidRDefault="00BA5125" w:rsidP="00BA5125">
            <w:pPr>
              <w:pStyle w:val="Marginlie"/>
            </w:pPr>
          </w:p>
        </w:tc>
        <w:tc>
          <w:tcPr>
            <w:tcW w:w="229" w:type="dxa"/>
            <w:tcBorders>
              <w:top w:val="nil"/>
              <w:left w:val="nil"/>
              <w:bottom w:val="nil"/>
              <w:right w:val="nil"/>
            </w:tcBorders>
            <w:shd w:val="clear" w:color="auto" w:fill="auto"/>
            <w:tcMar>
              <w:left w:w="0" w:type="dxa"/>
            </w:tcMar>
          </w:tcPr>
          <w:p w14:paraId="6273AF45"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0B17DEE2" w14:textId="77777777" w:rsidR="00BA5125" w:rsidRPr="00C32591" w:rsidRDefault="00BA5125" w:rsidP="00BA5125">
            <w:pPr>
              <w:spacing w:after="40"/>
              <w:rPr>
                <w:b/>
                <w:spacing w:val="-4"/>
              </w:rPr>
            </w:pPr>
            <w:r w:rsidRPr="00C32591">
              <w:rPr>
                <w:b/>
                <w:spacing w:val="-4"/>
              </w:rPr>
              <w:t xml:space="preserve">Graf č. 7 </w:t>
            </w:r>
            <w:r w:rsidRPr="00C32591">
              <w:rPr>
                <w:b/>
                <w:bCs/>
                <w:spacing w:val="-4"/>
              </w:rPr>
              <w:t>Příspěvky dílčích odvětví k meziroční změně tržeb ve službách*</w:t>
            </w:r>
            <w:r w:rsidRPr="00C32591">
              <w:rPr>
                <w:b/>
                <w:spacing w:val="-4"/>
              </w:rPr>
              <w:br/>
            </w:r>
            <w:r w:rsidRPr="00C32591">
              <w:rPr>
                <w:spacing w:val="-4"/>
              </w:rPr>
              <w:t>(reálně, v p. b),</w:t>
            </w:r>
            <w:r w:rsidRPr="00C32591">
              <w:rPr>
                <w:b/>
                <w:spacing w:val="-4"/>
              </w:rPr>
              <w:t xml:space="preserve"> </w:t>
            </w:r>
            <w:r w:rsidRPr="00C32591">
              <w:rPr>
                <w:b/>
                <w:bCs/>
                <w:spacing w:val="-4"/>
              </w:rPr>
              <w:t xml:space="preserve">celkové tržby ve službách* </w:t>
            </w:r>
            <w:r>
              <w:rPr>
                <w:spacing w:val="-4"/>
              </w:rPr>
              <w:t>(báze 2021</w:t>
            </w:r>
            <w:r w:rsidRPr="00C32591">
              <w:rPr>
                <w:spacing w:val="-4"/>
              </w:rPr>
              <w:t>=100, pravá osa),</w:t>
            </w:r>
            <w:r w:rsidRPr="00C32591">
              <w:rPr>
                <w:b/>
                <w:spacing w:val="-4"/>
              </w:rPr>
              <w:t xml:space="preserve"> </w:t>
            </w:r>
            <w:r w:rsidRPr="00C32591">
              <w:rPr>
                <w:b/>
                <w:bCs/>
                <w:spacing w:val="-4"/>
              </w:rPr>
              <w:t>saldo důvěry podnikatelů ve službách**</w:t>
            </w:r>
            <w:r w:rsidRPr="00C32591">
              <w:rPr>
                <w:b/>
                <w:spacing w:val="-4"/>
              </w:rPr>
              <w:t xml:space="preserve"> </w:t>
            </w:r>
            <w:r w:rsidRPr="00C32591">
              <w:rPr>
                <w:spacing w:val="-4"/>
              </w:rPr>
              <w:t>(v p. b., pravá osa)</w:t>
            </w:r>
            <w:r>
              <w:rPr>
                <w:b/>
                <w:bCs/>
                <w:spacing w:val="-4"/>
              </w:rPr>
              <w:t xml:space="preserve"> a </w:t>
            </w:r>
            <w:r w:rsidRPr="00C32591">
              <w:rPr>
                <w:b/>
                <w:bCs/>
                <w:spacing w:val="-4"/>
              </w:rPr>
              <w:t>bariéry růstu**</w:t>
            </w:r>
            <w:r w:rsidRPr="00C32591">
              <w:rPr>
                <w:b/>
                <w:spacing w:val="-4"/>
              </w:rPr>
              <w:t xml:space="preserve"> </w:t>
            </w:r>
            <w:r w:rsidRPr="00C32591">
              <w:rPr>
                <w:spacing w:val="-4"/>
              </w:rPr>
              <w:t xml:space="preserve">(v %, pravá osa) </w:t>
            </w:r>
          </w:p>
        </w:tc>
      </w:tr>
      <w:tr w:rsidR="00BA5125" w14:paraId="75B8C91A" w14:textId="77777777" w:rsidTr="00BA5125">
        <w:tblPrEx>
          <w:tblCellMar>
            <w:left w:w="70" w:type="dxa"/>
            <w:right w:w="70" w:type="dxa"/>
          </w:tblCellMar>
        </w:tblPrEx>
        <w:trPr>
          <w:trHeight w:val="170"/>
        </w:trPr>
        <w:tc>
          <w:tcPr>
            <w:tcW w:w="1814" w:type="dxa"/>
            <w:tcBorders>
              <w:top w:val="nil"/>
              <w:left w:val="nil"/>
              <w:bottom w:val="nil"/>
              <w:right w:val="nil"/>
            </w:tcBorders>
            <w:shd w:val="clear" w:color="auto" w:fill="auto"/>
          </w:tcPr>
          <w:p w14:paraId="5C3C8EAB" w14:textId="77777777" w:rsidR="00BA5125" w:rsidRDefault="00BA5125" w:rsidP="00BA5125">
            <w:pPr>
              <w:pStyle w:val="Marginlie"/>
            </w:pPr>
          </w:p>
        </w:tc>
        <w:tc>
          <w:tcPr>
            <w:tcW w:w="229" w:type="dxa"/>
            <w:tcBorders>
              <w:top w:val="nil"/>
              <w:left w:val="nil"/>
              <w:bottom w:val="nil"/>
              <w:right w:val="nil"/>
            </w:tcBorders>
            <w:shd w:val="clear" w:color="auto" w:fill="auto"/>
          </w:tcPr>
          <w:p w14:paraId="1A3A1821"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Pr>
          <w:p w14:paraId="41BC73F1" w14:textId="77777777" w:rsidR="00BA5125" w:rsidRPr="004C1143" w:rsidRDefault="00BA5125" w:rsidP="00BA5125">
            <w:pPr>
              <w:spacing w:after="0"/>
              <w:rPr>
                <w:rFonts w:cs="Arial"/>
                <w:sz w:val="14"/>
                <w:szCs w:val="14"/>
              </w:rPr>
            </w:pPr>
            <w:r>
              <w:rPr>
                <w:noProof/>
              </w:rPr>
              <w:drawing>
                <wp:inline distT="0" distB="0" distL="0" distR="0" wp14:anchorId="33FD2234" wp14:editId="1115F0DF">
                  <wp:extent cx="4661391" cy="3636780"/>
                  <wp:effectExtent l="0" t="0" r="6350" b="1905"/>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BA5125" w14:paraId="26BDED57" w14:textId="77777777" w:rsidTr="00BA5125">
        <w:trPr>
          <w:trHeight w:val="170"/>
        </w:trPr>
        <w:tc>
          <w:tcPr>
            <w:tcW w:w="1814" w:type="dxa"/>
            <w:tcBorders>
              <w:top w:val="nil"/>
              <w:left w:val="nil"/>
              <w:bottom w:val="nil"/>
              <w:right w:val="nil"/>
            </w:tcBorders>
            <w:shd w:val="clear" w:color="auto" w:fill="auto"/>
            <w:tcMar>
              <w:left w:w="0" w:type="dxa"/>
            </w:tcMar>
          </w:tcPr>
          <w:p w14:paraId="4D07E182" w14:textId="77777777" w:rsidR="00BA5125" w:rsidRDefault="00BA5125" w:rsidP="00BA5125">
            <w:pPr>
              <w:pStyle w:val="Marginlie"/>
            </w:pPr>
          </w:p>
        </w:tc>
        <w:tc>
          <w:tcPr>
            <w:tcW w:w="229" w:type="dxa"/>
            <w:tcBorders>
              <w:top w:val="nil"/>
              <w:left w:val="nil"/>
              <w:bottom w:val="nil"/>
              <w:right w:val="nil"/>
            </w:tcBorders>
            <w:shd w:val="clear" w:color="auto" w:fill="auto"/>
            <w:tcMar>
              <w:left w:w="0" w:type="dxa"/>
            </w:tcMar>
          </w:tcPr>
          <w:p w14:paraId="426303D4"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6B96C06B" w14:textId="77777777" w:rsidR="00BA5125" w:rsidRPr="00C32591" w:rsidRDefault="00BA5125" w:rsidP="00BA5125">
            <w:pPr>
              <w:spacing w:after="0" w:line="240" w:lineRule="auto"/>
              <w:rPr>
                <w:rFonts w:cs="Arial"/>
                <w:spacing w:val="-4"/>
                <w:sz w:val="14"/>
                <w:szCs w:val="14"/>
              </w:rPr>
            </w:pPr>
            <w:r w:rsidRPr="00C32591">
              <w:rPr>
                <w:rFonts w:cs="Arial"/>
                <w:spacing w:val="-4"/>
                <w:sz w:val="14"/>
                <w:szCs w:val="14"/>
              </w:rPr>
              <w:t>Poznámka: všechny údaje jsou sezónně očištěny, pouze příspěvky dílčích odvětví k růstu tržeb jsou očištěny jen o kalendářní vlivy.</w:t>
            </w:r>
          </w:p>
          <w:p w14:paraId="1160B200" w14:textId="77777777" w:rsidR="00BA5125" w:rsidRPr="00C32591" w:rsidRDefault="00BA5125" w:rsidP="00BA5125">
            <w:pPr>
              <w:spacing w:after="0" w:line="240" w:lineRule="auto"/>
              <w:rPr>
                <w:rFonts w:cs="Arial"/>
                <w:sz w:val="14"/>
                <w:szCs w:val="14"/>
              </w:rPr>
            </w:pPr>
            <w:r w:rsidRPr="00C32591">
              <w:rPr>
                <w:rFonts w:cs="Arial"/>
                <w:sz w:val="14"/>
                <w:szCs w:val="14"/>
              </w:rPr>
              <w:t>*Bez odvětví obchodu, peněžnictví, pojišťovnictví, vědy, výzkumu a veřejných služeb.</w:t>
            </w:r>
          </w:p>
          <w:p w14:paraId="4599577B" w14:textId="77777777" w:rsidR="00BA5125" w:rsidRPr="004C1143" w:rsidRDefault="00BA5125" w:rsidP="00BA5125">
            <w:pPr>
              <w:spacing w:after="200" w:line="240" w:lineRule="auto"/>
              <w:rPr>
                <w:rFonts w:cs="Arial"/>
                <w:sz w:val="14"/>
                <w:szCs w:val="14"/>
              </w:rPr>
            </w:pPr>
            <w:r w:rsidRPr="00052ADA">
              <w:rPr>
                <w:rFonts w:cs="Arial"/>
                <w:sz w:val="14"/>
                <w:szCs w:val="14"/>
              </w:rPr>
              <w:t>.**</w:t>
            </w:r>
            <w:r w:rsidRPr="00052ADA">
              <w:rPr>
                <w:rFonts w:cs="Arial"/>
                <w:spacing w:val="-2"/>
                <w:sz w:val="14"/>
                <w:szCs w:val="14"/>
              </w:rPr>
              <w:t>Zahrnuje i finanční sektor. Saldo důvěry podnikatelů i barié</w:t>
            </w:r>
            <w:r>
              <w:rPr>
                <w:rFonts w:cs="Arial"/>
                <w:spacing w:val="-2"/>
                <w:sz w:val="14"/>
                <w:szCs w:val="14"/>
              </w:rPr>
              <w:t xml:space="preserve">ry růstu </w:t>
            </w:r>
            <w:r w:rsidRPr="00052ADA">
              <w:rPr>
                <w:rFonts w:cs="Arial"/>
                <w:spacing w:val="-2"/>
                <w:sz w:val="14"/>
                <w:szCs w:val="14"/>
              </w:rPr>
              <w:t xml:space="preserve">vyjadřují stav v prvním (bariéry růstu), resp. ve druhém měsíci daného čtvrtletí (saldo důvěry). </w:t>
            </w:r>
            <w:r w:rsidRPr="00052ADA">
              <w:rPr>
                <w:rFonts w:cs="Arial"/>
                <w:sz w:val="14"/>
                <w:szCs w:val="14"/>
              </w:rPr>
              <w:t>Podniky mohly uvést více hlavních bariér současně.</w:t>
            </w:r>
            <w:r>
              <w:rPr>
                <w:rFonts w:cs="Arial"/>
                <w:sz w:val="14"/>
                <w:szCs w:val="14"/>
              </w:rPr>
              <w:t xml:space="preserve">                    </w:t>
            </w:r>
            <w:r w:rsidRPr="00052ADA">
              <w:rPr>
                <w:rFonts w:cs="Arial"/>
                <w:sz w:val="14"/>
                <w:szCs w:val="14"/>
              </w:rPr>
              <w:t xml:space="preserve">    Zdroj: ČSÚ, Eurostat</w:t>
            </w:r>
          </w:p>
        </w:tc>
      </w:tr>
      <w:tr w:rsidR="00BA5125" w14:paraId="4FF42E6F" w14:textId="77777777" w:rsidTr="00BA5125">
        <w:trPr>
          <w:trHeight w:val="170"/>
        </w:trPr>
        <w:tc>
          <w:tcPr>
            <w:tcW w:w="1814" w:type="dxa"/>
            <w:tcBorders>
              <w:top w:val="nil"/>
              <w:left w:val="nil"/>
              <w:bottom w:val="nil"/>
              <w:right w:val="nil"/>
            </w:tcBorders>
            <w:shd w:val="clear" w:color="auto" w:fill="auto"/>
            <w:tcMar>
              <w:left w:w="0" w:type="dxa"/>
            </w:tcMar>
          </w:tcPr>
          <w:p w14:paraId="5F46EC69" w14:textId="77777777" w:rsidR="00BA5125" w:rsidRPr="00112739" w:rsidRDefault="00BA5125" w:rsidP="00BA5125">
            <w:pPr>
              <w:pStyle w:val="Marginlie"/>
              <w:rPr>
                <w:color w:val="0D0D0D" w:themeColor="text1" w:themeTint="F2"/>
                <w:spacing w:val="-6"/>
              </w:rPr>
            </w:pPr>
            <w:r>
              <w:rPr>
                <w:color w:val="0D0D0D" w:themeColor="text1" w:themeTint="F2"/>
                <w:spacing w:val="-6"/>
              </w:rPr>
              <w:t xml:space="preserve">Rostoucí poptávku po </w:t>
            </w:r>
            <w:r>
              <w:rPr>
                <w:color w:val="0D0D0D" w:themeColor="text1" w:themeTint="F2"/>
                <w:spacing w:val="-4"/>
              </w:rPr>
              <w:t>profesních, technických a</w:t>
            </w:r>
            <w:r w:rsidRPr="00112739">
              <w:rPr>
                <w:color w:val="0D0D0D" w:themeColor="text1" w:themeTint="F2"/>
                <w:spacing w:val="-6"/>
              </w:rPr>
              <w:t> </w:t>
            </w:r>
            <w:r w:rsidRPr="00112739">
              <w:rPr>
                <w:color w:val="0D0D0D" w:themeColor="text1" w:themeTint="F2"/>
                <w:spacing w:val="-4"/>
              </w:rPr>
              <w:t>vědeckých činnostech</w:t>
            </w:r>
            <w:r>
              <w:rPr>
                <w:color w:val="0D0D0D" w:themeColor="text1" w:themeTint="F2"/>
                <w:spacing w:val="-4"/>
              </w:rPr>
              <w:t xml:space="preserve"> nadále táhly hlavně architektonické a</w:t>
            </w:r>
            <w:r w:rsidRPr="00112739">
              <w:rPr>
                <w:color w:val="0D0D0D" w:themeColor="text1" w:themeTint="F2"/>
                <w:spacing w:val="-6"/>
              </w:rPr>
              <w:t> </w:t>
            </w:r>
            <w:r>
              <w:rPr>
                <w:color w:val="0D0D0D" w:themeColor="text1" w:themeTint="F2"/>
                <w:spacing w:val="-4"/>
              </w:rPr>
              <w:t>inženýrské služby.</w:t>
            </w:r>
          </w:p>
        </w:tc>
        <w:tc>
          <w:tcPr>
            <w:tcW w:w="229" w:type="dxa"/>
            <w:tcBorders>
              <w:top w:val="nil"/>
              <w:left w:val="nil"/>
              <w:bottom w:val="nil"/>
              <w:right w:val="nil"/>
            </w:tcBorders>
            <w:shd w:val="clear" w:color="auto" w:fill="auto"/>
            <w:tcMar>
              <w:left w:w="0" w:type="dxa"/>
            </w:tcMar>
          </w:tcPr>
          <w:p w14:paraId="3EE84EC3" w14:textId="77777777" w:rsidR="00BA5125" w:rsidRPr="00784EC8"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712267C7" w14:textId="77777777" w:rsidR="00BA5125" w:rsidRPr="00EB7A5A" w:rsidRDefault="00BA5125" w:rsidP="00BA5125">
            <w:pPr>
              <w:spacing w:after="200"/>
              <w:rPr>
                <w:rFonts w:cs="Arial"/>
                <w:color w:val="0D0D0D" w:themeColor="text1" w:themeTint="F2"/>
                <w:spacing w:val="-4"/>
              </w:rPr>
            </w:pPr>
            <w:r w:rsidRPr="00EB7A5A">
              <w:rPr>
                <w:rFonts w:cs="Arial"/>
                <w:color w:val="0D0D0D" w:themeColor="text1" w:themeTint="F2"/>
                <w:spacing w:val="-4"/>
              </w:rPr>
              <w:t xml:space="preserve">Přestože meziroční růst tržeb </w:t>
            </w:r>
            <w:r w:rsidRPr="00EB7A5A">
              <w:rPr>
                <w:color w:val="0D0D0D" w:themeColor="text1" w:themeTint="F2"/>
                <w:spacing w:val="-4"/>
              </w:rPr>
              <w:t>v profesních, vědeckých a technických činnost</w:t>
            </w:r>
            <w:r>
              <w:rPr>
                <w:color w:val="0D0D0D" w:themeColor="text1" w:themeTint="F2"/>
                <w:spacing w:val="-4"/>
              </w:rPr>
              <w:t>ech loni druhý rok zvolnil (na 3,1</w:t>
            </w:r>
            <w:r w:rsidRPr="00EB7A5A">
              <w:rPr>
                <w:color w:val="0D0D0D" w:themeColor="text1" w:themeTint="F2"/>
                <w:spacing w:val="-4"/>
              </w:rPr>
              <w:t xml:space="preserve"> %), proti poklesu celkových tržeb ve službách působil ze všech odvětví nej</w:t>
            </w:r>
            <w:r>
              <w:rPr>
                <w:color w:val="0D0D0D" w:themeColor="text1" w:themeTint="F2"/>
                <w:spacing w:val="-4"/>
              </w:rPr>
              <w:t>více (+0,7</w:t>
            </w:r>
            <w:r w:rsidRPr="00EB7A5A">
              <w:rPr>
                <w:color w:val="0D0D0D" w:themeColor="text1" w:themeTint="F2"/>
                <w:spacing w:val="-4"/>
              </w:rPr>
              <w:t xml:space="preserve"> p. b.). Navzd</w:t>
            </w:r>
            <w:r>
              <w:rPr>
                <w:color w:val="0D0D0D" w:themeColor="text1" w:themeTint="F2"/>
                <w:spacing w:val="-4"/>
              </w:rPr>
              <w:t>ory potížím ve stavebnictví přispěly k růstu tržeb celého odvětví nejvíce architektonické a inženýrské činnosti</w:t>
            </w:r>
            <w:r w:rsidRPr="00EB7A5A">
              <w:rPr>
                <w:color w:val="0D0D0D" w:themeColor="text1" w:themeTint="F2"/>
                <w:spacing w:val="-4"/>
              </w:rPr>
              <w:t xml:space="preserve"> (</w:t>
            </w:r>
            <w:r>
              <w:rPr>
                <w:color w:val="0D0D0D" w:themeColor="text1" w:themeTint="F2"/>
                <w:spacing w:val="-4"/>
              </w:rPr>
              <w:t>kde se zvýšily o 2,8</w:t>
            </w:r>
            <w:r w:rsidRPr="00EB7A5A">
              <w:rPr>
                <w:color w:val="0D0D0D" w:themeColor="text1" w:themeTint="F2"/>
                <w:spacing w:val="-4"/>
              </w:rPr>
              <w:t xml:space="preserve"> %)</w:t>
            </w:r>
            <w:r>
              <w:rPr>
                <w:color w:val="0D0D0D" w:themeColor="text1" w:themeTint="F2"/>
                <w:spacing w:val="-4"/>
              </w:rPr>
              <w:t>.</w:t>
            </w:r>
            <w:r w:rsidRPr="00EB7A5A">
              <w:rPr>
                <w:color w:val="0D0D0D" w:themeColor="text1" w:themeTint="F2"/>
                <w:spacing w:val="-4"/>
              </w:rPr>
              <w:t xml:space="preserve"> </w:t>
            </w:r>
            <w:r>
              <w:rPr>
                <w:color w:val="0D0D0D" w:themeColor="text1" w:themeTint="F2"/>
                <w:spacing w:val="-4"/>
              </w:rPr>
              <w:t xml:space="preserve">Mírný </w:t>
            </w:r>
            <w:r w:rsidRPr="00EB7A5A">
              <w:rPr>
                <w:color w:val="0D0D0D" w:themeColor="text1" w:themeTint="F2"/>
                <w:spacing w:val="-4"/>
              </w:rPr>
              <w:t>růst tržeb registrovaly i další sofistikovanější služby pro podniky (právní a účetnické činnosti</w:t>
            </w:r>
            <w:r>
              <w:rPr>
                <w:color w:val="0D0D0D" w:themeColor="text1" w:themeTint="F2"/>
                <w:spacing w:val="-4"/>
              </w:rPr>
              <w:t>, činnosti vedení podniků a</w:t>
            </w:r>
            <w:r w:rsidRPr="004824CE">
              <w:rPr>
                <w:color w:val="0D0D0D" w:themeColor="text1" w:themeTint="F2"/>
                <w:spacing w:val="-4"/>
              </w:rPr>
              <w:t xml:space="preserve"> poradenství v oblasti řízení</w:t>
            </w:r>
            <w:r w:rsidRPr="00EB7A5A">
              <w:rPr>
                <w:color w:val="0D0D0D" w:themeColor="text1" w:themeTint="F2"/>
                <w:spacing w:val="-4"/>
              </w:rPr>
              <w:t>). Po slabším roku 2022 loni mírně ožila poptávka v oblasti reklamy (+4 %), v kontrastu s tím pokračoval pokles v oblasti průzkumu trhu a veřejného mínění (</w:t>
            </w:r>
            <w:r>
              <w:rPr>
                <w:color w:val="0D0D0D" w:themeColor="text1" w:themeTint="F2"/>
                <w:spacing w:val="-4"/>
              </w:rPr>
              <w:t>−</w:t>
            </w:r>
            <w:r w:rsidRPr="00EB7A5A">
              <w:rPr>
                <w:color w:val="0D0D0D" w:themeColor="text1" w:themeTint="F2"/>
                <w:spacing w:val="-4"/>
              </w:rPr>
              <w:t xml:space="preserve">4 %). </w:t>
            </w:r>
            <w:r>
              <w:rPr>
                <w:color w:val="0D0D0D" w:themeColor="text1" w:themeTint="F2"/>
                <w:spacing w:val="-4"/>
              </w:rPr>
              <w:t>Velmi mírný růst tržeb zaznamenaly loni</w:t>
            </w:r>
            <w:r w:rsidRPr="00EB7A5A">
              <w:rPr>
                <w:color w:val="0D0D0D" w:themeColor="text1" w:themeTint="F2"/>
                <w:spacing w:val="-4"/>
              </w:rPr>
              <w:t xml:space="preserve"> </w:t>
            </w:r>
            <w:r w:rsidRPr="00EB7A5A">
              <w:rPr>
                <w:spacing w:val="-4"/>
              </w:rPr>
              <w:t>ostatní profesní, vědecké a technické činnosti</w:t>
            </w:r>
            <w:r w:rsidRPr="00EB7A5A">
              <w:rPr>
                <w:rStyle w:val="Znakapoznpodarou"/>
                <w:spacing w:val="-4"/>
              </w:rPr>
              <w:footnoteReference w:id="32"/>
            </w:r>
            <w:r w:rsidRPr="00EB7A5A">
              <w:rPr>
                <w:spacing w:val="-4"/>
              </w:rPr>
              <w:t xml:space="preserve"> (</w:t>
            </w:r>
            <w:r>
              <w:rPr>
                <w:color w:val="0D0D0D" w:themeColor="text1" w:themeTint="F2"/>
                <w:spacing w:val="-4"/>
              </w:rPr>
              <w:t>+1</w:t>
            </w:r>
            <w:r>
              <w:rPr>
                <w:spacing w:val="-4"/>
              </w:rPr>
              <w:t>,5</w:t>
            </w:r>
            <w:r w:rsidRPr="00EB7A5A">
              <w:rPr>
                <w:spacing w:val="-4"/>
              </w:rPr>
              <w:t xml:space="preserve"> %), oproti roku 2019 </w:t>
            </w:r>
            <w:r>
              <w:rPr>
                <w:spacing w:val="-4"/>
              </w:rPr>
              <w:t>nicméně zaostaly o 5,8</w:t>
            </w:r>
            <w:r w:rsidRPr="00EB7A5A">
              <w:rPr>
                <w:spacing w:val="-4"/>
              </w:rPr>
              <w:t xml:space="preserve"> %. </w:t>
            </w:r>
          </w:p>
        </w:tc>
      </w:tr>
      <w:tr w:rsidR="00BA5125" w14:paraId="7FEB4E1E" w14:textId="77777777" w:rsidTr="00BA5125">
        <w:trPr>
          <w:trHeight w:val="170"/>
        </w:trPr>
        <w:tc>
          <w:tcPr>
            <w:tcW w:w="1814" w:type="dxa"/>
            <w:tcBorders>
              <w:top w:val="nil"/>
              <w:left w:val="nil"/>
              <w:bottom w:val="nil"/>
              <w:right w:val="nil"/>
            </w:tcBorders>
            <w:shd w:val="clear" w:color="auto" w:fill="auto"/>
            <w:tcMar>
              <w:left w:w="0" w:type="dxa"/>
            </w:tcMar>
          </w:tcPr>
          <w:p w14:paraId="65A63CF3" w14:textId="77777777" w:rsidR="00BA5125" w:rsidRDefault="00BA5125" w:rsidP="00BA5125">
            <w:pPr>
              <w:pStyle w:val="Marginlie"/>
              <w:rPr>
                <w:color w:val="0D0D0D" w:themeColor="text1" w:themeTint="F2"/>
              </w:rPr>
            </w:pPr>
            <w:r w:rsidRPr="00112739">
              <w:rPr>
                <w:color w:val="0D0D0D" w:themeColor="text1" w:themeTint="F2"/>
                <w:spacing w:val="-6"/>
              </w:rPr>
              <w:t>Růst tržeb v dlouhodobě prosperujících informačních a komunika</w:t>
            </w:r>
            <w:r>
              <w:rPr>
                <w:color w:val="0D0D0D" w:themeColor="text1" w:themeTint="F2"/>
                <w:spacing w:val="-6"/>
              </w:rPr>
              <w:t>čních činnostech se zastavil.</w:t>
            </w:r>
          </w:p>
          <w:p w14:paraId="357D344F" w14:textId="77777777" w:rsidR="00BA5125" w:rsidRPr="00951B5E" w:rsidRDefault="00BA5125" w:rsidP="00BA5125">
            <w:pPr>
              <w:pStyle w:val="Marginlie"/>
              <w:rPr>
                <w:color w:val="0D0D0D" w:themeColor="text1" w:themeTint="F2"/>
              </w:rPr>
            </w:pPr>
          </w:p>
        </w:tc>
        <w:tc>
          <w:tcPr>
            <w:tcW w:w="229" w:type="dxa"/>
            <w:tcBorders>
              <w:top w:val="nil"/>
              <w:left w:val="nil"/>
              <w:bottom w:val="nil"/>
              <w:right w:val="nil"/>
            </w:tcBorders>
            <w:shd w:val="clear" w:color="auto" w:fill="auto"/>
            <w:tcMar>
              <w:left w:w="0" w:type="dxa"/>
            </w:tcMar>
          </w:tcPr>
          <w:p w14:paraId="1F4C821C" w14:textId="77777777" w:rsidR="00BA5125" w:rsidRPr="00784EC8"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5528239E" w14:textId="77777777" w:rsidR="00BA5125" w:rsidRPr="003174EF" w:rsidRDefault="00BA5125" w:rsidP="00BA5125">
            <w:pPr>
              <w:spacing w:after="200"/>
              <w:rPr>
                <w:rFonts w:cs="Arial"/>
                <w:color w:val="0D0D0D" w:themeColor="text1" w:themeTint="F2"/>
                <w:spacing w:val="-6"/>
              </w:rPr>
            </w:pPr>
            <w:r>
              <w:rPr>
                <w:rFonts w:cs="Arial"/>
                <w:color w:val="0D0D0D" w:themeColor="text1" w:themeTint="F2"/>
                <w:spacing w:val="-6"/>
              </w:rPr>
              <w:t>V tradičně dynamickém odvětví i</w:t>
            </w:r>
            <w:r w:rsidRPr="00B86BDD">
              <w:rPr>
                <w:rFonts w:cs="Arial"/>
                <w:color w:val="0D0D0D" w:themeColor="text1" w:themeTint="F2"/>
                <w:spacing w:val="-6"/>
              </w:rPr>
              <w:t>nformační a komunikační</w:t>
            </w:r>
            <w:r>
              <w:rPr>
                <w:rFonts w:cs="Arial"/>
                <w:color w:val="0D0D0D" w:themeColor="text1" w:themeTint="F2"/>
                <w:spacing w:val="-6"/>
              </w:rPr>
              <w:t xml:space="preserve"> činnosti se loni tržby meziročně snížily o 1,2 % (nejvíce </w:t>
            </w:r>
            <w:r w:rsidRPr="00F236AB">
              <w:rPr>
                <w:rFonts w:cs="Arial"/>
                <w:color w:val="0D0D0D" w:themeColor="text1" w:themeTint="F2"/>
                <w:spacing w:val="-2"/>
              </w:rPr>
              <w:t>od roku 2009). K poklesu přispěly zejména nižší tržby za vyda</w:t>
            </w:r>
            <w:r>
              <w:rPr>
                <w:rFonts w:cs="Arial"/>
                <w:color w:val="0D0D0D" w:themeColor="text1" w:themeTint="F2"/>
                <w:spacing w:val="-2"/>
              </w:rPr>
              <w:t xml:space="preserve">vatelské činnosti </w:t>
            </w:r>
            <w:r w:rsidRPr="00F236AB">
              <w:rPr>
                <w:rFonts w:cs="Arial"/>
                <w:color w:val="0D0D0D" w:themeColor="text1" w:themeTint="F2"/>
                <w:spacing w:val="-2"/>
              </w:rPr>
              <w:t>(</w:t>
            </w:r>
            <w:r>
              <w:rPr>
                <w:color w:val="0D0D0D" w:themeColor="text1" w:themeTint="F2"/>
                <w:spacing w:val="-2"/>
              </w:rPr>
              <w:t>−</w:t>
            </w:r>
            <w:r>
              <w:rPr>
                <w:rFonts w:cs="Arial"/>
                <w:color w:val="0D0D0D" w:themeColor="text1" w:themeTint="F2"/>
                <w:spacing w:val="-2"/>
              </w:rPr>
              <w:t>5,0</w:t>
            </w:r>
            <w:r w:rsidRPr="00F236AB">
              <w:rPr>
                <w:rFonts w:cs="Arial"/>
                <w:color w:val="0D0D0D" w:themeColor="text1" w:themeTint="F2"/>
                <w:spacing w:val="-2"/>
              </w:rPr>
              <w:t xml:space="preserve"> %),</w:t>
            </w:r>
            <w:r>
              <w:rPr>
                <w:rFonts w:cs="Arial"/>
                <w:color w:val="0D0D0D" w:themeColor="text1" w:themeTint="F2"/>
                <w:spacing w:val="-6"/>
              </w:rPr>
              <w:t xml:space="preserve"> nejvíce klesl ovšem výkon tzv. filmového a hudebního </w:t>
            </w:r>
            <w:r>
              <w:rPr>
                <w:rFonts w:cs="Arial"/>
                <w:color w:val="0D0D0D" w:themeColor="text1" w:themeTint="F2"/>
                <w:spacing w:val="-6"/>
              </w:rPr>
              <w:lastRenderedPageBreak/>
              <w:t>průmyslu (</w:t>
            </w:r>
            <w:r>
              <w:rPr>
                <w:color w:val="0D0D0D" w:themeColor="text1" w:themeTint="F2"/>
                <w:spacing w:val="-2"/>
              </w:rPr>
              <w:t>−</w:t>
            </w:r>
            <w:r>
              <w:rPr>
                <w:rFonts w:cs="Arial"/>
                <w:color w:val="0D0D0D" w:themeColor="text1" w:themeTint="F2"/>
                <w:spacing w:val="-6"/>
              </w:rPr>
              <w:t>9,4 %)</w:t>
            </w:r>
            <w:r w:rsidRPr="00951B5E">
              <w:rPr>
                <w:rStyle w:val="Znakapoznpodarou"/>
                <w:color w:val="0D0D0D" w:themeColor="text1" w:themeTint="F2"/>
                <w:spacing w:val="-8"/>
              </w:rPr>
              <w:footnoteReference w:id="33"/>
            </w:r>
            <w:r>
              <w:rPr>
                <w:rFonts w:cs="Arial"/>
                <w:color w:val="0D0D0D" w:themeColor="text1" w:themeTint="F2"/>
                <w:spacing w:val="-6"/>
              </w:rPr>
              <w:t>. Netradičně klesly za loňský rok tržby</w:t>
            </w:r>
            <w:r w:rsidRPr="00951B5E">
              <w:rPr>
                <w:color w:val="0D0D0D" w:themeColor="text1" w:themeTint="F2"/>
                <w:spacing w:val="-8"/>
              </w:rPr>
              <w:t xml:space="preserve"> </w:t>
            </w:r>
            <w:r>
              <w:rPr>
                <w:color w:val="0D0D0D" w:themeColor="text1" w:themeTint="F2"/>
                <w:spacing w:val="-8"/>
              </w:rPr>
              <w:t xml:space="preserve">v </w:t>
            </w:r>
            <w:r w:rsidRPr="00951B5E">
              <w:rPr>
                <w:color w:val="0D0D0D" w:themeColor="text1" w:themeTint="F2"/>
                <w:spacing w:val="-8"/>
              </w:rPr>
              <w:t xml:space="preserve">činnostech v oblasti IT </w:t>
            </w:r>
            <w:r w:rsidRPr="004416F5">
              <w:rPr>
                <w:color w:val="0D0D0D" w:themeColor="text1" w:themeTint="F2"/>
                <w:spacing w:val="-6"/>
              </w:rPr>
              <w:t>(zahrnující např. programování či správu počítačového vybavení)</w:t>
            </w:r>
            <w:r>
              <w:rPr>
                <w:color w:val="0D0D0D" w:themeColor="text1" w:themeTint="F2"/>
                <w:spacing w:val="-6"/>
              </w:rPr>
              <w:t xml:space="preserve">, a to o 0,1 %, a zejména pak </w:t>
            </w:r>
            <w:r>
              <w:rPr>
                <w:color w:val="0D0D0D" w:themeColor="text1" w:themeTint="F2"/>
                <w:spacing w:val="-4"/>
              </w:rPr>
              <w:t>v informačních činnostech</w:t>
            </w:r>
            <w:r>
              <w:rPr>
                <w:rStyle w:val="Znakapoznpodarou"/>
                <w:color w:val="0D0D0D" w:themeColor="text1" w:themeTint="F2"/>
                <w:spacing w:val="-4"/>
              </w:rPr>
              <w:footnoteReference w:id="34"/>
            </w:r>
            <w:r>
              <w:rPr>
                <w:color w:val="0D0D0D" w:themeColor="text1" w:themeTint="F2"/>
                <w:spacing w:val="-4"/>
              </w:rPr>
              <w:t xml:space="preserve"> (o</w:t>
            </w:r>
            <w:r w:rsidRPr="00F236AB">
              <w:rPr>
                <w:rFonts w:cs="Arial"/>
                <w:color w:val="0D0D0D" w:themeColor="text1" w:themeTint="F2"/>
                <w:spacing w:val="-2"/>
              </w:rPr>
              <w:t> </w:t>
            </w:r>
            <w:r>
              <w:rPr>
                <w:color w:val="0D0D0D" w:themeColor="text1" w:themeTint="F2"/>
                <w:spacing w:val="-4"/>
              </w:rPr>
              <w:t xml:space="preserve">6,8 %). </w:t>
            </w:r>
            <w:r>
              <w:rPr>
                <w:color w:val="0D0D0D" w:themeColor="text1" w:themeTint="F2"/>
                <w:spacing w:val="-8"/>
              </w:rPr>
              <w:t xml:space="preserve">V dlouhodobě rostoucí oblasti </w:t>
            </w:r>
            <w:r>
              <w:rPr>
                <w:color w:val="0D0D0D" w:themeColor="text1" w:themeTint="F2"/>
                <w:spacing w:val="-6"/>
              </w:rPr>
              <w:t>telekomunikací</w:t>
            </w:r>
            <w:r>
              <w:rPr>
                <w:color w:val="0D0D0D" w:themeColor="text1" w:themeTint="F2"/>
                <w:spacing w:val="-4"/>
              </w:rPr>
              <w:t xml:space="preserve"> loni tržby vzrostly o pouhé 1 %, což bylo nejméně za posledních devět let. Po slabším roku 2022 loni ožily tržby v oblasti tvorby programů a vysílání (+4,9 %) a ve srovnání s rokem 2019 byly o více než desetinu vyšší.</w:t>
            </w:r>
          </w:p>
        </w:tc>
      </w:tr>
      <w:tr w:rsidR="00BA5125" w14:paraId="09C73C3F" w14:textId="77777777" w:rsidTr="00BA5125">
        <w:trPr>
          <w:trHeight w:val="170"/>
        </w:trPr>
        <w:tc>
          <w:tcPr>
            <w:tcW w:w="1814" w:type="dxa"/>
            <w:tcBorders>
              <w:top w:val="nil"/>
              <w:left w:val="nil"/>
              <w:bottom w:val="nil"/>
              <w:right w:val="nil"/>
            </w:tcBorders>
            <w:shd w:val="clear" w:color="auto" w:fill="auto"/>
            <w:tcMar>
              <w:left w:w="0" w:type="dxa"/>
            </w:tcMar>
          </w:tcPr>
          <w:p w14:paraId="0120E06B" w14:textId="77777777" w:rsidR="00BA5125" w:rsidRDefault="00BA5125" w:rsidP="00BA5125">
            <w:pPr>
              <w:pStyle w:val="Marginlie"/>
            </w:pPr>
            <w:r>
              <w:lastRenderedPageBreak/>
              <w:t xml:space="preserve">Útlum maloobchodních tržeb vrcholil v polovině loňského roku. Poté již tržby mezikvartálně nepatrně rostly. </w:t>
            </w:r>
          </w:p>
          <w:p w14:paraId="654E24BD" w14:textId="77777777" w:rsidR="00BA5125" w:rsidRDefault="00BA5125" w:rsidP="00BA5125">
            <w:pPr>
              <w:pStyle w:val="Marginlie"/>
            </w:pPr>
          </w:p>
          <w:p w14:paraId="01E44586" w14:textId="77777777" w:rsidR="00BA5125" w:rsidRDefault="00BA5125" w:rsidP="00BA5125">
            <w:pPr>
              <w:pStyle w:val="Marginlie"/>
            </w:pPr>
          </w:p>
          <w:p w14:paraId="2D4BE2F9" w14:textId="77777777" w:rsidR="00BA5125" w:rsidRDefault="00BA5125" w:rsidP="00BA5125">
            <w:pPr>
              <w:pStyle w:val="Marginlie"/>
            </w:pPr>
            <w:r>
              <w:t>Spotřeba domácností zůstala nadále utlumená a jejich důvěra v ekonomiku nízká.</w:t>
            </w:r>
          </w:p>
        </w:tc>
        <w:tc>
          <w:tcPr>
            <w:tcW w:w="229" w:type="dxa"/>
            <w:tcBorders>
              <w:top w:val="nil"/>
              <w:left w:val="nil"/>
              <w:bottom w:val="nil"/>
              <w:right w:val="nil"/>
            </w:tcBorders>
            <w:shd w:val="clear" w:color="auto" w:fill="auto"/>
            <w:tcMar>
              <w:left w:w="0" w:type="dxa"/>
            </w:tcMar>
          </w:tcPr>
          <w:p w14:paraId="534F3443"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2094DBF6" w14:textId="77777777" w:rsidR="00BA5125" w:rsidRDefault="00BA5125" w:rsidP="00BA5125">
            <w:pPr>
              <w:spacing w:after="200"/>
              <w:rPr>
                <w:rFonts w:cs="Arial"/>
                <w:color w:val="0D0D0D" w:themeColor="text1" w:themeTint="F2"/>
                <w:szCs w:val="20"/>
              </w:rPr>
            </w:pPr>
            <w:r>
              <w:rPr>
                <w:rFonts w:cs="Arial"/>
                <w:color w:val="0D0D0D" w:themeColor="text1" w:themeTint="F2"/>
                <w:szCs w:val="20"/>
              </w:rPr>
              <w:t>Maloobchod se po celý loňský rok potýkal s utlumenou poptávkou, jež pramenila z pokračujícího meziročního poklesu reálných příjmů domácností i slabé spotřebitelské důvěry v ekonomiku</w:t>
            </w:r>
            <w:r>
              <w:rPr>
                <w:rStyle w:val="Znakapoznpodarou"/>
                <w:color w:val="0D0D0D" w:themeColor="text1" w:themeTint="F2"/>
                <w:szCs w:val="20"/>
              </w:rPr>
              <w:footnoteReference w:id="35"/>
            </w:r>
            <w:r>
              <w:rPr>
                <w:rFonts w:cs="Arial"/>
                <w:color w:val="0D0D0D" w:themeColor="text1" w:themeTint="F2"/>
                <w:szCs w:val="20"/>
              </w:rPr>
              <w:t xml:space="preserve">. </w:t>
            </w:r>
            <w:r w:rsidRPr="00583B84">
              <w:rPr>
                <w:rFonts w:cs="Arial"/>
                <w:color w:val="0D0D0D" w:themeColor="text1" w:themeTint="F2"/>
                <w:szCs w:val="20"/>
              </w:rPr>
              <w:t xml:space="preserve">Dílčí </w:t>
            </w:r>
            <w:r w:rsidRPr="00A54181">
              <w:rPr>
                <w:rFonts w:cs="Arial"/>
                <w:color w:val="0D0D0D" w:themeColor="text1" w:themeTint="F2"/>
                <w:spacing w:val="-6"/>
                <w:szCs w:val="20"/>
              </w:rPr>
              <w:t>pozitivní vliv měl rostoucí počet spotřebitelů (díky příchodu uprchlíků z Ukrajiny i postupnému</w:t>
            </w:r>
            <w:r w:rsidRPr="00583B84">
              <w:rPr>
                <w:rFonts w:cs="Arial"/>
                <w:color w:val="0D0D0D" w:themeColor="text1" w:themeTint="F2"/>
                <w:szCs w:val="20"/>
              </w:rPr>
              <w:t xml:space="preserve"> zotavování turismu)</w:t>
            </w:r>
            <w:r>
              <w:rPr>
                <w:rFonts w:cs="Arial"/>
                <w:color w:val="0D0D0D" w:themeColor="text1" w:themeTint="F2"/>
                <w:szCs w:val="20"/>
              </w:rPr>
              <w:t>, naopak negativně působily častější</w:t>
            </w:r>
            <w:r w:rsidRPr="00583B84">
              <w:rPr>
                <w:rFonts w:cs="Arial"/>
                <w:color w:val="0D0D0D" w:themeColor="text1" w:themeTint="F2"/>
                <w:szCs w:val="20"/>
              </w:rPr>
              <w:t xml:space="preserve"> </w:t>
            </w:r>
            <w:r>
              <w:rPr>
                <w:rFonts w:cs="Arial"/>
                <w:color w:val="0D0D0D" w:themeColor="text1" w:themeTint="F2"/>
                <w:szCs w:val="20"/>
              </w:rPr>
              <w:t xml:space="preserve">nákupy </w:t>
            </w:r>
            <w:r w:rsidRPr="00583B84">
              <w:rPr>
                <w:rFonts w:cs="Arial"/>
                <w:color w:val="0D0D0D" w:themeColor="text1" w:themeTint="F2"/>
                <w:szCs w:val="20"/>
              </w:rPr>
              <w:t>tuzemských dom</w:t>
            </w:r>
            <w:r>
              <w:rPr>
                <w:rFonts w:cs="Arial"/>
                <w:color w:val="0D0D0D" w:themeColor="text1" w:themeTint="F2"/>
                <w:szCs w:val="20"/>
              </w:rPr>
              <w:t>ácnosti v zahraničí</w:t>
            </w:r>
            <w:r>
              <w:rPr>
                <w:rStyle w:val="Znakapoznpodarou"/>
                <w:color w:val="0D0D0D" w:themeColor="text1" w:themeTint="F2"/>
                <w:szCs w:val="20"/>
              </w:rPr>
              <w:footnoteReference w:id="36"/>
            </w:r>
            <w:r>
              <w:rPr>
                <w:rFonts w:cs="Arial"/>
                <w:color w:val="0D0D0D" w:themeColor="text1" w:themeTint="F2"/>
                <w:szCs w:val="20"/>
              </w:rPr>
              <w:t xml:space="preserve">. Ve 2. čtvrtletí 2023 se tržby </w:t>
            </w:r>
            <w:r w:rsidRPr="00F079C1">
              <w:rPr>
                <w:rFonts w:cs="Arial"/>
                <w:color w:val="0D0D0D" w:themeColor="text1" w:themeTint="F2"/>
                <w:szCs w:val="20"/>
              </w:rPr>
              <w:t>v maloobchodu</w:t>
            </w:r>
            <w:r w:rsidRPr="00F079C1">
              <w:rPr>
                <w:rStyle w:val="Znakapoznpodarou"/>
                <w:color w:val="0D0D0D" w:themeColor="text1" w:themeTint="F2"/>
              </w:rPr>
              <w:footnoteReference w:id="37"/>
            </w:r>
            <w:r>
              <w:rPr>
                <w:rFonts w:cs="Arial"/>
                <w:color w:val="0D0D0D" w:themeColor="text1" w:themeTint="F2"/>
                <w:szCs w:val="20"/>
              </w:rPr>
              <w:t xml:space="preserve"> mezikvartálně snížily o 0,4 % a pokračovaly tak v poklesu posedmé v řadě (</w:t>
            </w:r>
            <w:r w:rsidRPr="00583B84">
              <w:rPr>
                <w:rFonts w:cs="Arial"/>
                <w:color w:val="0D0D0D" w:themeColor="text1" w:themeTint="F2"/>
                <w:szCs w:val="20"/>
              </w:rPr>
              <w:t>z velké části kopíroval</w:t>
            </w:r>
            <w:r>
              <w:rPr>
                <w:rFonts w:cs="Arial"/>
                <w:color w:val="0D0D0D" w:themeColor="text1" w:themeTint="F2"/>
                <w:szCs w:val="20"/>
              </w:rPr>
              <w:t>y</w:t>
            </w:r>
            <w:r w:rsidRPr="00583B84">
              <w:rPr>
                <w:rFonts w:cs="Arial"/>
                <w:color w:val="0D0D0D" w:themeColor="text1" w:themeTint="F2"/>
                <w:szCs w:val="20"/>
              </w:rPr>
              <w:t xml:space="preserve"> trend celkových výdajů domácností na konečnou spotřebu</w:t>
            </w:r>
            <w:r>
              <w:rPr>
                <w:rFonts w:cs="Arial"/>
                <w:color w:val="0D0D0D" w:themeColor="text1" w:themeTint="F2"/>
                <w:szCs w:val="20"/>
              </w:rPr>
              <w:t>). Délka i hloubka poklesu tržeb</w:t>
            </w:r>
            <w:r>
              <w:rPr>
                <w:rStyle w:val="Znakapoznpodarou"/>
                <w:color w:val="0D0D0D" w:themeColor="text1" w:themeTint="F2"/>
                <w:szCs w:val="20"/>
              </w:rPr>
              <w:footnoteReference w:id="38"/>
            </w:r>
            <w:r>
              <w:rPr>
                <w:rFonts w:cs="Arial"/>
                <w:color w:val="0D0D0D" w:themeColor="text1" w:themeTint="F2"/>
                <w:szCs w:val="20"/>
              </w:rPr>
              <w:t xml:space="preserve"> neměla ve srovnatelné časové řadě (po roce 2000) obdoby. Ve 2. pololetí již mezikvartální pokles tržeb nepokračoval, spotřebitelé se částečně adaptovali na zvýšenou cenovou hladinu zboží, jejich celková poptávka ale zůstávala slabá (i vlivem přetrvávající zvýšené míry úspor domácností). Na konci loňského roku se maloobchodní tržby reálně nacházely zhruba na úrovni ze 4. čtvrtletí 2018 (z toho u potravin dokonce na úrovni roku 2014).</w:t>
            </w:r>
          </w:p>
        </w:tc>
      </w:tr>
      <w:tr w:rsidR="00BA5125" w14:paraId="524C1D83" w14:textId="77777777" w:rsidTr="00BA5125">
        <w:trPr>
          <w:trHeight w:val="170"/>
        </w:trPr>
        <w:tc>
          <w:tcPr>
            <w:tcW w:w="1814" w:type="dxa"/>
            <w:tcBorders>
              <w:top w:val="nil"/>
              <w:left w:val="nil"/>
              <w:bottom w:val="nil"/>
              <w:right w:val="nil"/>
            </w:tcBorders>
            <w:shd w:val="clear" w:color="auto" w:fill="auto"/>
            <w:tcMar>
              <w:left w:w="0" w:type="dxa"/>
            </w:tcMar>
          </w:tcPr>
          <w:p w14:paraId="3B5EE220" w14:textId="77777777" w:rsidR="00BA5125" w:rsidRDefault="00BA5125" w:rsidP="00BA5125">
            <w:pPr>
              <w:pStyle w:val="Marginlie"/>
            </w:pPr>
            <w:r>
              <w:t>Poptávka po potravinářském i nepotravinářském zboží za celý loňský rok rekordně poklesla.</w:t>
            </w:r>
          </w:p>
          <w:p w14:paraId="4215CA07" w14:textId="77777777" w:rsidR="00BA5125" w:rsidRDefault="00BA5125" w:rsidP="00BA5125">
            <w:pPr>
              <w:pStyle w:val="Marginlie"/>
            </w:pPr>
          </w:p>
        </w:tc>
        <w:tc>
          <w:tcPr>
            <w:tcW w:w="229" w:type="dxa"/>
            <w:tcBorders>
              <w:top w:val="nil"/>
              <w:left w:val="nil"/>
              <w:bottom w:val="nil"/>
              <w:right w:val="nil"/>
            </w:tcBorders>
            <w:shd w:val="clear" w:color="auto" w:fill="auto"/>
            <w:tcMar>
              <w:left w:w="0" w:type="dxa"/>
            </w:tcMar>
          </w:tcPr>
          <w:p w14:paraId="58F457AB"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30D40EE4" w14:textId="77777777" w:rsidR="00BA5125" w:rsidRPr="00BD0558" w:rsidRDefault="00BA5125" w:rsidP="00BA5125">
            <w:pPr>
              <w:spacing w:after="200"/>
              <w:rPr>
                <w:rFonts w:cs="Arial"/>
                <w:color w:val="0D0D0D" w:themeColor="text1" w:themeTint="F2"/>
                <w:spacing w:val="-4"/>
                <w:szCs w:val="20"/>
              </w:rPr>
            </w:pPr>
            <w:r w:rsidRPr="00BD0558">
              <w:rPr>
                <w:rFonts w:cs="Arial"/>
                <w:color w:val="0D0D0D" w:themeColor="text1" w:themeTint="F2"/>
                <w:spacing w:val="-4"/>
                <w:szCs w:val="20"/>
              </w:rPr>
              <w:t xml:space="preserve">Za celý loňský rok se maloobchodní tržby snížily </w:t>
            </w:r>
            <w:r>
              <w:rPr>
                <w:rFonts w:cs="Arial"/>
                <w:color w:val="0D0D0D" w:themeColor="text1" w:themeTint="F2"/>
                <w:spacing w:val="-4"/>
                <w:szCs w:val="20"/>
              </w:rPr>
              <w:t xml:space="preserve">meziročně </w:t>
            </w:r>
            <w:r w:rsidRPr="00BD0558">
              <w:rPr>
                <w:rFonts w:cs="Arial"/>
                <w:color w:val="0D0D0D" w:themeColor="text1" w:themeTint="F2"/>
                <w:spacing w:val="-4"/>
                <w:szCs w:val="20"/>
              </w:rPr>
              <w:t xml:space="preserve">o 4,2 % a nepatrně tak prohloubily pokles z předcházejícího roku. Na útlumu poptávky se nejvíce podílelo nepotravinářské zboží, kde </w:t>
            </w:r>
            <w:r>
              <w:rPr>
                <w:rFonts w:cs="Arial"/>
                <w:color w:val="0D0D0D" w:themeColor="text1" w:themeTint="F2"/>
                <w:spacing w:val="-4"/>
                <w:szCs w:val="20"/>
              </w:rPr>
              <w:t xml:space="preserve">se </w:t>
            </w:r>
            <w:r w:rsidRPr="00BD0558">
              <w:rPr>
                <w:rFonts w:cs="Arial"/>
                <w:color w:val="0D0D0D" w:themeColor="text1" w:themeTint="F2"/>
                <w:spacing w:val="-4"/>
                <w:szCs w:val="20"/>
              </w:rPr>
              <w:t xml:space="preserve">tržby snížily o nebývalých 5,1 % (příspěvek k poklesu </w:t>
            </w:r>
            <w:r>
              <w:rPr>
                <w:rFonts w:cs="Arial"/>
                <w:color w:val="0D0D0D" w:themeColor="text1" w:themeTint="F2"/>
                <w:spacing w:val="-4"/>
                <w:szCs w:val="20"/>
              </w:rPr>
              <w:t xml:space="preserve">celého </w:t>
            </w:r>
            <w:r w:rsidRPr="00BD0558">
              <w:rPr>
                <w:rFonts w:cs="Arial"/>
                <w:color w:val="0D0D0D" w:themeColor="text1" w:themeTint="F2"/>
                <w:spacing w:val="-4"/>
                <w:szCs w:val="20"/>
              </w:rPr>
              <w:t xml:space="preserve">maloobchodu </w:t>
            </w:r>
            <w:r>
              <w:rPr>
                <w:color w:val="0D0D0D" w:themeColor="text1" w:themeTint="F2"/>
                <w:spacing w:val="-4"/>
              </w:rPr>
              <w:t>−</w:t>
            </w:r>
            <w:r>
              <w:rPr>
                <w:rFonts w:cs="Arial"/>
                <w:color w:val="0D0D0D" w:themeColor="text1" w:themeTint="F2"/>
                <w:spacing w:val="-4"/>
                <w:szCs w:val="20"/>
              </w:rPr>
              <w:t>2,6</w:t>
            </w:r>
            <w:r w:rsidRPr="00BD0558">
              <w:rPr>
                <w:rFonts w:cs="Arial"/>
                <w:color w:val="0D0D0D" w:themeColor="text1" w:themeTint="F2"/>
                <w:spacing w:val="-4"/>
                <w:szCs w:val="20"/>
              </w:rPr>
              <w:t xml:space="preserve"> p. b.). Srovnatelný a v novodobé historii rovněž nejhlubší pokles zaznamenali i prodejci potravin</w:t>
            </w:r>
            <w:r>
              <w:rPr>
                <w:rFonts w:cs="Arial"/>
                <w:color w:val="0D0D0D" w:themeColor="text1" w:themeTint="F2"/>
                <w:spacing w:val="-4"/>
                <w:szCs w:val="20"/>
              </w:rPr>
              <w:t xml:space="preserve"> (</w:t>
            </w:r>
            <w:r>
              <w:rPr>
                <w:color w:val="0D0D0D" w:themeColor="text1" w:themeTint="F2"/>
                <w:spacing w:val="-4"/>
              </w:rPr>
              <w:t>−</w:t>
            </w:r>
            <w:r>
              <w:rPr>
                <w:rFonts w:cs="Arial"/>
                <w:color w:val="0D0D0D" w:themeColor="text1" w:themeTint="F2"/>
                <w:spacing w:val="-4"/>
                <w:szCs w:val="20"/>
              </w:rPr>
              <w:t>5,8 %)</w:t>
            </w:r>
            <w:r w:rsidRPr="00BD0558">
              <w:rPr>
                <w:rFonts w:cs="Arial"/>
                <w:color w:val="0D0D0D" w:themeColor="text1" w:themeTint="F2"/>
                <w:spacing w:val="-4"/>
                <w:szCs w:val="20"/>
              </w:rPr>
              <w:t>. Z významnějších segmentů maloobchodu se zvyšovaly tržby je</w:t>
            </w:r>
            <w:r>
              <w:rPr>
                <w:rFonts w:cs="Arial"/>
                <w:color w:val="0D0D0D" w:themeColor="text1" w:themeTint="F2"/>
                <w:spacing w:val="-4"/>
                <w:szCs w:val="20"/>
              </w:rPr>
              <w:t>n za prodej pohonných hmot (+5,4</w:t>
            </w:r>
            <w:r w:rsidRPr="00BD0558">
              <w:rPr>
                <w:rFonts w:cs="Arial"/>
                <w:color w:val="0D0D0D" w:themeColor="text1" w:themeTint="F2"/>
                <w:spacing w:val="-4"/>
                <w:szCs w:val="20"/>
              </w:rPr>
              <w:t xml:space="preserve"> %</w:t>
            </w:r>
            <w:r>
              <w:rPr>
                <w:rFonts w:cs="Arial"/>
                <w:color w:val="0D0D0D" w:themeColor="text1" w:themeTint="F2"/>
                <w:spacing w:val="-4"/>
                <w:szCs w:val="20"/>
              </w:rPr>
              <w:t>, příspěvek +0,6</w:t>
            </w:r>
            <w:r w:rsidRPr="00BD0558">
              <w:rPr>
                <w:rFonts w:cs="Arial"/>
                <w:color w:val="0D0D0D" w:themeColor="text1" w:themeTint="F2"/>
                <w:spacing w:val="-4"/>
                <w:szCs w:val="20"/>
              </w:rPr>
              <w:t xml:space="preserve"> p. b.</w:t>
            </w:r>
            <w:r>
              <w:rPr>
                <w:rFonts w:cs="Arial"/>
                <w:color w:val="0D0D0D" w:themeColor="text1" w:themeTint="F2"/>
                <w:spacing w:val="-4"/>
                <w:szCs w:val="20"/>
              </w:rPr>
              <w:t>).</w:t>
            </w:r>
          </w:p>
        </w:tc>
      </w:tr>
      <w:tr w:rsidR="00BA5125" w14:paraId="185BFC0E" w14:textId="77777777" w:rsidTr="00BA5125">
        <w:trPr>
          <w:trHeight w:val="170"/>
        </w:trPr>
        <w:tc>
          <w:tcPr>
            <w:tcW w:w="1814" w:type="dxa"/>
            <w:tcBorders>
              <w:top w:val="nil"/>
              <w:left w:val="nil"/>
              <w:bottom w:val="nil"/>
              <w:right w:val="nil"/>
            </w:tcBorders>
            <w:shd w:val="clear" w:color="auto" w:fill="auto"/>
            <w:tcMar>
              <w:left w:w="0" w:type="dxa"/>
            </w:tcMar>
          </w:tcPr>
          <w:p w14:paraId="4D151EE1" w14:textId="77777777" w:rsidR="00BA5125" w:rsidRDefault="00BA5125" w:rsidP="00BA5125">
            <w:pPr>
              <w:pStyle w:val="Marginlie"/>
              <w:rPr>
                <w:spacing w:val="-4"/>
              </w:rPr>
            </w:pPr>
            <w:r w:rsidRPr="000839A0">
              <w:rPr>
                <w:spacing w:val="-4"/>
              </w:rPr>
              <w:t xml:space="preserve">Meziroční pokles tržeb v maloobchodu </w:t>
            </w:r>
            <w:r>
              <w:rPr>
                <w:spacing w:val="-4"/>
              </w:rPr>
              <w:t>se ve 4.</w:t>
            </w:r>
            <w:r>
              <w:t> </w:t>
            </w:r>
            <w:r w:rsidRPr="000839A0">
              <w:rPr>
                <w:spacing w:val="-4"/>
              </w:rPr>
              <w:t>čtvrtletí</w:t>
            </w:r>
            <w:r>
              <w:rPr>
                <w:spacing w:val="-4"/>
              </w:rPr>
              <w:t xml:space="preserve"> téměř zastavil. Příznivě se projevila</w:t>
            </w:r>
            <w:r w:rsidRPr="000839A0">
              <w:rPr>
                <w:spacing w:val="-4"/>
              </w:rPr>
              <w:t xml:space="preserve"> vyšší poptávka po nepotravinářském zboží, zejména v rámci internetového prodeje.</w:t>
            </w:r>
          </w:p>
          <w:p w14:paraId="3E4E73FB" w14:textId="77777777" w:rsidR="00BA5125" w:rsidRDefault="00BA5125" w:rsidP="00BA5125">
            <w:pPr>
              <w:pStyle w:val="Marginlie"/>
              <w:rPr>
                <w:spacing w:val="-4"/>
              </w:rPr>
            </w:pPr>
          </w:p>
          <w:p w14:paraId="62C440A5" w14:textId="77777777" w:rsidR="00BA5125" w:rsidRDefault="00BA5125" w:rsidP="00BA5125">
            <w:pPr>
              <w:pStyle w:val="Marginlie"/>
              <w:rPr>
                <w:spacing w:val="-4"/>
              </w:rPr>
            </w:pPr>
          </w:p>
          <w:p w14:paraId="1DF0D954" w14:textId="77777777" w:rsidR="00BA5125" w:rsidRDefault="00BA5125" w:rsidP="00BA5125">
            <w:pPr>
              <w:pStyle w:val="Marginlie"/>
              <w:rPr>
                <w:spacing w:val="-4"/>
              </w:rPr>
            </w:pPr>
          </w:p>
          <w:p w14:paraId="3BCE27C2" w14:textId="77777777" w:rsidR="00BA5125" w:rsidRDefault="00BA5125" w:rsidP="00BA5125">
            <w:pPr>
              <w:pStyle w:val="Marginlie"/>
              <w:rPr>
                <w:spacing w:val="-4"/>
              </w:rPr>
            </w:pPr>
          </w:p>
          <w:p w14:paraId="6ED818D0" w14:textId="77777777" w:rsidR="00BA5125" w:rsidRPr="000839A0" w:rsidRDefault="00BA5125" w:rsidP="00BA5125">
            <w:pPr>
              <w:pStyle w:val="Marginlie"/>
              <w:rPr>
                <w:spacing w:val="-4"/>
              </w:rPr>
            </w:pPr>
            <w:r>
              <w:rPr>
                <w:spacing w:val="-4"/>
              </w:rPr>
              <w:lastRenderedPageBreak/>
              <w:t>Pokles tržeb za potraviny pokračoval osmý kvartál v řadě.</w:t>
            </w:r>
          </w:p>
        </w:tc>
        <w:tc>
          <w:tcPr>
            <w:tcW w:w="229" w:type="dxa"/>
            <w:tcBorders>
              <w:top w:val="nil"/>
              <w:left w:val="nil"/>
              <w:bottom w:val="nil"/>
              <w:right w:val="nil"/>
            </w:tcBorders>
            <w:shd w:val="clear" w:color="auto" w:fill="auto"/>
            <w:tcMar>
              <w:left w:w="0" w:type="dxa"/>
            </w:tcMar>
          </w:tcPr>
          <w:p w14:paraId="733CCD82"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7EA4EE6E" w14:textId="77777777" w:rsidR="00BA5125" w:rsidRPr="00D1534A" w:rsidRDefault="00BA5125" w:rsidP="00BA5125">
            <w:pPr>
              <w:spacing w:after="200"/>
              <w:rPr>
                <w:rFonts w:cs="Arial"/>
                <w:color w:val="0D0D0D" w:themeColor="text1" w:themeTint="F2"/>
                <w:spacing w:val="-3"/>
                <w:szCs w:val="20"/>
              </w:rPr>
            </w:pPr>
            <w:r w:rsidRPr="00D1534A">
              <w:rPr>
                <w:rFonts w:cs="Arial"/>
                <w:color w:val="0D0D0D" w:themeColor="text1" w:themeTint="F2"/>
                <w:spacing w:val="-3"/>
                <w:szCs w:val="20"/>
              </w:rPr>
              <w:t>Optimističtější pohled skýtá 4. čtvrtletí 2023</w:t>
            </w:r>
            <w:r>
              <w:rPr>
                <w:rFonts w:cs="Arial"/>
                <w:color w:val="0D0D0D" w:themeColor="text1" w:themeTint="F2"/>
                <w:spacing w:val="-3"/>
                <w:szCs w:val="20"/>
              </w:rPr>
              <w:t>, v němž tržby v</w:t>
            </w:r>
            <w:r w:rsidRPr="00D1534A">
              <w:rPr>
                <w:rFonts w:cs="Arial"/>
                <w:color w:val="0D0D0D" w:themeColor="text1" w:themeTint="F2"/>
                <w:spacing w:val="-3"/>
                <w:szCs w:val="20"/>
              </w:rPr>
              <w:t xml:space="preserve"> maloobchodu </w:t>
            </w:r>
            <w:r>
              <w:rPr>
                <w:rFonts w:cs="Arial"/>
                <w:color w:val="0D0D0D" w:themeColor="text1" w:themeTint="F2"/>
                <w:spacing w:val="-2"/>
                <w:szCs w:val="20"/>
              </w:rPr>
              <w:t>meziročně fakticky stagnovaly (</w:t>
            </w:r>
            <w:r>
              <w:rPr>
                <w:color w:val="0D0D0D" w:themeColor="text1" w:themeTint="F2"/>
                <w:spacing w:val="-4"/>
              </w:rPr>
              <w:t>−</w:t>
            </w:r>
            <w:r w:rsidRPr="00D1534A">
              <w:rPr>
                <w:rFonts w:cs="Arial"/>
                <w:color w:val="0D0D0D" w:themeColor="text1" w:themeTint="F2"/>
                <w:spacing w:val="-2"/>
                <w:szCs w:val="20"/>
              </w:rPr>
              <w:t>0,1 %). Pozitivně se projevil růst u nepotravinářského</w:t>
            </w:r>
            <w:r>
              <w:rPr>
                <w:rFonts w:cs="Arial"/>
                <w:color w:val="0D0D0D" w:themeColor="text1" w:themeTint="F2"/>
                <w:spacing w:val="-2"/>
                <w:szCs w:val="20"/>
              </w:rPr>
              <w:t xml:space="preserve"> zboží (+0,8</w:t>
            </w:r>
            <w:r w:rsidRPr="00BD0558">
              <w:rPr>
                <w:rFonts w:cs="Arial"/>
                <w:color w:val="0D0D0D" w:themeColor="text1" w:themeTint="F2"/>
                <w:spacing w:val="-4"/>
                <w:szCs w:val="20"/>
              </w:rPr>
              <w:t> </w:t>
            </w:r>
            <w:r w:rsidRPr="00D1534A">
              <w:rPr>
                <w:rFonts w:cs="Arial"/>
                <w:color w:val="0D0D0D" w:themeColor="text1" w:themeTint="F2"/>
                <w:spacing w:val="-2"/>
                <w:szCs w:val="20"/>
              </w:rPr>
              <w:t>%),</w:t>
            </w:r>
            <w:r>
              <w:rPr>
                <w:rFonts w:cs="Arial"/>
                <w:color w:val="0D0D0D" w:themeColor="text1" w:themeTint="F2"/>
                <w:spacing w:val="-3"/>
                <w:szCs w:val="20"/>
              </w:rPr>
              <w:t xml:space="preserve"> jenž se objevil poprvé za posledních sedm</w:t>
            </w:r>
            <w:r w:rsidRPr="00D1534A">
              <w:rPr>
                <w:rFonts w:cs="Arial"/>
                <w:color w:val="0D0D0D" w:themeColor="text1" w:themeTint="F2"/>
                <w:spacing w:val="-3"/>
                <w:szCs w:val="20"/>
              </w:rPr>
              <w:t xml:space="preserve"> čtvrtletí. B</w:t>
            </w:r>
            <w:r>
              <w:rPr>
                <w:rFonts w:cs="Arial"/>
                <w:color w:val="0D0D0D" w:themeColor="text1" w:themeTint="F2"/>
                <w:spacing w:val="-3"/>
                <w:szCs w:val="20"/>
              </w:rPr>
              <w:t>yl tažený výraznějším oživením u</w:t>
            </w:r>
            <w:r>
              <w:rPr>
                <w:rFonts w:cs="Arial"/>
                <w:color w:val="0D0D0D" w:themeColor="text1" w:themeTint="F2"/>
                <w:szCs w:val="20"/>
              </w:rPr>
              <w:t> </w:t>
            </w:r>
            <w:r>
              <w:rPr>
                <w:rFonts w:cs="Arial"/>
                <w:color w:val="0D0D0D" w:themeColor="text1" w:themeTint="F2"/>
                <w:spacing w:val="-3"/>
                <w:szCs w:val="20"/>
              </w:rPr>
              <w:t>internetových prodejů (+6,4</w:t>
            </w:r>
            <w:r w:rsidRPr="00D1534A">
              <w:rPr>
                <w:rFonts w:cs="Arial"/>
                <w:color w:val="0D0D0D" w:themeColor="text1" w:themeTint="F2"/>
                <w:spacing w:val="-3"/>
                <w:szCs w:val="20"/>
              </w:rPr>
              <w:t xml:space="preserve"> %)</w:t>
            </w:r>
            <w:r w:rsidRPr="00D1534A">
              <w:rPr>
                <w:rStyle w:val="Znakapoznpodarou"/>
                <w:color w:val="0D0D0D" w:themeColor="text1" w:themeTint="F2"/>
                <w:spacing w:val="-3"/>
                <w:szCs w:val="20"/>
              </w:rPr>
              <w:footnoteReference w:id="39"/>
            </w:r>
            <w:r w:rsidRPr="00D1534A">
              <w:rPr>
                <w:rFonts w:cs="Arial"/>
                <w:color w:val="0D0D0D" w:themeColor="text1" w:themeTint="F2"/>
                <w:spacing w:val="-3"/>
                <w:szCs w:val="20"/>
              </w:rPr>
              <w:t>. V rámci specializovaných prodejen</w:t>
            </w:r>
            <w:r w:rsidRPr="00D1534A">
              <w:rPr>
                <w:rStyle w:val="Znakapoznpodarou"/>
                <w:color w:val="0D0D0D" w:themeColor="text1" w:themeTint="F2"/>
                <w:spacing w:val="-3"/>
                <w:szCs w:val="20"/>
              </w:rPr>
              <w:footnoteReference w:id="40"/>
            </w:r>
            <w:r w:rsidRPr="00D1534A">
              <w:rPr>
                <w:rFonts w:cs="Arial"/>
                <w:color w:val="0D0D0D" w:themeColor="text1" w:themeTint="F2"/>
                <w:spacing w:val="-3"/>
                <w:szCs w:val="20"/>
              </w:rPr>
              <w:t xml:space="preserve"> rostla nejvíce poptávka </w:t>
            </w:r>
            <w:r>
              <w:rPr>
                <w:rFonts w:cs="Arial"/>
                <w:color w:val="0D0D0D" w:themeColor="text1" w:themeTint="F2"/>
                <w:spacing w:val="-3"/>
                <w:szCs w:val="20"/>
              </w:rPr>
              <w:t>po</w:t>
            </w:r>
            <w:r w:rsidRPr="00D1534A">
              <w:rPr>
                <w:rFonts w:cs="Arial"/>
                <w:color w:val="0D0D0D" w:themeColor="text1" w:themeTint="F2"/>
                <w:spacing w:val="-3"/>
                <w:szCs w:val="20"/>
              </w:rPr>
              <w:t xml:space="preserve"> kosmetic</w:t>
            </w:r>
            <w:r>
              <w:rPr>
                <w:rFonts w:cs="Arial"/>
                <w:color w:val="0D0D0D" w:themeColor="text1" w:themeTint="F2"/>
                <w:spacing w:val="-3"/>
                <w:szCs w:val="20"/>
              </w:rPr>
              <w:t xml:space="preserve">kých a toaletních výrobcích (+10,0 %) a po </w:t>
            </w:r>
            <w:r w:rsidRPr="00011738">
              <w:rPr>
                <w:rFonts w:cs="Arial"/>
                <w:color w:val="0D0D0D" w:themeColor="text1" w:themeTint="F2"/>
                <w:spacing w:val="-3"/>
                <w:szCs w:val="20"/>
              </w:rPr>
              <w:t>farmaceutick</w:t>
            </w:r>
            <w:r>
              <w:rPr>
                <w:rFonts w:cs="Arial"/>
                <w:color w:val="0D0D0D" w:themeColor="text1" w:themeTint="F2"/>
                <w:spacing w:val="-3"/>
                <w:szCs w:val="20"/>
              </w:rPr>
              <w:t>ém</w:t>
            </w:r>
            <w:r w:rsidRPr="00011738">
              <w:rPr>
                <w:rFonts w:cs="Arial"/>
                <w:color w:val="0D0D0D" w:themeColor="text1" w:themeTint="F2"/>
                <w:spacing w:val="-3"/>
                <w:szCs w:val="20"/>
              </w:rPr>
              <w:t xml:space="preserve"> a zdravotnick</w:t>
            </w:r>
            <w:r>
              <w:rPr>
                <w:rFonts w:cs="Arial"/>
                <w:color w:val="0D0D0D" w:themeColor="text1" w:themeTint="F2"/>
                <w:spacing w:val="-3"/>
                <w:szCs w:val="20"/>
              </w:rPr>
              <w:t>é</w:t>
            </w:r>
            <w:r w:rsidRPr="00011738">
              <w:rPr>
                <w:rFonts w:cs="Arial"/>
                <w:color w:val="0D0D0D" w:themeColor="text1" w:themeTint="F2"/>
                <w:spacing w:val="-3"/>
                <w:szCs w:val="20"/>
              </w:rPr>
              <w:t>m zboží</w:t>
            </w:r>
            <w:r>
              <w:rPr>
                <w:rFonts w:cs="Arial"/>
                <w:color w:val="0D0D0D" w:themeColor="text1" w:themeTint="F2"/>
                <w:spacing w:val="-3"/>
                <w:szCs w:val="20"/>
              </w:rPr>
              <w:t xml:space="preserve"> (+5,1 %)</w:t>
            </w:r>
            <w:r w:rsidRPr="00D1534A">
              <w:rPr>
                <w:rStyle w:val="Znakapoznpodarou"/>
                <w:color w:val="0D0D0D" w:themeColor="text1" w:themeTint="F2"/>
                <w:spacing w:val="-3"/>
                <w:szCs w:val="20"/>
              </w:rPr>
              <w:footnoteReference w:id="41"/>
            </w:r>
            <w:r>
              <w:rPr>
                <w:rFonts w:cs="Arial"/>
                <w:color w:val="0D0D0D" w:themeColor="text1" w:themeTint="F2"/>
                <w:spacing w:val="-3"/>
                <w:szCs w:val="20"/>
              </w:rPr>
              <w:t>. Mírný růst tržeb nastal také v prodejnách s počítačovým</w:t>
            </w:r>
            <w:r w:rsidRPr="00D1534A">
              <w:rPr>
                <w:rFonts w:cs="Arial"/>
                <w:color w:val="0D0D0D" w:themeColor="text1" w:themeTint="F2"/>
                <w:spacing w:val="-3"/>
                <w:szCs w:val="20"/>
              </w:rPr>
              <w:t xml:space="preserve"> a komunikační</w:t>
            </w:r>
            <w:r>
              <w:rPr>
                <w:rFonts w:cs="Arial"/>
                <w:color w:val="0D0D0D" w:themeColor="text1" w:themeTint="F2"/>
                <w:spacing w:val="-3"/>
                <w:szCs w:val="20"/>
              </w:rPr>
              <w:t>m</w:t>
            </w:r>
            <w:r w:rsidRPr="00D1534A">
              <w:rPr>
                <w:rFonts w:cs="Arial"/>
                <w:color w:val="0D0D0D" w:themeColor="text1" w:themeTint="F2"/>
                <w:spacing w:val="-3"/>
                <w:szCs w:val="20"/>
              </w:rPr>
              <w:t xml:space="preserve"> zařízení</w:t>
            </w:r>
            <w:r>
              <w:rPr>
                <w:rFonts w:cs="Arial"/>
                <w:color w:val="0D0D0D" w:themeColor="text1" w:themeTint="F2"/>
                <w:spacing w:val="-3"/>
                <w:szCs w:val="20"/>
              </w:rPr>
              <w:t>m (+1,9</w:t>
            </w:r>
            <w:r w:rsidRPr="00D1534A">
              <w:rPr>
                <w:rFonts w:cs="Arial"/>
                <w:color w:val="0D0D0D" w:themeColor="text1" w:themeTint="F2"/>
                <w:spacing w:val="-3"/>
                <w:szCs w:val="20"/>
              </w:rPr>
              <w:t xml:space="preserve"> %)</w:t>
            </w:r>
            <w:r>
              <w:rPr>
                <w:rFonts w:cs="Arial"/>
                <w:color w:val="0D0D0D" w:themeColor="text1" w:themeTint="F2"/>
                <w:spacing w:val="-3"/>
                <w:szCs w:val="20"/>
              </w:rPr>
              <w:t>, poptávka zde meziročně vzrostla poprvé za posledních sedm kvartálů.</w:t>
            </w:r>
            <w:r w:rsidRPr="00D1534A">
              <w:rPr>
                <w:rFonts w:cs="Arial"/>
                <w:color w:val="0D0D0D" w:themeColor="text1" w:themeTint="F2"/>
                <w:spacing w:val="-3"/>
                <w:szCs w:val="20"/>
              </w:rPr>
              <w:t xml:space="preserve"> Naopak nákup řady „zbytného“ zboží lidé dále </w:t>
            </w:r>
            <w:r>
              <w:rPr>
                <w:rFonts w:cs="Arial"/>
                <w:color w:val="0D0D0D" w:themeColor="text1" w:themeTint="F2"/>
                <w:spacing w:val="-3"/>
                <w:szCs w:val="20"/>
              </w:rPr>
              <w:t xml:space="preserve">často </w:t>
            </w:r>
            <w:r w:rsidRPr="00D1534A">
              <w:rPr>
                <w:rFonts w:cs="Arial"/>
                <w:color w:val="0D0D0D" w:themeColor="text1" w:themeTint="F2"/>
                <w:spacing w:val="-3"/>
                <w:szCs w:val="20"/>
              </w:rPr>
              <w:t>odkládali. Prodejci výrobků převážně pro domácnost (</w:t>
            </w:r>
            <w:r w:rsidRPr="00D1534A">
              <w:rPr>
                <w:rStyle w:val="normaltextrun"/>
                <w:rFonts w:eastAsia="MS Gothic" w:cs="Arial"/>
                <w:spacing w:val="-3"/>
                <w:szCs w:val="20"/>
              </w:rPr>
              <w:t>zahrnující hlavně železářské zboží, stavebniny, barvy, sklo, potřeby pro kutily, elektro, nábytek a</w:t>
            </w:r>
            <w:r w:rsidRPr="00D1534A">
              <w:rPr>
                <w:rFonts w:cs="Arial"/>
                <w:color w:val="0D0D0D" w:themeColor="text1" w:themeTint="F2"/>
                <w:spacing w:val="-3"/>
                <w:szCs w:val="20"/>
              </w:rPr>
              <w:t> </w:t>
            </w:r>
            <w:r w:rsidRPr="00D1534A">
              <w:rPr>
                <w:rStyle w:val="normaltextrun"/>
                <w:rFonts w:eastAsia="MS Gothic" w:cs="Arial"/>
                <w:spacing w:val="-3"/>
                <w:szCs w:val="20"/>
              </w:rPr>
              <w:t xml:space="preserve">svítidla) </w:t>
            </w:r>
            <w:r>
              <w:rPr>
                <w:rFonts w:cs="Arial"/>
                <w:color w:val="0D0D0D" w:themeColor="text1" w:themeTint="F2"/>
                <w:spacing w:val="-3"/>
                <w:szCs w:val="20"/>
              </w:rPr>
              <w:t xml:space="preserve">tak stržili meziročně </w:t>
            </w:r>
            <w:r>
              <w:rPr>
                <w:rFonts w:cs="Arial"/>
                <w:color w:val="0D0D0D" w:themeColor="text1" w:themeTint="F2"/>
                <w:spacing w:val="-3"/>
                <w:szCs w:val="20"/>
              </w:rPr>
              <w:lastRenderedPageBreak/>
              <w:t>o 5,3 % méně,</w:t>
            </w:r>
            <w:r w:rsidRPr="00D1534A">
              <w:rPr>
                <w:rFonts w:cs="Arial"/>
                <w:color w:val="0D0D0D" w:themeColor="text1" w:themeTint="F2"/>
                <w:spacing w:val="-3"/>
                <w:szCs w:val="20"/>
              </w:rPr>
              <w:t xml:space="preserve"> u odě</w:t>
            </w:r>
            <w:r>
              <w:rPr>
                <w:rFonts w:cs="Arial"/>
                <w:color w:val="0D0D0D" w:themeColor="text1" w:themeTint="F2"/>
                <w:spacing w:val="-3"/>
                <w:szCs w:val="20"/>
              </w:rPr>
              <w:t>vů, obuvi a koženého zboží došlo k poklesu o 4,7</w:t>
            </w:r>
            <w:r w:rsidRPr="00D1534A">
              <w:rPr>
                <w:rFonts w:cs="Arial"/>
                <w:color w:val="0D0D0D" w:themeColor="text1" w:themeTint="F2"/>
                <w:spacing w:val="-3"/>
                <w:szCs w:val="20"/>
              </w:rPr>
              <w:t xml:space="preserve"> %</w:t>
            </w:r>
            <w:r w:rsidRPr="00D1534A">
              <w:rPr>
                <w:rStyle w:val="Znakapoznpodarou"/>
                <w:color w:val="0D0D0D" w:themeColor="text1" w:themeTint="F2"/>
                <w:spacing w:val="-3"/>
                <w:szCs w:val="20"/>
              </w:rPr>
              <w:footnoteReference w:id="42"/>
            </w:r>
            <w:r>
              <w:rPr>
                <w:rFonts w:cs="Arial"/>
                <w:color w:val="0D0D0D" w:themeColor="text1" w:themeTint="F2"/>
                <w:spacing w:val="-3"/>
                <w:szCs w:val="20"/>
              </w:rPr>
              <w:t>,</w:t>
            </w:r>
            <w:r w:rsidRPr="00D1534A">
              <w:rPr>
                <w:rFonts w:cs="Arial"/>
                <w:color w:val="0D0D0D" w:themeColor="text1" w:themeTint="F2"/>
                <w:spacing w:val="-3"/>
                <w:szCs w:val="20"/>
              </w:rPr>
              <w:t xml:space="preserve"> u výrobků pro k</w:t>
            </w:r>
            <w:r>
              <w:rPr>
                <w:rFonts w:cs="Arial"/>
                <w:color w:val="0D0D0D" w:themeColor="text1" w:themeTint="F2"/>
                <w:spacing w:val="-3"/>
                <w:szCs w:val="20"/>
              </w:rPr>
              <w:t>ulturu a</w:t>
            </w:r>
            <w:r>
              <w:rPr>
                <w:rFonts w:cs="Arial"/>
                <w:color w:val="0D0D0D" w:themeColor="text1" w:themeTint="F2"/>
                <w:szCs w:val="20"/>
              </w:rPr>
              <w:t> </w:t>
            </w:r>
            <w:r>
              <w:rPr>
                <w:rFonts w:cs="Arial"/>
                <w:color w:val="0D0D0D" w:themeColor="text1" w:themeTint="F2"/>
                <w:spacing w:val="-3"/>
                <w:szCs w:val="20"/>
              </w:rPr>
              <w:t xml:space="preserve">rekreaci to byl pokles o 0,3 %.  </w:t>
            </w:r>
            <w:r w:rsidRPr="00D1534A">
              <w:rPr>
                <w:rFonts w:cs="Arial"/>
                <w:color w:val="0D0D0D" w:themeColor="text1" w:themeTint="F2"/>
                <w:spacing w:val="-3"/>
                <w:szCs w:val="20"/>
              </w:rPr>
              <w:t>Tržby za prodej pot</w:t>
            </w:r>
            <w:r>
              <w:rPr>
                <w:rFonts w:cs="Arial"/>
                <w:color w:val="0D0D0D" w:themeColor="text1" w:themeTint="F2"/>
                <w:spacing w:val="-3"/>
                <w:szCs w:val="20"/>
              </w:rPr>
              <w:t>ravin byly meziročně nižší o</w:t>
            </w:r>
            <w:r>
              <w:rPr>
                <w:rFonts w:cs="Arial"/>
                <w:color w:val="0D0D0D" w:themeColor="text1" w:themeTint="F2"/>
                <w:spacing w:val="-6"/>
                <w:szCs w:val="20"/>
              </w:rPr>
              <w:t> </w:t>
            </w:r>
            <w:r>
              <w:rPr>
                <w:rFonts w:cs="Arial"/>
                <w:color w:val="0D0D0D" w:themeColor="text1" w:themeTint="F2"/>
                <w:spacing w:val="-3"/>
                <w:szCs w:val="20"/>
              </w:rPr>
              <w:t>2,2 % (pokles trval již dva roky</w:t>
            </w:r>
            <w:r w:rsidRPr="00D1534A">
              <w:rPr>
                <w:rFonts w:cs="Arial"/>
                <w:color w:val="0D0D0D" w:themeColor="text1" w:themeTint="F2"/>
                <w:spacing w:val="-3"/>
                <w:szCs w:val="20"/>
              </w:rPr>
              <w:t>). Poptávka se srovnatelně snižovala jak u velkých řetězců, tak u malých specializovaných prodejen (</w:t>
            </w:r>
            <w:r>
              <w:rPr>
                <w:rFonts w:cs="Arial"/>
                <w:color w:val="0D0D0D" w:themeColor="text1" w:themeTint="F2"/>
                <w:spacing w:val="-3"/>
                <w:szCs w:val="20"/>
              </w:rPr>
              <w:t>z</w:t>
            </w:r>
            <w:r>
              <w:rPr>
                <w:rFonts w:cs="Arial"/>
                <w:color w:val="0D0D0D" w:themeColor="text1" w:themeTint="F2"/>
                <w:szCs w:val="20"/>
              </w:rPr>
              <w:t> </w:t>
            </w:r>
            <w:r w:rsidRPr="00D1534A">
              <w:rPr>
                <w:rFonts w:cs="Arial"/>
                <w:color w:val="0D0D0D" w:themeColor="text1" w:themeTint="F2"/>
                <w:spacing w:val="-3"/>
                <w:szCs w:val="20"/>
              </w:rPr>
              <w:t xml:space="preserve">nichž váhově nejvýznamnější sortimentní skupinu představují tabákové výrobky). Tak jako za celý loňský rok, </w:t>
            </w:r>
            <w:r>
              <w:rPr>
                <w:rFonts w:cs="Arial"/>
                <w:color w:val="0D0D0D" w:themeColor="text1" w:themeTint="F2"/>
                <w:spacing w:val="-3"/>
                <w:szCs w:val="20"/>
              </w:rPr>
              <w:t>i v jeho 4.</w:t>
            </w:r>
            <w:r>
              <w:rPr>
                <w:rFonts w:cs="Arial"/>
                <w:color w:val="0D0D0D" w:themeColor="text1" w:themeTint="F2"/>
                <w:spacing w:val="-6"/>
                <w:szCs w:val="20"/>
              </w:rPr>
              <w:t> </w:t>
            </w:r>
            <w:r w:rsidRPr="00D1534A">
              <w:rPr>
                <w:rFonts w:cs="Arial"/>
                <w:color w:val="0D0D0D" w:themeColor="text1" w:themeTint="F2"/>
                <w:spacing w:val="-3"/>
                <w:szCs w:val="20"/>
              </w:rPr>
              <w:t>čtvrtletí přispívaly k vývoji maloobchodu pozitivně tržby za prodej pohonných h</w:t>
            </w:r>
            <w:r>
              <w:rPr>
                <w:rFonts w:cs="Arial"/>
                <w:color w:val="0D0D0D" w:themeColor="text1" w:themeTint="F2"/>
                <w:spacing w:val="-3"/>
                <w:szCs w:val="20"/>
              </w:rPr>
              <w:t>mot (+2,0</w:t>
            </w:r>
            <w:r>
              <w:rPr>
                <w:rFonts w:cs="Arial"/>
                <w:color w:val="0D0D0D" w:themeColor="text1" w:themeTint="F2"/>
                <w:spacing w:val="-6"/>
                <w:szCs w:val="20"/>
              </w:rPr>
              <w:t> </w:t>
            </w:r>
            <w:r w:rsidRPr="00D1534A">
              <w:rPr>
                <w:rFonts w:cs="Arial"/>
                <w:color w:val="0D0D0D" w:themeColor="text1" w:themeTint="F2"/>
                <w:spacing w:val="-3"/>
                <w:szCs w:val="20"/>
              </w:rPr>
              <w:t xml:space="preserve">%). Vyšší spotřebu PHM </w:t>
            </w:r>
            <w:r>
              <w:rPr>
                <w:rFonts w:cs="Arial"/>
                <w:color w:val="0D0D0D" w:themeColor="text1" w:themeTint="F2"/>
                <w:spacing w:val="-3"/>
                <w:szCs w:val="20"/>
              </w:rPr>
              <w:t xml:space="preserve">patrně </w:t>
            </w:r>
            <w:r w:rsidRPr="00D1534A">
              <w:rPr>
                <w:rFonts w:cs="Arial"/>
                <w:color w:val="0D0D0D" w:themeColor="text1" w:themeTint="F2"/>
                <w:spacing w:val="-3"/>
                <w:szCs w:val="20"/>
              </w:rPr>
              <w:t xml:space="preserve">zčásti stimulovala </w:t>
            </w:r>
            <w:r>
              <w:rPr>
                <w:rFonts w:cs="Arial"/>
                <w:color w:val="0D0D0D" w:themeColor="text1" w:themeTint="F2"/>
                <w:spacing w:val="-3"/>
                <w:szCs w:val="20"/>
              </w:rPr>
              <w:t xml:space="preserve">jejich </w:t>
            </w:r>
            <w:r w:rsidRPr="00D1534A">
              <w:rPr>
                <w:rFonts w:cs="Arial"/>
                <w:color w:val="0D0D0D" w:themeColor="text1" w:themeTint="F2"/>
                <w:spacing w:val="-3"/>
                <w:szCs w:val="20"/>
              </w:rPr>
              <w:t xml:space="preserve">příznivější </w:t>
            </w:r>
            <w:r>
              <w:rPr>
                <w:rFonts w:cs="Arial"/>
                <w:color w:val="0D0D0D" w:themeColor="text1" w:themeTint="F2"/>
                <w:spacing w:val="-3"/>
                <w:szCs w:val="20"/>
              </w:rPr>
              <w:t>spotřebitelská cena, jež meziročně klesala od března 2023</w:t>
            </w:r>
            <w:r w:rsidRPr="00D1534A">
              <w:rPr>
                <w:rFonts w:cs="Arial"/>
                <w:color w:val="0D0D0D" w:themeColor="text1" w:themeTint="F2"/>
                <w:spacing w:val="-3"/>
                <w:szCs w:val="20"/>
              </w:rPr>
              <w:t>.</w:t>
            </w:r>
          </w:p>
        </w:tc>
      </w:tr>
      <w:tr w:rsidR="00BA5125" w14:paraId="3A4F45E6" w14:textId="77777777" w:rsidTr="00BA5125">
        <w:trPr>
          <w:trHeight w:val="170"/>
        </w:trPr>
        <w:tc>
          <w:tcPr>
            <w:tcW w:w="1814" w:type="dxa"/>
            <w:tcBorders>
              <w:top w:val="nil"/>
              <w:left w:val="nil"/>
              <w:bottom w:val="nil"/>
              <w:right w:val="nil"/>
            </w:tcBorders>
            <w:shd w:val="clear" w:color="auto" w:fill="auto"/>
            <w:tcMar>
              <w:left w:w="0" w:type="dxa"/>
            </w:tcMar>
          </w:tcPr>
          <w:p w14:paraId="1BE175F0" w14:textId="77777777" w:rsidR="00BA5125" w:rsidRDefault="00BA5125" w:rsidP="00BA5125">
            <w:pPr>
              <w:pStyle w:val="Marginlie"/>
            </w:pPr>
            <w:r>
              <w:lastRenderedPageBreak/>
              <w:t>Růst tržeb v motoristickém segmentu obchodu byl tažen hlavně vyšší poptávkou po automobilech.</w:t>
            </w:r>
          </w:p>
        </w:tc>
        <w:tc>
          <w:tcPr>
            <w:tcW w:w="229" w:type="dxa"/>
            <w:tcBorders>
              <w:top w:val="nil"/>
              <w:left w:val="nil"/>
              <w:bottom w:val="nil"/>
              <w:right w:val="nil"/>
            </w:tcBorders>
            <w:shd w:val="clear" w:color="auto" w:fill="auto"/>
            <w:tcMar>
              <w:left w:w="0" w:type="dxa"/>
            </w:tcMar>
          </w:tcPr>
          <w:p w14:paraId="33762B4A"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57678B13" w14:textId="77777777" w:rsidR="00BA5125" w:rsidRPr="001C4DF9" w:rsidRDefault="00BA5125" w:rsidP="00BA5125">
            <w:pPr>
              <w:spacing w:after="200"/>
              <w:rPr>
                <w:rFonts w:cs="Arial"/>
                <w:color w:val="0D0D0D" w:themeColor="text1" w:themeTint="F2"/>
                <w:spacing w:val="-6"/>
                <w:szCs w:val="20"/>
              </w:rPr>
            </w:pPr>
            <w:r>
              <w:rPr>
                <w:rFonts w:cs="Arial"/>
                <w:color w:val="0D0D0D" w:themeColor="text1" w:themeTint="F2"/>
                <w:szCs w:val="20"/>
              </w:rPr>
              <w:t xml:space="preserve">Na meziročním růstu tržeb v motoristickém segmentu obchodu ve 4. čtvrtletí o 7,4 % (o 5,6 % za celý loňský rok) se podílela zejména vyšší poptávka po </w:t>
            </w:r>
            <w:r>
              <w:rPr>
                <w:rFonts w:cs="Arial"/>
                <w:color w:val="0D0D0D" w:themeColor="text1" w:themeTint="F2"/>
                <w:spacing w:val="-6"/>
                <w:szCs w:val="20"/>
              </w:rPr>
              <w:t>motorových vozidlech, což souviselo s poměrně příznivou situací celého automobilového průmyslu v Česku i EU. Tržby za o</w:t>
            </w:r>
            <w:r w:rsidRPr="003D6D1B">
              <w:rPr>
                <w:rFonts w:cs="Arial"/>
                <w:color w:val="0D0D0D" w:themeColor="text1" w:themeTint="F2"/>
                <w:spacing w:val="-6"/>
                <w:szCs w:val="20"/>
              </w:rPr>
              <w:t>bchod s díly a př</w:t>
            </w:r>
            <w:r>
              <w:rPr>
                <w:rFonts w:cs="Arial"/>
                <w:color w:val="0D0D0D" w:themeColor="text1" w:themeTint="F2"/>
                <w:spacing w:val="-6"/>
                <w:szCs w:val="20"/>
              </w:rPr>
              <w:t>íslušenstvím rostly naopak jen mírně (za celý rok 2023 se dokonce snížily o 4,5 %) a za obchod, opravy a údržbu</w:t>
            </w:r>
            <w:r w:rsidRPr="003D6D1B">
              <w:rPr>
                <w:rFonts w:cs="Arial"/>
                <w:color w:val="0D0D0D" w:themeColor="text1" w:themeTint="F2"/>
                <w:spacing w:val="-6"/>
                <w:szCs w:val="20"/>
              </w:rPr>
              <w:t xml:space="preserve"> motocyklů</w:t>
            </w:r>
            <w:r>
              <w:rPr>
                <w:rFonts w:cs="Arial"/>
                <w:color w:val="0D0D0D" w:themeColor="text1" w:themeTint="F2"/>
                <w:spacing w:val="-6"/>
                <w:szCs w:val="20"/>
              </w:rPr>
              <w:t xml:space="preserve"> klesly bezmála o 7 % (snižovaly se sedmý kvartál v řadě). Oproti konci roku 2019 byly loni tržby v celém motoristickém segmentu obchodu stále skoro o desetinu nižší a zaostaly ve všech jeho oborech (nejvíce v o</w:t>
            </w:r>
            <w:r w:rsidRPr="00901A72">
              <w:rPr>
                <w:rFonts w:cs="Arial"/>
                <w:color w:val="0D0D0D" w:themeColor="text1" w:themeTint="F2"/>
                <w:spacing w:val="-6"/>
                <w:szCs w:val="20"/>
              </w:rPr>
              <w:t>bchod</w:t>
            </w:r>
            <w:r>
              <w:rPr>
                <w:rFonts w:cs="Arial"/>
                <w:color w:val="0D0D0D" w:themeColor="text1" w:themeTint="F2"/>
                <w:spacing w:val="-6"/>
                <w:szCs w:val="20"/>
              </w:rPr>
              <w:t>u</w:t>
            </w:r>
            <w:r w:rsidRPr="00901A72">
              <w:rPr>
                <w:rFonts w:cs="Arial"/>
                <w:color w:val="0D0D0D" w:themeColor="text1" w:themeTint="F2"/>
                <w:spacing w:val="-6"/>
                <w:szCs w:val="20"/>
              </w:rPr>
              <w:t xml:space="preserve"> s díly a příslušenstvím</w:t>
            </w:r>
            <w:r>
              <w:rPr>
                <w:rFonts w:cs="Arial"/>
                <w:color w:val="0D0D0D" w:themeColor="text1" w:themeTint="F2"/>
                <w:spacing w:val="-6"/>
                <w:szCs w:val="20"/>
              </w:rPr>
              <w:t>).</w:t>
            </w:r>
          </w:p>
        </w:tc>
      </w:tr>
      <w:tr w:rsidR="00BA5125" w14:paraId="75C1AB12" w14:textId="77777777" w:rsidTr="00BA5125">
        <w:trPr>
          <w:trHeight w:val="170"/>
        </w:trPr>
        <w:tc>
          <w:tcPr>
            <w:tcW w:w="1814" w:type="dxa"/>
            <w:tcBorders>
              <w:top w:val="nil"/>
              <w:left w:val="nil"/>
              <w:bottom w:val="nil"/>
              <w:right w:val="nil"/>
            </w:tcBorders>
            <w:shd w:val="clear" w:color="auto" w:fill="auto"/>
            <w:tcMar>
              <w:left w:w="0" w:type="dxa"/>
            </w:tcMar>
          </w:tcPr>
          <w:p w14:paraId="0E3954E9" w14:textId="77777777" w:rsidR="00BA5125" w:rsidRPr="00BD3BE9" w:rsidRDefault="00BA5125" w:rsidP="00BA5125">
            <w:pPr>
              <w:pStyle w:val="Marginlie"/>
              <w:rPr>
                <w:color w:val="0D0D0D" w:themeColor="text1" w:themeTint="F2"/>
              </w:rPr>
            </w:pPr>
          </w:p>
        </w:tc>
        <w:tc>
          <w:tcPr>
            <w:tcW w:w="229" w:type="dxa"/>
            <w:tcBorders>
              <w:top w:val="nil"/>
              <w:left w:val="nil"/>
              <w:bottom w:val="nil"/>
              <w:right w:val="nil"/>
            </w:tcBorders>
            <w:shd w:val="clear" w:color="auto" w:fill="auto"/>
            <w:tcMar>
              <w:left w:w="0" w:type="dxa"/>
            </w:tcMar>
          </w:tcPr>
          <w:p w14:paraId="487B25A4" w14:textId="77777777" w:rsidR="00BA5125" w:rsidRPr="00BD3BE9" w:rsidRDefault="00BA5125" w:rsidP="00BA5125">
            <w:pPr>
              <w:pStyle w:val="Textpoznpodarou"/>
              <w:jc w:val="both"/>
              <w:rPr>
                <w:color w:val="0D0D0D" w:themeColor="text1" w:themeTint="F2"/>
                <w:spacing w:val="-4"/>
              </w:rPr>
            </w:pPr>
          </w:p>
        </w:tc>
        <w:tc>
          <w:tcPr>
            <w:tcW w:w="7596" w:type="dxa"/>
            <w:tcBorders>
              <w:top w:val="nil"/>
              <w:left w:val="nil"/>
              <w:bottom w:val="nil"/>
              <w:right w:val="nil"/>
            </w:tcBorders>
            <w:shd w:val="clear" w:color="auto" w:fill="auto"/>
            <w:tcMar>
              <w:left w:w="0" w:type="dxa"/>
            </w:tcMar>
          </w:tcPr>
          <w:p w14:paraId="375FEADB" w14:textId="77777777" w:rsidR="00BA5125" w:rsidRPr="00C73A63" w:rsidRDefault="00BA5125" w:rsidP="00BA5125">
            <w:pPr>
              <w:spacing w:after="40"/>
              <w:rPr>
                <w:rFonts w:cs="Arial"/>
                <w:color w:val="0D0D0D" w:themeColor="text1" w:themeTint="F2"/>
                <w:spacing w:val="-4"/>
                <w:szCs w:val="20"/>
              </w:rPr>
            </w:pPr>
            <w:r>
              <w:rPr>
                <w:b/>
              </w:rPr>
              <w:t>Graf č. 8</w:t>
            </w:r>
            <w:r w:rsidRPr="00F0005D">
              <w:rPr>
                <w:b/>
              </w:rPr>
              <w:t xml:space="preserve"> </w:t>
            </w:r>
            <w:r w:rsidRPr="004405E2">
              <w:rPr>
                <w:rFonts w:cs="Arial"/>
                <w:b/>
                <w:bCs/>
                <w:color w:val="0D0D0D" w:themeColor="text1" w:themeTint="F2"/>
                <w:spacing w:val="-6"/>
              </w:rPr>
              <w:t xml:space="preserve">Příspěvky dílčích odvětví k meziroční změně tržeb v maloobchodu* </w:t>
            </w:r>
            <w:r w:rsidRPr="004405E2">
              <w:rPr>
                <w:rFonts w:cs="Arial"/>
                <w:color w:val="0D0D0D" w:themeColor="text1" w:themeTint="F2"/>
                <w:spacing w:val="-6"/>
              </w:rPr>
              <w:t xml:space="preserve">(reálně, v p. b.), </w:t>
            </w:r>
            <w:r w:rsidRPr="004405E2">
              <w:rPr>
                <w:rFonts w:cs="Arial"/>
                <w:b/>
                <w:bCs/>
                <w:color w:val="0D0D0D" w:themeColor="text1" w:themeTint="F2"/>
                <w:spacing w:val="-6"/>
              </w:rPr>
              <w:t xml:space="preserve">tržby v maloobchodu a v motoristickém segmentu obchodu** </w:t>
            </w:r>
            <w:r w:rsidRPr="004405E2">
              <w:rPr>
                <w:rFonts w:cs="Arial"/>
                <w:color w:val="0D0D0D" w:themeColor="text1" w:themeTint="F2"/>
                <w:spacing w:val="-6"/>
              </w:rPr>
              <w:t>(reálně, ú</w:t>
            </w:r>
            <w:r>
              <w:rPr>
                <w:rFonts w:cs="Arial"/>
                <w:color w:val="0D0D0D" w:themeColor="text1" w:themeTint="F2"/>
                <w:spacing w:val="-6"/>
              </w:rPr>
              <w:t xml:space="preserve">roveň roku 2021=100, pravá osa), </w:t>
            </w:r>
            <w:r w:rsidRPr="004405E2">
              <w:rPr>
                <w:rFonts w:cs="Arial"/>
                <w:b/>
                <w:bCs/>
                <w:color w:val="0D0D0D" w:themeColor="text1" w:themeTint="F2"/>
                <w:spacing w:val="-6"/>
              </w:rPr>
              <w:t>s</w:t>
            </w:r>
            <w:r>
              <w:rPr>
                <w:rFonts w:cs="Arial"/>
                <w:b/>
                <w:bCs/>
                <w:color w:val="0D0D0D" w:themeColor="text1" w:themeTint="F2"/>
                <w:spacing w:val="-6"/>
              </w:rPr>
              <w:t xml:space="preserve">aldo důvěry </w:t>
            </w:r>
            <w:r w:rsidRPr="00BC34D2">
              <w:rPr>
                <w:rFonts w:cs="Arial"/>
                <w:b/>
                <w:bCs/>
                <w:color w:val="0D0D0D" w:themeColor="text1" w:themeTint="F2"/>
                <w:spacing w:val="-6"/>
              </w:rPr>
              <w:t>spotřebitelů i obchodníků</w:t>
            </w:r>
            <w:r w:rsidRPr="004405E2">
              <w:rPr>
                <w:rFonts w:cs="Arial"/>
                <w:b/>
                <w:bCs/>
                <w:color w:val="0D0D0D" w:themeColor="text1" w:themeTint="F2"/>
                <w:spacing w:val="-6"/>
              </w:rPr>
              <w:t xml:space="preserve">*** </w:t>
            </w:r>
            <w:r w:rsidRPr="004405E2">
              <w:rPr>
                <w:rFonts w:cs="Arial"/>
                <w:color w:val="0D0D0D" w:themeColor="text1" w:themeTint="F2"/>
                <w:spacing w:val="-6"/>
              </w:rPr>
              <w:t>(v p. b., pravá osa)</w:t>
            </w:r>
          </w:p>
        </w:tc>
      </w:tr>
      <w:tr w:rsidR="00BA5125" w14:paraId="40C33E6C" w14:textId="77777777" w:rsidTr="00BA5125">
        <w:tblPrEx>
          <w:tblCellMar>
            <w:left w:w="70" w:type="dxa"/>
            <w:right w:w="70" w:type="dxa"/>
          </w:tblCellMar>
        </w:tblPrEx>
        <w:trPr>
          <w:trHeight w:val="170"/>
        </w:trPr>
        <w:tc>
          <w:tcPr>
            <w:tcW w:w="1814" w:type="dxa"/>
            <w:tcBorders>
              <w:top w:val="nil"/>
              <w:left w:val="nil"/>
              <w:bottom w:val="nil"/>
              <w:right w:val="nil"/>
            </w:tcBorders>
            <w:shd w:val="clear" w:color="auto" w:fill="auto"/>
          </w:tcPr>
          <w:p w14:paraId="21CCD7BD" w14:textId="77777777" w:rsidR="00BA5125" w:rsidRDefault="00BA5125" w:rsidP="00BA5125">
            <w:pPr>
              <w:pStyle w:val="Marginlie"/>
            </w:pPr>
          </w:p>
        </w:tc>
        <w:tc>
          <w:tcPr>
            <w:tcW w:w="229" w:type="dxa"/>
            <w:tcBorders>
              <w:top w:val="nil"/>
              <w:left w:val="nil"/>
              <w:bottom w:val="nil"/>
              <w:right w:val="nil"/>
            </w:tcBorders>
            <w:shd w:val="clear" w:color="auto" w:fill="auto"/>
          </w:tcPr>
          <w:p w14:paraId="4A7D2D6C"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Pr>
          <w:p w14:paraId="3F44782D" w14:textId="77777777" w:rsidR="00BA5125" w:rsidRPr="004C1143" w:rsidRDefault="00BA5125" w:rsidP="00BA5125">
            <w:pPr>
              <w:spacing w:after="0"/>
              <w:rPr>
                <w:rFonts w:cs="Arial"/>
                <w:sz w:val="14"/>
                <w:szCs w:val="14"/>
              </w:rPr>
            </w:pPr>
            <w:r>
              <w:rPr>
                <w:noProof/>
              </w:rPr>
              <w:drawing>
                <wp:inline distT="0" distB="0" distL="0" distR="0" wp14:anchorId="11C65589" wp14:editId="00CC16EE">
                  <wp:extent cx="4734560" cy="3690620"/>
                  <wp:effectExtent l="0" t="0" r="8890" b="508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BA5125" w14:paraId="55F879AB" w14:textId="77777777" w:rsidTr="00BA5125">
        <w:trPr>
          <w:trHeight w:val="170"/>
        </w:trPr>
        <w:tc>
          <w:tcPr>
            <w:tcW w:w="1814" w:type="dxa"/>
            <w:tcBorders>
              <w:top w:val="nil"/>
              <w:left w:val="nil"/>
              <w:bottom w:val="nil"/>
              <w:right w:val="nil"/>
            </w:tcBorders>
            <w:shd w:val="clear" w:color="auto" w:fill="auto"/>
            <w:tcMar>
              <w:left w:w="0" w:type="dxa"/>
            </w:tcMar>
          </w:tcPr>
          <w:p w14:paraId="1D3E9A8A" w14:textId="77777777" w:rsidR="00BA5125" w:rsidRDefault="00BA5125" w:rsidP="00BA5125">
            <w:pPr>
              <w:pStyle w:val="Marginlie"/>
            </w:pPr>
          </w:p>
        </w:tc>
        <w:tc>
          <w:tcPr>
            <w:tcW w:w="229" w:type="dxa"/>
            <w:tcBorders>
              <w:top w:val="nil"/>
              <w:left w:val="nil"/>
              <w:bottom w:val="nil"/>
              <w:right w:val="nil"/>
            </w:tcBorders>
            <w:shd w:val="clear" w:color="auto" w:fill="auto"/>
            <w:tcMar>
              <w:left w:w="0" w:type="dxa"/>
            </w:tcMar>
          </w:tcPr>
          <w:p w14:paraId="05BB69CB" w14:textId="77777777" w:rsidR="00BA5125" w:rsidRDefault="00BA5125" w:rsidP="00BA5125">
            <w:pPr>
              <w:pStyle w:val="Textpoznpodarou"/>
              <w:jc w:val="both"/>
              <w:rPr>
                <w:spacing w:val="-4"/>
              </w:rPr>
            </w:pPr>
          </w:p>
        </w:tc>
        <w:tc>
          <w:tcPr>
            <w:tcW w:w="7596" w:type="dxa"/>
            <w:tcBorders>
              <w:top w:val="nil"/>
              <w:left w:val="nil"/>
              <w:bottom w:val="nil"/>
              <w:right w:val="nil"/>
            </w:tcBorders>
            <w:shd w:val="clear" w:color="auto" w:fill="auto"/>
            <w:tcMar>
              <w:left w:w="0" w:type="dxa"/>
            </w:tcMar>
          </w:tcPr>
          <w:p w14:paraId="01D63311" w14:textId="77777777" w:rsidR="00BA5125" w:rsidRPr="00052ADA" w:rsidRDefault="00BA5125" w:rsidP="00BA5125">
            <w:pPr>
              <w:spacing w:after="0" w:line="240" w:lineRule="auto"/>
              <w:rPr>
                <w:rFonts w:cs="Arial"/>
                <w:sz w:val="14"/>
                <w:szCs w:val="14"/>
              </w:rPr>
            </w:pPr>
            <w:r>
              <w:rPr>
                <w:rFonts w:cs="Arial"/>
                <w:color w:val="0D0D0D" w:themeColor="text1" w:themeTint="F2"/>
                <w:spacing w:val="-6"/>
              </w:rPr>
              <w:t>*</w:t>
            </w:r>
            <w:r w:rsidRPr="00052ADA">
              <w:rPr>
                <w:rFonts w:cs="Arial"/>
                <w:sz w:val="14"/>
                <w:szCs w:val="14"/>
              </w:rPr>
              <w:t xml:space="preserve"> Tržby jsou očištěny o kalendářní vlivy.       ** Tržby jsou sezónně i kalendářně očištěny.</w:t>
            </w:r>
          </w:p>
          <w:p w14:paraId="1171CDFF" w14:textId="77777777" w:rsidR="00BA5125" w:rsidRPr="004C1143" w:rsidRDefault="00BA5125" w:rsidP="00BA5125">
            <w:pPr>
              <w:spacing w:after="0"/>
              <w:rPr>
                <w:rFonts w:cs="Arial"/>
                <w:sz w:val="14"/>
                <w:szCs w:val="14"/>
              </w:rPr>
            </w:pPr>
            <w:r>
              <w:rPr>
                <w:rFonts w:cs="Arial"/>
                <w:color w:val="0D0D0D" w:themeColor="text1" w:themeTint="F2"/>
                <w:spacing w:val="-4"/>
                <w:sz w:val="14"/>
                <w:szCs w:val="14"/>
              </w:rPr>
              <w:t>*** Salda důvěry jsou sezónně očištěna a vyjadřují</w:t>
            </w:r>
            <w:r w:rsidRPr="00052ADA">
              <w:rPr>
                <w:rFonts w:cs="Arial"/>
                <w:color w:val="0D0D0D" w:themeColor="text1" w:themeTint="F2"/>
                <w:spacing w:val="-4"/>
                <w:sz w:val="14"/>
                <w:szCs w:val="14"/>
              </w:rPr>
              <w:t xml:space="preserve"> stav ve druhém měs</w:t>
            </w:r>
            <w:r>
              <w:rPr>
                <w:rFonts w:cs="Arial"/>
                <w:color w:val="0D0D0D" w:themeColor="text1" w:themeTint="F2"/>
                <w:spacing w:val="-4"/>
                <w:sz w:val="14"/>
                <w:szCs w:val="14"/>
              </w:rPr>
              <w:t>íci daného čtvrtletí.</w:t>
            </w:r>
            <w:r>
              <w:rPr>
                <w:rFonts w:cs="Arial"/>
                <w:color w:val="0D0D0D" w:themeColor="text1" w:themeTint="F2"/>
                <w:spacing w:val="-4"/>
                <w:sz w:val="14"/>
                <w:szCs w:val="14"/>
              </w:rPr>
              <w:tab/>
              <w:t xml:space="preserve">      </w:t>
            </w:r>
            <w:r w:rsidRPr="00052ADA">
              <w:rPr>
                <w:rFonts w:cs="Arial"/>
                <w:color w:val="0D0D0D" w:themeColor="text1" w:themeTint="F2"/>
                <w:spacing w:val="-4"/>
                <w:sz w:val="14"/>
                <w:szCs w:val="14"/>
              </w:rPr>
              <w:t xml:space="preserve">       </w:t>
            </w:r>
            <w:r>
              <w:rPr>
                <w:rFonts w:cs="Arial"/>
                <w:color w:val="0D0D0D" w:themeColor="text1" w:themeTint="F2"/>
                <w:spacing w:val="-4"/>
                <w:sz w:val="14"/>
                <w:szCs w:val="14"/>
              </w:rPr>
              <w:t xml:space="preserve">                   </w:t>
            </w:r>
            <w:r w:rsidRPr="00052ADA">
              <w:rPr>
                <w:rFonts w:cs="Arial"/>
                <w:color w:val="0D0D0D" w:themeColor="text1" w:themeTint="F2"/>
                <w:spacing w:val="-4"/>
                <w:sz w:val="14"/>
                <w:szCs w:val="14"/>
              </w:rPr>
              <w:t xml:space="preserve">  Zdroj: ČSÚ</w:t>
            </w:r>
          </w:p>
        </w:tc>
      </w:tr>
    </w:tbl>
    <w:p w14:paraId="38607149" w14:textId="77777777" w:rsidR="00BA5125" w:rsidRPr="00004D2D" w:rsidRDefault="00BA5125" w:rsidP="00BA5125">
      <w:pPr>
        <w:spacing w:after="0" w:line="240" w:lineRule="auto"/>
        <w:jc w:val="left"/>
        <w:rPr>
          <w:rFonts w:eastAsia="MS Gothic"/>
          <w:b/>
          <w:bCs/>
          <w:color w:val="71818C"/>
          <w:sz w:val="2"/>
          <w:szCs w:val="2"/>
        </w:rPr>
      </w:pPr>
    </w:p>
    <w:p w14:paraId="47B88B4F" w14:textId="77777777" w:rsidR="00B97F3A" w:rsidRPr="00BB286B" w:rsidRDefault="00B97F3A" w:rsidP="00B97F3A">
      <w:pPr>
        <w:pStyle w:val="Nadpis11"/>
        <w:rPr>
          <w:b w:val="0"/>
          <w:sz w:val="2"/>
          <w:szCs w:val="2"/>
          <w:highlight w:val="yellow"/>
        </w:rPr>
      </w:pPr>
    </w:p>
    <w:p w14:paraId="0DC528DF" w14:textId="77777777" w:rsidR="00B97F3A" w:rsidRPr="00BB286B" w:rsidRDefault="00B97F3A" w:rsidP="00B97F3A">
      <w:pPr>
        <w:pStyle w:val="Nadpis11"/>
        <w:rPr>
          <w:sz w:val="2"/>
          <w:szCs w:val="2"/>
          <w:highlight w:val="yellow"/>
        </w:rPr>
      </w:pPr>
      <w:bookmarkStart w:id="3" w:name="_GoBack"/>
      <w:bookmarkEnd w:id="0"/>
      <w:bookmarkEnd w:id="2"/>
      <w:bookmarkEnd w:id="3"/>
    </w:p>
    <w:sectPr w:rsidR="00B97F3A" w:rsidRPr="00BB286B" w:rsidSect="00A87BF8">
      <w:headerReference w:type="even" r:id="rId17"/>
      <w:headerReference w:type="default" r:id="rId18"/>
      <w:footerReference w:type="even" r:id="rId19"/>
      <w:footerReference w:type="default" r:id="rId20"/>
      <w:pgSz w:w="11906" w:h="16838" w:code="9"/>
      <w:pgMar w:top="1134" w:right="1134" w:bottom="1418" w:left="1134" w:header="680" w:footer="737"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3A106" w14:textId="77777777" w:rsidR="00484F89" w:rsidRDefault="00484F89" w:rsidP="00E71A58">
      <w:r>
        <w:separator/>
      </w:r>
    </w:p>
  </w:endnote>
  <w:endnote w:type="continuationSeparator" w:id="0">
    <w:p w14:paraId="1109C3DC" w14:textId="77777777" w:rsidR="00484F89" w:rsidRDefault="00484F89"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7758C1E8" w:rsidR="00BA5125" w:rsidRPr="00932443" w:rsidRDefault="00BA5125"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A87BF8">
      <w:rPr>
        <w:szCs w:val="16"/>
      </w:rPr>
      <w:t>16</w:t>
    </w:r>
    <w:r w:rsidRPr="00932443">
      <w:rPr>
        <w:szCs w:val="16"/>
      </w:rPr>
      <w:fldChar w:fldCharType="end"/>
    </w:r>
    <w:r w:rsidRPr="00932443">
      <w:rPr>
        <w:szCs w:val="16"/>
      </w:rPr>
      <w:tab/>
    </w:r>
    <w:r>
      <w:rPr>
        <w:szCs w:val="16"/>
      </w:rPr>
      <w:t>rok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3EF5FECC" w:rsidR="00BA5125" w:rsidRPr="00932443" w:rsidRDefault="00BA5125" w:rsidP="00FA6CB6">
    <w:pPr>
      <w:pStyle w:val="Zpat"/>
      <w:rPr>
        <w:szCs w:val="16"/>
      </w:rPr>
    </w:pPr>
    <w:r w:rsidRPr="00FA6CB6">
      <w:rPr>
        <w:szCs w:val="16"/>
      </w:rPr>
      <w:tab/>
    </w:r>
    <w:r>
      <w:rPr>
        <w:szCs w:val="16"/>
      </w:rPr>
      <w:t>rok 202</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3</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A87BF8">
      <w:rPr>
        <w:rStyle w:val="ZpatChar"/>
        <w:szCs w:val="16"/>
      </w:rPr>
      <w:t>15</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0690A" w14:textId="77777777" w:rsidR="00484F89" w:rsidRDefault="00484F89" w:rsidP="00A21B4D">
      <w:pPr>
        <w:spacing w:after="0"/>
      </w:pPr>
      <w:r>
        <w:separator/>
      </w:r>
    </w:p>
  </w:footnote>
  <w:footnote w:type="continuationSeparator" w:id="0">
    <w:p w14:paraId="09D3E861" w14:textId="77777777" w:rsidR="00484F89" w:rsidRDefault="00484F89" w:rsidP="00E71A58">
      <w:r>
        <w:continuationSeparator/>
      </w:r>
    </w:p>
  </w:footnote>
  <w:footnote w:id="1">
    <w:p w14:paraId="309857BE" w14:textId="77777777" w:rsidR="00BA5125" w:rsidRPr="007163BD" w:rsidRDefault="00BA5125" w:rsidP="00BA5125">
      <w:pPr>
        <w:pStyle w:val="Textpoznpodarou"/>
        <w:jc w:val="both"/>
        <w:rPr>
          <w:rFonts w:cs="Arial"/>
          <w:color w:val="0D0D0D" w:themeColor="text1" w:themeTint="F2"/>
          <w:spacing w:val="-2"/>
          <w:sz w:val="16"/>
          <w:szCs w:val="16"/>
        </w:rPr>
      </w:pPr>
      <w:r w:rsidRPr="007163BD">
        <w:rPr>
          <w:rStyle w:val="Znakapoznpodarou"/>
          <w:rFonts w:cs="Arial"/>
          <w:color w:val="0D0D0D" w:themeColor="text1" w:themeTint="F2"/>
          <w:spacing w:val="-2"/>
          <w:sz w:val="16"/>
          <w:szCs w:val="16"/>
        </w:rPr>
        <w:footnoteRef/>
      </w:r>
      <w:r w:rsidRPr="007163BD">
        <w:rPr>
          <w:rFonts w:cs="Arial"/>
          <w:color w:val="0D0D0D" w:themeColor="text1" w:themeTint="F2"/>
          <w:spacing w:val="-2"/>
          <w:sz w:val="16"/>
          <w:szCs w:val="16"/>
        </w:rPr>
        <w:t xml:space="preserve"> Údaje o HPH jsou vyjádřeny ve stálých cenách a v očištění o sezónní a kalendářní vlivy.</w:t>
      </w:r>
    </w:p>
  </w:footnote>
  <w:footnote w:id="2">
    <w:p w14:paraId="5F6ADF1A" w14:textId="77777777" w:rsidR="00BA5125" w:rsidRDefault="00BA5125" w:rsidP="00BA5125">
      <w:pPr>
        <w:pStyle w:val="Textpoznpodarou"/>
      </w:pPr>
      <w:r w:rsidRPr="00CA3327">
        <w:rPr>
          <w:rStyle w:val="Znakapoznpodarou"/>
          <w:sz w:val="16"/>
          <w:szCs w:val="16"/>
        </w:rPr>
        <w:footnoteRef/>
      </w:r>
      <w:r w:rsidRPr="00CA3327">
        <w:rPr>
          <w:sz w:val="16"/>
          <w:szCs w:val="16"/>
        </w:rPr>
        <w:t xml:space="preserve"> Zahrnují</w:t>
      </w:r>
      <w:r w:rsidRPr="002964C4">
        <w:rPr>
          <w:sz w:val="16"/>
          <w:szCs w:val="16"/>
        </w:rPr>
        <w:t xml:space="preserve"> skupinu veřejná správa a obrana, vzdělávání, zdravotní a sociální péče.</w:t>
      </w:r>
    </w:p>
  </w:footnote>
  <w:footnote w:id="3">
    <w:p w14:paraId="21FDCDF0" w14:textId="77777777" w:rsidR="00BA5125" w:rsidRPr="00FC6D1B" w:rsidRDefault="00BA5125" w:rsidP="00BA5125">
      <w:pPr>
        <w:pStyle w:val="Textpoznpodarou"/>
        <w:rPr>
          <w:sz w:val="16"/>
          <w:szCs w:val="16"/>
        </w:rPr>
      </w:pPr>
      <w:r w:rsidRPr="00FC6D1B">
        <w:rPr>
          <w:rStyle w:val="Znakapoznpodarou"/>
          <w:sz w:val="16"/>
          <w:szCs w:val="16"/>
        </w:rPr>
        <w:footnoteRef/>
      </w:r>
      <w:r w:rsidRPr="00FC6D1B">
        <w:rPr>
          <w:sz w:val="16"/>
          <w:szCs w:val="16"/>
        </w:rPr>
        <w:t xml:space="preserve"> Těžba a energetika přitom brzdily růst HPH v celé ekonomice nejvíce </w:t>
      </w:r>
      <w:r>
        <w:rPr>
          <w:sz w:val="16"/>
          <w:szCs w:val="16"/>
        </w:rPr>
        <w:t>ze</w:t>
      </w:r>
      <w:r w:rsidRPr="00FC6D1B">
        <w:rPr>
          <w:sz w:val="16"/>
          <w:szCs w:val="16"/>
        </w:rPr>
        <w:t xml:space="preserve"> všech hlavních odvětví již v roce 2022</w:t>
      </w:r>
      <w:r>
        <w:rPr>
          <w:sz w:val="16"/>
          <w:szCs w:val="16"/>
        </w:rPr>
        <w:t xml:space="preserve"> (</w:t>
      </w:r>
      <w:r w:rsidRPr="008726C6">
        <w:rPr>
          <w:sz w:val="16"/>
          <w:szCs w:val="16"/>
        </w:rPr>
        <w:t>−</w:t>
      </w:r>
      <w:r>
        <w:rPr>
          <w:sz w:val="16"/>
          <w:szCs w:val="16"/>
        </w:rPr>
        <w:t>1,2 p. b.)</w:t>
      </w:r>
      <w:r w:rsidRPr="00FC6D1B">
        <w:rPr>
          <w:sz w:val="16"/>
          <w:szCs w:val="16"/>
        </w:rPr>
        <w:t>.</w:t>
      </w:r>
      <w:r>
        <w:rPr>
          <w:sz w:val="16"/>
          <w:szCs w:val="16"/>
        </w:rPr>
        <w:t xml:space="preserve"> Přidaná hodnota vytvořená loni v tomto odvětví dosáhla pouze poloviny úrovně z roku 2019.</w:t>
      </w:r>
    </w:p>
  </w:footnote>
  <w:footnote w:id="4">
    <w:p w14:paraId="20D2381F" w14:textId="77777777" w:rsidR="00BA5125" w:rsidRPr="00133104" w:rsidRDefault="00BA5125" w:rsidP="00BA5125">
      <w:pPr>
        <w:pStyle w:val="Textpoznpodarou"/>
        <w:rPr>
          <w:sz w:val="16"/>
          <w:szCs w:val="16"/>
        </w:rPr>
      </w:pPr>
      <w:r w:rsidRPr="00133104">
        <w:rPr>
          <w:rStyle w:val="Znakapoznpodarou"/>
          <w:sz w:val="16"/>
          <w:szCs w:val="16"/>
        </w:rPr>
        <w:footnoteRef/>
      </w:r>
      <w:r w:rsidRPr="00133104">
        <w:rPr>
          <w:sz w:val="16"/>
          <w:szCs w:val="16"/>
        </w:rPr>
        <w:t xml:space="preserve"> Přímý nákup mléka od producentů vzrostl (v naturálním </w:t>
      </w:r>
      <w:r>
        <w:rPr>
          <w:sz w:val="16"/>
          <w:szCs w:val="16"/>
        </w:rPr>
        <w:t xml:space="preserve">vyjádření) loni meziročně o </w:t>
      </w:r>
      <w:r w:rsidRPr="00133104">
        <w:rPr>
          <w:sz w:val="16"/>
          <w:szCs w:val="16"/>
        </w:rPr>
        <w:t>1</w:t>
      </w:r>
      <w:r>
        <w:rPr>
          <w:sz w:val="16"/>
          <w:szCs w:val="16"/>
        </w:rPr>
        <w:t>,6</w:t>
      </w:r>
      <w:r w:rsidRPr="00133104">
        <w:rPr>
          <w:sz w:val="16"/>
          <w:szCs w:val="16"/>
        </w:rPr>
        <w:t xml:space="preserve"> %. </w:t>
      </w:r>
      <w:r>
        <w:rPr>
          <w:sz w:val="16"/>
          <w:szCs w:val="16"/>
        </w:rPr>
        <w:t>Loňská v</w:t>
      </w:r>
      <w:r w:rsidRPr="000C7C27">
        <w:rPr>
          <w:sz w:val="16"/>
          <w:szCs w:val="16"/>
        </w:rPr>
        <w:t>ýroba masa na jatkách</w:t>
      </w:r>
      <w:r>
        <w:rPr>
          <w:sz w:val="16"/>
          <w:szCs w:val="16"/>
        </w:rPr>
        <w:t xml:space="preserve"> dosáhla 435,9 tis. tun (nejméně </w:t>
      </w:r>
      <w:r w:rsidRPr="000C7C27">
        <w:rPr>
          <w:sz w:val="16"/>
          <w:szCs w:val="16"/>
        </w:rPr>
        <w:t>v historii samostatné ČR</w:t>
      </w:r>
      <w:r>
        <w:rPr>
          <w:sz w:val="16"/>
          <w:szCs w:val="16"/>
        </w:rPr>
        <w:t>)</w:t>
      </w:r>
      <w:r w:rsidRPr="000C7C27">
        <w:rPr>
          <w:sz w:val="16"/>
          <w:szCs w:val="16"/>
        </w:rPr>
        <w:t>. Stejně jako v roce 2022 byl i loni pokles tažen hlavně nižší výrobou vepřového masa, naopak u hov</w:t>
      </w:r>
      <w:r>
        <w:rPr>
          <w:sz w:val="16"/>
          <w:szCs w:val="16"/>
        </w:rPr>
        <w:t>ězího došlo v roce 2023 k mírnému</w:t>
      </w:r>
      <w:r w:rsidRPr="000C7C27">
        <w:rPr>
          <w:sz w:val="16"/>
          <w:szCs w:val="16"/>
        </w:rPr>
        <w:t xml:space="preserve"> nárůst</w:t>
      </w:r>
      <w:r>
        <w:rPr>
          <w:sz w:val="16"/>
          <w:szCs w:val="16"/>
        </w:rPr>
        <w:t>u. Hrubá tuzemská produkce</w:t>
      </w:r>
      <w:r w:rsidRPr="000C7C27">
        <w:rPr>
          <w:sz w:val="16"/>
          <w:szCs w:val="16"/>
        </w:rPr>
        <w:t xml:space="preserve"> odpovídající celkovým dodávkám z českých chovů na jatka (v tuzemsku i zahraničí) se loni meziročně propadla u vepřového masa o 7,6 % (v roce</w:t>
      </w:r>
      <w:r>
        <w:rPr>
          <w:sz w:val="16"/>
          <w:szCs w:val="16"/>
        </w:rPr>
        <w:t xml:space="preserve"> 2022 klesla o 5,6 %), naopak u</w:t>
      </w:r>
      <w:r w:rsidRPr="001A321F">
        <w:rPr>
          <w:spacing w:val="-2"/>
          <w:sz w:val="16"/>
          <w:szCs w:val="16"/>
        </w:rPr>
        <w:t> </w:t>
      </w:r>
      <w:r w:rsidRPr="000C7C27">
        <w:rPr>
          <w:sz w:val="16"/>
          <w:szCs w:val="16"/>
        </w:rPr>
        <w:t>hovězího vzrostla o 3,2 % (předloni ale klesla o 1,6 %) a u drůbežího zhruba stagnovala (i v roce 2022).</w:t>
      </w:r>
    </w:p>
  </w:footnote>
  <w:footnote w:id="5">
    <w:p w14:paraId="3BBFBF20" w14:textId="77777777" w:rsidR="00BA5125" w:rsidRPr="0089127D" w:rsidRDefault="00BA5125" w:rsidP="00BA5125">
      <w:pPr>
        <w:pStyle w:val="Textpoznpodarou"/>
        <w:rPr>
          <w:sz w:val="16"/>
          <w:szCs w:val="16"/>
        </w:rPr>
      </w:pPr>
      <w:r w:rsidRPr="00C24490">
        <w:rPr>
          <w:rStyle w:val="Znakapoznpodarou"/>
          <w:sz w:val="16"/>
          <w:szCs w:val="16"/>
        </w:rPr>
        <w:footnoteRef/>
      </w:r>
      <w:r w:rsidRPr="00C24490">
        <w:rPr>
          <w:rStyle w:val="Znakapoznpodarou"/>
          <w:sz w:val="16"/>
          <w:szCs w:val="16"/>
        </w:rPr>
        <w:t xml:space="preserve"> </w:t>
      </w:r>
      <w:r w:rsidRPr="00C24490">
        <w:rPr>
          <w:sz w:val="16"/>
          <w:szCs w:val="16"/>
        </w:rPr>
        <w:t>Sklizeň všec</w:t>
      </w:r>
      <w:r>
        <w:rPr>
          <w:sz w:val="16"/>
          <w:szCs w:val="16"/>
        </w:rPr>
        <w:t>h obilovin dosáhla loni 7,996</w:t>
      </w:r>
      <w:r w:rsidRPr="00C24490">
        <w:rPr>
          <w:sz w:val="16"/>
          <w:szCs w:val="16"/>
        </w:rPr>
        <w:t xml:space="preserve"> mil. tun </w:t>
      </w:r>
      <w:r>
        <w:rPr>
          <w:sz w:val="16"/>
          <w:szCs w:val="16"/>
        </w:rPr>
        <w:t>(</w:t>
      </w:r>
      <w:r w:rsidRPr="00C24490">
        <w:rPr>
          <w:sz w:val="16"/>
          <w:szCs w:val="16"/>
        </w:rPr>
        <w:t>při výnosu 6,0</w:t>
      </w:r>
      <w:r>
        <w:rPr>
          <w:sz w:val="16"/>
          <w:szCs w:val="16"/>
        </w:rPr>
        <w:t>7</w:t>
      </w:r>
      <w:r w:rsidRPr="00C24490">
        <w:rPr>
          <w:sz w:val="16"/>
          <w:szCs w:val="16"/>
        </w:rPr>
        <w:t xml:space="preserve"> t/ha</w:t>
      </w:r>
      <w:r>
        <w:rPr>
          <w:sz w:val="16"/>
          <w:szCs w:val="16"/>
        </w:rPr>
        <w:t>). Meziročně je sklizeň nižší o 2,7</w:t>
      </w:r>
      <w:r w:rsidRPr="00C24490">
        <w:rPr>
          <w:sz w:val="16"/>
          <w:szCs w:val="16"/>
        </w:rPr>
        <w:t xml:space="preserve"> %, 5</w:t>
      </w:r>
      <w:r>
        <w:rPr>
          <w:sz w:val="16"/>
          <w:szCs w:val="16"/>
        </w:rPr>
        <w:t>letý průměr ale převyšuje (+2,0</w:t>
      </w:r>
      <w:r w:rsidRPr="00C24490">
        <w:rPr>
          <w:sz w:val="16"/>
          <w:szCs w:val="16"/>
        </w:rPr>
        <w:t xml:space="preserve"> %</w:t>
      </w:r>
      <w:r>
        <w:rPr>
          <w:sz w:val="16"/>
          <w:szCs w:val="16"/>
        </w:rPr>
        <w:t>, z toho pšenice +8,4 %</w:t>
      </w:r>
      <w:r w:rsidRPr="00C24490">
        <w:rPr>
          <w:sz w:val="16"/>
          <w:szCs w:val="16"/>
        </w:rPr>
        <w:t xml:space="preserve">). </w:t>
      </w:r>
      <w:r>
        <w:rPr>
          <w:sz w:val="16"/>
          <w:szCs w:val="16"/>
        </w:rPr>
        <w:t>Meziroční pokles sklizně nastal také u</w:t>
      </w:r>
      <w:r w:rsidRPr="008726C6">
        <w:rPr>
          <w:sz w:val="16"/>
          <w:szCs w:val="16"/>
        </w:rPr>
        <w:t xml:space="preserve"> luskovin na zrno (−9,9 %), brambor (−12,4 %), cukrové řepy (−5,5 %), pícnin (−6,3 %), vína (−16,1 %) i ovoce (−22,7 %). Naopak vyšší byla úroda olejnin (+9,4 %), zeleniny (+15,4 %) a chmele (+57,2 %).</w:t>
      </w:r>
      <w:r>
        <w:rPr>
          <w:sz w:val="16"/>
          <w:szCs w:val="16"/>
        </w:rPr>
        <w:t xml:space="preserve"> Ve srovnání s 5letým průměrem lze loňskou sklizeň považovat za dobrou u olejnin, luskovin, řepky či chmele, za podprůměrnou pak u pícnin, vína a brambor (v prvé řadě vlivem </w:t>
      </w:r>
      <w:r w:rsidRPr="0089127D">
        <w:rPr>
          <w:sz w:val="16"/>
          <w:szCs w:val="16"/>
        </w:rPr>
        <w:t>historicky nejmenší osázené plochy).</w:t>
      </w:r>
    </w:p>
  </w:footnote>
  <w:footnote w:id="6">
    <w:p w14:paraId="4613FB80" w14:textId="77777777" w:rsidR="00BA5125" w:rsidRPr="00E1174E" w:rsidRDefault="00BA5125" w:rsidP="00BA5125">
      <w:pPr>
        <w:spacing w:after="0" w:line="240" w:lineRule="auto"/>
        <w:rPr>
          <w:rFonts w:cs="Arial"/>
          <w:color w:val="0D0D0D" w:themeColor="text1" w:themeTint="F2"/>
          <w:spacing w:val="-4"/>
          <w:sz w:val="16"/>
          <w:szCs w:val="16"/>
        </w:rPr>
      </w:pPr>
      <w:r w:rsidRPr="008C2F46">
        <w:rPr>
          <w:rStyle w:val="Znakapoznpodarou"/>
          <w:spacing w:val="-4"/>
          <w:sz w:val="16"/>
          <w:szCs w:val="16"/>
        </w:rPr>
        <w:footnoteRef/>
      </w:r>
      <w:r w:rsidRPr="008C2F46">
        <w:rPr>
          <w:spacing w:val="-4"/>
          <w:sz w:val="16"/>
          <w:szCs w:val="16"/>
        </w:rPr>
        <w:t xml:space="preserve"> </w:t>
      </w:r>
      <w:r w:rsidRPr="00E1174E">
        <w:rPr>
          <w:rFonts w:cs="Arial"/>
          <w:color w:val="0D0D0D" w:themeColor="text1" w:themeTint="F2"/>
          <w:spacing w:val="-4"/>
          <w:sz w:val="16"/>
          <w:szCs w:val="16"/>
        </w:rPr>
        <w:t>Zahrnuje odvětví těžby a dobývání, zpracovatelského průmyslu a také energetiky (zde pojímané jako odvětví výroby a rozvodu elektřiny, plynu, tepla a klimatizovaného vzduchu). Všechna meziroční tempa produkce jsou očištěna o kalendářní vlivy, mezičtvrtletní tempa i o vliv sezónnosti.</w:t>
      </w:r>
    </w:p>
  </w:footnote>
  <w:footnote w:id="7">
    <w:p w14:paraId="07A44548" w14:textId="77777777" w:rsidR="00BA5125" w:rsidRPr="0013125D" w:rsidRDefault="00BA5125" w:rsidP="00BA5125">
      <w:pPr>
        <w:pStyle w:val="Textpoznpodarou"/>
        <w:rPr>
          <w:sz w:val="16"/>
          <w:szCs w:val="16"/>
        </w:rPr>
      </w:pPr>
      <w:r w:rsidRPr="0013125D">
        <w:rPr>
          <w:rStyle w:val="Znakapoznpodarou"/>
          <w:sz w:val="16"/>
          <w:szCs w:val="16"/>
        </w:rPr>
        <w:footnoteRef/>
      </w:r>
      <w:r w:rsidRPr="0013125D">
        <w:rPr>
          <w:sz w:val="16"/>
          <w:szCs w:val="16"/>
        </w:rPr>
        <w:t xml:space="preserve"> Z</w:t>
      </w:r>
      <w:r>
        <w:rPr>
          <w:sz w:val="16"/>
          <w:szCs w:val="16"/>
        </w:rPr>
        <w:t xml:space="preserve">a svým vrcholem </w:t>
      </w:r>
      <w:r w:rsidRPr="0013125D">
        <w:rPr>
          <w:sz w:val="16"/>
          <w:szCs w:val="16"/>
        </w:rPr>
        <w:t xml:space="preserve">z období </w:t>
      </w:r>
      <w:r>
        <w:rPr>
          <w:sz w:val="16"/>
          <w:szCs w:val="16"/>
        </w:rPr>
        <w:t xml:space="preserve">let </w:t>
      </w:r>
      <w:r w:rsidRPr="0013125D">
        <w:rPr>
          <w:sz w:val="16"/>
          <w:szCs w:val="16"/>
        </w:rPr>
        <w:t>2015</w:t>
      </w:r>
      <w:r>
        <w:rPr>
          <w:sz w:val="16"/>
          <w:szCs w:val="16"/>
        </w:rPr>
        <w:t>–</w:t>
      </w:r>
      <w:r w:rsidRPr="0013125D">
        <w:rPr>
          <w:sz w:val="16"/>
          <w:szCs w:val="16"/>
        </w:rPr>
        <w:t>2019 loni ve 4. čtvrtletí zaostávaly dvě třetiny prů</w:t>
      </w:r>
      <w:r>
        <w:rPr>
          <w:sz w:val="16"/>
          <w:szCs w:val="16"/>
        </w:rPr>
        <w:t xml:space="preserve">myslových oborů – nejvíce těžba uhlí (o 59 %), kožedělný (–29 %), hutnický (–28 %), textilní (–24 %), tiskařský průmysl (–22 %) a energetika (–19 %). </w:t>
      </w:r>
    </w:p>
  </w:footnote>
  <w:footnote w:id="8">
    <w:p w14:paraId="44027E39" w14:textId="77777777" w:rsidR="00BA5125" w:rsidRPr="00E1174E" w:rsidRDefault="00BA5125" w:rsidP="00BA5125">
      <w:pPr>
        <w:pStyle w:val="Textpoznpodarou"/>
        <w:rPr>
          <w:color w:val="0D0D0D" w:themeColor="text1" w:themeTint="F2"/>
          <w:sz w:val="16"/>
          <w:szCs w:val="16"/>
        </w:rPr>
      </w:pPr>
      <w:r w:rsidRPr="00E1174E">
        <w:rPr>
          <w:rStyle w:val="Znakapoznpodarou"/>
          <w:color w:val="0D0D0D" w:themeColor="text1" w:themeTint="F2"/>
          <w:sz w:val="16"/>
          <w:szCs w:val="16"/>
        </w:rPr>
        <w:footnoteRef/>
      </w:r>
      <w:r w:rsidRPr="00E1174E">
        <w:rPr>
          <w:color w:val="0D0D0D" w:themeColor="text1" w:themeTint="F2"/>
          <w:sz w:val="16"/>
          <w:szCs w:val="16"/>
        </w:rPr>
        <w:t xml:space="preserve"> Bez příspěvku tohoto odvětví by se meziroční pokles průmyslu blížil 4 %</w:t>
      </w:r>
      <w:r>
        <w:rPr>
          <w:color w:val="0D0D0D" w:themeColor="text1" w:themeTint="F2"/>
          <w:sz w:val="16"/>
          <w:szCs w:val="16"/>
        </w:rPr>
        <w:t>.</w:t>
      </w:r>
    </w:p>
  </w:footnote>
  <w:footnote w:id="9">
    <w:p w14:paraId="2EB12AD9" w14:textId="77777777" w:rsidR="00BA5125" w:rsidRPr="00E1174E" w:rsidRDefault="00BA5125" w:rsidP="00BA5125">
      <w:pPr>
        <w:pStyle w:val="Textpoznpodarou"/>
        <w:rPr>
          <w:color w:val="0D0D0D" w:themeColor="text1" w:themeTint="F2"/>
          <w:sz w:val="16"/>
          <w:szCs w:val="16"/>
        </w:rPr>
      </w:pPr>
      <w:r w:rsidRPr="00E1174E">
        <w:rPr>
          <w:rStyle w:val="Znakapoznpodarou"/>
          <w:color w:val="0D0D0D" w:themeColor="text1" w:themeTint="F2"/>
          <w:sz w:val="16"/>
          <w:szCs w:val="16"/>
        </w:rPr>
        <w:footnoteRef/>
      </w:r>
      <w:r w:rsidRPr="00E1174E">
        <w:rPr>
          <w:color w:val="0D0D0D" w:themeColor="text1" w:themeTint="F2"/>
          <w:sz w:val="16"/>
          <w:szCs w:val="16"/>
        </w:rPr>
        <w:t xml:space="preserve"> Dle Sdružení automobilového průmyslu bylo za loňský rok v Česku vyrobeno 1,398 mil. osobních automobilů (nejvíce v tomto období za poslední čtyři roky a pouze o necelá 3 % méně než v rekordním roce 2018). Výroba meziročně posílila o 14,8 %. </w:t>
      </w:r>
      <w:r w:rsidRPr="00E1174E">
        <w:rPr>
          <w:color w:val="0D0D0D" w:themeColor="text1" w:themeTint="F2"/>
          <w:spacing w:val="-3"/>
          <w:sz w:val="16"/>
          <w:szCs w:val="16"/>
        </w:rPr>
        <w:t>Březnová, červnová, červencová a říjnová výroba byla v rámci shodných měsíců dokonce nejvyšší v historii. Na elektrická vozidla (vč. vozů s hybridní</w:t>
      </w:r>
      <w:r>
        <w:rPr>
          <w:color w:val="0D0D0D" w:themeColor="text1" w:themeTint="F2"/>
          <w:spacing w:val="-3"/>
          <w:sz w:val="16"/>
          <w:szCs w:val="16"/>
        </w:rPr>
        <w:t>m pohonem) připadalo dosud loni</w:t>
      </w:r>
      <w:r w:rsidRPr="00E1174E">
        <w:rPr>
          <w:color w:val="0D0D0D" w:themeColor="text1" w:themeTint="F2"/>
          <w:spacing w:val="-3"/>
          <w:sz w:val="16"/>
          <w:szCs w:val="16"/>
        </w:rPr>
        <w:t xml:space="preserve"> již 12,9 % všech v tuzemsku vyrobených osobních automobilů. Meziročně nižší produkci zaznamenali naopak výrobci většiny ostatních druhů motorových silničních vozidel.</w:t>
      </w:r>
    </w:p>
  </w:footnote>
  <w:footnote w:id="10">
    <w:p w14:paraId="5DC58E03" w14:textId="77777777" w:rsidR="00BA5125" w:rsidRDefault="00BA5125" w:rsidP="00BA5125">
      <w:pPr>
        <w:pStyle w:val="Textpoznpodarou"/>
      </w:pPr>
      <w:r w:rsidRPr="00E1174E">
        <w:rPr>
          <w:rStyle w:val="Znakapoznpodarou"/>
          <w:color w:val="0D0D0D" w:themeColor="text1" w:themeTint="F2"/>
          <w:sz w:val="16"/>
          <w:szCs w:val="16"/>
        </w:rPr>
        <w:footnoteRef/>
      </w:r>
      <w:r w:rsidRPr="00E1174E">
        <w:rPr>
          <w:color w:val="0D0D0D" w:themeColor="text1" w:themeTint="F2"/>
          <w:sz w:val="16"/>
          <w:szCs w:val="16"/>
        </w:rPr>
        <w:t xml:space="preserve"> </w:t>
      </w:r>
      <w:r w:rsidRPr="00E1174E">
        <w:rPr>
          <w:rFonts w:eastAsia="Times New Roman" w:cs="Arial"/>
          <w:color w:val="0D0D0D" w:themeColor="text1" w:themeTint="F2"/>
          <w:spacing w:val="-4"/>
          <w:sz w:val="16"/>
          <w:szCs w:val="16"/>
        </w:rPr>
        <w:t>Dle Evropského sdružení výrobců automobilů vzrostly v roce 2023 počty registrací nových osobních aut v EU meziro</w:t>
      </w:r>
      <w:r>
        <w:rPr>
          <w:rFonts w:eastAsia="Times New Roman" w:cs="Arial"/>
          <w:color w:val="0D0D0D" w:themeColor="text1" w:themeTint="F2"/>
          <w:spacing w:val="-4"/>
          <w:sz w:val="16"/>
          <w:szCs w:val="16"/>
        </w:rPr>
        <w:t>čně o 13,9 %. Ty se zvyšovaly</w:t>
      </w:r>
      <w:r w:rsidRPr="00E1174E">
        <w:rPr>
          <w:rFonts w:eastAsia="Times New Roman" w:cs="Arial"/>
          <w:color w:val="0D0D0D" w:themeColor="text1" w:themeTint="F2"/>
          <w:spacing w:val="-4"/>
          <w:sz w:val="16"/>
          <w:szCs w:val="16"/>
        </w:rPr>
        <w:t xml:space="preserve"> nepřetržitě 16 měsíců v řadě až do loňského prosince, kdy došlo k mírnému meziročnímu poklesu zejména vlivem slabší poptávky na německém trhu. </w:t>
      </w:r>
      <w:r w:rsidRPr="00E1174E">
        <w:rPr>
          <w:color w:val="0D0D0D" w:themeColor="text1" w:themeTint="F2"/>
          <w:sz w:val="16"/>
          <w:szCs w:val="16"/>
        </w:rPr>
        <w:t xml:space="preserve">I díky rostoucím dovozům cenově dostupnějších modelů z Asie se </w:t>
      </w:r>
      <w:r>
        <w:rPr>
          <w:color w:val="0D0D0D" w:themeColor="text1" w:themeTint="F2"/>
          <w:sz w:val="16"/>
          <w:szCs w:val="16"/>
        </w:rPr>
        <w:t xml:space="preserve">svižně </w:t>
      </w:r>
      <w:r w:rsidRPr="00E1174E">
        <w:rPr>
          <w:color w:val="0D0D0D" w:themeColor="text1" w:themeTint="F2"/>
          <w:sz w:val="16"/>
          <w:szCs w:val="16"/>
        </w:rPr>
        <w:t>zvyšovala poptávka po elektrických vozech (vč. hybridních), ty tak loni v EU tvořily j</w:t>
      </w:r>
      <w:r>
        <w:rPr>
          <w:color w:val="0D0D0D" w:themeColor="text1" w:themeTint="F2"/>
          <w:sz w:val="16"/>
          <w:szCs w:val="16"/>
        </w:rPr>
        <w:t>iž 48 % všech nových registrací automobilů.</w:t>
      </w:r>
    </w:p>
  </w:footnote>
  <w:footnote w:id="11">
    <w:p w14:paraId="7EE5F85B" w14:textId="77777777" w:rsidR="00BA5125" w:rsidRPr="0022017D" w:rsidRDefault="00BA5125" w:rsidP="00BA5125">
      <w:pPr>
        <w:pStyle w:val="Textpoznpodarou"/>
        <w:rPr>
          <w:sz w:val="16"/>
          <w:szCs w:val="16"/>
        </w:rPr>
      </w:pPr>
      <w:r w:rsidRPr="0022017D">
        <w:rPr>
          <w:rStyle w:val="Znakapoznpodarou"/>
          <w:sz w:val="16"/>
          <w:szCs w:val="16"/>
        </w:rPr>
        <w:footnoteRef/>
      </w:r>
      <w:r w:rsidRPr="0022017D">
        <w:rPr>
          <w:sz w:val="16"/>
          <w:szCs w:val="16"/>
        </w:rPr>
        <w:t xml:space="preserve"> Vysoké využití kapacit (nad 85 %) signalizovala na konci loňského roku i výroba ostatních dopravních prostředků, petrochemický, farmaceutický</w:t>
      </w:r>
      <w:r>
        <w:rPr>
          <w:sz w:val="16"/>
          <w:szCs w:val="16"/>
        </w:rPr>
        <w:t>, textilní,</w:t>
      </w:r>
      <w:r w:rsidRPr="0022017D">
        <w:rPr>
          <w:sz w:val="16"/>
          <w:szCs w:val="16"/>
        </w:rPr>
        <w:t xml:space="preserve"> kožedělný</w:t>
      </w:r>
      <w:r>
        <w:rPr>
          <w:sz w:val="16"/>
          <w:szCs w:val="16"/>
        </w:rPr>
        <w:t xml:space="preserve"> a obuvnický průmysl a také opravy strojů a zařízení.</w:t>
      </w:r>
    </w:p>
  </w:footnote>
  <w:footnote w:id="12">
    <w:p w14:paraId="5775B125" w14:textId="77777777" w:rsidR="00BA5125" w:rsidRPr="00725626" w:rsidRDefault="00BA5125" w:rsidP="00BA5125">
      <w:pPr>
        <w:pStyle w:val="Textpoznpodarou"/>
        <w:rPr>
          <w:sz w:val="16"/>
          <w:szCs w:val="16"/>
        </w:rPr>
      </w:pPr>
      <w:r w:rsidRPr="00725626">
        <w:rPr>
          <w:rStyle w:val="Znakapoznpodarou"/>
          <w:sz w:val="16"/>
          <w:szCs w:val="16"/>
        </w:rPr>
        <w:footnoteRef/>
      </w:r>
      <w:r w:rsidRPr="00725626">
        <w:rPr>
          <w:sz w:val="16"/>
          <w:szCs w:val="16"/>
        </w:rPr>
        <w:t xml:space="preserve"> I Tento mělký pokles produkce znamenal loni v tomto tradičně stabilním oboru nejhorší výsledek za posledních 12 let. </w:t>
      </w:r>
    </w:p>
  </w:footnote>
  <w:footnote w:id="13">
    <w:p w14:paraId="5919BC78" w14:textId="77777777" w:rsidR="00BA5125" w:rsidRPr="005C7A8D" w:rsidRDefault="00BA5125" w:rsidP="00BA5125">
      <w:pPr>
        <w:pStyle w:val="Textpoznpodarou"/>
        <w:rPr>
          <w:sz w:val="16"/>
          <w:szCs w:val="16"/>
        </w:rPr>
      </w:pPr>
      <w:r w:rsidRPr="005C7A8D">
        <w:rPr>
          <w:rStyle w:val="Znakapoznpodarou"/>
          <w:sz w:val="16"/>
          <w:szCs w:val="16"/>
        </w:rPr>
        <w:footnoteRef/>
      </w:r>
      <w:r w:rsidRPr="005C7A8D">
        <w:rPr>
          <w:sz w:val="16"/>
          <w:szCs w:val="16"/>
        </w:rPr>
        <w:t xml:space="preserve"> Tento obor zahrnuje (vedle váhově dominantní skupiny výroby lékařských a dentálních nástrojů a potřeb) také výrobu her, hraček, hudebních nástrojů, sportovních potřeb či klenotů a bižuterie.</w:t>
      </w:r>
    </w:p>
  </w:footnote>
  <w:footnote w:id="14">
    <w:p w14:paraId="4B60343D" w14:textId="77777777" w:rsidR="00BA5125" w:rsidRPr="009767C5" w:rsidRDefault="00BA5125" w:rsidP="00BA5125">
      <w:pPr>
        <w:pStyle w:val="Textpoznpodarou"/>
        <w:rPr>
          <w:color w:val="0D0D0D" w:themeColor="text1" w:themeTint="F2"/>
          <w:spacing w:val="-4"/>
          <w:sz w:val="16"/>
          <w:szCs w:val="16"/>
        </w:rPr>
      </w:pPr>
      <w:r w:rsidRPr="00BF5830">
        <w:rPr>
          <w:rStyle w:val="Znakapoznpodarou"/>
          <w:spacing w:val="-4"/>
          <w:sz w:val="16"/>
          <w:szCs w:val="16"/>
        </w:rPr>
        <w:footnoteRef/>
      </w:r>
      <w:r w:rsidRPr="00BF5830">
        <w:rPr>
          <w:spacing w:val="-4"/>
          <w:sz w:val="16"/>
          <w:szCs w:val="16"/>
        </w:rPr>
        <w:t xml:space="preserve"> </w:t>
      </w:r>
      <w:r w:rsidRPr="00201E70">
        <w:rPr>
          <w:color w:val="0D0D0D" w:themeColor="text1" w:themeTint="F2"/>
          <w:spacing w:val="-4"/>
          <w:sz w:val="16"/>
          <w:szCs w:val="16"/>
        </w:rPr>
        <w:t xml:space="preserve">Dle údajů energetického regulačního </w:t>
      </w:r>
      <w:r>
        <w:rPr>
          <w:color w:val="0D0D0D" w:themeColor="text1" w:themeTint="F2"/>
          <w:spacing w:val="-4"/>
          <w:sz w:val="16"/>
          <w:szCs w:val="16"/>
        </w:rPr>
        <w:t>úřadu se v roce 2023</w:t>
      </w:r>
      <w:r w:rsidRPr="00201E70">
        <w:rPr>
          <w:color w:val="0D0D0D" w:themeColor="text1" w:themeTint="F2"/>
          <w:spacing w:val="-4"/>
          <w:sz w:val="16"/>
          <w:szCs w:val="16"/>
        </w:rPr>
        <w:t xml:space="preserve"> hrubá tuzemská spotřeba el</w:t>
      </w:r>
      <w:r>
        <w:rPr>
          <w:color w:val="0D0D0D" w:themeColor="text1" w:themeTint="F2"/>
          <w:spacing w:val="-4"/>
          <w:sz w:val="16"/>
          <w:szCs w:val="16"/>
        </w:rPr>
        <w:t>ektřiny meziročně snížila o 4,2 % (srovnatelně jako v roce 2022). K úspoře došlo loni</w:t>
      </w:r>
      <w:r w:rsidRPr="00201E70">
        <w:rPr>
          <w:color w:val="0D0D0D" w:themeColor="text1" w:themeTint="F2"/>
          <w:spacing w:val="-4"/>
          <w:sz w:val="16"/>
          <w:szCs w:val="16"/>
        </w:rPr>
        <w:t xml:space="preserve"> </w:t>
      </w:r>
      <w:r w:rsidRPr="00201E70">
        <w:rPr>
          <w:color w:val="0D0D0D" w:themeColor="text1" w:themeTint="F2"/>
          <w:spacing w:val="-3"/>
          <w:sz w:val="16"/>
          <w:szCs w:val="16"/>
        </w:rPr>
        <w:t>u všech hlavních kategorií spotře</w:t>
      </w:r>
      <w:r>
        <w:rPr>
          <w:color w:val="0D0D0D" w:themeColor="text1" w:themeTint="F2"/>
          <w:spacing w:val="-3"/>
          <w:sz w:val="16"/>
          <w:szCs w:val="16"/>
        </w:rPr>
        <w:t xml:space="preserve">by – nejvíce u domácností (o 4,0 </w:t>
      </w:r>
      <w:r w:rsidRPr="00201E70">
        <w:rPr>
          <w:color w:val="0D0D0D" w:themeColor="text1" w:themeTint="F2"/>
          <w:spacing w:val="-3"/>
          <w:sz w:val="16"/>
          <w:szCs w:val="16"/>
        </w:rPr>
        <w:t xml:space="preserve">%, </w:t>
      </w:r>
      <w:r w:rsidRPr="00201E70">
        <w:rPr>
          <w:color w:val="0D0D0D" w:themeColor="text1" w:themeTint="F2"/>
          <w:spacing w:val="-4"/>
          <w:sz w:val="16"/>
          <w:szCs w:val="16"/>
        </w:rPr>
        <w:t>za dva roky doko</w:t>
      </w:r>
      <w:r>
        <w:rPr>
          <w:color w:val="0D0D0D" w:themeColor="text1" w:themeTint="F2"/>
          <w:spacing w:val="-4"/>
          <w:sz w:val="16"/>
          <w:szCs w:val="16"/>
        </w:rPr>
        <w:t xml:space="preserve">nce o 12,7 </w:t>
      </w:r>
      <w:r w:rsidRPr="00201E70">
        <w:rPr>
          <w:color w:val="0D0D0D" w:themeColor="text1" w:themeTint="F2"/>
          <w:spacing w:val="-4"/>
          <w:sz w:val="16"/>
          <w:szCs w:val="16"/>
        </w:rPr>
        <w:t>%</w:t>
      </w:r>
      <w:r w:rsidRPr="00201E70">
        <w:rPr>
          <w:color w:val="0D0D0D" w:themeColor="text1" w:themeTint="F2"/>
          <w:spacing w:val="-3"/>
          <w:sz w:val="16"/>
          <w:szCs w:val="16"/>
        </w:rPr>
        <w:t>), nejméně u</w:t>
      </w:r>
      <w:r w:rsidRPr="00201E70">
        <w:rPr>
          <w:color w:val="0D0D0D" w:themeColor="text1" w:themeTint="F2"/>
          <w:spacing w:val="-4"/>
          <w:sz w:val="16"/>
          <w:szCs w:val="16"/>
        </w:rPr>
        <w:t> </w:t>
      </w:r>
      <w:r w:rsidRPr="00201E70">
        <w:rPr>
          <w:color w:val="0D0D0D" w:themeColor="text1" w:themeTint="F2"/>
          <w:spacing w:val="-3"/>
          <w:sz w:val="16"/>
          <w:szCs w:val="16"/>
        </w:rPr>
        <w:t>velkoodběratelů</w:t>
      </w:r>
      <w:r>
        <w:rPr>
          <w:color w:val="0D0D0D" w:themeColor="text1" w:themeTint="F2"/>
          <w:spacing w:val="-3"/>
          <w:sz w:val="16"/>
          <w:szCs w:val="16"/>
        </w:rPr>
        <w:t xml:space="preserve"> na hladině velmi vysokého napětí</w:t>
      </w:r>
      <w:r w:rsidRPr="00201E70">
        <w:rPr>
          <w:color w:val="0D0D0D" w:themeColor="text1" w:themeTint="F2"/>
          <w:spacing w:val="-2"/>
          <w:sz w:val="16"/>
          <w:szCs w:val="16"/>
        </w:rPr>
        <w:t xml:space="preserve"> </w:t>
      </w:r>
      <w:r>
        <w:rPr>
          <w:color w:val="0D0D0D" w:themeColor="text1" w:themeTint="F2"/>
          <w:spacing w:val="-4"/>
          <w:sz w:val="16"/>
          <w:szCs w:val="16"/>
        </w:rPr>
        <w:t>(–1,4</w:t>
      </w:r>
      <w:r w:rsidRPr="00201E70">
        <w:rPr>
          <w:color w:val="0D0D0D" w:themeColor="text1" w:themeTint="F2"/>
          <w:spacing w:val="-4"/>
          <w:sz w:val="16"/>
          <w:szCs w:val="16"/>
        </w:rPr>
        <w:t xml:space="preserve"> %).</w:t>
      </w:r>
      <w:r w:rsidRPr="00201E70">
        <w:rPr>
          <w:color w:val="0D0D0D" w:themeColor="text1" w:themeTint="F2"/>
          <w:spacing w:val="-3"/>
          <w:sz w:val="16"/>
          <w:szCs w:val="16"/>
        </w:rPr>
        <w:t xml:space="preserve"> </w:t>
      </w:r>
      <w:r>
        <w:rPr>
          <w:color w:val="0D0D0D" w:themeColor="text1" w:themeTint="F2"/>
          <w:spacing w:val="-4"/>
          <w:sz w:val="16"/>
          <w:szCs w:val="16"/>
        </w:rPr>
        <w:t>Citelně, byť polovičním tempem než v roce 2022, klesla za loňský rok i</w:t>
      </w:r>
      <w:r w:rsidRPr="001A321F">
        <w:rPr>
          <w:spacing w:val="-2"/>
          <w:sz w:val="16"/>
          <w:szCs w:val="16"/>
        </w:rPr>
        <w:t> </w:t>
      </w:r>
      <w:r w:rsidRPr="00201E70">
        <w:rPr>
          <w:color w:val="0D0D0D" w:themeColor="text1" w:themeTint="F2"/>
          <w:spacing w:val="-4"/>
          <w:sz w:val="16"/>
          <w:szCs w:val="16"/>
        </w:rPr>
        <w:t>celková spotřeba plynu (vyjádřená v m</w:t>
      </w:r>
      <w:r w:rsidRPr="00201E70">
        <w:rPr>
          <w:color w:val="0D0D0D" w:themeColor="text1" w:themeTint="F2"/>
          <w:spacing w:val="-4"/>
          <w:sz w:val="16"/>
          <w:szCs w:val="16"/>
          <w:vertAlign w:val="superscript"/>
        </w:rPr>
        <w:t>3</w:t>
      </w:r>
      <w:r>
        <w:rPr>
          <w:color w:val="0D0D0D" w:themeColor="text1" w:themeTint="F2"/>
          <w:spacing w:val="-4"/>
          <w:sz w:val="16"/>
          <w:szCs w:val="16"/>
        </w:rPr>
        <w:t>) v ČR – meziročně o 12,4</w:t>
      </w:r>
      <w:r w:rsidRPr="00201E70">
        <w:rPr>
          <w:color w:val="0D0D0D" w:themeColor="text1" w:themeTint="F2"/>
          <w:spacing w:val="-4"/>
          <w:sz w:val="16"/>
          <w:szCs w:val="16"/>
        </w:rPr>
        <w:t xml:space="preserve"> % (po </w:t>
      </w:r>
      <w:r>
        <w:rPr>
          <w:color w:val="0D0D0D" w:themeColor="text1" w:themeTint="F2"/>
          <w:spacing w:val="-4"/>
          <w:sz w:val="16"/>
          <w:szCs w:val="16"/>
        </w:rPr>
        <w:t>přepočtu na teplotní normál o 8,1</w:t>
      </w:r>
      <w:r w:rsidRPr="00201E70">
        <w:rPr>
          <w:color w:val="0D0D0D" w:themeColor="text1" w:themeTint="F2"/>
          <w:spacing w:val="-4"/>
          <w:sz w:val="16"/>
          <w:szCs w:val="16"/>
        </w:rPr>
        <w:t xml:space="preserve"> %). Znatelné snížení spotřeby nastalo u všech hlavních kategorií odběratelů, nejvyšší bylo u domácnost</w:t>
      </w:r>
      <w:r>
        <w:rPr>
          <w:color w:val="0D0D0D" w:themeColor="text1" w:themeTint="F2"/>
          <w:spacing w:val="-4"/>
          <w:sz w:val="16"/>
          <w:szCs w:val="16"/>
        </w:rPr>
        <w:t>í, které odebraly meziročně o 11,6</w:t>
      </w:r>
      <w:r w:rsidRPr="00201E70">
        <w:rPr>
          <w:color w:val="0D0D0D" w:themeColor="text1" w:themeTint="F2"/>
          <w:spacing w:val="-4"/>
          <w:sz w:val="16"/>
          <w:szCs w:val="16"/>
        </w:rPr>
        <w:t xml:space="preserve"> </w:t>
      </w:r>
      <w:r>
        <w:rPr>
          <w:color w:val="0D0D0D" w:themeColor="text1" w:themeTint="F2"/>
          <w:spacing w:val="-4"/>
          <w:sz w:val="16"/>
          <w:szCs w:val="16"/>
        </w:rPr>
        <w:t>% plynu méně (za dva roky o</w:t>
      </w:r>
      <w:r w:rsidRPr="001A321F">
        <w:rPr>
          <w:spacing w:val="-2"/>
          <w:sz w:val="16"/>
          <w:szCs w:val="16"/>
        </w:rPr>
        <w:t> </w:t>
      </w:r>
      <w:r>
        <w:rPr>
          <w:color w:val="0D0D0D" w:themeColor="text1" w:themeTint="F2"/>
          <w:spacing w:val="-4"/>
          <w:sz w:val="16"/>
          <w:szCs w:val="16"/>
        </w:rPr>
        <w:t>rovných 30</w:t>
      </w:r>
      <w:r w:rsidRPr="00201E70">
        <w:rPr>
          <w:color w:val="0D0D0D" w:themeColor="text1" w:themeTint="F2"/>
          <w:spacing w:val="-4"/>
          <w:sz w:val="16"/>
          <w:szCs w:val="16"/>
        </w:rPr>
        <w:t xml:space="preserve"> % méně), nejmenší p</w:t>
      </w:r>
      <w:r>
        <w:rPr>
          <w:color w:val="0D0D0D" w:themeColor="text1" w:themeTint="F2"/>
          <w:spacing w:val="-4"/>
          <w:sz w:val="16"/>
          <w:szCs w:val="16"/>
        </w:rPr>
        <w:t>okles pak u velkoodběratelů (o 9,6 %). Aktuální data za 1. až 3. čtvrtletí</w:t>
      </w:r>
      <w:r w:rsidRPr="00201E70">
        <w:rPr>
          <w:color w:val="0D0D0D" w:themeColor="text1" w:themeTint="F2"/>
          <w:spacing w:val="-4"/>
          <w:sz w:val="16"/>
          <w:szCs w:val="16"/>
        </w:rPr>
        <w:t xml:space="preserve"> 2023 ukazují i na plošný meziroční pokles spotřeby tepla (vyjá</w:t>
      </w:r>
      <w:r>
        <w:rPr>
          <w:color w:val="0D0D0D" w:themeColor="text1" w:themeTint="F2"/>
          <w:spacing w:val="-4"/>
          <w:sz w:val="16"/>
          <w:szCs w:val="16"/>
        </w:rPr>
        <w:t>dřené v TJ) – o rovných 9 % (o rok dříve o 10,3 %), z toho v domácnostech o 4,9</w:t>
      </w:r>
      <w:r w:rsidRPr="00201E70">
        <w:rPr>
          <w:color w:val="0D0D0D" w:themeColor="text1" w:themeTint="F2"/>
          <w:spacing w:val="-4"/>
          <w:sz w:val="16"/>
          <w:szCs w:val="16"/>
        </w:rPr>
        <w:t xml:space="preserve"> %, v odvětví obchodu, služb</w:t>
      </w:r>
      <w:r>
        <w:rPr>
          <w:color w:val="0D0D0D" w:themeColor="text1" w:themeTint="F2"/>
          <w:spacing w:val="-4"/>
          <w:sz w:val="16"/>
          <w:szCs w:val="16"/>
        </w:rPr>
        <w:t>ách, školství, zdravotnictví o 8,3 %, v průmyslu o 13,7</w:t>
      </w:r>
      <w:r w:rsidRPr="00201E70">
        <w:rPr>
          <w:color w:val="0D0D0D" w:themeColor="text1" w:themeTint="F2"/>
          <w:spacing w:val="-4"/>
          <w:sz w:val="16"/>
          <w:szCs w:val="16"/>
        </w:rPr>
        <w:t xml:space="preserve"> %.</w:t>
      </w:r>
    </w:p>
  </w:footnote>
  <w:footnote w:id="15">
    <w:p w14:paraId="44C0F089" w14:textId="77777777" w:rsidR="00BA5125" w:rsidRPr="00E5704D" w:rsidRDefault="00BA5125" w:rsidP="00BA5125">
      <w:pPr>
        <w:pStyle w:val="Textpoznpodarou"/>
        <w:rPr>
          <w:sz w:val="16"/>
          <w:szCs w:val="16"/>
        </w:rPr>
      </w:pPr>
      <w:r w:rsidRPr="00E5704D">
        <w:rPr>
          <w:rStyle w:val="Znakapoznpodarou"/>
          <w:sz w:val="16"/>
          <w:szCs w:val="16"/>
        </w:rPr>
        <w:footnoteRef/>
      </w:r>
      <w:r w:rsidRPr="00E5704D">
        <w:rPr>
          <w:sz w:val="16"/>
          <w:szCs w:val="16"/>
        </w:rPr>
        <w:t xml:space="preserve"> </w:t>
      </w:r>
      <w:r w:rsidRPr="00E5704D">
        <w:rPr>
          <w:color w:val="0D0D0D" w:themeColor="text1" w:themeTint="F2"/>
          <w:spacing w:val="-4"/>
          <w:sz w:val="16"/>
          <w:szCs w:val="16"/>
        </w:rPr>
        <w:t xml:space="preserve">Meziroční </w:t>
      </w:r>
      <w:r>
        <w:rPr>
          <w:color w:val="0D0D0D" w:themeColor="text1" w:themeTint="F2"/>
          <w:spacing w:val="-4"/>
          <w:sz w:val="16"/>
          <w:szCs w:val="16"/>
        </w:rPr>
        <w:t xml:space="preserve">pokles </w:t>
      </w:r>
      <w:r w:rsidRPr="00E5704D">
        <w:rPr>
          <w:color w:val="0D0D0D" w:themeColor="text1" w:themeTint="F2"/>
          <w:spacing w:val="-4"/>
          <w:sz w:val="16"/>
          <w:szCs w:val="16"/>
        </w:rPr>
        <w:t>produk</w:t>
      </w:r>
      <w:r>
        <w:rPr>
          <w:color w:val="0D0D0D" w:themeColor="text1" w:themeTint="F2"/>
          <w:spacing w:val="-4"/>
          <w:sz w:val="16"/>
          <w:szCs w:val="16"/>
        </w:rPr>
        <w:t>ce postihl loni skoro tři čtvrtiny</w:t>
      </w:r>
      <w:r w:rsidRPr="00E5704D">
        <w:rPr>
          <w:color w:val="0D0D0D" w:themeColor="text1" w:themeTint="F2"/>
          <w:spacing w:val="-4"/>
          <w:sz w:val="16"/>
          <w:szCs w:val="16"/>
        </w:rPr>
        <w:t xml:space="preserve"> průmyslových oborů.</w:t>
      </w:r>
    </w:p>
  </w:footnote>
  <w:footnote w:id="16">
    <w:p w14:paraId="38D89295" w14:textId="77777777" w:rsidR="00BA5125" w:rsidRPr="00201E70" w:rsidRDefault="00BA5125" w:rsidP="00BA5125">
      <w:pPr>
        <w:pStyle w:val="Textpoznpodarou"/>
        <w:rPr>
          <w:color w:val="0D0D0D" w:themeColor="text1" w:themeTint="F2"/>
          <w:sz w:val="16"/>
          <w:szCs w:val="16"/>
        </w:rPr>
      </w:pPr>
      <w:r w:rsidRPr="00201E70">
        <w:rPr>
          <w:rStyle w:val="Znakapoznpodarou"/>
          <w:color w:val="0D0D0D" w:themeColor="text1" w:themeTint="F2"/>
          <w:sz w:val="16"/>
          <w:szCs w:val="16"/>
        </w:rPr>
        <w:footnoteRef/>
      </w:r>
      <w:r w:rsidRPr="00201E70">
        <w:rPr>
          <w:color w:val="0D0D0D" w:themeColor="text1" w:themeTint="F2"/>
          <w:sz w:val="16"/>
          <w:szCs w:val="16"/>
        </w:rPr>
        <w:t xml:space="preserve"> Průměrná teplota</w:t>
      </w:r>
      <w:r>
        <w:rPr>
          <w:color w:val="0D0D0D" w:themeColor="text1" w:themeTint="F2"/>
          <w:sz w:val="16"/>
          <w:szCs w:val="16"/>
        </w:rPr>
        <w:t xml:space="preserve"> ovzduší v ČR vystoupala vloni</w:t>
      </w:r>
      <w:r w:rsidRPr="00201E70">
        <w:rPr>
          <w:color w:val="0D0D0D" w:themeColor="text1" w:themeTint="F2"/>
          <w:sz w:val="16"/>
          <w:szCs w:val="16"/>
        </w:rPr>
        <w:t xml:space="preserve"> </w:t>
      </w:r>
      <w:r>
        <w:rPr>
          <w:color w:val="0D0D0D" w:themeColor="text1" w:themeTint="F2"/>
          <w:sz w:val="16"/>
          <w:szCs w:val="16"/>
        </w:rPr>
        <w:t xml:space="preserve">v </w:t>
      </w:r>
      <w:r w:rsidRPr="00201E70">
        <w:rPr>
          <w:color w:val="0D0D0D" w:themeColor="text1" w:themeTint="F2"/>
          <w:sz w:val="16"/>
          <w:szCs w:val="16"/>
        </w:rPr>
        <w:t>le</w:t>
      </w:r>
      <w:r>
        <w:rPr>
          <w:color w:val="0D0D0D" w:themeColor="text1" w:themeTint="F2"/>
          <w:sz w:val="16"/>
          <w:szCs w:val="16"/>
        </w:rPr>
        <w:t>dnu i září nad</w:t>
      </w:r>
      <w:r w:rsidRPr="00201E70">
        <w:rPr>
          <w:color w:val="0D0D0D" w:themeColor="text1" w:themeTint="F2"/>
          <w:sz w:val="16"/>
          <w:szCs w:val="16"/>
        </w:rPr>
        <w:t xml:space="preserve"> dlouhodobý normál</w:t>
      </w:r>
      <w:r>
        <w:rPr>
          <w:color w:val="0D0D0D" w:themeColor="text1" w:themeTint="F2"/>
          <w:sz w:val="16"/>
          <w:szCs w:val="16"/>
        </w:rPr>
        <w:t xml:space="preserve"> o 3,4 stupně Celsia, v říjnu o 2,9 stupně, v prosinci o</w:t>
      </w:r>
      <w:r w:rsidRPr="001A321F">
        <w:rPr>
          <w:spacing w:val="-2"/>
          <w:sz w:val="16"/>
          <w:szCs w:val="16"/>
        </w:rPr>
        <w:t> </w:t>
      </w:r>
      <w:r>
        <w:rPr>
          <w:color w:val="0D0D0D" w:themeColor="text1" w:themeTint="F2"/>
          <w:sz w:val="16"/>
          <w:szCs w:val="16"/>
        </w:rPr>
        <w:t>2,6 stupně, v únoru i březnu</w:t>
      </w:r>
      <w:r w:rsidRPr="00201E70">
        <w:rPr>
          <w:color w:val="0D0D0D" w:themeColor="text1" w:themeTint="F2"/>
          <w:sz w:val="16"/>
          <w:szCs w:val="16"/>
        </w:rPr>
        <w:t xml:space="preserve"> o 1,5 stupně.</w:t>
      </w:r>
      <w:r>
        <w:rPr>
          <w:color w:val="0D0D0D" w:themeColor="text1" w:themeTint="F2"/>
          <w:sz w:val="16"/>
          <w:szCs w:val="16"/>
        </w:rPr>
        <w:t xml:space="preserve"> Naopak za chladnější lze považovat pouze duben s teplotou o dva stupně pod normálem. Za celý loňský rok dosáhla průměrná teplota ovzduší v ČR 9,9 stupně, předcházející rok 9,4 stupně.</w:t>
      </w:r>
    </w:p>
  </w:footnote>
  <w:footnote w:id="17">
    <w:p w14:paraId="677C3DA9" w14:textId="77777777" w:rsidR="00BA5125" w:rsidRPr="00FB58F4" w:rsidRDefault="00BA5125" w:rsidP="00BA5125">
      <w:pPr>
        <w:pStyle w:val="Textpoznpodarou"/>
        <w:jc w:val="both"/>
        <w:rPr>
          <w:rFonts w:cs="Arial"/>
          <w:color w:val="0D0D0D" w:themeColor="text1" w:themeTint="F2"/>
          <w:spacing w:val="-2"/>
          <w:sz w:val="16"/>
          <w:szCs w:val="16"/>
        </w:rPr>
      </w:pPr>
      <w:r w:rsidRPr="00F33536">
        <w:rPr>
          <w:rStyle w:val="Znakapoznpodarou"/>
          <w:rFonts w:cs="Arial"/>
          <w:color w:val="0D0D0D" w:themeColor="text1" w:themeTint="F2"/>
          <w:spacing w:val="-2"/>
          <w:sz w:val="16"/>
          <w:szCs w:val="16"/>
        </w:rPr>
        <w:footnoteRef/>
      </w:r>
      <w:r w:rsidRPr="00F33536">
        <w:rPr>
          <w:rFonts w:cs="Arial"/>
          <w:color w:val="0D0D0D" w:themeColor="text1" w:themeTint="F2"/>
          <w:spacing w:val="-2"/>
          <w:sz w:val="16"/>
          <w:szCs w:val="16"/>
        </w:rPr>
        <w:t xml:space="preserve"> Zjišťování zakázek probíhá jen ve dvanácti zpracovatelských odvětvích vyrábějících převážně na zakázku, s dlouhodobějším výrobním cyklem a s většími zásobami zakázek. Meziroční tempa zakázek j</w:t>
      </w:r>
      <w:r>
        <w:rPr>
          <w:rFonts w:cs="Arial"/>
          <w:color w:val="0D0D0D" w:themeColor="text1" w:themeTint="F2"/>
          <w:spacing w:val="-2"/>
          <w:sz w:val="16"/>
          <w:szCs w:val="16"/>
        </w:rPr>
        <w:t>sou očištěna o kalendářní vlivy, mezikvartální tempa také o vliv sezónnosti.</w:t>
      </w:r>
    </w:p>
  </w:footnote>
  <w:footnote w:id="18">
    <w:p w14:paraId="24566CF0" w14:textId="77777777" w:rsidR="00BA5125" w:rsidRPr="00AF44D9" w:rsidRDefault="00BA5125" w:rsidP="00BA5125">
      <w:pPr>
        <w:pStyle w:val="Textpoznpodarou"/>
        <w:rPr>
          <w:sz w:val="16"/>
          <w:szCs w:val="16"/>
        </w:rPr>
      </w:pPr>
      <w:r w:rsidRPr="00AF44D9">
        <w:rPr>
          <w:rStyle w:val="Znakapoznpodarou"/>
          <w:sz w:val="16"/>
          <w:szCs w:val="16"/>
        </w:rPr>
        <w:footnoteRef/>
      </w:r>
      <w:r w:rsidRPr="00AF44D9">
        <w:rPr>
          <w:sz w:val="16"/>
          <w:szCs w:val="16"/>
        </w:rPr>
        <w:t xml:space="preserve"> Podniky mohly uvést více bariér současně.</w:t>
      </w:r>
      <w:r>
        <w:rPr>
          <w:sz w:val="16"/>
          <w:szCs w:val="16"/>
        </w:rPr>
        <w:t xml:space="preserve"> Bariéry jsou očištěny o vliv sezónnosti. Slabá poptávka představovala zásadní růstový limit především pro většinu energeticky náročných průmyslových oborů (hutnictví, výroba stavebních hmot, gumárenství a plastikářství, </w:t>
      </w:r>
      <w:r w:rsidRPr="001D37AB">
        <w:rPr>
          <w:sz w:val="16"/>
          <w:szCs w:val="16"/>
        </w:rPr>
        <w:t xml:space="preserve">dřevozpracující a papírenský průmysl), dále pro </w:t>
      </w:r>
      <w:r>
        <w:rPr>
          <w:sz w:val="16"/>
          <w:szCs w:val="16"/>
        </w:rPr>
        <w:t xml:space="preserve">tiskařský, </w:t>
      </w:r>
      <w:r w:rsidRPr="001D37AB">
        <w:rPr>
          <w:sz w:val="16"/>
          <w:szCs w:val="16"/>
        </w:rPr>
        <w:t xml:space="preserve">textilní či nápojový průmysl. Tuto bariéru uvedl </w:t>
      </w:r>
      <w:r>
        <w:rPr>
          <w:sz w:val="16"/>
          <w:szCs w:val="16"/>
        </w:rPr>
        <w:t xml:space="preserve">překvapivě </w:t>
      </w:r>
      <w:r w:rsidRPr="001D37AB">
        <w:rPr>
          <w:sz w:val="16"/>
          <w:szCs w:val="16"/>
        </w:rPr>
        <w:t>i vysoký podíl podniků v</w:t>
      </w:r>
      <w:r>
        <w:rPr>
          <w:sz w:val="16"/>
          <w:szCs w:val="16"/>
        </w:rPr>
        <w:t>e výrobě elektrických zařízení (nad 70 %). Nedostatečná poptávka představovala hlavní růstovou bariéru pro dvě třetiny všech zpracovatelských oborů.</w:t>
      </w:r>
    </w:p>
  </w:footnote>
  <w:footnote w:id="19">
    <w:p w14:paraId="229E0649" w14:textId="77777777" w:rsidR="00BA5125" w:rsidRPr="00AE4366" w:rsidRDefault="00BA5125" w:rsidP="00BA5125">
      <w:pPr>
        <w:pStyle w:val="Textpoznpodarou"/>
        <w:rPr>
          <w:spacing w:val="-2"/>
          <w:sz w:val="16"/>
          <w:szCs w:val="16"/>
        </w:rPr>
      </w:pPr>
      <w:r w:rsidRPr="00AE4366">
        <w:rPr>
          <w:rStyle w:val="Znakapoznpodarou"/>
          <w:spacing w:val="-2"/>
          <w:sz w:val="16"/>
          <w:szCs w:val="16"/>
        </w:rPr>
        <w:footnoteRef/>
      </w:r>
      <w:r w:rsidRPr="00AE4366">
        <w:rPr>
          <w:spacing w:val="-2"/>
          <w:sz w:val="16"/>
          <w:szCs w:val="16"/>
        </w:rPr>
        <w:t xml:space="preserve"> Větší problém ztělesňoval zejména v gumárenství a plastikářství, </w:t>
      </w:r>
      <w:r>
        <w:rPr>
          <w:spacing w:val="-2"/>
          <w:sz w:val="16"/>
          <w:szCs w:val="16"/>
        </w:rPr>
        <w:t xml:space="preserve">ve </w:t>
      </w:r>
      <w:r w:rsidRPr="00AE4366">
        <w:rPr>
          <w:spacing w:val="-2"/>
          <w:sz w:val="16"/>
          <w:szCs w:val="16"/>
        </w:rPr>
        <w:t xml:space="preserve">výrobě dopravních prostředků (mimo automobily), </w:t>
      </w:r>
      <w:r>
        <w:rPr>
          <w:spacing w:val="-2"/>
          <w:sz w:val="16"/>
          <w:szCs w:val="16"/>
        </w:rPr>
        <w:br/>
        <w:t xml:space="preserve">v </w:t>
      </w:r>
      <w:r w:rsidRPr="00AE4366">
        <w:rPr>
          <w:spacing w:val="-2"/>
          <w:sz w:val="16"/>
          <w:szCs w:val="16"/>
        </w:rPr>
        <w:t>elektrotechnickém, oděvním a kožedělném průmyslu.</w:t>
      </w:r>
    </w:p>
  </w:footnote>
  <w:footnote w:id="20">
    <w:p w14:paraId="2363E2DB" w14:textId="77777777" w:rsidR="00BA5125" w:rsidRPr="001508CB" w:rsidRDefault="00BA5125" w:rsidP="00BA5125">
      <w:pPr>
        <w:pStyle w:val="Textpoznpodarou"/>
        <w:rPr>
          <w:sz w:val="16"/>
          <w:szCs w:val="16"/>
        </w:rPr>
      </w:pPr>
      <w:r w:rsidRPr="001508CB">
        <w:rPr>
          <w:rStyle w:val="Znakapoznpodarou"/>
          <w:sz w:val="16"/>
          <w:szCs w:val="16"/>
        </w:rPr>
        <w:footnoteRef/>
      </w:r>
      <w:r w:rsidRPr="001508CB">
        <w:rPr>
          <w:sz w:val="16"/>
          <w:szCs w:val="16"/>
        </w:rPr>
        <w:t xml:space="preserve"> Tato bariéra limitovala zejména podniky v automobilovém a elektronickém průmyslu.</w:t>
      </w:r>
    </w:p>
  </w:footnote>
  <w:footnote w:id="21">
    <w:p w14:paraId="4A02B836" w14:textId="77777777" w:rsidR="00BA5125" w:rsidRPr="00291A49" w:rsidRDefault="00BA5125" w:rsidP="00BA5125">
      <w:pPr>
        <w:pStyle w:val="Textpoznpodarou"/>
        <w:rPr>
          <w:sz w:val="16"/>
          <w:szCs w:val="16"/>
        </w:rPr>
      </w:pPr>
      <w:r w:rsidRPr="00291A49">
        <w:rPr>
          <w:rStyle w:val="Znakapoznpodarou"/>
          <w:sz w:val="16"/>
          <w:szCs w:val="16"/>
        </w:rPr>
        <w:footnoteRef/>
      </w:r>
      <w:r w:rsidRPr="00291A49">
        <w:rPr>
          <w:sz w:val="16"/>
          <w:szCs w:val="16"/>
        </w:rPr>
        <w:t xml:space="preserve"> Dle kon</w:t>
      </w:r>
      <w:r>
        <w:rPr>
          <w:sz w:val="16"/>
          <w:szCs w:val="16"/>
        </w:rPr>
        <w:t xml:space="preserve">junkturálních průzkumů z loňského listopadu očekávalo </w:t>
      </w:r>
      <w:r w:rsidRPr="00291A49">
        <w:rPr>
          <w:sz w:val="16"/>
          <w:szCs w:val="16"/>
        </w:rPr>
        <w:t xml:space="preserve">růst cen vlastní produkce </w:t>
      </w:r>
      <w:r>
        <w:rPr>
          <w:sz w:val="16"/>
          <w:szCs w:val="16"/>
        </w:rPr>
        <w:t xml:space="preserve">(v horizontu tří měsíců) stále bezmála 40 % tuzemských </w:t>
      </w:r>
      <w:r w:rsidRPr="00291A49">
        <w:rPr>
          <w:sz w:val="16"/>
          <w:szCs w:val="16"/>
        </w:rPr>
        <w:t>stavebních p</w:t>
      </w:r>
      <w:r>
        <w:rPr>
          <w:sz w:val="16"/>
          <w:szCs w:val="16"/>
        </w:rPr>
        <w:t xml:space="preserve">odniků. I přes postupný pokles, </w:t>
      </w:r>
      <w:r w:rsidRPr="00291A49">
        <w:rPr>
          <w:sz w:val="16"/>
          <w:szCs w:val="16"/>
        </w:rPr>
        <w:t>který je však mírněj</w:t>
      </w:r>
      <w:r>
        <w:rPr>
          <w:sz w:val="16"/>
          <w:szCs w:val="16"/>
        </w:rPr>
        <w:t xml:space="preserve">ší než v průmyslu, šlo </w:t>
      </w:r>
      <w:r w:rsidRPr="00291A49">
        <w:rPr>
          <w:sz w:val="16"/>
          <w:szCs w:val="16"/>
        </w:rPr>
        <w:t>o nejvyšší podíl me</w:t>
      </w:r>
      <w:r>
        <w:rPr>
          <w:sz w:val="16"/>
          <w:szCs w:val="16"/>
        </w:rPr>
        <w:t>zi všemi hlavními odvětvími</w:t>
      </w:r>
      <w:r w:rsidRPr="00291A49">
        <w:rPr>
          <w:sz w:val="16"/>
          <w:szCs w:val="16"/>
        </w:rPr>
        <w:t>.</w:t>
      </w:r>
    </w:p>
  </w:footnote>
  <w:footnote w:id="22">
    <w:p w14:paraId="6561C27C" w14:textId="77777777" w:rsidR="00BA5125" w:rsidRPr="00C6587B" w:rsidRDefault="00BA5125" w:rsidP="00BA5125">
      <w:pPr>
        <w:pStyle w:val="Textpoznpodarou"/>
        <w:rPr>
          <w:sz w:val="16"/>
          <w:szCs w:val="16"/>
        </w:rPr>
      </w:pPr>
      <w:r w:rsidRPr="00C6587B">
        <w:rPr>
          <w:rStyle w:val="Znakapoznpodarou"/>
          <w:sz w:val="16"/>
          <w:szCs w:val="16"/>
        </w:rPr>
        <w:footnoteRef/>
      </w:r>
      <w:r w:rsidRPr="00C6587B">
        <w:rPr>
          <w:sz w:val="16"/>
          <w:szCs w:val="16"/>
        </w:rPr>
        <w:t xml:space="preserve"> Ta souvisela </w:t>
      </w:r>
      <w:r>
        <w:rPr>
          <w:sz w:val="16"/>
          <w:szCs w:val="16"/>
        </w:rPr>
        <w:t>s poklesem reálných příjmů domácností i s vysokými úrokovými sazbami hypoték (jejichž úroveň se během loňského roku příliš nezměnila).</w:t>
      </w:r>
      <w:r w:rsidRPr="00C6587B">
        <w:rPr>
          <w:sz w:val="16"/>
          <w:szCs w:val="16"/>
        </w:rPr>
        <w:t xml:space="preserve"> </w:t>
      </w:r>
      <w:r>
        <w:rPr>
          <w:sz w:val="16"/>
          <w:szCs w:val="16"/>
        </w:rPr>
        <w:t>Situaci by v nejbližší době mohlo zlepšit omezení regulací. Od ledna 2024</w:t>
      </w:r>
      <w:r w:rsidRPr="00C6587B">
        <w:rPr>
          <w:sz w:val="16"/>
          <w:szCs w:val="16"/>
        </w:rPr>
        <w:t xml:space="preserve"> </w:t>
      </w:r>
      <w:r>
        <w:rPr>
          <w:sz w:val="16"/>
          <w:szCs w:val="16"/>
        </w:rPr>
        <w:t>přistoupila</w:t>
      </w:r>
      <w:r w:rsidRPr="00C6587B">
        <w:rPr>
          <w:sz w:val="16"/>
          <w:szCs w:val="16"/>
        </w:rPr>
        <w:t xml:space="preserve"> ČNB </w:t>
      </w:r>
      <w:r>
        <w:rPr>
          <w:sz w:val="16"/>
          <w:szCs w:val="16"/>
        </w:rPr>
        <w:t>k deaktivaci některých limitů pro poskytování hypotečních úvěrů (poměr celkové výše dluhu, resp. výše dluhové služby k ročnímu čistému příjmu domácnosti).</w:t>
      </w:r>
    </w:p>
  </w:footnote>
  <w:footnote w:id="23">
    <w:p w14:paraId="726F0B33" w14:textId="77777777" w:rsidR="00BA5125" w:rsidRPr="000F6F33" w:rsidRDefault="00BA5125" w:rsidP="00BA5125">
      <w:pPr>
        <w:pStyle w:val="Textpoznpodarou"/>
        <w:rPr>
          <w:sz w:val="16"/>
          <w:szCs w:val="16"/>
        </w:rPr>
      </w:pPr>
      <w:r w:rsidRPr="000F6F33">
        <w:rPr>
          <w:rStyle w:val="Znakapoznpodarou"/>
          <w:sz w:val="16"/>
          <w:szCs w:val="16"/>
        </w:rPr>
        <w:footnoteRef/>
      </w:r>
      <w:r w:rsidRPr="000F6F33">
        <w:rPr>
          <w:sz w:val="16"/>
          <w:szCs w:val="16"/>
        </w:rPr>
        <w:t xml:space="preserve"> </w:t>
      </w:r>
      <w:r>
        <w:rPr>
          <w:sz w:val="16"/>
          <w:szCs w:val="16"/>
        </w:rPr>
        <w:t>Např. k</w:t>
      </w:r>
      <w:r w:rsidRPr="000F6F33">
        <w:rPr>
          <w:sz w:val="16"/>
          <w:szCs w:val="16"/>
        </w:rPr>
        <w:t>apitálové výdaje stá</w:t>
      </w:r>
      <w:r>
        <w:rPr>
          <w:sz w:val="16"/>
          <w:szCs w:val="16"/>
        </w:rPr>
        <w:t>tního rozpočtu ČR vzrostly loni od ledna do prosince meziročně o 14</w:t>
      </w:r>
      <w:r w:rsidRPr="000F6F33">
        <w:rPr>
          <w:sz w:val="16"/>
          <w:szCs w:val="16"/>
        </w:rPr>
        <w:t xml:space="preserve"> %, </w:t>
      </w:r>
      <w:r>
        <w:rPr>
          <w:sz w:val="16"/>
          <w:szCs w:val="16"/>
        </w:rPr>
        <w:t>resp. 25</w:t>
      </w:r>
      <w:r w:rsidRPr="000F6F33">
        <w:rPr>
          <w:sz w:val="16"/>
          <w:szCs w:val="16"/>
        </w:rPr>
        <w:t>,4 mld. korun.</w:t>
      </w:r>
    </w:p>
  </w:footnote>
  <w:footnote w:id="24">
    <w:p w14:paraId="290DA2E8" w14:textId="77777777" w:rsidR="00BA5125" w:rsidRPr="002D2942" w:rsidRDefault="00BA5125" w:rsidP="00BA5125">
      <w:pPr>
        <w:pStyle w:val="Textpoznpodarou"/>
        <w:jc w:val="both"/>
        <w:rPr>
          <w:sz w:val="16"/>
          <w:szCs w:val="16"/>
        </w:rPr>
      </w:pPr>
      <w:r w:rsidRPr="002D2942">
        <w:rPr>
          <w:rStyle w:val="Znakapoznpodarou"/>
          <w:rFonts w:cs="Arial"/>
          <w:color w:val="0D0D0D" w:themeColor="text1" w:themeTint="F2"/>
          <w:sz w:val="16"/>
          <w:szCs w:val="16"/>
        </w:rPr>
        <w:footnoteRef/>
      </w:r>
      <w:r w:rsidRPr="002D2942">
        <w:rPr>
          <w:rFonts w:cs="Arial"/>
          <w:color w:val="0D0D0D" w:themeColor="text1" w:themeTint="F2"/>
          <w:sz w:val="16"/>
          <w:szCs w:val="16"/>
        </w:rPr>
        <w:t xml:space="preserve"> Údaje o stavební produkci jsou ve stálých cenách, meziroční tempa jsou očištěna o kalendářní vlivy, mezičtvrtletní též o vliv sezónnosti.</w:t>
      </w:r>
    </w:p>
  </w:footnote>
  <w:footnote w:id="25">
    <w:p w14:paraId="0B2F7008" w14:textId="77777777" w:rsidR="00BA5125" w:rsidRPr="00E62461" w:rsidRDefault="00BA5125" w:rsidP="00BA5125">
      <w:pPr>
        <w:spacing w:after="0" w:line="240" w:lineRule="auto"/>
        <w:rPr>
          <w:spacing w:val="-2"/>
        </w:rPr>
      </w:pPr>
      <w:r w:rsidRPr="00E62461">
        <w:rPr>
          <w:rStyle w:val="Znakapoznpodarou"/>
          <w:color w:val="0D0D0D" w:themeColor="text1" w:themeTint="F2"/>
          <w:spacing w:val="-2"/>
          <w:sz w:val="16"/>
          <w:szCs w:val="16"/>
        </w:rPr>
        <w:footnoteRef/>
      </w:r>
      <w:r w:rsidRPr="00E62461">
        <w:rPr>
          <w:color w:val="0D0D0D" w:themeColor="text1" w:themeTint="F2"/>
          <w:spacing w:val="-2"/>
          <w:sz w:val="16"/>
          <w:szCs w:val="16"/>
        </w:rPr>
        <w:t xml:space="preserve"> Bez obchodu, peněžnictví, pojišťovnictví, vědy, výzkumu a veřejných služeb. Všechny údaje za tržby ve službách jsou ve stálých cenách, meziroční data jsou očištěna o kalendářní vlivy, mezičtvrtletní jsou očištěna o sezónní vlivy (včetně vlivu počtu pracovních dnů).</w:t>
      </w:r>
    </w:p>
  </w:footnote>
  <w:footnote w:id="26">
    <w:p w14:paraId="35E99CE7" w14:textId="77777777" w:rsidR="00BA5125" w:rsidRPr="00D60F26" w:rsidRDefault="00BA5125" w:rsidP="00BA5125">
      <w:pPr>
        <w:pStyle w:val="Textpoznpodarou"/>
        <w:rPr>
          <w:spacing w:val="-4"/>
          <w:sz w:val="16"/>
          <w:szCs w:val="16"/>
        </w:rPr>
      </w:pPr>
      <w:r w:rsidRPr="00D60F26">
        <w:rPr>
          <w:rStyle w:val="Znakapoznpodarou"/>
          <w:spacing w:val="-4"/>
          <w:sz w:val="16"/>
          <w:szCs w:val="16"/>
        </w:rPr>
        <w:footnoteRef/>
      </w:r>
      <w:r w:rsidRPr="00D60F26">
        <w:rPr>
          <w:spacing w:val="-4"/>
          <w:sz w:val="16"/>
          <w:szCs w:val="16"/>
        </w:rPr>
        <w:t xml:space="preserve"> </w:t>
      </w:r>
      <w:r w:rsidRPr="00BD42D7">
        <w:rPr>
          <w:spacing w:val="-6"/>
          <w:sz w:val="16"/>
          <w:szCs w:val="16"/>
        </w:rPr>
        <w:t>Z hlavních odvětví za svým předkrizovým maximem zaostávaly tržby ve 4. čtvrtletí 2023 nejvíce v ubytování, stravování a pohostinství (</w:t>
      </w:r>
      <w:r w:rsidRPr="00BD42D7">
        <w:rPr>
          <w:color w:val="0D0D0D" w:themeColor="text1" w:themeTint="F2"/>
          <w:spacing w:val="-6"/>
          <w:sz w:val="16"/>
          <w:szCs w:val="16"/>
        </w:rPr>
        <w:t>–</w:t>
      </w:r>
      <w:r w:rsidRPr="00BD42D7">
        <w:rPr>
          <w:spacing w:val="-6"/>
          <w:sz w:val="16"/>
          <w:szCs w:val="16"/>
        </w:rPr>
        <w:t>19,4 %)</w:t>
      </w:r>
      <w:r>
        <w:rPr>
          <w:spacing w:val="-4"/>
          <w:sz w:val="16"/>
          <w:szCs w:val="16"/>
        </w:rPr>
        <w:t xml:space="preserve"> a</w:t>
      </w:r>
      <w:r w:rsidRPr="00E62461">
        <w:rPr>
          <w:color w:val="0D0D0D" w:themeColor="text1" w:themeTint="F2"/>
          <w:spacing w:val="-2"/>
          <w:sz w:val="16"/>
          <w:szCs w:val="16"/>
        </w:rPr>
        <w:t> </w:t>
      </w:r>
      <w:r w:rsidRPr="00D60F26">
        <w:rPr>
          <w:spacing w:val="-4"/>
          <w:sz w:val="16"/>
          <w:szCs w:val="16"/>
        </w:rPr>
        <w:t xml:space="preserve">v </w:t>
      </w:r>
      <w:r w:rsidRPr="00D60F26">
        <w:rPr>
          <w:rFonts w:cs="Arial"/>
          <w:color w:val="0D0D0D" w:themeColor="text1" w:themeTint="F2"/>
          <w:spacing w:val="-4"/>
          <w:sz w:val="16"/>
          <w:szCs w:val="16"/>
        </w:rPr>
        <w:t>administrativních a podpůrných činnostech (</w:t>
      </w:r>
      <w:r w:rsidRPr="00D60F26">
        <w:rPr>
          <w:color w:val="0D0D0D" w:themeColor="text1" w:themeTint="F2"/>
          <w:spacing w:val="-4"/>
          <w:sz w:val="16"/>
          <w:szCs w:val="16"/>
        </w:rPr>
        <w:t>–</w:t>
      </w:r>
      <w:r>
        <w:rPr>
          <w:rFonts w:cs="Arial"/>
          <w:color w:val="0D0D0D" w:themeColor="text1" w:themeTint="F2"/>
          <w:spacing w:val="-4"/>
          <w:sz w:val="16"/>
          <w:szCs w:val="16"/>
        </w:rPr>
        <w:t>12,3</w:t>
      </w:r>
      <w:r w:rsidRPr="00D60F26">
        <w:rPr>
          <w:rFonts w:cs="Arial"/>
          <w:color w:val="0D0D0D" w:themeColor="text1" w:themeTint="F2"/>
          <w:spacing w:val="-4"/>
          <w:sz w:val="16"/>
          <w:szCs w:val="16"/>
        </w:rPr>
        <w:t xml:space="preserve"> %). Naproti tomu tuto úroveň překonaly zejména informa</w:t>
      </w:r>
      <w:r>
        <w:rPr>
          <w:rFonts w:cs="Arial"/>
          <w:color w:val="0D0D0D" w:themeColor="text1" w:themeTint="F2"/>
          <w:spacing w:val="-4"/>
          <w:sz w:val="16"/>
          <w:szCs w:val="16"/>
        </w:rPr>
        <w:t>ční a</w:t>
      </w:r>
      <w:r w:rsidRPr="001A321F">
        <w:rPr>
          <w:spacing w:val="-2"/>
          <w:sz w:val="16"/>
          <w:szCs w:val="16"/>
        </w:rPr>
        <w:t> </w:t>
      </w:r>
      <w:r>
        <w:rPr>
          <w:rFonts w:cs="Arial"/>
          <w:color w:val="0D0D0D" w:themeColor="text1" w:themeTint="F2"/>
          <w:spacing w:val="-4"/>
          <w:sz w:val="16"/>
          <w:szCs w:val="16"/>
        </w:rPr>
        <w:t>komunikační činnosti (+5,5</w:t>
      </w:r>
      <w:r w:rsidRPr="00E62461">
        <w:rPr>
          <w:color w:val="0D0D0D" w:themeColor="text1" w:themeTint="F2"/>
          <w:spacing w:val="-2"/>
          <w:sz w:val="16"/>
          <w:szCs w:val="16"/>
        </w:rPr>
        <w:t> </w:t>
      </w:r>
      <w:r>
        <w:rPr>
          <w:rFonts w:cs="Arial"/>
          <w:color w:val="0D0D0D" w:themeColor="text1" w:themeTint="F2"/>
          <w:spacing w:val="-4"/>
          <w:sz w:val="16"/>
          <w:szCs w:val="16"/>
        </w:rPr>
        <w:t xml:space="preserve">%) a </w:t>
      </w:r>
      <w:r w:rsidRPr="00D60F26">
        <w:rPr>
          <w:rFonts w:cs="Arial"/>
          <w:color w:val="0D0D0D" w:themeColor="text1" w:themeTint="F2"/>
          <w:spacing w:val="-4"/>
          <w:sz w:val="16"/>
          <w:szCs w:val="16"/>
        </w:rPr>
        <w:t>profesní, vě</w:t>
      </w:r>
      <w:r>
        <w:rPr>
          <w:rFonts w:cs="Arial"/>
          <w:color w:val="0D0D0D" w:themeColor="text1" w:themeTint="F2"/>
          <w:spacing w:val="-4"/>
          <w:sz w:val="16"/>
          <w:szCs w:val="16"/>
        </w:rPr>
        <w:t>decké a technické činnosti (+1,8 %)</w:t>
      </w:r>
      <w:r w:rsidRPr="00D60F26">
        <w:rPr>
          <w:rFonts w:cs="Arial"/>
          <w:color w:val="0D0D0D" w:themeColor="text1" w:themeTint="F2"/>
          <w:spacing w:val="-4"/>
          <w:sz w:val="16"/>
          <w:szCs w:val="16"/>
        </w:rPr>
        <w:t>.</w:t>
      </w:r>
    </w:p>
  </w:footnote>
  <w:footnote w:id="27">
    <w:p w14:paraId="5E351405" w14:textId="77777777" w:rsidR="00BA5125" w:rsidRPr="00F20DDD" w:rsidRDefault="00BA5125" w:rsidP="00BA5125">
      <w:pPr>
        <w:pStyle w:val="Textpoznpodarou"/>
        <w:rPr>
          <w:sz w:val="16"/>
          <w:szCs w:val="16"/>
        </w:rPr>
      </w:pPr>
      <w:r w:rsidRPr="00F20DDD">
        <w:rPr>
          <w:rStyle w:val="Znakapoznpodarou"/>
          <w:sz w:val="16"/>
          <w:szCs w:val="16"/>
        </w:rPr>
        <w:footnoteRef/>
      </w:r>
      <w:r w:rsidRPr="00F20DDD">
        <w:rPr>
          <w:sz w:val="16"/>
          <w:szCs w:val="16"/>
        </w:rPr>
        <w:t xml:space="preserve"> Ve srovnání s rokem 2</w:t>
      </w:r>
      <w:r>
        <w:rPr>
          <w:sz w:val="16"/>
          <w:szCs w:val="16"/>
        </w:rPr>
        <w:t>019 však zde byly tržby stále znatelně vyšší (o 8,3</w:t>
      </w:r>
      <w:r w:rsidRPr="00F20DDD">
        <w:rPr>
          <w:sz w:val="16"/>
          <w:szCs w:val="16"/>
        </w:rPr>
        <w:t xml:space="preserve"> %).</w:t>
      </w:r>
    </w:p>
  </w:footnote>
  <w:footnote w:id="28">
    <w:p w14:paraId="354DF64F" w14:textId="77777777" w:rsidR="00BA5125" w:rsidRPr="004272FC" w:rsidRDefault="00BA5125" w:rsidP="00BA5125">
      <w:pPr>
        <w:pStyle w:val="Textpoznpodarou"/>
        <w:rPr>
          <w:sz w:val="16"/>
          <w:szCs w:val="16"/>
        </w:rPr>
      </w:pPr>
      <w:r w:rsidRPr="004272FC">
        <w:rPr>
          <w:rStyle w:val="Znakapoznpodarou"/>
          <w:sz w:val="16"/>
          <w:szCs w:val="16"/>
        </w:rPr>
        <w:footnoteRef/>
      </w:r>
      <w:r w:rsidRPr="004272FC">
        <w:rPr>
          <w:sz w:val="16"/>
          <w:szCs w:val="16"/>
        </w:rPr>
        <w:t xml:space="preserve"> Obrat zbožového zahraničního obchodu ve stálých cenách (dle metodik</w:t>
      </w:r>
      <w:r>
        <w:rPr>
          <w:sz w:val="16"/>
          <w:szCs w:val="16"/>
        </w:rPr>
        <w:t>y národního účetnictví) se loni</w:t>
      </w:r>
      <w:r w:rsidRPr="004272FC">
        <w:rPr>
          <w:sz w:val="16"/>
          <w:szCs w:val="16"/>
        </w:rPr>
        <w:t xml:space="preserve"> ve 3</w:t>
      </w:r>
      <w:r>
        <w:rPr>
          <w:sz w:val="16"/>
          <w:szCs w:val="16"/>
        </w:rPr>
        <w:t>. čtvrtletí meziročně snížil o</w:t>
      </w:r>
      <w:r w:rsidRPr="001A321F">
        <w:rPr>
          <w:spacing w:val="-2"/>
          <w:sz w:val="16"/>
          <w:szCs w:val="16"/>
        </w:rPr>
        <w:t> </w:t>
      </w:r>
      <w:r>
        <w:rPr>
          <w:sz w:val="16"/>
          <w:szCs w:val="16"/>
        </w:rPr>
        <w:t>2,3 %, v následujícím kvartálu se prohloubil na 2,7 %</w:t>
      </w:r>
      <w:r w:rsidRPr="004272FC">
        <w:rPr>
          <w:sz w:val="16"/>
          <w:szCs w:val="16"/>
        </w:rPr>
        <w:t>.</w:t>
      </w:r>
      <w:r>
        <w:rPr>
          <w:sz w:val="16"/>
          <w:szCs w:val="16"/>
        </w:rPr>
        <w:t xml:space="preserve"> </w:t>
      </w:r>
    </w:p>
  </w:footnote>
  <w:footnote w:id="29">
    <w:p w14:paraId="0AEEFD29" w14:textId="77777777" w:rsidR="00BA5125" w:rsidRPr="00F4476A" w:rsidRDefault="00BA5125" w:rsidP="00BA5125">
      <w:pPr>
        <w:pStyle w:val="Textpoznpodarou"/>
        <w:rPr>
          <w:sz w:val="16"/>
          <w:szCs w:val="16"/>
        </w:rPr>
      </w:pPr>
      <w:r w:rsidRPr="00F4476A">
        <w:rPr>
          <w:rStyle w:val="Znakapoznpodarou"/>
          <w:sz w:val="16"/>
          <w:szCs w:val="16"/>
        </w:rPr>
        <w:footnoteRef/>
      </w:r>
      <w:r w:rsidRPr="00F4476A">
        <w:rPr>
          <w:sz w:val="16"/>
          <w:szCs w:val="16"/>
        </w:rPr>
        <w:t xml:space="preserve"> Dle</w:t>
      </w:r>
      <w:r>
        <w:rPr>
          <w:sz w:val="16"/>
          <w:szCs w:val="16"/>
        </w:rPr>
        <w:t xml:space="preserve"> aktuálních dat se v roce</w:t>
      </w:r>
      <w:r w:rsidRPr="00F4476A">
        <w:rPr>
          <w:sz w:val="16"/>
          <w:szCs w:val="16"/>
        </w:rPr>
        <w:t xml:space="preserve"> 2023 </w:t>
      </w:r>
      <w:r>
        <w:rPr>
          <w:sz w:val="16"/>
          <w:szCs w:val="16"/>
        </w:rPr>
        <w:t xml:space="preserve">meziročně </w:t>
      </w:r>
      <w:r w:rsidRPr="00F4476A">
        <w:rPr>
          <w:sz w:val="16"/>
          <w:szCs w:val="16"/>
        </w:rPr>
        <w:t>snížily přepravní výkony (v tkm) v n</w:t>
      </w:r>
      <w:r>
        <w:rPr>
          <w:sz w:val="16"/>
          <w:szCs w:val="16"/>
        </w:rPr>
        <w:t>ákladní dopravě na železnici o 5,1 %, na silnici o</w:t>
      </w:r>
      <w:r w:rsidRPr="00E62461">
        <w:rPr>
          <w:color w:val="0D0D0D" w:themeColor="text1" w:themeTint="F2"/>
          <w:spacing w:val="-2"/>
          <w:sz w:val="16"/>
          <w:szCs w:val="16"/>
        </w:rPr>
        <w:t> </w:t>
      </w:r>
      <w:r>
        <w:rPr>
          <w:sz w:val="16"/>
          <w:szCs w:val="16"/>
        </w:rPr>
        <w:t>1,5</w:t>
      </w:r>
      <w:r w:rsidRPr="00E62461">
        <w:rPr>
          <w:color w:val="0D0D0D" w:themeColor="text1" w:themeTint="F2"/>
          <w:spacing w:val="-2"/>
          <w:sz w:val="16"/>
          <w:szCs w:val="16"/>
        </w:rPr>
        <w:t> </w:t>
      </w:r>
      <w:r w:rsidRPr="00F4476A">
        <w:rPr>
          <w:sz w:val="16"/>
          <w:szCs w:val="16"/>
        </w:rPr>
        <w:t>%.</w:t>
      </w:r>
      <w:r>
        <w:rPr>
          <w:sz w:val="16"/>
          <w:szCs w:val="16"/>
        </w:rPr>
        <w:t xml:space="preserve"> V obou případech se ukázal jako klíčový pokles poptávky po vnitrostátní dopravě.</w:t>
      </w:r>
    </w:p>
  </w:footnote>
  <w:footnote w:id="30">
    <w:p w14:paraId="0D72B3D0" w14:textId="77777777" w:rsidR="00BA5125" w:rsidRPr="00052DD9" w:rsidRDefault="00BA5125" w:rsidP="00BA5125">
      <w:pPr>
        <w:pStyle w:val="Textpoznpodarou"/>
        <w:rPr>
          <w:sz w:val="16"/>
          <w:szCs w:val="16"/>
        </w:rPr>
      </w:pPr>
      <w:r w:rsidRPr="00052DD9">
        <w:rPr>
          <w:rStyle w:val="Znakapoznpodarou"/>
          <w:sz w:val="16"/>
          <w:szCs w:val="16"/>
        </w:rPr>
        <w:footnoteRef/>
      </w:r>
      <w:r w:rsidRPr="00052DD9">
        <w:rPr>
          <w:sz w:val="16"/>
          <w:szCs w:val="16"/>
        </w:rPr>
        <w:t xml:space="preserve"> K poklesu tržeb </w:t>
      </w:r>
      <w:r>
        <w:rPr>
          <w:sz w:val="16"/>
          <w:szCs w:val="16"/>
        </w:rPr>
        <w:t xml:space="preserve">zde </w:t>
      </w:r>
      <w:r w:rsidRPr="00052DD9">
        <w:rPr>
          <w:sz w:val="16"/>
          <w:szCs w:val="16"/>
        </w:rPr>
        <w:t>došlo i při vysokém růstu počtu pracujících cizinců v ČR. Na něm se v posledních dvou letech významně podíleli uprchlíci z Ukrajiny. Vzhledem ke statu</w:t>
      </w:r>
      <w:r>
        <w:rPr>
          <w:sz w:val="16"/>
          <w:szCs w:val="16"/>
        </w:rPr>
        <w:t>su</w:t>
      </w:r>
      <w:r w:rsidRPr="00052DD9">
        <w:rPr>
          <w:sz w:val="16"/>
          <w:szCs w:val="16"/>
        </w:rPr>
        <w:t xml:space="preserve"> dočasné ochrany, který byl těmto osobám přiznán, je </w:t>
      </w:r>
      <w:r>
        <w:rPr>
          <w:sz w:val="16"/>
          <w:szCs w:val="16"/>
        </w:rPr>
        <w:t>je</w:t>
      </w:r>
      <w:r w:rsidRPr="00052DD9">
        <w:rPr>
          <w:sz w:val="16"/>
          <w:szCs w:val="16"/>
        </w:rPr>
        <w:t xml:space="preserve">jich zaměstnávání v tuzemsku administrativně jednodušší (oproti ostatním skupinám migrantů z tzv. třetích zemí) a </w:t>
      </w:r>
      <w:r>
        <w:rPr>
          <w:sz w:val="16"/>
          <w:szCs w:val="16"/>
        </w:rPr>
        <w:t>ti tak mohou</w:t>
      </w:r>
      <w:r w:rsidRPr="00052DD9">
        <w:rPr>
          <w:sz w:val="16"/>
          <w:szCs w:val="16"/>
        </w:rPr>
        <w:t xml:space="preserve"> snáze nalézt práci „napřímo“ (bez zprostředkovatele). Kromě výše uvedeného se na pokle</w:t>
      </w:r>
      <w:r>
        <w:rPr>
          <w:sz w:val="16"/>
          <w:szCs w:val="16"/>
        </w:rPr>
        <w:t xml:space="preserve">su tržeb </w:t>
      </w:r>
      <w:r w:rsidRPr="00052DD9">
        <w:rPr>
          <w:sz w:val="16"/>
          <w:szCs w:val="16"/>
        </w:rPr>
        <w:t xml:space="preserve">může podílet i snížená poptávka </w:t>
      </w:r>
      <w:r>
        <w:rPr>
          <w:sz w:val="16"/>
          <w:szCs w:val="16"/>
        </w:rPr>
        <w:t xml:space="preserve">po </w:t>
      </w:r>
      <w:r w:rsidRPr="00052DD9">
        <w:rPr>
          <w:sz w:val="16"/>
          <w:szCs w:val="16"/>
        </w:rPr>
        <w:t>agenturních pracovních ze strany klí</w:t>
      </w:r>
      <w:r>
        <w:rPr>
          <w:sz w:val="16"/>
          <w:szCs w:val="16"/>
        </w:rPr>
        <w:t xml:space="preserve">čových výrobních odvětví </w:t>
      </w:r>
      <w:r w:rsidRPr="00052DD9">
        <w:rPr>
          <w:sz w:val="16"/>
          <w:szCs w:val="16"/>
        </w:rPr>
        <w:t>procház</w:t>
      </w:r>
      <w:r>
        <w:rPr>
          <w:sz w:val="16"/>
          <w:szCs w:val="16"/>
        </w:rPr>
        <w:t>ej</w:t>
      </w:r>
      <w:r w:rsidRPr="00052DD9">
        <w:rPr>
          <w:sz w:val="16"/>
          <w:szCs w:val="16"/>
        </w:rPr>
        <w:t>í</w:t>
      </w:r>
      <w:r>
        <w:rPr>
          <w:sz w:val="16"/>
          <w:szCs w:val="16"/>
        </w:rPr>
        <w:t>cích</w:t>
      </w:r>
      <w:r w:rsidRPr="00052DD9">
        <w:rPr>
          <w:sz w:val="16"/>
          <w:szCs w:val="16"/>
        </w:rPr>
        <w:t xml:space="preserve"> recesí (např. průmysl</w:t>
      </w:r>
      <w:r>
        <w:rPr>
          <w:sz w:val="16"/>
          <w:szCs w:val="16"/>
        </w:rPr>
        <w:t>u</w:t>
      </w:r>
      <w:r w:rsidRPr="00052DD9">
        <w:rPr>
          <w:sz w:val="16"/>
          <w:szCs w:val="16"/>
        </w:rPr>
        <w:t>).</w:t>
      </w:r>
    </w:p>
  </w:footnote>
  <w:footnote w:id="31">
    <w:p w14:paraId="0468E298" w14:textId="77777777" w:rsidR="00BA5125" w:rsidRPr="00F46CDF" w:rsidRDefault="00BA5125" w:rsidP="00BA5125">
      <w:pPr>
        <w:pStyle w:val="Textpoznpodarou"/>
        <w:rPr>
          <w:sz w:val="16"/>
          <w:szCs w:val="16"/>
        </w:rPr>
      </w:pPr>
      <w:r w:rsidRPr="00B82136">
        <w:rPr>
          <w:rStyle w:val="Znakapoznpodarou"/>
          <w:sz w:val="16"/>
          <w:szCs w:val="16"/>
        </w:rPr>
        <w:footnoteRef/>
      </w:r>
      <w:r w:rsidRPr="00B82136">
        <w:rPr>
          <w:sz w:val="16"/>
          <w:szCs w:val="16"/>
        </w:rPr>
        <w:t xml:space="preserve"> </w:t>
      </w:r>
      <w:r>
        <w:rPr>
          <w:sz w:val="16"/>
          <w:szCs w:val="16"/>
        </w:rPr>
        <w:t xml:space="preserve">Z toho ve 4. </w:t>
      </w:r>
      <w:r w:rsidRPr="00F46CDF">
        <w:rPr>
          <w:sz w:val="16"/>
          <w:szCs w:val="16"/>
        </w:rPr>
        <w:t>čtvrtletí 2023 byl oproti úrovni z roku 2019 p</w:t>
      </w:r>
      <w:r w:rsidRPr="00F46CDF">
        <w:rPr>
          <w:rFonts w:eastAsia="Arial" w:cs="Arial"/>
          <w:sz w:val="16"/>
          <w:szCs w:val="16"/>
        </w:rPr>
        <w:t>očet přenocování nižší o 3,4 % (u zahrani</w:t>
      </w:r>
      <w:r>
        <w:rPr>
          <w:rFonts w:eastAsia="Arial" w:cs="Arial"/>
          <w:sz w:val="16"/>
          <w:szCs w:val="16"/>
        </w:rPr>
        <w:t>čních hostů dokonce o 11,3 % nižší, u</w:t>
      </w:r>
      <w:r w:rsidRPr="001A321F">
        <w:rPr>
          <w:spacing w:val="-2"/>
          <w:sz w:val="16"/>
          <w:szCs w:val="16"/>
        </w:rPr>
        <w:t> </w:t>
      </w:r>
      <w:r w:rsidRPr="00F46CDF">
        <w:rPr>
          <w:rFonts w:eastAsia="Arial" w:cs="Arial"/>
          <w:sz w:val="16"/>
          <w:szCs w:val="16"/>
        </w:rPr>
        <w:t xml:space="preserve">domácích </w:t>
      </w:r>
      <w:r>
        <w:rPr>
          <w:rFonts w:eastAsia="Arial" w:cs="Arial"/>
          <w:sz w:val="16"/>
          <w:szCs w:val="16"/>
        </w:rPr>
        <w:t xml:space="preserve">byl </w:t>
      </w:r>
      <w:r w:rsidRPr="00F46CDF">
        <w:rPr>
          <w:rFonts w:eastAsia="Arial" w:cs="Arial"/>
          <w:sz w:val="16"/>
          <w:szCs w:val="16"/>
        </w:rPr>
        <w:t>naopak o 6,9 % vyšší)</w:t>
      </w:r>
      <w:r>
        <w:rPr>
          <w:rFonts w:eastAsia="Arial" w:cs="Arial"/>
          <w:sz w:val="16"/>
          <w:szCs w:val="16"/>
        </w:rPr>
        <w:t>. Mezi kraji překonalo v poč</w:t>
      </w:r>
      <w:r w:rsidRPr="00F46CDF">
        <w:rPr>
          <w:rFonts w:eastAsia="Arial" w:cs="Arial"/>
          <w:sz w:val="16"/>
          <w:szCs w:val="16"/>
        </w:rPr>
        <w:t>t</w:t>
      </w:r>
      <w:r>
        <w:rPr>
          <w:rFonts w:eastAsia="Arial" w:cs="Arial"/>
          <w:sz w:val="16"/>
          <w:szCs w:val="16"/>
        </w:rPr>
        <w:t>u</w:t>
      </w:r>
      <w:r w:rsidRPr="00F46CDF">
        <w:rPr>
          <w:rFonts w:eastAsia="Arial" w:cs="Arial"/>
          <w:sz w:val="16"/>
          <w:szCs w:val="16"/>
        </w:rPr>
        <w:t xml:space="preserve"> p</w:t>
      </w:r>
      <w:r>
        <w:rPr>
          <w:rFonts w:eastAsia="Arial" w:cs="Arial"/>
          <w:sz w:val="16"/>
          <w:szCs w:val="16"/>
        </w:rPr>
        <w:t>řenocování tuto úroveň jen pět</w:t>
      </w:r>
      <w:r w:rsidRPr="00F46CDF">
        <w:rPr>
          <w:rFonts w:eastAsia="Arial" w:cs="Arial"/>
          <w:sz w:val="16"/>
          <w:szCs w:val="16"/>
        </w:rPr>
        <w:t xml:space="preserve"> (nejvíce Vysočina +9%), ostatní zaostávaly (Ústecký o 12 %, Karlovarský a Praha shodně o 5 %).</w:t>
      </w:r>
      <w:r>
        <w:rPr>
          <w:rFonts w:eastAsia="Arial" w:cs="Arial"/>
          <w:sz w:val="16"/>
          <w:szCs w:val="16"/>
        </w:rPr>
        <w:t xml:space="preserve"> V celé ČR zaostala nejvíce přenocování hostů ze zemí zapojených do </w:t>
      </w:r>
      <w:r w:rsidRPr="007F7DB4">
        <w:rPr>
          <w:rFonts w:eastAsia="Arial" w:cs="Arial"/>
          <w:spacing w:val="-2"/>
          <w:sz w:val="16"/>
          <w:szCs w:val="16"/>
        </w:rPr>
        <w:t xml:space="preserve">válečných konfliktů (Rusko o 95 %, </w:t>
      </w:r>
      <w:r>
        <w:rPr>
          <w:rFonts w:eastAsia="Arial" w:cs="Arial"/>
          <w:spacing w:val="-2"/>
          <w:sz w:val="16"/>
          <w:szCs w:val="16"/>
        </w:rPr>
        <w:t>Izrael o 63 %),</w:t>
      </w:r>
      <w:r w:rsidRPr="007F7DB4">
        <w:rPr>
          <w:rFonts w:eastAsia="Arial" w:cs="Arial"/>
          <w:spacing w:val="-2"/>
          <w:sz w:val="16"/>
          <w:szCs w:val="16"/>
        </w:rPr>
        <w:t xml:space="preserve"> ze vzdálených asijských států</w:t>
      </w:r>
      <w:r>
        <w:rPr>
          <w:rFonts w:eastAsia="Arial" w:cs="Arial"/>
          <w:spacing w:val="-2"/>
          <w:sz w:val="16"/>
          <w:szCs w:val="16"/>
        </w:rPr>
        <w:t>, zejména Číny</w:t>
      </w:r>
      <w:r w:rsidRPr="007F7DB4">
        <w:rPr>
          <w:rFonts w:eastAsia="Arial" w:cs="Arial"/>
          <w:spacing w:val="-2"/>
          <w:sz w:val="16"/>
          <w:szCs w:val="16"/>
        </w:rPr>
        <w:t xml:space="preserve"> (</w:t>
      </w:r>
      <w:r w:rsidRPr="007F7DB4">
        <w:rPr>
          <w:color w:val="0D0D0D" w:themeColor="text1" w:themeTint="F2"/>
          <w:spacing w:val="-2"/>
          <w:sz w:val="16"/>
          <w:szCs w:val="16"/>
        </w:rPr>
        <w:t>–</w:t>
      </w:r>
      <w:r>
        <w:rPr>
          <w:rFonts w:eastAsia="Arial" w:cs="Arial"/>
          <w:spacing w:val="-2"/>
          <w:sz w:val="16"/>
          <w:szCs w:val="16"/>
        </w:rPr>
        <w:t>74 %), Japonska</w:t>
      </w:r>
      <w:r w:rsidRPr="007F7DB4">
        <w:rPr>
          <w:rFonts w:eastAsia="Arial" w:cs="Arial"/>
          <w:spacing w:val="-2"/>
          <w:sz w:val="16"/>
          <w:szCs w:val="16"/>
        </w:rPr>
        <w:t xml:space="preserve"> (</w:t>
      </w:r>
      <w:r w:rsidRPr="007F7DB4">
        <w:rPr>
          <w:color w:val="0D0D0D" w:themeColor="text1" w:themeTint="F2"/>
          <w:spacing w:val="-2"/>
          <w:sz w:val="16"/>
          <w:szCs w:val="16"/>
        </w:rPr>
        <w:t>–</w:t>
      </w:r>
      <w:r w:rsidRPr="007F7DB4">
        <w:rPr>
          <w:rFonts w:eastAsia="Arial" w:cs="Arial"/>
          <w:spacing w:val="-2"/>
          <w:sz w:val="16"/>
          <w:szCs w:val="16"/>
        </w:rPr>
        <w:t>51 %)</w:t>
      </w:r>
      <w:r>
        <w:rPr>
          <w:rFonts w:eastAsia="Arial" w:cs="Arial"/>
          <w:spacing w:val="-2"/>
          <w:sz w:val="16"/>
          <w:szCs w:val="16"/>
        </w:rPr>
        <w:t>, Jižní Korey</w:t>
      </w:r>
      <w:r w:rsidRPr="007F7DB4">
        <w:rPr>
          <w:rFonts w:eastAsia="Arial" w:cs="Arial"/>
          <w:spacing w:val="-2"/>
          <w:sz w:val="16"/>
          <w:szCs w:val="16"/>
        </w:rPr>
        <w:t xml:space="preserve"> (</w:t>
      </w:r>
      <w:r w:rsidRPr="007F7DB4">
        <w:rPr>
          <w:color w:val="0D0D0D" w:themeColor="text1" w:themeTint="F2"/>
          <w:spacing w:val="-2"/>
          <w:sz w:val="16"/>
          <w:szCs w:val="16"/>
        </w:rPr>
        <w:t>–</w:t>
      </w:r>
      <w:r w:rsidRPr="007F7DB4">
        <w:rPr>
          <w:rFonts w:eastAsia="Arial" w:cs="Arial"/>
          <w:spacing w:val="-2"/>
          <w:sz w:val="16"/>
          <w:szCs w:val="16"/>
        </w:rPr>
        <w:t>29</w:t>
      </w:r>
      <w:r w:rsidRPr="007F7DB4">
        <w:rPr>
          <w:spacing w:val="-2"/>
          <w:sz w:val="16"/>
          <w:szCs w:val="16"/>
        </w:rPr>
        <w:t> </w:t>
      </w:r>
      <w:r w:rsidRPr="007F7DB4">
        <w:rPr>
          <w:rFonts w:eastAsia="Arial" w:cs="Arial"/>
          <w:spacing w:val="-2"/>
          <w:sz w:val="16"/>
          <w:szCs w:val="16"/>
        </w:rPr>
        <w:t>%)</w:t>
      </w:r>
      <w:r>
        <w:rPr>
          <w:rFonts w:eastAsia="Arial" w:cs="Arial"/>
          <w:spacing w:val="-2"/>
          <w:sz w:val="16"/>
          <w:szCs w:val="16"/>
        </w:rPr>
        <w:t xml:space="preserve"> a ze </w:t>
      </w:r>
      <w:r w:rsidRPr="00C8516F">
        <w:rPr>
          <w:rFonts w:eastAsia="Arial" w:cs="Arial"/>
          <w:spacing w:val="-3"/>
          <w:sz w:val="16"/>
          <w:szCs w:val="16"/>
        </w:rPr>
        <w:t>zemí EU nejvíce ze skandinávských států (např. Švédska –38 %).</w:t>
      </w:r>
      <w:r>
        <w:rPr>
          <w:rFonts w:eastAsia="Arial" w:cs="Arial"/>
          <w:spacing w:val="-3"/>
          <w:sz w:val="16"/>
          <w:szCs w:val="16"/>
        </w:rPr>
        <w:t xml:space="preserve"> Naopak poptávka</w:t>
      </w:r>
      <w:r w:rsidRPr="00C8516F">
        <w:rPr>
          <w:rFonts w:eastAsia="Arial" w:cs="Arial"/>
          <w:spacing w:val="-3"/>
          <w:sz w:val="16"/>
          <w:szCs w:val="16"/>
        </w:rPr>
        <w:t xml:space="preserve"> převyšovala v ČR předpandemickou úroveň u občanů všech sousedních států (Slovenska +13 %, Polska +12 %, Rakouska 11 % a Německa +2 %), z dalších v</w:t>
      </w:r>
      <w:r>
        <w:rPr>
          <w:rFonts w:eastAsia="Arial" w:cs="Arial"/>
          <w:spacing w:val="-3"/>
          <w:sz w:val="16"/>
          <w:szCs w:val="16"/>
        </w:rPr>
        <w:t>ýznamných zemí rostla nejvíce u</w:t>
      </w:r>
      <w:r w:rsidRPr="001A321F">
        <w:rPr>
          <w:spacing w:val="-2"/>
          <w:sz w:val="16"/>
          <w:szCs w:val="16"/>
        </w:rPr>
        <w:t> </w:t>
      </w:r>
      <w:r w:rsidRPr="00C8516F">
        <w:rPr>
          <w:rFonts w:eastAsia="Arial" w:cs="Arial"/>
          <w:spacing w:val="-3"/>
          <w:sz w:val="16"/>
          <w:szCs w:val="16"/>
        </w:rPr>
        <w:t>občanů Španělska (+26 %), z mimoevropských zemí relativně nejvíce z</w:t>
      </w:r>
      <w:r>
        <w:rPr>
          <w:rFonts w:eastAsia="Arial" w:cs="Arial"/>
          <w:spacing w:val="-3"/>
          <w:sz w:val="16"/>
          <w:szCs w:val="16"/>
        </w:rPr>
        <w:t>e Spojených arabských emirátů a</w:t>
      </w:r>
      <w:r w:rsidRPr="00590597">
        <w:rPr>
          <w:spacing w:val="-3"/>
          <w:sz w:val="16"/>
          <w:szCs w:val="16"/>
        </w:rPr>
        <w:t> </w:t>
      </w:r>
      <w:r w:rsidRPr="00C8516F">
        <w:rPr>
          <w:rFonts w:eastAsia="Arial" w:cs="Arial"/>
          <w:spacing w:val="-3"/>
          <w:sz w:val="16"/>
          <w:szCs w:val="16"/>
        </w:rPr>
        <w:t>Sa</w:t>
      </w:r>
      <w:r>
        <w:rPr>
          <w:rFonts w:eastAsia="Arial" w:cs="Arial"/>
          <w:spacing w:val="-3"/>
          <w:sz w:val="16"/>
          <w:szCs w:val="16"/>
        </w:rPr>
        <w:t>ú</w:t>
      </w:r>
      <w:r w:rsidRPr="00C8516F">
        <w:rPr>
          <w:rFonts w:eastAsia="Arial" w:cs="Arial"/>
          <w:spacing w:val="-3"/>
          <w:sz w:val="16"/>
          <w:szCs w:val="16"/>
        </w:rPr>
        <w:t>dské Arábie.</w:t>
      </w:r>
    </w:p>
  </w:footnote>
  <w:footnote w:id="32">
    <w:p w14:paraId="46C9A541" w14:textId="77777777" w:rsidR="00BA5125" w:rsidRPr="00F34E27" w:rsidRDefault="00BA5125" w:rsidP="00BA5125">
      <w:pPr>
        <w:pStyle w:val="Textpoznpodarou"/>
        <w:rPr>
          <w:sz w:val="16"/>
          <w:szCs w:val="16"/>
        </w:rPr>
      </w:pPr>
      <w:r w:rsidRPr="00F34E27">
        <w:rPr>
          <w:rStyle w:val="Znakapoznpodarou"/>
          <w:sz w:val="16"/>
          <w:szCs w:val="16"/>
        </w:rPr>
        <w:footnoteRef/>
      </w:r>
      <w:r w:rsidRPr="00F34E27">
        <w:rPr>
          <w:sz w:val="16"/>
          <w:szCs w:val="16"/>
        </w:rPr>
        <w:t xml:space="preserve"> Toto dílčí odvětví, v němž hrají významnou roli drobní podnikatelé, zahrnuje především zprostředkovatelské činnosti, návrhářské, překladatelské a fotografické služby </w:t>
      </w:r>
      <w:r>
        <w:rPr>
          <w:sz w:val="16"/>
          <w:szCs w:val="16"/>
        </w:rPr>
        <w:t>nebo činnosti stavebního dozoru.</w:t>
      </w:r>
    </w:p>
  </w:footnote>
  <w:footnote w:id="33">
    <w:p w14:paraId="40D585C1" w14:textId="77777777" w:rsidR="00BA5125" w:rsidRPr="00590597" w:rsidRDefault="00BA5125" w:rsidP="00BA5125">
      <w:pPr>
        <w:pStyle w:val="Textpoznpodarou"/>
        <w:rPr>
          <w:sz w:val="16"/>
          <w:szCs w:val="16"/>
        </w:rPr>
      </w:pPr>
      <w:r w:rsidRPr="00590597">
        <w:rPr>
          <w:rStyle w:val="Znakapoznpodarou"/>
          <w:sz w:val="16"/>
          <w:szCs w:val="16"/>
        </w:rPr>
        <w:footnoteRef/>
      </w:r>
      <w:r w:rsidRPr="00590597">
        <w:rPr>
          <w:sz w:val="16"/>
          <w:szCs w:val="16"/>
        </w:rPr>
        <w:t xml:space="preserve"> </w:t>
      </w:r>
      <w:r>
        <w:rPr>
          <w:sz w:val="16"/>
          <w:szCs w:val="16"/>
        </w:rPr>
        <w:t>Lépe si vedl segment</w:t>
      </w:r>
      <w:r w:rsidRPr="00590597">
        <w:rPr>
          <w:sz w:val="16"/>
          <w:szCs w:val="16"/>
        </w:rPr>
        <w:t xml:space="preserve"> filmové distribuce. </w:t>
      </w:r>
      <w:r w:rsidRPr="00590597">
        <w:rPr>
          <w:rFonts w:cs="Arial"/>
          <w:color w:val="0D0D0D" w:themeColor="text1" w:themeTint="F2"/>
          <w:spacing w:val="-3"/>
          <w:sz w:val="16"/>
          <w:szCs w:val="16"/>
        </w:rPr>
        <w:t xml:space="preserve">Dle údajů </w:t>
      </w:r>
      <w:r w:rsidRPr="00590597">
        <w:rPr>
          <w:spacing w:val="-3"/>
          <w:sz w:val="16"/>
          <w:szCs w:val="16"/>
        </w:rPr>
        <w:t>Unie filmových distributo</w:t>
      </w:r>
      <w:r>
        <w:rPr>
          <w:spacing w:val="-3"/>
          <w:sz w:val="16"/>
          <w:szCs w:val="16"/>
        </w:rPr>
        <w:t>rů vzrostly loni</w:t>
      </w:r>
      <w:r w:rsidRPr="00590597">
        <w:rPr>
          <w:spacing w:val="-3"/>
          <w:sz w:val="16"/>
          <w:szCs w:val="16"/>
        </w:rPr>
        <w:t xml:space="preserve"> hrubé nominální tržby provozovate</w:t>
      </w:r>
      <w:r>
        <w:rPr>
          <w:spacing w:val="-3"/>
          <w:sz w:val="16"/>
          <w:szCs w:val="16"/>
        </w:rPr>
        <w:t>lů tuzemských kin meziročně o 7,6</w:t>
      </w:r>
      <w:r w:rsidRPr="00590597">
        <w:rPr>
          <w:spacing w:val="-3"/>
          <w:sz w:val="16"/>
          <w:szCs w:val="16"/>
        </w:rPr>
        <w:t xml:space="preserve"> %. Celková návštěv</w:t>
      </w:r>
      <w:r>
        <w:rPr>
          <w:spacing w:val="-3"/>
          <w:sz w:val="16"/>
          <w:szCs w:val="16"/>
        </w:rPr>
        <w:t xml:space="preserve">nost, podobně jako </w:t>
      </w:r>
      <w:r w:rsidRPr="00590597">
        <w:rPr>
          <w:spacing w:val="-3"/>
          <w:sz w:val="16"/>
          <w:szCs w:val="16"/>
        </w:rPr>
        <w:t>počet odehraných představení</w:t>
      </w:r>
      <w:r>
        <w:rPr>
          <w:spacing w:val="-3"/>
          <w:sz w:val="16"/>
          <w:szCs w:val="16"/>
        </w:rPr>
        <w:t>,</w:t>
      </w:r>
      <w:r w:rsidRPr="00590597">
        <w:rPr>
          <w:spacing w:val="-3"/>
          <w:sz w:val="16"/>
          <w:szCs w:val="16"/>
        </w:rPr>
        <w:t xml:space="preserve"> se</w:t>
      </w:r>
      <w:r>
        <w:rPr>
          <w:spacing w:val="-3"/>
          <w:sz w:val="16"/>
          <w:szCs w:val="16"/>
        </w:rPr>
        <w:t xml:space="preserve"> snížily zhruba o 1 %</w:t>
      </w:r>
      <w:r w:rsidRPr="00590597">
        <w:rPr>
          <w:spacing w:val="-3"/>
          <w:sz w:val="16"/>
          <w:szCs w:val="16"/>
        </w:rPr>
        <w:t xml:space="preserve">. Ve srovnání s rekordním rokem 2019 </w:t>
      </w:r>
      <w:r>
        <w:rPr>
          <w:spacing w:val="-3"/>
          <w:sz w:val="16"/>
          <w:szCs w:val="16"/>
        </w:rPr>
        <w:t>ovšem loni</w:t>
      </w:r>
      <w:r w:rsidRPr="00590597">
        <w:rPr>
          <w:spacing w:val="-3"/>
          <w:sz w:val="16"/>
          <w:szCs w:val="16"/>
        </w:rPr>
        <w:t xml:space="preserve"> </w:t>
      </w:r>
      <w:r>
        <w:rPr>
          <w:spacing w:val="-3"/>
          <w:sz w:val="16"/>
          <w:szCs w:val="16"/>
        </w:rPr>
        <w:t xml:space="preserve">stále </w:t>
      </w:r>
      <w:r w:rsidRPr="00590597">
        <w:rPr>
          <w:spacing w:val="-3"/>
          <w:sz w:val="16"/>
          <w:szCs w:val="16"/>
        </w:rPr>
        <w:t>scházela více než čtvrtina diváků.</w:t>
      </w:r>
    </w:p>
  </w:footnote>
  <w:footnote w:id="34">
    <w:p w14:paraId="5A792078" w14:textId="77777777" w:rsidR="00BA5125" w:rsidRPr="00B86BDD" w:rsidRDefault="00BA5125" w:rsidP="00BA5125">
      <w:pPr>
        <w:pStyle w:val="Textpoznpodarou"/>
        <w:rPr>
          <w:sz w:val="16"/>
          <w:szCs w:val="16"/>
        </w:rPr>
      </w:pPr>
      <w:r w:rsidRPr="00B86BDD">
        <w:rPr>
          <w:rStyle w:val="Znakapoznpodarou"/>
          <w:sz w:val="16"/>
          <w:szCs w:val="16"/>
        </w:rPr>
        <w:footnoteRef/>
      </w:r>
      <w:r w:rsidRPr="00B86BDD">
        <w:rPr>
          <w:sz w:val="16"/>
          <w:szCs w:val="16"/>
        </w:rPr>
        <w:t xml:space="preserve"> Zahrnují zejména činnosti webových portálů, zpravodajských tiskových kanceláří a agentur či zpracování dat a hosting.</w:t>
      </w:r>
    </w:p>
  </w:footnote>
  <w:footnote w:id="35">
    <w:p w14:paraId="73DF6FE3" w14:textId="77777777" w:rsidR="00BA5125" w:rsidRPr="00E53523" w:rsidRDefault="00BA5125" w:rsidP="00BA5125">
      <w:pPr>
        <w:pStyle w:val="Textpoznpodarou"/>
        <w:rPr>
          <w:sz w:val="16"/>
          <w:szCs w:val="16"/>
        </w:rPr>
      </w:pPr>
      <w:r w:rsidRPr="00E53523">
        <w:rPr>
          <w:rStyle w:val="Znakapoznpodarou"/>
          <w:sz w:val="16"/>
          <w:szCs w:val="16"/>
        </w:rPr>
        <w:footnoteRef/>
      </w:r>
      <w:r w:rsidRPr="00E53523">
        <w:rPr>
          <w:sz w:val="16"/>
          <w:szCs w:val="16"/>
        </w:rPr>
        <w:t xml:space="preserve"> Pesimismus tuzemských </w:t>
      </w:r>
      <w:r>
        <w:rPr>
          <w:sz w:val="16"/>
          <w:szCs w:val="16"/>
        </w:rPr>
        <w:t xml:space="preserve">spotřebitelů se oproti </w:t>
      </w:r>
      <w:r w:rsidRPr="00E53523">
        <w:rPr>
          <w:sz w:val="16"/>
          <w:szCs w:val="16"/>
        </w:rPr>
        <w:t xml:space="preserve">podzimu </w:t>
      </w:r>
      <w:r>
        <w:rPr>
          <w:sz w:val="16"/>
          <w:szCs w:val="16"/>
        </w:rPr>
        <w:t xml:space="preserve">2022 </w:t>
      </w:r>
      <w:r w:rsidRPr="00E53523">
        <w:rPr>
          <w:sz w:val="16"/>
          <w:szCs w:val="16"/>
        </w:rPr>
        <w:t xml:space="preserve">(kdy byl nejvyšší od konce 90. let) sice </w:t>
      </w:r>
      <w:r>
        <w:rPr>
          <w:sz w:val="16"/>
          <w:szCs w:val="16"/>
        </w:rPr>
        <w:t xml:space="preserve">na počátku loňského roku </w:t>
      </w:r>
      <w:r w:rsidRPr="00E53523">
        <w:rPr>
          <w:sz w:val="16"/>
          <w:szCs w:val="16"/>
        </w:rPr>
        <w:t xml:space="preserve">zmírnil, </w:t>
      </w:r>
      <w:r>
        <w:rPr>
          <w:sz w:val="16"/>
          <w:szCs w:val="16"/>
        </w:rPr>
        <w:t xml:space="preserve">po většinu roku však kolísal ve stále výrazně negativním pásmu (důvěra domácností se nacházela zhruba o desetinu pod dlouhodobým průměrem z let 2003–2023). </w:t>
      </w:r>
      <w:r w:rsidRPr="000119B3">
        <w:rPr>
          <w:sz w:val="16"/>
          <w:szCs w:val="16"/>
        </w:rPr>
        <w:t xml:space="preserve">Obavy lidí z cenového růstu se </w:t>
      </w:r>
      <w:r>
        <w:rPr>
          <w:sz w:val="16"/>
          <w:szCs w:val="16"/>
        </w:rPr>
        <w:t>sice loni</w:t>
      </w:r>
      <w:r w:rsidRPr="000119B3">
        <w:rPr>
          <w:sz w:val="16"/>
          <w:szCs w:val="16"/>
        </w:rPr>
        <w:t xml:space="preserve"> během jara</w:t>
      </w:r>
      <w:r>
        <w:rPr>
          <w:sz w:val="16"/>
          <w:szCs w:val="16"/>
        </w:rPr>
        <w:t xml:space="preserve"> z velké části rozpustily, většina domácností ovšem </w:t>
      </w:r>
      <w:r w:rsidRPr="000119B3">
        <w:rPr>
          <w:sz w:val="16"/>
          <w:szCs w:val="16"/>
        </w:rPr>
        <w:t>stále očekávala, ž</w:t>
      </w:r>
      <w:r>
        <w:rPr>
          <w:sz w:val="16"/>
          <w:szCs w:val="16"/>
        </w:rPr>
        <w:t>e jejich finanční situace (stej</w:t>
      </w:r>
      <w:r w:rsidRPr="000119B3">
        <w:rPr>
          <w:sz w:val="16"/>
          <w:szCs w:val="16"/>
        </w:rPr>
        <w:t>ně jako celková hospodářská situace v</w:t>
      </w:r>
      <w:r>
        <w:rPr>
          <w:sz w:val="16"/>
          <w:szCs w:val="16"/>
        </w:rPr>
        <w:t xml:space="preserve"> Česku) se v nejbližších </w:t>
      </w:r>
      <w:r>
        <w:rPr>
          <w:sz w:val="16"/>
          <w:szCs w:val="16"/>
        </w:rPr>
        <w:br/>
        <w:t>12 měsících zhorší. Lidé tak proto zůstávali</w:t>
      </w:r>
      <w:r w:rsidRPr="000119B3">
        <w:rPr>
          <w:sz w:val="16"/>
          <w:szCs w:val="16"/>
        </w:rPr>
        <w:t xml:space="preserve"> opatrní v oblasti plánování </w:t>
      </w:r>
      <w:r>
        <w:rPr>
          <w:sz w:val="16"/>
          <w:szCs w:val="16"/>
        </w:rPr>
        <w:t xml:space="preserve">velkých nákupů (zejména zboží </w:t>
      </w:r>
      <w:r w:rsidRPr="000119B3">
        <w:rPr>
          <w:sz w:val="16"/>
          <w:szCs w:val="16"/>
        </w:rPr>
        <w:t>dlouhodobé spotřeby či investic).</w:t>
      </w:r>
    </w:p>
  </w:footnote>
  <w:footnote w:id="36">
    <w:p w14:paraId="5DD43E91" w14:textId="77777777" w:rsidR="00BA5125" w:rsidRPr="00712854" w:rsidRDefault="00BA5125" w:rsidP="00BA5125">
      <w:pPr>
        <w:pStyle w:val="Textpoznpodarou"/>
        <w:rPr>
          <w:sz w:val="16"/>
          <w:szCs w:val="16"/>
        </w:rPr>
      </w:pPr>
      <w:r w:rsidRPr="00712854">
        <w:rPr>
          <w:rStyle w:val="Znakapoznpodarou"/>
          <w:sz w:val="16"/>
          <w:szCs w:val="16"/>
        </w:rPr>
        <w:footnoteRef/>
      </w:r>
      <w:r w:rsidRPr="00712854">
        <w:rPr>
          <w:sz w:val="16"/>
          <w:szCs w:val="16"/>
        </w:rPr>
        <w:t xml:space="preserve"> Zvlášť příhodné podmín</w:t>
      </w:r>
      <w:r>
        <w:rPr>
          <w:sz w:val="16"/>
          <w:szCs w:val="16"/>
        </w:rPr>
        <w:t>ky k těmto nákupům skýtalo loňské jaro</w:t>
      </w:r>
      <w:r w:rsidRPr="00712854">
        <w:rPr>
          <w:sz w:val="16"/>
          <w:szCs w:val="16"/>
        </w:rPr>
        <w:t xml:space="preserve">, a to díky </w:t>
      </w:r>
      <w:r>
        <w:rPr>
          <w:sz w:val="16"/>
          <w:szCs w:val="16"/>
        </w:rPr>
        <w:t>souběhu poklesu cen pohonných hmot a</w:t>
      </w:r>
      <w:r w:rsidRPr="00712854">
        <w:rPr>
          <w:sz w:val="16"/>
          <w:szCs w:val="16"/>
        </w:rPr>
        <w:t xml:space="preserve"> velmi příhodnému kurzu koru</w:t>
      </w:r>
      <w:r>
        <w:rPr>
          <w:sz w:val="16"/>
          <w:szCs w:val="16"/>
        </w:rPr>
        <w:t>ny vůči euru i polskému zlotému a také nulové sazby DPH u některých základních potravin v Polsku.</w:t>
      </w:r>
    </w:p>
  </w:footnote>
  <w:footnote w:id="37">
    <w:p w14:paraId="3271181E" w14:textId="77777777" w:rsidR="00BA5125" w:rsidRPr="00EB7D87" w:rsidRDefault="00BA5125" w:rsidP="00BA5125">
      <w:pPr>
        <w:spacing w:after="0" w:line="240" w:lineRule="auto"/>
        <w:rPr>
          <w:spacing w:val="-2"/>
        </w:rPr>
      </w:pPr>
      <w:r w:rsidRPr="00EB7D87">
        <w:rPr>
          <w:rStyle w:val="Znakapoznpodarou"/>
          <w:color w:val="0D0D0D" w:themeColor="text1" w:themeTint="F2"/>
          <w:spacing w:val="-2"/>
          <w:sz w:val="16"/>
          <w:szCs w:val="16"/>
        </w:rPr>
        <w:footnoteRef/>
      </w:r>
      <w:r>
        <w:rPr>
          <w:color w:val="0D0D0D" w:themeColor="text1" w:themeTint="F2"/>
          <w:spacing w:val="-2"/>
          <w:sz w:val="16"/>
          <w:szCs w:val="16"/>
        </w:rPr>
        <w:t xml:space="preserve"> Všechna meziroční</w:t>
      </w:r>
      <w:r w:rsidRPr="00EB7D87">
        <w:rPr>
          <w:color w:val="0D0D0D" w:themeColor="text1" w:themeTint="F2"/>
          <w:spacing w:val="-2"/>
          <w:sz w:val="16"/>
          <w:szCs w:val="16"/>
        </w:rPr>
        <w:t xml:space="preserve"> tempa tržeb za maloobchod jsou uvedena ve stálých cenách a očištěna o kalendářní vlivy, mezičtvrtletní tempa jsou očištěna o sezónní vlivy (včetně vlivu počtu pracovních dnů). Maloobchod zahrnuje odvětví CZ-NACE 47.</w:t>
      </w:r>
    </w:p>
  </w:footnote>
  <w:footnote w:id="38">
    <w:p w14:paraId="37B70FC4" w14:textId="77777777" w:rsidR="00BA5125" w:rsidRPr="00F418C1" w:rsidRDefault="00BA5125" w:rsidP="00BA5125">
      <w:pPr>
        <w:pStyle w:val="Textpoznpodarou"/>
        <w:rPr>
          <w:sz w:val="16"/>
          <w:szCs w:val="16"/>
        </w:rPr>
      </w:pPr>
      <w:r w:rsidRPr="00F418C1">
        <w:rPr>
          <w:rStyle w:val="Znakapoznpodarou"/>
          <w:sz w:val="16"/>
          <w:szCs w:val="16"/>
        </w:rPr>
        <w:footnoteRef/>
      </w:r>
      <w:r w:rsidRPr="00F418C1">
        <w:rPr>
          <w:sz w:val="16"/>
          <w:szCs w:val="16"/>
        </w:rPr>
        <w:t xml:space="preserve"> Ve srovnání se 3. čtvrt</w:t>
      </w:r>
      <w:r>
        <w:rPr>
          <w:sz w:val="16"/>
          <w:szCs w:val="16"/>
        </w:rPr>
        <w:t>letím 2021, kdy se objem tržeb</w:t>
      </w:r>
      <w:r w:rsidRPr="00F418C1">
        <w:rPr>
          <w:sz w:val="16"/>
          <w:szCs w:val="16"/>
        </w:rPr>
        <w:t xml:space="preserve"> nacházel na absolutn</w:t>
      </w:r>
      <w:r>
        <w:rPr>
          <w:sz w:val="16"/>
          <w:szCs w:val="16"/>
        </w:rPr>
        <w:t xml:space="preserve">ím maximu, byla jejich </w:t>
      </w:r>
      <w:r w:rsidRPr="00F418C1">
        <w:rPr>
          <w:sz w:val="16"/>
          <w:szCs w:val="16"/>
        </w:rPr>
        <w:t>úrove</w:t>
      </w:r>
      <w:r>
        <w:rPr>
          <w:sz w:val="16"/>
          <w:szCs w:val="16"/>
        </w:rPr>
        <w:t>ň ve 2. čtvrtletí 2023 o</w:t>
      </w:r>
      <w:r w:rsidRPr="00052DD9">
        <w:rPr>
          <w:sz w:val="16"/>
          <w:szCs w:val="16"/>
        </w:rPr>
        <w:t> </w:t>
      </w:r>
      <w:r>
        <w:rPr>
          <w:sz w:val="16"/>
          <w:szCs w:val="16"/>
        </w:rPr>
        <w:t>více než 10</w:t>
      </w:r>
      <w:r w:rsidRPr="00052DD9">
        <w:rPr>
          <w:sz w:val="16"/>
          <w:szCs w:val="16"/>
        </w:rPr>
        <w:t> </w:t>
      </w:r>
      <w:r w:rsidRPr="00F418C1">
        <w:rPr>
          <w:sz w:val="16"/>
          <w:szCs w:val="16"/>
        </w:rPr>
        <w:t>% nižší. Srovnatelně ve shodném období klesla i kupní síla pr</w:t>
      </w:r>
      <w:r>
        <w:rPr>
          <w:sz w:val="16"/>
          <w:szCs w:val="16"/>
        </w:rPr>
        <w:t>ůměrných mezd.</w:t>
      </w:r>
    </w:p>
  </w:footnote>
  <w:footnote w:id="39">
    <w:p w14:paraId="04E49604" w14:textId="77777777" w:rsidR="00BA5125" w:rsidRPr="00B400F9" w:rsidRDefault="00BA5125" w:rsidP="00BA5125">
      <w:pPr>
        <w:pStyle w:val="Textpoznpodarou"/>
        <w:rPr>
          <w:sz w:val="16"/>
          <w:szCs w:val="16"/>
        </w:rPr>
      </w:pPr>
      <w:r w:rsidRPr="00B400F9">
        <w:rPr>
          <w:rStyle w:val="Znakapoznpodarou"/>
          <w:sz w:val="16"/>
          <w:szCs w:val="16"/>
        </w:rPr>
        <w:footnoteRef/>
      </w:r>
      <w:r w:rsidRPr="00B400F9">
        <w:rPr>
          <w:sz w:val="16"/>
          <w:szCs w:val="16"/>
        </w:rPr>
        <w:t xml:space="preserve"> V mezikvartálním srovnání se tržby za tento typ prode</w:t>
      </w:r>
      <w:r>
        <w:rPr>
          <w:sz w:val="16"/>
          <w:szCs w:val="16"/>
        </w:rPr>
        <w:t>je vrátily k růstu již na jaře</w:t>
      </w:r>
      <w:r w:rsidRPr="00B400F9">
        <w:rPr>
          <w:sz w:val="16"/>
          <w:szCs w:val="16"/>
        </w:rPr>
        <w:t xml:space="preserve"> loňského roku. </w:t>
      </w:r>
    </w:p>
  </w:footnote>
  <w:footnote w:id="40">
    <w:p w14:paraId="505BD9B0" w14:textId="77777777" w:rsidR="00BA5125" w:rsidRPr="00B45636" w:rsidRDefault="00BA5125" w:rsidP="00BA5125">
      <w:pPr>
        <w:pStyle w:val="Textpoznpodarou"/>
        <w:rPr>
          <w:sz w:val="16"/>
          <w:szCs w:val="16"/>
        </w:rPr>
      </w:pPr>
      <w:r w:rsidRPr="00B45636">
        <w:rPr>
          <w:rStyle w:val="Znakapoznpodarou"/>
          <w:sz w:val="16"/>
          <w:szCs w:val="16"/>
        </w:rPr>
        <w:footnoteRef/>
      </w:r>
      <w:r w:rsidRPr="00B45636">
        <w:rPr>
          <w:sz w:val="16"/>
          <w:szCs w:val="16"/>
        </w:rPr>
        <w:t xml:space="preserve"> Mimo specializované prodejny rostly tržby nejvíce </w:t>
      </w:r>
      <w:r w:rsidRPr="00B45636">
        <w:rPr>
          <w:rStyle w:val="normaltextrun"/>
          <w:rFonts w:eastAsia="MS Gothic" w:cs="Arial"/>
          <w:sz w:val="16"/>
          <w:szCs w:val="16"/>
        </w:rPr>
        <w:t xml:space="preserve">v </w:t>
      </w:r>
      <w:r w:rsidRPr="00B45636">
        <w:rPr>
          <w:rFonts w:cs="Arial"/>
          <w:color w:val="0D0D0D" w:themeColor="text1" w:themeTint="F2"/>
          <w:sz w:val="16"/>
          <w:szCs w:val="16"/>
        </w:rPr>
        <w:t xml:space="preserve">malém segmentu ostatního maloobchodu s převahou </w:t>
      </w:r>
      <w:r>
        <w:rPr>
          <w:rFonts w:cs="Arial"/>
          <w:color w:val="0D0D0D" w:themeColor="text1" w:themeTint="F2"/>
          <w:sz w:val="16"/>
          <w:szCs w:val="16"/>
        </w:rPr>
        <w:t>nepotravinářského zboží (+9,6 %).</w:t>
      </w:r>
      <w:r w:rsidRPr="00B45636">
        <w:rPr>
          <w:rFonts w:cs="Arial"/>
          <w:color w:val="0D0D0D" w:themeColor="text1" w:themeTint="F2"/>
          <w:sz w:val="16"/>
          <w:szCs w:val="16"/>
        </w:rPr>
        <w:t xml:space="preserve"> Ten zahrnuje typicky menší provozovny orientované na prodej různorodého drobného zboží, zpravidla ve slevových akcích.</w:t>
      </w:r>
    </w:p>
  </w:footnote>
  <w:footnote w:id="41">
    <w:p w14:paraId="6EBB24A7" w14:textId="77777777" w:rsidR="00BA5125" w:rsidRPr="00816777" w:rsidRDefault="00BA5125" w:rsidP="00BA5125">
      <w:pPr>
        <w:pStyle w:val="Textpoznpodarou"/>
        <w:rPr>
          <w:sz w:val="16"/>
          <w:szCs w:val="16"/>
        </w:rPr>
      </w:pPr>
      <w:r w:rsidRPr="00816777">
        <w:rPr>
          <w:rStyle w:val="Znakapoznpodarou"/>
          <w:sz w:val="16"/>
          <w:szCs w:val="16"/>
        </w:rPr>
        <w:footnoteRef/>
      </w:r>
      <w:r w:rsidRPr="00816777">
        <w:rPr>
          <w:sz w:val="16"/>
          <w:szCs w:val="16"/>
        </w:rPr>
        <w:t xml:space="preserve"> Ty spolu s </w:t>
      </w:r>
      <w:r w:rsidRPr="00816777">
        <w:rPr>
          <w:rFonts w:cs="Arial"/>
          <w:color w:val="0D0D0D" w:themeColor="text1" w:themeTint="F2"/>
          <w:sz w:val="16"/>
          <w:szCs w:val="16"/>
        </w:rPr>
        <w:t xml:space="preserve">kosmetickými a toaletními výrobky představovaly jedinou oblast maloobchodu, v níž tržby </w:t>
      </w:r>
      <w:r>
        <w:rPr>
          <w:rFonts w:cs="Arial"/>
          <w:color w:val="0D0D0D" w:themeColor="text1" w:themeTint="F2"/>
          <w:sz w:val="16"/>
          <w:szCs w:val="16"/>
        </w:rPr>
        <w:t xml:space="preserve">loni </w:t>
      </w:r>
      <w:r w:rsidRPr="00816777">
        <w:rPr>
          <w:rFonts w:cs="Arial"/>
          <w:color w:val="0D0D0D" w:themeColor="text1" w:themeTint="F2"/>
          <w:sz w:val="16"/>
          <w:szCs w:val="16"/>
        </w:rPr>
        <w:t>ve 4. čtvrtletí</w:t>
      </w:r>
      <w:r>
        <w:rPr>
          <w:rFonts w:cs="Arial"/>
          <w:color w:val="0D0D0D" w:themeColor="text1" w:themeTint="F2"/>
          <w:sz w:val="16"/>
          <w:szCs w:val="16"/>
        </w:rPr>
        <w:t xml:space="preserve"> vystoupaly reálně na maximum za</w:t>
      </w:r>
      <w:r w:rsidRPr="00816777">
        <w:rPr>
          <w:rFonts w:cs="Arial"/>
          <w:color w:val="0D0D0D" w:themeColor="text1" w:themeTint="F2"/>
          <w:sz w:val="16"/>
          <w:szCs w:val="16"/>
        </w:rPr>
        <w:t> </w:t>
      </w:r>
      <w:r>
        <w:rPr>
          <w:rFonts w:cs="Arial"/>
          <w:color w:val="0D0D0D" w:themeColor="text1" w:themeTint="F2"/>
          <w:sz w:val="16"/>
          <w:szCs w:val="16"/>
        </w:rPr>
        <w:t>celou</w:t>
      </w:r>
      <w:r w:rsidRPr="00816777">
        <w:rPr>
          <w:rFonts w:cs="Arial"/>
          <w:color w:val="0D0D0D" w:themeColor="text1" w:themeTint="F2"/>
          <w:sz w:val="16"/>
          <w:szCs w:val="16"/>
        </w:rPr>
        <w:t xml:space="preserve"> </w:t>
      </w:r>
      <w:r>
        <w:rPr>
          <w:rFonts w:cs="Arial"/>
          <w:color w:val="0D0D0D" w:themeColor="text1" w:themeTint="F2"/>
          <w:sz w:val="16"/>
          <w:szCs w:val="16"/>
        </w:rPr>
        <w:t>sledovanou časovou řadu</w:t>
      </w:r>
      <w:r w:rsidRPr="00816777">
        <w:rPr>
          <w:rFonts w:cs="Arial"/>
          <w:color w:val="0D0D0D" w:themeColor="text1" w:themeTint="F2"/>
          <w:sz w:val="16"/>
          <w:szCs w:val="16"/>
        </w:rPr>
        <w:t xml:space="preserve"> (od roku 2000).</w:t>
      </w:r>
    </w:p>
  </w:footnote>
  <w:footnote w:id="42">
    <w:p w14:paraId="1C7A1434" w14:textId="77777777" w:rsidR="00BA5125" w:rsidRPr="00460A5B" w:rsidRDefault="00BA5125" w:rsidP="00BA5125">
      <w:pPr>
        <w:pStyle w:val="Textpoznpodarou"/>
        <w:rPr>
          <w:sz w:val="16"/>
          <w:szCs w:val="16"/>
        </w:rPr>
      </w:pPr>
      <w:r w:rsidRPr="00460A5B">
        <w:rPr>
          <w:rStyle w:val="Znakapoznpodarou"/>
          <w:sz w:val="16"/>
          <w:szCs w:val="16"/>
        </w:rPr>
        <w:footnoteRef/>
      </w:r>
      <w:r w:rsidRPr="00460A5B">
        <w:rPr>
          <w:sz w:val="16"/>
          <w:szCs w:val="16"/>
        </w:rPr>
        <w:t xml:space="preserve"> K utlumené spotřebitelské </w:t>
      </w:r>
      <w:r>
        <w:rPr>
          <w:sz w:val="16"/>
          <w:szCs w:val="16"/>
        </w:rPr>
        <w:t>poptávce za oděvy,</w:t>
      </w:r>
      <w:r w:rsidRPr="00460A5B">
        <w:rPr>
          <w:sz w:val="16"/>
          <w:szCs w:val="16"/>
        </w:rPr>
        <w:t xml:space="preserve"> obuv a kožené zboží </w:t>
      </w:r>
      <w:r>
        <w:rPr>
          <w:sz w:val="16"/>
          <w:szCs w:val="16"/>
        </w:rPr>
        <w:t xml:space="preserve">patrně </w:t>
      </w:r>
      <w:r w:rsidRPr="00460A5B">
        <w:rPr>
          <w:sz w:val="16"/>
          <w:szCs w:val="16"/>
        </w:rPr>
        <w:t>přispíval i přetrvávající svižný cenový růst</w:t>
      </w:r>
      <w:r>
        <w:rPr>
          <w:sz w:val="16"/>
          <w:szCs w:val="16"/>
        </w:rPr>
        <w:t xml:space="preserve"> tohoto sortimentu</w:t>
      </w:r>
      <w:r w:rsidRPr="00460A5B">
        <w:rPr>
          <w:sz w:val="16"/>
          <w:szCs w:val="16"/>
        </w:rPr>
        <w:t xml:space="preserve"> (ve 4. čtvrtletí se pohyboval me</w:t>
      </w:r>
      <w:r>
        <w:rPr>
          <w:sz w:val="16"/>
          <w:szCs w:val="16"/>
        </w:rPr>
        <w:t>ziročně kolem 7 % a dosáhl maxima</w:t>
      </w:r>
      <w:r w:rsidRPr="00460A5B">
        <w:rPr>
          <w:sz w:val="16"/>
          <w:szCs w:val="16"/>
        </w:rPr>
        <w:t xml:space="preserve"> ze všech sledovaných segmentů maloobchodu). </w:t>
      </w:r>
      <w:r>
        <w:rPr>
          <w:sz w:val="16"/>
          <w:szCs w:val="16"/>
        </w:rPr>
        <w:t>Oproti 4. čtvrtletí 2019 byly tržby za tento sortiment reálně o celou čtvrtinu nižší.</w:t>
      </w:r>
      <w:r w:rsidRPr="00460A5B">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77777777" w:rsidR="00BA5125" w:rsidRDefault="00BA5125" w:rsidP="00937AE2">
    <w:pPr>
      <w:pStyle w:val="Zhlav"/>
    </w:pPr>
    <w:r>
      <w:t>Vývoj ekonomiky České republiky</w:t>
    </w:r>
  </w:p>
  <w:p w14:paraId="3E881AB3" w14:textId="77777777" w:rsidR="00BA5125" w:rsidRPr="006F5416" w:rsidRDefault="00BA5125"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7777777" w:rsidR="00BA5125" w:rsidRDefault="00BA5125" w:rsidP="00937AE2">
    <w:pPr>
      <w:pStyle w:val="Zhlav"/>
    </w:pPr>
    <w:r>
      <w:t>Vývoj ekonomiky České republiky</w:t>
    </w:r>
  </w:p>
  <w:p w14:paraId="57266714" w14:textId="77777777" w:rsidR="00BA5125" w:rsidRPr="006F5416" w:rsidRDefault="00BA5125"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5pt;height:11.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5764B"/>
    <w:multiLevelType w:val="hybridMultilevel"/>
    <w:tmpl w:val="84788BC8"/>
    <w:lvl w:ilvl="0" w:tplc="1B96A2C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5" w15:restartNumberingAfterBreak="0">
    <w:nsid w:val="1B2A5724"/>
    <w:multiLevelType w:val="hybridMultilevel"/>
    <w:tmpl w:val="0EA8A7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5C59E0"/>
    <w:multiLevelType w:val="multilevel"/>
    <w:tmpl w:val="74A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CAB4B86"/>
    <w:multiLevelType w:val="multilevel"/>
    <w:tmpl w:val="52D0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5280B15"/>
    <w:multiLevelType w:val="hybridMultilevel"/>
    <w:tmpl w:val="5156A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66C06F7"/>
    <w:multiLevelType w:val="multilevel"/>
    <w:tmpl w:val="AF4E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841503"/>
    <w:multiLevelType w:val="hybridMultilevel"/>
    <w:tmpl w:val="322E8B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D23EC3"/>
    <w:multiLevelType w:val="hybridMultilevel"/>
    <w:tmpl w:val="B65A48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95236EE"/>
    <w:multiLevelType w:val="hybridMultilevel"/>
    <w:tmpl w:val="CC2A15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3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79678F7"/>
    <w:multiLevelType w:val="hybridMultilevel"/>
    <w:tmpl w:val="A4DE7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84077D1"/>
    <w:multiLevelType w:val="multilevel"/>
    <w:tmpl w:val="B708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7"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8567A6"/>
    <w:multiLevelType w:val="hybridMultilevel"/>
    <w:tmpl w:val="50E0F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69A0FF0"/>
    <w:multiLevelType w:val="hybridMultilevel"/>
    <w:tmpl w:val="3D88D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67F0B9"/>
    <w:multiLevelType w:val="hybridMultilevel"/>
    <w:tmpl w:val="9B0C99B6"/>
    <w:lvl w:ilvl="0" w:tplc="5FC8F242">
      <w:start w:val="1"/>
      <w:numFmt w:val="bullet"/>
      <w:lvlText w:val=""/>
      <w:lvlJc w:val="left"/>
      <w:pPr>
        <w:ind w:left="720" w:hanging="360"/>
      </w:pPr>
      <w:rPr>
        <w:rFonts w:ascii="Symbol" w:hAnsi="Symbol" w:hint="default"/>
      </w:rPr>
    </w:lvl>
    <w:lvl w:ilvl="1" w:tplc="5E7298D6">
      <w:start w:val="1"/>
      <w:numFmt w:val="bullet"/>
      <w:lvlText w:val="o"/>
      <w:lvlJc w:val="left"/>
      <w:pPr>
        <w:ind w:left="1440" w:hanging="360"/>
      </w:pPr>
      <w:rPr>
        <w:rFonts w:ascii="Courier New" w:hAnsi="Courier New" w:hint="default"/>
      </w:rPr>
    </w:lvl>
    <w:lvl w:ilvl="2" w:tplc="F418EABE">
      <w:start w:val="1"/>
      <w:numFmt w:val="bullet"/>
      <w:lvlText w:val=""/>
      <w:lvlJc w:val="left"/>
      <w:pPr>
        <w:ind w:left="2160" w:hanging="360"/>
      </w:pPr>
      <w:rPr>
        <w:rFonts w:ascii="Wingdings" w:hAnsi="Wingdings" w:hint="default"/>
      </w:rPr>
    </w:lvl>
    <w:lvl w:ilvl="3" w:tplc="0F78DB5E">
      <w:start w:val="1"/>
      <w:numFmt w:val="bullet"/>
      <w:lvlText w:val=""/>
      <w:lvlJc w:val="left"/>
      <w:pPr>
        <w:ind w:left="2880" w:hanging="360"/>
      </w:pPr>
      <w:rPr>
        <w:rFonts w:ascii="Symbol" w:hAnsi="Symbol" w:hint="default"/>
      </w:rPr>
    </w:lvl>
    <w:lvl w:ilvl="4" w:tplc="29062F28">
      <w:start w:val="1"/>
      <w:numFmt w:val="bullet"/>
      <w:lvlText w:val="o"/>
      <w:lvlJc w:val="left"/>
      <w:pPr>
        <w:ind w:left="3600" w:hanging="360"/>
      </w:pPr>
      <w:rPr>
        <w:rFonts w:ascii="Courier New" w:hAnsi="Courier New" w:hint="default"/>
      </w:rPr>
    </w:lvl>
    <w:lvl w:ilvl="5" w:tplc="A1920AAC">
      <w:start w:val="1"/>
      <w:numFmt w:val="bullet"/>
      <w:lvlText w:val=""/>
      <w:lvlJc w:val="left"/>
      <w:pPr>
        <w:ind w:left="4320" w:hanging="360"/>
      </w:pPr>
      <w:rPr>
        <w:rFonts w:ascii="Wingdings" w:hAnsi="Wingdings" w:hint="default"/>
      </w:rPr>
    </w:lvl>
    <w:lvl w:ilvl="6" w:tplc="E4A63608">
      <w:start w:val="1"/>
      <w:numFmt w:val="bullet"/>
      <w:lvlText w:val=""/>
      <w:lvlJc w:val="left"/>
      <w:pPr>
        <w:ind w:left="5040" w:hanging="360"/>
      </w:pPr>
      <w:rPr>
        <w:rFonts w:ascii="Symbol" w:hAnsi="Symbol" w:hint="default"/>
      </w:rPr>
    </w:lvl>
    <w:lvl w:ilvl="7" w:tplc="320420C0">
      <w:start w:val="1"/>
      <w:numFmt w:val="bullet"/>
      <w:lvlText w:val="o"/>
      <w:lvlJc w:val="left"/>
      <w:pPr>
        <w:ind w:left="5760" w:hanging="360"/>
      </w:pPr>
      <w:rPr>
        <w:rFonts w:ascii="Courier New" w:hAnsi="Courier New" w:hint="default"/>
      </w:rPr>
    </w:lvl>
    <w:lvl w:ilvl="8" w:tplc="F24CCE7A">
      <w:start w:val="1"/>
      <w:numFmt w:val="bullet"/>
      <w:lvlText w:val=""/>
      <w:lvlJc w:val="left"/>
      <w:pPr>
        <w:ind w:left="6480" w:hanging="360"/>
      </w:pPr>
      <w:rPr>
        <w:rFonts w:ascii="Wingdings" w:hAnsi="Wingdings" w:hint="default"/>
      </w:rPr>
    </w:lvl>
  </w:abstractNum>
  <w:abstractNum w:abstractNumId="43" w15:restartNumberingAfterBreak="0">
    <w:nsid w:val="71CC6022"/>
    <w:multiLevelType w:val="multilevel"/>
    <w:tmpl w:val="70CA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E819D0"/>
    <w:multiLevelType w:val="multilevel"/>
    <w:tmpl w:val="DBAA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37"/>
  </w:num>
  <w:num w:numId="14">
    <w:abstractNumId w:val="14"/>
  </w:num>
  <w:num w:numId="15">
    <w:abstractNumId w:val="23"/>
  </w:num>
  <w:num w:numId="16">
    <w:abstractNumId w:val="18"/>
  </w:num>
  <w:num w:numId="17">
    <w:abstractNumId w:val="38"/>
  </w:num>
  <w:num w:numId="18">
    <w:abstractNumId w:val="29"/>
  </w:num>
  <w:num w:numId="19">
    <w:abstractNumId w:val="41"/>
  </w:num>
  <w:num w:numId="20">
    <w:abstractNumId w:val="44"/>
  </w:num>
  <w:num w:numId="21">
    <w:abstractNumId w:val="36"/>
  </w:num>
  <w:num w:numId="22">
    <w:abstractNumId w:val="22"/>
  </w:num>
  <w:num w:numId="23">
    <w:abstractNumId w:val="19"/>
  </w:num>
  <w:num w:numId="24">
    <w:abstractNumId w:val="20"/>
  </w:num>
  <w:num w:numId="25">
    <w:abstractNumId w:val="13"/>
  </w:num>
  <w:num w:numId="26">
    <w:abstractNumId w:val="31"/>
  </w:num>
  <w:num w:numId="27">
    <w:abstractNumId w:val="30"/>
  </w:num>
  <w:num w:numId="28">
    <w:abstractNumId w:val="10"/>
  </w:num>
  <w:num w:numId="29">
    <w:abstractNumId w:val="44"/>
  </w:num>
  <w:num w:numId="30">
    <w:abstractNumId w:val="32"/>
  </w:num>
  <w:num w:numId="31">
    <w:abstractNumId w:val="12"/>
  </w:num>
  <w:num w:numId="32">
    <w:abstractNumId w:val="46"/>
  </w:num>
  <w:num w:numId="33">
    <w:abstractNumId w:val="44"/>
  </w:num>
  <w:num w:numId="34">
    <w:abstractNumId w:val="11"/>
  </w:num>
  <w:num w:numId="35">
    <w:abstractNumId w:val="39"/>
  </w:num>
  <w:num w:numId="36">
    <w:abstractNumId w:val="33"/>
  </w:num>
  <w:num w:numId="37">
    <w:abstractNumId w:val="24"/>
  </w:num>
  <w:num w:numId="38">
    <w:abstractNumId w:val="28"/>
  </w:num>
  <w:num w:numId="39">
    <w:abstractNumId w:val="15"/>
  </w:num>
  <w:num w:numId="40">
    <w:abstractNumId w:val="26"/>
  </w:num>
  <w:num w:numId="41">
    <w:abstractNumId w:val="27"/>
  </w:num>
  <w:num w:numId="42">
    <w:abstractNumId w:val="45"/>
  </w:num>
  <w:num w:numId="43">
    <w:abstractNumId w:val="25"/>
  </w:num>
  <w:num w:numId="44">
    <w:abstractNumId w:val="16"/>
  </w:num>
  <w:num w:numId="45">
    <w:abstractNumId w:val="21"/>
  </w:num>
  <w:num w:numId="46">
    <w:abstractNumId w:val="35"/>
  </w:num>
  <w:num w:numId="47">
    <w:abstractNumId w:val="43"/>
  </w:num>
  <w:num w:numId="48">
    <w:abstractNumId w:val="40"/>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994"/>
    <w:rsid w:val="00000B55"/>
    <w:rsid w:val="0000209D"/>
    <w:rsid w:val="00002566"/>
    <w:rsid w:val="0000370A"/>
    <w:rsid w:val="00003849"/>
    <w:rsid w:val="00003F5C"/>
    <w:rsid w:val="00004D5A"/>
    <w:rsid w:val="00005219"/>
    <w:rsid w:val="000056D5"/>
    <w:rsid w:val="00005D9E"/>
    <w:rsid w:val="000063D5"/>
    <w:rsid w:val="00006625"/>
    <w:rsid w:val="00006ABD"/>
    <w:rsid w:val="00006B67"/>
    <w:rsid w:val="00006C0B"/>
    <w:rsid w:val="000073A0"/>
    <w:rsid w:val="0000767A"/>
    <w:rsid w:val="00007ABE"/>
    <w:rsid w:val="00010107"/>
    <w:rsid w:val="00010256"/>
    <w:rsid w:val="00010702"/>
    <w:rsid w:val="00010A2C"/>
    <w:rsid w:val="0001128E"/>
    <w:rsid w:val="00011912"/>
    <w:rsid w:val="000129B7"/>
    <w:rsid w:val="0001387D"/>
    <w:rsid w:val="00014ED0"/>
    <w:rsid w:val="00016420"/>
    <w:rsid w:val="00016BDB"/>
    <w:rsid w:val="00017B01"/>
    <w:rsid w:val="000200BE"/>
    <w:rsid w:val="000205D1"/>
    <w:rsid w:val="00020F22"/>
    <w:rsid w:val="0002195D"/>
    <w:rsid w:val="00021F9B"/>
    <w:rsid w:val="000228AE"/>
    <w:rsid w:val="000233D1"/>
    <w:rsid w:val="000234D6"/>
    <w:rsid w:val="00023D29"/>
    <w:rsid w:val="00024348"/>
    <w:rsid w:val="00026109"/>
    <w:rsid w:val="0002622B"/>
    <w:rsid w:val="000262B5"/>
    <w:rsid w:val="00026389"/>
    <w:rsid w:val="0002669F"/>
    <w:rsid w:val="000279E5"/>
    <w:rsid w:val="000305E0"/>
    <w:rsid w:val="00031AE0"/>
    <w:rsid w:val="00031BB2"/>
    <w:rsid w:val="000322EF"/>
    <w:rsid w:val="00032C3C"/>
    <w:rsid w:val="00033FCD"/>
    <w:rsid w:val="000348AF"/>
    <w:rsid w:val="00034B70"/>
    <w:rsid w:val="00034DF7"/>
    <w:rsid w:val="00034E68"/>
    <w:rsid w:val="000350C8"/>
    <w:rsid w:val="00036195"/>
    <w:rsid w:val="000374B2"/>
    <w:rsid w:val="000376C0"/>
    <w:rsid w:val="000403A7"/>
    <w:rsid w:val="00040632"/>
    <w:rsid w:val="00041AFC"/>
    <w:rsid w:val="00041CEC"/>
    <w:rsid w:val="00041D02"/>
    <w:rsid w:val="00042596"/>
    <w:rsid w:val="00042A4A"/>
    <w:rsid w:val="00044183"/>
    <w:rsid w:val="0004431D"/>
    <w:rsid w:val="00044AAC"/>
    <w:rsid w:val="0004694F"/>
    <w:rsid w:val="00046F2F"/>
    <w:rsid w:val="000472CA"/>
    <w:rsid w:val="00047AD4"/>
    <w:rsid w:val="00047D54"/>
    <w:rsid w:val="00050541"/>
    <w:rsid w:val="0005054A"/>
    <w:rsid w:val="00050A87"/>
    <w:rsid w:val="00051506"/>
    <w:rsid w:val="000522E4"/>
    <w:rsid w:val="00053713"/>
    <w:rsid w:val="0005434E"/>
    <w:rsid w:val="00055CB6"/>
    <w:rsid w:val="000572DD"/>
    <w:rsid w:val="00057B1E"/>
    <w:rsid w:val="0006033F"/>
    <w:rsid w:val="000610E1"/>
    <w:rsid w:val="000616AD"/>
    <w:rsid w:val="000622A6"/>
    <w:rsid w:val="00062D70"/>
    <w:rsid w:val="00062EC5"/>
    <w:rsid w:val="00062F22"/>
    <w:rsid w:val="00063975"/>
    <w:rsid w:val="00063CEA"/>
    <w:rsid w:val="0006444D"/>
    <w:rsid w:val="000645FC"/>
    <w:rsid w:val="00065296"/>
    <w:rsid w:val="0006533F"/>
    <w:rsid w:val="00065348"/>
    <w:rsid w:val="0006551C"/>
    <w:rsid w:val="0006558D"/>
    <w:rsid w:val="00065A75"/>
    <w:rsid w:val="000663F0"/>
    <w:rsid w:val="00066558"/>
    <w:rsid w:val="000671DB"/>
    <w:rsid w:val="00067363"/>
    <w:rsid w:val="00067982"/>
    <w:rsid w:val="00070A87"/>
    <w:rsid w:val="000712B3"/>
    <w:rsid w:val="00071A7C"/>
    <w:rsid w:val="00071E38"/>
    <w:rsid w:val="00072FF5"/>
    <w:rsid w:val="00073A5A"/>
    <w:rsid w:val="0007474E"/>
    <w:rsid w:val="00074988"/>
    <w:rsid w:val="0007512B"/>
    <w:rsid w:val="00075551"/>
    <w:rsid w:val="000767F5"/>
    <w:rsid w:val="00076D90"/>
    <w:rsid w:val="00077FF0"/>
    <w:rsid w:val="00081A55"/>
    <w:rsid w:val="0008263E"/>
    <w:rsid w:val="00082C19"/>
    <w:rsid w:val="00082F89"/>
    <w:rsid w:val="00083457"/>
    <w:rsid w:val="000834ED"/>
    <w:rsid w:val="000837CD"/>
    <w:rsid w:val="00083B7F"/>
    <w:rsid w:val="00084BFF"/>
    <w:rsid w:val="00085395"/>
    <w:rsid w:val="00086896"/>
    <w:rsid w:val="00086AC1"/>
    <w:rsid w:val="00086D19"/>
    <w:rsid w:val="00087634"/>
    <w:rsid w:val="00087F2B"/>
    <w:rsid w:val="00090694"/>
    <w:rsid w:val="00090EE2"/>
    <w:rsid w:val="00090FC6"/>
    <w:rsid w:val="0009122C"/>
    <w:rsid w:val="000913B1"/>
    <w:rsid w:val="0009290F"/>
    <w:rsid w:val="00093241"/>
    <w:rsid w:val="00093868"/>
    <w:rsid w:val="00094A84"/>
    <w:rsid w:val="00095025"/>
    <w:rsid w:val="00095135"/>
    <w:rsid w:val="00095152"/>
    <w:rsid w:val="0009626E"/>
    <w:rsid w:val="0009644D"/>
    <w:rsid w:val="00097191"/>
    <w:rsid w:val="000974D1"/>
    <w:rsid w:val="00097784"/>
    <w:rsid w:val="0009799E"/>
    <w:rsid w:val="000A07CB"/>
    <w:rsid w:val="000A0BC0"/>
    <w:rsid w:val="000A1183"/>
    <w:rsid w:val="000A12ED"/>
    <w:rsid w:val="000A1D49"/>
    <w:rsid w:val="000A212B"/>
    <w:rsid w:val="000A242D"/>
    <w:rsid w:val="000A256D"/>
    <w:rsid w:val="000A2643"/>
    <w:rsid w:val="000A2E5F"/>
    <w:rsid w:val="000A385C"/>
    <w:rsid w:val="000A3A2C"/>
    <w:rsid w:val="000A3D9E"/>
    <w:rsid w:val="000A4A54"/>
    <w:rsid w:val="000A4ED9"/>
    <w:rsid w:val="000A5DB7"/>
    <w:rsid w:val="000A6753"/>
    <w:rsid w:val="000A6D94"/>
    <w:rsid w:val="000A72BC"/>
    <w:rsid w:val="000A7377"/>
    <w:rsid w:val="000A74A4"/>
    <w:rsid w:val="000A775A"/>
    <w:rsid w:val="000A7D63"/>
    <w:rsid w:val="000A7FF4"/>
    <w:rsid w:val="000B03CC"/>
    <w:rsid w:val="000B4212"/>
    <w:rsid w:val="000B67B7"/>
    <w:rsid w:val="000B6A0A"/>
    <w:rsid w:val="000C0127"/>
    <w:rsid w:val="000C0CA6"/>
    <w:rsid w:val="000C0EA8"/>
    <w:rsid w:val="000C13A2"/>
    <w:rsid w:val="000C21E7"/>
    <w:rsid w:val="000C23EC"/>
    <w:rsid w:val="000C26A2"/>
    <w:rsid w:val="000C290E"/>
    <w:rsid w:val="000C30C3"/>
    <w:rsid w:val="000C3408"/>
    <w:rsid w:val="000C35AB"/>
    <w:rsid w:val="000C3F7B"/>
    <w:rsid w:val="000C4769"/>
    <w:rsid w:val="000C4D56"/>
    <w:rsid w:val="000C52FC"/>
    <w:rsid w:val="000C5DFA"/>
    <w:rsid w:val="000C6AFD"/>
    <w:rsid w:val="000C6C90"/>
    <w:rsid w:val="000C72B7"/>
    <w:rsid w:val="000C7A79"/>
    <w:rsid w:val="000D0A26"/>
    <w:rsid w:val="000D13CB"/>
    <w:rsid w:val="000D2196"/>
    <w:rsid w:val="000D2C2E"/>
    <w:rsid w:val="000D3058"/>
    <w:rsid w:val="000D310A"/>
    <w:rsid w:val="000D3EF4"/>
    <w:rsid w:val="000D4761"/>
    <w:rsid w:val="000D4DC0"/>
    <w:rsid w:val="000D55BA"/>
    <w:rsid w:val="000D5637"/>
    <w:rsid w:val="000D5A03"/>
    <w:rsid w:val="000D5ED3"/>
    <w:rsid w:val="000D6F4E"/>
    <w:rsid w:val="000D6FDA"/>
    <w:rsid w:val="000D73BB"/>
    <w:rsid w:val="000D7AC7"/>
    <w:rsid w:val="000D7C6F"/>
    <w:rsid w:val="000E04FD"/>
    <w:rsid w:val="000E0E96"/>
    <w:rsid w:val="000E298B"/>
    <w:rsid w:val="000E2C7D"/>
    <w:rsid w:val="000E3E56"/>
    <w:rsid w:val="000E440D"/>
    <w:rsid w:val="000E4AC5"/>
    <w:rsid w:val="000E6253"/>
    <w:rsid w:val="000E6AC4"/>
    <w:rsid w:val="000E6E4D"/>
    <w:rsid w:val="000E6FBD"/>
    <w:rsid w:val="000E6FCB"/>
    <w:rsid w:val="000F0848"/>
    <w:rsid w:val="000F090B"/>
    <w:rsid w:val="000F0E42"/>
    <w:rsid w:val="000F15F7"/>
    <w:rsid w:val="000F1AA2"/>
    <w:rsid w:val="000F378E"/>
    <w:rsid w:val="000F3F3B"/>
    <w:rsid w:val="000F4721"/>
    <w:rsid w:val="000F47E8"/>
    <w:rsid w:val="000F70E4"/>
    <w:rsid w:val="000F76EA"/>
    <w:rsid w:val="00100A8B"/>
    <w:rsid w:val="00100F5C"/>
    <w:rsid w:val="00101B15"/>
    <w:rsid w:val="00101CDA"/>
    <w:rsid w:val="00102037"/>
    <w:rsid w:val="00103DCB"/>
    <w:rsid w:val="00104C4C"/>
    <w:rsid w:val="00105015"/>
    <w:rsid w:val="001055D2"/>
    <w:rsid w:val="001057C2"/>
    <w:rsid w:val="00106BCC"/>
    <w:rsid w:val="00107124"/>
    <w:rsid w:val="0011038E"/>
    <w:rsid w:val="0011055D"/>
    <w:rsid w:val="00111573"/>
    <w:rsid w:val="00112370"/>
    <w:rsid w:val="0011239B"/>
    <w:rsid w:val="001125EF"/>
    <w:rsid w:val="00112CAB"/>
    <w:rsid w:val="0011440C"/>
    <w:rsid w:val="00114C33"/>
    <w:rsid w:val="00114D5B"/>
    <w:rsid w:val="00116D3F"/>
    <w:rsid w:val="00117474"/>
    <w:rsid w:val="00117623"/>
    <w:rsid w:val="00117FEA"/>
    <w:rsid w:val="001200CF"/>
    <w:rsid w:val="001208E3"/>
    <w:rsid w:val="001211F9"/>
    <w:rsid w:val="00121609"/>
    <w:rsid w:val="0012192F"/>
    <w:rsid w:val="00122994"/>
    <w:rsid w:val="00123204"/>
    <w:rsid w:val="00124B46"/>
    <w:rsid w:val="001257BE"/>
    <w:rsid w:val="001257E0"/>
    <w:rsid w:val="00125D69"/>
    <w:rsid w:val="0012799C"/>
    <w:rsid w:val="00127BC2"/>
    <w:rsid w:val="00127E15"/>
    <w:rsid w:val="001308F1"/>
    <w:rsid w:val="00130ADC"/>
    <w:rsid w:val="00130D9F"/>
    <w:rsid w:val="00132C4D"/>
    <w:rsid w:val="00133FC1"/>
    <w:rsid w:val="00134659"/>
    <w:rsid w:val="00135111"/>
    <w:rsid w:val="00135376"/>
    <w:rsid w:val="00136A6F"/>
    <w:rsid w:val="00136C1A"/>
    <w:rsid w:val="00137812"/>
    <w:rsid w:val="00137F06"/>
    <w:rsid w:val="001405FA"/>
    <w:rsid w:val="00140D1A"/>
    <w:rsid w:val="00141184"/>
    <w:rsid w:val="00141315"/>
    <w:rsid w:val="0014152B"/>
    <w:rsid w:val="00141AA0"/>
    <w:rsid w:val="001425C3"/>
    <w:rsid w:val="0014262D"/>
    <w:rsid w:val="00142B29"/>
    <w:rsid w:val="00143EED"/>
    <w:rsid w:val="00144108"/>
    <w:rsid w:val="00144588"/>
    <w:rsid w:val="001447DD"/>
    <w:rsid w:val="00145358"/>
    <w:rsid w:val="001459BC"/>
    <w:rsid w:val="0014779E"/>
    <w:rsid w:val="00147B13"/>
    <w:rsid w:val="00150ECA"/>
    <w:rsid w:val="0015108F"/>
    <w:rsid w:val="00151707"/>
    <w:rsid w:val="00152C86"/>
    <w:rsid w:val="00152EBC"/>
    <w:rsid w:val="00152F4F"/>
    <w:rsid w:val="00153264"/>
    <w:rsid w:val="0015329F"/>
    <w:rsid w:val="001544A1"/>
    <w:rsid w:val="001553B8"/>
    <w:rsid w:val="001554C2"/>
    <w:rsid w:val="00156D04"/>
    <w:rsid w:val="001571C0"/>
    <w:rsid w:val="001574FE"/>
    <w:rsid w:val="0015753D"/>
    <w:rsid w:val="00157984"/>
    <w:rsid w:val="00157CC9"/>
    <w:rsid w:val="00160C21"/>
    <w:rsid w:val="001612F4"/>
    <w:rsid w:val="00161553"/>
    <w:rsid w:val="0016216F"/>
    <w:rsid w:val="0016256B"/>
    <w:rsid w:val="00162F81"/>
    <w:rsid w:val="00163793"/>
    <w:rsid w:val="00163868"/>
    <w:rsid w:val="00164CA1"/>
    <w:rsid w:val="00165313"/>
    <w:rsid w:val="001659C3"/>
    <w:rsid w:val="001665AB"/>
    <w:rsid w:val="00167485"/>
    <w:rsid w:val="001679F5"/>
    <w:rsid w:val="00167B92"/>
    <w:rsid w:val="00167CB9"/>
    <w:rsid w:val="00167DD8"/>
    <w:rsid w:val="001705AD"/>
    <w:rsid w:val="001706D6"/>
    <w:rsid w:val="001714F2"/>
    <w:rsid w:val="00171FEA"/>
    <w:rsid w:val="00173622"/>
    <w:rsid w:val="00174ED1"/>
    <w:rsid w:val="00175B9F"/>
    <w:rsid w:val="001762F4"/>
    <w:rsid w:val="001777BA"/>
    <w:rsid w:val="00181029"/>
    <w:rsid w:val="00181BBC"/>
    <w:rsid w:val="0018385F"/>
    <w:rsid w:val="00183BCF"/>
    <w:rsid w:val="00184017"/>
    <w:rsid w:val="001847BB"/>
    <w:rsid w:val="00184B08"/>
    <w:rsid w:val="00185010"/>
    <w:rsid w:val="001854F2"/>
    <w:rsid w:val="00185C22"/>
    <w:rsid w:val="00186BA9"/>
    <w:rsid w:val="00187D50"/>
    <w:rsid w:val="00190B4D"/>
    <w:rsid w:val="0019123D"/>
    <w:rsid w:val="0019196C"/>
    <w:rsid w:val="001926A9"/>
    <w:rsid w:val="00192F05"/>
    <w:rsid w:val="00194729"/>
    <w:rsid w:val="00194850"/>
    <w:rsid w:val="00195234"/>
    <w:rsid w:val="00195EA6"/>
    <w:rsid w:val="00196016"/>
    <w:rsid w:val="00196117"/>
    <w:rsid w:val="00197A70"/>
    <w:rsid w:val="00197C0F"/>
    <w:rsid w:val="00197D0E"/>
    <w:rsid w:val="001A0487"/>
    <w:rsid w:val="001A0675"/>
    <w:rsid w:val="001A0A37"/>
    <w:rsid w:val="001A164B"/>
    <w:rsid w:val="001A1F68"/>
    <w:rsid w:val="001A21FA"/>
    <w:rsid w:val="001A4D7C"/>
    <w:rsid w:val="001A4EF0"/>
    <w:rsid w:val="001A552F"/>
    <w:rsid w:val="001A70B1"/>
    <w:rsid w:val="001A7672"/>
    <w:rsid w:val="001B0738"/>
    <w:rsid w:val="001B1235"/>
    <w:rsid w:val="001B158D"/>
    <w:rsid w:val="001B1BBB"/>
    <w:rsid w:val="001B2CA9"/>
    <w:rsid w:val="001B3110"/>
    <w:rsid w:val="001B3E38"/>
    <w:rsid w:val="001B40F5"/>
    <w:rsid w:val="001B4729"/>
    <w:rsid w:val="001B4F0E"/>
    <w:rsid w:val="001B5F40"/>
    <w:rsid w:val="001B6310"/>
    <w:rsid w:val="001B6C09"/>
    <w:rsid w:val="001B6E12"/>
    <w:rsid w:val="001C05CD"/>
    <w:rsid w:val="001C082B"/>
    <w:rsid w:val="001C0F17"/>
    <w:rsid w:val="001C11A6"/>
    <w:rsid w:val="001C1B24"/>
    <w:rsid w:val="001C1B66"/>
    <w:rsid w:val="001C1BB5"/>
    <w:rsid w:val="001C2732"/>
    <w:rsid w:val="001C31A2"/>
    <w:rsid w:val="001C351D"/>
    <w:rsid w:val="001C3794"/>
    <w:rsid w:val="001C3855"/>
    <w:rsid w:val="001C4B8F"/>
    <w:rsid w:val="001C4BB8"/>
    <w:rsid w:val="001C4D8C"/>
    <w:rsid w:val="001C4FD0"/>
    <w:rsid w:val="001C544D"/>
    <w:rsid w:val="001C5E46"/>
    <w:rsid w:val="001C6B3B"/>
    <w:rsid w:val="001C7A26"/>
    <w:rsid w:val="001C7E3F"/>
    <w:rsid w:val="001D0EF1"/>
    <w:rsid w:val="001D1A44"/>
    <w:rsid w:val="001D22C2"/>
    <w:rsid w:val="001D2C99"/>
    <w:rsid w:val="001D3B75"/>
    <w:rsid w:val="001D452E"/>
    <w:rsid w:val="001D54C1"/>
    <w:rsid w:val="001D556E"/>
    <w:rsid w:val="001D5DF2"/>
    <w:rsid w:val="001D6175"/>
    <w:rsid w:val="001D68B2"/>
    <w:rsid w:val="001D6B3F"/>
    <w:rsid w:val="001D7EFD"/>
    <w:rsid w:val="001D7F60"/>
    <w:rsid w:val="001E085B"/>
    <w:rsid w:val="001E149B"/>
    <w:rsid w:val="001E15CB"/>
    <w:rsid w:val="001E1AF1"/>
    <w:rsid w:val="001E3306"/>
    <w:rsid w:val="001E504C"/>
    <w:rsid w:val="001E56AC"/>
    <w:rsid w:val="001E5A17"/>
    <w:rsid w:val="001E6441"/>
    <w:rsid w:val="001E74C5"/>
    <w:rsid w:val="001F1236"/>
    <w:rsid w:val="001F2F90"/>
    <w:rsid w:val="001F4597"/>
    <w:rsid w:val="001F4826"/>
    <w:rsid w:val="001F4933"/>
    <w:rsid w:val="001F59C8"/>
    <w:rsid w:val="001F6483"/>
    <w:rsid w:val="001F6CD3"/>
    <w:rsid w:val="001F75DA"/>
    <w:rsid w:val="001F7931"/>
    <w:rsid w:val="001F7CE0"/>
    <w:rsid w:val="00200085"/>
    <w:rsid w:val="00201633"/>
    <w:rsid w:val="00203332"/>
    <w:rsid w:val="002036E6"/>
    <w:rsid w:val="00203CD5"/>
    <w:rsid w:val="00203D8F"/>
    <w:rsid w:val="00203DA4"/>
    <w:rsid w:val="00204EA6"/>
    <w:rsid w:val="00205186"/>
    <w:rsid w:val="00206516"/>
    <w:rsid w:val="002070CF"/>
    <w:rsid w:val="002071D5"/>
    <w:rsid w:val="002073FD"/>
    <w:rsid w:val="002111E5"/>
    <w:rsid w:val="0021149E"/>
    <w:rsid w:val="002118B9"/>
    <w:rsid w:val="00213691"/>
    <w:rsid w:val="002142C0"/>
    <w:rsid w:val="00217BED"/>
    <w:rsid w:val="00217C5B"/>
    <w:rsid w:val="00220A43"/>
    <w:rsid w:val="0022139E"/>
    <w:rsid w:val="00222729"/>
    <w:rsid w:val="0022287B"/>
    <w:rsid w:val="002228DB"/>
    <w:rsid w:val="00223185"/>
    <w:rsid w:val="00223264"/>
    <w:rsid w:val="002233D6"/>
    <w:rsid w:val="0022441D"/>
    <w:rsid w:val="00224574"/>
    <w:rsid w:val="00224E3F"/>
    <w:rsid w:val="00225000"/>
    <w:rsid w:val="0022521D"/>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A15"/>
    <w:rsid w:val="002452D9"/>
    <w:rsid w:val="00247319"/>
    <w:rsid w:val="0024799E"/>
    <w:rsid w:val="00247E60"/>
    <w:rsid w:val="002512B7"/>
    <w:rsid w:val="00251496"/>
    <w:rsid w:val="00251B08"/>
    <w:rsid w:val="00251C53"/>
    <w:rsid w:val="00252AB9"/>
    <w:rsid w:val="002532B1"/>
    <w:rsid w:val="00253C0F"/>
    <w:rsid w:val="00253F48"/>
    <w:rsid w:val="00254FC3"/>
    <w:rsid w:val="002558C1"/>
    <w:rsid w:val="00256207"/>
    <w:rsid w:val="002575F3"/>
    <w:rsid w:val="002601B4"/>
    <w:rsid w:val="002603E1"/>
    <w:rsid w:val="002605FE"/>
    <w:rsid w:val="0026120E"/>
    <w:rsid w:val="002617EE"/>
    <w:rsid w:val="00262582"/>
    <w:rsid w:val="0026291D"/>
    <w:rsid w:val="00262CF3"/>
    <w:rsid w:val="00264309"/>
    <w:rsid w:val="00264992"/>
    <w:rsid w:val="00264B4F"/>
    <w:rsid w:val="00264B85"/>
    <w:rsid w:val="0026564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5E43"/>
    <w:rsid w:val="002763A2"/>
    <w:rsid w:val="00276B33"/>
    <w:rsid w:val="00277669"/>
    <w:rsid w:val="002803A5"/>
    <w:rsid w:val="00280ACB"/>
    <w:rsid w:val="002812E3"/>
    <w:rsid w:val="00281576"/>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461A"/>
    <w:rsid w:val="0029509B"/>
    <w:rsid w:val="0029588F"/>
    <w:rsid w:val="00295E96"/>
    <w:rsid w:val="00297256"/>
    <w:rsid w:val="00297A5C"/>
    <w:rsid w:val="00297D51"/>
    <w:rsid w:val="002A0122"/>
    <w:rsid w:val="002A016B"/>
    <w:rsid w:val="002A103E"/>
    <w:rsid w:val="002A16D4"/>
    <w:rsid w:val="002A1E4F"/>
    <w:rsid w:val="002A230C"/>
    <w:rsid w:val="002A2AF7"/>
    <w:rsid w:val="002A30ED"/>
    <w:rsid w:val="002A3209"/>
    <w:rsid w:val="002A34B5"/>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B75C0"/>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D6A4C"/>
    <w:rsid w:val="002E02A1"/>
    <w:rsid w:val="002E196A"/>
    <w:rsid w:val="002E1F8A"/>
    <w:rsid w:val="002E20C7"/>
    <w:rsid w:val="002E20CD"/>
    <w:rsid w:val="002E222E"/>
    <w:rsid w:val="002E28D8"/>
    <w:rsid w:val="002E3638"/>
    <w:rsid w:val="002E37D1"/>
    <w:rsid w:val="002E3BEE"/>
    <w:rsid w:val="002E4DCE"/>
    <w:rsid w:val="002E4E4C"/>
    <w:rsid w:val="002E4EA7"/>
    <w:rsid w:val="002E5846"/>
    <w:rsid w:val="002E631B"/>
    <w:rsid w:val="002E792B"/>
    <w:rsid w:val="002E7AEB"/>
    <w:rsid w:val="002E7B79"/>
    <w:rsid w:val="002F1B09"/>
    <w:rsid w:val="002F1D56"/>
    <w:rsid w:val="002F1DCB"/>
    <w:rsid w:val="002F1DE4"/>
    <w:rsid w:val="002F333D"/>
    <w:rsid w:val="002F351A"/>
    <w:rsid w:val="002F357F"/>
    <w:rsid w:val="002F46D6"/>
    <w:rsid w:val="002F498A"/>
    <w:rsid w:val="002F4AD8"/>
    <w:rsid w:val="002F5285"/>
    <w:rsid w:val="002F5820"/>
    <w:rsid w:val="002F64BB"/>
    <w:rsid w:val="002F7D9B"/>
    <w:rsid w:val="00300C31"/>
    <w:rsid w:val="00300D42"/>
    <w:rsid w:val="00301294"/>
    <w:rsid w:val="003017EC"/>
    <w:rsid w:val="00302165"/>
    <w:rsid w:val="00303BB4"/>
    <w:rsid w:val="00304771"/>
    <w:rsid w:val="00304F9C"/>
    <w:rsid w:val="003052D4"/>
    <w:rsid w:val="00305863"/>
    <w:rsid w:val="003060D6"/>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A8B"/>
    <w:rsid w:val="00316B3D"/>
    <w:rsid w:val="0032058C"/>
    <w:rsid w:val="003208D0"/>
    <w:rsid w:val="003209D6"/>
    <w:rsid w:val="003217B9"/>
    <w:rsid w:val="00321924"/>
    <w:rsid w:val="00321AF1"/>
    <w:rsid w:val="00321EB6"/>
    <w:rsid w:val="003220A5"/>
    <w:rsid w:val="003238E0"/>
    <w:rsid w:val="00323A1C"/>
    <w:rsid w:val="00323A2F"/>
    <w:rsid w:val="00323A8E"/>
    <w:rsid w:val="003247E1"/>
    <w:rsid w:val="00324B59"/>
    <w:rsid w:val="00325E46"/>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375E0"/>
    <w:rsid w:val="00340BF3"/>
    <w:rsid w:val="00341C6C"/>
    <w:rsid w:val="00341D26"/>
    <w:rsid w:val="00341F05"/>
    <w:rsid w:val="0034335E"/>
    <w:rsid w:val="00344668"/>
    <w:rsid w:val="00344940"/>
    <w:rsid w:val="0034506D"/>
    <w:rsid w:val="00346234"/>
    <w:rsid w:val="003462D9"/>
    <w:rsid w:val="0034723F"/>
    <w:rsid w:val="00347247"/>
    <w:rsid w:val="003474B6"/>
    <w:rsid w:val="00347DD4"/>
    <w:rsid w:val="00352B43"/>
    <w:rsid w:val="00352C28"/>
    <w:rsid w:val="003541BB"/>
    <w:rsid w:val="00354502"/>
    <w:rsid w:val="00354F89"/>
    <w:rsid w:val="0035506D"/>
    <w:rsid w:val="003579A1"/>
    <w:rsid w:val="0036077F"/>
    <w:rsid w:val="00360A35"/>
    <w:rsid w:val="00360C86"/>
    <w:rsid w:val="00360F7A"/>
    <w:rsid w:val="00360FBC"/>
    <w:rsid w:val="00361537"/>
    <w:rsid w:val="00361B2D"/>
    <w:rsid w:val="00361FB7"/>
    <w:rsid w:val="0036242A"/>
    <w:rsid w:val="00362C23"/>
    <w:rsid w:val="00362DCA"/>
    <w:rsid w:val="00362E90"/>
    <w:rsid w:val="00364FA0"/>
    <w:rsid w:val="003657F3"/>
    <w:rsid w:val="00365844"/>
    <w:rsid w:val="00365F61"/>
    <w:rsid w:val="0036624C"/>
    <w:rsid w:val="00367F84"/>
    <w:rsid w:val="003712BC"/>
    <w:rsid w:val="00372164"/>
    <w:rsid w:val="003738BD"/>
    <w:rsid w:val="00374263"/>
    <w:rsid w:val="003746F0"/>
    <w:rsid w:val="00374A20"/>
    <w:rsid w:val="00374B96"/>
    <w:rsid w:val="00374E21"/>
    <w:rsid w:val="0037537A"/>
    <w:rsid w:val="00377B2E"/>
    <w:rsid w:val="00380C9B"/>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398D"/>
    <w:rsid w:val="00393B3F"/>
    <w:rsid w:val="0039402D"/>
    <w:rsid w:val="00396739"/>
    <w:rsid w:val="003978B1"/>
    <w:rsid w:val="003A04F6"/>
    <w:rsid w:val="003A0837"/>
    <w:rsid w:val="003A2B4D"/>
    <w:rsid w:val="003A2D12"/>
    <w:rsid w:val="003A2EBA"/>
    <w:rsid w:val="003A32DB"/>
    <w:rsid w:val="003A45E3"/>
    <w:rsid w:val="003A46B8"/>
    <w:rsid w:val="003A478C"/>
    <w:rsid w:val="003A4A38"/>
    <w:rsid w:val="003A5295"/>
    <w:rsid w:val="003A5525"/>
    <w:rsid w:val="003A5889"/>
    <w:rsid w:val="003A5C8C"/>
    <w:rsid w:val="003A6B38"/>
    <w:rsid w:val="003A6B83"/>
    <w:rsid w:val="003A6C97"/>
    <w:rsid w:val="003A722F"/>
    <w:rsid w:val="003A7373"/>
    <w:rsid w:val="003A7D09"/>
    <w:rsid w:val="003B039F"/>
    <w:rsid w:val="003B0DF4"/>
    <w:rsid w:val="003B1F9D"/>
    <w:rsid w:val="003B2A8D"/>
    <w:rsid w:val="003B2AD1"/>
    <w:rsid w:val="003B2D2E"/>
    <w:rsid w:val="003B376A"/>
    <w:rsid w:val="003B461F"/>
    <w:rsid w:val="003B483F"/>
    <w:rsid w:val="003B4998"/>
    <w:rsid w:val="003B5A32"/>
    <w:rsid w:val="003B5B59"/>
    <w:rsid w:val="003B709D"/>
    <w:rsid w:val="003B7B50"/>
    <w:rsid w:val="003C0B07"/>
    <w:rsid w:val="003C2CE7"/>
    <w:rsid w:val="003C2DB8"/>
    <w:rsid w:val="003C3490"/>
    <w:rsid w:val="003C3608"/>
    <w:rsid w:val="003C3A87"/>
    <w:rsid w:val="003C3AE8"/>
    <w:rsid w:val="003C3D2C"/>
    <w:rsid w:val="003C4058"/>
    <w:rsid w:val="003C4E13"/>
    <w:rsid w:val="003C58A5"/>
    <w:rsid w:val="003C6221"/>
    <w:rsid w:val="003C63D7"/>
    <w:rsid w:val="003C68CC"/>
    <w:rsid w:val="003C7E62"/>
    <w:rsid w:val="003D12B9"/>
    <w:rsid w:val="003D1E7A"/>
    <w:rsid w:val="003D242B"/>
    <w:rsid w:val="003D2492"/>
    <w:rsid w:val="003D29AA"/>
    <w:rsid w:val="003D2A99"/>
    <w:rsid w:val="003D5EBF"/>
    <w:rsid w:val="003D6920"/>
    <w:rsid w:val="003D6982"/>
    <w:rsid w:val="003E0249"/>
    <w:rsid w:val="003E08A4"/>
    <w:rsid w:val="003E105C"/>
    <w:rsid w:val="003E1EF8"/>
    <w:rsid w:val="003E2DFB"/>
    <w:rsid w:val="003E4466"/>
    <w:rsid w:val="003E4C91"/>
    <w:rsid w:val="003E52D8"/>
    <w:rsid w:val="003E62F1"/>
    <w:rsid w:val="003E6ED5"/>
    <w:rsid w:val="003E6F84"/>
    <w:rsid w:val="003F0148"/>
    <w:rsid w:val="003F313C"/>
    <w:rsid w:val="003F33B1"/>
    <w:rsid w:val="003F33B9"/>
    <w:rsid w:val="003F37FC"/>
    <w:rsid w:val="003F3E76"/>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17106"/>
    <w:rsid w:val="00420880"/>
    <w:rsid w:val="00421179"/>
    <w:rsid w:val="004225D7"/>
    <w:rsid w:val="00423623"/>
    <w:rsid w:val="0042470E"/>
    <w:rsid w:val="0042507B"/>
    <w:rsid w:val="00425352"/>
    <w:rsid w:val="00426C99"/>
    <w:rsid w:val="004272BE"/>
    <w:rsid w:val="00430C96"/>
    <w:rsid w:val="0043174F"/>
    <w:rsid w:val="00431BFF"/>
    <w:rsid w:val="00432199"/>
    <w:rsid w:val="00432A58"/>
    <w:rsid w:val="00432FC7"/>
    <w:rsid w:val="004331C3"/>
    <w:rsid w:val="00433C17"/>
    <w:rsid w:val="00434617"/>
    <w:rsid w:val="00434DE9"/>
    <w:rsid w:val="00435051"/>
    <w:rsid w:val="00435C69"/>
    <w:rsid w:val="004360FB"/>
    <w:rsid w:val="00437CED"/>
    <w:rsid w:val="004407BF"/>
    <w:rsid w:val="00440900"/>
    <w:rsid w:val="00440D2A"/>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25"/>
    <w:rsid w:val="00451EF1"/>
    <w:rsid w:val="00452E60"/>
    <w:rsid w:val="0045321B"/>
    <w:rsid w:val="00455833"/>
    <w:rsid w:val="00456FB5"/>
    <w:rsid w:val="00456FE5"/>
    <w:rsid w:val="00457490"/>
    <w:rsid w:val="0045778B"/>
    <w:rsid w:val="0045786C"/>
    <w:rsid w:val="00457953"/>
    <w:rsid w:val="004604D8"/>
    <w:rsid w:val="00460656"/>
    <w:rsid w:val="00460FB3"/>
    <w:rsid w:val="00463D3C"/>
    <w:rsid w:val="00464851"/>
    <w:rsid w:val="00464BF5"/>
    <w:rsid w:val="00466595"/>
    <w:rsid w:val="00466B3E"/>
    <w:rsid w:val="0046746A"/>
    <w:rsid w:val="00467B14"/>
    <w:rsid w:val="004707FE"/>
    <w:rsid w:val="00470EDC"/>
    <w:rsid w:val="00472418"/>
    <w:rsid w:val="0047276D"/>
    <w:rsid w:val="00472AF6"/>
    <w:rsid w:val="00473482"/>
    <w:rsid w:val="00474646"/>
    <w:rsid w:val="00474A04"/>
    <w:rsid w:val="00476240"/>
    <w:rsid w:val="00476439"/>
    <w:rsid w:val="00476450"/>
    <w:rsid w:val="004769BF"/>
    <w:rsid w:val="004769E1"/>
    <w:rsid w:val="00476AEE"/>
    <w:rsid w:val="0047735C"/>
    <w:rsid w:val="004776BC"/>
    <w:rsid w:val="00477820"/>
    <w:rsid w:val="00477B96"/>
    <w:rsid w:val="00480802"/>
    <w:rsid w:val="00480BAE"/>
    <w:rsid w:val="00480D7F"/>
    <w:rsid w:val="0048139F"/>
    <w:rsid w:val="00481E40"/>
    <w:rsid w:val="00482405"/>
    <w:rsid w:val="004826A7"/>
    <w:rsid w:val="004828DA"/>
    <w:rsid w:val="0048368C"/>
    <w:rsid w:val="0048372F"/>
    <w:rsid w:val="0048399F"/>
    <w:rsid w:val="00483A0C"/>
    <w:rsid w:val="004841CC"/>
    <w:rsid w:val="00484ECE"/>
    <w:rsid w:val="00484F89"/>
    <w:rsid w:val="00485E82"/>
    <w:rsid w:val="00486132"/>
    <w:rsid w:val="0048686D"/>
    <w:rsid w:val="00486A4D"/>
    <w:rsid w:val="004915CB"/>
    <w:rsid w:val="00491A2B"/>
    <w:rsid w:val="004924DC"/>
    <w:rsid w:val="00492879"/>
    <w:rsid w:val="00493E85"/>
    <w:rsid w:val="00495145"/>
    <w:rsid w:val="0049531F"/>
    <w:rsid w:val="004979A5"/>
    <w:rsid w:val="004A0144"/>
    <w:rsid w:val="004A036E"/>
    <w:rsid w:val="004A0389"/>
    <w:rsid w:val="004A0498"/>
    <w:rsid w:val="004A06B0"/>
    <w:rsid w:val="004A0D0E"/>
    <w:rsid w:val="004A14E4"/>
    <w:rsid w:val="004A204E"/>
    <w:rsid w:val="004A26A5"/>
    <w:rsid w:val="004A27F0"/>
    <w:rsid w:val="004A3212"/>
    <w:rsid w:val="004A37CD"/>
    <w:rsid w:val="004A3BE4"/>
    <w:rsid w:val="004A40D9"/>
    <w:rsid w:val="004A49A5"/>
    <w:rsid w:val="004A4F8A"/>
    <w:rsid w:val="004A52AB"/>
    <w:rsid w:val="004A5494"/>
    <w:rsid w:val="004A5D4E"/>
    <w:rsid w:val="004A61C5"/>
    <w:rsid w:val="004A62A0"/>
    <w:rsid w:val="004A77DF"/>
    <w:rsid w:val="004A7DC0"/>
    <w:rsid w:val="004B1417"/>
    <w:rsid w:val="004B1627"/>
    <w:rsid w:val="004B305C"/>
    <w:rsid w:val="004B31B8"/>
    <w:rsid w:val="004B339A"/>
    <w:rsid w:val="004B4C83"/>
    <w:rsid w:val="004B55B7"/>
    <w:rsid w:val="004B591D"/>
    <w:rsid w:val="004B5BFA"/>
    <w:rsid w:val="004B619E"/>
    <w:rsid w:val="004B6468"/>
    <w:rsid w:val="004B6EF8"/>
    <w:rsid w:val="004B7125"/>
    <w:rsid w:val="004B756A"/>
    <w:rsid w:val="004B7FB1"/>
    <w:rsid w:val="004C0970"/>
    <w:rsid w:val="004C0B3F"/>
    <w:rsid w:val="004C0F87"/>
    <w:rsid w:val="004C25F9"/>
    <w:rsid w:val="004C2794"/>
    <w:rsid w:val="004C2BB6"/>
    <w:rsid w:val="004C2C2D"/>
    <w:rsid w:val="004C3027"/>
    <w:rsid w:val="004C384C"/>
    <w:rsid w:val="004C3867"/>
    <w:rsid w:val="004C3CE4"/>
    <w:rsid w:val="004C3DB0"/>
    <w:rsid w:val="004C439A"/>
    <w:rsid w:val="004C4720"/>
    <w:rsid w:val="004C4CD0"/>
    <w:rsid w:val="004C5060"/>
    <w:rsid w:val="004C5165"/>
    <w:rsid w:val="004C589C"/>
    <w:rsid w:val="004C5AE8"/>
    <w:rsid w:val="004C6E0E"/>
    <w:rsid w:val="004C70DC"/>
    <w:rsid w:val="004D0211"/>
    <w:rsid w:val="004D0794"/>
    <w:rsid w:val="004D17A6"/>
    <w:rsid w:val="004D2D31"/>
    <w:rsid w:val="004D2E03"/>
    <w:rsid w:val="004D3296"/>
    <w:rsid w:val="004D4056"/>
    <w:rsid w:val="004D4CB0"/>
    <w:rsid w:val="004D5B0F"/>
    <w:rsid w:val="004D7626"/>
    <w:rsid w:val="004E085C"/>
    <w:rsid w:val="004E12DF"/>
    <w:rsid w:val="004E186A"/>
    <w:rsid w:val="004E1A40"/>
    <w:rsid w:val="004E1DB2"/>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601B"/>
    <w:rsid w:val="004F6484"/>
    <w:rsid w:val="004F6539"/>
    <w:rsid w:val="00503D54"/>
    <w:rsid w:val="005048E2"/>
    <w:rsid w:val="00505FC8"/>
    <w:rsid w:val="00506603"/>
    <w:rsid w:val="0050689D"/>
    <w:rsid w:val="005077F5"/>
    <w:rsid w:val="005108C0"/>
    <w:rsid w:val="0051094F"/>
    <w:rsid w:val="00511217"/>
    <w:rsid w:val="00511873"/>
    <w:rsid w:val="00511BAF"/>
    <w:rsid w:val="00512461"/>
    <w:rsid w:val="00512585"/>
    <w:rsid w:val="00512A2F"/>
    <w:rsid w:val="00513B7E"/>
    <w:rsid w:val="00513E9D"/>
    <w:rsid w:val="0051475D"/>
    <w:rsid w:val="00514B11"/>
    <w:rsid w:val="00514DED"/>
    <w:rsid w:val="00515485"/>
    <w:rsid w:val="00515BE9"/>
    <w:rsid w:val="00515C74"/>
    <w:rsid w:val="00515CEB"/>
    <w:rsid w:val="0051630F"/>
    <w:rsid w:val="00517113"/>
    <w:rsid w:val="0052007E"/>
    <w:rsid w:val="0052032E"/>
    <w:rsid w:val="00521CAD"/>
    <w:rsid w:val="0052200D"/>
    <w:rsid w:val="00522425"/>
    <w:rsid w:val="00522A1B"/>
    <w:rsid w:val="00522E01"/>
    <w:rsid w:val="0052337A"/>
    <w:rsid w:val="00524385"/>
    <w:rsid w:val="005246BE"/>
    <w:rsid w:val="00525137"/>
    <w:rsid w:val="005251DD"/>
    <w:rsid w:val="0052762C"/>
    <w:rsid w:val="0052792D"/>
    <w:rsid w:val="0053012B"/>
    <w:rsid w:val="005301A6"/>
    <w:rsid w:val="00530A68"/>
    <w:rsid w:val="00530AD4"/>
    <w:rsid w:val="0053129F"/>
    <w:rsid w:val="00531C5A"/>
    <w:rsid w:val="00532CE7"/>
    <w:rsid w:val="00532D8B"/>
    <w:rsid w:val="0053324C"/>
    <w:rsid w:val="00533A8D"/>
    <w:rsid w:val="00534A28"/>
    <w:rsid w:val="00535018"/>
    <w:rsid w:val="00535782"/>
    <w:rsid w:val="0053595E"/>
    <w:rsid w:val="00537571"/>
    <w:rsid w:val="00540056"/>
    <w:rsid w:val="005410E2"/>
    <w:rsid w:val="00541508"/>
    <w:rsid w:val="00541AE3"/>
    <w:rsid w:val="00543498"/>
    <w:rsid w:val="00544011"/>
    <w:rsid w:val="00544BE5"/>
    <w:rsid w:val="005453A3"/>
    <w:rsid w:val="005455F6"/>
    <w:rsid w:val="0054582F"/>
    <w:rsid w:val="0054632B"/>
    <w:rsid w:val="00546FC7"/>
    <w:rsid w:val="005500F9"/>
    <w:rsid w:val="00550160"/>
    <w:rsid w:val="00550249"/>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605F3"/>
    <w:rsid w:val="00560C41"/>
    <w:rsid w:val="00560C68"/>
    <w:rsid w:val="00560CAC"/>
    <w:rsid w:val="00561F44"/>
    <w:rsid w:val="00562B4D"/>
    <w:rsid w:val="00562DB1"/>
    <w:rsid w:val="00563EB8"/>
    <w:rsid w:val="005647BF"/>
    <w:rsid w:val="00564AF1"/>
    <w:rsid w:val="005655DB"/>
    <w:rsid w:val="00565E88"/>
    <w:rsid w:val="00567339"/>
    <w:rsid w:val="005678EE"/>
    <w:rsid w:val="00567910"/>
    <w:rsid w:val="00570270"/>
    <w:rsid w:val="00570464"/>
    <w:rsid w:val="00570601"/>
    <w:rsid w:val="00570BC3"/>
    <w:rsid w:val="00571766"/>
    <w:rsid w:val="0057182A"/>
    <w:rsid w:val="00571E59"/>
    <w:rsid w:val="00572079"/>
    <w:rsid w:val="00572900"/>
    <w:rsid w:val="00573602"/>
    <w:rsid w:val="0057364B"/>
    <w:rsid w:val="00574773"/>
    <w:rsid w:val="005761EC"/>
    <w:rsid w:val="00576E34"/>
    <w:rsid w:val="00577C07"/>
    <w:rsid w:val="00577DB1"/>
    <w:rsid w:val="00580AD3"/>
    <w:rsid w:val="00580DE7"/>
    <w:rsid w:val="005810E1"/>
    <w:rsid w:val="005820CD"/>
    <w:rsid w:val="00582A12"/>
    <w:rsid w:val="00583BDD"/>
    <w:rsid w:val="00583E52"/>
    <w:rsid w:val="00583FFD"/>
    <w:rsid w:val="00584252"/>
    <w:rsid w:val="005848DD"/>
    <w:rsid w:val="0058519A"/>
    <w:rsid w:val="005856BD"/>
    <w:rsid w:val="00585983"/>
    <w:rsid w:val="00586BCA"/>
    <w:rsid w:val="00587038"/>
    <w:rsid w:val="00587319"/>
    <w:rsid w:val="00590608"/>
    <w:rsid w:val="00590B28"/>
    <w:rsid w:val="005911BE"/>
    <w:rsid w:val="00591273"/>
    <w:rsid w:val="00591E9E"/>
    <w:rsid w:val="005927A4"/>
    <w:rsid w:val="00593152"/>
    <w:rsid w:val="00593389"/>
    <w:rsid w:val="00593FE6"/>
    <w:rsid w:val="005956A3"/>
    <w:rsid w:val="00595958"/>
    <w:rsid w:val="00595CAB"/>
    <w:rsid w:val="0059622E"/>
    <w:rsid w:val="0059684D"/>
    <w:rsid w:val="00597671"/>
    <w:rsid w:val="00597BBF"/>
    <w:rsid w:val="005A040C"/>
    <w:rsid w:val="005A0463"/>
    <w:rsid w:val="005A05DF"/>
    <w:rsid w:val="005A0948"/>
    <w:rsid w:val="005A0A03"/>
    <w:rsid w:val="005A10F2"/>
    <w:rsid w:val="005A16C0"/>
    <w:rsid w:val="005A2156"/>
    <w:rsid w:val="005A21E0"/>
    <w:rsid w:val="005A2401"/>
    <w:rsid w:val="005A28FF"/>
    <w:rsid w:val="005A2C09"/>
    <w:rsid w:val="005A3778"/>
    <w:rsid w:val="005A37B0"/>
    <w:rsid w:val="005A3DF8"/>
    <w:rsid w:val="005A5549"/>
    <w:rsid w:val="005A566A"/>
    <w:rsid w:val="005A56E0"/>
    <w:rsid w:val="005A70CA"/>
    <w:rsid w:val="005A7ABD"/>
    <w:rsid w:val="005A7CF8"/>
    <w:rsid w:val="005B0EDA"/>
    <w:rsid w:val="005B121D"/>
    <w:rsid w:val="005B1705"/>
    <w:rsid w:val="005B26B0"/>
    <w:rsid w:val="005B41C9"/>
    <w:rsid w:val="005B44E6"/>
    <w:rsid w:val="005B4853"/>
    <w:rsid w:val="005B591B"/>
    <w:rsid w:val="005B6CA1"/>
    <w:rsid w:val="005B770C"/>
    <w:rsid w:val="005C06ED"/>
    <w:rsid w:val="005C0CE1"/>
    <w:rsid w:val="005C11B8"/>
    <w:rsid w:val="005C1B24"/>
    <w:rsid w:val="005C216C"/>
    <w:rsid w:val="005C2609"/>
    <w:rsid w:val="005C2B30"/>
    <w:rsid w:val="005C412B"/>
    <w:rsid w:val="005C43EC"/>
    <w:rsid w:val="005C45DD"/>
    <w:rsid w:val="005C4704"/>
    <w:rsid w:val="005C4CB1"/>
    <w:rsid w:val="005C70AB"/>
    <w:rsid w:val="005D015C"/>
    <w:rsid w:val="005D3F06"/>
    <w:rsid w:val="005D4608"/>
    <w:rsid w:val="005D4B73"/>
    <w:rsid w:val="005D533D"/>
    <w:rsid w:val="005D5645"/>
    <w:rsid w:val="005D5802"/>
    <w:rsid w:val="005D5AA9"/>
    <w:rsid w:val="005D5B60"/>
    <w:rsid w:val="005D66E6"/>
    <w:rsid w:val="005D7119"/>
    <w:rsid w:val="005D76C8"/>
    <w:rsid w:val="005D7890"/>
    <w:rsid w:val="005D7AAF"/>
    <w:rsid w:val="005E19C1"/>
    <w:rsid w:val="005E2194"/>
    <w:rsid w:val="005E24F0"/>
    <w:rsid w:val="005E3113"/>
    <w:rsid w:val="005E36FE"/>
    <w:rsid w:val="005E3F66"/>
    <w:rsid w:val="005E490F"/>
    <w:rsid w:val="005E4BC9"/>
    <w:rsid w:val="005E5314"/>
    <w:rsid w:val="005E53DC"/>
    <w:rsid w:val="005E764D"/>
    <w:rsid w:val="005E772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D7F"/>
    <w:rsid w:val="005F6DFE"/>
    <w:rsid w:val="005F7174"/>
    <w:rsid w:val="005F7B79"/>
    <w:rsid w:val="0060120D"/>
    <w:rsid w:val="006017C1"/>
    <w:rsid w:val="00601ADE"/>
    <w:rsid w:val="00601EEF"/>
    <w:rsid w:val="0060255A"/>
    <w:rsid w:val="00602998"/>
    <w:rsid w:val="00602EB3"/>
    <w:rsid w:val="00604307"/>
    <w:rsid w:val="0060487F"/>
    <w:rsid w:val="00604EAD"/>
    <w:rsid w:val="0060513F"/>
    <w:rsid w:val="006065E2"/>
    <w:rsid w:val="0060694B"/>
    <w:rsid w:val="00607E1D"/>
    <w:rsid w:val="006104FB"/>
    <w:rsid w:val="006116FF"/>
    <w:rsid w:val="0061176D"/>
    <w:rsid w:val="0061200F"/>
    <w:rsid w:val="00612756"/>
    <w:rsid w:val="00612A2F"/>
    <w:rsid w:val="00612AAE"/>
    <w:rsid w:val="00612B07"/>
    <w:rsid w:val="00612FD9"/>
    <w:rsid w:val="006139E0"/>
    <w:rsid w:val="00614D35"/>
    <w:rsid w:val="006156B4"/>
    <w:rsid w:val="00615DAF"/>
    <w:rsid w:val="00616254"/>
    <w:rsid w:val="0061672A"/>
    <w:rsid w:val="00616E05"/>
    <w:rsid w:val="00617985"/>
    <w:rsid w:val="00620641"/>
    <w:rsid w:val="00620B77"/>
    <w:rsid w:val="00621190"/>
    <w:rsid w:val="0062131B"/>
    <w:rsid w:val="00621E26"/>
    <w:rsid w:val="006224EA"/>
    <w:rsid w:val="0062263A"/>
    <w:rsid w:val="006227DF"/>
    <w:rsid w:val="006234A0"/>
    <w:rsid w:val="006236C8"/>
    <w:rsid w:val="00624093"/>
    <w:rsid w:val="0062415E"/>
    <w:rsid w:val="00625A84"/>
    <w:rsid w:val="00626079"/>
    <w:rsid w:val="00626B8F"/>
    <w:rsid w:val="006275B5"/>
    <w:rsid w:val="00631698"/>
    <w:rsid w:val="00631E44"/>
    <w:rsid w:val="00634C57"/>
    <w:rsid w:val="00634CE7"/>
    <w:rsid w:val="006350D5"/>
    <w:rsid w:val="00635EBE"/>
    <w:rsid w:val="0063642C"/>
    <w:rsid w:val="006376B3"/>
    <w:rsid w:val="00637858"/>
    <w:rsid w:val="006404A7"/>
    <w:rsid w:val="00640A38"/>
    <w:rsid w:val="00640E6B"/>
    <w:rsid w:val="00641787"/>
    <w:rsid w:val="0064179B"/>
    <w:rsid w:val="00642338"/>
    <w:rsid w:val="00642489"/>
    <w:rsid w:val="00644055"/>
    <w:rsid w:val="00644137"/>
    <w:rsid w:val="0064478C"/>
    <w:rsid w:val="00644938"/>
    <w:rsid w:val="00645160"/>
    <w:rsid w:val="006451E4"/>
    <w:rsid w:val="0064574B"/>
    <w:rsid w:val="00645B33"/>
    <w:rsid w:val="00650FFC"/>
    <w:rsid w:val="0065153D"/>
    <w:rsid w:val="006516CB"/>
    <w:rsid w:val="00652444"/>
    <w:rsid w:val="00652E30"/>
    <w:rsid w:val="00653BD0"/>
    <w:rsid w:val="00654110"/>
    <w:rsid w:val="00656C5D"/>
    <w:rsid w:val="00656CFB"/>
    <w:rsid w:val="00656D25"/>
    <w:rsid w:val="00657E87"/>
    <w:rsid w:val="00660D2D"/>
    <w:rsid w:val="0066110B"/>
    <w:rsid w:val="00661C41"/>
    <w:rsid w:val="00661EC9"/>
    <w:rsid w:val="00662469"/>
    <w:rsid w:val="0066411C"/>
    <w:rsid w:val="00664205"/>
    <w:rsid w:val="00664647"/>
    <w:rsid w:val="00664803"/>
    <w:rsid w:val="0066502F"/>
    <w:rsid w:val="006653CC"/>
    <w:rsid w:val="00665501"/>
    <w:rsid w:val="00665982"/>
    <w:rsid w:val="00665BA4"/>
    <w:rsid w:val="00666BF3"/>
    <w:rsid w:val="00667748"/>
    <w:rsid w:val="00667856"/>
    <w:rsid w:val="00667AF2"/>
    <w:rsid w:val="00670489"/>
    <w:rsid w:val="006710C9"/>
    <w:rsid w:val="00671D85"/>
    <w:rsid w:val="00672586"/>
    <w:rsid w:val="006727BC"/>
    <w:rsid w:val="006741CD"/>
    <w:rsid w:val="006745DF"/>
    <w:rsid w:val="00674BAC"/>
    <w:rsid w:val="00674D89"/>
    <w:rsid w:val="0067514E"/>
    <w:rsid w:val="00675E37"/>
    <w:rsid w:val="0067635D"/>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9F8"/>
    <w:rsid w:val="00684B9B"/>
    <w:rsid w:val="00684D59"/>
    <w:rsid w:val="00684E25"/>
    <w:rsid w:val="006858A4"/>
    <w:rsid w:val="00685C08"/>
    <w:rsid w:val="00685C8C"/>
    <w:rsid w:val="00686718"/>
    <w:rsid w:val="00686BFA"/>
    <w:rsid w:val="00686DED"/>
    <w:rsid w:val="006875A0"/>
    <w:rsid w:val="006878C6"/>
    <w:rsid w:val="00687D27"/>
    <w:rsid w:val="00691943"/>
    <w:rsid w:val="00693550"/>
    <w:rsid w:val="00694622"/>
    <w:rsid w:val="00695065"/>
    <w:rsid w:val="00695BEF"/>
    <w:rsid w:val="00696251"/>
    <w:rsid w:val="006966C7"/>
    <w:rsid w:val="006968C1"/>
    <w:rsid w:val="006977F6"/>
    <w:rsid w:val="00697A13"/>
    <w:rsid w:val="006A0DD4"/>
    <w:rsid w:val="006A109C"/>
    <w:rsid w:val="006A3CAF"/>
    <w:rsid w:val="006A4E91"/>
    <w:rsid w:val="006A5F4B"/>
    <w:rsid w:val="006A6114"/>
    <w:rsid w:val="006A6565"/>
    <w:rsid w:val="006A76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981"/>
    <w:rsid w:val="006C7AEC"/>
    <w:rsid w:val="006C7CA6"/>
    <w:rsid w:val="006D15D3"/>
    <w:rsid w:val="006D18B3"/>
    <w:rsid w:val="006D1E89"/>
    <w:rsid w:val="006D26CE"/>
    <w:rsid w:val="006D317E"/>
    <w:rsid w:val="006D3E8A"/>
    <w:rsid w:val="006D47D9"/>
    <w:rsid w:val="006D61F6"/>
    <w:rsid w:val="006E1081"/>
    <w:rsid w:val="006E1332"/>
    <w:rsid w:val="006E19CB"/>
    <w:rsid w:val="006E279A"/>
    <w:rsid w:val="006E313B"/>
    <w:rsid w:val="006E34B2"/>
    <w:rsid w:val="006E3A45"/>
    <w:rsid w:val="006E4078"/>
    <w:rsid w:val="006E51C4"/>
    <w:rsid w:val="006E53AD"/>
    <w:rsid w:val="006E58CB"/>
    <w:rsid w:val="006E6A93"/>
    <w:rsid w:val="006E7227"/>
    <w:rsid w:val="006E761A"/>
    <w:rsid w:val="006F0646"/>
    <w:rsid w:val="006F0741"/>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18A4"/>
    <w:rsid w:val="0070398A"/>
    <w:rsid w:val="00705242"/>
    <w:rsid w:val="007055E0"/>
    <w:rsid w:val="007056ED"/>
    <w:rsid w:val="00705F4E"/>
    <w:rsid w:val="0070658E"/>
    <w:rsid w:val="007065C5"/>
    <w:rsid w:val="007068E1"/>
    <w:rsid w:val="00706AA0"/>
    <w:rsid w:val="00706AD4"/>
    <w:rsid w:val="00707150"/>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1A6"/>
    <w:rsid w:val="00720310"/>
    <w:rsid w:val="00720D7A"/>
    <w:rsid w:val="007211F5"/>
    <w:rsid w:val="007213C3"/>
    <w:rsid w:val="00721601"/>
    <w:rsid w:val="00722777"/>
    <w:rsid w:val="00723435"/>
    <w:rsid w:val="00723436"/>
    <w:rsid w:val="007240E2"/>
    <w:rsid w:val="0072454C"/>
    <w:rsid w:val="0072583E"/>
    <w:rsid w:val="00725BB5"/>
    <w:rsid w:val="00727C02"/>
    <w:rsid w:val="0073008E"/>
    <w:rsid w:val="00730A8B"/>
    <w:rsid w:val="00730AE8"/>
    <w:rsid w:val="00730F1B"/>
    <w:rsid w:val="0073186D"/>
    <w:rsid w:val="007324A6"/>
    <w:rsid w:val="0073261D"/>
    <w:rsid w:val="0073333D"/>
    <w:rsid w:val="007343D9"/>
    <w:rsid w:val="00734F71"/>
    <w:rsid w:val="00735448"/>
    <w:rsid w:val="00736F07"/>
    <w:rsid w:val="007377BD"/>
    <w:rsid w:val="00737DEC"/>
    <w:rsid w:val="0074004D"/>
    <w:rsid w:val="00741493"/>
    <w:rsid w:val="00741F2A"/>
    <w:rsid w:val="007434E5"/>
    <w:rsid w:val="00743884"/>
    <w:rsid w:val="0074499B"/>
    <w:rsid w:val="007449D6"/>
    <w:rsid w:val="0074501E"/>
    <w:rsid w:val="007450BF"/>
    <w:rsid w:val="0074599A"/>
    <w:rsid w:val="00746EE5"/>
    <w:rsid w:val="00746F45"/>
    <w:rsid w:val="007471A1"/>
    <w:rsid w:val="007477BD"/>
    <w:rsid w:val="007477DA"/>
    <w:rsid w:val="00747EE9"/>
    <w:rsid w:val="007520B6"/>
    <w:rsid w:val="00752180"/>
    <w:rsid w:val="00752323"/>
    <w:rsid w:val="007532B7"/>
    <w:rsid w:val="00753CAB"/>
    <w:rsid w:val="00754A70"/>
    <w:rsid w:val="00754BC9"/>
    <w:rsid w:val="00754FB0"/>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A88"/>
    <w:rsid w:val="00763B23"/>
    <w:rsid w:val="00763B85"/>
    <w:rsid w:val="007644A2"/>
    <w:rsid w:val="00764974"/>
    <w:rsid w:val="00764D18"/>
    <w:rsid w:val="0076521E"/>
    <w:rsid w:val="0076579C"/>
    <w:rsid w:val="00765928"/>
    <w:rsid w:val="00765BCC"/>
    <w:rsid w:val="0076600D"/>
    <w:rsid w:val="007661E9"/>
    <w:rsid w:val="00766460"/>
    <w:rsid w:val="00767062"/>
    <w:rsid w:val="00767601"/>
    <w:rsid w:val="00767777"/>
    <w:rsid w:val="00767933"/>
    <w:rsid w:val="00770AB9"/>
    <w:rsid w:val="00770CFC"/>
    <w:rsid w:val="0077130E"/>
    <w:rsid w:val="007715EE"/>
    <w:rsid w:val="00771972"/>
    <w:rsid w:val="00772279"/>
    <w:rsid w:val="00772DAB"/>
    <w:rsid w:val="00772FF9"/>
    <w:rsid w:val="0077348B"/>
    <w:rsid w:val="007743DB"/>
    <w:rsid w:val="00774D2C"/>
    <w:rsid w:val="00775E00"/>
    <w:rsid w:val="0077605B"/>
    <w:rsid w:val="00776169"/>
    <w:rsid w:val="00776527"/>
    <w:rsid w:val="00777040"/>
    <w:rsid w:val="00777CE6"/>
    <w:rsid w:val="00777D57"/>
    <w:rsid w:val="00780BF0"/>
    <w:rsid w:val="00780EF1"/>
    <w:rsid w:val="00781A91"/>
    <w:rsid w:val="00781AD3"/>
    <w:rsid w:val="00781F36"/>
    <w:rsid w:val="00783576"/>
    <w:rsid w:val="00783810"/>
    <w:rsid w:val="00784980"/>
    <w:rsid w:val="007853FD"/>
    <w:rsid w:val="00785778"/>
    <w:rsid w:val="00786C87"/>
    <w:rsid w:val="0078755E"/>
    <w:rsid w:val="007877C9"/>
    <w:rsid w:val="00790764"/>
    <w:rsid w:val="0079085F"/>
    <w:rsid w:val="00790E96"/>
    <w:rsid w:val="00791005"/>
    <w:rsid w:val="00793D78"/>
    <w:rsid w:val="0079420B"/>
    <w:rsid w:val="0079453C"/>
    <w:rsid w:val="00794677"/>
    <w:rsid w:val="00795759"/>
    <w:rsid w:val="007A0B5E"/>
    <w:rsid w:val="007A170B"/>
    <w:rsid w:val="007A20EB"/>
    <w:rsid w:val="007A282C"/>
    <w:rsid w:val="007A293C"/>
    <w:rsid w:val="007A2A3A"/>
    <w:rsid w:val="007A33E2"/>
    <w:rsid w:val="007A3CAF"/>
    <w:rsid w:val="007A4551"/>
    <w:rsid w:val="007A4664"/>
    <w:rsid w:val="007A4782"/>
    <w:rsid w:val="007A516D"/>
    <w:rsid w:val="007A5E65"/>
    <w:rsid w:val="007A65E1"/>
    <w:rsid w:val="007A6A6E"/>
    <w:rsid w:val="007A6AAA"/>
    <w:rsid w:val="007A7033"/>
    <w:rsid w:val="007A775D"/>
    <w:rsid w:val="007B04B0"/>
    <w:rsid w:val="007B0834"/>
    <w:rsid w:val="007B0E83"/>
    <w:rsid w:val="007B11FA"/>
    <w:rsid w:val="007B1396"/>
    <w:rsid w:val="007B16D6"/>
    <w:rsid w:val="007B1D1B"/>
    <w:rsid w:val="007B1E3F"/>
    <w:rsid w:val="007B2011"/>
    <w:rsid w:val="007B2CFE"/>
    <w:rsid w:val="007B309B"/>
    <w:rsid w:val="007B37AB"/>
    <w:rsid w:val="007B3D5E"/>
    <w:rsid w:val="007B3DCB"/>
    <w:rsid w:val="007B54AE"/>
    <w:rsid w:val="007B5725"/>
    <w:rsid w:val="007B5C1F"/>
    <w:rsid w:val="007B6689"/>
    <w:rsid w:val="007B6747"/>
    <w:rsid w:val="007B6F72"/>
    <w:rsid w:val="007B74AA"/>
    <w:rsid w:val="007C10BD"/>
    <w:rsid w:val="007C162D"/>
    <w:rsid w:val="007C1A03"/>
    <w:rsid w:val="007C1F0C"/>
    <w:rsid w:val="007C1FFB"/>
    <w:rsid w:val="007C2D94"/>
    <w:rsid w:val="007C4A6B"/>
    <w:rsid w:val="007C5F92"/>
    <w:rsid w:val="007C6227"/>
    <w:rsid w:val="007C64F7"/>
    <w:rsid w:val="007C6BBD"/>
    <w:rsid w:val="007C6D89"/>
    <w:rsid w:val="007C6F5E"/>
    <w:rsid w:val="007D0382"/>
    <w:rsid w:val="007D0F6B"/>
    <w:rsid w:val="007D14FE"/>
    <w:rsid w:val="007D1A1F"/>
    <w:rsid w:val="007D213B"/>
    <w:rsid w:val="007D2783"/>
    <w:rsid w:val="007D2E18"/>
    <w:rsid w:val="007D3EF3"/>
    <w:rsid w:val="007D40DF"/>
    <w:rsid w:val="007D42E5"/>
    <w:rsid w:val="007D4458"/>
    <w:rsid w:val="007D6AF9"/>
    <w:rsid w:val="007D7763"/>
    <w:rsid w:val="007D7F4F"/>
    <w:rsid w:val="007E0535"/>
    <w:rsid w:val="007E07F2"/>
    <w:rsid w:val="007E0D4A"/>
    <w:rsid w:val="007E1788"/>
    <w:rsid w:val="007E1EE3"/>
    <w:rsid w:val="007E29B4"/>
    <w:rsid w:val="007E2F12"/>
    <w:rsid w:val="007E3627"/>
    <w:rsid w:val="007E435A"/>
    <w:rsid w:val="007E445C"/>
    <w:rsid w:val="007E49F7"/>
    <w:rsid w:val="007E4C70"/>
    <w:rsid w:val="007E5149"/>
    <w:rsid w:val="007E5B5F"/>
    <w:rsid w:val="007E69C6"/>
    <w:rsid w:val="007E78B6"/>
    <w:rsid w:val="007E7E61"/>
    <w:rsid w:val="007F0845"/>
    <w:rsid w:val="007F0873"/>
    <w:rsid w:val="007F20F3"/>
    <w:rsid w:val="007F2353"/>
    <w:rsid w:val="007F2390"/>
    <w:rsid w:val="007F2CAC"/>
    <w:rsid w:val="007F3CB6"/>
    <w:rsid w:val="007F4740"/>
    <w:rsid w:val="007F595A"/>
    <w:rsid w:val="007F5C38"/>
    <w:rsid w:val="007F708D"/>
    <w:rsid w:val="007F7E3F"/>
    <w:rsid w:val="008006B3"/>
    <w:rsid w:val="00800B63"/>
    <w:rsid w:val="0080158A"/>
    <w:rsid w:val="00801E13"/>
    <w:rsid w:val="00803008"/>
    <w:rsid w:val="00803069"/>
    <w:rsid w:val="0080346B"/>
    <w:rsid w:val="00803E08"/>
    <w:rsid w:val="00804155"/>
    <w:rsid w:val="00804C9F"/>
    <w:rsid w:val="0080559E"/>
    <w:rsid w:val="00805AF3"/>
    <w:rsid w:val="00806C9C"/>
    <w:rsid w:val="008071B1"/>
    <w:rsid w:val="0080734C"/>
    <w:rsid w:val="00807C82"/>
    <w:rsid w:val="008107EE"/>
    <w:rsid w:val="008117CC"/>
    <w:rsid w:val="00811FF8"/>
    <w:rsid w:val="0081249F"/>
    <w:rsid w:val="00813D58"/>
    <w:rsid w:val="00813DCA"/>
    <w:rsid w:val="008161A6"/>
    <w:rsid w:val="008165B8"/>
    <w:rsid w:val="00816905"/>
    <w:rsid w:val="00816D98"/>
    <w:rsid w:val="00816E42"/>
    <w:rsid w:val="00817040"/>
    <w:rsid w:val="00817A17"/>
    <w:rsid w:val="00817EC1"/>
    <w:rsid w:val="0082112D"/>
    <w:rsid w:val="00821624"/>
    <w:rsid w:val="00821FF6"/>
    <w:rsid w:val="00822574"/>
    <w:rsid w:val="00822980"/>
    <w:rsid w:val="00822F08"/>
    <w:rsid w:val="00824BA6"/>
    <w:rsid w:val="00825007"/>
    <w:rsid w:val="00825120"/>
    <w:rsid w:val="00825C4D"/>
    <w:rsid w:val="00826A08"/>
    <w:rsid w:val="00826AC0"/>
    <w:rsid w:val="00826D45"/>
    <w:rsid w:val="00827186"/>
    <w:rsid w:val="00827C8E"/>
    <w:rsid w:val="00830569"/>
    <w:rsid w:val="00830AEA"/>
    <w:rsid w:val="00830E86"/>
    <w:rsid w:val="0083143E"/>
    <w:rsid w:val="008315B8"/>
    <w:rsid w:val="008315D5"/>
    <w:rsid w:val="00831CDE"/>
    <w:rsid w:val="00831F2B"/>
    <w:rsid w:val="008320CF"/>
    <w:rsid w:val="008324A3"/>
    <w:rsid w:val="00832F77"/>
    <w:rsid w:val="00834304"/>
    <w:rsid w:val="008343CE"/>
    <w:rsid w:val="0083471A"/>
    <w:rsid w:val="00834FAA"/>
    <w:rsid w:val="00835495"/>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E83"/>
    <w:rsid w:val="0085114D"/>
    <w:rsid w:val="00851163"/>
    <w:rsid w:val="008520A8"/>
    <w:rsid w:val="00852217"/>
    <w:rsid w:val="00853282"/>
    <w:rsid w:val="0085334C"/>
    <w:rsid w:val="00854291"/>
    <w:rsid w:val="00855408"/>
    <w:rsid w:val="00855D03"/>
    <w:rsid w:val="00856AA1"/>
    <w:rsid w:val="00856D65"/>
    <w:rsid w:val="00856FA4"/>
    <w:rsid w:val="00860D79"/>
    <w:rsid w:val="00861B41"/>
    <w:rsid w:val="00861B9F"/>
    <w:rsid w:val="00861BE3"/>
    <w:rsid w:val="00861EB6"/>
    <w:rsid w:val="008625D3"/>
    <w:rsid w:val="00862C0A"/>
    <w:rsid w:val="00863434"/>
    <w:rsid w:val="0086344F"/>
    <w:rsid w:val="008641AC"/>
    <w:rsid w:val="00865E4C"/>
    <w:rsid w:val="00866074"/>
    <w:rsid w:val="00867546"/>
    <w:rsid w:val="0086796D"/>
    <w:rsid w:val="00867DAB"/>
    <w:rsid w:val="0087000B"/>
    <w:rsid w:val="008701E4"/>
    <w:rsid w:val="008704E9"/>
    <w:rsid w:val="008705FB"/>
    <w:rsid w:val="00870ECD"/>
    <w:rsid w:val="0087347C"/>
    <w:rsid w:val="008734E7"/>
    <w:rsid w:val="0087368D"/>
    <w:rsid w:val="008740CC"/>
    <w:rsid w:val="0087442A"/>
    <w:rsid w:val="00874578"/>
    <w:rsid w:val="00874FE8"/>
    <w:rsid w:val="00875A32"/>
    <w:rsid w:val="00875CC1"/>
    <w:rsid w:val="00876086"/>
    <w:rsid w:val="00876651"/>
    <w:rsid w:val="00876E83"/>
    <w:rsid w:val="0087722C"/>
    <w:rsid w:val="008772BC"/>
    <w:rsid w:val="00880A0E"/>
    <w:rsid w:val="008817FE"/>
    <w:rsid w:val="00881CD7"/>
    <w:rsid w:val="00882911"/>
    <w:rsid w:val="00882F6E"/>
    <w:rsid w:val="00883202"/>
    <w:rsid w:val="00884E02"/>
    <w:rsid w:val="0088502B"/>
    <w:rsid w:val="00885D40"/>
    <w:rsid w:val="008873D4"/>
    <w:rsid w:val="008902A5"/>
    <w:rsid w:val="00890CB1"/>
    <w:rsid w:val="00891EDF"/>
    <w:rsid w:val="00892872"/>
    <w:rsid w:val="0089296D"/>
    <w:rsid w:val="00893E85"/>
    <w:rsid w:val="00893EBE"/>
    <w:rsid w:val="00894031"/>
    <w:rsid w:val="00894C5D"/>
    <w:rsid w:val="00895508"/>
    <w:rsid w:val="00895797"/>
    <w:rsid w:val="008967E9"/>
    <w:rsid w:val="00896A5C"/>
    <w:rsid w:val="00897155"/>
    <w:rsid w:val="008972D2"/>
    <w:rsid w:val="0089754C"/>
    <w:rsid w:val="00897CFA"/>
    <w:rsid w:val="008A0659"/>
    <w:rsid w:val="008A0ADD"/>
    <w:rsid w:val="008A0D27"/>
    <w:rsid w:val="008A1C59"/>
    <w:rsid w:val="008A2254"/>
    <w:rsid w:val="008A37E2"/>
    <w:rsid w:val="008A388E"/>
    <w:rsid w:val="008A394E"/>
    <w:rsid w:val="008A3CBA"/>
    <w:rsid w:val="008A4B59"/>
    <w:rsid w:val="008A63E1"/>
    <w:rsid w:val="008A66B7"/>
    <w:rsid w:val="008A68BB"/>
    <w:rsid w:val="008A6AA5"/>
    <w:rsid w:val="008A7127"/>
    <w:rsid w:val="008B02E7"/>
    <w:rsid w:val="008B0CBA"/>
    <w:rsid w:val="008B1850"/>
    <w:rsid w:val="008B2639"/>
    <w:rsid w:val="008B3537"/>
    <w:rsid w:val="008B35C1"/>
    <w:rsid w:val="008B3690"/>
    <w:rsid w:val="008B3A80"/>
    <w:rsid w:val="008B3AEC"/>
    <w:rsid w:val="008B3C07"/>
    <w:rsid w:val="008B3C6E"/>
    <w:rsid w:val="008B3F7B"/>
    <w:rsid w:val="008B43CA"/>
    <w:rsid w:val="008B5324"/>
    <w:rsid w:val="008B5C99"/>
    <w:rsid w:val="008B6106"/>
    <w:rsid w:val="008B7C02"/>
    <w:rsid w:val="008B7D2B"/>
    <w:rsid w:val="008B7EF9"/>
    <w:rsid w:val="008C0049"/>
    <w:rsid w:val="008C025A"/>
    <w:rsid w:val="008C0314"/>
    <w:rsid w:val="008C0E88"/>
    <w:rsid w:val="008C0EBE"/>
    <w:rsid w:val="008C1717"/>
    <w:rsid w:val="008C17F0"/>
    <w:rsid w:val="008C3A32"/>
    <w:rsid w:val="008C3B05"/>
    <w:rsid w:val="008C4B50"/>
    <w:rsid w:val="008C5A37"/>
    <w:rsid w:val="008C7569"/>
    <w:rsid w:val="008C79C3"/>
    <w:rsid w:val="008D006F"/>
    <w:rsid w:val="008D033D"/>
    <w:rsid w:val="008D06A2"/>
    <w:rsid w:val="008D0DBD"/>
    <w:rsid w:val="008D117E"/>
    <w:rsid w:val="008D127E"/>
    <w:rsid w:val="008D1CA8"/>
    <w:rsid w:val="008D1E0A"/>
    <w:rsid w:val="008D1E6A"/>
    <w:rsid w:val="008D2407"/>
    <w:rsid w:val="008D2A16"/>
    <w:rsid w:val="008D2AEC"/>
    <w:rsid w:val="008D3295"/>
    <w:rsid w:val="008D33F5"/>
    <w:rsid w:val="008D35E4"/>
    <w:rsid w:val="008D3ACD"/>
    <w:rsid w:val="008D3D21"/>
    <w:rsid w:val="008D6C3A"/>
    <w:rsid w:val="008D70E2"/>
    <w:rsid w:val="008D7F47"/>
    <w:rsid w:val="008E0001"/>
    <w:rsid w:val="008E039E"/>
    <w:rsid w:val="008E292B"/>
    <w:rsid w:val="008E2C57"/>
    <w:rsid w:val="008E31FF"/>
    <w:rsid w:val="008E3287"/>
    <w:rsid w:val="008E38E4"/>
    <w:rsid w:val="008E3DFA"/>
    <w:rsid w:val="008E419B"/>
    <w:rsid w:val="008E51EB"/>
    <w:rsid w:val="008E5746"/>
    <w:rsid w:val="008E64D7"/>
    <w:rsid w:val="008E6DCB"/>
    <w:rsid w:val="008E6E5D"/>
    <w:rsid w:val="008E6F06"/>
    <w:rsid w:val="008E7000"/>
    <w:rsid w:val="008E723E"/>
    <w:rsid w:val="008E7B8E"/>
    <w:rsid w:val="008E7FC9"/>
    <w:rsid w:val="008F0107"/>
    <w:rsid w:val="008F029B"/>
    <w:rsid w:val="008F0589"/>
    <w:rsid w:val="008F130B"/>
    <w:rsid w:val="008F2A5D"/>
    <w:rsid w:val="008F2BC7"/>
    <w:rsid w:val="008F2E83"/>
    <w:rsid w:val="008F3636"/>
    <w:rsid w:val="008F3FC9"/>
    <w:rsid w:val="008F418F"/>
    <w:rsid w:val="008F509F"/>
    <w:rsid w:val="008F525A"/>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2E3"/>
    <w:rsid w:val="0091155E"/>
    <w:rsid w:val="00912437"/>
    <w:rsid w:val="00912A92"/>
    <w:rsid w:val="00913237"/>
    <w:rsid w:val="00913B36"/>
    <w:rsid w:val="0091476D"/>
    <w:rsid w:val="00915D07"/>
    <w:rsid w:val="009162AE"/>
    <w:rsid w:val="00917154"/>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B2B"/>
    <w:rsid w:val="00926CF0"/>
    <w:rsid w:val="009273A9"/>
    <w:rsid w:val="00930251"/>
    <w:rsid w:val="0093033E"/>
    <w:rsid w:val="009305FC"/>
    <w:rsid w:val="00930FB1"/>
    <w:rsid w:val="0093139F"/>
    <w:rsid w:val="00932239"/>
    <w:rsid w:val="00932443"/>
    <w:rsid w:val="00932B32"/>
    <w:rsid w:val="0093305E"/>
    <w:rsid w:val="00933F4A"/>
    <w:rsid w:val="009341F1"/>
    <w:rsid w:val="00934FF2"/>
    <w:rsid w:val="009358D7"/>
    <w:rsid w:val="00935BD4"/>
    <w:rsid w:val="00935DFE"/>
    <w:rsid w:val="00935F70"/>
    <w:rsid w:val="009360FA"/>
    <w:rsid w:val="0093648B"/>
    <w:rsid w:val="00937017"/>
    <w:rsid w:val="009373B2"/>
    <w:rsid w:val="00937AE2"/>
    <w:rsid w:val="0094061F"/>
    <w:rsid w:val="00940F0F"/>
    <w:rsid w:val="00941912"/>
    <w:rsid w:val="0094416B"/>
    <w:rsid w:val="0094427A"/>
    <w:rsid w:val="009449C6"/>
    <w:rsid w:val="00944C7C"/>
    <w:rsid w:val="00945245"/>
    <w:rsid w:val="00945523"/>
    <w:rsid w:val="00946C43"/>
    <w:rsid w:val="00946FE0"/>
    <w:rsid w:val="00950921"/>
    <w:rsid w:val="00951D68"/>
    <w:rsid w:val="00951E5B"/>
    <w:rsid w:val="00952050"/>
    <w:rsid w:val="00952315"/>
    <w:rsid w:val="009523D9"/>
    <w:rsid w:val="00952B7B"/>
    <w:rsid w:val="0095357B"/>
    <w:rsid w:val="009538B3"/>
    <w:rsid w:val="00954F39"/>
    <w:rsid w:val="009555FD"/>
    <w:rsid w:val="00955BAD"/>
    <w:rsid w:val="0095664B"/>
    <w:rsid w:val="009568DC"/>
    <w:rsid w:val="00956B8B"/>
    <w:rsid w:val="00957140"/>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3"/>
    <w:rsid w:val="00977C3D"/>
    <w:rsid w:val="00980D3D"/>
    <w:rsid w:val="0098103E"/>
    <w:rsid w:val="0098157D"/>
    <w:rsid w:val="00983101"/>
    <w:rsid w:val="00983E41"/>
    <w:rsid w:val="009845E1"/>
    <w:rsid w:val="00984CE5"/>
    <w:rsid w:val="00984D1B"/>
    <w:rsid w:val="00986246"/>
    <w:rsid w:val="00987A30"/>
    <w:rsid w:val="00990312"/>
    <w:rsid w:val="009908AF"/>
    <w:rsid w:val="0099182E"/>
    <w:rsid w:val="00991D45"/>
    <w:rsid w:val="00992B49"/>
    <w:rsid w:val="00992BB3"/>
    <w:rsid w:val="00992CF3"/>
    <w:rsid w:val="00993194"/>
    <w:rsid w:val="0099321E"/>
    <w:rsid w:val="00993ECA"/>
    <w:rsid w:val="00994171"/>
    <w:rsid w:val="00994868"/>
    <w:rsid w:val="00994976"/>
    <w:rsid w:val="00994D28"/>
    <w:rsid w:val="00994F2C"/>
    <w:rsid w:val="00995720"/>
    <w:rsid w:val="009957CC"/>
    <w:rsid w:val="009968D6"/>
    <w:rsid w:val="00997953"/>
    <w:rsid w:val="00997D55"/>
    <w:rsid w:val="009A0BFF"/>
    <w:rsid w:val="009A10A0"/>
    <w:rsid w:val="009A12B7"/>
    <w:rsid w:val="009A1CAB"/>
    <w:rsid w:val="009A2359"/>
    <w:rsid w:val="009A24F1"/>
    <w:rsid w:val="009A27E0"/>
    <w:rsid w:val="009A4D57"/>
    <w:rsid w:val="009A51A5"/>
    <w:rsid w:val="009A5309"/>
    <w:rsid w:val="009A5759"/>
    <w:rsid w:val="009A60D1"/>
    <w:rsid w:val="009A6225"/>
    <w:rsid w:val="009A64F5"/>
    <w:rsid w:val="009B00D2"/>
    <w:rsid w:val="009B05B3"/>
    <w:rsid w:val="009B07C8"/>
    <w:rsid w:val="009B0CAF"/>
    <w:rsid w:val="009B1324"/>
    <w:rsid w:val="009B2558"/>
    <w:rsid w:val="009B284F"/>
    <w:rsid w:val="009B3742"/>
    <w:rsid w:val="009B3764"/>
    <w:rsid w:val="009B3840"/>
    <w:rsid w:val="009B52AC"/>
    <w:rsid w:val="009B553D"/>
    <w:rsid w:val="009B59EA"/>
    <w:rsid w:val="009B5B6E"/>
    <w:rsid w:val="009B66CE"/>
    <w:rsid w:val="009B6FD3"/>
    <w:rsid w:val="009B72BE"/>
    <w:rsid w:val="009B78A4"/>
    <w:rsid w:val="009B7DB2"/>
    <w:rsid w:val="009C03DB"/>
    <w:rsid w:val="009C15AF"/>
    <w:rsid w:val="009C1750"/>
    <w:rsid w:val="009C2E29"/>
    <w:rsid w:val="009C3E8F"/>
    <w:rsid w:val="009C554B"/>
    <w:rsid w:val="009C5E83"/>
    <w:rsid w:val="009C66F8"/>
    <w:rsid w:val="009C7126"/>
    <w:rsid w:val="009C719E"/>
    <w:rsid w:val="009C7799"/>
    <w:rsid w:val="009D07A9"/>
    <w:rsid w:val="009D0AE2"/>
    <w:rsid w:val="009D0D9F"/>
    <w:rsid w:val="009D0EBB"/>
    <w:rsid w:val="009D2C46"/>
    <w:rsid w:val="009D3ACD"/>
    <w:rsid w:val="009D4254"/>
    <w:rsid w:val="009D4F21"/>
    <w:rsid w:val="009D587D"/>
    <w:rsid w:val="009D6EA6"/>
    <w:rsid w:val="009D7731"/>
    <w:rsid w:val="009D78C3"/>
    <w:rsid w:val="009E1120"/>
    <w:rsid w:val="009E1393"/>
    <w:rsid w:val="009E1922"/>
    <w:rsid w:val="009E1A3D"/>
    <w:rsid w:val="009E4715"/>
    <w:rsid w:val="009E4A58"/>
    <w:rsid w:val="009E5273"/>
    <w:rsid w:val="009E57A8"/>
    <w:rsid w:val="009E5B85"/>
    <w:rsid w:val="009E5DDB"/>
    <w:rsid w:val="009F032E"/>
    <w:rsid w:val="009F1CA6"/>
    <w:rsid w:val="009F2921"/>
    <w:rsid w:val="009F3063"/>
    <w:rsid w:val="009F42CF"/>
    <w:rsid w:val="009F4982"/>
    <w:rsid w:val="009F4CA7"/>
    <w:rsid w:val="009F4F6A"/>
    <w:rsid w:val="009F55BA"/>
    <w:rsid w:val="009F7D36"/>
    <w:rsid w:val="009F7D61"/>
    <w:rsid w:val="00A00470"/>
    <w:rsid w:val="00A00E71"/>
    <w:rsid w:val="00A0187B"/>
    <w:rsid w:val="00A02E8B"/>
    <w:rsid w:val="00A0306F"/>
    <w:rsid w:val="00A03511"/>
    <w:rsid w:val="00A03B10"/>
    <w:rsid w:val="00A03E2E"/>
    <w:rsid w:val="00A04616"/>
    <w:rsid w:val="00A04717"/>
    <w:rsid w:val="00A05D8F"/>
    <w:rsid w:val="00A05EB1"/>
    <w:rsid w:val="00A05EE4"/>
    <w:rsid w:val="00A06F99"/>
    <w:rsid w:val="00A1053B"/>
    <w:rsid w:val="00A10D66"/>
    <w:rsid w:val="00A113A4"/>
    <w:rsid w:val="00A12A8E"/>
    <w:rsid w:val="00A133F9"/>
    <w:rsid w:val="00A1411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28B"/>
    <w:rsid w:val="00A20FE1"/>
    <w:rsid w:val="00A2102F"/>
    <w:rsid w:val="00A21B4D"/>
    <w:rsid w:val="00A22073"/>
    <w:rsid w:val="00A223E0"/>
    <w:rsid w:val="00A22959"/>
    <w:rsid w:val="00A23158"/>
    <w:rsid w:val="00A232D7"/>
    <w:rsid w:val="00A23847"/>
    <w:rsid w:val="00A23E43"/>
    <w:rsid w:val="00A24726"/>
    <w:rsid w:val="00A24DEB"/>
    <w:rsid w:val="00A24ED9"/>
    <w:rsid w:val="00A251DB"/>
    <w:rsid w:val="00A25216"/>
    <w:rsid w:val="00A2597D"/>
    <w:rsid w:val="00A25FC3"/>
    <w:rsid w:val="00A2628E"/>
    <w:rsid w:val="00A266BF"/>
    <w:rsid w:val="00A26777"/>
    <w:rsid w:val="00A269AB"/>
    <w:rsid w:val="00A2731E"/>
    <w:rsid w:val="00A309AC"/>
    <w:rsid w:val="00A30EA4"/>
    <w:rsid w:val="00A30F65"/>
    <w:rsid w:val="00A315D0"/>
    <w:rsid w:val="00A3279E"/>
    <w:rsid w:val="00A33DB1"/>
    <w:rsid w:val="00A33EEB"/>
    <w:rsid w:val="00A351C8"/>
    <w:rsid w:val="00A35900"/>
    <w:rsid w:val="00A35F33"/>
    <w:rsid w:val="00A401A3"/>
    <w:rsid w:val="00A40EAC"/>
    <w:rsid w:val="00A418BC"/>
    <w:rsid w:val="00A419FF"/>
    <w:rsid w:val="00A41FCF"/>
    <w:rsid w:val="00A42936"/>
    <w:rsid w:val="00A43CF8"/>
    <w:rsid w:val="00A43DF2"/>
    <w:rsid w:val="00A445A8"/>
    <w:rsid w:val="00A44B0D"/>
    <w:rsid w:val="00A44D21"/>
    <w:rsid w:val="00A45087"/>
    <w:rsid w:val="00A45489"/>
    <w:rsid w:val="00A45858"/>
    <w:rsid w:val="00A45CED"/>
    <w:rsid w:val="00A465E9"/>
    <w:rsid w:val="00A468E7"/>
    <w:rsid w:val="00A46DE0"/>
    <w:rsid w:val="00A47240"/>
    <w:rsid w:val="00A478BA"/>
    <w:rsid w:val="00A50D73"/>
    <w:rsid w:val="00A518BB"/>
    <w:rsid w:val="00A51A9B"/>
    <w:rsid w:val="00A52A88"/>
    <w:rsid w:val="00A52CAD"/>
    <w:rsid w:val="00A53340"/>
    <w:rsid w:val="00A53FC7"/>
    <w:rsid w:val="00A55569"/>
    <w:rsid w:val="00A55C36"/>
    <w:rsid w:val="00A5661B"/>
    <w:rsid w:val="00A566A0"/>
    <w:rsid w:val="00A601E7"/>
    <w:rsid w:val="00A60AC1"/>
    <w:rsid w:val="00A62162"/>
    <w:rsid w:val="00A626FF"/>
    <w:rsid w:val="00A62CE1"/>
    <w:rsid w:val="00A65469"/>
    <w:rsid w:val="00A65528"/>
    <w:rsid w:val="00A655D3"/>
    <w:rsid w:val="00A662D9"/>
    <w:rsid w:val="00A6630C"/>
    <w:rsid w:val="00A6741E"/>
    <w:rsid w:val="00A67E29"/>
    <w:rsid w:val="00A7016A"/>
    <w:rsid w:val="00A7018D"/>
    <w:rsid w:val="00A7191D"/>
    <w:rsid w:val="00A722F9"/>
    <w:rsid w:val="00A72D42"/>
    <w:rsid w:val="00A746C9"/>
    <w:rsid w:val="00A74C2A"/>
    <w:rsid w:val="00A75E40"/>
    <w:rsid w:val="00A76818"/>
    <w:rsid w:val="00A77D1D"/>
    <w:rsid w:val="00A77E6B"/>
    <w:rsid w:val="00A809AD"/>
    <w:rsid w:val="00A81652"/>
    <w:rsid w:val="00A82BF0"/>
    <w:rsid w:val="00A82C91"/>
    <w:rsid w:val="00A83150"/>
    <w:rsid w:val="00A83398"/>
    <w:rsid w:val="00A83D6E"/>
    <w:rsid w:val="00A83FD5"/>
    <w:rsid w:val="00A8521A"/>
    <w:rsid w:val="00A857C0"/>
    <w:rsid w:val="00A85ACB"/>
    <w:rsid w:val="00A87BF8"/>
    <w:rsid w:val="00A9036F"/>
    <w:rsid w:val="00A9092B"/>
    <w:rsid w:val="00A90F2C"/>
    <w:rsid w:val="00A90FED"/>
    <w:rsid w:val="00A91482"/>
    <w:rsid w:val="00A9189D"/>
    <w:rsid w:val="00A91E71"/>
    <w:rsid w:val="00A91EAD"/>
    <w:rsid w:val="00A925B1"/>
    <w:rsid w:val="00A92A3E"/>
    <w:rsid w:val="00A934F9"/>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4282"/>
    <w:rsid w:val="00AA43F2"/>
    <w:rsid w:val="00AA4790"/>
    <w:rsid w:val="00AA49E1"/>
    <w:rsid w:val="00AA52BF"/>
    <w:rsid w:val="00AA559A"/>
    <w:rsid w:val="00AA6C31"/>
    <w:rsid w:val="00AA7752"/>
    <w:rsid w:val="00AA7CE8"/>
    <w:rsid w:val="00AB1457"/>
    <w:rsid w:val="00AB2AF1"/>
    <w:rsid w:val="00AB32CB"/>
    <w:rsid w:val="00AB3AD7"/>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C5256"/>
    <w:rsid w:val="00AC78F1"/>
    <w:rsid w:val="00AC7B96"/>
    <w:rsid w:val="00AD0B22"/>
    <w:rsid w:val="00AD0EE7"/>
    <w:rsid w:val="00AD168E"/>
    <w:rsid w:val="00AD306C"/>
    <w:rsid w:val="00AD44CD"/>
    <w:rsid w:val="00AD47A7"/>
    <w:rsid w:val="00AD5AD2"/>
    <w:rsid w:val="00AD6462"/>
    <w:rsid w:val="00AD66C5"/>
    <w:rsid w:val="00AD68C4"/>
    <w:rsid w:val="00AD71F9"/>
    <w:rsid w:val="00AE09B3"/>
    <w:rsid w:val="00AE1A83"/>
    <w:rsid w:val="00AE2A78"/>
    <w:rsid w:val="00AE30BE"/>
    <w:rsid w:val="00AE3E6A"/>
    <w:rsid w:val="00AE417E"/>
    <w:rsid w:val="00AE56EE"/>
    <w:rsid w:val="00AE6414"/>
    <w:rsid w:val="00AE7269"/>
    <w:rsid w:val="00AE797C"/>
    <w:rsid w:val="00AE7CE7"/>
    <w:rsid w:val="00AE7FAB"/>
    <w:rsid w:val="00AF0DE4"/>
    <w:rsid w:val="00AF12A0"/>
    <w:rsid w:val="00AF1E87"/>
    <w:rsid w:val="00AF422A"/>
    <w:rsid w:val="00AF436B"/>
    <w:rsid w:val="00AF5179"/>
    <w:rsid w:val="00AF5CC2"/>
    <w:rsid w:val="00AF660D"/>
    <w:rsid w:val="00AF6776"/>
    <w:rsid w:val="00AF6F98"/>
    <w:rsid w:val="00AF7277"/>
    <w:rsid w:val="00B00550"/>
    <w:rsid w:val="00B00913"/>
    <w:rsid w:val="00B00D4D"/>
    <w:rsid w:val="00B01593"/>
    <w:rsid w:val="00B01D0F"/>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1B2"/>
    <w:rsid w:val="00B131B1"/>
    <w:rsid w:val="00B141B6"/>
    <w:rsid w:val="00B14BC1"/>
    <w:rsid w:val="00B154DE"/>
    <w:rsid w:val="00B162C3"/>
    <w:rsid w:val="00B16DD1"/>
    <w:rsid w:val="00B16EB8"/>
    <w:rsid w:val="00B1700A"/>
    <w:rsid w:val="00B17E71"/>
    <w:rsid w:val="00B17FDE"/>
    <w:rsid w:val="00B20632"/>
    <w:rsid w:val="00B2379C"/>
    <w:rsid w:val="00B23D5D"/>
    <w:rsid w:val="00B23E6E"/>
    <w:rsid w:val="00B2450C"/>
    <w:rsid w:val="00B2687D"/>
    <w:rsid w:val="00B27EC6"/>
    <w:rsid w:val="00B3108D"/>
    <w:rsid w:val="00B32DDB"/>
    <w:rsid w:val="00B32F57"/>
    <w:rsid w:val="00B3345C"/>
    <w:rsid w:val="00B343C4"/>
    <w:rsid w:val="00B34528"/>
    <w:rsid w:val="00B34750"/>
    <w:rsid w:val="00B34CC9"/>
    <w:rsid w:val="00B34CDA"/>
    <w:rsid w:val="00B35160"/>
    <w:rsid w:val="00B3563B"/>
    <w:rsid w:val="00B36BDC"/>
    <w:rsid w:val="00B37D3A"/>
    <w:rsid w:val="00B37D96"/>
    <w:rsid w:val="00B402FC"/>
    <w:rsid w:val="00B422E2"/>
    <w:rsid w:val="00B42517"/>
    <w:rsid w:val="00B42902"/>
    <w:rsid w:val="00B42D5F"/>
    <w:rsid w:val="00B43216"/>
    <w:rsid w:val="00B439DA"/>
    <w:rsid w:val="00B4411A"/>
    <w:rsid w:val="00B45FE8"/>
    <w:rsid w:val="00B46604"/>
    <w:rsid w:val="00B47089"/>
    <w:rsid w:val="00B47587"/>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60AC1"/>
    <w:rsid w:val="00B61FF6"/>
    <w:rsid w:val="00B62316"/>
    <w:rsid w:val="00B6274C"/>
    <w:rsid w:val="00B63A11"/>
    <w:rsid w:val="00B64425"/>
    <w:rsid w:val="00B64C24"/>
    <w:rsid w:val="00B64E72"/>
    <w:rsid w:val="00B65CEF"/>
    <w:rsid w:val="00B6608F"/>
    <w:rsid w:val="00B674C7"/>
    <w:rsid w:val="00B67749"/>
    <w:rsid w:val="00B679FB"/>
    <w:rsid w:val="00B71FBF"/>
    <w:rsid w:val="00B734A0"/>
    <w:rsid w:val="00B73A14"/>
    <w:rsid w:val="00B73FE8"/>
    <w:rsid w:val="00B748BD"/>
    <w:rsid w:val="00B74964"/>
    <w:rsid w:val="00B76100"/>
    <w:rsid w:val="00B7680F"/>
    <w:rsid w:val="00B76B48"/>
    <w:rsid w:val="00B76D1E"/>
    <w:rsid w:val="00B77543"/>
    <w:rsid w:val="00B77584"/>
    <w:rsid w:val="00B77E34"/>
    <w:rsid w:val="00B80D44"/>
    <w:rsid w:val="00B80D89"/>
    <w:rsid w:val="00B80EC6"/>
    <w:rsid w:val="00B81288"/>
    <w:rsid w:val="00B81D70"/>
    <w:rsid w:val="00B833B9"/>
    <w:rsid w:val="00B83AAF"/>
    <w:rsid w:val="00B83E07"/>
    <w:rsid w:val="00B84CF6"/>
    <w:rsid w:val="00B85016"/>
    <w:rsid w:val="00B8561A"/>
    <w:rsid w:val="00B86628"/>
    <w:rsid w:val="00B86643"/>
    <w:rsid w:val="00B868F7"/>
    <w:rsid w:val="00B86EB1"/>
    <w:rsid w:val="00B871A7"/>
    <w:rsid w:val="00B90131"/>
    <w:rsid w:val="00B92951"/>
    <w:rsid w:val="00B92D1D"/>
    <w:rsid w:val="00B92D7E"/>
    <w:rsid w:val="00B930CE"/>
    <w:rsid w:val="00B938C5"/>
    <w:rsid w:val="00B940A8"/>
    <w:rsid w:val="00B9554A"/>
    <w:rsid w:val="00B95940"/>
    <w:rsid w:val="00B95ACA"/>
    <w:rsid w:val="00B95C12"/>
    <w:rsid w:val="00B96D74"/>
    <w:rsid w:val="00B9720E"/>
    <w:rsid w:val="00B97ACC"/>
    <w:rsid w:val="00B97F3A"/>
    <w:rsid w:val="00B97FE2"/>
    <w:rsid w:val="00BA0E0B"/>
    <w:rsid w:val="00BA201A"/>
    <w:rsid w:val="00BA21DF"/>
    <w:rsid w:val="00BA361D"/>
    <w:rsid w:val="00BA3787"/>
    <w:rsid w:val="00BA403A"/>
    <w:rsid w:val="00BA46E8"/>
    <w:rsid w:val="00BA49DB"/>
    <w:rsid w:val="00BA4AE9"/>
    <w:rsid w:val="00BA4E19"/>
    <w:rsid w:val="00BA5125"/>
    <w:rsid w:val="00BA6436"/>
    <w:rsid w:val="00BA64F2"/>
    <w:rsid w:val="00BA684E"/>
    <w:rsid w:val="00BA6C2B"/>
    <w:rsid w:val="00BA7B64"/>
    <w:rsid w:val="00BB02A3"/>
    <w:rsid w:val="00BB0351"/>
    <w:rsid w:val="00BB15C3"/>
    <w:rsid w:val="00BB1AF4"/>
    <w:rsid w:val="00BB2202"/>
    <w:rsid w:val="00BB286B"/>
    <w:rsid w:val="00BB3C6B"/>
    <w:rsid w:val="00BB3FD6"/>
    <w:rsid w:val="00BB453F"/>
    <w:rsid w:val="00BB46F3"/>
    <w:rsid w:val="00BB4A71"/>
    <w:rsid w:val="00BB4CB1"/>
    <w:rsid w:val="00BB4E47"/>
    <w:rsid w:val="00BB4F98"/>
    <w:rsid w:val="00BB50C0"/>
    <w:rsid w:val="00BB5AB2"/>
    <w:rsid w:val="00BB5ABF"/>
    <w:rsid w:val="00BB5F94"/>
    <w:rsid w:val="00BB6EA2"/>
    <w:rsid w:val="00BB7142"/>
    <w:rsid w:val="00BB76F3"/>
    <w:rsid w:val="00BB7B5B"/>
    <w:rsid w:val="00BB7EB1"/>
    <w:rsid w:val="00BC003F"/>
    <w:rsid w:val="00BC06AA"/>
    <w:rsid w:val="00BC0930"/>
    <w:rsid w:val="00BC223A"/>
    <w:rsid w:val="00BC327F"/>
    <w:rsid w:val="00BC3512"/>
    <w:rsid w:val="00BC4B35"/>
    <w:rsid w:val="00BC50BE"/>
    <w:rsid w:val="00BC5332"/>
    <w:rsid w:val="00BC5715"/>
    <w:rsid w:val="00BC5C12"/>
    <w:rsid w:val="00BC641B"/>
    <w:rsid w:val="00BC7154"/>
    <w:rsid w:val="00BC731E"/>
    <w:rsid w:val="00BC7614"/>
    <w:rsid w:val="00BC7EFA"/>
    <w:rsid w:val="00BD041B"/>
    <w:rsid w:val="00BD25BB"/>
    <w:rsid w:val="00BD2AF8"/>
    <w:rsid w:val="00BD366B"/>
    <w:rsid w:val="00BD3C09"/>
    <w:rsid w:val="00BD410B"/>
    <w:rsid w:val="00BD4A73"/>
    <w:rsid w:val="00BD4EDD"/>
    <w:rsid w:val="00BD4EF4"/>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55EF"/>
    <w:rsid w:val="00BE652B"/>
    <w:rsid w:val="00BE7F5F"/>
    <w:rsid w:val="00BF02C8"/>
    <w:rsid w:val="00BF1578"/>
    <w:rsid w:val="00BF15CA"/>
    <w:rsid w:val="00BF1D12"/>
    <w:rsid w:val="00BF1D3A"/>
    <w:rsid w:val="00BF2B5B"/>
    <w:rsid w:val="00BF2D41"/>
    <w:rsid w:val="00BF3274"/>
    <w:rsid w:val="00BF32DC"/>
    <w:rsid w:val="00BF35C9"/>
    <w:rsid w:val="00BF4329"/>
    <w:rsid w:val="00BF4E43"/>
    <w:rsid w:val="00BF5C4C"/>
    <w:rsid w:val="00BF765C"/>
    <w:rsid w:val="00BF77FC"/>
    <w:rsid w:val="00C006D6"/>
    <w:rsid w:val="00C00BD7"/>
    <w:rsid w:val="00C01410"/>
    <w:rsid w:val="00C024BB"/>
    <w:rsid w:val="00C02D23"/>
    <w:rsid w:val="00C03D4D"/>
    <w:rsid w:val="00C044F4"/>
    <w:rsid w:val="00C04B78"/>
    <w:rsid w:val="00C052AA"/>
    <w:rsid w:val="00C06EE3"/>
    <w:rsid w:val="00C07279"/>
    <w:rsid w:val="00C07749"/>
    <w:rsid w:val="00C07C2F"/>
    <w:rsid w:val="00C07C67"/>
    <w:rsid w:val="00C10805"/>
    <w:rsid w:val="00C11244"/>
    <w:rsid w:val="00C118A9"/>
    <w:rsid w:val="00C11D48"/>
    <w:rsid w:val="00C12304"/>
    <w:rsid w:val="00C12316"/>
    <w:rsid w:val="00C1246C"/>
    <w:rsid w:val="00C1493E"/>
    <w:rsid w:val="00C15537"/>
    <w:rsid w:val="00C15DBD"/>
    <w:rsid w:val="00C161C5"/>
    <w:rsid w:val="00C172F7"/>
    <w:rsid w:val="00C2010D"/>
    <w:rsid w:val="00C20CB5"/>
    <w:rsid w:val="00C21430"/>
    <w:rsid w:val="00C216DF"/>
    <w:rsid w:val="00C21E61"/>
    <w:rsid w:val="00C21F94"/>
    <w:rsid w:val="00C224BD"/>
    <w:rsid w:val="00C2272B"/>
    <w:rsid w:val="00C234DB"/>
    <w:rsid w:val="00C23C5C"/>
    <w:rsid w:val="00C2479A"/>
    <w:rsid w:val="00C24903"/>
    <w:rsid w:val="00C2590D"/>
    <w:rsid w:val="00C25D9C"/>
    <w:rsid w:val="00C26086"/>
    <w:rsid w:val="00C27913"/>
    <w:rsid w:val="00C27FA7"/>
    <w:rsid w:val="00C300E2"/>
    <w:rsid w:val="00C31F21"/>
    <w:rsid w:val="00C32631"/>
    <w:rsid w:val="00C33301"/>
    <w:rsid w:val="00C33311"/>
    <w:rsid w:val="00C33B68"/>
    <w:rsid w:val="00C34AD4"/>
    <w:rsid w:val="00C35570"/>
    <w:rsid w:val="00C3579B"/>
    <w:rsid w:val="00C35A2A"/>
    <w:rsid w:val="00C36A79"/>
    <w:rsid w:val="00C401A9"/>
    <w:rsid w:val="00C401D2"/>
    <w:rsid w:val="00C4031A"/>
    <w:rsid w:val="00C405D4"/>
    <w:rsid w:val="00C419D5"/>
    <w:rsid w:val="00C41D54"/>
    <w:rsid w:val="00C42EBB"/>
    <w:rsid w:val="00C435E8"/>
    <w:rsid w:val="00C4513B"/>
    <w:rsid w:val="00C475E8"/>
    <w:rsid w:val="00C50E79"/>
    <w:rsid w:val="00C5197D"/>
    <w:rsid w:val="00C525FB"/>
    <w:rsid w:val="00C527AD"/>
    <w:rsid w:val="00C5390B"/>
    <w:rsid w:val="00C540D3"/>
    <w:rsid w:val="00C54257"/>
    <w:rsid w:val="00C54697"/>
    <w:rsid w:val="00C550CE"/>
    <w:rsid w:val="00C553A5"/>
    <w:rsid w:val="00C55402"/>
    <w:rsid w:val="00C5603B"/>
    <w:rsid w:val="00C6020C"/>
    <w:rsid w:val="00C60AE3"/>
    <w:rsid w:val="00C61F47"/>
    <w:rsid w:val="00C62828"/>
    <w:rsid w:val="00C63132"/>
    <w:rsid w:val="00C655DA"/>
    <w:rsid w:val="00C672C1"/>
    <w:rsid w:val="00C706D2"/>
    <w:rsid w:val="00C715CC"/>
    <w:rsid w:val="00C719A3"/>
    <w:rsid w:val="00C71D2F"/>
    <w:rsid w:val="00C72984"/>
    <w:rsid w:val="00C72BC7"/>
    <w:rsid w:val="00C73885"/>
    <w:rsid w:val="00C73C93"/>
    <w:rsid w:val="00C7435A"/>
    <w:rsid w:val="00C747B1"/>
    <w:rsid w:val="00C75510"/>
    <w:rsid w:val="00C755F9"/>
    <w:rsid w:val="00C75752"/>
    <w:rsid w:val="00C75B60"/>
    <w:rsid w:val="00C761EC"/>
    <w:rsid w:val="00C770C9"/>
    <w:rsid w:val="00C8019E"/>
    <w:rsid w:val="00C81070"/>
    <w:rsid w:val="00C8174E"/>
    <w:rsid w:val="00C82191"/>
    <w:rsid w:val="00C83134"/>
    <w:rsid w:val="00C831E7"/>
    <w:rsid w:val="00C832F3"/>
    <w:rsid w:val="00C84307"/>
    <w:rsid w:val="00C845A4"/>
    <w:rsid w:val="00C8504C"/>
    <w:rsid w:val="00C85545"/>
    <w:rsid w:val="00C855B5"/>
    <w:rsid w:val="00C85F0E"/>
    <w:rsid w:val="00C867F9"/>
    <w:rsid w:val="00C872AA"/>
    <w:rsid w:val="00C87C6B"/>
    <w:rsid w:val="00C90357"/>
    <w:rsid w:val="00C90CF4"/>
    <w:rsid w:val="00C91C20"/>
    <w:rsid w:val="00C922DE"/>
    <w:rsid w:val="00C92843"/>
    <w:rsid w:val="00C929FE"/>
    <w:rsid w:val="00C92EB6"/>
    <w:rsid w:val="00C93389"/>
    <w:rsid w:val="00C948E6"/>
    <w:rsid w:val="00C94CDD"/>
    <w:rsid w:val="00C95123"/>
    <w:rsid w:val="00C97588"/>
    <w:rsid w:val="00CA0346"/>
    <w:rsid w:val="00CA0649"/>
    <w:rsid w:val="00CA0BD5"/>
    <w:rsid w:val="00CA0DA1"/>
    <w:rsid w:val="00CA1BD6"/>
    <w:rsid w:val="00CA2D95"/>
    <w:rsid w:val="00CA37FF"/>
    <w:rsid w:val="00CA423A"/>
    <w:rsid w:val="00CA47BC"/>
    <w:rsid w:val="00CA5EAD"/>
    <w:rsid w:val="00CA6AB4"/>
    <w:rsid w:val="00CA7255"/>
    <w:rsid w:val="00CA79E2"/>
    <w:rsid w:val="00CA7E12"/>
    <w:rsid w:val="00CB111E"/>
    <w:rsid w:val="00CB18B2"/>
    <w:rsid w:val="00CB1BEE"/>
    <w:rsid w:val="00CB2351"/>
    <w:rsid w:val="00CB2BF7"/>
    <w:rsid w:val="00CB3605"/>
    <w:rsid w:val="00CB4022"/>
    <w:rsid w:val="00CB4257"/>
    <w:rsid w:val="00CB4930"/>
    <w:rsid w:val="00CB4BA9"/>
    <w:rsid w:val="00CB4C48"/>
    <w:rsid w:val="00CB4C63"/>
    <w:rsid w:val="00CB5A48"/>
    <w:rsid w:val="00CB5E10"/>
    <w:rsid w:val="00CB613B"/>
    <w:rsid w:val="00CB6152"/>
    <w:rsid w:val="00CB64E1"/>
    <w:rsid w:val="00CB6C6F"/>
    <w:rsid w:val="00CB6E4D"/>
    <w:rsid w:val="00CC009B"/>
    <w:rsid w:val="00CC0834"/>
    <w:rsid w:val="00CC0AEA"/>
    <w:rsid w:val="00CC20FE"/>
    <w:rsid w:val="00CC225C"/>
    <w:rsid w:val="00CC2E7D"/>
    <w:rsid w:val="00CC469E"/>
    <w:rsid w:val="00CC5BE8"/>
    <w:rsid w:val="00CC612B"/>
    <w:rsid w:val="00CC655F"/>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5EE0"/>
    <w:rsid w:val="00CD6331"/>
    <w:rsid w:val="00CD7E9E"/>
    <w:rsid w:val="00CE12FB"/>
    <w:rsid w:val="00CE14BE"/>
    <w:rsid w:val="00CE17A4"/>
    <w:rsid w:val="00CE1BA9"/>
    <w:rsid w:val="00CE2D8F"/>
    <w:rsid w:val="00CE3532"/>
    <w:rsid w:val="00CE3E48"/>
    <w:rsid w:val="00CE46C0"/>
    <w:rsid w:val="00CE47B8"/>
    <w:rsid w:val="00CE54FD"/>
    <w:rsid w:val="00CE5C92"/>
    <w:rsid w:val="00CE5E12"/>
    <w:rsid w:val="00CE62FA"/>
    <w:rsid w:val="00CE670B"/>
    <w:rsid w:val="00CE6833"/>
    <w:rsid w:val="00CE7562"/>
    <w:rsid w:val="00CF020B"/>
    <w:rsid w:val="00CF0E03"/>
    <w:rsid w:val="00CF15BF"/>
    <w:rsid w:val="00CF2E4D"/>
    <w:rsid w:val="00CF35A7"/>
    <w:rsid w:val="00CF4205"/>
    <w:rsid w:val="00CF4908"/>
    <w:rsid w:val="00CF51EC"/>
    <w:rsid w:val="00CF545D"/>
    <w:rsid w:val="00CF5873"/>
    <w:rsid w:val="00CF6AB7"/>
    <w:rsid w:val="00CF73AE"/>
    <w:rsid w:val="00CF7777"/>
    <w:rsid w:val="00D0085A"/>
    <w:rsid w:val="00D0197F"/>
    <w:rsid w:val="00D01B31"/>
    <w:rsid w:val="00D0242D"/>
    <w:rsid w:val="00D02716"/>
    <w:rsid w:val="00D03842"/>
    <w:rsid w:val="00D03A72"/>
    <w:rsid w:val="00D040DD"/>
    <w:rsid w:val="00D04134"/>
    <w:rsid w:val="00D05C65"/>
    <w:rsid w:val="00D06B56"/>
    <w:rsid w:val="00D06D68"/>
    <w:rsid w:val="00D075BE"/>
    <w:rsid w:val="00D07AFF"/>
    <w:rsid w:val="00D07CC2"/>
    <w:rsid w:val="00D10C15"/>
    <w:rsid w:val="00D11011"/>
    <w:rsid w:val="00D11476"/>
    <w:rsid w:val="00D12C25"/>
    <w:rsid w:val="00D133B4"/>
    <w:rsid w:val="00D13986"/>
    <w:rsid w:val="00D13F3E"/>
    <w:rsid w:val="00D14C5B"/>
    <w:rsid w:val="00D15D3A"/>
    <w:rsid w:val="00D15FED"/>
    <w:rsid w:val="00D16712"/>
    <w:rsid w:val="00D174E0"/>
    <w:rsid w:val="00D214EF"/>
    <w:rsid w:val="00D215B0"/>
    <w:rsid w:val="00D21B36"/>
    <w:rsid w:val="00D21D6D"/>
    <w:rsid w:val="00D21D83"/>
    <w:rsid w:val="00D22A47"/>
    <w:rsid w:val="00D235B7"/>
    <w:rsid w:val="00D23A99"/>
    <w:rsid w:val="00D23FAE"/>
    <w:rsid w:val="00D25F28"/>
    <w:rsid w:val="00D26071"/>
    <w:rsid w:val="00D260C7"/>
    <w:rsid w:val="00D26133"/>
    <w:rsid w:val="00D269B9"/>
    <w:rsid w:val="00D26E6B"/>
    <w:rsid w:val="00D27973"/>
    <w:rsid w:val="00D27F07"/>
    <w:rsid w:val="00D27F3A"/>
    <w:rsid w:val="00D31537"/>
    <w:rsid w:val="00D31E1E"/>
    <w:rsid w:val="00D322A0"/>
    <w:rsid w:val="00D32824"/>
    <w:rsid w:val="00D33297"/>
    <w:rsid w:val="00D334E2"/>
    <w:rsid w:val="00D335E5"/>
    <w:rsid w:val="00D350B1"/>
    <w:rsid w:val="00D35AD6"/>
    <w:rsid w:val="00D35BBB"/>
    <w:rsid w:val="00D35E1A"/>
    <w:rsid w:val="00D36B0A"/>
    <w:rsid w:val="00D36DFB"/>
    <w:rsid w:val="00D36E1C"/>
    <w:rsid w:val="00D373AF"/>
    <w:rsid w:val="00D40556"/>
    <w:rsid w:val="00D418E9"/>
    <w:rsid w:val="00D41F74"/>
    <w:rsid w:val="00D428C8"/>
    <w:rsid w:val="00D43034"/>
    <w:rsid w:val="00D43ED2"/>
    <w:rsid w:val="00D50F46"/>
    <w:rsid w:val="00D5302A"/>
    <w:rsid w:val="00D533C4"/>
    <w:rsid w:val="00D5384E"/>
    <w:rsid w:val="00D544E7"/>
    <w:rsid w:val="00D5499F"/>
    <w:rsid w:val="00D5560A"/>
    <w:rsid w:val="00D56FBF"/>
    <w:rsid w:val="00D57677"/>
    <w:rsid w:val="00D5781F"/>
    <w:rsid w:val="00D60415"/>
    <w:rsid w:val="00D60DAE"/>
    <w:rsid w:val="00D60E3C"/>
    <w:rsid w:val="00D60FA7"/>
    <w:rsid w:val="00D61FAB"/>
    <w:rsid w:val="00D62C4E"/>
    <w:rsid w:val="00D63BE5"/>
    <w:rsid w:val="00D6475F"/>
    <w:rsid w:val="00D652EB"/>
    <w:rsid w:val="00D655D4"/>
    <w:rsid w:val="00D66223"/>
    <w:rsid w:val="00D667B8"/>
    <w:rsid w:val="00D67D55"/>
    <w:rsid w:val="00D70289"/>
    <w:rsid w:val="00D7041F"/>
    <w:rsid w:val="00D70822"/>
    <w:rsid w:val="00D72076"/>
    <w:rsid w:val="00D721B4"/>
    <w:rsid w:val="00D726A9"/>
    <w:rsid w:val="00D72DBA"/>
    <w:rsid w:val="00D743E0"/>
    <w:rsid w:val="00D7469D"/>
    <w:rsid w:val="00D7490C"/>
    <w:rsid w:val="00D75AC1"/>
    <w:rsid w:val="00D77252"/>
    <w:rsid w:val="00D8084C"/>
    <w:rsid w:val="00D81809"/>
    <w:rsid w:val="00D82EF1"/>
    <w:rsid w:val="00D84CC9"/>
    <w:rsid w:val="00D84F43"/>
    <w:rsid w:val="00D85114"/>
    <w:rsid w:val="00D85821"/>
    <w:rsid w:val="00D8598C"/>
    <w:rsid w:val="00D87C06"/>
    <w:rsid w:val="00D915EA"/>
    <w:rsid w:val="00D919ED"/>
    <w:rsid w:val="00D922A1"/>
    <w:rsid w:val="00D928BE"/>
    <w:rsid w:val="00D92CD7"/>
    <w:rsid w:val="00D932B8"/>
    <w:rsid w:val="00D932F0"/>
    <w:rsid w:val="00D95302"/>
    <w:rsid w:val="00D95889"/>
    <w:rsid w:val="00D95C5D"/>
    <w:rsid w:val="00D95CBE"/>
    <w:rsid w:val="00D95E7F"/>
    <w:rsid w:val="00D97D00"/>
    <w:rsid w:val="00DA0121"/>
    <w:rsid w:val="00DA096C"/>
    <w:rsid w:val="00DA1AB6"/>
    <w:rsid w:val="00DA2E65"/>
    <w:rsid w:val="00DA37DE"/>
    <w:rsid w:val="00DA3ADF"/>
    <w:rsid w:val="00DA4174"/>
    <w:rsid w:val="00DA544C"/>
    <w:rsid w:val="00DA5F8E"/>
    <w:rsid w:val="00DA6364"/>
    <w:rsid w:val="00DA7114"/>
    <w:rsid w:val="00DA7C0C"/>
    <w:rsid w:val="00DA7E2F"/>
    <w:rsid w:val="00DB03DD"/>
    <w:rsid w:val="00DB08A9"/>
    <w:rsid w:val="00DB0B33"/>
    <w:rsid w:val="00DB0FD9"/>
    <w:rsid w:val="00DB13EF"/>
    <w:rsid w:val="00DB2DFA"/>
    <w:rsid w:val="00DB2EC8"/>
    <w:rsid w:val="00DB321D"/>
    <w:rsid w:val="00DB459B"/>
    <w:rsid w:val="00DB47FD"/>
    <w:rsid w:val="00DB5E3A"/>
    <w:rsid w:val="00DB5E9A"/>
    <w:rsid w:val="00DB613B"/>
    <w:rsid w:val="00DB657E"/>
    <w:rsid w:val="00DB7342"/>
    <w:rsid w:val="00DB7489"/>
    <w:rsid w:val="00DC0B4D"/>
    <w:rsid w:val="00DC0CBB"/>
    <w:rsid w:val="00DC17D0"/>
    <w:rsid w:val="00DC1E5D"/>
    <w:rsid w:val="00DC2B41"/>
    <w:rsid w:val="00DC2EA7"/>
    <w:rsid w:val="00DC3128"/>
    <w:rsid w:val="00DC435B"/>
    <w:rsid w:val="00DC4AC4"/>
    <w:rsid w:val="00DC53D8"/>
    <w:rsid w:val="00DC56FE"/>
    <w:rsid w:val="00DC5B3B"/>
    <w:rsid w:val="00DC5F11"/>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273F"/>
    <w:rsid w:val="00DE27CD"/>
    <w:rsid w:val="00DE2B97"/>
    <w:rsid w:val="00DE3231"/>
    <w:rsid w:val="00DE3E22"/>
    <w:rsid w:val="00DE3E5D"/>
    <w:rsid w:val="00DE450F"/>
    <w:rsid w:val="00DE4865"/>
    <w:rsid w:val="00DE5CA6"/>
    <w:rsid w:val="00DE5E55"/>
    <w:rsid w:val="00DE6209"/>
    <w:rsid w:val="00DE63AE"/>
    <w:rsid w:val="00DE7156"/>
    <w:rsid w:val="00DE7AC8"/>
    <w:rsid w:val="00DF0830"/>
    <w:rsid w:val="00DF1D57"/>
    <w:rsid w:val="00DF2C5D"/>
    <w:rsid w:val="00DF2CD3"/>
    <w:rsid w:val="00DF3643"/>
    <w:rsid w:val="00DF42FF"/>
    <w:rsid w:val="00DF4369"/>
    <w:rsid w:val="00DF4423"/>
    <w:rsid w:val="00DF4ADF"/>
    <w:rsid w:val="00DF57D6"/>
    <w:rsid w:val="00DF5D1E"/>
    <w:rsid w:val="00DF77E4"/>
    <w:rsid w:val="00DF7F88"/>
    <w:rsid w:val="00E00B88"/>
    <w:rsid w:val="00E01C0E"/>
    <w:rsid w:val="00E0368F"/>
    <w:rsid w:val="00E03D73"/>
    <w:rsid w:val="00E03F9A"/>
    <w:rsid w:val="00E040DA"/>
    <w:rsid w:val="00E04694"/>
    <w:rsid w:val="00E05333"/>
    <w:rsid w:val="00E1168B"/>
    <w:rsid w:val="00E12191"/>
    <w:rsid w:val="00E129E7"/>
    <w:rsid w:val="00E12ABE"/>
    <w:rsid w:val="00E12B1E"/>
    <w:rsid w:val="00E135EB"/>
    <w:rsid w:val="00E13995"/>
    <w:rsid w:val="00E1444C"/>
    <w:rsid w:val="00E159C6"/>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274BB"/>
    <w:rsid w:val="00E30F15"/>
    <w:rsid w:val="00E31771"/>
    <w:rsid w:val="00E3186D"/>
    <w:rsid w:val="00E31A3E"/>
    <w:rsid w:val="00E32080"/>
    <w:rsid w:val="00E32778"/>
    <w:rsid w:val="00E3309D"/>
    <w:rsid w:val="00E34E3F"/>
    <w:rsid w:val="00E350B1"/>
    <w:rsid w:val="00E35A53"/>
    <w:rsid w:val="00E3634A"/>
    <w:rsid w:val="00E3656B"/>
    <w:rsid w:val="00E3712B"/>
    <w:rsid w:val="00E3724A"/>
    <w:rsid w:val="00E378B1"/>
    <w:rsid w:val="00E41131"/>
    <w:rsid w:val="00E41179"/>
    <w:rsid w:val="00E417BE"/>
    <w:rsid w:val="00E41CD5"/>
    <w:rsid w:val="00E42054"/>
    <w:rsid w:val="00E4372D"/>
    <w:rsid w:val="00E43A9E"/>
    <w:rsid w:val="00E44243"/>
    <w:rsid w:val="00E453F9"/>
    <w:rsid w:val="00E45D7D"/>
    <w:rsid w:val="00E4623F"/>
    <w:rsid w:val="00E4665D"/>
    <w:rsid w:val="00E47854"/>
    <w:rsid w:val="00E478E2"/>
    <w:rsid w:val="00E47C5D"/>
    <w:rsid w:val="00E47EBA"/>
    <w:rsid w:val="00E50156"/>
    <w:rsid w:val="00E504EB"/>
    <w:rsid w:val="00E5076C"/>
    <w:rsid w:val="00E50D2E"/>
    <w:rsid w:val="00E50D7D"/>
    <w:rsid w:val="00E51EF0"/>
    <w:rsid w:val="00E53470"/>
    <w:rsid w:val="00E5368D"/>
    <w:rsid w:val="00E539F6"/>
    <w:rsid w:val="00E54698"/>
    <w:rsid w:val="00E54BE9"/>
    <w:rsid w:val="00E54D22"/>
    <w:rsid w:val="00E54FB4"/>
    <w:rsid w:val="00E5539A"/>
    <w:rsid w:val="00E55791"/>
    <w:rsid w:val="00E55E1A"/>
    <w:rsid w:val="00E578A2"/>
    <w:rsid w:val="00E579ED"/>
    <w:rsid w:val="00E60043"/>
    <w:rsid w:val="00E61740"/>
    <w:rsid w:val="00E61EB5"/>
    <w:rsid w:val="00E6324D"/>
    <w:rsid w:val="00E647C1"/>
    <w:rsid w:val="00E65084"/>
    <w:rsid w:val="00E6519D"/>
    <w:rsid w:val="00E66062"/>
    <w:rsid w:val="00E6660E"/>
    <w:rsid w:val="00E66768"/>
    <w:rsid w:val="00E67305"/>
    <w:rsid w:val="00E67696"/>
    <w:rsid w:val="00E709AF"/>
    <w:rsid w:val="00E70C5F"/>
    <w:rsid w:val="00E71A58"/>
    <w:rsid w:val="00E728D7"/>
    <w:rsid w:val="00E72A26"/>
    <w:rsid w:val="00E72A7A"/>
    <w:rsid w:val="00E7335A"/>
    <w:rsid w:val="00E73986"/>
    <w:rsid w:val="00E7467D"/>
    <w:rsid w:val="00E747DC"/>
    <w:rsid w:val="00E74A2D"/>
    <w:rsid w:val="00E75C94"/>
    <w:rsid w:val="00E76A08"/>
    <w:rsid w:val="00E76B9B"/>
    <w:rsid w:val="00E76E61"/>
    <w:rsid w:val="00E76EE4"/>
    <w:rsid w:val="00E77CC0"/>
    <w:rsid w:val="00E80B3D"/>
    <w:rsid w:val="00E80CA3"/>
    <w:rsid w:val="00E81AAA"/>
    <w:rsid w:val="00E82618"/>
    <w:rsid w:val="00E82A42"/>
    <w:rsid w:val="00E82AB6"/>
    <w:rsid w:val="00E84E09"/>
    <w:rsid w:val="00E87CE2"/>
    <w:rsid w:val="00E87D5B"/>
    <w:rsid w:val="00E90CA8"/>
    <w:rsid w:val="00E911C6"/>
    <w:rsid w:val="00E920DE"/>
    <w:rsid w:val="00E930A1"/>
    <w:rsid w:val="00E93820"/>
    <w:rsid w:val="00E93FD5"/>
    <w:rsid w:val="00E94A86"/>
    <w:rsid w:val="00E951AB"/>
    <w:rsid w:val="00E953F6"/>
    <w:rsid w:val="00E96143"/>
    <w:rsid w:val="00E96833"/>
    <w:rsid w:val="00E97506"/>
    <w:rsid w:val="00E97BB5"/>
    <w:rsid w:val="00E97D5B"/>
    <w:rsid w:val="00E97F14"/>
    <w:rsid w:val="00EA0B1A"/>
    <w:rsid w:val="00EA0C68"/>
    <w:rsid w:val="00EA0E39"/>
    <w:rsid w:val="00EA1D0E"/>
    <w:rsid w:val="00EA1EBB"/>
    <w:rsid w:val="00EA2072"/>
    <w:rsid w:val="00EA2841"/>
    <w:rsid w:val="00EA32BC"/>
    <w:rsid w:val="00EA35A7"/>
    <w:rsid w:val="00EA3B32"/>
    <w:rsid w:val="00EA3CEB"/>
    <w:rsid w:val="00EA3D05"/>
    <w:rsid w:val="00EA4222"/>
    <w:rsid w:val="00EA4402"/>
    <w:rsid w:val="00EA4B8D"/>
    <w:rsid w:val="00EA513E"/>
    <w:rsid w:val="00EA7419"/>
    <w:rsid w:val="00EB0E32"/>
    <w:rsid w:val="00EB1CDC"/>
    <w:rsid w:val="00EB1D89"/>
    <w:rsid w:val="00EB3E60"/>
    <w:rsid w:val="00EB4511"/>
    <w:rsid w:val="00EB48D7"/>
    <w:rsid w:val="00EB49F1"/>
    <w:rsid w:val="00EB4A8E"/>
    <w:rsid w:val="00EB4BC5"/>
    <w:rsid w:val="00EB5BF7"/>
    <w:rsid w:val="00EB5E79"/>
    <w:rsid w:val="00EB6473"/>
    <w:rsid w:val="00EB6DA6"/>
    <w:rsid w:val="00EB6FAC"/>
    <w:rsid w:val="00EB7BAC"/>
    <w:rsid w:val="00EB7CC9"/>
    <w:rsid w:val="00EC03D7"/>
    <w:rsid w:val="00EC13A7"/>
    <w:rsid w:val="00EC189D"/>
    <w:rsid w:val="00EC2EB6"/>
    <w:rsid w:val="00EC4FFF"/>
    <w:rsid w:val="00EC5517"/>
    <w:rsid w:val="00EC6E8C"/>
    <w:rsid w:val="00ED0962"/>
    <w:rsid w:val="00ED0EF0"/>
    <w:rsid w:val="00ED0F73"/>
    <w:rsid w:val="00ED12B9"/>
    <w:rsid w:val="00ED16B8"/>
    <w:rsid w:val="00ED1959"/>
    <w:rsid w:val="00ED1A00"/>
    <w:rsid w:val="00ED1DF0"/>
    <w:rsid w:val="00ED2386"/>
    <w:rsid w:val="00ED2525"/>
    <w:rsid w:val="00ED2EA1"/>
    <w:rsid w:val="00ED3851"/>
    <w:rsid w:val="00ED3E51"/>
    <w:rsid w:val="00ED3F10"/>
    <w:rsid w:val="00ED3F9B"/>
    <w:rsid w:val="00ED3FB3"/>
    <w:rsid w:val="00ED4D04"/>
    <w:rsid w:val="00ED566D"/>
    <w:rsid w:val="00ED5907"/>
    <w:rsid w:val="00ED5F5B"/>
    <w:rsid w:val="00ED62C6"/>
    <w:rsid w:val="00ED64C1"/>
    <w:rsid w:val="00ED781F"/>
    <w:rsid w:val="00EE0E7E"/>
    <w:rsid w:val="00EE249F"/>
    <w:rsid w:val="00EE2EB4"/>
    <w:rsid w:val="00EE3446"/>
    <w:rsid w:val="00EE3E78"/>
    <w:rsid w:val="00EE41FD"/>
    <w:rsid w:val="00EE460E"/>
    <w:rsid w:val="00EE4B1B"/>
    <w:rsid w:val="00EE5FBA"/>
    <w:rsid w:val="00EE601C"/>
    <w:rsid w:val="00EE6A09"/>
    <w:rsid w:val="00EE6E06"/>
    <w:rsid w:val="00EE7179"/>
    <w:rsid w:val="00EF0D90"/>
    <w:rsid w:val="00EF150D"/>
    <w:rsid w:val="00EF1967"/>
    <w:rsid w:val="00EF1F5A"/>
    <w:rsid w:val="00EF23B5"/>
    <w:rsid w:val="00EF326A"/>
    <w:rsid w:val="00EF3898"/>
    <w:rsid w:val="00EF47BF"/>
    <w:rsid w:val="00EF52F7"/>
    <w:rsid w:val="00EF54CF"/>
    <w:rsid w:val="00EF59B1"/>
    <w:rsid w:val="00EF5A13"/>
    <w:rsid w:val="00EF5FF9"/>
    <w:rsid w:val="00EF77D4"/>
    <w:rsid w:val="00EF7CC7"/>
    <w:rsid w:val="00F00535"/>
    <w:rsid w:val="00F00853"/>
    <w:rsid w:val="00F00866"/>
    <w:rsid w:val="00F00EC8"/>
    <w:rsid w:val="00F0160B"/>
    <w:rsid w:val="00F0193E"/>
    <w:rsid w:val="00F03E2F"/>
    <w:rsid w:val="00F03F8D"/>
    <w:rsid w:val="00F04811"/>
    <w:rsid w:val="00F0488C"/>
    <w:rsid w:val="00F04955"/>
    <w:rsid w:val="00F052D2"/>
    <w:rsid w:val="00F06002"/>
    <w:rsid w:val="00F067B8"/>
    <w:rsid w:val="00F0730A"/>
    <w:rsid w:val="00F073ED"/>
    <w:rsid w:val="00F07C4C"/>
    <w:rsid w:val="00F07E45"/>
    <w:rsid w:val="00F10F11"/>
    <w:rsid w:val="00F11159"/>
    <w:rsid w:val="00F1152E"/>
    <w:rsid w:val="00F115E4"/>
    <w:rsid w:val="00F11AC4"/>
    <w:rsid w:val="00F11FDC"/>
    <w:rsid w:val="00F120A5"/>
    <w:rsid w:val="00F12CFB"/>
    <w:rsid w:val="00F13E60"/>
    <w:rsid w:val="00F13FDB"/>
    <w:rsid w:val="00F15AAA"/>
    <w:rsid w:val="00F15BEF"/>
    <w:rsid w:val="00F1770C"/>
    <w:rsid w:val="00F17898"/>
    <w:rsid w:val="00F204BF"/>
    <w:rsid w:val="00F207C2"/>
    <w:rsid w:val="00F21337"/>
    <w:rsid w:val="00F219A1"/>
    <w:rsid w:val="00F23927"/>
    <w:rsid w:val="00F23E20"/>
    <w:rsid w:val="00F24407"/>
    <w:rsid w:val="00F249CE"/>
    <w:rsid w:val="00F24FAA"/>
    <w:rsid w:val="00F25040"/>
    <w:rsid w:val="00F269D7"/>
    <w:rsid w:val="00F26FB5"/>
    <w:rsid w:val="00F27071"/>
    <w:rsid w:val="00F27331"/>
    <w:rsid w:val="00F276D3"/>
    <w:rsid w:val="00F27EE5"/>
    <w:rsid w:val="00F27FB1"/>
    <w:rsid w:val="00F27FD6"/>
    <w:rsid w:val="00F307CB"/>
    <w:rsid w:val="00F30C0C"/>
    <w:rsid w:val="00F30C65"/>
    <w:rsid w:val="00F321D2"/>
    <w:rsid w:val="00F32649"/>
    <w:rsid w:val="00F33523"/>
    <w:rsid w:val="00F3364D"/>
    <w:rsid w:val="00F33914"/>
    <w:rsid w:val="00F349BF"/>
    <w:rsid w:val="00F34DDC"/>
    <w:rsid w:val="00F36191"/>
    <w:rsid w:val="00F3629F"/>
    <w:rsid w:val="00F36DF3"/>
    <w:rsid w:val="00F37362"/>
    <w:rsid w:val="00F37EDC"/>
    <w:rsid w:val="00F437CC"/>
    <w:rsid w:val="00F442E7"/>
    <w:rsid w:val="00F44537"/>
    <w:rsid w:val="00F46185"/>
    <w:rsid w:val="00F46423"/>
    <w:rsid w:val="00F4696A"/>
    <w:rsid w:val="00F47067"/>
    <w:rsid w:val="00F47234"/>
    <w:rsid w:val="00F51ADD"/>
    <w:rsid w:val="00F525AB"/>
    <w:rsid w:val="00F525EB"/>
    <w:rsid w:val="00F52CB5"/>
    <w:rsid w:val="00F53378"/>
    <w:rsid w:val="00F53917"/>
    <w:rsid w:val="00F53A68"/>
    <w:rsid w:val="00F54934"/>
    <w:rsid w:val="00F55A92"/>
    <w:rsid w:val="00F5615B"/>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50B"/>
    <w:rsid w:val="00F717E4"/>
    <w:rsid w:val="00F71DE6"/>
    <w:rsid w:val="00F72D71"/>
    <w:rsid w:val="00F7381C"/>
    <w:rsid w:val="00F73A0C"/>
    <w:rsid w:val="00F752DC"/>
    <w:rsid w:val="00F7549F"/>
    <w:rsid w:val="00F756DB"/>
    <w:rsid w:val="00F766BE"/>
    <w:rsid w:val="00F767A8"/>
    <w:rsid w:val="00F77590"/>
    <w:rsid w:val="00F77A50"/>
    <w:rsid w:val="00F82D14"/>
    <w:rsid w:val="00F84E7D"/>
    <w:rsid w:val="00F85066"/>
    <w:rsid w:val="00F874F8"/>
    <w:rsid w:val="00F87A4D"/>
    <w:rsid w:val="00F90EEB"/>
    <w:rsid w:val="00F9135C"/>
    <w:rsid w:val="00F91B66"/>
    <w:rsid w:val="00F9354A"/>
    <w:rsid w:val="00F93688"/>
    <w:rsid w:val="00F939F3"/>
    <w:rsid w:val="00F93C6E"/>
    <w:rsid w:val="00F93F2C"/>
    <w:rsid w:val="00F947E9"/>
    <w:rsid w:val="00F962AD"/>
    <w:rsid w:val="00F9644E"/>
    <w:rsid w:val="00FA0105"/>
    <w:rsid w:val="00FA05A0"/>
    <w:rsid w:val="00FA0AEF"/>
    <w:rsid w:val="00FA17CC"/>
    <w:rsid w:val="00FA1CFE"/>
    <w:rsid w:val="00FA1EE7"/>
    <w:rsid w:val="00FA1F01"/>
    <w:rsid w:val="00FA26DF"/>
    <w:rsid w:val="00FA2C07"/>
    <w:rsid w:val="00FA32BC"/>
    <w:rsid w:val="00FA3FA8"/>
    <w:rsid w:val="00FA4059"/>
    <w:rsid w:val="00FA4574"/>
    <w:rsid w:val="00FA48A4"/>
    <w:rsid w:val="00FA4CB7"/>
    <w:rsid w:val="00FA5112"/>
    <w:rsid w:val="00FA5526"/>
    <w:rsid w:val="00FA5D4D"/>
    <w:rsid w:val="00FA6CB6"/>
    <w:rsid w:val="00FA70D3"/>
    <w:rsid w:val="00FA7AEC"/>
    <w:rsid w:val="00FB0AEA"/>
    <w:rsid w:val="00FB0EE2"/>
    <w:rsid w:val="00FB1A79"/>
    <w:rsid w:val="00FB1BA4"/>
    <w:rsid w:val="00FB208B"/>
    <w:rsid w:val="00FB2B2D"/>
    <w:rsid w:val="00FB542E"/>
    <w:rsid w:val="00FB5580"/>
    <w:rsid w:val="00FB564F"/>
    <w:rsid w:val="00FB7DBB"/>
    <w:rsid w:val="00FC05F8"/>
    <w:rsid w:val="00FC077B"/>
    <w:rsid w:val="00FC0E5F"/>
    <w:rsid w:val="00FC1070"/>
    <w:rsid w:val="00FC1266"/>
    <w:rsid w:val="00FC1A95"/>
    <w:rsid w:val="00FC1ED4"/>
    <w:rsid w:val="00FC3BEC"/>
    <w:rsid w:val="00FC42C5"/>
    <w:rsid w:val="00FC440B"/>
    <w:rsid w:val="00FC56DE"/>
    <w:rsid w:val="00FC63D9"/>
    <w:rsid w:val="00FC64DE"/>
    <w:rsid w:val="00FC6785"/>
    <w:rsid w:val="00FC684B"/>
    <w:rsid w:val="00FC7D98"/>
    <w:rsid w:val="00FD1135"/>
    <w:rsid w:val="00FD3265"/>
    <w:rsid w:val="00FD3CF7"/>
    <w:rsid w:val="00FD4124"/>
    <w:rsid w:val="00FD4372"/>
    <w:rsid w:val="00FD4916"/>
    <w:rsid w:val="00FD4D12"/>
    <w:rsid w:val="00FD4F73"/>
    <w:rsid w:val="00FD595E"/>
    <w:rsid w:val="00FD6667"/>
    <w:rsid w:val="00FD7802"/>
    <w:rsid w:val="00FD7D3B"/>
    <w:rsid w:val="00FD7FBE"/>
    <w:rsid w:val="00FE27C7"/>
    <w:rsid w:val="00FE2C7E"/>
    <w:rsid w:val="00FE2F78"/>
    <w:rsid w:val="00FE3137"/>
    <w:rsid w:val="00FE346B"/>
    <w:rsid w:val="00FE346F"/>
    <w:rsid w:val="00FE431E"/>
    <w:rsid w:val="00FE460E"/>
    <w:rsid w:val="00FE48E4"/>
    <w:rsid w:val="00FE5466"/>
    <w:rsid w:val="00FE634C"/>
    <w:rsid w:val="00FE6E69"/>
    <w:rsid w:val="00FE6F59"/>
    <w:rsid w:val="00FF01B6"/>
    <w:rsid w:val="00FF0989"/>
    <w:rsid w:val="00FF0F79"/>
    <w:rsid w:val="00FF1136"/>
    <w:rsid w:val="00FF3D76"/>
    <w:rsid w:val="00FF556A"/>
    <w:rsid w:val="00FF5B8C"/>
    <w:rsid w:val="00FF63E6"/>
    <w:rsid w:val="00FF72DC"/>
    <w:rsid w:val="00FF7B96"/>
    <w:rsid w:val="019CB78C"/>
    <w:rsid w:val="0241D284"/>
    <w:rsid w:val="04BD1937"/>
    <w:rsid w:val="0523CDF2"/>
    <w:rsid w:val="06B1A837"/>
    <w:rsid w:val="07FB41B9"/>
    <w:rsid w:val="08A648BF"/>
    <w:rsid w:val="08AB0269"/>
    <w:rsid w:val="0A844D4D"/>
    <w:rsid w:val="0BCD71E1"/>
    <w:rsid w:val="0EBE9DEC"/>
    <w:rsid w:val="0FBB85B6"/>
    <w:rsid w:val="12650F4E"/>
    <w:rsid w:val="1371242A"/>
    <w:rsid w:val="1394E51D"/>
    <w:rsid w:val="14DB2A87"/>
    <w:rsid w:val="15DD577B"/>
    <w:rsid w:val="16EC38E2"/>
    <w:rsid w:val="17178072"/>
    <w:rsid w:val="173F358F"/>
    <w:rsid w:val="17513AF8"/>
    <w:rsid w:val="1812CB49"/>
    <w:rsid w:val="1B53A8C8"/>
    <w:rsid w:val="1BEE6986"/>
    <w:rsid w:val="20D21749"/>
    <w:rsid w:val="2111A021"/>
    <w:rsid w:val="21BE069A"/>
    <w:rsid w:val="224238BC"/>
    <w:rsid w:val="224482AD"/>
    <w:rsid w:val="23E0530E"/>
    <w:rsid w:val="24FC0D77"/>
    <w:rsid w:val="2A0E9F3A"/>
    <w:rsid w:val="2A2A6298"/>
    <w:rsid w:val="2F72CB2D"/>
    <w:rsid w:val="3204B56C"/>
    <w:rsid w:val="36A6CB7D"/>
    <w:rsid w:val="37D604A5"/>
    <w:rsid w:val="38C72AFC"/>
    <w:rsid w:val="3A31F626"/>
    <w:rsid w:val="3AA0BED0"/>
    <w:rsid w:val="3C7646FC"/>
    <w:rsid w:val="3E4A9713"/>
    <w:rsid w:val="3E77F3B4"/>
    <w:rsid w:val="40C3BF09"/>
    <w:rsid w:val="47207A7B"/>
    <w:rsid w:val="48038D4B"/>
    <w:rsid w:val="49E8263C"/>
    <w:rsid w:val="4A567F3C"/>
    <w:rsid w:val="50A35788"/>
    <w:rsid w:val="52944939"/>
    <w:rsid w:val="53942896"/>
    <w:rsid w:val="5536E42E"/>
    <w:rsid w:val="55914544"/>
    <w:rsid w:val="581B14F9"/>
    <w:rsid w:val="58FD3BB8"/>
    <w:rsid w:val="5B145290"/>
    <w:rsid w:val="5CF587E8"/>
    <w:rsid w:val="5DD689BF"/>
    <w:rsid w:val="5E8D8646"/>
    <w:rsid w:val="60B2C930"/>
    <w:rsid w:val="64244C5C"/>
    <w:rsid w:val="64B5C10F"/>
    <w:rsid w:val="661E5011"/>
    <w:rsid w:val="67F8BB57"/>
    <w:rsid w:val="6AEA4E8B"/>
    <w:rsid w:val="6AEC8A78"/>
    <w:rsid w:val="6D951AA9"/>
    <w:rsid w:val="7059F910"/>
    <w:rsid w:val="74248E8F"/>
    <w:rsid w:val="74EA3077"/>
    <w:rsid w:val="754BB0AE"/>
    <w:rsid w:val="75B5B795"/>
    <w:rsid w:val="76D4E0D9"/>
    <w:rsid w:val="78058569"/>
    <w:rsid w:val="785B85D1"/>
    <w:rsid w:val="78E73CD1"/>
    <w:rsid w:val="78EC659F"/>
    <w:rsid w:val="7C941E33"/>
    <w:rsid w:val="7E2BC7B5"/>
    <w:rsid w:val="7F508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56910147-D8D0-4759-AD79-65565E20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link w:val="OdstavecseseznamemChar"/>
    <w:uiPriority w:val="34"/>
    <w:qFormat/>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Standardnpsmoodstavce"/>
    <w:rsid w:val="006A3CAF"/>
  </w:style>
  <w:style w:type="paragraph" w:customStyle="1" w:styleId="paragraph">
    <w:name w:val="paragraph"/>
    <w:basedOn w:val="Normln"/>
    <w:rsid w:val="006A3CAF"/>
    <w:pPr>
      <w:spacing w:before="100" w:beforeAutospacing="1" w:after="100" w:afterAutospacing="1" w:line="240" w:lineRule="auto"/>
      <w:jc w:val="left"/>
    </w:pPr>
    <w:rPr>
      <w:rFonts w:ascii="Times New Roman" w:hAnsi="Times New Roman"/>
      <w:sz w:val="24"/>
    </w:rPr>
  </w:style>
  <w:style w:type="character" w:customStyle="1" w:styleId="eop">
    <w:name w:val="eop"/>
    <w:basedOn w:val="Standardnpsmoodstavce"/>
    <w:rsid w:val="00784980"/>
  </w:style>
  <w:style w:type="character" w:customStyle="1" w:styleId="scxw9398236">
    <w:name w:val="scxw9398236"/>
    <w:basedOn w:val="Standardnpsmoodstavce"/>
    <w:rsid w:val="000D7C6F"/>
  </w:style>
  <w:style w:type="character" w:customStyle="1" w:styleId="superscript">
    <w:name w:val="superscript"/>
    <w:basedOn w:val="Standardnpsmoodstavce"/>
    <w:rsid w:val="000D7C6F"/>
  </w:style>
  <w:style w:type="character" w:customStyle="1" w:styleId="OdstavecseseznamemChar">
    <w:name w:val="Odstavec se seznamem Char"/>
    <w:basedOn w:val="Standardnpsmoodstavce"/>
    <w:link w:val="Odstavecseseznamem"/>
    <w:uiPriority w:val="34"/>
    <w:rsid w:val="00A51A9B"/>
    <w:rPr>
      <w:rFonts w:ascii="Arial" w:eastAsia="Times New Roman" w:hAnsi="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768357224">
      <w:bodyDiv w:val="1"/>
      <w:marLeft w:val="0"/>
      <w:marRight w:val="0"/>
      <w:marTop w:val="0"/>
      <w:marBottom w:val="0"/>
      <w:divBdr>
        <w:top w:val="none" w:sz="0" w:space="0" w:color="auto"/>
        <w:left w:val="none" w:sz="0" w:space="0" w:color="auto"/>
        <w:bottom w:val="none" w:sz="0" w:space="0" w:color="auto"/>
        <w:right w:val="none" w:sz="0" w:space="0" w:color="auto"/>
      </w:divBdr>
      <w:divsChild>
        <w:div w:id="1344359446">
          <w:marLeft w:val="0"/>
          <w:marRight w:val="0"/>
          <w:marTop w:val="0"/>
          <w:marBottom w:val="0"/>
          <w:divBdr>
            <w:top w:val="none" w:sz="0" w:space="0" w:color="auto"/>
            <w:left w:val="none" w:sz="0" w:space="0" w:color="auto"/>
            <w:bottom w:val="none" w:sz="0" w:space="0" w:color="auto"/>
            <w:right w:val="none" w:sz="0" w:space="0" w:color="auto"/>
          </w:divBdr>
        </w:div>
        <w:div w:id="1716659461">
          <w:marLeft w:val="0"/>
          <w:marRight w:val="0"/>
          <w:marTop w:val="0"/>
          <w:marBottom w:val="0"/>
          <w:divBdr>
            <w:top w:val="none" w:sz="0" w:space="0" w:color="auto"/>
            <w:left w:val="none" w:sz="0" w:space="0" w:color="auto"/>
            <w:bottom w:val="none" w:sz="0" w:space="0" w:color="auto"/>
            <w:right w:val="none" w:sz="0" w:space="0" w:color="auto"/>
          </w:divBdr>
          <w:divsChild>
            <w:div w:id="908930234">
              <w:marLeft w:val="-75"/>
              <w:marRight w:val="0"/>
              <w:marTop w:val="30"/>
              <w:marBottom w:val="30"/>
              <w:divBdr>
                <w:top w:val="none" w:sz="0" w:space="0" w:color="auto"/>
                <w:left w:val="none" w:sz="0" w:space="0" w:color="auto"/>
                <w:bottom w:val="none" w:sz="0" w:space="0" w:color="auto"/>
                <w:right w:val="none" w:sz="0" w:space="0" w:color="auto"/>
              </w:divBdr>
              <w:divsChild>
                <w:div w:id="189690384">
                  <w:marLeft w:val="0"/>
                  <w:marRight w:val="0"/>
                  <w:marTop w:val="0"/>
                  <w:marBottom w:val="0"/>
                  <w:divBdr>
                    <w:top w:val="none" w:sz="0" w:space="0" w:color="auto"/>
                    <w:left w:val="none" w:sz="0" w:space="0" w:color="auto"/>
                    <w:bottom w:val="none" w:sz="0" w:space="0" w:color="auto"/>
                    <w:right w:val="none" w:sz="0" w:space="0" w:color="auto"/>
                  </w:divBdr>
                  <w:divsChild>
                    <w:div w:id="345450649">
                      <w:marLeft w:val="0"/>
                      <w:marRight w:val="0"/>
                      <w:marTop w:val="0"/>
                      <w:marBottom w:val="0"/>
                      <w:divBdr>
                        <w:top w:val="none" w:sz="0" w:space="0" w:color="auto"/>
                        <w:left w:val="none" w:sz="0" w:space="0" w:color="auto"/>
                        <w:bottom w:val="none" w:sz="0" w:space="0" w:color="auto"/>
                        <w:right w:val="none" w:sz="0" w:space="0" w:color="auto"/>
                      </w:divBdr>
                    </w:div>
                  </w:divsChild>
                </w:div>
                <w:div w:id="2130083414">
                  <w:marLeft w:val="0"/>
                  <w:marRight w:val="0"/>
                  <w:marTop w:val="0"/>
                  <w:marBottom w:val="0"/>
                  <w:divBdr>
                    <w:top w:val="none" w:sz="0" w:space="0" w:color="auto"/>
                    <w:left w:val="none" w:sz="0" w:space="0" w:color="auto"/>
                    <w:bottom w:val="none" w:sz="0" w:space="0" w:color="auto"/>
                    <w:right w:val="none" w:sz="0" w:space="0" w:color="auto"/>
                  </w:divBdr>
                  <w:divsChild>
                    <w:div w:id="1847819293">
                      <w:marLeft w:val="0"/>
                      <w:marRight w:val="0"/>
                      <w:marTop w:val="0"/>
                      <w:marBottom w:val="0"/>
                      <w:divBdr>
                        <w:top w:val="none" w:sz="0" w:space="0" w:color="auto"/>
                        <w:left w:val="none" w:sz="0" w:space="0" w:color="auto"/>
                        <w:bottom w:val="none" w:sz="0" w:space="0" w:color="auto"/>
                        <w:right w:val="none" w:sz="0" w:space="0" w:color="auto"/>
                      </w:divBdr>
                    </w:div>
                  </w:divsChild>
                </w:div>
                <w:div w:id="141698433">
                  <w:marLeft w:val="0"/>
                  <w:marRight w:val="0"/>
                  <w:marTop w:val="0"/>
                  <w:marBottom w:val="0"/>
                  <w:divBdr>
                    <w:top w:val="none" w:sz="0" w:space="0" w:color="auto"/>
                    <w:left w:val="none" w:sz="0" w:space="0" w:color="auto"/>
                    <w:bottom w:val="none" w:sz="0" w:space="0" w:color="auto"/>
                    <w:right w:val="none" w:sz="0" w:space="0" w:color="auto"/>
                  </w:divBdr>
                  <w:divsChild>
                    <w:div w:id="1561865753">
                      <w:marLeft w:val="0"/>
                      <w:marRight w:val="0"/>
                      <w:marTop w:val="0"/>
                      <w:marBottom w:val="0"/>
                      <w:divBdr>
                        <w:top w:val="none" w:sz="0" w:space="0" w:color="auto"/>
                        <w:left w:val="none" w:sz="0" w:space="0" w:color="auto"/>
                        <w:bottom w:val="none" w:sz="0" w:space="0" w:color="auto"/>
                        <w:right w:val="none" w:sz="0" w:space="0" w:color="auto"/>
                      </w:divBdr>
                    </w:div>
                  </w:divsChild>
                </w:div>
                <w:div w:id="1168449760">
                  <w:marLeft w:val="0"/>
                  <w:marRight w:val="0"/>
                  <w:marTop w:val="0"/>
                  <w:marBottom w:val="0"/>
                  <w:divBdr>
                    <w:top w:val="none" w:sz="0" w:space="0" w:color="auto"/>
                    <w:left w:val="none" w:sz="0" w:space="0" w:color="auto"/>
                    <w:bottom w:val="none" w:sz="0" w:space="0" w:color="auto"/>
                    <w:right w:val="none" w:sz="0" w:space="0" w:color="auto"/>
                  </w:divBdr>
                  <w:divsChild>
                    <w:div w:id="1407143116">
                      <w:marLeft w:val="0"/>
                      <w:marRight w:val="0"/>
                      <w:marTop w:val="0"/>
                      <w:marBottom w:val="0"/>
                      <w:divBdr>
                        <w:top w:val="none" w:sz="0" w:space="0" w:color="auto"/>
                        <w:left w:val="none" w:sz="0" w:space="0" w:color="auto"/>
                        <w:bottom w:val="none" w:sz="0" w:space="0" w:color="auto"/>
                        <w:right w:val="none" w:sz="0" w:space="0" w:color="auto"/>
                      </w:divBdr>
                    </w:div>
                  </w:divsChild>
                </w:div>
                <w:div w:id="2124761785">
                  <w:marLeft w:val="0"/>
                  <w:marRight w:val="0"/>
                  <w:marTop w:val="0"/>
                  <w:marBottom w:val="0"/>
                  <w:divBdr>
                    <w:top w:val="none" w:sz="0" w:space="0" w:color="auto"/>
                    <w:left w:val="none" w:sz="0" w:space="0" w:color="auto"/>
                    <w:bottom w:val="none" w:sz="0" w:space="0" w:color="auto"/>
                    <w:right w:val="none" w:sz="0" w:space="0" w:color="auto"/>
                  </w:divBdr>
                  <w:divsChild>
                    <w:div w:id="1111317610">
                      <w:marLeft w:val="0"/>
                      <w:marRight w:val="0"/>
                      <w:marTop w:val="0"/>
                      <w:marBottom w:val="0"/>
                      <w:divBdr>
                        <w:top w:val="none" w:sz="0" w:space="0" w:color="auto"/>
                        <w:left w:val="none" w:sz="0" w:space="0" w:color="auto"/>
                        <w:bottom w:val="none" w:sz="0" w:space="0" w:color="auto"/>
                        <w:right w:val="none" w:sz="0" w:space="0" w:color="auto"/>
                      </w:divBdr>
                    </w:div>
                  </w:divsChild>
                </w:div>
                <w:div w:id="1016151455">
                  <w:marLeft w:val="0"/>
                  <w:marRight w:val="0"/>
                  <w:marTop w:val="0"/>
                  <w:marBottom w:val="0"/>
                  <w:divBdr>
                    <w:top w:val="none" w:sz="0" w:space="0" w:color="auto"/>
                    <w:left w:val="none" w:sz="0" w:space="0" w:color="auto"/>
                    <w:bottom w:val="none" w:sz="0" w:space="0" w:color="auto"/>
                    <w:right w:val="none" w:sz="0" w:space="0" w:color="auto"/>
                  </w:divBdr>
                  <w:divsChild>
                    <w:div w:id="1179079040">
                      <w:marLeft w:val="0"/>
                      <w:marRight w:val="0"/>
                      <w:marTop w:val="0"/>
                      <w:marBottom w:val="0"/>
                      <w:divBdr>
                        <w:top w:val="none" w:sz="0" w:space="0" w:color="auto"/>
                        <w:left w:val="none" w:sz="0" w:space="0" w:color="auto"/>
                        <w:bottom w:val="none" w:sz="0" w:space="0" w:color="auto"/>
                        <w:right w:val="none" w:sz="0" w:space="0" w:color="auto"/>
                      </w:divBdr>
                    </w:div>
                  </w:divsChild>
                </w:div>
                <w:div w:id="953753815">
                  <w:marLeft w:val="0"/>
                  <w:marRight w:val="0"/>
                  <w:marTop w:val="0"/>
                  <w:marBottom w:val="0"/>
                  <w:divBdr>
                    <w:top w:val="none" w:sz="0" w:space="0" w:color="auto"/>
                    <w:left w:val="none" w:sz="0" w:space="0" w:color="auto"/>
                    <w:bottom w:val="none" w:sz="0" w:space="0" w:color="auto"/>
                    <w:right w:val="none" w:sz="0" w:space="0" w:color="auto"/>
                  </w:divBdr>
                  <w:divsChild>
                    <w:div w:id="126052794">
                      <w:marLeft w:val="0"/>
                      <w:marRight w:val="0"/>
                      <w:marTop w:val="0"/>
                      <w:marBottom w:val="0"/>
                      <w:divBdr>
                        <w:top w:val="none" w:sz="0" w:space="0" w:color="auto"/>
                        <w:left w:val="none" w:sz="0" w:space="0" w:color="auto"/>
                        <w:bottom w:val="none" w:sz="0" w:space="0" w:color="auto"/>
                        <w:right w:val="none" w:sz="0" w:space="0" w:color="auto"/>
                      </w:divBdr>
                    </w:div>
                  </w:divsChild>
                </w:div>
                <w:div w:id="864711492">
                  <w:marLeft w:val="0"/>
                  <w:marRight w:val="0"/>
                  <w:marTop w:val="0"/>
                  <w:marBottom w:val="0"/>
                  <w:divBdr>
                    <w:top w:val="none" w:sz="0" w:space="0" w:color="auto"/>
                    <w:left w:val="none" w:sz="0" w:space="0" w:color="auto"/>
                    <w:bottom w:val="none" w:sz="0" w:space="0" w:color="auto"/>
                    <w:right w:val="none" w:sz="0" w:space="0" w:color="auto"/>
                  </w:divBdr>
                  <w:divsChild>
                    <w:div w:id="1959221365">
                      <w:marLeft w:val="0"/>
                      <w:marRight w:val="0"/>
                      <w:marTop w:val="0"/>
                      <w:marBottom w:val="0"/>
                      <w:divBdr>
                        <w:top w:val="none" w:sz="0" w:space="0" w:color="auto"/>
                        <w:left w:val="none" w:sz="0" w:space="0" w:color="auto"/>
                        <w:bottom w:val="none" w:sz="0" w:space="0" w:color="auto"/>
                        <w:right w:val="none" w:sz="0" w:space="0" w:color="auto"/>
                      </w:divBdr>
                    </w:div>
                  </w:divsChild>
                </w:div>
                <w:div w:id="708652465">
                  <w:marLeft w:val="0"/>
                  <w:marRight w:val="0"/>
                  <w:marTop w:val="0"/>
                  <w:marBottom w:val="0"/>
                  <w:divBdr>
                    <w:top w:val="none" w:sz="0" w:space="0" w:color="auto"/>
                    <w:left w:val="none" w:sz="0" w:space="0" w:color="auto"/>
                    <w:bottom w:val="none" w:sz="0" w:space="0" w:color="auto"/>
                    <w:right w:val="none" w:sz="0" w:space="0" w:color="auto"/>
                  </w:divBdr>
                  <w:divsChild>
                    <w:div w:id="587033635">
                      <w:marLeft w:val="0"/>
                      <w:marRight w:val="0"/>
                      <w:marTop w:val="0"/>
                      <w:marBottom w:val="0"/>
                      <w:divBdr>
                        <w:top w:val="none" w:sz="0" w:space="0" w:color="auto"/>
                        <w:left w:val="none" w:sz="0" w:space="0" w:color="auto"/>
                        <w:bottom w:val="none" w:sz="0" w:space="0" w:color="auto"/>
                        <w:right w:val="none" w:sz="0" w:space="0" w:color="auto"/>
                      </w:divBdr>
                    </w:div>
                  </w:divsChild>
                </w:div>
                <w:div w:id="970284968">
                  <w:marLeft w:val="0"/>
                  <w:marRight w:val="0"/>
                  <w:marTop w:val="0"/>
                  <w:marBottom w:val="0"/>
                  <w:divBdr>
                    <w:top w:val="none" w:sz="0" w:space="0" w:color="auto"/>
                    <w:left w:val="none" w:sz="0" w:space="0" w:color="auto"/>
                    <w:bottom w:val="none" w:sz="0" w:space="0" w:color="auto"/>
                    <w:right w:val="none" w:sz="0" w:space="0" w:color="auto"/>
                  </w:divBdr>
                  <w:divsChild>
                    <w:div w:id="1759984152">
                      <w:marLeft w:val="0"/>
                      <w:marRight w:val="0"/>
                      <w:marTop w:val="0"/>
                      <w:marBottom w:val="0"/>
                      <w:divBdr>
                        <w:top w:val="none" w:sz="0" w:space="0" w:color="auto"/>
                        <w:left w:val="none" w:sz="0" w:space="0" w:color="auto"/>
                        <w:bottom w:val="none" w:sz="0" w:space="0" w:color="auto"/>
                        <w:right w:val="none" w:sz="0" w:space="0" w:color="auto"/>
                      </w:divBdr>
                    </w:div>
                  </w:divsChild>
                </w:div>
                <w:div w:id="1041595004">
                  <w:marLeft w:val="0"/>
                  <w:marRight w:val="0"/>
                  <w:marTop w:val="0"/>
                  <w:marBottom w:val="0"/>
                  <w:divBdr>
                    <w:top w:val="none" w:sz="0" w:space="0" w:color="auto"/>
                    <w:left w:val="none" w:sz="0" w:space="0" w:color="auto"/>
                    <w:bottom w:val="none" w:sz="0" w:space="0" w:color="auto"/>
                    <w:right w:val="none" w:sz="0" w:space="0" w:color="auto"/>
                  </w:divBdr>
                  <w:divsChild>
                    <w:div w:id="1259410822">
                      <w:marLeft w:val="0"/>
                      <w:marRight w:val="0"/>
                      <w:marTop w:val="0"/>
                      <w:marBottom w:val="0"/>
                      <w:divBdr>
                        <w:top w:val="none" w:sz="0" w:space="0" w:color="auto"/>
                        <w:left w:val="none" w:sz="0" w:space="0" w:color="auto"/>
                        <w:bottom w:val="none" w:sz="0" w:space="0" w:color="auto"/>
                        <w:right w:val="none" w:sz="0" w:space="0" w:color="auto"/>
                      </w:divBdr>
                    </w:div>
                  </w:divsChild>
                </w:div>
                <w:div w:id="1384409651">
                  <w:marLeft w:val="0"/>
                  <w:marRight w:val="0"/>
                  <w:marTop w:val="0"/>
                  <w:marBottom w:val="0"/>
                  <w:divBdr>
                    <w:top w:val="none" w:sz="0" w:space="0" w:color="auto"/>
                    <w:left w:val="none" w:sz="0" w:space="0" w:color="auto"/>
                    <w:bottom w:val="none" w:sz="0" w:space="0" w:color="auto"/>
                    <w:right w:val="none" w:sz="0" w:space="0" w:color="auto"/>
                  </w:divBdr>
                  <w:divsChild>
                    <w:div w:id="73013662">
                      <w:marLeft w:val="0"/>
                      <w:marRight w:val="0"/>
                      <w:marTop w:val="0"/>
                      <w:marBottom w:val="0"/>
                      <w:divBdr>
                        <w:top w:val="none" w:sz="0" w:space="0" w:color="auto"/>
                        <w:left w:val="none" w:sz="0" w:space="0" w:color="auto"/>
                        <w:bottom w:val="none" w:sz="0" w:space="0" w:color="auto"/>
                        <w:right w:val="none" w:sz="0" w:space="0" w:color="auto"/>
                      </w:divBdr>
                    </w:div>
                  </w:divsChild>
                </w:div>
                <w:div w:id="1396856273">
                  <w:marLeft w:val="0"/>
                  <w:marRight w:val="0"/>
                  <w:marTop w:val="0"/>
                  <w:marBottom w:val="0"/>
                  <w:divBdr>
                    <w:top w:val="none" w:sz="0" w:space="0" w:color="auto"/>
                    <w:left w:val="none" w:sz="0" w:space="0" w:color="auto"/>
                    <w:bottom w:val="none" w:sz="0" w:space="0" w:color="auto"/>
                    <w:right w:val="none" w:sz="0" w:space="0" w:color="auto"/>
                  </w:divBdr>
                  <w:divsChild>
                    <w:div w:id="1129475919">
                      <w:marLeft w:val="0"/>
                      <w:marRight w:val="0"/>
                      <w:marTop w:val="0"/>
                      <w:marBottom w:val="0"/>
                      <w:divBdr>
                        <w:top w:val="none" w:sz="0" w:space="0" w:color="auto"/>
                        <w:left w:val="none" w:sz="0" w:space="0" w:color="auto"/>
                        <w:bottom w:val="none" w:sz="0" w:space="0" w:color="auto"/>
                        <w:right w:val="none" w:sz="0" w:space="0" w:color="auto"/>
                      </w:divBdr>
                    </w:div>
                  </w:divsChild>
                </w:div>
                <w:div w:id="241991679">
                  <w:marLeft w:val="0"/>
                  <w:marRight w:val="0"/>
                  <w:marTop w:val="0"/>
                  <w:marBottom w:val="0"/>
                  <w:divBdr>
                    <w:top w:val="none" w:sz="0" w:space="0" w:color="auto"/>
                    <w:left w:val="none" w:sz="0" w:space="0" w:color="auto"/>
                    <w:bottom w:val="none" w:sz="0" w:space="0" w:color="auto"/>
                    <w:right w:val="none" w:sz="0" w:space="0" w:color="auto"/>
                  </w:divBdr>
                  <w:divsChild>
                    <w:div w:id="1142037930">
                      <w:marLeft w:val="0"/>
                      <w:marRight w:val="0"/>
                      <w:marTop w:val="0"/>
                      <w:marBottom w:val="0"/>
                      <w:divBdr>
                        <w:top w:val="none" w:sz="0" w:space="0" w:color="auto"/>
                        <w:left w:val="none" w:sz="0" w:space="0" w:color="auto"/>
                        <w:bottom w:val="none" w:sz="0" w:space="0" w:color="auto"/>
                        <w:right w:val="none" w:sz="0" w:space="0" w:color="auto"/>
                      </w:divBdr>
                    </w:div>
                  </w:divsChild>
                </w:div>
                <w:div w:id="87964264">
                  <w:marLeft w:val="0"/>
                  <w:marRight w:val="0"/>
                  <w:marTop w:val="0"/>
                  <w:marBottom w:val="0"/>
                  <w:divBdr>
                    <w:top w:val="none" w:sz="0" w:space="0" w:color="auto"/>
                    <w:left w:val="none" w:sz="0" w:space="0" w:color="auto"/>
                    <w:bottom w:val="none" w:sz="0" w:space="0" w:color="auto"/>
                    <w:right w:val="none" w:sz="0" w:space="0" w:color="auto"/>
                  </w:divBdr>
                  <w:divsChild>
                    <w:div w:id="297150500">
                      <w:marLeft w:val="0"/>
                      <w:marRight w:val="0"/>
                      <w:marTop w:val="0"/>
                      <w:marBottom w:val="0"/>
                      <w:divBdr>
                        <w:top w:val="none" w:sz="0" w:space="0" w:color="auto"/>
                        <w:left w:val="none" w:sz="0" w:space="0" w:color="auto"/>
                        <w:bottom w:val="none" w:sz="0" w:space="0" w:color="auto"/>
                        <w:right w:val="none" w:sz="0" w:space="0" w:color="auto"/>
                      </w:divBdr>
                    </w:div>
                  </w:divsChild>
                </w:div>
                <w:div w:id="368145167">
                  <w:marLeft w:val="0"/>
                  <w:marRight w:val="0"/>
                  <w:marTop w:val="0"/>
                  <w:marBottom w:val="0"/>
                  <w:divBdr>
                    <w:top w:val="none" w:sz="0" w:space="0" w:color="auto"/>
                    <w:left w:val="none" w:sz="0" w:space="0" w:color="auto"/>
                    <w:bottom w:val="none" w:sz="0" w:space="0" w:color="auto"/>
                    <w:right w:val="none" w:sz="0" w:space="0" w:color="auto"/>
                  </w:divBdr>
                  <w:divsChild>
                    <w:div w:id="1170104264">
                      <w:marLeft w:val="0"/>
                      <w:marRight w:val="0"/>
                      <w:marTop w:val="0"/>
                      <w:marBottom w:val="0"/>
                      <w:divBdr>
                        <w:top w:val="none" w:sz="0" w:space="0" w:color="auto"/>
                        <w:left w:val="none" w:sz="0" w:space="0" w:color="auto"/>
                        <w:bottom w:val="none" w:sz="0" w:space="0" w:color="auto"/>
                        <w:right w:val="none" w:sz="0" w:space="0" w:color="auto"/>
                      </w:divBdr>
                    </w:div>
                  </w:divsChild>
                </w:div>
                <w:div w:id="542448709">
                  <w:marLeft w:val="0"/>
                  <w:marRight w:val="0"/>
                  <w:marTop w:val="0"/>
                  <w:marBottom w:val="0"/>
                  <w:divBdr>
                    <w:top w:val="none" w:sz="0" w:space="0" w:color="auto"/>
                    <w:left w:val="none" w:sz="0" w:space="0" w:color="auto"/>
                    <w:bottom w:val="none" w:sz="0" w:space="0" w:color="auto"/>
                    <w:right w:val="none" w:sz="0" w:space="0" w:color="auto"/>
                  </w:divBdr>
                  <w:divsChild>
                    <w:div w:id="811479007">
                      <w:marLeft w:val="0"/>
                      <w:marRight w:val="0"/>
                      <w:marTop w:val="0"/>
                      <w:marBottom w:val="0"/>
                      <w:divBdr>
                        <w:top w:val="none" w:sz="0" w:space="0" w:color="auto"/>
                        <w:left w:val="none" w:sz="0" w:space="0" w:color="auto"/>
                        <w:bottom w:val="none" w:sz="0" w:space="0" w:color="auto"/>
                        <w:right w:val="none" w:sz="0" w:space="0" w:color="auto"/>
                      </w:divBdr>
                    </w:div>
                  </w:divsChild>
                </w:div>
                <w:div w:id="218828323">
                  <w:marLeft w:val="0"/>
                  <w:marRight w:val="0"/>
                  <w:marTop w:val="0"/>
                  <w:marBottom w:val="0"/>
                  <w:divBdr>
                    <w:top w:val="none" w:sz="0" w:space="0" w:color="auto"/>
                    <w:left w:val="none" w:sz="0" w:space="0" w:color="auto"/>
                    <w:bottom w:val="none" w:sz="0" w:space="0" w:color="auto"/>
                    <w:right w:val="none" w:sz="0" w:space="0" w:color="auto"/>
                  </w:divBdr>
                  <w:divsChild>
                    <w:div w:id="521748238">
                      <w:marLeft w:val="0"/>
                      <w:marRight w:val="0"/>
                      <w:marTop w:val="0"/>
                      <w:marBottom w:val="0"/>
                      <w:divBdr>
                        <w:top w:val="none" w:sz="0" w:space="0" w:color="auto"/>
                        <w:left w:val="none" w:sz="0" w:space="0" w:color="auto"/>
                        <w:bottom w:val="none" w:sz="0" w:space="0" w:color="auto"/>
                        <w:right w:val="none" w:sz="0" w:space="0" w:color="auto"/>
                      </w:divBdr>
                    </w:div>
                  </w:divsChild>
                </w:div>
                <w:div w:id="929586458">
                  <w:marLeft w:val="0"/>
                  <w:marRight w:val="0"/>
                  <w:marTop w:val="0"/>
                  <w:marBottom w:val="0"/>
                  <w:divBdr>
                    <w:top w:val="none" w:sz="0" w:space="0" w:color="auto"/>
                    <w:left w:val="none" w:sz="0" w:space="0" w:color="auto"/>
                    <w:bottom w:val="none" w:sz="0" w:space="0" w:color="auto"/>
                    <w:right w:val="none" w:sz="0" w:space="0" w:color="auto"/>
                  </w:divBdr>
                  <w:divsChild>
                    <w:div w:id="1428455051">
                      <w:marLeft w:val="0"/>
                      <w:marRight w:val="0"/>
                      <w:marTop w:val="0"/>
                      <w:marBottom w:val="0"/>
                      <w:divBdr>
                        <w:top w:val="none" w:sz="0" w:space="0" w:color="auto"/>
                        <w:left w:val="none" w:sz="0" w:space="0" w:color="auto"/>
                        <w:bottom w:val="none" w:sz="0" w:space="0" w:color="auto"/>
                        <w:right w:val="none" w:sz="0" w:space="0" w:color="auto"/>
                      </w:divBdr>
                    </w:div>
                  </w:divsChild>
                </w:div>
                <w:div w:id="118381659">
                  <w:marLeft w:val="0"/>
                  <w:marRight w:val="0"/>
                  <w:marTop w:val="0"/>
                  <w:marBottom w:val="0"/>
                  <w:divBdr>
                    <w:top w:val="none" w:sz="0" w:space="0" w:color="auto"/>
                    <w:left w:val="none" w:sz="0" w:space="0" w:color="auto"/>
                    <w:bottom w:val="none" w:sz="0" w:space="0" w:color="auto"/>
                    <w:right w:val="none" w:sz="0" w:space="0" w:color="auto"/>
                  </w:divBdr>
                  <w:divsChild>
                    <w:div w:id="1199583312">
                      <w:marLeft w:val="0"/>
                      <w:marRight w:val="0"/>
                      <w:marTop w:val="0"/>
                      <w:marBottom w:val="0"/>
                      <w:divBdr>
                        <w:top w:val="none" w:sz="0" w:space="0" w:color="auto"/>
                        <w:left w:val="none" w:sz="0" w:space="0" w:color="auto"/>
                        <w:bottom w:val="none" w:sz="0" w:space="0" w:color="auto"/>
                        <w:right w:val="none" w:sz="0" w:space="0" w:color="auto"/>
                      </w:divBdr>
                    </w:div>
                  </w:divsChild>
                </w:div>
                <w:div w:id="427849766">
                  <w:marLeft w:val="0"/>
                  <w:marRight w:val="0"/>
                  <w:marTop w:val="0"/>
                  <w:marBottom w:val="0"/>
                  <w:divBdr>
                    <w:top w:val="none" w:sz="0" w:space="0" w:color="auto"/>
                    <w:left w:val="none" w:sz="0" w:space="0" w:color="auto"/>
                    <w:bottom w:val="none" w:sz="0" w:space="0" w:color="auto"/>
                    <w:right w:val="none" w:sz="0" w:space="0" w:color="auto"/>
                  </w:divBdr>
                  <w:divsChild>
                    <w:div w:id="975451761">
                      <w:marLeft w:val="0"/>
                      <w:marRight w:val="0"/>
                      <w:marTop w:val="0"/>
                      <w:marBottom w:val="0"/>
                      <w:divBdr>
                        <w:top w:val="none" w:sz="0" w:space="0" w:color="auto"/>
                        <w:left w:val="none" w:sz="0" w:space="0" w:color="auto"/>
                        <w:bottom w:val="none" w:sz="0" w:space="0" w:color="auto"/>
                        <w:right w:val="none" w:sz="0" w:space="0" w:color="auto"/>
                      </w:divBdr>
                    </w:div>
                  </w:divsChild>
                </w:div>
                <w:div w:id="1316687618">
                  <w:marLeft w:val="0"/>
                  <w:marRight w:val="0"/>
                  <w:marTop w:val="0"/>
                  <w:marBottom w:val="0"/>
                  <w:divBdr>
                    <w:top w:val="none" w:sz="0" w:space="0" w:color="auto"/>
                    <w:left w:val="none" w:sz="0" w:space="0" w:color="auto"/>
                    <w:bottom w:val="none" w:sz="0" w:space="0" w:color="auto"/>
                    <w:right w:val="none" w:sz="0" w:space="0" w:color="auto"/>
                  </w:divBdr>
                  <w:divsChild>
                    <w:div w:id="1760709789">
                      <w:marLeft w:val="0"/>
                      <w:marRight w:val="0"/>
                      <w:marTop w:val="0"/>
                      <w:marBottom w:val="0"/>
                      <w:divBdr>
                        <w:top w:val="none" w:sz="0" w:space="0" w:color="auto"/>
                        <w:left w:val="none" w:sz="0" w:space="0" w:color="auto"/>
                        <w:bottom w:val="none" w:sz="0" w:space="0" w:color="auto"/>
                        <w:right w:val="none" w:sz="0" w:space="0" w:color="auto"/>
                      </w:divBdr>
                    </w:div>
                  </w:divsChild>
                </w:div>
                <w:div w:id="91436658">
                  <w:marLeft w:val="0"/>
                  <w:marRight w:val="0"/>
                  <w:marTop w:val="0"/>
                  <w:marBottom w:val="0"/>
                  <w:divBdr>
                    <w:top w:val="none" w:sz="0" w:space="0" w:color="auto"/>
                    <w:left w:val="none" w:sz="0" w:space="0" w:color="auto"/>
                    <w:bottom w:val="none" w:sz="0" w:space="0" w:color="auto"/>
                    <w:right w:val="none" w:sz="0" w:space="0" w:color="auto"/>
                  </w:divBdr>
                  <w:divsChild>
                    <w:div w:id="1271090708">
                      <w:marLeft w:val="0"/>
                      <w:marRight w:val="0"/>
                      <w:marTop w:val="0"/>
                      <w:marBottom w:val="0"/>
                      <w:divBdr>
                        <w:top w:val="none" w:sz="0" w:space="0" w:color="auto"/>
                        <w:left w:val="none" w:sz="0" w:space="0" w:color="auto"/>
                        <w:bottom w:val="none" w:sz="0" w:space="0" w:color="auto"/>
                        <w:right w:val="none" w:sz="0" w:space="0" w:color="auto"/>
                      </w:divBdr>
                    </w:div>
                  </w:divsChild>
                </w:div>
                <w:div w:id="251159376">
                  <w:marLeft w:val="0"/>
                  <w:marRight w:val="0"/>
                  <w:marTop w:val="0"/>
                  <w:marBottom w:val="0"/>
                  <w:divBdr>
                    <w:top w:val="none" w:sz="0" w:space="0" w:color="auto"/>
                    <w:left w:val="none" w:sz="0" w:space="0" w:color="auto"/>
                    <w:bottom w:val="none" w:sz="0" w:space="0" w:color="auto"/>
                    <w:right w:val="none" w:sz="0" w:space="0" w:color="auto"/>
                  </w:divBdr>
                  <w:divsChild>
                    <w:div w:id="1281374192">
                      <w:marLeft w:val="0"/>
                      <w:marRight w:val="0"/>
                      <w:marTop w:val="0"/>
                      <w:marBottom w:val="0"/>
                      <w:divBdr>
                        <w:top w:val="none" w:sz="0" w:space="0" w:color="auto"/>
                        <w:left w:val="none" w:sz="0" w:space="0" w:color="auto"/>
                        <w:bottom w:val="none" w:sz="0" w:space="0" w:color="auto"/>
                        <w:right w:val="none" w:sz="0" w:space="0" w:color="auto"/>
                      </w:divBdr>
                    </w:div>
                  </w:divsChild>
                </w:div>
                <w:div w:id="1298798031">
                  <w:marLeft w:val="0"/>
                  <w:marRight w:val="0"/>
                  <w:marTop w:val="0"/>
                  <w:marBottom w:val="0"/>
                  <w:divBdr>
                    <w:top w:val="none" w:sz="0" w:space="0" w:color="auto"/>
                    <w:left w:val="none" w:sz="0" w:space="0" w:color="auto"/>
                    <w:bottom w:val="none" w:sz="0" w:space="0" w:color="auto"/>
                    <w:right w:val="none" w:sz="0" w:space="0" w:color="auto"/>
                  </w:divBdr>
                  <w:divsChild>
                    <w:div w:id="739056931">
                      <w:marLeft w:val="0"/>
                      <w:marRight w:val="0"/>
                      <w:marTop w:val="0"/>
                      <w:marBottom w:val="0"/>
                      <w:divBdr>
                        <w:top w:val="none" w:sz="0" w:space="0" w:color="auto"/>
                        <w:left w:val="none" w:sz="0" w:space="0" w:color="auto"/>
                        <w:bottom w:val="none" w:sz="0" w:space="0" w:color="auto"/>
                        <w:right w:val="none" w:sz="0" w:space="0" w:color="auto"/>
                      </w:divBdr>
                    </w:div>
                  </w:divsChild>
                </w:div>
                <w:div w:id="1063525951">
                  <w:marLeft w:val="0"/>
                  <w:marRight w:val="0"/>
                  <w:marTop w:val="0"/>
                  <w:marBottom w:val="0"/>
                  <w:divBdr>
                    <w:top w:val="none" w:sz="0" w:space="0" w:color="auto"/>
                    <w:left w:val="none" w:sz="0" w:space="0" w:color="auto"/>
                    <w:bottom w:val="none" w:sz="0" w:space="0" w:color="auto"/>
                    <w:right w:val="none" w:sz="0" w:space="0" w:color="auto"/>
                  </w:divBdr>
                  <w:divsChild>
                    <w:div w:id="11733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08559">
          <w:marLeft w:val="0"/>
          <w:marRight w:val="0"/>
          <w:marTop w:val="0"/>
          <w:marBottom w:val="0"/>
          <w:divBdr>
            <w:top w:val="none" w:sz="0" w:space="0" w:color="auto"/>
            <w:left w:val="none" w:sz="0" w:space="0" w:color="auto"/>
            <w:bottom w:val="none" w:sz="0" w:space="0" w:color="auto"/>
            <w:right w:val="none" w:sz="0" w:space="0" w:color="auto"/>
          </w:divBdr>
        </w:div>
        <w:div w:id="1058825861">
          <w:marLeft w:val="0"/>
          <w:marRight w:val="0"/>
          <w:marTop w:val="0"/>
          <w:marBottom w:val="0"/>
          <w:divBdr>
            <w:top w:val="none" w:sz="0" w:space="0" w:color="auto"/>
            <w:left w:val="none" w:sz="0" w:space="0" w:color="auto"/>
            <w:bottom w:val="none" w:sz="0" w:space="0" w:color="auto"/>
            <w:right w:val="none" w:sz="0" w:space="0" w:color="auto"/>
          </w:divBdr>
        </w:div>
        <w:div w:id="485049849">
          <w:marLeft w:val="0"/>
          <w:marRight w:val="0"/>
          <w:marTop w:val="0"/>
          <w:marBottom w:val="0"/>
          <w:divBdr>
            <w:top w:val="none" w:sz="0" w:space="0" w:color="auto"/>
            <w:left w:val="none" w:sz="0" w:space="0" w:color="auto"/>
            <w:bottom w:val="none" w:sz="0" w:space="0" w:color="auto"/>
            <w:right w:val="none" w:sz="0" w:space="0" w:color="auto"/>
          </w:divBdr>
        </w:div>
        <w:div w:id="1856000505">
          <w:marLeft w:val="0"/>
          <w:marRight w:val="0"/>
          <w:marTop w:val="0"/>
          <w:marBottom w:val="0"/>
          <w:divBdr>
            <w:top w:val="none" w:sz="0" w:space="0" w:color="auto"/>
            <w:left w:val="none" w:sz="0" w:space="0" w:color="auto"/>
            <w:bottom w:val="none" w:sz="0" w:space="0" w:color="auto"/>
            <w:right w:val="none" w:sz="0" w:space="0" w:color="auto"/>
          </w:divBdr>
        </w:div>
        <w:div w:id="1800152014">
          <w:marLeft w:val="0"/>
          <w:marRight w:val="0"/>
          <w:marTop w:val="0"/>
          <w:marBottom w:val="0"/>
          <w:divBdr>
            <w:top w:val="none" w:sz="0" w:space="0" w:color="auto"/>
            <w:left w:val="none" w:sz="0" w:space="0" w:color="auto"/>
            <w:bottom w:val="none" w:sz="0" w:space="0" w:color="auto"/>
            <w:right w:val="none" w:sz="0" w:space="0" w:color="auto"/>
          </w:divBdr>
        </w:div>
      </w:divsChild>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32671944">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65171563">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26651344">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menicky3604\JKAM%20CSU\PUBLIKACE\PUBLIKACE\2023\Qmakro\Ceolorok-2023\Odv&#283;tv&#237;\Odv&#283;tv&#237;_grafy_rok_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menicky3604\JKAM%20CSU\PUBLIKACE\PUBLIKACE\2023\Qmakro\Ceolorok-2023\Odv&#283;tv&#237;\Odv&#283;tv&#237;_grafy_rok_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QMakro-2023\Ceolorok-2023\Odv&#283;tv&#237;\Odv&#283;tv&#237;_grafy_rok_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menicky3604\JKAM%20CSU\PUBLIKACE\PUBLIKACE\2023\Qmakro\Ceolorok-2023\Odv&#283;tv&#237;\Odv&#283;tv&#237;_grafy_rok_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menicky3604\JKAM%20CSU\PUBLIKACE\PUBLIKACE\2023\Qmakro\Ceolorok-2023\Odv&#283;tv&#237;\Odv&#283;tv&#237;_grafy_rok_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610992424025096E-2"/>
          <c:y val="1.5804777005479883E-2"/>
          <c:w val="0.84419102795189593"/>
          <c:h val="0.69135712481071809"/>
        </c:manualLayout>
      </c:layout>
      <c:barChart>
        <c:barDir val="col"/>
        <c:grouping val="stacked"/>
        <c:varyColors val="0"/>
        <c:ser>
          <c:idx val="0"/>
          <c:order val="0"/>
          <c:tx>
            <c:strRef>
              <c:f>'GRAF příspěvky IPP'!$A$27</c:f>
              <c:strCache>
                <c:ptCount val="1"/>
                <c:pt idx="0">
                  <c:v>Výroba dopravních prostředků (29, 30)</c:v>
                </c:pt>
              </c:strCache>
            </c:strRef>
          </c:tx>
          <c:spPr>
            <a:solidFill>
              <a:srgbClr val="E8AFB2"/>
            </a:solidFill>
          </c:spPr>
          <c:invertIfNegative val="0"/>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IPP'!$R$27:$BA$27</c:f>
              <c:numCache>
                <c:formatCode>0.0</c:formatCode>
                <c:ptCount val="36"/>
                <c:pt idx="0">
                  <c:v>1.541433600155184</c:v>
                </c:pt>
                <c:pt idx="1">
                  <c:v>2.1741500812415602</c:v>
                </c:pt>
                <c:pt idx="2">
                  <c:v>2.38074512852317</c:v>
                </c:pt>
                <c:pt idx="3">
                  <c:v>2.8689756615217954</c:v>
                </c:pt>
                <c:pt idx="4">
                  <c:v>3.3341210196737832</c:v>
                </c:pt>
                <c:pt idx="5">
                  <c:v>2.686672264317759</c:v>
                </c:pt>
                <c:pt idx="6">
                  <c:v>1.4809491976121278</c:v>
                </c:pt>
                <c:pt idx="7">
                  <c:v>1.0295786410238901</c:v>
                </c:pt>
                <c:pt idx="8">
                  <c:v>1.7176851530772048</c:v>
                </c:pt>
                <c:pt idx="9">
                  <c:v>2.162430036953364</c:v>
                </c:pt>
                <c:pt idx="10">
                  <c:v>1.6010808371876544</c:v>
                </c:pt>
                <c:pt idx="11">
                  <c:v>1.6765308689366039</c:v>
                </c:pt>
                <c:pt idx="12">
                  <c:v>0.76463369901420963</c:v>
                </c:pt>
                <c:pt idx="13">
                  <c:v>0.53745054525373026</c:v>
                </c:pt>
                <c:pt idx="14">
                  <c:v>0.24390176608722358</c:v>
                </c:pt>
                <c:pt idx="15">
                  <c:v>0.97145099568383697</c:v>
                </c:pt>
                <c:pt idx="16">
                  <c:v>-0.22653642884122777</c:v>
                </c:pt>
                <c:pt idx="17">
                  <c:v>0.48861091853368632</c:v>
                </c:pt>
                <c:pt idx="18">
                  <c:v>0.8085591774608728</c:v>
                </c:pt>
                <c:pt idx="19">
                  <c:v>-1.0897983527427602</c:v>
                </c:pt>
                <c:pt idx="20">
                  <c:v>-1.5435543851935798</c:v>
                </c:pt>
                <c:pt idx="21">
                  <c:v>-9.4039632081130193</c:v>
                </c:pt>
                <c:pt idx="22">
                  <c:v>-0.18743733484121566</c:v>
                </c:pt>
                <c:pt idx="23">
                  <c:v>2.0451875585567292</c:v>
                </c:pt>
                <c:pt idx="24">
                  <c:v>1.8998981300154261</c:v>
                </c:pt>
                <c:pt idx="25">
                  <c:v>10.981696435394753</c:v>
                </c:pt>
                <c:pt idx="26">
                  <c:v>-3.7777447309199403</c:v>
                </c:pt>
                <c:pt idx="27">
                  <c:v>-3.2745552925864523</c:v>
                </c:pt>
                <c:pt idx="28">
                  <c:v>-1.9139060121680731</c:v>
                </c:pt>
                <c:pt idx="29">
                  <c:v>7.4805897445446537E-2</c:v>
                </c:pt>
                <c:pt idx="30">
                  <c:v>5.6188837456000496</c:v>
                </c:pt>
                <c:pt idx="31">
                  <c:v>4.0478655888897555</c:v>
                </c:pt>
                <c:pt idx="32">
                  <c:v>4.8890971219454</c:v>
                </c:pt>
                <c:pt idx="33">
                  <c:v>4.8283125874523325</c:v>
                </c:pt>
                <c:pt idx="34">
                  <c:v>1.0456410413068782</c:v>
                </c:pt>
                <c:pt idx="35">
                  <c:v>2.8039519214070401</c:v>
                </c:pt>
              </c:numCache>
            </c:numRef>
          </c:val>
          <c:extLst>
            <c:ext xmlns:c16="http://schemas.microsoft.com/office/drawing/2014/chart" uri="{C3380CC4-5D6E-409C-BE32-E72D297353CC}">
              <c16:uniqueId val="{00000000-0E2E-445E-BFCE-7E98BCF602E5}"/>
            </c:ext>
          </c:extLst>
        </c:ser>
        <c:ser>
          <c:idx val="1"/>
          <c:order val="1"/>
          <c:tx>
            <c:strRef>
              <c:f>'GRAF příspěvky IPP'!$A$28</c:f>
              <c:strCache>
                <c:ptCount val="1"/>
                <c:pt idx="0">
                  <c:v>Gumárenství, elektrotechnický pr. (22, 27)</c:v>
                </c:pt>
              </c:strCache>
            </c:strRef>
          </c:tx>
          <c:spPr>
            <a:solidFill>
              <a:srgbClr val="BD1B21"/>
            </a:solidFill>
          </c:spPr>
          <c:invertIfNegative val="0"/>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IPP'!$R$28:$BA$28</c:f>
              <c:numCache>
                <c:formatCode>0.0</c:formatCode>
                <c:ptCount val="36"/>
                <c:pt idx="0">
                  <c:v>1.0327842576995616</c:v>
                </c:pt>
                <c:pt idx="1">
                  <c:v>1.2398193770878807</c:v>
                </c:pt>
                <c:pt idx="2">
                  <c:v>1.4194520754584399</c:v>
                </c:pt>
                <c:pt idx="3">
                  <c:v>0.62945179373892213</c:v>
                </c:pt>
                <c:pt idx="4">
                  <c:v>0.81066950070394839</c:v>
                </c:pt>
                <c:pt idx="5">
                  <c:v>0.15910929112689309</c:v>
                </c:pt>
                <c:pt idx="6">
                  <c:v>0.27430884251769183</c:v>
                </c:pt>
                <c:pt idx="7">
                  <c:v>0.42966812397126042</c:v>
                </c:pt>
                <c:pt idx="8">
                  <c:v>0.81190885185629913</c:v>
                </c:pt>
                <c:pt idx="9">
                  <c:v>1.4478162783570221</c:v>
                </c:pt>
                <c:pt idx="10">
                  <c:v>0.86831270392558868</c:v>
                </c:pt>
                <c:pt idx="11">
                  <c:v>1.6467937182997419</c:v>
                </c:pt>
                <c:pt idx="12">
                  <c:v>0.9935582508975197</c:v>
                </c:pt>
                <c:pt idx="13">
                  <c:v>0.32981714268582196</c:v>
                </c:pt>
                <c:pt idx="14">
                  <c:v>0.43066392508053108</c:v>
                </c:pt>
                <c:pt idx="15">
                  <c:v>-5.4042637097958604E-2</c:v>
                </c:pt>
                <c:pt idx="16">
                  <c:v>0.52511448325990218</c:v>
                </c:pt>
                <c:pt idx="17">
                  <c:v>0.41827161057405132</c:v>
                </c:pt>
                <c:pt idx="18">
                  <c:v>0.20321919004157396</c:v>
                </c:pt>
                <c:pt idx="19">
                  <c:v>0.40664545615593134</c:v>
                </c:pt>
                <c:pt idx="20">
                  <c:v>-0.54518803499189361</c:v>
                </c:pt>
                <c:pt idx="21">
                  <c:v>-4.0594843067761053</c:v>
                </c:pt>
                <c:pt idx="22">
                  <c:v>-0.42308415860457266</c:v>
                </c:pt>
                <c:pt idx="23">
                  <c:v>0.57531703991443739</c:v>
                </c:pt>
                <c:pt idx="24">
                  <c:v>0.72127374997619453</c:v>
                </c:pt>
                <c:pt idx="25">
                  <c:v>5.513308021153847</c:v>
                </c:pt>
                <c:pt idx="26">
                  <c:v>0.63109141066247443</c:v>
                </c:pt>
                <c:pt idx="27">
                  <c:v>-0.40575686667122407</c:v>
                </c:pt>
                <c:pt idx="28">
                  <c:v>9.4219437714530618E-2</c:v>
                </c:pt>
                <c:pt idx="29">
                  <c:v>0.14447578235561789</c:v>
                </c:pt>
                <c:pt idx="30">
                  <c:v>0.53281688283887163</c:v>
                </c:pt>
                <c:pt idx="31">
                  <c:v>0.60923547078383666</c:v>
                </c:pt>
                <c:pt idx="32">
                  <c:v>0.18530195738035801</c:v>
                </c:pt>
                <c:pt idx="33">
                  <c:v>7.4896272604568853E-2</c:v>
                </c:pt>
                <c:pt idx="34">
                  <c:v>-0.47281532367100698</c:v>
                </c:pt>
                <c:pt idx="35">
                  <c:v>6.6270631963920593E-2</c:v>
                </c:pt>
              </c:numCache>
            </c:numRef>
          </c:val>
          <c:extLst>
            <c:ext xmlns:c16="http://schemas.microsoft.com/office/drawing/2014/chart" uri="{C3380CC4-5D6E-409C-BE32-E72D297353CC}">
              <c16:uniqueId val="{00000001-0E2E-445E-BFCE-7E98BCF602E5}"/>
            </c:ext>
          </c:extLst>
        </c:ser>
        <c:ser>
          <c:idx val="2"/>
          <c:order val="2"/>
          <c:tx>
            <c:strRef>
              <c:f>'GRAF příspěvky IPP'!$A$29</c:f>
              <c:strCache>
                <c:ptCount val="1"/>
                <c:pt idx="0">
                  <c:v>Strojírenství (28)</c:v>
                </c:pt>
              </c:strCache>
            </c:strRef>
          </c:tx>
          <c:spPr>
            <a:solidFill>
              <a:srgbClr val="BFE3F7"/>
            </a:solidFill>
          </c:spPr>
          <c:invertIfNegative val="0"/>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IPP'!$R$29:$BA$29</c:f>
              <c:numCache>
                <c:formatCode>0.0</c:formatCode>
                <c:ptCount val="36"/>
                <c:pt idx="0">
                  <c:v>0.27352741322260493</c:v>
                </c:pt>
                <c:pt idx="1">
                  <c:v>0.2943577886323015</c:v>
                </c:pt>
                <c:pt idx="2">
                  <c:v>0.38381901893821546</c:v>
                </c:pt>
                <c:pt idx="3">
                  <c:v>1.9907538862099918E-2</c:v>
                </c:pt>
                <c:pt idx="4">
                  <c:v>0.36213267281302258</c:v>
                </c:pt>
                <c:pt idx="5">
                  <c:v>-6.5064708510287728E-2</c:v>
                </c:pt>
                <c:pt idx="6">
                  <c:v>0.19502661099256191</c:v>
                </c:pt>
                <c:pt idx="7">
                  <c:v>0.31976595271137093</c:v>
                </c:pt>
                <c:pt idx="8">
                  <c:v>0.36260721751312475</c:v>
                </c:pt>
                <c:pt idx="9">
                  <c:v>1.0676230430151588</c:v>
                </c:pt>
                <c:pt idx="10">
                  <c:v>0.8485662209750291</c:v>
                </c:pt>
                <c:pt idx="11">
                  <c:v>0.8011679796708624</c:v>
                </c:pt>
                <c:pt idx="12">
                  <c:v>0.47154480134890692</c:v>
                </c:pt>
                <c:pt idx="13">
                  <c:v>0.14539794495792596</c:v>
                </c:pt>
                <c:pt idx="14">
                  <c:v>0.1851895799029194</c:v>
                </c:pt>
                <c:pt idx="15">
                  <c:v>-0.19190856298894729</c:v>
                </c:pt>
                <c:pt idx="16">
                  <c:v>0.14248219231403375</c:v>
                </c:pt>
                <c:pt idx="17">
                  <c:v>-2.1421773901395609E-2</c:v>
                </c:pt>
                <c:pt idx="18">
                  <c:v>-0.25698546548398382</c:v>
                </c:pt>
                <c:pt idx="19">
                  <c:v>-0.1385976419695116</c:v>
                </c:pt>
                <c:pt idx="20">
                  <c:v>-0.6967773072729575</c:v>
                </c:pt>
                <c:pt idx="21">
                  <c:v>-2.1434069100206701</c:v>
                </c:pt>
                <c:pt idx="22">
                  <c:v>-0.80071965285565583</c:v>
                </c:pt>
                <c:pt idx="23">
                  <c:v>-0.53337369043417604</c:v>
                </c:pt>
                <c:pt idx="24">
                  <c:v>7.0388429332234728E-2</c:v>
                </c:pt>
                <c:pt idx="25">
                  <c:v>2.1082132332125232</c:v>
                </c:pt>
                <c:pt idx="26">
                  <c:v>0.54002718228061808</c:v>
                </c:pt>
                <c:pt idx="27">
                  <c:v>0.28651169955913558</c:v>
                </c:pt>
                <c:pt idx="28">
                  <c:v>0.38112415842724146</c:v>
                </c:pt>
                <c:pt idx="29">
                  <c:v>0.10272667009912291</c:v>
                </c:pt>
                <c:pt idx="30">
                  <c:v>0.49907693226871175</c:v>
                </c:pt>
                <c:pt idx="31">
                  <c:v>0.65938727063841063</c:v>
                </c:pt>
                <c:pt idx="32">
                  <c:v>0.33491818481481772</c:v>
                </c:pt>
                <c:pt idx="33">
                  <c:v>0.34685911599308167</c:v>
                </c:pt>
                <c:pt idx="34">
                  <c:v>-0.61663065612978885</c:v>
                </c:pt>
                <c:pt idx="35">
                  <c:v>-0.80038572029116051</c:v>
                </c:pt>
              </c:numCache>
            </c:numRef>
          </c:val>
          <c:extLst>
            <c:ext xmlns:c16="http://schemas.microsoft.com/office/drawing/2014/chart" uri="{C3380CC4-5D6E-409C-BE32-E72D297353CC}">
              <c16:uniqueId val="{00000002-0E2E-445E-BFCE-7E98BCF602E5}"/>
            </c:ext>
          </c:extLst>
        </c:ser>
        <c:ser>
          <c:idx val="3"/>
          <c:order val="3"/>
          <c:tx>
            <c:strRef>
              <c:f>'GRAF příspěvky IPP'!$A$30</c:f>
              <c:strCache>
                <c:ptCount val="1"/>
                <c:pt idx="0">
                  <c:v>Kovodělný průmysl (25)</c:v>
                </c:pt>
              </c:strCache>
            </c:strRef>
          </c:tx>
          <c:spPr>
            <a:solidFill>
              <a:srgbClr val="48AEE7"/>
            </a:solidFill>
          </c:spPr>
          <c:invertIfNegative val="0"/>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IPP'!$R$30:$BA$30</c:f>
              <c:numCache>
                <c:formatCode>0.0</c:formatCode>
                <c:ptCount val="36"/>
                <c:pt idx="0">
                  <c:v>0.69497691812608708</c:v>
                </c:pt>
                <c:pt idx="1">
                  <c:v>0.78508725997594431</c:v>
                </c:pt>
                <c:pt idx="2">
                  <c:v>0.99073344247385264</c:v>
                </c:pt>
                <c:pt idx="3">
                  <c:v>0.60112803930591463</c:v>
                </c:pt>
                <c:pt idx="4">
                  <c:v>0.80565108552423159</c:v>
                </c:pt>
                <c:pt idx="5">
                  <c:v>0.37292975928366612</c:v>
                </c:pt>
                <c:pt idx="6">
                  <c:v>0.22874403118707323</c:v>
                </c:pt>
                <c:pt idx="7">
                  <c:v>0.25105221227274938</c:v>
                </c:pt>
                <c:pt idx="8">
                  <c:v>0.39859566543955588</c:v>
                </c:pt>
                <c:pt idx="9">
                  <c:v>0.93860836876068798</c:v>
                </c:pt>
                <c:pt idx="10">
                  <c:v>0.85733344200421968</c:v>
                </c:pt>
                <c:pt idx="11">
                  <c:v>0.96180148351524541</c:v>
                </c:pt>
                <c:pt idx="12">
                  <c:v>0.66382399405022563</c:v>
                </c:pt>
                <c:pt idx="13">
                  <c:v>0.46639173271760581</c:v>
                </c:pt>
                <c:pt idx="14">
                  <c:v>0.40419840691742392</c:v>
                </c:pt>
                <c:pt idx="15">
                  <c:v>0.14440932883616314</c:v>
                </c:pt>
                <c:pt idx="16">
                  <c:v>0.25807569584954465</c:v>
                </c:pt>
                <c:pt idx="17">
                  <c:v>1.4459010693799904E-2</c:v>
                </c:pt>
                <c:pt idx="18">
                  <c:v>-0.25651049213587435</c:v>
                </c:pt>
                <c:pt idx="19">
                  <c:v>-0.34928328908715461</c:v>
                </c:pt>
                <c:pt idx="20">
                  <c:v>-0.60808014688232759</c:v>
                </c:pt>
                <c:pt idx="21">
                  <c:v>-2.0880437771647515</c:v>
                </c:pt>
                <c:pt idx="22">
                  <c:v>-0.5397213489370003</c:v>
                </c:pt>
                <c:pt idx="23">
                  <c:v>0.14511452076092651</c:v>
                </c:pt>
                <c:pt idx="24">
                  <c:v>0.49633095542560102</c:v>
                </c:pt>
                <c:pt idx="25">
                  <c:v>3.01292492605377</c:v>
                </c:pt>
                <c:pt idx="26">
                  <c:v>0.7364847818203103</c:v>
                </c:pt>
                <c:pt idx="27">
                  <c:v>-5.6080447887036491E-2</c:v>
                </c:pt>
                <c:pt idx="28">
                  <c:v>0.14951375880960249</c:v>
                </c:pt>
                <c:pt idx="29">
                  <c:v>-0.43703762786363681</c:v>
                </c:pt>
                <c:pt idx="30">
                  <c:v>-0.39225525137063916</c:v>
                </c:pt>
                <c:pt idx="31">
                  <c:v>-0.25495163136202598</c:v>
                </c:pt>
                <c:pt idx="32">
                  <c:v>-0.35270143311875107</c:v>
                </c:pt>
                <c:pt idx="33">
                  <c:v>-0.15027066322036883</c:v>
                </c:pt>
                <c:pt idx="34">
                  <c:v>-8.105367681371034E-2</c:v>
                </c:pt>
                <c:pt idx="35">
                  <c:v>-0.15353666376849709</c:v>
                </c:pt>
              </c:numCache>
            </c:numRef>
          </c:val>
          <c:extLst>
            <c:ext xmlns:c16="http://schemas.microsoft.com/office/drawing/2014/chart" uri="{C3380CC4-5D6E-409C-BE32-E72D297353CC}">
              <c16:uniqueId val="{00000003-0E2E-445E-BFCE-7E98BCF602E5}"/>
            </c:ext>
          </c:extLst>
        </c:ser>
        <c:ser>
          <c:idx val="4"/>
          <c:order val="4"/>
          <c:tx>
            <c:strRef>
              <c:f>'GRAF příspěvky IPP'!$A$31</c:f>
              <c:strCache>
                <c:ptCount val="1"/>
                <c:pt idx="0">
                  <c:v>Výroba PC, elektronic. a optic. přístr. (26)</c:v>
                </c:pt>
              </c:strCache>
            </c:strRef>
          </c:tx>
          <c:spPr>
            <a:solidFill>
              <a:srgbClr val="FDDEB3"/>
            </a:solidFill>
          </c:spPr>
          <c:invertIfNegative val="0"/>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IPP'!$R$31:$BA$31</c:f>
              <c:numCache>
                <c:formatCode>0.0</c:formatCode>
                <c:ptCount val="36"/>
                <c:pt idx="0">
                  <c:v>0.10273275765267496</c:v>
                </c:pt>
                <c:pt idx="1">
                  <c:v>1.7022273503113718E-2</c:v>
                </c:pt>
                <c:pt idx="2">
                  <c:v>3.1451678515104949E-2</c:v>
                </c:pt>
                <c:pt idx="3">
                  <c:v>-6.7148299810871753E-2</c:v>
                </c:pt>
                <c:pt idx="4">
                  <c:v>-1.268547666727784E-2</c:v>
                </c:pt>
                <c:pt idx="5">
                  <c:v>7.6588175669583008E-2</c:v>
                </c:pt>
                <c:pt idx="6">
                  <c:v>4.5204856094121497E-2</c:v>
                </c:pt>
                <c:pt idx="7">
                  <c:v>0.16194666355811349</c:v>
                </c:pt>
                <c:pt idx="8">
                  <c:v>0.16169573185966213</c:v>
                </c:pt>
                <c:pt idx="9">
                  <c:v>0.34034954986554078</c:v>
                </c:pt>
                <c:pt idx="10">
                  <c:v>0.22387493834902869</c:v>
                </c:pt>
                <c:pt idx="11">
                  <c:v>0.23474883574173075</c:v>
                </c:pt>
                <c:pt idx="12">
                  <c:v>0.37691682805498261</c:v>
                </c:pt>
                <c:pt idx="13">
                  <c:v>0.16170745152429078</c:v>
                </c:pt>
                <c:pt idx="14">
                  <c:v>0.63541368560223876</c:v>
                </c:pt>
                <c:pt idx="15">
                  <c:v>0.32151776055716924</c:v>
                </c:pt>
                <c:pt idx="16">
                  <c:v>-0.11432204894408442</c:v>
                </c:pt>
                <c:pt idx="17">
                  <c:v>-5.1757146500390386E-2</c:v>
                </c:pt>
                <c:pt idx="18">
                  <c:v>-0.5870651096826367</c:v>
                </c:pt>
                <c:pt idx="19">
                  <c:v>-0.3548718823744107</c:v>
                </c:pt>
                <c:pt idx="20">
                  <c:v>-8.5397778834990543E-2</c:v>
                </c:pt>
                <c:pt idx="21">
                  <c:v>-0.27817734072291866</c:v>
                </c:pt>
                <c:pt idx="22">
                  <c:v>-2.9065624151318084E-3</c:v>
                </c:pt>
                <c:pt idx="23">
                  <c:v>-5.9498285904227748E-3</c:v>
                </c:pt>
                <c:pt idx="24">
                  <c:v>0.12344573775217321</c:v>
                </c:pt>
                <c:pt idx="25">
                  <c:v>0.1650359896824464</c:v>
                </c:pt>
                <c:pt idx="26">
                  <c:v>0.21876908691427949</c:v>
                </c:pt>
                <c:pt idx="27">
                  <c:v>-0.21769009003114995</c:v>
                </c:pt>
                <c:pt idx="28">
                  <c:v>1.6809689420158303E-2</c:v>
                </c:pt>
                <c:pt idx="29">
                  <c:v>-1.2858202239140653E-2</c:v>
                </c:pt>
                <c:pt idx="30">
                  <c:v>6.771202933633029E-2</c:v>
                </c:pt>
                <c:pt idx="31">
                  <c:v>0.43638301343145647</c:v>
                </c:pt>
                <c:pt idx="32">
                  <c:v>0.15561037374071973</c:v>
                </c:pt>
                <c:pt idx="33">
                  <c:v>6.4192524802535331E-2</c:v>
                </c:pt>
                <c:pt idx="34">
                  <c:v>-0.12398451575935127</c:v>
                </c:pt>
                <c:pt idx="35">
                  <c:v>-0.17572322973013829</c:v>
                </c:pt>
              </c:numCache>
            </c:numRef>
          </c:val>
          <c:extLst>
            <c:ext xmlns:c16="http://schemas.microsoft.com/office/drawing/2014/chart" uri="{C3380CC4-5D6E-409C-BE32-E72D297353CC}">
              <c16:uniqueId val="{00000004-0E2E-445E-BFCE-7E98BCF602E5}"/>
            </c:ext>
          </c:extLst>
        </c:ser>
        <c:ser>
          <c:idx val="5"/>
          <c:order val="5"/>
          <c:tx>
            <c:strRef>
              <c:f>'GRAF příspěvky IPP'!$A$32</c:f>
              <c:strCache>
                <c:ptCount val="1"/>
                <c:pt idx="0">
                  <c:v>Chemický a farmaceutický pr. (20, 21)</c:v>
                </c:pt>
              </c:strCache>
            </c:strRef>
          </c:tx>
          <c:spPr>
            <a:solidFill>
              <a:srgbClr val="F8A124"/>
            </a:solidFill>
            <a:ln>
              <a:noFill/>
            </a:ln>
          </c:spPr>
          <c:invertIfNegative val="0"/>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IPP'!$R$32:$BA$32</c:f>
              <c:numCache>
                <c:formatCode>0.0</c:formatCode>
                <c:ptCount val="36"/>
                <c:pt idx="0">
                  <c:v>7.7208317080078318E-2</c:v>
                </c:pt>
                <c:pt idx="1">
                  <c:v>0.23592866818826699</c:v>
                </c:pt>
                <c:pt idx="2">
                  <c:v>-0.16336143877828874</c:v>
                </c:pt>
                <c:pt idx="3">
                  <c:v>-0.33439989501658007</c:v>
                </c:pt>
                <c:pt idx="4">
                  <c:v>-0.41779515285163227</c:v>
                </c:pt>
                <c:pt idx="5">
                  <c:v>-0.42569819359762046</c:v>
                </c:pt>
                <c:pt idx="6">
                  <c:v>-0.10788089066016888</c:v>
                </c:pt>
                <c:pt idx="7">
                  <c:v>0.23743965472329751</c:v>
                </c:pt>
                <c:pt idx="8">
                  <c:v>0.52311070740015453</c:v>
                </c:pt>
                <c:pt idx="9">
                  <c:v>0.82341422334347236</c:v>
                </c:pt>
                <c:pt idx="10">
                  <c:v>0.65076836480306144</c:v>
                </c:pt>
                <c:pt idx="11">
                  <c:v>0.5049397817315181</c:v>
                </c:pt>
                <c:pt idx="12">
                  <c:v>0.402956398929881</c:v>
                </c:pt>
                <c:pt idx="13">
                  <c:v>8.0557374992047265E-2</c:v>
                </c:pt>
                <c:pt idx="14">
                  <c:v>-5.3154805616806716E-2</c:v>
                </c:pt>
                <c:pt idx="15">
                  <c:v>-6.7994611415210335E-2</c:v>
                </c:pt>
                <c:pt idx="16">
                  <c:v>0.10386183133359356</c:v>
                </c:pt>
                <c:pt idx="17">
                  <c:v>4.7610492592970489E-2</c:v>
                </c:pt>
                <c:pt idx="18">
                  <c:v>0.23071819932128146</c:v>
                </c:pt>
                <c:pt idx="19">
                  <c:v>3.0462943071166669E-2</c:v>
                </c:pt>
                <c:pt idx="20">
                  <c:v>-3.1218778316377288E-2</c:v>
                </c:pt>
                <c:pt idx="21">
                  <c:v>-0.54858975903434926</c:v>
                </c:pt>
                <c:pt idx="22">
                  <c:v>-0.21411469460909971</c:v>
                </c:pt>
                <c:pt idx="23">
                  <c:v>0.43233148897113949</c:v>
                </c:pt>
                <c:pt idx="24">
                  <c:v>0.28829426971776517</c:v>
                </c:pt>
                <c:pt idx="25">
                  <c:v>0.79933281321603367</c:v>
                </c:pt>
                <c:pt idx="26">
                  <c:v>0.31192170113272544</c:v>
                </c:pt>
                <c:pt idx="27">
                  <c:v>7.2471498351694655E-2</c:v>
                </c:pt>
                <c:pt idx="28">
                  <c:v>0.25166918121745407</c:v>
                </c:pt>
                <c:pt idx="29">
                  <c:v>0.17196461710718774</c:v>
                </c:pt>
                <c:pt idx="30">
                  <c:v>-8.828884317687001E-2</c:v>
                </c:pt>
                <c:pt idx="31">
                  <c:v>-0.2680061496566824</c:v>
                </c:pt>
                <c:pt idx="32">
                  <c:v>-0.57157637854029431</c:v>
                </c:pt>
                <c:pt idx="33">
                  <c:v>-0.14509871678747102</c:v>
                </c:pt>
                <c:pt idx="34">
                  <c:v>0.10958983295560946</c:v>
                </c:pt>
                <c:pt idx="35">
                  <c:v>-9.0213315565950206E-2</c:v>
                </c:pt>
              </c:numCache>
            </c:numRef>
          </c:val>
          <c:extLst>
            <c:ext xmlns:c16="http://schemas.microsoft.com/office/drawing/2014/chart" uri="{C3380CC4-5D6E-409C-BE32-E72D297353CC}">
              <c16:uniqueId val="{00000005-0E2E-445E-BFCE-7E98BCF602E5}"/>
            </c:ext>
          </c:extLst>
        </c:ser>
        <c:ser>
          <c:idx val="6"/>
          <c:order val="6"/>
          <c:tx>
            <c:strRef>
              <c:f>'GRAF příspěvky IPP'!$A$33</c:f>
              <c:strCache>
                <c:ptCount val="1"/>
                <c:pt idx="0">
                  <c:v>Zbývající zpracovatelský průmysl</c:v>
                </c:pt>
              </c:strCache>
            </c:strRef>
          </c:tx>
          <c:spPr>
            <a:solidFill>
              <a:schemeClr val="bg1">
                <a:lumMod val="85000"/>
              </a:schemeClr>
            </a:solidFill>
          </c:spPr>
          <c:invertIfNegative val="0"/>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IPP'!$R$33:$BA$33</c:f>
              <c:numCache>
                <c:formatCode>0.0</c:formatCode>
                <c:ptCount val="36"/>
                <c:pt idx="0">
                  <c:v>0.98162826530883773</c:v>
                </c:pt>
                <c:pt idx="1">
                  <c:v>0.89609854193090011</c:v>
                </c:pt>
                <c:pt idx="2">
                  <c:v>1.0136997635799248</c:v>
                </c:pt>
                <c:pt idx="3">
                  <c:v>-0.20234655551353997</c:v>
                </c:pt>
                <c:pt idx="4">
                  <c:v>-0.44271514968256598</c:v>
                </c:pt>
                <c:pt idx="5">
                  <c:v>-1.2360310619494739</c:v>
                </c:pt>
                <c:pt idx="6">
                  <c:v>-0.34381297444418141</c:v>
                </c:pt>
                <c:pt idx="7">
                  <c:v>0.41334459659232031</c:v>
                </c:pt>
                <c:pt idx="8">
                  <c:v>-0.16839258521613629</c:v>
                </c:pt>
                <c:pt idx="9">
                  <c:v>1.478036189227403</c:v>
                </c:pt>
                <c:pt idx="10">
                  <c:v>0.64937078015870064</c:v>
                </c:pt>
                <c:pt idx="11">
                  <c:v>0.70590148666032349</c:v>
                </c:pt>
                <c:pt idx="12">
                  <c:v>1.2116662560996505</c:v>
                </c:pt>
                <c:pt idx="13">
                  <c:v>0.71097548863760385</c:v>
                </c:pt>
                <c:pt idx="14">
                  <c:v>1.1301447241276845</c:v>
                </c:pt>
                <c:pt idx="15">
                  <c:v>0.13866678540773811</c:v>
                </c:pt>
                <c:pt idx="16">
                  <c:v>-0.42964337660274932</c:v>
                </c:pt>
                <c:pt idx="17">
                  <c:v>-0.22246357298765709</c:v>
                </c:pt>
                <c:pt idx="18">
                  <c:v>-1.0177720338517322</c:v>
                </c:pt>
                <c:pt idx="19">
                  <c:v>5.3943756139758624E-2</c:v>
                </c:pt>
                <c:pt idx="20">
                  <c:v>0.23152724249778844</c:v>
                </c:pt>
                <c:pt idx="21">
                  <c:v>-1.6759838727065843</c:v>
                </c:pt>
                <c:pt idx="22">
                  <c:v>-0.18136031704977121</c:v>
                </c:pt>
                <c:pt idx="23">
                  <c:v>-0.29102610739168905</c:v>
                </c:pt>
                <c:pt idx="24">
                  <c:v>3.5528521432281988E-2</c:v>
                </c:pt>
                <c:pt idx="25">
                  <c:v>3.2192972163240041</c:v>
                </c:pt>
                <c:pt idx="26">
                  <c:v>1.6605685282307985</c:v>
                </c:pt>
                <c:pt idx="27">
                  <c:v>1.2452073973288977</c:v>
                </c:pt>
                <c:pt idx="28">
                  <c:v>1.7181066428266309</c:v>
                </c:pt>
                <c:pt idx="29">
                  <c:v>0.2617852216300951</c:v>
                </c:pt>
                <c:pt idx="30">
                  <c:v>-1.5893023433684739</c:v>
                </c:pt>
                <c:pt idx="31">
                  <c:v>-1.4648552237920627</c:v>
                </c:pt>
                <c:pt idx="32">
                  <c:v>-2.9445768250855897</c:v>
                </c:pt>
                <c:pt idx="33">
                  <c:v>-3.189278633396214</c:v>
                </c:pt>
                <c:pt idx="34">
                  <c:v>-1.7312875587043541</c:v>
                </c:pt>
                <c:pt idx="35">
                  <c:v>-1.3671072744510917</c:v>
                </c:pt>
              </c:numCache>
            </c:numRef>
          </c:val>
          <c:extLst>
            <c:ext xmlns:c16="http://schemas.microsoft.com/office/drawing/2014/chart" uri="{C3380CC4-5D6E-409C-BE32-E72D297353CC}">
              <c16:uniqueId val="{00000006-0E2E-445E-BFCE-7E98BCF602E5}"/>
            </c:ext>
          </c:extLst>
        </c:ser>
        <c:ser>
          <c:idx val="7"/>
          <c:order val="7"/>
          <c:tx>
            <c:strRef>
              <c:f>'GRAF příspěvky IPP'!$A$34</c:f>
              <c:strCache>
                <c:ptCount val="1"/>
                <c:pt idx="0">
                  <c:v>Těžba a energetika (B, D)</c:v>
                </c:pt>
              </c:strCache>
            </c:strRef>
          </c:tx>
          <c:spPr>
            <a:solidFill>
              <a:srgbClr val="808080"/>
            </a:solidFill>
          </c:spPr>
          <c:invertIfNegative val="0"/>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IPP'!$R$34:$BA$34</c:f>
              <c:numCache>
                <c:formatCode>0.0</c:formatCode>
                <c:ptCount val="36"/>
                <c:pt idx="0">
                  <c:v>0.1453689780549717</c:v>
                </c:pt>
                <c:pt idx="1">
                  <c:v>-0.33983324755997291</c:v>
                </c:pt>
                <c:pt idx="2">
                  <c:v>-0.39725135811041795</c:v>
                </c:pt>
                <c:pt idx="3">
                  <c:v>-1.114644115487744</c:v>
                </c:pt>
                <c:pt idx="4">
                  <c:v>-0.64587487131351196</c:v>
                </c:pt>
                <c:pt idx="5">
                  <c:v>9.8834575359488197E-2</c:v>
                </c:pt>
                <c:pt idx="6">
                  <c:v>-0.47676721369922492</c:v>
                </c:pt>
                <c:pt idx="7">
                  <c:v>0.50385695934700236</c:v>
                </c:pt>
                <c:pt idx="8">
                  <c:v>0.66227118757014125</c:v>
                </c:pt>
                <c:pt idx="9">
                  <c:v>-0.18254891472265228</c:v>
                </c:pt>
                <c:pt idx="10">
                  <c:v>0.77170124339672319</c:v>
                </c:pt>
                <c:pt idx="11">
                  <c:v>0.73276064564397936</c:v>
                </c:pt>
                <c:pt idx="12">
                  <c:v>-0.53888499639537124</c:v>
                </c:pt>
                <c:pt idx="13">
                  <c:v>4.2147847309763073E-3</c:v>
                </c:pt>
                <c:pt idx="14">
                  <c:v>0.7878357385987913</c:v>
                </c:pt>
                <c:pt idx="15">
                  <c:v>0.33124933161720838</c:v>
                </c:pt>
                <c:pt idx="16">
                  <c:v>0.21326825173098604</c:v>
                </c:pt>
                <c:pt idx="17">
                  <c:v>4.5891627194929605E-2</c:v>
                </c:pt>
                <c:pt idx="18">
                  <c:v>-0.66559651426949995</c:v>
                </c:pt>
                <c:pt idx="19">
                  <c:v>-0.33090808889302387</c:v>
                </c:pt>
                <c:pt idx="20">
                  <c:v>-0.97342506810566543</c:v>
                </c:pt>
                <c:pt idx="21">
                  <c:v>-1.5875613971615936</c:v>
                </c:pt>
                <c:pt idx="22">
                  <c:v>-0.71564578738754892</c:v>
                </c:pt>
                <c:pt idx="23">
                  <c:v>-0.69506985368693885</c:v>
                </c:pt>
                <c:pt idx="24">
                  <c:v>0.4807247757483179</c:v>
                </c:pt>
                <c:pt idx="25">
                  <c:v>0.46331760076263323</c:v>
                </c:pt>
                <c:pt idx="26">
                  <c:v>0.22196846067872947</c:v>
                </c:pt>
                <c:pt idx="27">
                  <c:v>0.81349879426535543</c:v>
                </c:pt>
                <c:pt idx="28">
                  <c:v>-0.17518261564754817</c:v>
                </c:pt>
                <c:pt idx="29">
                  <c:v>0.27450121496530167</c:v>
                </c:pt>
                <c:pt idx="30">
                  <c:v>0.37994694442243832</c:v>
                </c:pt>
                <c:pt idx="31">
                  <c:v>-1.372950167074922</c:v>
                </c:pt>
                <c:pt idx="32">
                  <c:v>-1.2158184400366616</c:v>
                </c:pt>
                <c:pt idx="33">
                  <c:v>-1.5181268515484636</c:v>
                </c:pt>
                <c:pt idx="34">
                  <c:v>-1.5825523730842834</c:v>
                </c:pt>
                <c:pt idx="35">
                  <c:v>-1.0449777261641171</c:v>
                </c:pt>
              </c:numCache>
            </c:numRef>
          </c:val>
          <c:extLst>
            <c:ext xmlns:c16="http://schemas.microsoft.com/office/drawing/2014/chart" uri="{C3380CC4-5D6E-409C-BE32-E72D297353CC}">
              <c16:uniqueId val="{00000007-0E2E-445E-BFCE-7E98BCF602E5}"/>
            </c:ext>
          </c:extLst>
        </c:ser>
        <c:dLbls>
          <c:showLegendKey val="0"/>
          <c:showVal val="0"/>
          <c:showCatName val="0"/>
          <c:showSerName val="0"/>
          <c:showPercent val="0"/>
          <c:showBubbleSize val="0"/>
        </c:dLbls>
        <c:gapWidth val="15"/>
        <c:overlap val="100"/>
        <c:axId val="111027712"/>
        <c:axId val="111029248"/>
      </c:barChart>
      <c:lineChart>
        <c:grouping val="standard"/>
        <c:varyColors val="0"/>
        <c:ser>
          <c:idx val="8"/>
          <c:order val="8"/>
          <c:tx>
            <c:strRef>
              <c:f>'GRAF příspěvky IPP'!$A$35</c:f>
              <c:strCache>
                <c:ptCount val="1"/>
                <c:pt idx="0">
                  <c:v>Průmysl celkem (NACE B až D)</c:v>
                </c:pt>
              </c:strCache>
            </c:strRef>
          </c:tx>
          <c:spPr>
            <a:ln w="19050">
              <a:noFill/>
            </a:ln>
          </c:spPr>
          <c:marker>
            <c:symbol val="circle"/>
            <c:size val="4"/>
            <c:spPr>
              <a:solidFill>
                <a:srgbClr val="FFFF00"/>
              </a:solidFill>
              <a:ln>
                <a:solidFill>
                  <a:schemeClr val="tx1">
                    <a:lumMod val="95000"/>
                    <a:lumOff val="5000"/>
                  </a:schemeClr>
                </a:solidFill>
              </a:ln>
            </c:spPr>
          </c:marker>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IPP'!$R$35:$BA$35</c:f>
              <c:numCache>
                <c:formatCode>0.0</c:formatCode>
                <c:ptCount val="36"/>
                <c:pt idx="0">
                  <c:v>4.8496605073000012</c:v>
                </c:pt>
                <c:pt idx="1">
                  <c:v>5.3026307429999946</c:v>
                </c:pt>
                <c:pt idx="2">
                  <c:v>5.6592883106000054</c:v>
                </c:pt>
                <c:pt idx="3">
                  <c:v>2.4009241675999982</c:v>
                </c:pt>
                <c:pt idx="4">
                  <c:v>3.7935036282000012</c:v>
                </c:pt>
                <c:pt idx="5">
                  <c:v>1.6673401017000067</c:v>
                </c:pt>
                <c:pt idx="6">
                  <c:v>1.295772459600002</c:v>
                </c:pt>
                <c:pt idx="7">
                  <c:v>3.3466528042000023</c:v>
                </c:pt>
                <c:pt idx="8">
                  <c:v>4.4694819295000059</c:v>
                </c:pt>
                <c:pt idx="9">
                  <c:v>8.0757287748</c:v>
                </c:pt>
                <c:pt idx="10">
                  <c:v>6.4710085308000087</c:v>
                </c:pt>
                <c:pt idx="11">
                  <c:v>7.2646448002000001</c:v>
                </c:pt>
                <c:pt idx="12">
                  <c:v>4.3462152320000058</c:v>
                </c:pt>
                <c:pt idx="13">
                  <c:v>2.4365124654999999</c:v>
                </c:pt>
                <c:pt idx="14">
                  <c:v>3.7641930207000076</c:v>
                </c:pt>
                <c:pt idx="15">
                  <c:v>1.5933483905999986</c:v>
                </c:pt>
                <c:pt idx="16">
                  <c:v>0.47230060009999897</c:v>
                </c:pt>
                <c:pt idx="17">
                  <c:v>0.71920116619999452</c:v>
                </c:pt>
                <c:pt idx="18">
                  <c:v>-1.5414330485999974</c:v>
                </c:pt>
                <c:pt idx="19">
                  <c:v>-1.7724070997000048</c:v>
                </c:pt>
                <c:pt idx="20">
                  <c:v>-4.252114257099997</c:v>
                </c:pt>
                <c:pt idx="21">
                  <c:v>-21.785210571699984</c:v>
                </c:pt>
                <c:pt idx="22">
                  <c:v>-3.0649898566999969</c:v>
                </c:pt>
                <c:pt idx="23">
                  <c:v>1.6725311281000053</c:v>
                </c:pt>
                <c:pt idx="24">
                  <c:v>4.1158845693999861</c:v>
                </c:pt>
                <c:pt idx="25">
                  <c:v>26.263126235799977</c:v>
                </c:pt>
                <c:pt idx="26">
                  <c:v>0.54308642079999458</c:v>
                </c:pt>
                <c:pt idx="27">
                  <c:v>-1.535662330099995</c:v>
                </c:pt>
                <c:pt idx="28">
                  <c:v>0.52235424059999502</c:v>
                </c:pt>
                <c:pt idx="29">
                  <c:v>0.58036357349999435</c:v>
                </c:pt>
                <c:pt idx="30">
                  <c:v>5.0285577512999957</c:v>
                </c:pt>
                <c:pt idx="31">
                  <c:v>2.3901321318000002</c:v>
                </c:pt>
                <c:pt idx="32">
                  <c:v>0.48025456109999737</c:v>
                </c:pt>
                <c:pt idx="33">
                  <c:v>0.311485635899999</c:v>
                </c:pt>
                <c:pt idx="34">
                  <c:v>-3.4530932299000057</c:v>
                </c:pt>
                <c:pt idx="35">
                  <c:v>-0.76172137659999439</c:v>
                </c:pt>
              </c:numCache>
            </c:numRef>
          </c:val>
          <c:smooth val="0"/>
          <c:extLst>
            <c:ext xmlns:c16="http://schemas.microsoft.com/office/drawing/2014/chart" uri="{C3380CC4-5D6E-409C-BE32-E72D297353CC}">
              <c16:uniqueId val="{00000008-0E2E-445E-BFCE-7E98BCF602E5}"/>
            </c:ext>
          </c:extLst>
        </c:ser>
        <c:dLbls>
          <c:showLegendKey val="0"/>
          <c:showVal val="0"/>
          <c:showCatName val="0"/>
          <c:showSerName val="0"/>
          <c:showPercent val="0"/>
          <c:showBubbleSize val="0"/>
        </c:dLbls>
        <c:marker val="1"/>
        <c:smooth val="0"/>
        <c:axId val="111027712"/>
        <c:axId val="111029248"/>
      </c:lineChart>
      <c:lineChart>
        <c:grouping val="standard"/>
        <c:varyColors val="0"/>
        <c:ser>
          <c:idx val="9"/>
          <c:order val="9"/>
          <c:tx>
            <c:strRef>
              <c:f>'GRAF příspěvky IPP'!$A$36</c:f>
              <c:strCache>
                <c:ptCount val="1"/>
              </c:strCache>
            </c:strRef>
          </c:tx>
          <c:spPr>
            <a:ln w="15875">
              <a:noFill/>
              <a:prstDash val="sysDot"/>
            </a:ln>
          </c:spPr>
          <c:marker>
            <c:symbol val="none"/>
          </c:marker>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IPP'!$R$36:$BA$36</c:f>
              <c:numCache>
                <c:formatCode>General</c:formatCode>
                <c:ptCount val="36"/>
              </c:numCache>
            </c:numRef>
          </c:val>
          <c:smooth val="0"/>
          <c:extLst>
            <c:ext xmlns:c16="http://schemas.microsoft.com/office/drawing/2014/chart" uri="{C3380CC4-5D6E-409C-BE32-E72D297353CC}">
              <c16:uniqueId val="{00000009-0E2E-445E-BFCE-7E98BCF602E5}"/>
            </c:ext>
          </c:extLst>
        </c:ser>
        <c:ser>
          <c:idx val="10"/>
          <c:order val="10"/>
          <c:tx>
            <c:strRef>
              <c:f>'GRAF příspěvky IPP'!$A$37</c:f>
              <c:strCache>
                <c:ptCount val="1"/>
                <c:pt idx="0">
                  <c:v>Produkce, prům. v ČR celkem (2021=100)</c:v>
                </c:pt>
              </c:strCache>
            </c:strRef>
          </c:tx>
          <c:spPr>
            <a:ln w="15875">
              <a:solidFill>
                <a:schemeClr val="tx1">
                  <a:lumMod val="95000"/>
                  <a:lumOff val="5000"/>
                </a:schemeClr>
              </a:solidFill>
            </a:ln>
          </c:spPr>
          <c:marker>
            <c:symbol val="none"/>
          </c:marker>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IPP'!$R$37:$BA$37</c:f>
              <c:numCache>
                <c:formatCode>#\ ##0.##########</c:formatCode>
                <c:ptCount val="36"/>
                <c:pt idx="0">
                  <c:v>84.3</c:v>
                </c:pt>
                <c:pt idx="1">
                  <c:v>85.5</c:v>
                </c:pt>
                <c:pt idx="2">
                  <c:v>86.3</c:v>
                </c:pt>
                <c:pt idx="3">
                  <c:v>87.7</c:v>
                </c:pt>
                <c:pt idx="4">
                  <c:v>88.4</c:v>
                </c:pt>
                <c:pt idx="5">
                  <c:v>89.9</c:v>
                </c:pt>
                <c:pt idx="6">
                  <c:v>90.9</c:v>
                </c:pt>
                <c:pt idx="7">
                  <c:v>90.1</c:v>
                </c:pt>
                <c:pt idx="8">
                  <c:v>91.8</c:v>
                </c:pt>
                <c:pt idx="9">
                  <c:v>91.3</c:v>
                </c:pt>
                <c:pt idx="10" formatCode="#\ ##0.0">
                  <c:v>92</c:v>
                </c:pt>
                <c:pt idx="11">
                  <c:v>93.1</c:v>
                </c:pt>
                <c:pt idx="12">
                  <c:v>95.6</c:v>
                </c:pt>
                <c:pt idx="13">
                  <c:v>98.6</c:v>
                </c:pt>
                <c:pt idx="14">
                  <c:v>98.2</c:v>
                </c:pt>
                <c:pt idx="15">
                  <c:v>100.1</c:v>
                </c:pt>
                <c:pt idx="16">
                  <c:v>100.1</c:v>
                </c:pt>
                <c:pt idx="17">
                  <c:v>101.1</c:v>
                </c:pt>
                <c:pt idx="18">
                  <c:v>102</c:v>
                </c:pt>
                <c:pt idx="19">
                  <c:v>101.3</c:v>
                </c:pt>
                <c:pt idx="20">
                  <c:v>100.6</c:v>
                </c:pt>
                <c:pt idx="21" formatCode="#\ ##0.0">
                  <c:v>102.2</c:v>
                </c:pt>
                <c:pt idx="22">
                  <c:v>100.1</c:v>
                </c:pt>
                <c:pt idx="23" formatCode="#\ ##0.0">
                  <c:v>99.4</c:v>
                </c:pt>
                <c:pt idx="24">
                  <c:v>96.7</c:v>
                </c:pt>
                <c:pt idx="25">
                  <c:v>80.2</c:v>
                </c:pt>
                <c:pt idx="26">
                  <c:v>97</c:v>
                </c:pt>
                <c:pt idx="27">
                  <c:v>101.1</c:v>
                </c:pt>
                <c:pt idx="28">
                  <c:v>99.7</c:v>
                </c:pt>
                <c:pt idx="29">
                  <c:v>100.7</c:v>
                </c:pt>
                <c:pt idx="30">
                  <c:v>98.4</c:v>
                </c:pt>
                <c:pt idx="31">
                  <c:v>99.1</c:v>
                </c:pt>
                <c:pt idx="32">
                  <c:v>100.9</c:v>
                </c:pt>
                <c:pt idx="33">
                  <c:v>101.4</c:v>
                </c:pt>
                <c:pt idx="34">
                  <c:v>102.9</c:v>
                </c:pt>
                <c:pt idx="35">
                  <c:v>101.6</c:v>
                </c:pt>
              </c:numCache>
            </c:numRef>
          </c:val>
          <c:smooth val="0"/>
          <c:extLst>
            <c:ext xmlns:c16="http://schemas.microsoft.com/office/drawing/2014/chart" uri="{C3380CC4-5D6E-409C-BE32-E72D297353CC}">
              <c16:uniqueId val="{0000000A-0E2E-445E-BFCE-7E98BCF602E5}"/>
            </c:ext>
          </c:extLst>
        </c:ser>
        <c:ser>
          <c:idx val="11"/>
          <c:order val="11"/>
          <c:tx>
            <c:strRef>
              <c:f>'GRAF příspěvky IPP'!$A$38</c:f>
              <c:strCache>
                <c:ptCount val="1"/>
                <c:pt idx="0">
                  <c:v>Produkce, prům. v EU27 celkem (2021=100)</c:v>
                </c:pt>
              </c:strCache>
            </c:strRef>
          </c:tx>
          <c:spPr>
            <a:ln w="15875">
              <a:solidFill>
                <a:schemeClr val="tx1">
                  <a:lumMod val="50000"/>
                  <a:lumOff val="50000"/>
                </a:schemeClr>
              </a:solidFill>
              <a:prstDash val="sysDash"/>
            </a:ln>
          </c:spPr>
          <c:marker>
            <c:symbol val="none"/>
          </c:marker>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IPP'!$R$38:$BA$38</c:f>
              <c:numCache>
                <c:formatCode>#\ ##0.##########</c:formatCode>
                <c:ptCount val="36"/>
                <c:pt idx="0">
                  <c:v>91</c:v>
                </c:pt>
                <c:pt idx="1">
                  <c:v>91.5</c:v>
                </c:pt>
                <c:pt idx="2">
                  <c:v>91</c:v>
                </c:pt>
                <c:pt idx="3">
                  <c:v>91.4</c:v>
                </c:pt>
                <c:pt idx="4">
                  <c:v>92.9</c:v>
                </c:pt>
                <c:pt idx="5">
                  <c:v>93.7</c:v>
                </c:pt>
                <c:pt idx="6">
                  <c:v>94.1</c:v>
                </c:pt>
                <c:pt idx="7">
                  <c:v>93.9</c:v>
                </c:pt>
                <c:pt idx="8">
                  <c:v>94.9</c:v>
                </c:pt>
                <c:pt idx="9">
                  <c:v>94.9</c:v>
                </c:pt>
                <c:pt idx="10">
                  <c:v>95</c:v>
                </c:pt>
                <c:pt idx="11">
                  <c:v>96</c:v>
                </c:pt>
                <c:pt idx="12">
                  <c:v>96.3</c:v>
                </c:pt>
                <c:pt idx="13">
                  <c:v>97.5</c:v>
                </c:pt>
                <c:pt idx="14">
                  <c:v>98.8</c:v>
                </c:pt>
                <c:pt idx="15">
                  <c:v>100.6</c:v>
                </c:pt>
                <c:pt idx="16" formatCode="#\ ##0.0">
                  <c:v>99.2</c:v>
                </c:pt>
                <c:pt idx="17">
                  <c:v>99.8</c:v>
                </c:pt>
                <c:pt idx="18" formatCode="#\ ##0.0">
                  <c:v>99.6</c:v>
                </c:pt>
                <c:pt idx="19">
                  <c:v>99.2</c:v>
                </c:pt>
                <c:pt idx="20">
                  <c:v>99.7</c:v>
                </c:pt>
                <c:pt idx="21">
                  <c:v>99.4</c:v>
                </c:pt>
                <c:pt idx="22">
                  <c:v>98.7</c:v>
                </c:pt>
                <c:pt idx="23">
                  <c:v>97.9</c:v>
                </c:pt>
                <c:pt idx="24" formatCode="#\ ##0.0">
                  <c:v>95.2</c:v>
                </c:pt>
                <c:pt idx="25">
                  <c:v>80.400000000000006</c:v>
                </c:pt>
                <c:pt idx="26">
                  <c:v>93.6</c:v>
                </c:pt>
                <c:pt idx="27">
                  <c:v>98</c:v>
                </c:pt>
                <c:pt idx="28">
                  <c:v>99.6</c:v>
                </c:pt>
                <c:pt idx="29" formatCode="#\ ##0.0">
                  <c:v>99.5</c:v>
                </c:pt>
                <c:pt idx="30">
                  <c:v>99.7</c:v>
                </c:pt>
                <c:pt idx="31" formatCode="#\ ##0.0">
                  <c:v>101.2</c:v>
                </c:pt>
                <c:pt idx="32">
                  <c:v>102</c:v>
                </c:pt>
                <c:pt idx="33">
                  <c:v>102.1</c:v>
                </c:pt>
                <c:pt idx="34">
                  <c:v>104.1</c:v>
                </c:pt>
                <c:pt idx="35" formatCode="#\ ##0.0">
                  <c:v>102.8</c:v>
                </c:pt>
              </c:numCache>
            </c:numRef>
          </c:val>
          <c:smooth val="0"/>
          <c:extLst>
            <c:ext xmlns:c16="http://schemas.microsoft.com/office/drawing/2014/chart" uri="{C3380CC4-5D6E-409C-BE32-E72D297353CC}">
              <c16:uniqueId val="{0000000B-0E2E-445E-BFCE-7E98BCF602E5}"/>
            </c:ext>
          </c:extLst>
        </c:ser>
        <c:ser>
          <c:idx val="12"/>
          <c:order val="12"/>
          <c:tx>
            <c:strRef>
              <c:f>'GRAF příspěvky IPP'!$A$39</c:f>
              <c:strCache>
                <c:ptCount val="1"/>
                <c:pt idx="0">
                  <c:v>Produkce, prům. v Německu (2021=100)</c:v>
                </c:pt>
              </c:strCache>
            </c:strRef>
          </c:tx>
          <c:spPr>
            <a:ln w="15875">
              <a:solidFill>
                <a:srgbClr val="996633"/>
              </a:solidFill>
              <a:prstDash val="dash"/>
            </a:ln>
          </c:spPr>
          <c:marker>
            <c:symbol val="none"/>
          </c:marker>
          <c:cat>
            <c:multiLvlStrRef>
              <c:f>'GRAF příspěvky IPP'!$R$25:$BA$26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IPP'!$R$39:$BA$39</c:f>
              <c:numCache>
                <c:formatCode>#\ ##0.##########</c:formatCode>
                <c:ptCount val="36"/>
                <c:pt idx="0">
                  <c:v>102.7</c:v>
                </c:pt>
                <c:pt idx="1">
                  <c:v>102.2</c:v>
                </c:pt>
                <c:pt idx="2">
                  <c:v>102.2</c:v>
                </c:pt>
                <c:pt idx="3">
                  <c:v>103.4</c:v>
                </c:pt>
                <c:pt idx="4">
                  <c:v>102.7</c:v>
                </c:pt>
                <c:pt idx="5">
                  <c:v>104</c:v>
                </c:pt>
                <c:pt idx="6">
                  <c:v>103.8</c:v>
                </c:pt>
                <c:pt idx="7">
                  <c:v>103.3</c:v>
                </c:pt>
                <c:pt idx="8">
                  <c:v>104.4</c:v>
                </c:pt>
                <c:pt idx="9">
                  <c:v>104</c:v>
                </c:pt>
                <c:pt idx="10">
                  <c:v>104.4</c:v>
                </c:pt>
                <c:pt idx="11">
                  <c:v>104.5</c:v>
                </c:pt>
                <c:pt idx="12" formatCode="#\ ##0.0">
                  <c:v>105</c:v>
                </c:pt>
                <c:pt idx="13">
                  <c:v>107</c:v>
                </c:pt>
                <c:pt idx="14">
                  <c:v>108.8</c:v>
                </c:pt>
                <c:pt idx="15">
                  <c:v>109.6</c:v>
                </c:pt>
                <c:pt idx="16">
                  <c:v>109</c:v>
                </c:pt>
                <c:pt idx="17" formatCode="#\ ##0.0">
                  <c:v>109.8</c:v>
                </c:pt>
                <c:pt idx="18">
                  <c:v>108.8</c:v>
                </c:pt>
                <c:pt idx="19">
                  <c:v>107.2</c:v>
                </c:pt>
                <c:pt idx="20">
                  <c:v>107</c:v>
                </c:pt>
                <c:pt idx="21" formatCode="#\ ##0.0">
                  <c:v>105.8</c:v>
                </c:pt>
                <c:pt idx="22">
                  <c:v>104.6</c:v>
                </c:pt>
                <c:pt idx="23">
                  <c:v>102.9</c:v>
                </c:pt>
                <c:pt idx="24" formatCode="#\ ##0.0">
                  <c:v>101.3</c:v>
                </c:pt>
                <c:pt idx="25">
                  <c:v>82.9</c:v>
                </c:pt>
                <c:pt idx="26">
                  <c:v>94.8</c:v>
                </c:pt>
                <c:pt idx="27">
                  <c:v>100.9</c:v>
                </c:pt>
                <c:pt idx="28">
                  <c:v>101.1</c:v>
                </c:pt>
                <c:pt idx="29">
                  <c:v>100</c:v>
                </c:pt>
                <c:pt idx="30">
                  <c:v>96.8</c:v>
                </c:pt>
                <c:pt idx="31">
                  <c:v>99.7</c:v>
                </c:pt>
                <c:pt idx="32">
                  <c:v>99.1</c:v>
                </c:pt>
                <c:pt idx="33" formatCode="#\ ##0.0">
                  <c:v>98.3</c:v>
                </c:pt>
                <c:pt idx="34">
                  <c:v>98.8</c:v>
                </c:pt>
                <c:pt idx="35">
                  <c:v>98.6</c:v>
                </c:pt>
              </c:numCache>
            </c:numRef>
          </c:val>
          <c:smooth val="0"/>
          <c:extLst>
            <c:ext xmlns:c16="http://schemas.microsoft.com/office/drawing/2014/chart" uri="{C3380CC4-5D6E-409C-BE32-E72D297353CC}">
              <c16:uniqueId val="{0000000C-0E2E-445E-BFCE-7E98BCF602E5}"/>
            </c:ext>
          </c:extLst>
        </c:ser>
        <c:dLbls>
          <c:showLegendKey val="0"/>
          <c:showVal val="0"/>
          <c:showCatName val="0"/>
          <c:showSerName val="0"/>
          <c:showPercent val="0"/>
          <c:showBubbleSize val="0"/>
        </c:dLbls>
        <c:marker val="1"/>
        <c:smooth val="0"/>
        <c:axId val="111046016"/>
        <c:axId val="111044096"/>
      </c:lineChart>
      <c:catAx>
        <c:axId val="111027712"/>
        <c:scaling>
          <c:orientation val="minMax"/>
        </c:scaling>
        <c:delete val="0"/>
        <c:axPos val="b"/>
        <c:numFmt formatCode="General" sourceLinked="1"/>
        <c:majorTickMark val="none"/>
        <c:minorTickMark val="none"/>
        <c:tickLblPos val="low"/>
        <c:txPr>
          <a:bodyPr/>
          <a:lstStyle/>
          <a:p>
            <a:pPr>
              <a:defRPr sz="800">
                <a:latin typeface="Arial" pitchFamily="34" charset="0"/>
                <a:cs typeface="Arial" pitchFamily="34" charset="0"/>
              </a:defRPr>
            </a:pPr>
            <a:endParaRPr lang="cs-CZ"/>
          </a:p>
        </c:txPr>
        <c:crossAx val="111029248"/>
        <c:crosses val="autoZero"/>
        <c:auto val="1"/>
        <c:lblAlgn val="ctr"/>
        <c:lblOffset val="0"/>
        <c:noMultiLvlLbl val="0"/>
      </c:catAx>
      <c:valAx>
        <c:axId val="111029248"/>
        <c:scaling>
          <c:orientation val="minMax"/>
          <c:max val="30"/>
          <c:min val="-25"/>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u="none" strike="noStrike" baseline="0">
                    <a:effectLst/>
                  </a:rPr>
                  <a:t>Prům. produkce (příspěvky  k meziroč. změně)</a:t>
                </a:r>
                <a:endParaRPr lang="cs-CZ" sz="700" b="0" i="1">
                  <a:latin typeface="Arial" panose="020B0604020202020204" pitchFamily="34" charset="0"/>
                  <a:cs typeface="Arial" panose="020B0604020202020204" pitchFamily="34" charset="0"/>
                </a:endParaRPr>
              </a:p>
            </c:rich>
          </c:tx>
          <c:layout>
            <c:manualLayout>
              <c:xMode val="edge"/>
              <c:yMode val="edge"/>
              <c:x val="0"/>
              <c:y val="0.11651980043186924"/>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1027712"/>
        <c:crosses val="autoZero"/>
        <c:crossBetween val="between"/>
        <c:majorUnit val="5"/>
      </c:valAx>
      <c:valAx>
        <c:axId val="111044096"/>
        <c:scaling>
          <c:orientation val="minMax"/>
          <c:max val="118"/>
          <c:min val="52"/>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Produkce</a:t>
                </a:r>
                <a:r>
                  <a:rPr lang="cs-CZ" sz="700" b="0" i="1" baseline="0">
                    <a:latin typeface="Arial" panose="020B0604020202020204" pitchFamily="34" charset="0"/>
                    <a:cs typeface="Arial" panose="020B0604020202020204" pitchFamily="34" charset="0"/>
                  </a:rPr>
                  <a:t> </a:t>
                </a:r>
                <a:r>
                  <a:rPr lang="cs-CZ" sz="700" b="0" i="1">
                    <a:latin typeface="Arial" panose="020B0604020202020204" pitchFamily="34" charset="0"/>
                    <a:cs typeface="Arial" panose="020B0604020202020204" pitchFamily="34" charset="0"/>
                  </a:rPr>
                  <a:t>v průmyslu (báze 2015=100)</a:t>
                </a:r>
              </a:p>
            </c:rich>
          </c:tx>
          <c:layout>
            <c:manualLayout>
              <c:xMode val="edge"/>
              <c:yMode val="edge"/>
              <c:x val="0.97040158454025227"/>
              <c:y val="0.16649922312229443"/>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11046016"/>
        <c:crosses val="max"/>
        <c:crossBetween val="between"/>
        <c:majorUnit val="6"/>
      </c:valAx>
      <c:catAx>
        <c:axId val="111046016"/>
        <c:scaling>
          <c:orientation val="minMax"/>
        </c:scaling>
        <c:delete val="1"/>
        <c:axPos val="b"/>
        <c:numFmt formatCode="General" sourceLinked="1"/>
        <c:majorTickMark val="out"/>
        <c:minorTickMark val="none"/>
        <c:tickLblPos val="none"/>
        <c:crossAx val="111044096"/>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2576650680252286E-3"/>
          <c:y val="0.78956533796177808"/>
          <c:w val="0.98866589538224892"/>
          <c:h val="0.20327688625655532"/>
        </c:manualLayout>
      </c:layout>
      <c:overlay val="0"/>
      <c:spPr>
        <a:ln w="6350">
          <a:solidFill>
            <a:prstClr val="black">
              <a:lumMod val="95000"/>
              <a:lumOff val="5000"/>
            </a:prstClr>
          </a:solidFill>
        </a:ln>
      </c:spPr>
      <c:txPr>
        <a:bodyPr/>
        <a:lstStyle/>
        <a:p>
          <a:pPr>
            <a:defRPr sz="72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88042665536843E-2"/>
          <c:y val="1.5647041011259362E-2"/>
          <c:w val="0.84974974879787535"/>
          <c:h val="0.75063602214308567"/>
        </c:manualLayout>
      </c:layout>
      <c:barChart>
        <c:barDir val="col"/>
        <c:grouping val="clustered"/>
        <c:varyColors val="0"/>
        <c:ser>
          <c:idx val="0"/>
          <c:order val="0"/>
          <c:tx>
            <c:strRef>
              <c:f>'výkonnost odvětví 2'!$A$36</c:f>
              <c:strCache>
                <c:ptCount val="1"/>
                <c:pt idx="0">
                  <c:v>Průmyslové zakázky celkem</c:v>
                </c:pt>
              </c:strCache>
            </c:strRef>
          </c:tx>
          <c:spPr>
            <a:solidFill>
              <a:schemeClr val="bg1">
                <a:lumMod val="75000"/>
              </a:schemeClr>
            </a:solidFill>
            <a:ln>
              <a:noFill/>
            </a:ln>
          </c:spPr>
          <c:invertIfNegative val="0"/>
          <c:cat>
            <c:multiLvlStrRef>
              <c:f>'výkonnost odvětví 2'!$R$34:$BB$35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2'!$R$36:$BB$36</c:f>
              <c:numCache>
                <c:formatCode>##0.0</c:formatCode>
                <c:ptCount val="37"/>
                <c:pt idx="0">
                  <c:v>8.5341163004000009</c:v>
                </c:pt>
                <c:pt idx="1">
                  <c:v>6.3710040105000019</c:v>
                </c:pt>
                <c:pt idx="2">
                  <c:v>6.0473469386000005</c:v>
                </c:pt>
                <c:pt idx="3">
                  <c:v>5.2688430824999983</c:v>
                </c:pt>
                <c:pt idx="4">
                  <c:v>2.4833916857000005</c:v>
                </c:pt>
                <c:pt idx="5">
                  <c:v>7.131656181200003</c:v>
                </c:pt>
                <c:pt idx="6">
                  <c:v>1.9491446858999943</c:v>
                </c:pt>
                <c:pt idx="7">
                  <c:v>6.441674792900006</c:v>
                </c:pt>
                <c:pt idx="8">
                  <c:v>7.3441955548999918</c:v>
                </c:pt>
                <c:pt idx="9">
                  <c:v>8.3762247843000051</c:v>
                </c:pt>
                <c:pt idx="10">
                  <c:v>8.1209134774999949</c:v>
                </c:pt>
                <c:pt idx="11">
                  <c:v>7.2572871451999958</c:v>
                </c:pt>
                <c:pt idx="12">
                  <c:v>3.2993551214999997</c:v>
                </c:pt>
                <c:pt idx="13">
                  <c:v>2.9773571834000023</c:v>
                </c:pt>
                <c:pt idx="14">
                  <c:v>3.5300064828000037</c:v>
                </c:pt>
                <c:pt idx="15">
                  <c:v>2.4324207204000028</c:v>
                </c:pt>
                <c:pt idx="16">
                  <c:v>3.2234606388999949</c:v>
                </c:pt>
                <c:pt idx="17">
                  <c:v>2.1291359181000051</c:v>
                </c:pt>
                <c:pt idx="18">
                  <c:v>-1.1496242270000032</c:v>
                </c:pt>
                <c:pt idx="19">
                  <c:v>-2.8233445845000062</c:v>
                </c:pt>
                <c:pt idx="20">
                  <c:v>-4.1421474552000035</c:v>
                </c:pt>
                <c:pt idx="21">
                  <c:v>-27.261303375299988</c:v>
                </c:pt>
                <c:pt idx="22">
                  <c:v>-0.61408028729999864</c:v>
                </c:pt>
                <c:pt idx="23">
                  <c:v>6.5219093458999975</c:v>
                </c:pt>
                <c:pt idx="24">
                  <c:v>10.3217010777</c:v>
                </c:pt>
                <c:pt idx="25">
                  <c:v>46.907570621500014</c:v>
                </c:pt>
                <c:pt idx="26">
                  <c:v>7.4994132685999917</c:v>
                </c:pt>
                <c:pt idx="27">
                  <c:v>4.1120061736999931</c:v>
                </c:pt>
                <c:pt idx="28">
                  <c:v>6.7816411087000041</c:v>
                </c:pt>
                <c:pt idx="29">
                  <c:v>10.066743676700005</c:v>
                </c:pt>
                <c:pt idx="30">
                  <c:v>15.286388074900003</c:v>
                </c:pt>
                <c:pt idx="31">
                  <c:v>12.535319601099999</c:v>
                </c:pt>
                <c:pt idx="32">
                  <c:v>2.7921186620999952</c:v>
                </c:pt>
                <c:pt idx="33">
                  <c:v>-2.2040303884000014</c:v>
                </c:pt>
                <c:pt idx="34">
                  <c:v>-4.7535662397999907</c:v>
                </c:pt>
                <c:pt idx="35">
                  <c:v>-0.98300700549999931</c:v>
                </c:pt>
              </c:numCache>
            </c:numRef>
          </c:val>
          <c:extLst>
            <c:ext xmlns:c16="http://schemas.microsoft.com/office/drawing/2014/chart" uri="{C3380CC4-5D6E-409C-BE32-E72D297353CC}">
              <c16:uniqueId val="{00000000-A464-47C9-9677-606B40D7B443}"/>
            </c:ext>
          </c:extLst>
        </c:ser>
        <c:dLbls>
          <c:showLegendKey val="0"/>
          <c:showVal val="0"/>
          <c:showCatName val="0"/>
          <c:showSerName val="0"/>
          <c:showPercent val="0"/>
          <c:showBubbleSize val="0"/>
        </c:dLbls>
        <c:gapWidth val="30"/>
        <c:axId val="112694400"/>
        <c:axId val="112696320"/>
      </c:barChart>
      <c:lineChart>
        <c:grouping val="standard"/>
        <c:varyColors val="0"/>
        <c:ser>
          <c:idx val="1"/>
          <c:order val="1"/>
          <c:tx>
            <c:strRef>
              <c:f>'výkonnost odvětví 2'!$A$37</c:f>
              <c:strCache>
                <c:ptCount val="1"/>
                <c:pt idx="0">
                  <c:v>z toho: zakázky z tuzemska</c:v>
                </c:pt>
              </c:strCache>
            </c:strRef>
          </c:tx>
          <c:spPr>
            <a:ln w="15875">
              <a:noFill/>
              <a:prstDash val="sysDot"/>
            </a:ln>
          </c:spPr>
          <c:marker>
            <c:symbol val="diamond"/>
            <c:size val="5"/>
            <c:spPr>
              <a:solidFill>
                <a:srgbClr val="984807"/>
              </a:solidFill>
              <a:ln>
                <a:noFill/>
              </a:ln>
            </c:spPr>
          </c:marker>
          <c:cat>
            <c:multiLvlStrRef>
              <c:f>'výkonnost odvětví 2'!$R$34:$BB$35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2'!$R$37:$BB$37</c:f>
              <c:numCache>
                <c:formatCode>#\ ##0.0</c:formatCode>
                <c:ptCount val="37"/>
                <c:pt idx="0">
                  <c:v>4.3632508753999959</c:v>
                </c:pt>
                <c:pt idx="1">
                  <c:v>9.9207675197000018</c:v>
                </c:pt>
                <c:pt idx="2">
                  <c:v>-2.8142131774000063</c:v>
                </c:pt>
                <c:pt idx="3">
                  <c:v>-0.26578169440000465</c:v>
                </c:pt>
                <c:pt idx="4">
                  <c:v>1.7666970267000017</c:v>
                </c:pt>
                <c:pt idx="5">
                  <c:v>1.7586378578999977</c:v>
                </c:pt>
                <c:pt idx="6">
                  <c:v>0.20173230330000541</c:v>
                </c:pt>
                <c:pt idx="7">
                  <c:v>2.9064722939999967</c:v>
                </c:pt>
                <c:pt idx="8">
                  <c:v>12.341459895900007</c:v>
                </c:pt>
                <c:pt idx="9">
                  <c:v>15.6910734588</c:v>
                </c:pt>
                <c:pt idx="10">
                  <c:v>15.834685004400002</c:v>
                </c:pt>
                <c:pt idx="11">
                  <c:v>15.4452270577</c:v>
                </c:pt>
                <c:pt idx="12">
                  <c:v>2.1530605192999985</c:v>
                </c:pt>
                <c:pt idx="13">
                  <c:v>2.4403062317999953</c:v>
                </c:pt>
                <c:pt idx="14">
                  <c:v>4.7510172912000002</c:v>
                </c:pt>
                <c:pt idx="15">
                  <c:v>3.3084884759999937</c:v>
                </c:pt>
                <c:pt idx="16">
                  <c:v>7.6964313707999947</c:v>
                </c:pt>
                <c:pt idx="17">
                  <c:v>5.9656126075999909</c:v>
                </c:pt>
                <c:pt idx="18">
                  <c:v>0.28507150430000666</c:v>
                </c:pt>
                <c:pt idx="19">
                  <c:v>-0.84674153630000226</c:v>
                </c:pt>
                <c:pt idx="20">
                  <c:v>0.84542569580000304</c:v>
                </c:pt>
                <c:pt idx="21">
                  <c:v>-25.680778364399988</c:v>
                </c:pt>
                <c:pt idx="22">
                  <c:v>-3.3799831941999927</c:v>
                </c:pt>
                <c:pt idx="23">
                  <c:v>5.5662240000999903</c:v>
                </c:pt>
                <c:pt idx="24">
                  <c:v>2.199425585900002</c:v>
                </c:pt>
                <c:pt idx="25">
                  <c:v>42.262362647000025</c:v>
                </c:pt>
                <c:pt idx="26">
                  <c:v>9.2531907696999998</c:v>
                </c:pt>
                <c:pt idx="27">
                  <c:v>5.7814707905999994</c:v>
                </c:pt>
                <c:pt idx="28">
                  <c:v>8.7588460454000057</c:v>
                </c:pt>
                <c:pt idx="29">
                  <c:v>15.462172667999999</c:v>
                </c:pt>
                <c:pt idx="30">
                  <c:v>26.233931226899998</c:v>
                </c:pt>
                <c:pt idx="31">
                  <c:v>19.263034980099988</c:v>
                </c:pt>
                <c:pt idx="32">
                  <c:v>11.843070749199995</c:v>
                </c:pt>
                <c:pt idx="33">
                  <c:v>2.2239528470000085</c:v>
                </c:pt>
                <c:pt idx="34">
                  <c:v>-7.2459852927999977</c:v>
                </c:pt>
                <c:pt idx="35">
                  <c:v>-0.72455172189999928</c:v>
                </c:pt>
              </c:numCache>
            </c:numRef>
          </c:val>
          <c:smooth val="0"/>
          <c:extLst>
            <c:ext xmlns:c16="http://schemas.microsoft.com/office/drawing/2014/chart" uri="{C3380CC4-5D6E-409C-BE32-E72D297353CC}">
              <c16:uniqueId val="{00000001-A464-47C9-9677-606B40D7B443}"/>
            </c:ext>
          </c:extLst>
        </c:ser>
        <c:dLbls>
          <c:showLegendKey val="0"/>
          <c:showVal val="0"/>
          <c:showCatName val="0"/>
          <c:showSerName val="0"/>
          <c:showPercent val="0"/>
          <c:showBubbleSize val="0"/>
        </c:dLbls>
        <c:marker val="1"/>
        <c:smooth val="0"/>
        <c:axId val="112694400"/>
        <c:axId val="112696320"/>
      </c:lineChart>
      <c:lineChart>
        <c:grouping val="standard"/>
        <c:varyColors val="0"/>
        <c:ser>
          <c:idx val="2"/>
          <c:order val="2"/>
          <c:tx>
            <c:strRef>
              <c:f>'výkonnost odvětví 2'!$A$38</c:f>
              <c:strCache>
                <c:ptCount val="1"/>
                <c:pt idx="0">
                  <c:v>Využití výrob. kapacit v průmyslu celkem</c:v>
                </c:pt>
              </c:strCache>
            </c:strRef>
          </c:tx>
          <c:spPr>
            <a:ln w="15875">
              <a:solidFill>
                <a:schemeClr val="accent6">
                  <a:lumMod val="75000"/>
                </a:schemeClr>
              </a:solidFill>
            </a:ln>
          </c:spPr>
          <c:marker>
            <c:symbol val="none"/>
          </c:marker>
          <c:cat>
            <c:multiLvlStrRef>
              <c:f>'výkonnost odvětví 2'!$R$34:$BB$35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2'!$R$38:$BB$38</c:f>
              <c:numCache>
                <c:formatCode>##0.0</c:formatCode>
                <c:ptCount val="37"/>
                <c:pt idx="0">
                  <c:v>85.6</c:v>
                </c:pt>
                <c:pt idx="1">
                  <c:v>85.1</c:v>
                </c:pt>
                <c:pt idx="2">
                  <c:v>84.9</c:v>
                </c:pt>
                <c:pt idx="3">
                  <c:v>84.3</c:v>
                </c:pt>
                <c:pt idx="4">
                  <c:v>84</c:v>
                </c:pt>
                <c:pt idx="5">
                  <c:v>85.2</c:v>
                </c:pt>
                <c:pt idx="6">
                  <c:v>84</c:v>
                </c:pt>
                <c:pt idx="7">
                  <c:v>84.8</c:v>
                </c:pt>
                <c:pt idx="8">
                  <c:v>84.7</c:v>
                </c:pt>
                <c:pt idx="9">
                  <c:v>83.7</c:v>
                </c:pt>
                <c:pt idx="10">
                  <c:v>83.8</c:v>
                </c:pt>
                <c:pt idx="11">
                  <c:v>84.4</c:v>
                </c:pt>
                <c:pt idx="12">
                  <c:v>85.33</c:v>
                </c:pt>
                <c:pt idx="13">
                  <c:v>84.89</c:v>
                </c:pt>
                <c:pt idx="14">
                  <c:v>85.13</c:v>
                </c:pt>
                <c:pt idx="15">
                  <c:v>84.76</c:v>
                </c:pt>
                <c:pt idx="16">
                  <c:v>84.93</c:v>
                </c:pt>
                <c:pt idx="17">
                  <c:v>85.19</c:v>
                </c:pt>
                <c:pt idx="18">
                  <c:v>83.6</c:v>
                </c:pt>
                <c:pt idx="19">
                  <c:v>83.7</c:v>
                </c:pt>
                <c:pt idx="20">
                  <c:v>84.2</c:v>
                </c:pt>
                <c:pt idx="21">
                  <c:v>70.400000000000006</c:v>
                </c:pt>
                <c:pt idx="22">
                  <c:v>76.3</c:v>
                </c:pt>
                <c:pt idx="23">
                  <c:v>82.7</c:v>
                </c:pt>
                <c:pt idx="24">
                  <c:v>85.8</c:v>
                </c:pt>
                <c:pt idx="25">
                  <c:v>84.4</c:v>
                </c:pt>
                <c:pt idx="26">
                  <c:v>86.410000000000025</c:v>
                </c:pt>
                <c:pt idx="27">
                  <c:v>77.599999999999994</c:v>
                </c:pt>
                <c:pt idx="28">
                  <c:v>83.6</c:v>
                </c:pt>
                <c:pt idx="29">
                  <c:v>82.169999999999987</c:v>
                </c:pt>
                <c:pt idx="30">
                  <c:v>83.5</c:v>
                </c:pt>
                <c:pt idx="31">
                  <c:v>81.099999999999994</c:v>
                </c:pt>
                <c:pt idx="32">
                  <c:v>81.400000000000006</c:v>
                </c:pt>
                <c:pt idx="33">
                  <c:v>83.7</c:v>
                </c:pt>
                <c:pt idx="34">
                  <c:v>83.5</c:v>
                </c:pt>
                <c:pt idx="35">
                  <c:v>83.6</c:v>
                </c:pt>
                <c:pt idx="36">
                  <c:v>83.1</c:v>
                </c:pt>
              </c:numCache>
            </c:numRef>
          </c:val>
          <c:smooth val="0"/>
          <c:extLst>
            <c:ext xmlns:c16="http://schemas.microsoft.com/office/drawing/2014/chart" uri="{C3380CC4-5D6E-409C-BE32-E72D297353CC}">
              <c16:uniqueId val="{00000002-A464-47C9-9677-606B40D7B443}"/>
            </c:ext>
          </c:extLst>
        </c:ser>
        <c:ser>
          <c:idx val="3"/>
          <c:order val="3"/>
          <c:tx>
            <c:strRef>
              <c:f>'výkonnost odvětví 2'!$A$39</c:f>
              <c:strCache>
                <c:ptCount val="1"/>
                <c:pt idx="0">
                  <c:v>Využití výrob. kapacit v automobil. prům.</c:v>
                </c:pt>
              </c:strCache>
            </c:strRef>
          </c:tx>
          <c:spPr>
            <a:ln w="15875">
              <a:solidFill>
                <a:schemeClr val="accent6">
                  <a:lumMod val="75000"/>
                </a:schemeClr>
              </a:solidFill>
              <a:prstDash val="sysDash"/>
            </a:ln>
          </c:spPr>
          <c:marker>
            <c:symbol val="none"/>
          </c:marker>
          <c:cat>
            <c:multiLvlStrRef>
              <c:f>'výkonnost odvětví 2'!$R$34:$BB$35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2'!$R$39:$BB$39</c:f>
              <c:numCache>
                <c:formatCode>##0.0</c:formatCode>
                <c:ptCount val="37"/>
                <c:pt idx="0">
                  <c:v>91.4</c:v>
                </c:pt>
                <c:pt idx="1">
                  <c:v>91.4</c:v>
                </c:pt>
                <c:pt idx="2">
                  <c:v>91.5</c:v>
                </c:pt>
                <c:pt idx="3">
                  <c:v>88.8</c:v>
                </c:pt>
                <c:pt idx="4">
                  <c:v>90.2</c:v>
                </c:pt>
                <c:pt idx="5">
                  <c:v>91.8</c:v>
                </c:pt>
                <c:pt idx="6">
                  <c:v>92.2</c:v>
                </c:pt>
                <c:pt idx="7">
                  <c:v>91.5</c:v>
                </c:pt>
                <c:pt idx="8">
                  <c:v>92.4</c:v>
                </c:pt>
                <c:pt idx="9">
                  <c:v>87.9</c:v>
                </c:pt>
                <c:pt idx="10">
                  <c:v>90.8</c:v>
                </c:pt>
                <c:pt idx="11">
                  <c:v>90.5</c:v>
                </c:pt>
                <c:pt idx="12">
                  <c:v>91.4</c:v>
                </c:pt>
                <c:pt idx="13">
                  <c:v>91.3</c:v>
                </c:pt>
                <c:pt idx="14">
                  <c:v>92.9</c:v>
                </c:pt>
                <c:pt idx="15">
                  <c:v>92.5</c:v>
                </c:pt>
                <c:pt idx="16">
                  <c:v>92.9</c:v>
                </c:pt>
                <c:pt idx="17">
                  <c:v>92.7</c:v>
                </c:pt>
                <c:pt idx="18">
                  <c:v>92.8</c:v>
                </c:pt>
                <c:pt idx="19">
                  <c:v>93</c:v>
                </c:pt>
                <c:pt idx="20">
                  <c:v>90.6</c:v>
                </c:pt>
                <c:pt idx="21">
                  <c:v>45</c:v>
                </c:pt>
                <c:pt idx="22">
                  <c:v>79.099999999999994</c:v>
                </c:pt>
                <c:pt idx="23">
                  <c:v>96.9</c:v>
                </c:pt>
                <c:pt idx="24">
                  <c:v>94.9</c:v>
                </c:pt>
                <c:pt idx="25">
                  <c:v>89.6</c:v>
                </c:pt>
                <c:pt idx="26">
                  <c:v>95.3</c:v>
                </c:pt>
                <c:pt idx="27">
                  <c:v>55.8</c:v>
                </c:pt>
                <c:pt idx="28">
                  <c:v>84.5</c:v>
                </c:pt>
                <c:pt idx="29">
                  <c:v>76.7</c:v>
                </c:pt>
                <c:pt idx="30">
                  <c:v>79</c:v>
                </c:pt>
                <c:pt idx="31">
                  <c:v>74.099999999999994</c:v>
                </c:pt>
                <c:pt idx="32">
                  <c:v>79.400000000000006</c:v>
                </c:pt>
                <c:pt idx="33">
                  <c:v>92.7</c:v>
                </c:pt>
                <c:pt idx="34">
                  <c:v>92.2</c:v>
                </c:pt>
                <c:pt idx="35">
                  <c:v>92.2</c:v>
                </c:pt>
                <c:pt idx="36">
                  <c:v>92.7</c:v>
                </c:pt>
              </c:numCache>
            </c:numRef>
          </c:val>
          <c:smooth val="0"/>
          <c:extLst>
            <c:ext xmlns:c16="http://schemas.microsoft.com/office/drawing/2014/chart" uri="{C3380CC4-5D6E-409C-BE32-E72D297353CC}">
              <c16:uniqueId val="{00000003-A464-47C9-9677-606B40D7B443}"/>
            </c:ext>
          </c:extLst>
        </c:ser>
        <c:ser>
          <c:idx val="4"/>
          <c:order val="4"/>
          <c:tx>
            <c:strRef>
              <c:f>'výkonnost odvětví 2'!$A$40</c:f>
              <c:strCache>
                <c:ptCount val="1"/>
                <c:pt idx="0">
                  <c:v>Bariéra růstu: nedostatečná poptávka</c:v>
                </c:pt>
              </c:strCache>
            </c:strRef>
          </c:tx>
          <c:spPr>
            <a:ln w="15875">
              <a:solidFill>
                <a:srgbClr val="00B050"/>
              </a:solidFill>
              <a:prstDash val="solid"/>
            </a:ln>
          </c:spPr>
          <c:marker>
            <c:symbol val="none"/>
          </c:marker>
          <c:cat>
            <c:multiLvlStrRef>
              <c:f>'výkonnost odvětví 2'!$R$34:$BB$35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2'!$R$40:$BB$40</c:f>
              <c:numCache>
                <c:formatCode>#\ ##0.0</c:formatCode>
                <c:ptCount val="37"/>
                <c:pt idx="0">
                  <c:v>45.3</c:v>
                </c:pt>
                <c:pt idx="1">
                  <c:v>49.6</c:v>
                </c:pt>
                <c:pt idx="2">
                  <c:v>49.7</c:v>
                </c:pt>
                <c:pt idx="3">
                  <c:v>46.4</c:v>
                </c:pt>
                <c:pt idx="4">
                  <c:v>45.9</c:v>
                </c:pt>
                <c:pt idx="5">
                  <c:v>44.6</c:v>
                </c:pt>
                <c:pt idx="6">
                  <c:v>43.8</c:v>
                </c:pt>
                <c:pt idx="7">
                  <c:v>42.9</c:v>
                </c:pt>
                <c:pt idx="8">
                  <c:v>42.7</c:v>
                </c:pt>
                <c:pt idx="9">
                  <c:v>41</c:v>
                </c:pt>
                <c:pt idx="10">
                  <c:v>41.2</c:v>
                </c:pt>
                <c:pt idx="11">
                  <c:v>35.800000000000004</c:v>
                </c:pt>
                <c:pt idx="12">
                  <c:v>35.4</c:v>
                </c:pt>
                <c:pt idx="13">
                  <c:v>36.300000000000004</c:v>
                </c:pt>
                <c:pt idx="14">
                  <c:v>32.4</c:v>
                </c:pt>
                <c:pt idx="15">
                  <c:v>32.9</c:v>
                </c:pt>
                <c:pt idx="16">
                  <c:v>33.800000000000004</c:v>
                </c:pt>
                <c:pt idx="17">
                  <c:v>36.200000000000003</c:v>
                </c:pt>
                <c:pt idx="18">
                  <c:v>41</c:v>
                </c:pt>
                <c:pt idx="19">
                  <c:v>47.1</c:v>
                </c:pt>
                <c:pt idx="20">
                  <c:v>49.8</c:v>
                </c:pt>
                <c:pt idx="21">
                  <c:v>58.8</c:v>
                </c:pt>
                <c:pt idx="22">
                  <c:v>63</c:v>
                </c:pt>
                <c:pt idx="23">
                  <c:v>44.4</c:v>
                </c:pt>
                <c:pt idx="24">
                  <c:v>46.9</c:v>
                </c:pt>
                <c:pt idx="25">
                  <c:v>38.700000000000003</c:v>
                </c:pt>
                <c:pt idx="26">
                  <c:v>25.4</c:v>
                </c:pt>
                <c:pt idx="27">
                  <c:v>27.9</c:v>
                </c:pt>
                <c:pt idx="28">
                  <c:v>29.9</c:v>
                </c:pt>
                <c:pt idx="29">
                  <c:v>21.3</c:v>
                </c:pt>
                <c:pt idx="30">
                  <c:v>18.7</c:v>
                </c:pt>
                <c:pt idx="31">
                  <c:v>29.4</c:v>
                </c:pt>
                <c:pt idx="32">
                  <c:v>42.5</c:v>
                </c:pt>
                <c:pt idx="33">
                  <c:v>42</c:v>
                </c:pt>
                <c:pt idx="34">
                  <c:v>44.3</c:v>
                </c:pt>
                <c:pt idx="35">
                  <c:v>46.2</c:v>
                </c:pt>
                <c:pt idx="36">
                  <c:v>47.5</c:v>
                </c:pt>
              </c:numCache>
            </c:numRef>
          </c:val>
          <c:smooth val="0"/>
          <c:extLst>
            <c:ext xmlns:c16="http://schemas.microsoft.com/office/drawing/2014/chart" uri="{C3380CC4-5D6E-409C-BE32-E72D297353CC}">
              <c16:uniqueId val="{00000004-A464-47C9-9677-606B40D7B443}"/>
            </c:ext>
          </c:extLst>
        </c:ser>
        <c:ser>
          <c:idx val="5"/>
          <c:order val="5"/>
          <c:tx>
            <c:strRef>
              <c:f>'výkonnost odvětví 2'!$A$41</c:f>
              <c:strCache>
                <c:ptCount val="1"/>
                <c:pt idx="0">
                  <c:v>Bariéra růstu: nedostatek pracovníků</c:v>
                </c:pt>
              </c:strCache>
            </c:strRef>
          </c:tx>
          <c:spPr>
            <a:ln w="15875">
              <a:solidFill>
                <a:srgbClr val="37DD3B"/>
              </a:solidFill>
              <a:prstDash val="sysDash"/>
            </a:ln>
          </c:spPr>
          <c:marker>
            <c:symbol val="none"/>
          </c:marker>
          <c:cat>
            <c:multiLvlStrRef>
              <c:f>'výkonnost odvětví 2'!$R$34:$BB$35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2'!$R$41:$BB$41</c:f>
              <c:numCache>
                <c:formatCode>#\ ##0.0</c:formatCode>
                <c:ptCount val="37"/>
                <c:pt idx="0">
                  <c:v>6.1</c:v>
                </c:pt>
                <c:pt idx="1">
                  <c:v>6.9</c:v>
                </c:pt>
                <c:pt idx="2">
                  <c:v>8.7000000000000011</c:v>
                </c:pt>
                <c:pt idx="3">
                  <c:v>14</c:v>
                </c:pt>
                <c:pt idx="4">
                  <c:v>14.8</c:v>
                </c:pt>
                <c:pt idx="5">
                  <c:v>16.5</c:v>
                </c:pt>
                <c:pt idx="6">
                  <c:v>18.899999999999999</c:v>
                </c:pt>
                <c:pt idx="7">
                  <c:v>30.1</c:v>
                </c:pt>
                <c:pt idx="8">
                  <c:v>32.700000000000003</c:v>
                </c:pt>
                <c:pt idx="9">
                  <c:v>33.5</c:v>
                </c:pt>
                <c:pt idx="10">
                  <c:v>40.5</c:v>
                </c:pt>
                <c:pt idx="11">
                  <c:v>38.700000000000003</c:v>
                </c:pt>
                <c:pt idx="12">
                  <c:v>43.5</c:v>
                </c:pt>
                <c:pt idx="13">
                  <c:v>42.3</c:v>
                </c:pt>
                <c:pt idx="14">
                  <c:v>43.2</c:v>
                </c:pt>
                <c:pt idx="15">
                  <c:v>46.3</c:v>
                </c:pt>
                <c:pt idx="16">
                  <c:v>39</c:v>
                </c:pt>
                <c:pt idx="17">
                  <c:v>35.1</c:v>
                </c:pt>
                <c:pt idx="18">
                  <c:v>40.200000000000003</c:v>
                </c:pt>
                <c:pt idx="19">
                  <c:v>39.200000000000003</c:v>
                </c:pt>
                <c:pt idx="20">
                  <c:v>27.7</c:v>
                </c:pt>
                <c:pt idx="21">
                  <c:v>13.5</c:v>
                </c:pt>
                <c:pt idx="22">
                  <c:v>16.7</c:v>
                </c:pt>
                <c:pt idx="23">
                  <c:v>17.600000000000001</c:v>
                </c:pt>
                <c:pt idx="24">
                  <c:v>22</c:v>
                </c:pt>
                <c:pt idx="25">
                  <c:v>18.399999999999999</c:v>
                </c:pt>
                <c:pt idx="26">
                  <c:v>27.6</c:v>
                </c:pt>
                <c:pt idx="27">
                  <c:v>22.6</c:v>
                </c:pt>
                <c:pt idx="28">
                  <c:v>24.9</c:v>
                </c:pt>
                <c:pt idx="29">
                  <c:v>18.600000000000001</c:v>
                </c:pt>
                <c:pt idx="30">
                  <c:v>26.1</c:v>
                </c:pt>
                <c:pt idx="31">
                  <c:v>24.9</c:v>
                </c:pt>
                <c:pt idx="32">
                  <c:v>16.600000000000001</c:v>
                </c:pt>
                <c:pt idx="33">
                  <c:v>20.6</c:v>
                </c:pt>
                <c:pt idx="34">
                  <c:v>18.899999999999999</c:v>
                </c:pt>
                <c:pt idx="35">
                  <c:v>22.5</c:v>
                </c:pt>
                <c:pt idx="36">
                  <c:v>14.6</c:v>
                </c:pt>
              </c:numCache>
            </c:numRef>
          </c:val>
          <c:smooth val="0"/>
          <c:extLst>
            <c:ext xmlns:c16="http://schemas.microsoft.com/office/drawing/2014/chart" uri="{C3380CC4-5D6E-409C-BE32-E72D297353CC}">
              <c16:uniqueId val="{00000005-A464-47C9-9677-606B40D7B443}"/>
            </c:ext>
          </c:extLst>
        </c:ser>
        <c:ser>
          <c:idx val="6"/>
          <c:order val="6"/>
          <c:tx>
            <c:strRef>
              <c:f>'výkonnost odvětví 2'!$A$42</c:f>
              <c:strCache>
                <c:ptCount val="1"/>
                <c:pt idx="0">
                  <c:v>Bariéra růstu: nedost. materiálu a zařízení</c:v>
                </c:pt>
              </c:strCache>
            </c:strRef>
          </c:tx>
          <c:spPr>
            <a:ln w="15875">
              <a:solidFill>
                <a:schemeClr val="accent3">
                  <a:lumMod val="75000"/>
                </a:schemeClr>
              </a:solidFill>
              <a:prstDash val="dash"/>
            </a:ln>
          </c:spPr>
          <c:marker>
            <c:symbol val="none"/>
          </c:marker>
          <c:cat>
            <c:multiLvlStrRef>
              <c:f>'výkonnost odvětví 2'!$R$34:$BB$35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2'!$R$42:$BB$42</c:f>
              <c:numCache>
                <c:formatCode>#\ ##0.0</c:formatCode>
                <c:ptCount val="37"/>
                <c:pt idx="0">
                  <c:v>5.9</c:v>
                </c:pt>
                <c:pt idx="1">
                  <c:v>11.3</c:v>
                </c:pt>
                <c:pt idx="2">
                  <c:v>10</c:v>
                </c:pt>
                <c:pt idx="3">
                  <c:v>9.9</c:v>
                </c:pt>
                <c:pt idx="4">
                  <c:v>8.9</c:v>
                </c:pt>
                <c:pt idx="5">
                  <c:v>7.7</c:v>
                </c:pt>
                <c:pt idx="6">
                  <c:v>8.9</c:v>
                </c:pt>
                <c:pt idx="7">
                  <c:v>8.5</c:v>
                </c:pt>
                <c:pt idx="8">
                  <c:v>8.8000000000000007</c:v>
                </c:pt>
                <c:pt idx="9">
                  <c:v>8.3000000000000007</c:v>
                </c:pt>
                <c:pt idx="10">
                  <c:v>10.9</c:v>
                </c:pt>
                <c:pt idx="11">
                  <c:v>22.7</c:v>
                </c:pt>
                <c:pt idx="12">
                  <c:v>11.9</c:v>
                </c:pt>
                <c:pt idx="13">
                  <c:v>11.7</c:v>
                </c:pt>
                <c:pt idx="14">
                  <c:v>13.9</c:v>
                </c:pt>
                <c:pt idx="15">
                  <c:v>23.5</c:v>
                </c:pt>
                <c:pt idx="16">
                  <c:v>26.4</c:v>
                </c:pt>
                <c:pt idx="17">
                  <c:v>24.7</c:v>
                </c:pt>
                <c:pt idx="18">
                  <c:v>22</c:v>
                </c:pt>
                <c:pt idx="19">
                  <c:v>10.5</c:v>
                </c:pt>
                <c:pt idx="20">
                  <c:v>17.899999999999999</c:v>
                </c:pt>
                <c:pt idx="21">
                  <c:v>10.200000000000001</c:v>
                </c:pt>
                <c:pt idx="22">
                  <c:v>6.7</c:v>
                </c:pt>
                <c:pt idx="23">
                  <c:v>10.9</c:v>
                </c:pt>
                <c:pt idx="24">
                  <c:v>23.1</c:v>
                </c:pt>
                <c:pt idx="25">
                  <c:v>32.1</c:v>
                </c:pt>
                <c:pt idx="26">
                  <c:v>45.9</c:v>
                </c:pt>
                <c:pt idx="27">
                  <c:v>41.2</c:v>
                </c:pt>
                <c:pt idx="28">
                  <c:v>39.300000000000004</c:v>
                </c:pt>
                <c:pt idx="29">
                  <c:v>47.8</c:v>
                </c:pt>
                <c:pt idx="30">
                  <c:v>53.4</c:v>
                </c:pt>
                <c:pt idx="31">
                  <c:v>46.4</c:v>
                </c:pt>
                <c:pt idx="32">
                  <c:v>37.4</c:v>
                </c:pt>
                <c:pt idx="33">
                  <c:v>32.5</c:v>
                </c:pt>
                <c:pt idx="34">
                  <c:v>20.6</c:v>
                </c:pt>
                <c:pt idx="35">
                  <c:v>17.100000000000001</c:v>
                </c:pt>
                <c:pt idx="36">
                  <c:v>32.700000000000003</c:v>
                </c:pt>
              </c:numCache>
            </c:numRef>
          </c:val>
          <c:smooth val="0"/>
          <c:extLst>
            <c:ext xmlns:c16="http://schemas.microsoft.com/office/drawing/2014/chart" uri="{C3380CC4-5D6E-409C-BE32-E72D297353CC}">
              <c16:uniqueId val="{00000006-A464-47C9-9677-606B40D7B443}"/>
            </c:ext>
          </c:extLst>
        </c:ser>
        <c:ser>
          <c:idx val="7"/>
          <c:order val="7"/>
          <c:tx>
            <c:strRef>
              <c:f>'výkonnost odvětví 2'!$A$43</c:f>
              <c:strCache>
                <c:ptCount val="1"/>
                <c:pt idx="0">
                  <c:v>Saldo souhrn. indik. důvěry v průmyslu</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2'!$R$34:$BB$35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2'!$R$43:$BB$43</c:f>
              <c:numCache>
                <c:formatCode>#\ ##0.0</c:formatCode>
                <c:ptCount val="37"/>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0.30000000000000016</c:v>
                </c:pt>
                <c:pt idx="17">
                  <c:v>-2</c:v>
                </c:pt>
                <c:pt idx="18">
                  <c:v>-3</c:v>
                </c:pt>
                <c:pt idx="19">
                  <c:v>-6.7</c:v>
                </c:pt>
                <c:pt idx="20">
                  <c:v>-5</c:v>
                </c:pt>
                <c:pt idx="21">
                  <c:v>-25</c:v>
                </c:pt>
                <c:pt idx="22">
                  <c:v>-6.3</c:v>
                </c:pt>
                <c:pt idx="23">
                  <c:v>-10</c:v>
                </c:pt>
                <c:pt idx="24">
                  <c:v>-1.3</c:v>
                </c:pt>
                <c:pt idx="25">
                  <c:v>5.3</c:v>
                </c:pt>
                <c:pt idx="26">
                  <c:v>-1.3</c:v>
                </c:pt>
                <c:pt idx="27">
                  <c:v>-5.3</c:v>
                </c:pt>
                <c:pt idx="28">
                  <c:v>-0.30000000000000016</c:v>
                </c:pt>
                <c:pt idx="29">
                  <c:v>8.3000000000000007</c:v>
                </c:pt>
                <c:pt idx="30">
                  <c:v>-1.7</c:v>
                </c:pt>
                <c:pt idx="31">
                  <c:v>-8.3000000000000007</c:v>
                </c:pt>
                <c:pt idx="32">
                  <c:v>-10.1</c:v>
                </c:pt>
                <c:pt idx="33">
                  <c:v>-7</c:v>
                </c:pt>
                <c:pt idx="34">
                  <c:v>-7</c:v>
                </c:pt>
                <c:pt idx="35">
                  <c:v>-6</c:v>
                </c:pt>
                <c:pt idx="36">
                  <c:v>-14</c:v>
                </c:pt>
              </c:numCache>
            </c:numRef>
          </c:val>
          <c:smooth val="0"/>
          <c:extLst>
            <c:ext xmlns:c16="http://schemas.microsoft.com/office/drawing/2014/chart" uri="{C3380CC4-5D6E-409C-BE32-E72D297353CC}">
              <c16:uniqueId val="{00000007-A464-47C9-9677-606B40D7B443}"/>
            </c:ext>
          </c:extLst>
        </c:ser>
        <c:dLbls>
          <c:showLegendKey val="0"/>
          <c:showVal val="0"/>
          <c:showCatName val="0"/>
          <c:showSerName val="0"/>
          <c:showPercent val="0"/>
          <c:showBubbleSize val="0"/>
        </c:dLbls>
        <c:marker val="1"/>
        <c:smooth val="0"/>
        <c:axId val="112704512"/>
        <c:axId val="112702592"/>
      </c:lineChart>
      <c:catAx>
        <c:axId val="112694400"/>
        <c:scaling>
          <c:orientation val="minMax"/>
        </c:scaling>
        <c:delete val="0"/>
        <c:axPos val="b"/>
        <c:numFmt formatCode="General" sourceLinked="1"/>
        <c:majorTickMark val="out"/>
        <c:minorTickMark val="none"/>
        <c:tickLblPos val="low"/>
        <c:crossAx val="112696320"/>
        <c:crosses val="autoZero"/>
        <c:auto val="1"/>
        <c:lblAlgn val="ctr"/>
        <c:lblOffset val="0"/>
        <c:noMultiLvlLbl val="0"/>
      </c:catAx>
      <c:valAx>
        <c:axId val="112696320"/>
        <c:scaling>
          <c:orientation val="minMax"/>
          <c:max val="90"/>
          <c:min val="-40"/>
        </c:scaling>
        <c:delete val="0"/>
        <c:axPos val="l"/>
        <c:majorGridlines>
          <c:spPr>
            <a:ln>
              <a:solidFill>
                <a:srgbClr val="BEBEBE"/>
              </a:solidFill>
            </a:ln>
          </c:spPr>
        </c:majorGridlines>
        <c:title>
          <c:tx>
            <c:rich>
              <a:bodyPr/>
              <a:lstStyle/>
              <a:p>
                <a:pPr>
                  <a:defRPr sz="700" b="0" i="1"/>
                </a:pPr>
                <a:r>
                  <a:rPr lang="cs-CZ" sz="700" b="0" i="1"/>
                  <a:t>Zakázky</a:t>
                </a:r>
              </a:p>
            </c:rich>
          </c:tx>
          <c:overlay val="0"/>
        </c:title>
        <c:numFmt formatCode="0" sourceLinked="0"/>
        <c:majorTickMark val="out"/>
        <c:minorTickMark val="none"/>
        <c:tickLblPos val="nextTo"/>
        <c:crossAx val="112694400"/>
        <c:crosses val="autoZero"/>
        <c:crossBetween val="between"/>
        <c:majorUnit val="10"/>
      </c:valAx>
      <c:valAx>
        <c:axId val="112702592"/>
        <c:scaling>
          <c:orientation val="minMax"/>
          <c:max val="100"/>
          <c:min val="-3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b="0" i="1"/>
                  <a:t>Využití výrob.</a:t>
                </a:r>
                <a:r>
                  <a:rPr lang="cs-CZ" sz="700" b="0" i="1" baseline="0"/>
                  <a:t> </a:t>
                </a:r>
                <a:r>
                  <a:rPr lang="cs-CZ" sz="700" b="0" i="1"/>
                  <a:t>kapacit, bariéry růstu, </a:t>
                </a:r>
                <a:r>
                  <a:rPr lang="cs-CZ" sz="700" b="0" i="1" baseline="0">
                    <a:effectLst/>
                  </a:rPr>
                  <a:t>saldo důvěry</a:t>
                </a:r>
                <a:endParaRPr lang="cs-CZ" sz="700" i="1">
                  <a:effectLst/>
                </a:endParaRPr>
              </a:p>
            </c:rich>
          </c:tx>
          <c:overlay val="0"/>
        </c:title>
        <c:numFmt formatCode="#,##0" sourceLinked="0"/>
        <c:majorTickMark val="out"/>
        <c:minorTickMark val="none"/>
        <c:tickLblPos val="nextTo"/>
        <c:crossAx val="112704512"/>
        <c:crosses val="max"/>
        <c:crossBetween val="between"/>
        <c:majorUnit val="10"/>
      </c:valAx>
      <c:catAx>
        <c:axId val="112704512"/>
        <c:scaling>
          <c:orientation val="minMax"/>
        </c:scaling>
        <c:delete val="1"/>
        <c:axPos val="b"/>
        <c:numFmt formatCode="General" sourceLinked="1"/>
        <c:majorTickMark val="out"/>
        <c:minorTickMark val="none"/>
        <c:tickLblPos val="none"/>
        <c:crossAx val="112702592"/>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0624233317307999E-3"/>
          <c:y val="0.85586448957034"/>
          <c:w val="0.98943298357870757"/>
          <c:h val="0.14063307954958187"/>
        </c:manualLayout>
      </c:layout>
      <c:overlay val="0"/>
      <c:spPr>
        <a:ln w="6350">
          <a:solidFill>
            <a:prstClr val="black">
              <a:lumMod val="95000"/>
              <a:lumOff val="5000"/>
            </a:prstClr>
          </a:solidFill>
        </a:ln>
      </c:spPr>
      <c:txPr>
        <a:bodyPr/>
        <a:lstStyle/>
        <a:p>
          <a:pPr>
            <a:defRPr sz="78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95346289980299E-2"/>
          <c:y val="1.566355099937029E-2"/>
          <c:w val="0.85237839893753009"/>
          <c:h val="0.7541319148337039"/>
        </c:manualLayout>
      </c:layout>
      <c:barChart>
        <c:barDir val="col"/>
        <c:grouping val="stacked"/>
        <c:varyColors val="0"/>
        <c:ser>
          <c:idx val="1"/>
          <c:order val="1"/>
          <c:tx>
            <c:strRef>
              <c:f>'výkonnost odvětví 3'!$Y$10</c:f>
              <c:strCache>
                <c:ptCount val="1"/>
                <c:pt idx="0">
                  <c:v>Pozemní stavitelství (příspěvek v p. b.)</c:v>
                </c:pt>
              </c:strCache>
            </c:strRef>
          </c:tx>
          <c:spPr>
            <a:solidFill>
              <a:schemeClr val="accent5">
                <a:lumMod val="60000"/>
                <a:lumOff val="40000"/>
              </a:schemeClr>
            </a:solidFill>
            <a:ln>
              <a:noFill/>
            </a:ln>
          </c:spPr>
          <c:invertIfNegative val="0"/>
          <c:cat>
            <c:multiLvlStrRef>
              <c:f>'výkonnost odvětví 3'!$V$31:$W$67</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3'!$Y$31:$Y$67</c:f>
              <c:numCache>
                <c:formatCode>0.0</c:formatCode>
                <c:ptCount val="37"/>
                <c:pt idx="0">
                  <c:v>5.7487165794114414</c:v>
                </c:pt>
                <c:pt idx="1">
                  <c:v>4.7489923277143404</c:v>
                </c:pt>
                <c:pt idx="2">
                  <c:v>0.72860376801438365</c:v>
                </c:pt>
                <c:pt idx="3">
                  <c:v>-1.5997494872130955</c:v>
                </c:pt>
                <c:pt idx="4">
                  <c:v>-4.5800585311347017</c:v>
                </c:pt>
                <c:pt idx="5">
                  <c:v>-4.836443212604423</c:v>
                </c:pt>
                <c:pt idx="6">
                  <c:v>0.76734536322152413</c:v>
                </c:pt>
                <c:pt idx="7">
                  <c:v>3.5913890122868475</c:v>
                </c:pt>
                <c:pt idx="8">
                  <c:v>1.8184391409963196</c:v>
                </c:pt>
                <c:pt idx="9">
                  <c:v>9.5161866462127662</c:v>
                </c:pt>
                <c:pt idx="10">
                  <c:v>3.265048095664707</c:v>
                </c:pt>
                <c:pt idx="11">
                  <c:v>2.30805126241866</c:v>
                </c:pt>
                <c:pt idx="12">
                  <c:v>13.039459362857242</c:v>
                </c:pt>
                <c:pt idx="13">
                  <c:v>5.6850806062932726</c:v>
                </c:pt>
                <c:pt idx="14">
                  <c:v>7.0360284655916914</c:v>
                </c:pt>
                <c:pt idx="15">
                  <c:v>2.3869078764089542</c:v>
                </c:pt>
                <c:pt idx="16">
                  <c:v>2.4727635166988851</c:v>
                </c:pt>
                <c:pt idx="17">
                  <c:v>2.9341574628565152</c:v>
                </c:pt>
                <c:pt idx="18">
                  <c:v>-0.67535503037810707</c:v>
                </c:pt>
                <c:pt idx="19">
                  <c:v>1.7116954805541666</c:v>
                </c:pt>
                <c:pt idx="20">
                  <c:v>-0.69584807703082341</c:v>
                </c:pt>
                <c:pt idx="21">
                  <c:v>-7.7523651483361782</c:v>
                </c:pt>
                <c:pt idx="22">
                  <c:v>-7.0746219815718181</c:v>
                </c:pt>
                <c:pt idx="23">
                  <c:v>-7.7412314636348443</c:v>
                </c:pt>
                <c:pt idx="24">
                  <c:v>-5.0450398313583511</c:v>
                </c:pt>
                <c:pt idx="25">
                  <c:v>2.5090828582971341</c:v>
                </c:pt>
                <c:pt idx="26">
                  <c:v>2.6816402699754662</c:v>
                </c:pt>
                <c:pt idx="27">
                  <c:v>5.4225269957941631</c:v>
                </c:pt>
                <c:pt idx="28">
                  <c:v>7.3097519144984444</c:v>
                </c:pt>
                <c:pt idx="29">
                  <c:v>3.5253941419268551</c:v>
                </c:pt>
                <c:pt idx="30">
                  <c:v>-0.75775125964245804</c:v>
                </c:pt>
                <c:pt idx="31">
                  <c:v>-1.48871654010578</c:v>
                </c:pt>
                <c:pt idx="32">
                  <c:v>2.1226111374930907</c:v>
                </c:pt>
                <c:pt idx="33">
                  <c:v>-1.877499701845601</c:v>
                </c:pt>
                <c:pt idx="34">
                  <c:v>-0.49102403109004811</c:v>
                </c:pt>
                <c:pt idx="35">
                  <c:v>-2.3354410324391388</c:v>
                </c:pt>
              </c:numCache>
            </c:numRef>
          </c:val>
          <c:extLst>
            <c:ext xmlns:c16="http://schemas.microsoft.com/office/drawing/2014/chart" uri="{C3380CC4-5D6E-409C-BE32-E72D297353CC}">
              <c16:uniqueId val="{00000000-CBD7-4267-B2CD-EE6D8D98C747}"/>
            </c:ext>
          </c:extLst>
        </c:ser>
        <c:ser>
          <c:idx val="2"/>
          <c:order val="2"/>
          <c:tx>
            <c:strRef>
              <c:f>'výkonnost odvětví 3'!$Z$10</c:f>
              <c:strCache>
                <c:ptCount val="1"/>
                <c:pt idx="0">
                  <c:v>Inženýrské stavitelství (příspěvek v p. b.)</c:v>
                </c:pt>
              </c:strCache>
            </c:strRef>
          </c:tx>
          <c:spPr>
            <a:solidFill>
              <a:schemeClr val="accent2">
                <a:lumMod val="60000"/>
                <a:lumOff val="40000"/>
              </a:schemeClr>
            </a:solidFill>
            <a:ln>
              <a:noFill/>
            </a:ln>
          </c:spPr>
          <c:invertIfNegative val="0"/>
          <c:cat>
            <c:multiLvlStrRef>
              <c:f>'výkonnost odvětví 3'!$V$31:$W$67</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3'!$Z$31:$Z$67</c:f>
              <c:numCache>
                <c:formatCode>0.0</c:formatCode>
                <c:ptCount val="37"/>
                <c:pt idx="0">
                  <c:v>3.8654453061663485</c:v>
                </c:pt>
                <c:pt idx="1">
                  <c:v>8.4074328223660526</c:v>
                </c:pt>
                <c:pt idx="2">
                  <c:v>8.536513170572011</c:v>
                </c:pt>
                <c:pt idx="3">
                  <c:v>3.3830353457973694</c:v>
                </c:pt>
                <c:pt idx="4">
                  <c:v>-1.4655710356774876</c:v>
                </c:pt>
                <c:pt idx="5">
                  <c:v>-6.4494987337786833</c:v>
                </c:pt>
                <c:pt idx="6">
                  <c:v>-8.0288007564184181</c:v>
                </c:pt>
                <c:pt idx="7">
                  <c:v>-6.8710829128275535</c:v>
                </c:pt>
                <c:pt idx="8">
                  <c:v>-4.1473356084740605</c:v>
                </c:pt>
                <c:pt idx="9">
                  <c:v>-1.1362269417632553</c:v>
                </c:pt>
                <c:pt idx="10">
                  <c:v>-1.6997694917449733</c:v>
                </c:pt>
                <c:pt idx="11">
                  <c:v>0.18912136047288941</c:v>
                </c:pt>
                <c:pt idx="12">
                  <c:v>2.3138551611840663</c:v>
                </c:pt>
                <c:pt idx="13">
                  <c:v>1.4433818342413161</c:v>
                </c:pt>
                <c:pt idx="14">
                  <c:v>5.805340800033207</c:v>
                </c:pt>
                <c:pt idx="15">
                  <c:v>2.0257219814852485</c:v>
                </c:pt>
                <c:pt idx="16">
                  <c:v>2.8832113797347176</c:v>
                </c:pt>
                <c:pt idx="17">
                  <c:v>2.2916559515195787</c:v>
                </c:pt>
                <c:pt idx="18">
                  <c:v>0.12751036500530569</c:v>
                </c:pt>
                <c:pt idx="19">
                  <c:v>0.80716183036284461</c:v>
                </c:pt>
                <c:pt idx="20">
                  <c:v>2.6239699221333548</c:v>
                </c:pt>
                <c:pt idx="21">
                  <c:v>0.26317252359280213</c:v>
                </c:pt>
                <c:pt idx="22">
                  <c:v>-3.3347591135837242</c:v>
                </c:pt>
                <c:pt idx="23">
                  <c:v>-0.42839192125115333</c:v>
                </c:pt>
                <c:pt idx="24">
                  <c:v>-0.40013342088039272</c:v>
                </c:pt>
                <c:pt idx="25">
                  <c:v>1.8499271498528127</c:v>
                </c:pt>
                <c:pt idx="26">
                  <c:v>0.52643056708366931</c:v>
                </c:pt>
                <c:pt idx="27">
                  <c:v>-1.0593514317463362</c:v>
                </c:pt>
                <c:pt idx="28">
                  <c:v>5.3463617708932967</c:v>
                </c:pt>
                <c:pt idx="29">
                  <c:v>1.3464817358451515</c:v>
                </c:pt>
                <c:pt idx="30">
                  <c:v>0.66675188924701723</c:v>
                </c:pt>
                <c:pt idx="31">
                  <c:v>1.4255889331967371</c:v>
                </c:pt>
                <c:pt idx="32">
                  <c:v>-3.8431677536563198</c:v>
                </c:pt>
                <c:pt idx="33">
                  <c:v>-2.3463667261777483</c:v>
                </c:pt>
                <c:pt idx="34">
                  <c:v>-0.12151528030899852</c:v>
                </c:pt>
                <c:pt idx="35">
                  <c:v>-0.5708774009900186</c:v>
                </c:pt>
              </c:numCache>
            </c:numRef>
          </c:val>
          <c:extLst>
            <c:ext xmlns:c16="http://schemas.microsoft.com/office/drawing/2014/chart" uri="{C3380CC4-5D6E-409C-BE32-E72D297353CC}">
              <c16:uniqueId val="{00000001-CBD7-4267-B2CD-EE6D8D98C747}"/>
            </c:ext>
          </c:extLst>
        </c:ser>
        <c:dLbls>
          <c:showLegendKey val="0"/>
          <c:showVal val="0"/>
          <c:showCatName val="0"/>
          <c:showSerName val="0"/>
          <c:showPercent val="0"/>
          <c:showBubbleSize val="0"/>
        </c:dLbls>
        <c:gapWidth val="30"/>
        <c:overlap val="100"/>
        <c:axId val="112839296"/>
        <c:axId val="112838528"/>
      </c:barChart>
      <c:lineChart>
        <c:grouping val="standard"/>
        <c:varyColors val="0"/>
        <c:ser>
          <c:idx val="0"/>
          <c:order val="0"/>
          <c:tx>
            <c:strRef>
              <c:f>'výkonnost odvětví 3'!$X$10</c:f>
              <c:strCache>
                <c:ptCount val="1"/>
                <c:pt idx="0">
                  <c:v>Celková stavební produkce</c:v>
                </c:pt>
              </c:strCache>
            </c:strRef>
          </c:tx>
          <c:spPr>
            <a:ln>
              <a:noFill/>
            </a:ln>
          </c:spPr>
          <c:marker>
            <c:symbol val="dash"/>
            <c:size val="5"/>
            <c:spPr>
              <a:solidFill>
                <a:schemeClr val="bg1"/>
              </a:solidFill>
              <a:ln>
                <a:solidFill>
                  <a:schemeClr val="tx1">
                    <a:lumMod val="95000"/>
                    <a:lumOff val="5000"/>
                  </a:schemeClr>
                </a:solidFill>
              </a:ln>
            </c:spPr>
          </c:marker>
          <c:cat>
            <c:multiLvlStrRef>
              <c:f>'výkonnost odvětví 3'!$V$31:$W$67</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3'!$X$31:$X$67</c:f>
              <c:numCache>
                <c:formatCode>0.0</c:formatCode>
                <c:ptCount val="37"/>
                <c:pt idx="0">
                  <c:v>9.6141618855777935</c:v>
                </c:pt>
                <c:pt idx="1">
                  <c:v>13.156425150080382</c:v>
                </c:pt>
                <c:pt idx="2">
                  <c:v>9.2651169385864076</c:v>
                </c:pt>
                <c:pt idx="3">
                  <c:v>1.7832858585842644</c:v>
                </c:pt>
                <c:pt idx="4">
                  <c:v>-6.0456295668121696</c:v>
                </c:pt>
                <c:pt idx="5">
                  <c:v>-11.28594194638309</c:v>
                </c:pt>
                <c:pt idx="6">
                  <c:v>-7.2614553931968828</c:v>
                </c:pt>
                <c:pt idx="7">
                  <c:v>-3.2796939005406931</c:v>
                </c:pt>
                <c:pt idx="8">
                  <c:v>-2.3288964674777475</c:v>
                </c:pt>
                <c:pt idx="9">
                  <c:v>8.3799597044495204</c:v>
                </c:pt>
                <c:pt idx="10">
                  <c:v>1.5652786039197224</c:v>
                </c:pt>
                <c:pt idx="11">
                  <c:v>2.4971726228915552</c:v>
                </c:pt>
                <c:pt idx="12">
                  <c:v>15.353314524041304</c:v>
                </c:pt>
                <c:pt idx="13">
                  <c:v>7.1284624405345784</c:v>
                </c:pt>
                <c:pt idx="14">
                  <c:v>12.84136926562492</c:v>
                </c:pt>
                <c:pt idx="15">
                  <c:v>4.4126298578941894</c:v>
                </c:pt>
                <c:pt idx="16">
                  <c:v>5.3559748964336054</c:v>
                </c:pt>
                <c:pt idx="17">
                  <c:v>5.2258134143760895</c:v>
                </c:pt>
                <c:pt idx="18">
                  <c:v>-0.54784466537279319</c:v>
                </c:pt>
                <c:pt idx="19">
                  <c:v>2.5188573109170278</c:v>
                </c:pt>
                <c:pt idx="20">
                  <c:v>1.9281218451025097</c:v>
                </c:pt>
                <c:pt idx="21">
                  <c:v>-7.4891926247433576</c:v>
                </c:pt>
                <c:pt idx="22">
                  <c:v>-10.409381095155553</c:v>
                </c:pt>
                <c:pt idx="23">
                  <c:v>-8.1696233848860107</c:v>
                </c:pt>
                <c:pt idx="24">
                  <c:v>-5.4451732522387175</c:v>
                </c:pt>
                <c:pt idx="25">
                  <c:v>4.3590100081499346</c:v>
                </c:pt>
                <c:pt idx="26">
                  <c:v>3.2080708370591395</c:v>
                </c:pt>
                <c:pt idx="27">
                  <c:v>4.3631755640478334</c:v>
                </c:pt>
                <c:pt idx="28">
                  <c:v>12.656113685391713</c:v>
                </c:pt>
                <c:pt idx="29">
                  <c:v>4.8718758777719948</c:v>
                </c:pt>
                <c:pt idx="30">
                  <c:v>-9.0999370395437124E-2</c:v>
                </c:pt>
                <c:pt idx="31">
                  <c:v>-6.3127606909034781E-2</c:v>
                </c:pt>
                <c:pt idx="32">
                  <c:v>-1.720556616163222</c:v>
                </c:pt>
                <c:pt idx="33">
                  <c:v>-4.2238664280233422</c:v>
                </c:pt>
                <c:pt idx="34">
                  <c:v>-0.61253931139906115</c:v>
                </c:pt>
                <c:pt idx="35">
                  <c:v>-2.9063184334291461</c:v>
                </c:pt>
              </c:numCache>
            </c:numRef>
          </c:val>
          <c:smooth val="0"/>
          <c:extLst>
            <c:ext xmlns:c16="http://schemas.microsoft.com/office/drawing/2014/chart" uri="{C3380CC4-5D6E-409C-BE32-E72D297353CC}">
              <c16:uniqueId val="{00000002-CBD7-4267-B2CD-EE6D8D98C747}"/>
            </c:ext>
          </c:extLst>
        </c:ser>
        <c:ser>
          <c:idx val="3"/>
          <c:order val="3"/>
          <c:tx>
            <c:strRef>
              <c:f>'výkonnost odvětví 3'!$AA$10</c:f>
              <c:strCache>
                <c:ptCount val="1"/>
                <c:pt idx="0">
                  <c:v>Nové stavební zakázky v tuzemsku</c:v>
                </c:pt>
              </c:strCache>
            </c:strRef>
          </c:tx>
          <c:spPr>
            <a:ln w="9525">
              <a:solidFill>
                <a:srgbClr val="984807"/>
              </a:solidFill>
              <a:prstDash val="sysDot"/>
            </a:ln>
          </c:spPr>
          <c:marker>
            <c:symbol val="diamond"/>
            <c:size val="4"/>
            <c:spPr>
              <a:solidFill>
                <a:srgbClr val="996633"/>
              </a:solidFill>
              <a:ln>
                <a:solidFill>
                  <a:srgbClr val="984807"/>
                </a:solidFill>
              </a:ln>
            </c:spPr>
          </c:marker>
          <c:cat>
            <c:multiLvlStrRef>
              <c:f>'výkonnost odvětví 3'!$V$31:$W$67</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3'!$AA$31:$AA$67</c:f>
              <c:numCache>
                <c:formatCode>0.0</c:formatCode>
                <c:ptCount val="37"/>
                <c:pt idx="0">
                  <c:v>-3.1547956675580053</c:v>
                </c:pt>
                <c:pt idx="1">
                  <c:v>9.7504961091663258</c:v>
                </c:pt>
                <c:pt idx="2">
                  <c:v>-1.0976060227612556</c:v>
                </c:pt>
                <c:pt idx="3">
                  <c:v>-2.3987783410040464</c:v>
                </c:pt>
                <c:pt idx="4">
                  <c:v>-6.6406358945753805</c:v>
                </c:pt>
                <c:pt idx="5">
                  <c:v>-0.49977652269311085</c:v>
                </c:pt>
                <c:pt idx="6">
                  <c:v>-7.0322087253454839</c:v>
                </c:pt>
                <c:pt idx="7">
                  <c:v>10.122126124559955</c:v>
                </c:pt>
                <c:pt idx="8">
                  <c:v>16.177217458847448</c:v>
                </c:pt>
                <c:pt idx="9">
                  <c:v>9.5350878984013061</c:v>
                </c:pt>
                <c:pt idx="10">
                  <c:v>-1.2817324431350698</c:v>
                </c:pt>
                <c:pt idx="11">
                  <c:v>15.620806693503823</c:v>
                </c:pt>
                <c:pt idx="12">
                  <c:v>30.10697387368857</c:v>
                </c:pt>
                <c:pt idx="13">
                  <c:v>32.836878110611956</c:v>
                </c:pt>
                <c:pt idx="14">
                  <c:v>5.2768249907951228</c:v>
                </c:pt>
                <c:pt idx="15">
                  <c:v>1.8944565811032286</c:v>
                </c:pt>
                <c:pt idx="16">
                  <c:v>14.157245632065782</c:v>
                </c:pt>
                <c:pt idx="17">
                  <c:v>-9.3849543241233189</c:v>
                </c:pt>
                <c:pt idx="18">
                  <c:v>17.407871000993993</c:v>
                </c:pt>
                <c:pt idx="19">
                  <c:v>5.8323004254463795</c:v>
                </c:pt>
                <c:pt idx="20">
                  <c:v>-12.441635069859251</c:v>
                </c:pt>
                <c:pt idx="21">
                  <c:v>7.4973457220286717</c:v>
                </c:pt>
                <c:pt idx="22">
                  <c:v>2.0599736606932866</c:v>
                </c:pt>
                <c:pt idx="23">
                  <c:v>7.5507850088630155</c:v>
                </c:pt>
                <c:pt idx="24">
                  <c:v>28.856340981154403</c:v>
                </c:pt>
                <c:pt idx="25">
                  <c:v>22.047871359987191</c:v>
                </c:pt>
                <c:pt idx="26">
                  <c:v>10.015015612184264</c:v>
                </c:pt>
                <c:pt idx="27">
                  <c:v>1.0053213537781136</c:v>
                </c:pt>
                <c:pt idx="28">
                  <c:v>13.067478460417865</c:v>
                </c:pt>
                <c:pt idx="29">
                  <c:v>17.619163607261132</c:v>
                </c:pt>
                <c:pt idx="30">
                  <c:v>12.421954480552536</c:v>
                </c:pt>
                <c:pt idx="31">
                  <c:v>13.031852753748723</c:v>
                </c:pt>
                <c:pt idx="32">
                  <c:v>-10.144501025957547</c:v>
                </c:pt>
                <c:pt idx="33">
                  <c:v>-18.697561390531927</c:v>
                </c:pt>
                <c:pt idx="34">
                  <c:v>27.51481685466289</c:v>
                </c:pt>
                <c:pt idx="35">
                  <c:v>9.3063425617587541</c:v>
                </c:pt>
              </c:numCache>
            </c:numRef>
          </c:val>
          <c:smooth val="0"/>
          <c:extLst>
            <c:ext xmlns:c16="http://schemas.microsoft.com/office/drawing/2014/chart" uri="{C3380CC4-5D6E-409C-BE32-E72D297353CC}">
              <c16:uniqueId val="{00000003-CBD7-4267-B2CD-EE6D8D98C747}"/>
            </c:ext>
          </c:extLst>
        </c:ser>
        <c:dLbls>
          <c:showLegendKey val="0"/>
          <c:showVal val="0"/>
          <c:showCatName val="0"/>
          <c:showSerName val="0"/>
          <c:showPercent val="0"/>
          <c:showBubbleSize val="0"/>
        </c:dLbls>
        <c:marker val="1"/>
        <c:smooth val="0"/>
        <c:axId val="112839296"/>
        <c:axId val="112838528"/>
      </c:lineChart>
      <c:lineChart>
        <c:grouping val="standard"/>
        <c:varyColors val="0"/>
        <c:ser>
          <c:idx val="4"/>
          <c:order val="4"/>
          <c:tx>
            <c:strRef>
              <c:f>'výkonnost odvětví 3'!$AB$10</c:f>
              <c:strCache>
                <c:ptCount val="1"/>
                <c:pt idx="0">
                  <c:v>Bariéra růstu: nedostatečná poptávka</c:v>
                </c:pt>
              </c:strCache>
            </c:strRef>
          </c:tx>
          <c:spPr>
            <a:ln w="15875">
              <a:solidFill>
                <a:srgbClr val="00B050"/>
              </a:solidFill>
              <a:prstDash val="solid"/>
            </a:ln>
          </c:spPr>
          <c:marker>
            <c:symbol val="none"/>
          </c:marker>
          <c:cat>
            <c:multiLvlStrRef>
              <c:f>'výkonnost odvětví 3'!$V$31:$W$67</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3'!$AB$31:$AB$67</c:f>
              <c:numCache>
                <c:formatCode>#\ ##0.0</c:formatCode>
                <c:ptCount val="37"/>
                <c:pt idx="0">
                  <c:v>67.3</c:v>
                </c:pt>
                <c:pt idx="1">
                  <c:v>60.7</c:v>
                </c:pt>
                <c:pt idx="2">
                  <c:v>58.6</c:v>
                </c:pt>
                <c:pt idx="3">
                  <c:v>58.2</c:v>
                </c:pt>
                <c:pt idx="4">
                  <c:v>58.5</c:v>
                </c:pt>
                <c:pt idx="5">
                  <c:v>62.6</c:v>
                </c:pt>
                <c:pt idx="6">
                  <c:v>60.3</c:v>
                </c:pt>
                <c:pt idx="7">
                  <c:v>55.7</c:v>
                </c:pt>
                <c:pt idx="8">
                  <c:v>55.7</c:v>
                </c:pt>
                <c:pt idx="9">
                  <c:v>54.8</c:v>
                </c:pt>
                <c:pt idx="10">
                  <c:v>49.1</c:v>
                </c:pt>
                <c:pt idx="11">
                  <c:v>47.1</c:v>
                </c:pt>
                <c:pt idx="12">
                  <c:v>40.1</c:v>
                </c:pt>
                <c:pt idx="13">
                  <c:v>39.4</c:v>
                </c:pt>
                <c:pt idx="14">
                  <c:v>33</c:v>
                </c:pt>
                <c:pt idx="15">
                  <c:v>23.3</c:v>
                </c:pt>
                <c:pt idx="16">
                  <c:v>26.5</c:v>
                </c:pt>
                <c:pt idx="17">
                  <c:v>26.7</c:v>
                </c:pt>
                <c:pt idx="18">
                  <c:v>18.899999999999999</c:v>
                </c:pt>
                <c:pt idx="19">
                  <c:v>19.600000000000001</c:v>
                </c:pt>
                <c:pt idx="20">
                  <c:v>31.6</c:v>
                </c:pt>
                <c:pt idx="21">
                  <c:v>31.3</c:v>
                </c:pt>
                <c:pt idx="22">
                  <c:v>38.6</c:v>
                </c:pt>
                <c:pt idx="23" formatCode="General">
                  <c:v>39.200000000000003</c:v>
                </c:pt>
                <c:pt idx="24">
                  <c:v>30.8</c:v>
                </c:pt>
                <c:pt idx="25">
                  <c:v>35.9</c:v>
                </c:pt>
                <c:pt idx="26">
                  <c:v>23.2</c:v>
                </c:pt>
                <c:pt idx="27">
                  <c:v>19.5</c:v>
                </c:pt>
                <c:pt idx="28">
                  <c:v>21.3</c:v>
                </c:pt>
                <c:pt idx="29">
                  <c:v>21.1</c:v>
                </c:pt>
                <c:pt idx="30">
                  <c:v>19.3</c:v>
                </c:pt>
                <c:pt idx="31">
                  <c:v>20.6</c:v>
                </c:pt>
                <c:pt idx="32">
                  <c:v>31.9</c:v>
                </c:pt>
                <c:pt idx="33">
                  <c:v>32.300000000000004</c:v>
                </c:pt>
                <c:pt idx="34">
                  <c:v>36.300000000000004</c:v>
                </c:pt>
                <c:pt idx="35">
                  <c:v>29.2</c:v>
                </c:pt>
                <c:pt idx="36">
                  <c:v>20.5</c:v>
                </c:pt>
              </c:numCache>
            </c:numRef>
          </c:val>
          <c:smooth val="0"/>
          <c:extLst>
            <c:ext xmlns:c16="http://schemas.microsoft.com/office/drawing/2014/chart" uri="{C3380CC4-5D6E-409C-BE32-E72D297353CC}">
              <c16:uniqueId val="{00000004-CBD7-4267-B2CD-EE6D8D98C747}"/>
            </c:ext>
          </c:extLst>
        </c:ser>
        <c:ser>
          <c:idx val="5"/>
          <c:order val="5"/>
          <c:tx>
            <c:strRef>
              <c:f>'výkonnost odvětví 3'!$AC$10</c:f>
              <c:strCache>
                <c:ptCount val="1"/>
                <c:pt idx="0">
                  <c:v>Bariéra růstu: nedostatek pracovníků</c:v>
                </c:pt>
              </c:strCache>
            </c:strRef>
          </c:tx>
          <c:spPr>
            <a:ln w="15875">
              <a:solidFill>
                <a:schemeClr val="accent3">
                  <a:lumMod val="75000"/>
                </a:schemeClr>
              </a:solidFill>
              <a:prstDash val="dash"/>
            </a:ln>
          </c:spPr>
          <c:marker>
            <c:symbol val="none"/>
          </c:marker>
          <c:cat>
            <c:multiLvlStrRef>
              <c:f>'výkonnost odvětví 3'!$V$31:$W$67</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3'!$AC$31:$AC$67</c:f>
              <c:numCache>
                <c:formatCode>#\ ##0.0</c:formatCode>
                <c:ptCount val="37"/>
                <c:pt idx="0">
                  <c:v>8.3000000000000007</c:v>
                </c:pt>
                <c:pt idx="1">
                  <c:v>8.1</c:v>
                </c:pt>
                <c:pt idx="2">
                  <c:v>6.1</c:v>
                </c:pt>
                <c:pt idx="3">
                  <c:v>6</c:v>
                </c:pt>
                <c:pt idx="4">
                  <c:v>6.5</c:v>
                </c:pt>
                <c:pt idx="5">
                  <c:v>7.2</c:v>
                </c:pt>
                <c:pt idx="6">
                  <c:v>7.1</c:v>
                </c:pt>
                <c:pt idx="7">
                  <c:v>10.4</c:v>
                </c:pt>
                <c:pt idx="8">
                  <c:v>13.9</c:v>
                </c:pt>
                <c:pt idx="9">
                  <c:v>14.9</c:v>
                </c:pt>
                <c:pt idx="10">
                  <c:v>21.7</c:v>
                </c:pt>
                <c:pt idx="11">
                  <c:v>21.3</c:v>
                </c:pt>
                <c:pt idx="12">
                  <c:v>27</c:v>
                </c:pt>
                <c:pt idx="13">
                  <c:v>30.1</c:v>
                </c:pt>
                <c:pt idx="14">
                  <c:v>28.5</c:v>
                </c:pt>
                <c:pt idx="15">
                  <c:v>38.4</c:v>
                </c:pt>
                <c:pt idx="16">
                  <c:v>36.4</c:v>
                </c:pt>
                <c:pt idx="17">
                  <c:v>43.4</c:v>
                </c:pt>
                <c:pt idx="18">
                  <c:v>50.4</c:v>
                </c:pt>
                <c:pt idx="19">
                  <c:v>46.4</c:v>
                </c:pt>
                <c:pt idx="20">
                  <c:v>51.8</c:v>
                </c:pt>
                <c:pt idx="21">
                  <c:v>46</c:v>
                </c:pt>
                <c:pt idx="22">
                  <c:v>35.9</c:v>
                </c:pt>
                <c:pt idx="23" formatCode="0.0">
                  <c:v>32.1</c:v>
                </c:pt>
                <c:pt idx="24">
                  <c:v>47.9</c:v>
                </c:pt>
                <c:pt idx="25">
                  <c:v>31.7</c:v>
                </c:pt>
                <c:pt idx="26">
                  <c:v>41.4</c:v>
                </c:pt>
                <c:pt idx="27">
                  <c:v>42.5</c:v>
                </c:pt>
                <c:pt idx="28">
                  <c:v>57.2</c:v>
                </c:pt>
                <c:pt idx="29">
                  <c:v>44.3</c:v>
                </c:pt>
                <c:pt idx="30">
                  <c:v>39.4</c:v>
                </c:pt>
                <c:pt idx="31">
                  <c:v>47.3</c:v>
                </c:pt>
                <c:pt idx="32">
                  <c:v>39.5</c:v>
                </c:pt>
                <c:pt idx="33">
                  <c:v>35.5</c:v>
                </c:pt>
                <c:pt idx="34">
                  <c:v>30.3</c:v>
                </c:pt>
                <c:pt idx="35">
                  <c:v>30.9</c:v>
                </c:pt>
                <c:pt idx="36">
                  <c:v>54.4</c:v>
                </c:pt>
              </c:numCache>
            </c:numRef>
          </c:val>
          <c:smooth val="0"/>
          <c:extLst>
            <c:ext xmlns:c16="http://schemas.microsoft.com/office/drawing/2014/chart" uri="{C3380CC4-5D6E-409C-BE32-E72D297353CC}">
              <c16:uniqueId val="{00000005-CBD7-4267-B2CD-EE6D8D98C747}"/>
            </c:ext>
          </c:extLst>
        </c:ser>
        <c:ser>
          <c:idx val="6"/>
          <c:order val="6"/>
          <c:tx>
            <c:strRef>
              <c:f>'výkonnost odvětví 3'!$AD$10</c:f>
              <c:strCache>
                <c:ptCount val="1"/>
                <c:pt idx="0">
                  <c:v>Bariéra růstu: nedost. materiálu a vybavení</c:v>
                </c:pt>
              </c:strCache>
            </c:strRef>
          </c:tx>
          <c:spPr>
            <a:ln w="15875">
              <a:solidFill>
                <a:srgbClr val="37DD3B"/>
              </a:solidFill>
              <a:prstDash val="sysDash"/>
            </a:ln>
          </c:spPr>
          <c:marker>
            <c:symbol val="none"/>
          </c:marker>
          <c:cat>
            <c:multiLvlStrRef>
              <c:f>'výkonnost odvětví 3'!$V$31:$W$67</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3'!$AD$31:$AD$67</c:f>
              <c:numCache>
                <c:formatCode>#\ ##0.0</c:formatCode>
                <c:ptCount val="37"/>
                <c:pt idx="0">
                  <c:v>0.1</c:v>
                </c:pt>
                <c:pt idx="1">
                  <c:v>0.4</c:v>
                </c:pt>
                <c:pt idx="2">
                  <c:v>4</c:v>
                </c:pt>
                <c:pt idx="3">
                  <c:v>0.5</c:v>
                </c:pt>
                <c:pt idx="4">
                  <c:v>0.4</c:v>
                </c:pt>
                <c:pt idx="5">
                  <c:v>0.5</c:v>
                </c:pt>
                <c:pt idx="6">
                  <c:v>0.5</c:v>
                </c:pt>
                <c:pt idx="7">
                  <c:v>1.5</c:v>
                </c:pt>
                <c:pt idx="8">
                  <c:v>0.30000000000000016</c:v>
                </c:pt>
                <c:pt idx="9">
                  <c:v>0.30000000000000016</c:v>
                </c:pt>
                <c:pt idx="10">
                  <c:v>3.3</c:v>
                </c:pt>
                <c:pt idx="11">
                  <c:v>4.2</c:v>
                </c:pt>
                <c:pt idx="12">
                  <c:v>5.5</c:v>
                </c:pt>
                <c:pt idx="13">
                  <c:v>1.2</c:v>
                </c:pt>
                <c:pt idx="14">
                  <c:v>6.8</c:v>
                </c:pt>
                <c:pt idx="15">
                  <c:v>3.5</c:v>
                </c:pt>
                <c:pt idx="16">
                  <c:v>4.3</c:v>
                </c:pt>
                <c:pt idx="17">
                  <c:v>5.7</c:v>
                </c:pt>
                <c:pt idx="18">
                  <c:v>5.3</c:v>
                </c:pt>
                <c:pt idx="19">
                  <c:v>4</c:v>
                </c:pt>
                <c:pt idx="20">
                  <c:v>1.9000000000000001</c:v>
                </c:pt>
                <c:pt idx="21">
                  <c:v>3.4</c:v>
                </c:pt>
                <c:pt idx="22">
                  <c:v>1.3</c:v>
                </c:pt>
                <c:pt idx="23">
                  <c:v>0.8</c:v>
                </c:pt>
                <c:pt idx="24">
                  <c:v>1.3</c:v>
                </c:pt>
                <c:pt idx="25">
                  <c:v>4.3</c:v>
                </c:pt>
                <c:pt idx="26">
                  <c:v>16.3</c:v>
                </c:pt>
                <c:pt idx="27">
                  <c:v>22.8</c:v>
                </c:pt>
                <c:pt idx="28">
                  <c:v>24.7</c:v>
                </c:pt>
                <c:pt idx="29">
                  <c:v>41.3</c:v>
                </c:pt>
                <c:pt idx="30">
                  <c:v>38.6</c:v>
                </c:pt>
                <c:pt idx="31">
                  <c:v>23.4</c:v>
                </c:pt>
                <c:pt idx="32">
                  <c:v>19.5</c:v>
                </c:pt>
                <c:pt idx="33">
                  <c:v>17</c:v>
                </c:pt>
                <c:pt idx="34">
                  <c:v>13</c:v>
                </c:pt>
                <c:pt idx="35">
                  <c:v>13.9</c:v>
                </c:pt>
                <c:pt idx="36">
                  <c:v>22.5</c:v>
                </c:pt>
              </c:numCache>
            </c:numRef>
          </c:val>
          <c:smooth val="0"/>
          <c:extLst>
            <c:ext xmlns:c16="http://schemas.microsoft.com/office/drawing/2014/chart" uri="{C3380CC4-5D6E-409C-BE32-E72D297353CC}">
              <c16:uniqueId val="{00000006-CBD7-4267-B2CD-EE6D8D98C747}"/>
            </c:ext>
          </c:extLst>
        </c:ser>
        <c:ser>
          <c:idx val="7"/>
          <c:order val="7"/>
          <c:tx>
            <c:strRef>
              <c:f>'výkonnost odvětví 3'!$AE$10</c:f>
              <c:strCache>
                <c:ptCount val="1"/>
                <c:pt idx="0">
                  <c:v>Saldo indikátoru důvěry ve stavebnictví</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3'!$V$31:$W$67</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3'!$AE$31:$AE$67</c:f>
              <c:numCache>
                <c:formatCode>0.0</c:formatCode>
                <c:ptCount val="37"/>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pt idx="24">
                  <c:v>-6</c:v>
                </c:pt>
                <c:pt idx="25">
                  <c:v>-5.5</c:v>
                </c:pt>
                <c:pt idx="26">
                  <c:v>-4.5</c:v>
                </c:pt>
                <c:pt idx="27">
                  <c:v>-6.5</c:v>
                </c:pt>
                <c:pt idx="28">
                  <c:v>6.5</c:v>
                </c:pt>
                <c:pt idx="29">
                  <c:v>-2</c:v>
                </c:pt>
                <c:pt idx="30">
                  <c:v>-9</c:v>
                </c:pt>
                <c:pt idx="31">
                  <c:v>-4.5</c:v>
                </c:pt>
                <c:pt idx="32">
                  <c:v>-11.5</c:v>
                </c:pt>
                <c:pt idx="33">
                  <c:v>-15.5</c:v>
                </c:pt>
                <c:pt idx="34">
                  <c:v>-16.5</c:v>
                </c:pt>
                <c:pt idx="35">
                  <c:v>-11</c:v>
                </c:pt>
                <c:pt idx="36">
                  <c:v>-7</c:v>
                </c:pt>
              </c:numCache>
            </c:numRef>
          </c:val>
          <c:smooth val="0"/>
          <c:extLst>
            <c:ext xmlns:c16="http://schemas.microsoft.com/office/drawing/2014/chart" uri="{C3380CC4-5D6E-409C-BE32-E72D297353CC}">
              <c16:uniqueId val="{00000007-CBD7-4267-B2CD-EE6D8D98C747}"/>
            </c:ext>
          </c:extLst>
        </c:ser>
        <c:dLbls>
          <c:showLegendKey val="0"/>
          <c:showVal val="0"/>
          <c:showCatName val="0"/>
          <c:showSerName val="0"/>
          <c:showPercent val="0"/>
          <c:showBubbleSize val="0"/>
        </c:dLbls>
        <c:marker val="1"/>
        <c:smooth val="0"/>
        <c:axId val="112734208"/>
        <c:axId val="112727936"/>
      </c:lineChart>
      <c:catAx>
        <c:axId val="112839296"/>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838528"/>
        <c:crosses val="autoZero"/>
        <c:auto val="1"/>
        <c:lblAlgn val="ctr"/>
        <c:lblOffset val="0"/>
        <c:noMultiLvlLbl val="0"/>
      </c:catAx>
      <c:valAx>
        <c:axId val="112838528"/>
        <c:scaling>
          <c:orientation val="minMax"/>
          <c:max val="80"/>
          <c:min val="-20"/>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Zakázky, příspěvky k změně stavební produkce</a:t>
                </a:r>
              </a:p>
            </c:rich>
          </c:tx>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839296"/>
        <c:crosses val="autoZero"/>
        <c:crossBetween val="between"/>
        <c:majorUnit val="10"/>
      </c:valAx>
      <c:valAx>
        <c:axId val="112727936"/>
        <c:scaling>
          <c:orientation val="minMax"/>
          <c:max val="100"/>
          <c:min val="-100"/>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Saldo důvěry, bariéry růstu</a:t>
                </a:r>
              </a:p>
            </c:rich>
          </c:tx>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12734208"/>
        <c:crosses val="max"/>
        <c:crossBetween val="between"/>
        <c:majorUnit val="20"/>
      </c:valAx>
      <c:catAx>
        <c:axId val="112734208"/>
        <c:scaling>
          <c:orientation val="minMax"/>
        </c:scaling>
        <c:delete val="1"/>
        <c:axPos val="b"/>
        <c:numFmt formatCode="General" sourceLinked="1"/>
        <c:majorTickMark val="out"/>
        <c:minorTickMark val="none"/>
        <c:tickLblPos val="none"/>
        <c:crossAx val="112727936"/>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1.8499319708759499E-2"/>
          <c:y val="0.85936703322638641"/>
          <c:w val="0.9692571424188543"/>
          <c:h val="0.13362821778942566"/>
        </c:manualLayout>
      </c:layout>
      <c:overlay val="0"/>
      <c:spPr>
        <a:ln w="6350">
          <a:solidFill>
            <a:prstClr val="black">
              <a:lumMod val="95000"/>
              <a:lumOff val="5000"/>
            </a:prstClr>
          </a:solidFill>
        </a:ln>
      </c:spPr>
      <c:txPr>
        <a:bodyPr/>
        <a:lstStyle/>
        <a:p>
          <a:pPr>
            <a:defRPr sz="75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385677352723435E-2"/>
          <c:y val="1.5803328678987455E-2"/>
          <c:w val="0.83979584077702996"/>
          <c:h val="0.69902590308489432"/>
        </c:manualLayout>
      </c:layout>
      <c:barChart>
        <c:barDir val="col"/>
        <c:grouping val="stacked"/>
        <c:varyColors val="0"/>
        <c:ser>
          <c:idx val="0"/>
          <c:order val="1"/>
          <c:tx>
            <c:strRef>
              <c:f>'Služby-příspěvkyk růstu-4'!$D$33</c:f>
              <c:strCache>
                <c:ptCount val="1"/>
                <c:pt idx="0">
                  <c:v>Doprava a skladování (p. b.)</c:v>
                </c:pt>
              </c:strCache>
            </c:strRef>
          </c:tx>
          <c:spPr>
            <a:solidFill>
              <a:srgbClr val="92D050"/>
            </a:solidFill>
            <a:ln>
              <a:noFill/>
            </a:ln>
          </c:spPr>
          <c:invertIfNegative val="0"/>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růstu-4'!$D$46:$D$82</c:f>
              <c:numCache>
                <c:formatCode>0.0</c:formatCode>
                <c:ptCount val="37"/>
                <c:pt idx="0">
                  <c:v>0.28583707131499864</c:v>
                </c:pt>
                <c:pt idx="1">
                  <c:v>9.9073319502600551E-2</c:v>
                </c:pt>
                <c:pt idx="2">
                  <c:v>0.31769782750540138</c:v>
                </c:pt>
                <c:pt idx="3">
                  <c:v>0.12210619116400009</c:v>
                </c:pt>
                <c:pt idx="4">
                  <c:v>0.28220883268199926</c:v>
                </c:pt>
                <c:pt idx="5">
                  <c:v>6.1181950046598127E-2</c:v>
                </c:pt>
                <c:pt idx="6">
                  <c:v>0.16591602609100148</c:v>
                </c:pt>
                <c:pt idx="7">
                  <c:v>0.78068825847900136</c:v>
                </c:pt>
                <c:pt idx="8">
                  <c:v>1.5613141921709988</c:v>
                </c:pt>
                <c:pt idx="9">
                  <c:v>1.122930781783998</c:v>
                </c:pt>
                <c:pt idx="10">
                  <c:v>1.0641446548009998</c:v>
                </c:pt>
                <c:pt idx="11">
                  <c:v>0.59189353382399879</c:v>
                </c:pt>
                <c:pt idx="12">
                  <c:v>1.6915596254819993</c:v>
                </c:pt>
                <c:pt idx="13">
                  <c:v>1.8149616493690008</c:v>
                </c:pt>
                <c:pt idx="14">
                  <c:v>1.4972066301569984</c:v>
                </c:pt>
                <c:pt idx="15">
                  <c:v>0.48435757114800193</c:v>
                </c:pt>
                <c:pt idx="16">
                  <c:v>8.7680447270998052E-2</c:v>
                </c:pt>
                <c:pt idx="17">
                  <c:v>-0.13218522120399967</c:v>
                </c:pt>
                <c:pt idx="18">
                  <c:v>-0.30882816758200105</c:v>
                </c:pt>
                <c:pt idx="19">
                  <c:v>-7.2429796977600117E-2</c:v>
                </c:pt>
                <c:pt idx="20">
                  <c:v>-1.5388901719333996</c:v>
                </c:pt>
                <c:pt idx="21">
                  <c:v>-6.3630415493666987</c:v>
                </c:pt>
                <c:pt idx="22">
                  <c:v>-3.9404740003479741</c:v>
                </c:pt>
                <c:pt idx="23">
                  <c:v>-1.3606128435167992</c:v>
                </c:pt>
                <c:pt idx="24">
                  <c:v>0.40965221834459875</c:v>
                </c:pt>
                <c:pt idx="25">
                  <c:v>6.4837528919423981</c:v>
                </c:pt>
                <c:pt idx="26">
                  <c:v>3.6854899718831997</c:v>
                </c:pt>
                <c:pt idx="27">
                  <c:v>3.3199937148716865</c:v>
                </c:pt>
                <c:pt idx="28">
                  <c:v>3.9496411864825189</c:v>
                </c:pt>
                <c:pt idx="29">
                  <c:v>4.0151287396499988</c:v>
                </c:pt>
                <c:pt idx="30">
                  <c:v>3.2324019030773452</c:v>
                </c:pt>
                <c:pt idx="31">
                  <c:v>0.68972605928640229</c:v>
                </c:pt>
                <c:pt idx="32">
                  <c:v>-1.2121731839999985</c:v>
                </c:pt>
                <c:pt idx="33">
                  <c:v>-3.1010346750564892</c:v>
                </c:pt>
                <c:pt idx="34">
                  <c:v>-3.4701744696586818</c:v>
                </c:pt>
                <c:pt idx="35">
                  <c:v>-2.6074557512069574</c:v>
                </c:pt>
              </c:numCache>
            </c:numRef>
          </c:val>
          <c:extLst>
            <c:ext xmlns:c16="http://schemas.microsoft.com/office/drawing/2014/chart" uri="{C3380CC4-5D6E-409C-BE32-E72D297353CC}">
              <c16:uniqueId val="{00000000-29AE-46A1-8B8C-B4DF5FE252F2}"/>
            </c:ext>
          </c:extLst>
        </c:ser>
        <c:ser>
          <c:idx val="1"/>
          <c:order val="2"/>
          <c:tx>
            <c:strRef>
              <c:f>'Služby-příspěvkyk růstu-4'!$E$33</c:f>
              <c:strCache>
                <c:ptCount val="1"/>
                <c:pt idx="0">
                  <c:v>Ubytování, stravování a pohostinství (p. b.)</c:v>
                </c:pt>
              </c:strCache>
            </c:strRef>
          </c:tx>
          <c:spPr>
            <a:solidFill>
              <a:srgbClr val="00B0F0"/>
            </a:solidFill>
            <a:ln>
              <a:noFill/>
            </a:ln>
          </c:spPr>
          <c:invertIfNegative val="0"/>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růstu-4'!$E$46:$E$82</c:f>
              <c:numCache>
                <c:formatCode>0.0</c:formatCode>
                <c:ptCount val="37"/>
                <c:pt idx="0">
                  <c:v>0.22716240604080018</c:v>
                </c:pt>
                <c:pt idx="1">
                  <c:v>0.65001523589900034</c:v>
                </c:pt>
                <c:pt idx="2">
                  <c:v>0.65043885271950042</c:v>
                </c:pt>
                <c:pt idx="3">
                  <c:v>0.40286531384040036</c:v>
                </c:pt>
                <c:pt idx="4">
                  <c:v>0.47082926396040031</c:v>
                </c:pt>
                <c:pt idx="5">
                  <c:v>0.17677577920749962</c:v>
                </c:pt>
                <c:pt idx="6">
                  <c:v>0.57113528170200001</c:v>
                </c:pt>
                <c:pt idx="7">
                  <c:v>0.60157631975219972</c:v>
                </c:pt>
                <c:pt idx="8">
                  <c:v>0.9154231899449996</c:v>
                </c:pt>
                <c:pt idx="9">
                  <c:v>1.2344281014258005</c:v>
                </c:pt>
                <c:pt idx="10">
                  <c:v>0.55621615324820017</c:v>
                </c:pt>
                <c:pt idx="11">
                  <c:v>0.45646654612940007</c:v>
                </c:pt>
                <c:pt idx="12">
                  <c:v>0.20372087178279991</c:v>
                </c:pt>
                <c:pt idx="13">
                  <c:v>5.3418687620000245E-2</c:v>
                </c:pt>
                <c:pt idx="14">
                  <c:v>6.3072083089999523E-2</c:v>
                </c:pt>
                <c:pt idx="15">
                  <c:v>-3.690856285000052E-2</c:v>
                </c:pt>
                <c:pt idx="16">
                  <c:v>-0.36352759744700047</c:v>
                </c:pt>
                <c:pt idx="17">
                  <c:v>-0.66972254409340026</c:v>
                </c:pt>
                <c:pt idx="18">
                  <c:v>0.55939150605359955</c:v>
                </c:pt>
                <c:pt idx="19">
                  <c:v>0.81136645955399955</c:v>
                </c:pt>
                <c:pt idx="20">
                  <c:v>-1.02121923221554</c:v>
                </c:pt>
                <c:pt idx="21">
                  <c:v>-4.7572576440565006</c:v>
                </c:pt>
                <c:pt idx="22">
                  <c:v>-1.8794605145432095</c:v>
                </c:pt>
                <c:pt idx="23">
                  <c:v>-4.4951618716172961</c:v>
                </c:pt>
                <c:pt idx="24">
                  <c:v>-3.6360862550249999</c:v>
                </c:pt>
                <c:pt idx="25">
                  <c:v>1.4024517634519886</c:v>
                </c:pt>
                <c:pt idx="26">
                  <c:v>0.66030614914950037</c:v>
                </c:pt>
                <c:pt idx="27">
                  <c:v>2.8952490941033862</c:v>
                </c:pt>
                <c:pt idx="28">
                  <c:v>2.8310456890179001</c:v>
                </c:pt>
                <c:pt idx="29">
                  <c:v>2.4351184699744954</c:v>
                </c:pt>
                <c:pt idx="30">
                  <c:v>-0.45789924306440666</c:v>
                </c:pt>
                <c:pt idx="31">
                  <c:v>0.56769798468950006</c:v>
                </c:pt>
                <c:pt idx="32">
                  <c:v>0.47156474449819968</c:v>
                </c:pt>
                <c:pt idx="33">
                  <c:v>-2.7669915753384261E-2</c:v>
                </c:pt>
                <c:pt idx="34">
                  <c:v>0.13134358555808825</c:v>
                </c:pt>
                <c:pt idx="35">
                  <c:v>7.6537115320104571E-2</c:v>
                </c:pt>
              </c:numCache>
            </c:numRef>
          </c:val>
          <c:extLst>
            <c:ext xmlns:c16="http://schemas.microsoft.com/office/drawing/2014/chart" uri="{C3380CC4-5D6E-409C-BE32-E72D297353CC}">
              <c16:uniqueId val="{00000001-29AE-46A1-8B8C-B4DF5FE252F2}"/>
            </c:ext>
          </c:extLst>
        </c:ser>
        <c:ser>
          <c:idx val="2"/>
          <c:order val="3"/>
          <c:tx>
            <c:strRef>
              <c:f>'Služby-příspěvkyk růstu-4'!$F$33</c:f>
              <c:strCache>
                <c:ptCount val="1"/>
                <c:pt idx="0">
                  <c:v>Informační a komunikační činnosti (p. b.)</c:v>
                </c:pt>
              </c:strCache>
            </c:strRef>
          </c:tx>
          <c:spPr>
            <a:solidFill>
              <a:srgbClr val="E6E100"/>
            </a:solidFill>
            <a:ln>
              <a:noFill/>
            </a:ln>
          </c:spPr>
          <c:invertIfNegative val="0"/>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růstu-4'!$F$46:$F$82</c:f>
              <c:numCache>
                <c:formatCode>0.0</c:formatCode>
                <c:ptCount val="37"/>
                <c:pt idx="0">
                  <c:v>1.3475600006119992</c:v>
                </c:pt>
                <c:pt idx="1">
                  <c:v>0.66866302459200067</c:v>
                </c:pt>
                <c:pt idx="2">
                  <c:v>0.76957802431699907</c:v>
                </c:pt>
                <c:pt idx="3">
                  <c:v>1.4886414789369995</c:v>
                </c:pt>
                <c:pt idx="4">
                  <c:v>0.31877743705500039</c:v>
                </c:pt>
                <c:pt idx="5">
                  <c:v>0.20661529177999968</c:v>
                </c:pt>
                <c:pt idx="6">
                  <c:v>0.33414735394100048</c:v>
                </c:pt>
                <c:pt idx="7">
                  <c:v>-1.5907952160003447E-3</c:v>
                </c:pt>
                <c:pt idx="8">
                  <c:v>0.81368973776000075</c:v>
                </c:pt>
                <c:pt idx="9">
                  <c:v>0.85417546131300082</c:v>
                </c:pt>
                <c:pt idx="10">
                  <c:v>0.70502890964199894</c:v>
                </c:pt>
                <c:pt idx="11">
                  <c:v>0.57956639880599936</c:v>
                </c:pt>
                <c:pt idx="12">
                  <c:v>1.4478889516160005</c:v>
                </c:pt>
                <c:pt idx="13">
                  <c:v>0.80994689822300014</c:v>
                </c:pt>
                <c:pt idx="14">
                  <c:v>1.4688126825399994</c:v>
                </c:pt>
                <c:pt idx="15">
                  <c:v>1.086122449493</c:v>
                </c:pt>
                <c:pt idx="16">
                  <c:v>0.58941772132699954</c:v>
                </c:pt>
                <c:pt idx="17">
                  <c:v>1.4226829106699992</c:v>
                </c:pt>
                <c:pt idx="18">
                  <c:v>1.6743952337219994</c:v>
                </c:pt>
                <c:pt idx="19">
                  <c:v>0.80346819102189926</c:v>
                </c:pt>
                <c:pt idx="20">
                  <c:v>0.70778641415200061</c:v>
                </c:pt>
                <c:pt idx="21">
                  <c:v>-0.1282918788954005</c:v>
                </c:pt>
                <c:pt idx="22">
                  <c:v>-0.45078576191000025</c:v>
                </c:pt>
                <c:pt idx="23">
                  <c:v>-0.76558883395124844</c:v>
                </c:pt>
                <c:pt idx="24">
                  <c:v>0.73364927391400159</c:v>
                </c:pt>
                <c:pt idx="25">
                  <c:v>1.7201356748114756</c:v>
                </c:pt>
                <c:pt idx="26">
                  <c:v>1.736451508697799</c:v>
                </c:pt>
                <c:pt idx="27">
                  <c:v>2.1182789324493134</c:v>
                </c:pt>
                <c:pt idx="28">
                  <c:v>1.7507684699530985</c:v>
                </c:pt>
                <c:pt idx="29">
                  <c:v>0.98401837425599858</c:v>
                </c:pt>
                <c:pt idx="30">
                  <c:v>0.77271762675483868</c:v>
                </c:pt>
                <c:pt idx="31">
                  <c:v>0.37523087044705927</c:v>
                </c:pt>
                <c:pt idx="32">
                  <c:v>0.58518462551160166</c:v>
                </c:pt>
                <c:pt idx="33">
                  <c:v>-1.1979290428213106E-2</c:v>
                </c:pt>
                <c:pt idx="34">
                  <c:v>-0.79548596103973734</c:v>
                </c:pt>
                <c:pt idx="35">
                  <c:v>-0.79444877935572744</c:v>
                </c:pt>
              </c:numCache>
            </c:numRef>
          </c:val>
          <c:extLst>
            <c:ext xmlns:c16="http://schemas.microsoft.com/office/drawing/2014/chart" uri="{C3380CC4-5D6E-409C-BE32-E72D297353CC}">
              <c16:uniqueId val="{00000002-29AE-46A1-8B8C-B4DF5FE252F2}"/>
            </c:ext>
          </c:extLst>
        </c:ser>
        <c:ser>
          <c:idx val="4"/>
          <c:order val="4"/>
          <c:tx>
            <c:strRef>
              <c:f>'Služby-příspěvkyk růstu-4'!$G$33</c:f>
              <c:strCache>
                <c:ptCount val="1"/>
                <c:pt idx="0">
                  <c:v>Činnosti v oblasti nemovitostí (p. b.)</c:v>
                </c:pt>
              </c:strCache>
            </c:strRef>
          </c:tx>
          <c:spPr>
            <a:solidFill>
              <a:schemeClr val="accent5">
                <a:lumMod val="60000"/>
                <a:lumOff val="40000"/>
              </a:schemeClr>
            </a:solidFill>
            <a:ln>
              <a:noFill/>
              <a:prstDash val="sysDash"/>
            </a:ln>
          </c:spPr>
          <c:invertIfNegative val="0"/>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růstu-4'!$G$46:$G$82</c:f>
              <c:numCache>
                <c:formatCode>0.0</c:formatCode>
                <c:ptCount val="37"/>
                <c:pt idx="0">
                  <c:v>4.746770298419966E-2</c:v>
                </c:pt>
                <c:pt idx="1">
                  <c:v>-7.1736494634002381E-3</c:v>
                </c:pt>
                <c:pt idx="2">
                  <c:v>0.12594742008660062</c:v>
                </c:pt>
                <c:pt idx="3">
                  <c:v>2.5503553016999546E-2</c:v>
                </c:pt>
                <c:pt idx="4">
                  <c:v>0.25581412202700016</c:v>
                </c:pt>
                <c:pt idx="5">
                  <c:v>-5.8871280300053285E-4</c:v>
                </c:pt>
                <c:pt idx="6">
                  <c:v>0.14820611830979977</c:v>
                </c:pt>
                <c:pt idx="7">
                  <c:v>-6.673245353100031E-2</c:v>
                </c:pt>
                <c:pt idx="8">
                  <c:v>0.21337518275449996</c:v>
                </c:pt>
                <c:pt idx="9">
                  <c:v>0.44510148149939993</c:v>
                </c:pt>
                <c:pt idx="10">
                  <c:v>-2.3161044655499695E-2</c:v>
                </c:pt>
                <c:pt idx="11">
                  <c:v>0.13973557355700003</c:v>
                </c:pt>
                <c:pt idx="12">
                  <c:v>2.4776891451000493E-2</c:v>
                </c:pt>
                <c:pt idx="13">
                  <c:v>-0.24771466350479987</c:v>
                </c:pt>
                <c:pt idx="14">
                  <c:v>-0.12634060942140016</c:v>
                </c:pt>
                <c:pt idx="15">
                  <c:v>-0.22296155792339972</c:v>
                </c:pt>
                <c:pt idx="16">
                  <c:v>-0.59230274151539974</c:v>
                </c:pt>
                <c:pt idx="17">
                  <c:v>-0.14941666489739952</c:v>
                </c:pt>
                <c:pt idx="18">
                  <c:v>0.15857003378880019</c:v>
                </c:pt>
                <c:pt idx="19">
                  <c:v>0.41231320665960003</c:v>
                </c:pt>
                <c:pt idx="20">
                  <c:v>0.43752910629419994</c:v>
                </c:pt>
                <c:pt idx="21">
                  <c:v>-0.31303453713669938</c:v>
                </c:pt>
                <c:pt idx="22">
                  <c:v>-0.26031344919999999</c:v>
                </c:pt>
                <c:pt idx="23">
                  <c:v>-0.23208025015669992</c:v>
                </c:pt>
                <c:pt idx="24">
                  <c:v>-0.20731164771140034</c:v>
                </c:pt>
                <c:pt idx="25">
                  <c:v>0.47336791233434949</c:v>
                </c:pt>
                <c:pt idx="26">
                  <c:v>-3.5112849205001595E-3</c:v>
                </c:pt>
                <c:pt idx="27">
                  <c:v>0.23993527263719985</c:v>
                </c:pt>
                <c:pt idx="28">
                  <c:v>0.9435611339855996</c:v>
                </c:pt>
                <c:pt idx="29">
                  <c:v>0.47235288863200026</c:v>
                </c:pt>
                <c:pt idx="30">
                  <c:v>0.21997137895263114</c:v>
                </c:pt>
                <c:pt idx="31">
                  <c:v>0.35037642189999946</c:v>
                </c:pt>
                <c:pt idx="32">
                  <c:v>0.14376268903080025</c:v>
                </c:pt>
                <c:pt idx="33">
                  <c:v>-0.15324197268959586</c:v>
                </c:pt>
                <c:pt idx="34">
                  <c:v>-0.26274484182986496</c:v>
                </c:pt>
                <c:pt idx="35">
                  <c:v>-0.20582510967658743</c:v>
                </c:pt>
              </c:numCache>
            </c:numRef>
          </c:val>
          <c:extLst>
            <c:ext xmlns:c16="http://schemas.microsoft.com/office/drawing/2014/chart" uri="{C3380CC4-5D6E-409C-BE32-E72D297353CC}">
              <c16:uniqueId val="{00000003-29AE-46A1-8B8C-B4DF5FE252F2}"/>
            </c:ext>
          </c:extLst>
        </c:ser>
        <c:ser>
          <c:idx val="5"/>
          <c:order val="5"/>
          <c:tx>
            <c:strRef>
              <c:f>'Služby-příspěvkyk růstu-4'!$H$33</c:f>
              <c:strCache>
                <c:ptCount val="1"/>
                <c:pt idx="0">
                  <c:v>Profesní, vědecké a technické činnosti (p. b.)</c:v>
                </c:pt>
              </c:strCache>
            </c:strRef>
          </c:tx>
          <c:spPr>
            <a:solidFill>
              <a:schemeClr val="accent6">
                <a:lumMod val="60000"/>
                <a:lumOff val="40000"/>
              </a:schemeClr>
            </a:solidFill>
            <a:ln>
              <a:noFill/>
            </a:ln>
          </c:spPr>
          <c:invertIfNegative val="0"/>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růstu-4'!$H$46:$H$82</c:f>
              <c:numCache>
                <c:formatCode>0.0</c:formatCode>
                <c:ptCount val="37"/>
                <c:pt idx="0">
                  <c:v>1.0880520996029996</c:v>
                </c:pt>
                <c:pt idx="1">
                  <c:v>0.74361697973999985</c:v>
                </c:pt>
                <c:pt idx="2">
                  <c:v>1.1124163133600007</c:v>
                </c:pt>
                <c:pt idx="3">
                  <c:v>-4.565689538760101E-2</c:v>
                </c:pt>
                <c:pt idx="4">
                  <c:v>-0.42777544952319951</c:v>
                </c:pt>
                <c:pt idx="5">
                  <c:v>-1.3881659651599989</c:v>
                </c:pt>
                <c:pt idx="6">
                  <c:v>3.2450629870800683E-2</c:v>
                </c:pt>
                <c:pt idx="7">
                  <c:v>-0.31316142237530059</c:v>
                </c:pt>
                <c:pt idx="8">
                  <c:v>0.97301367041999931</c:v>
                </c:pt>
                <c:pt idx="9">
                  <c:v>0.61036630698759931</c:v>
                </c:pt>
                <c:pt idx="10">
                  <c:v>0.29822562376110068</c:v>
                </c:pt>
                <c:pt idx="11">
                  <c:v>0.39661775964799895</c:v>
                </c:pt>
                <c:pt idx="12">
                  <c:v>1.0432277278803002</c:v>
                </c:pt>
                <c:pt idx="13">
                  <c:v>0.5277616084097011</c:v>
                </c:pt>
                <c:pt idx="14">
                  <c:v>0.33063617776669868</c:v>
                </c:pt>
                <c:pt idx="15">
                  <c:v>-0.3275368981885991</c:v>
                </c:pt>
                <c:pt idx="16">
                  <c:v>-0.22084952351709861</c:v>
                </c:pt>
                <c:pt idx="17">
                  <c:v>0.93052352491439916</c:v>
                </c:pt>
                <c:pt idx="18">
                  <c:v>-1.1995249704883002</c:v>
                </c:pt>
                <c:pt idx="19">
                  <c:v>0.1316248734900006</c:v>
                </c:pt>
                <c:pt idx="20">
                  <c:v>-1.2601566612770994</c:v>
                </c:pt>
                <c:pt idx="21">
                  <c:v>-3.4366386991859987</c:v>
                </c:pt>
                <c:pt idx="22">
                  <c:v>-1.7291196666688515</c:v>
                </c:pt>
                <c:pt idx="23">
                  <c:v>-1.6772597720676004</c:v>
                </c:pt>
                <c:pt idx="24">
                  <c:v>-1.834895122862068</c:v>
                </c:pt>
                <c:pt idx="25">
                  <c:v>2.6513460826800999</c:v>
                </c:pt>
                <c:pt idx="26">
                  <c:v>1.7501471294470006</c:v>
                </c:pt>
                <c:pt idx="27">
                  <c:v>2.2391889197628854</c:v>
                </c:pt>
                <c:pt idx="28">
                  <c:v>2.2880086403976008</c:v>
                </c:pt>
                <c:pt idx="29">
                  <c:v>1.3870310019777765</c:v>
                </c:pt>
                <c:pt idx="30">
                  <c:v>0.99205605247825979</c:v>
                </c:pt>
                <c:pt idx="31">
                  <c:v>0.14530154378571325</c:v>
                </c:pt>
                <c:pt idx="32">
                  <c:v>0.81602007421679967</c:v>
                </c:pt>
                <c:pt idx="33">
                  <c:v>0.78459906651394551</c:v>
                </c:pt>
                <c:pt idx="34">
                  <c:v>0.13265701351618375</c:v>
                </c:pt>
                <c:pt idx="35">
                  <c:v>0.82931011112074027</c:v>
                </c:pt>
              </c:numCache>
            </c:numRef>
          </c:val>
          <c:extLst>
            <c:ext xmlns:c16="http://schemas.microsoft.com/office/drawing/2014/chart" uri="{C3380CC4-5D6E-409C-BE32-E72D297353CC}">
              <c16:uniqueId val="{00000004-29AE-46A1-8B8C-B4DF5FE252F2}"/>
            </c:ext>
          </c:extLst>
        </c:ser>
        <c:ser>
          <c:idx val="6"/>
          <c:order val="6"/>
          <c:tx>
            <c:strRef>
              <c:f>'Služby-příspěvkyk růstu-4'!$I$33</c:f>
              <c:strCache>
                <c:ptCount val="1"/>
                <c:pt idx="0">
                  <c:v>Administr. a podpůrné čin. (příspěvek v p. b.)</c:v>
                </c:pt>
              </c:strCache>
            </c:strRef>
          </c:tx>
          <c:spPr>
            <a:solidFill>
              <a:schemeClr val="accent1">
                <a:lumMod val="20000"/>
                <a:lumOff val="80000"/>
              </a:schemeClr>
            </a:solidFill>
            <a:ln>
              <a:noFill/>
            </a:ln>
          </c:spPr>
          <c:invertIfNegative val="0"/>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růstu-4'!$I$46:$I$82</c:f>
              <c:numCache>
                <c:formatCode>0.0</c:formatCode>
                <c:ptCount val="37"/>
                <c:pt idx="0">
                  <c:v>0.43712925900860061</c:v>
                </c:pt>
                <c:pt idx="1">
                  <c:v>0.52715289377499985</c:v>
                </c:pt>
                <c:pt idx="2">
                  <c:v>0.30410241097500013</c:v>
                </c:pt>
                <c:pt idx="3">
                  <c:v>0.36652377459450047</c:v>
                </c:pt>
                <c:pt idx="4">
                  <c:v>0.38200556495039989</c:v>
                </c:pt>
                <c:pt idx="5">
                  <c:v>5.5683904032899467E-2</c:v>
                </c:pt>
                <c:pt idx="6">
                  <c:v>0.25322776738810082</c:v>
                </c:pt>
                <c:pt idx="7">
                  <c:v>0.50752865690419957</c:v>
                </c:pt>
                <c:pt idx="8">
                  <c:v>1.2867283782210006</c:v>
                </c:pt>
                <c:pt idx="9">
                  <c:v>1.1106873038032994</c:v>
                </c:pt>
                <c:pt idx="10">
                  <c:v>0.67802933227800077</c:v>
                </c:pt>
                <c:pt idx="11">
                  <c:v>0.27967830350980011</c:v>
                </c:pt>
                <c:pt idx="12">
                  <c:v>0.54732406709499937</c:v>
                </c:pt>
                <c:pt idx="13">
                  <c:v>0.38206091352559962</c:v>
                </c:pt>
                <c:pt idx="14">
                  <c:v>0.39483194314119968</c:v>
                </c:pt>
                <c:pt idx="15">
                  <c:v>-3.3562302980400686E-2</c:v>
                </c:pt>
                <c:pt idx="16">
                  <c:v>-1.2004885543983994</c:v>
                </c:pt>
                <c:pt idx="17">
                  <c:v>0.45312965092039981</c:v>
                </c:pt>
                <c:pt idx="18">
                  <c:v>-0.39654158277710005</c:v>
                </c:pt>
                <c:pt idx="19">
                  <c:v>1.3094816479706997</c:v>
                </c:pt>
                <c:pt idx="20">
                  <c:v>-1.1435941660679998</c:v>
                </c:pt>
                <c:pt idx="21">
                  <c:v>-5.2829127749359994</c:v>
                </c:pt>
                <c:pt idx="22">
                  <c:v>-4.9399258629473684</c:v>
                </c:pt>
                <c:pt idx="23">
                  <c:v>-2.9775292557339998</c:v>
                </c:pt>
                <c:pt idx="24">
                  <c:v>-1.3803871191254993</c:v>
                </c:pt>
                <c:pt idx="25">
                  <c:v>2.251687473777273</c:v>
                </c:pt>
                <c:pt idx="26">
                  <c:v>2.1163559463200001</c:v>
                </c:pt>
                <c:pt idx="27">
                  <c:v>1.4329116973832057</c:v>
                </c:pt>
                <c:pt idx="28">
                  <c:v>1.7129852472567739</c:v>
                </c:pt>
                <c:pt idx="29">
                  <c:v>3.1129785365130851</c:v>
                </c:pt>
                <c:pt idx="30">
                  <c:v>2.2148572488354494</c:v>
                </c:pt>
                <c:pt idx="31">
                  <c:v>0.75746546197560027</c:v>
                </c:pt>
                <c:pt idx="32">
                  <c:v>0.4450247864243998</c:v>
                </c:pt>
                <c:pt idx="33">
                  <c:v>0.170529957678209</c:v>
                </c:pt>
                <c:pt idx="34">
                  <c:v>-0.14267488053800539</c:v>
                </c:pt>
                <c:pt idx="35">
                  <c:v>-4.4558662537113318E-2</c:v>
                </c:pt>
              </c:numCache>
            </c:numRef>
          </c:val>
          <c:extLst>
            <c:ext xmlns:c16="http://schemas.microsoft.com/office/drawing/2014/chart" uri="{C3380CC4-5D6E-409C-BE32-E72D297353CC}">
              <c16:uniqueId val="{00000005-29AE-46A1-8B8C-B4DF5FE252F2}"/>
            </c:ext>
          </c:extLst>
        </c:ser>
        <c:dLbls>
          <c:showLegendKey val="0"/>
          <c:showVal val="0"/>
          <c:showCatName val="0"/>
          <c:showSerName val="0"/>
          <c:showPercent val="0"/>
          <c:showBubbleSize val="0"/>
        </c:dLbls>
        <c:gapWidth val="20"/>
        <c:overlap val="100"/>
        <c:axId val="156100864"/>
        <c:axId val="156573696"/>
      </c:barChart>
      <c:lineChart>
        <c:grouping val="standard"/>
        <c:varyColors val="0"/>
        <c:ser>
          <c:idx val="3"/>
          <c:order val="0"/>
          <c:tx>
            <c:strRef>
              <c:f>'Služby-příspěvkyk růstu-4'!$C$33</c:f>
              <c:strCache>
                <c:ptCount val="1"/>
                <c:pt idx="0">
                  <c:v>Služby celkem (meziroční růst v %)</c:v>
                </c:pt>
              </c:strCache>
            </c:strRef>
          </c:tx>
          <c:spPr>
            <a:ln>
              <a:noFill/>
            </a:ln>
          </c:spPr>
          <c:marker>
            <c:symbol val="dot"/>
            <c:size val="7"/>
            <c:spPr>
              <a:solidFill>
                <a:schemeClr val="tx1">
                  <a:lumMod val="95000"/>
                  <a:lumOff val="5000"/>
                </a:schemeClr>
              </a:solidFill>
              <a:ln>
                <a:noFill/>
              </a:ln>
            </c:spPr>
          </c:marker>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růstu-4'!$C$46:$C$82</c:f>
              <c:numCache>
                <c:formatCode>0.0</c:formatCode>
                <c:ptCount val="37"/>
                <c:pt idx="0">
                  <c:v>3.4824690008999966</c:v>
                </c:pt>
                <c:pt idx="1">
                  <c:v>2.7934385740000067</c:v>
                </c:pt>
                <c:pt idx="2">
                  <c:v>3.3397363911000042</c:v>
                </c:pt>
                <c:pt idx="3">
                  <c:v>2.4240605071999966</c:v>
                </c:pt>
                <c:pt idx="4">
                  <c:v>1.3060861837000033</c:v>
                </c:pt>
                <c:pt idx="5">
                  <c:v>-1.1913006246000037</c:v>
                </c:pt>
                <c:pt idx="6">
                  <c:v>1.5541405019999956</c:v>
                </c:pt>
                <c:pt idx="7">
                  <c:v>1.2878413721000044</c:v>
                </c:pt>
                <c:pt idx="8">
                  <c:v>5.6991785797000034</c:v>
                </c:pt>
                <c:pt idx="9">
                  <c:v>5.5722364333000058</c:v>
                </c:pt>
                <c:pt idx="10">
                  <c:v>3.3112064832999977</c:v>
                </c:pt>
                <c:pt idx="11">
                  <c:v>2.4385054390999983</c:v>
                </c:pt>
                <c:pt idx="12">
                  <c:v>4.8776432854999996</c:v>
                </c:pt>
                <c:pt idx="13">
                  <c:v>3.1428894752999952</c:v>
                </c:pt>
                <c:pt idx="14">
                  <c:v>3.5062767616000059</c:v>
                </c:pt>
                <c:pt idx="15">
                  <c:v>0.9447540274999966</c:v>
                </c:pt>
                <c:pt idx="16">
                  <c:v>-2.0638978244000015</c:v>
                </c:pt>
                <c:pt idx="17">
                  <c:v>2.0119271263999963</c:v>
                </c:pt>
                <c:pt idx="18">
                  <c:v>0.46201626920000649</c:v>
                </c:pt>
                <c:pt idx="19">
                  <c:v>3.6792793010999958</c:v>
                </c:pt>
                <c:pt idx="20">
                  <c:v>-3.7161332750000042</c:v>
                </c:pt>
                <c:pt idx="21">
                  <c:v>-20.482789201800003</c:v>
                </c:pt>
                <c:pt idx="22">
                  <c:v>-13.818107271499997</c:v>
                </c:pt>
                <c:pt idx="23">
                  <c:v>-12.693117899800001</c:v>
                </c:pt>
                <c:pt idx="24">
                  <c:v>-6.3646362811000046</c:v>
                </c:pt>
                <c:pt idx="25">
                  <c:v>14.470981226999996</c:v>
                </c:pt>
                <c:pt idx="26">
                  <c:v>9.8386905822000017</c:v>
                </c:pt>
                <c:pt idx="27">
                  <c:v>12.462541081799998</c:v>
                </c:pt>
                <c:pt idx="28">
                  <c:v>13.600090225800002</c:v>
                </c:pt>
                <c:pt idx="29">
                  <c:v>12.5749843607</c:v>
                </c:pt>
                <c:pt idx="30">
                  <c:v>6.8786234319999977</c:v>
                </c:pt>
                <c:pt idx="31">
                  <c:v>3.1497656532000065</c:v>
                </c:pt>
                <c:pt idx="32">
                  <c:v>1.5892440251000011</c:v>
                </c:pt>
                <c:pt idx="33">
                  <c:v>-1.6569565763000043</c:v>
                </c:pt>
                <c:pt idx="34">
                  <c:v>-3.8373140064000069</c:v>
                </c:pt>
                <c:pt idx="35">
                  <c:v>-2.1957594593999943</c:v>
                </c:pt>
              </c:numCache>
            </c:numRef>
          </c:val>
          <c:smooth val="0"/>
          <c:extLst>
            <c:ext xmlns:c16="http://schemas.microsoft.com/office/drawing/2014/chart" uri="{C3380CC4-5D6E-409C-BE32-E72D297353CC}">
              <c16:uniqueId val="{00000006-29AE-46A1-8B8C-B4DF5FE252F2}"/>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růstu-4'!$J$33</c:f>
              <c:strCache>
                <c:ptCount val="1"/>
                <c:pt idx="0">
                  <c:v>Saldo indikátoru důvěry ve službách</c:v>
                </c:pt>
              </c:strCache>
            </c:strRef>
          </c:tx>
          <c:spPr>
            <a:ln w="3175">
              <a:solidFill>
                <a:schemeClr val="bg1">
                  <a:lumMod val="50000"/>
                </a:schemeClr>
              </a:solidFill>
              <a:prstDash val="sysDash"/>
            </a:ln>
          </c:spPr>
          <c:marker>
            <c:symbol val="diamond"/>
            <c:size val="5"/>
            <c:spPr>
              <a:solidFill>
                <a:srgbClr val="FFFF00"/>
              </a:solidFill>
              <a:ln w="6350">
                <a:solidFill>
                  <a:schemeClr val="tx1">
                    <a:lumMod val="85000"/>
                    <a:lumOff val="15000"/>
                  </a:schemeClr>
                </a:solidFill>
              </a:ln>
            </c:spPr>
          </c:marker>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růstu-4'!$J$46:$J$82</c:f>
              <c:numCache>
                <c:formatCode>#\ ##0.0</c:formatCode>
                <c:ptCount val="37"/>
                <c:pt idx="0">
                  <c:v>29.7</c:v>
                </c:pt>
                <c:pt idx="1">
                  <c:v>28.7</c:v>
                </c:pt>
                <c:pt idx="2">
                  <c:v>31.3</c:v>
                </c:pt>
                <c:pt idx="3">
                  <c:v>32.700000000000003</c:v>
                </c:pt>
                <c:pt idx="4">
                  <c:v>32.299999999999997</c:v>
                </c:pt>
                <c:pt idx="5">
                  <c:v>33</c:v>
                </c:pt>
                <c:pt idx="6">
                  <c:v>33</c:v>
                </c:pt>
                <c:pt idx="7">
                  <c:v>37.700000000000003</c:v>
                </c:pt>
                <c:pt idx="8">
                  <c:v>35.299999999999997</c:v>
                </c:pt>
                <c:pt idx="9">
                  <c:v>37.700000000000003</c:v>
                </c:pt>
                <c:pt idx="10">
                  <c:v>37.299999999999997</c:v>
                </c:pt>
                <c:pt idx="11">
                  <c:v>35.700000000000003</c:v>
                </c:pt>
                <c:pt idx="12">
                  <c:v>38.299999999999997</c:v>
                </c:pt>
                <c:pt idx="13">
                  <c:v>37</c:v>
                </c:pt>
                <c:pt idx="14">
                  <c:v>38.299999999999997</c:v>
                </c:pt>
                <c:pt idx="15">
                  <c:v>40.700000000000003</c:v>
                </c:pt>
                <c:pt idx="16">
                  <c:v>39.299999999999997</c:v>
                </c:pt>
                <c:pt idx="17">
                  <c:v>33.700000000000003</c:v>
                </c:pt>
                <c:pt idx="18">
                  <c:v>35</c:v>
                </c:pt>
                <c:pt idx="19">
                  <c:v>32.700000000000003</c:v>
                </c:pt>
                <c:pt idx="20">
                  <c:v>29</c:v>
                </c:pt>
                <c:pt idx="21">
                  <c:v>-13.3</c:v>
                </c:pt>
                <c:pt idx="22">
                  <c:v>1</c:v>
                </c:pt>
                <c:pt idx="23">
                  <c:v>-5</c:v>
                </c:pt>
                <c:pt idx="24">
                  <c:v>8</c:v>
                </c:pt>
                <c:pt idx="25">
                  <c:v>22.3</c:v>
                </c:pt>
                <c:pt idx="26">
                  <c:v>24.3</c:v>
                </c:pt>
                <c:pt idx="27">
                  <c:v>27</c:v>
                </c:pt>
                <c:pt idx="28">
                  <c:v>31</c:v>
                </c:pt>
                <c:pt idx="29">
                  <c:v>40</c:v>
                </c:pt>
                <c:pt idx="30">
                  <c:v>27.7</c:v>
                </c:pt>
                <c:pt idx="31">
                  <c:v>21.3</c:v>
                </c:pt>
                <c:pt idx="32">
                  <c:v>24</c:v>
                </c:pt>
                <c:pt idx="33" formatCode="0.0">
                  <c:v>28</c:v>
                </c:pt>
                <c:pt idx="34" formatCode="0.0">
                  <c:v>25.7</c:v>
                </c:pt>
                <c:pt idx="35" formatCode="0.0">
                  <c:v>22.7</c:v>
                </c:pt>
                <c:pt idx="36" formatCode="0.0">
                  <c:v>21.3</c:v>
                </c:pt>
              </c:numCache>
            </c:numRef>
          </c:val>
          <c:smooth val="0"/>
          <c:extLst>
            <c:ext xmlns:c16="http://schemas.microsoft.com/office/drawing/2014/chart" uri="{C3380CC4-5D6E-409C-BE32-E72D297353CC}">
              <c16:uniqueId val="{00000007-29AE-46A1-8B8C-B4DF5FE252F2}"/>
            </c:ext>
          </c:extLst>
        </c:ser>
        <c:ser>
          <c:idx val="8"/>
          <c:order val="8"/>
          <c:tx>
            <c:strRef>
              <c:f>'Služby-příspěvkyk růstu-4'!$K$33</c:f>
              <c:strCache>
                <c:ptCount val="1"/>
                <c:pt idx="0">
                  <c:v>Bariéra růstu: nedostatečná poptávka</c:v>
                </c:pt>
              </c:strCache>
            </c:strRef>
          </c:tx>
          <c:spPr>
            <a:ln w="15875">
              <a:solidFill>
                <a:srgbClr val="CA945E"/>
              </a:solidFill>
              <a:prstDash val="solid"/>
            </a:ln>
          </c:spPr>
          <c:marker>
            <c:symbol val="none"/>
          </c:marker>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růstu-4'!$K$46:$K$82</c:f>
              <c:numCache>
                <c:formatCode>#\ ##0.0</c:formatCode>
                <c:ptCount val="37"/>
                <c:pt idx="0">
                  <c:v>26</c:v>
                </c:pt>
                <c:pt idx="1">
                  <c:v>29.3</c:v>
                </c:pt>
                <c:pt idx="2">
                  <c:v>26.1</c:v>
                </c:pt>
                <c:pt idx="3">
                  <c:v>24.7</c:v>
                </c:pt>
                <c:pt idx="4">
                  <c:v>23.3</c:v>
                </c:pt>
                <c:pt idx="5">
                  <c:v>25.1</c:v>
                </c:pt>
                <c:pt idx="6">
                  <c:v>20.2</c:v>
                </c:pt>
                <c:pt idx="7">
                  <c:v>24.4</c:v>
                </c:pt>
                <c:pt idx="8">
                  <c:v>25.8</c:v>
                </c:pt>
                <c:pt idx="9">
                  <c:v>20.5</c:v>
                </c:pt>
                <c:pt idx="10">
                  <c:v>18.399999999999999</c:v>
                </c:pt>
                <c:pt idx="11">
                  <c:v>21.6</c:v>
                </c:pt>
                <c:pt idx="12">
                  <c:v>16.899999999999999</c:v>
                </c:pt>
                <c:pt idx="13">
                  <c:v>19.399999999999999</c:v>
                </c:pt>
                <c:pt idx="14">
                  <c:v>17.899999999999999</c:v>
                </c:pt>
                <c:pt idx="15">
                  <c:v>20.7</c:v>
                </c:pt>
                <c:pt idx="16">
                  <c:v>20.6</c:v>
                </c:pt>
                <c:pt idx="17">
                  <c:v>16.899999999999999</c:v>
                </c:pt>
                <c:pt idx="18">
                  <c:v>20.5</c:v>
                </c:pt>
                <c:pt idx="19">
                  <c:v>14.4</c:v>
                </c:pt>
                <c:pt idx="20">
                  <c:v>21.3</c:v>
                </c:pt>
                <c:pt idx="21">
                  <c:v>30.2</c:v>
                </c:pt>
                <c:pt idx="22">
                  <c:v>30.4</c:v>
                </c:pt>
                <c:pt idx="23">
                  <c:v>39.200000000000003</c:v>
                </c:pt>
                <c:pt idx="24">
                  <c:v>34.799999999999997</c:v>
                </c:pt>
                <c:pt idx="25">
                  <c:v>36.799999999999997</c:v>
                </c:pt>
                <c:pt idx="26">
                  <c:v>28.9</c:v>
                </c:pt>
                <c:pt idx="27">
                  <c:v>26.3</c:v>
                </c:pt>
                <c:pt idx="28">
                  <c:v>31.6</c:v>
                </c:pt>
                <c:pt idx="29">
                  <c:v>15</c:v>
                </c:pt>
                <c:pt idx="30">
                  <c:v>30.2</c:v>
                </c:pt>
                <c:pt idx="31">
                  <c:v>17.600000000000001</c:v>
                </c:pt>
                <c:pt idx="32">
                  <c:v>25.4</c:v>
                </c:pt>
                <c:pt idx="33">
                  <c:v>19.100000000000001</c:v>
                </c:pt>
                <c:pt idx="34">
                  <c:v>26</c:v>
                </c:pt>
                <c:pt idx="35">
                  <c:v>23</c:v>
                </c:pt>
                <c:pt idx="36">
                  <c:v>18.5</c:v>
                </c:pt>
              </c:numCache>
            </c:numRef>
          </c:val>
          <c:smooth val="0"/>
          <c:extLst>
            <c:ext xmlns:c16="http://schemas.microsoft.com/office/drawing/2014/chart" uri="{C3380CC4-5D6E-409C-BE32-E72D297353CC}">
              <c16:uniqueId val="{00000008-29AE-46A1-8B8C-B4DF5FE252F2}"/>
            </c:ext>
          </c:extLst>
        </c:ser>
        <c:ser>
          <c:idx val="9"/>
          <c:order val="9"/>
          <c:tx>
            <c:strRef>
              <c:f>'Služby-příspěvkyk růstu-4'!$L$33</c:f>
              <c:strCache>
                <c:ptCount val="1"/>
                <c:pt idx="0">
                  <c:v>Bariéra růstu: nedostatek pracovníků</c:v>
                </c:pt>
              </c:strCache>
            </c:strRef>
          </c:tx>
          <c:spPr>
            <a:ln w="15875">
              <a:solidFill>
                <a:srgbClr val="CA945E"/>
              </a:solidFill>
              <a:prstDash val="sysDash"/>
            </a:ln>
          </c:spPr>
          <c:marker>
            <c:symbol val="none"/>
          </c:marker>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růstu-4'!$L$46:$L$82</c:f>
              <c:numCache>
                <c:formatCode>#\ ##0.0</c:formatCode>
                <c:ptCount val="37"/>
                <c:pt idx="0">
                  <c:v>1.3</c:v>
                </c:pt>
                <c:pt idx="1">
                  <c:v>6</c:v>
                </c:pt>
                <c:pt idx="2">
                  <c:v>7.2</c:v>
                </c:pt>
                <c:pt idx="3">
                  <c:v>5.6</c:v>
                </c:pt>
                <c:pt idx="4">
                  <c:v>7.5</c:v>
                </c:pt>
                <c:pt idx="5">
                  <c:v>4.5</c:v>
                </c:pt>
                <c:pt idx="6">
                  <c:v>7.9</c:v>
                </c:pt>
                <c:pt idx="7">
                  <c:v>9.5</c:v>
                </c:pt>
                <c:pt idx="8">
                  <c:v>9.4</c:v>
                </c:pt>
                <c:pt idx="9">
                  <c:v>9.6999999999999993</c:v>
                </c:pt>
                <c:pt idx="10">
                  <c:v>9.8000000000000007</c:v>
                </c:pt>
                <c:pt idx="11">
                  <c:v>12.8</c:v>
                </c:pt>
                <c:pt idx="12">
                  <c:v>13.9</c:v>
                </c:pt>
                <c:pt idx="13">
                  <c:v>16.3</c:v>
                </c:pt>
                <c:pt idx="14">
                  <c:v>17.5</c:v>
                </c:pt>
                <c:pt idx="15">
                  <c:v>18.899999999999999</c:v>
                </c:pt>
                <c:pt idx="16">
                  <c:v>19.3</c:v>
                </c:pt>
                <c:pt idx="17">
                  <c:v>15</c:v>
                </c:pt>
                <c:pt idx="18">
                  <c:v>21.5</c:v>
                </c:pt>
                <c:pt idx="19">
                  <c:v>19.8</c:v>
                </c:pt>
                <c:pt idx="20">
                  <c:v>19.5</c:v>
                </c:pt>
                <c:pt idx="21">
                  <c:v>10</c:v>
                </c:pt>
                <c:pt idx="22">
                  <c:v>10</c:v>
                </c:pt>
                <c:pt idx="23">
                  <c:v>12.6</c:v>
                </c:pt>
                <c:pt idx="24">
                  <c:v>12.7</c:v>
                </c:pt>
                <c:pt idx="25">
                  <c:v>8.5</c:v>
                </c:pt>
                <c:pt idx="26">
                  <c:v>17.399999999999999</c:v>
                </c:pt>
                <c:pt idx="27">
                  <c:v>20.6</c:v>
                </c:pt>
                <c:pt idx="28">
                  <c:v>20.2</c:v>
                </c:pt>
                <c:pt idx="29">
                  <c:v>10.9</c:v>
                </c:pt>
                <c:pt idx="30">
                  <c:v>17.899999999999999</c:v>
                </c:pt>
                <c:pt idx="31">
                  <c:v>6.6</c:v>
                </c:pt>
                <c:pt idx="32">
                  <c:v>9.3000000000000007</c:v>
                </c:pt>
                <c:pt idx="33">
                  <c:v>9.6999999999999993</c:v>
                </c:pt>
                <c:pt idx="34">
                  <c:v>9.1999999999999993</c:v>
                </c:pt>
                <c:pt idx="35">
                  <c:v>12.3</c:v>
                </c:pt>
                <c:pt idx="36">
                  <c:v>8.3000000000000007</c:v>
                </c:pt>
              </c:numCache>
            </c:numRef>
          </c:val>
          <c:smooth val="0"/>
          <c:extLst>
            <c:ext xmlns:c16="http://schemas.microsoft.com/office/drawing/2014/chart" uri="{C3380CC4-5D6E-409C-BE32-E72D297353CC}">
              <c16:uniqueId val="{00000009-29AE-46A1-8B8C-B4DF5FE252F2}"/>
            </c:ext>
          </c:extLst>
        </c:ser>
        <c:ser>
          <c:idx val="10"/>
          <c:order val="10"/>
          <c:tx>
            <c:strRef>
              <c:f>'Služby-příspěvkyk růstu-4'!$M$33</c:f>
              <c:strCache>
                <c:ptCount val="1"/>
                <c:pt idx="0">
                  <c:v>Tržby celkem (báze 2021=100, stálé ceny)</c:v>
                </c:pt>
              </c:strCache>
            </c:strRef>
          </c:tx>
          <c:spPr>
            <a:ln w="15875">
              <a:solidFill>
                <a:schemeClr val="tx1"/>
              </a:solidFill>
            </a:ln>
          </c:spPr>
          <c:marker>
            <c:symbol val="none"/>
          </c:marker>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růstu-4'!$M$46:$M$82</c:f>
              <c:numCache>
                <c:formatCode>0.0</c:formatCode>
                <c:ptCount val="37"/>
                <c:pt idx="0">
                  <c:v>96.573148776699995</c:v>
                </c:pt>
                <c:pt idx="1">
                  <c:v>97.567742240000001</c:v>
                </c:pt>
                <c:pt idx="2">
                  <c:v>97.872994153299999</c:v>
                </c:pt>
                <c:pt idx="3">
                  <c:v>98.145121336700001</c:v>
                </c:pt>
                <c:pt idx="4">
                  <c:v>97.141074036700005</c:v>
                </c:pt>
                <c:pt idx="5">
                  <c:v>97.220842383299996</c:v>
                </c:pt>
                <c:pt idx="6">
                  <c:v>99.043083436700002</c:v>
                </c:pt>
                <c:pt idx="7">
                  <c:v>100.26520352</c:v>
                </c:pt>
                <c:pt idx="8">
                  <c:v>101.4620500267</c:v>
                </c:pt>
                <c:pt idx="9">
                  <c:v>102.45930216329999</c:v>
                </c:pt>
                <c:pt idx="10">
                  <c:v>102.1784036567</c:v>
                </c:pt>
                <c:pt idx="11">
                  <c:v>103.2635152233</c:v>
                </c:pt>
                <c:pt idx="12">
                  <c:v>106.70430386</c:v>
                </c:pt>
                <c:pt idx="13">
                  <c:v>105.25291280330001</c:v>
                </c:pt>
                <c:pt idx="14">
                  <c:v>105.36498890670001</c:v>
                </c:pt>
                <c:pt idx="15">
                  <c:v>103.79346463</c:v>
                </c:pt>
                <c:pt idx="16">
                  <c:v>104.82319352330001</c:v>
                </c:pt>
                <c:pt idx="17">
                  <c:v>107.08876361</c:v>
                </c:pt>
                <c:pt idx="18">
                  <c:v>106.1526654733</c:v>
                </c:pt>
                <c:pt idx="19">
                  <c:v>106.10865794670001</c:v>
                </c:pt>
                <c:pt idx="20">
                  <c:v>100.92295789329999</c:v>
                </c:pt>
                <c:pt idx="21">
                  <c:v>86.568180609999999</c:v>
                </c:pt>
                <c:pt idx="22">
                  <c:v>93.956559496699995</c:v>
                </c:pt>
                <c:pt idx="23">
                  <c:v>92.2317662767</c:v>
                </c:pt>
                <c:pt idx="24">
                  <c:v>93.022755186699996</c:v>
                </c:pt>
                <c:pt idx="25">
                  <c:v>97.951322020000006</c:v>
                </c:pt>
                <c:pt idx="26">
                  <c:v>102.3309606</c:v>
                </c:pt>
                <c:pt idx="27">
                  <c:v>104.3769040033</c:v>
                </c:pt>
                <c:pt idx="28">
                  <c:v>106.5382294633</c:v>
                </c:pt>
                <c:pt idx="29">
                  <c:v>108.99648315669999</c:v>
                </c:pt>
                <c:pt idx="30">
                  <c:v>109.3950518267</c:v>
                </c:pt>
                <c:pt idx="31">
                  <c:v>108.6642720767</c:v>
                </c:pt>
                <c:pt idx="32">
                  <c:v>108.3580972467</c:v>
                </c:pt>
                <c:pt idx="33">
                  <c:v>106.7674619233</c:v>
                </c:pt>
                <c:pt idx="34">
                  <c:v>105.64376545</c:v>
                </c:pt>
                <c:pt idx="35" formatCode="General">
                  <c:v>106.0791962</c:v>
                </c:pt>
              </c:numCache>
            </c:numRef>
          </c:val>
          <c:smooth val="0"/>
          <c:extLst>
            <c:ext xmlns:c16="http://schemas.microsoft.com/office/drawing/2014/chart" uri="{C3380CC4-5D6E-409C-BE32-E72D297353CC}">
              <c16:uniqueId val="{0000000A-29AE-46A1-8B8C-B4DF5FE252F2}"/>
            </c:ext>
          </c:extLst>
        </c:ser>
        <c:ser>
          <c:idx val="11"/>
          <c:order val="11"/>
          <c:tx>
            <c:strRef>
              <c:f>'Služby-příspěvkyk růstu-4'!$N$33</c:f>
              <c:strCache>
                <c:ptCount val="1"/>
                <c:pt idx="0">
                  <c:v>Tržby celkem (báze 2021=100, běžné ceny)</c:v>
                </c:pt>
              </c:strCache>
            </c:strRef>
          </c:tx>
          <c:spPr>
            <a:ln w="15875">
              <a:solidFill>
                <a:schemeClr val="bg2">
                  <a:lumMod val="25000"/>
                </a:schemeClr>
              </a:solidFill>
              <a:prstDash val="sysDash"/>
            </a:ln>
          </c:spPr>
          <c:marker>
            <c:symbol val="none"/>
          </c:marker>
          <c:cat>
            <c:multiLvlStrRef>
              <c:f>'Služby-příspěvkyk růstu-4'!$A$46:$B$82</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růstu-4'!$N$46:$N$82</c:f>
              <c:numCache>
                <c:formatCode>0.0</c:formatCode>
                <c:ptCount val="37"/>
                <c:pt idx="0">
                  <c:v>87.052195600000005</c:v>
                </c:pt>
                <c:pt idx="1">
                  <c:v>87.976303153299995</c:v>
                </c:pt>
                <c:pt idx="2">
                  <c:v>88.373010003299996</c:v>
                </c:pt>
                <c:pt idx="3">
                  <c:v>88.620892873299994</c:v>
                </c:pt>
                <c:pt idx="4">
                  <c:v>87.738386106700005</c:v>
                </c:pt>
                <c:pt idx="5">
                  <c:v>88.030049489999996</c:v>
                </c:pt>
                <c:pt idx="6">
                  <c:v>89.823697393299994</c:v>
                </c:pt>
                <c:pt idx="7">
                  <c:v>91.207866260000003</c:v>
                </c:pt>
                <c:pt idx="8">
                  <c:v>92.834550640000003</c:v>
                </c:pt>
                <c:pt idx="9">
                  <c:v>94.103815076700002</c:v>
                </c:pt>
                <c:pt idx="10">
                  <c:v>94.369418403300003</c:v>
                </c:pt>
                <c:pt idx="11">
                  <c:v>95.836186386700007</c:v>
                </c:pt>
                <c:pt idx="12">
                  <c:v>99.311500843299996</c:v>
                </c:pt>
                <c:pt idx="13">
                  <c:v>98.708597956700004</c:v>
                </c:pt>
                <c:pt idx="14">
                  <c:v>99.642436860000004</c:v>
                </c:pt>
                <c:pt idx="15">
                  <c:v>98.769212440000004</c:v>
                </c:pt>
                <c:pt idx="16">
                  <c:v>99.79161551</c:v>
                </c:pt>
                <c:pt idx="17">
                  <c:v>103.22613569329999</c:v>
                </c:pt>
                <c:pt idx="18">
                  <c:v>102.99220393</c:v>
                </c:pt>
                <c:pt idx="19">
                  <c:v>103.49625471</c:v>
                </c:pt>
                <c:pt idx="20">
                  <c:v>98.534612966699996</c:v>
                </c:pt>
                <c:pt idx="21">
                  <c:v>84.950969126700002</c:v>
                </c:pt>
                <c:pt idx="22">
                  <c:v>92.709010469999996</c:v>
                </c:pt>
                <c:pt idx="23">
                  <c:v>91.428986266699994</c:v>
                </c:pt>
                <c:pt idx="24">
                  <c:v>92.2143263233</c:v>
                </c:pt>
                <c:pt idx="25">
                  <c:v>97.246572043300006</c:v>
                </c:pt>
                <c:pt idx="26">
                  <c:v>102.39087888669999</c:v>
                </c:pt>
                <c:pt idx="27">
                  <c:v>105.9113077367</c:v>
                </c:pt>
                <c:pt idx="28">
                  <c:v>110.0352873433</c:v>
                </c:pt>
                <c:pt idx="29">
                  <c:v>115.0977962467</c:v>
                </c:pt>
                <c:pt idx="30">
                  <c:v>118.00030553329999</c:v>
                </c:pt>
                <c:pt idx="31">
                  <c:v>119.25167525000001</c:v>
                </c:pt>
                <c:pt idx="32">
                  <c:v>121.13230271330001</c:v>
                </c:pt>
                <c:pt idx="33">
                  <c:v>121.2918866533</c:v>
                </c:pt>
                <c:pt idx="34">
                  <c:v>121.4791639</c:v>
                </c:pt>
                <c:pt idx="35" formatCode="General">
                  <c:v>123.4654708467</c:v>
                </c:pt>
              </c:numCache>
            </c:numRef>
          </c:val>
          <c:smooth val="0"/>
          <c:extLst>
            <c:ext xmlns:c16="http://schemas.microsoft.com/office/drawing/2014/chart" uri="{C3380CC4-5D6E-409C-BE32-E72D297353CC}">
              <c16:uniqueId val="{0000000B-29AE-46A1-8B8C-B4DF5FE252F2}"/>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5"/>
          <c:min val="-30"/>
        </c:scaling>
        <c:delete val="0"/>
        <c:axPos val="l"/>
        <c:majorGridlines>
          <c:spPr>
            <a:ln w="6350">
              <a:solidFill>
                <a:schemeClr val="bg1">
                  <a:lumMod val="75000"/>
                </a:schemeClr>
              </a:solidFill>
            </a:ln>
          </c:spPr>
        </c:majorGridlines>
        <c:title>
          <c:tx>
            <c:rich>
              <a:bodyPr/>
              <a:lstStyle/>
              <a:p>
                <a:pPr>
                  <a:defRPr sz="700" b="0" i="1"/>
                </a:pPr>
                <a:r>
                  <a:rPr lang="cs-CZ" sz="700" b="0" i="1"/>
                  <a:t>Tržby (příspěvky k</a:t>
                </a:r>
                <a:r>
                  <a:rPr lang="cs-CZ" sz="700" b="0" i="1" baseline="0"/>
                  <a:t> meziroční změně)</a:t>
                </a:r>
                <a:endParaRPr lang="cs-CZ" sz="700" b="0" i="1"/>
              </a:p>
            </c:rich>
          </c:tx>
          <c:layout>
            <c:manualLayout>
              <c:xMode val="edge"/>
              <c:yMode val="edge"/>
              <c:x val="0"/>
              <c:y val="0.1364926551121953"/>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5"/>
      </c:valAx>
      <c:valAx>
        <c:axId val="156575232"/>
        <c:scaling>
          <c:orientation val="minMax"/>
          <c:max val="150"/>
          <c:min val="-3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cs-CZ" sz="700" b="0" i="1" baseline="0">
                    <a:effectLst/>
                  </a:rPr>
                  <a:t>Tržby (báze 2015=100)</a:t>
                </a:r>
                <a:r>
                  <a:rPr lang="cs-CZ" sz="700" b="0" i="1"/>
                  <a:t>, Saldo důvěry, bariéry růstu</a:t>
                </a:r>
              </a:p>
            </c:rich>
          </c:tx>
          <c:layout>
            <c:manualLayout>
              <c:xMode val="edge"/>
              <c:yMode val="edge"/>
              <c:x val="0.97059962406015032"/>
              <c:y val="7.2968499427262329E-2"/>
            </c:manualLayout>
          </c:layout>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2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lumMod val="75000"/>
              <a:lumOff val="25000"/>
            </a:schemeClr>
          </a:solidFill>
        </a:ln>
      </c:spPr>
    </c:plotArea>
    <c:legend>
      <c:legendPos val="r"/>
      <c:layout>
        <c:manualLayout>
          <c:xMode val="edge"/>
          <c:yMode val="edge"/>
          <c:x val="2.7894149438737266E-3"/>
          <c:y val="0.80683901693256121"/>
          <c:w val="0.99229354112783008"/>
          <c:h val="0.18952404020147029"/>
        </c:manualLayout>
      </c:layout>
      <c:overlay val="0"/>
      <c:spPr>
        <a:ln w="6350">
          <a:solidFill>
            <a:schemeClr val="tx1"/>
          </a:solidFill>
        </a:ln>
      </c:spPr>
      <c:txPr>
        <a:bodyPr/>
        <a:lstStyle/>
        <a:p>
          <a:pPr>
            <a:defRPr sz="72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461666861125732E-2"/>
          <c:y val="1.5803328678987455E-2"/>
          <c:w val="0.85082109029523101"/>
          <c:h val="0.73450542783153383"/>
        </c:manualLayout>
      </c:layout>
      <c:barChart>
        <c:barDir val="col"/>
        <c:grouping val="stacked"/>
        <c:varyColors val="0"/>
        <c:ser>
          <c:idx val="0"/>
          <c:order val="1"/>
          <c:tx>
            <c:strRef>
              <c:f>'výkonnost odvětví 5a'!$E$66</c:f>
              <c:strCache>
                <c:ptCount val="1"/>
                <c:pt idx="0">
                  <c:v>Maloobchod s potravinami (příspěvek)</c:v>
                </c:pt>
              </c:strCache>
            </c:strRef>
          </c:tx>
          <c:spPr>
            <a:solidFill>
              <a:srgbClr val="92D050"/>
            </a:solidFill>
            <a:ln w="15875">
              <a:noFill/>
            </a:ln>
          </c:spPr>
          <c:invertIfNegative val="0"/>
          <c:cat>
            <c:multiLvlStrRef>
              <c:f>'výkonnost odvětví 5a'!$B$67:$C$103</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5a'!$E$67:$E$103</c:f>
              <c:numCache>
                <c:formatCode>#\ ##0.0</c:formatCode>
                <c:ptCount val="37"/>
                <c:pt idx="0">
                  <c:v>1.7523817972228575</c:v>
                </c:pt>
                <c:pt idx="1">
                  <c:v>1.1495538604575486</c:v>
                </c:pt>
                <c:pt idx="2">
                  <c:v>1.851654245012579</c:v>
                </c:pt>
                <c:pt idx="3">
                  <c:v>1.4230053336458297</c:v>
                </c:pt>
                <c:pt idx="4">
                  <c:v>1.7335386338403211</c:v>
                </c:pt>
                <c:pt idx="5">
                  <c:v>1.4057978539692639</c:v>
                </c:pt>
                <c:pt idx="6">
                  <c:v>1.0226992305466713</c:v>
                </c:pt>
                <c:pt idx="7">
                  <c:v>-4.5727948098357493E-2</c:v>
                </c:pt>
                <c:pt idx="8">
                  <c:v>0.76530947894932633</c:v>
                </c:pt>
                <c:pt idx="9">
                  <c:v>1.3628557482991555</c:v>
                </c:pt>
                <c:pt idx="10">
                  <c:v>1.1031113273196382</c:v>
                </c:pt>
                <c:pt idx="11">
                  <c:v>0.92620191285996878</c:v>
                </c:pt>
                <c:pt idx="12">
                  <c:v>1.4716867951941146</c:v>
                </c:pt>
                <c:pt idx="13">
                  <c:v>0.53065594307662001</c:v>
                </c:pt>
                <c:pt idx="14">
                  <c:v>0.93178458575098189</c:v>
                </c:pt>
                <c:pt idx="15">
                  <c:v>0.38805043936963324</c:v>
                </c:pt>
                <c:pt idx="16">
                  <c:v>-0.29388750825225862</c:v>
                </c:pt>
                <c:pt idx="17">
                  <c:v>1.4252855332899248</c:v>
                </c:pt>
                <c:pt idx="18">
                  <c:v>0.13007735319413302</c:v>
                </c:pt>
                <c:pt idx="19">
                  <c:v>1.4154025710079869</c:v>
                </c:pt>
                <c:pt idx="20">
                  <c:v>0.68707923703683382</c:v>
                </c:pt>
                <c:pt idx="21">
                  <c:v>-1.8614966729136802</c:v>
                </c:pt>
                <c:pt idx="22">
                  <c:v>-0.64766112448952962</c:v>
                </c:pt>
                <c:pt idx="23">
                  <c:v>-0.28286695735560252</c:v>
                </c:pt>
                <c:pt idx="24">
                  <c:v>-0.60916134074836392</c:v>
                </c:pt>
                <c:pt idx="25">
                  <c:v>0.50128382451928355</c:v>
                </c:pt>
                <c:pt idx="26">
                  <c:v>-0.28821299682807039</c:v>
                </c:pt>
                <c:pt idx="27">
                  <c:v>1.7697621877811544E-3</c:v>
                </c:pt>
                <c:pt idx="28">
                  <c:v>-5.4187158541836714E-2</c:v>
                </c:pt>
                <c:pt idx="29">
                  <c:v>-1.1158473337373773</c:v>
                </c:pt>
                <c:pt idx="30">
                  <c:v>-2.2854641976144956</c:v>
                </c:pt>
                <c:pt idx="31">
                  <c:v>-3.2475751746395907</c:v>
                </c:pt>
                <c:pt idx="32">
                  <c:v>-3.1063169253902356</c:v>
                </c:pt>
                <c:pt idx="33">
                  <c:v>-2.8514177710009005</c:v>
                </c:pt>
                <c:pt idx="34">
                  <c:v>-1.6966817042429552</c:v>
                </c:pt>
                <c:pt idx="35">
                  <c:v>-0.73112177657293909</c:v>
                </c:pt>
              </c:numCache>
            </c:numRef>
          </c:val>
          <c:extLst>
            <c:ext xmlns:c16="http://schemas.microsoft.com/office/drawing/2014/chart" uri="{C3380CC4-5D6E-409C-BE32-E72D297353CC}">
              <c16:uniqueId val="{00000000-948E-432F-8A8C-5D15563EA9F2}"/>
            </c:ext>
          </c:extLst>
        </c:ser>
        <c:ser>
          <c:idx val="1"/>
          <c:order val="2"/>
          <c:tx>
            <c:strRef>
              <c:f>'výkonnost odvětví 5a'!$F$66</c:f>
              <c:strCache>
                <c:ptCount val="1"/>
                <c:pt idx="0">
                  <c:v>Mal. s nepotravinářským zbož. (příspěvek)</c:v>
                </c:pt>
              </c:strCache>
            </c:strRef>
          </c:tx>
          <c:spPr>
            <a:solidFill>
              <a:schemeClr val="accent1">
                <a:lumMod val="40000"/>
                <a:lumOff val="60000"/>
              </a:schemeClr>
            </a:solidFill>
            <a:ln w="15875">
              <a:noFill/>
            </a:ln>
          </c:spPr>
          <c:invertIfNegative val="0"/>
          <c:cat>
            <c:multiLvlStrRef>
              <c:f>'výkonnost odvětví 5a'!$B$67:$C$103</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5a'!$F$67:$F$103</c:f>
              <c:numCache>
                <c:formatCode>#\ ##0.0</c:formatCode>
                <c:ptCount val="37"/>
                <c:pt idx="0">
                  <c:v>3.196375922725744</c:v>
                </c:pt>
                <c:pt idx="1">
                  <c:v>3.8741896087490026</c:v>
                </c:pt>
                <c:pt idx="2">
                  <c:v>2.6728850705219784</c:v>
                </c:pt>
                <c:pt idx="3">
                  <c:v>3.6626826182851304</c:v>
                </c:pt>
                <c:pt idx="4">
                  <c:v>2.7862532923580798</c:v>
                </c:pt>
                <c:pt idx="5">
                  <c:v>2.5540667218407971</c:v>
                </c:pt>
                <c:pt idx="6">
                  <c:v>3.2508787600372759</c:v>
                </c:pt>
                <c:pt idx="7">
                  <c:v>3.4435667776451586</c:v>
                </c:pt>
                <c:pt idx="8">
                  <c:v>4.1783561564843161</c:v>
                </c:pt>
                <c:pt idx="9">
                  <c:v>4.4153226755500015</c:v>
                </c:pt>
                <c:pt idx="10">
                  <c:v>4.0607561596078439</c:v>
                </c:pt>
                <c:pt idx="11">
                  <c:v>4.5695527698288956</c:v>
                </c:pt>
                <c:pt idx="12">
                  <c:v>3.963036260303999</c:v>
                </c:pt>
                <c:pt idx="13">
                  <c:v>3.3542121185564358</c:v>
                </c:pt>
                <c:pt idx="14">
                  <c:v>2.577047135089233</c:v>
                </c:pt>
                <c:pt idx="15">
                  <c:v>3.7162196737466258</c:v>
                </c:pt>
                <c:pt idx="16">
                  <c:v>1.303288764236783</c:v>
                </c:pt>
                <c:pt idx="17">
                  <c:v>2.4531469805048736</c:v>
                </c:pt>
                <c:pt idx="18">
                  <c:v>4.2934983663490245</c:v>
                </c:pt>
                <c:pt idx="19">
                  <c:v>5.6709230985066315</c:v>
                </c:pt>
                <c:pt idx="20">
                  <c:v>-5.7511622856734265E-2</c:v>
                </c:pt>
                <c:pt idx="21">
                  <c:v>-0.33300612932107432</c:v>
                </c:pt>
                <c:pt idx="22">
                  <c:v>1.4198268570219985</c:v>
                </c:pt>
                <c:pt idx="23">
                  <c:v>-1.8469460892868841</c:v>
                </c:pt>
                <c:pt idx="24">
                  <c:v>0.21069868606508507</c:v>
                </c:pt>
                <c:pt idx="25">
                  <c:v>5.5818689703959059</c:v>
                </c:pt>
                <c:pt idx="26">
                  <c:v>3.6253978606922885</c:v>
                </c:pt>
                <c:pt idx="27">
                  <c:v>5.6718200386565263</c:v>
                </c:pt>
                <c:pt idx="28">
                  <c:v>5.9939161764103117</c:v>
                </c:pt>
                <c:pt idx="29">
                  <c:v>-0.95141051379742669</c:v>
                </c:pt>
                <c:pt idx="30">
                  <c:v>-3.941314921560565</c:v>
                </c:pt>
                <c:pt idx="31">
                  <c:v>-5.6408124918498608</c:v>
                </c:pt>
                <c:pt idx="32">
                  <c:v>-4.7801710791363758</c:v>
                </c:pt>
                <c:pt idx="33">
                  <c:v>-4.4944647990436248</c:v>
                </c:pt>
                <c:pt idx="34">
                  <c:v>-2.459911947479327</c:v>
                </c:pt>
                <c:pt idx="35">
                  <c:v>0.45367107877130941</c:v>
                </c:pt>
              </c:numCache>
            </c:numRef>
          </c:val>
          <c:extLst>
            <c:ext xmlns:c16="http://schemas.microsoft.com/office/drawing/2014/chart" uri="{C3380CC4-5D6E-409C-BE32-E72D297353CC}">
              <c16:uniqueId val="{00000001-948E-432F-8A8C-5D15563EA9F2}"/>
            </c:ext>
          </c:extLst>
        </c:ser>
        <c:ser>
          <c:idx val="4"/>
          <c:order val="3"/>
          <c:tx>
            <c:strRef>
              <c:f>'výkonnost odvětví 5a'!$G$66</c:f>
              <c:strCache>
                <c:ptCount val="1"/>
                <c:pt idx="0">
                  <c:v>Maloobchodní prodej PHM (příspěvek)</c:v>
                </c:pt>
              </c:strCache>
            </c:strRef>
          </c:tx>
          <c:spPr>
            <a:solidFill>
              <a:schemeClr val="accent6">
                <a:lumMod val="40000"/>
                <a:lumOff val="60000"/>
              </a:schemeClr>
            </a:solidFill>
            <a:ln w="15875">
              <a:noFill/>
            </a:ln>
          </c:spPr>
          <c:invertIfNegative val="0"/>
          <c:cat>
            <c:multiLvlStrRef>
              <c:f>'výkonnost odvětví 5a'!$B$67:$C$103</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5a'!$G$67:$G$103</c:f>
              <c:numCache>
                <c:formatCode>#\ ##0.0</c:formatCode>
                <c:ptCount val="37"/>
                <c:pt idx="0">
                  <c:v>0.75440023430656378</c:v>
                </c:pt>
                <c:pt idx="1">
                  <c:v>0.588112843666875</c:v>
                </c:pt>
                <c:pt idx="2">
                  <c:v>0.78402402568450724</c:v>
                </c:pt>
                <c:pt idx="3">
                  <c:v>0.94331728244946667</c:v>
                </c:pt>
                <c:pt idx="4">
                  <c:v>0.6744248436917698</c:v>
                </c:pt>
                <c:pt idx="5">
                  <c:v>0.72348584188138532</c:v>
                </c:pt>
                <c:pt idx="6">
                  <c:v>0.62302098548854723</c:v>
                </c:pt>
                <c:pt idx="7">
                  <c:v>0.62533415443375595</c:v>
                </c:pt>
                <c:pt idx="8">
                  <c:v>0.54805568528260806</c:v>
                </c:pt>
                <c:pt idx="9">
                  <c:v>0.75356148860252614</c:v>
                </c:pt>
                <c:pt idx="10">
                  <c:v>0.84316485479481218</c:v>
                </c:pt>
                <c:pt idx="11">
                  <c:v>0.68534345825768528</c:v>
                </c:pt>
                <c:pt idx="12">
                  <c:v>0.66536323714663226</c:v>
                </c:pt>
                <c:pt idx="13">
                  <c:v>0.59516252422904425</c:v>
                </c:pt>
                <c:pt idx="14">
                  <c:v>0.3739332000264744</c:v>
                </c:pt>
                <c:pt idx="15">
                  <c:v>0.43257407692417521</c:v>
                </c:pt>
                <c:pt idx="16">
                  <c:v>0.17809135629917194</c:v>
                </c:pt>
                <c:pt idx="17">
                  <c:v>0.36908315571938399</c:v>
                </c:pt>
                <c:pt idx="18">
                  <c:v>0.27107333589466731</c:v>
                </c:pt>
                <c:pt idx="19">
                  <c:v>0.19660561540526125</c:v>
                </c:pt>
                <c:pt idx="20">
                  <c:v>-0.75718611502805722</c:v>
                </c:pt>
                <c:pt idx="21">
                  <c:v>-1.9736345702533769</c:v>
                </c:pt>
                <c:pt idx="22">
                  <c:v>8.4968496843834063E-2</c:v>
                </c:pt>
                <c:pt idx="23">
                  <c:v>-1.074545645994486</c:v>
                </c:pt>
                <c:pt idx="24">
                  <c:v>-0.67301218948182628</c:v>
                </c:pt>
                <c:pt idx="25">
                  <c:v>1.0669589571071818</c:v>
                </c:pt>
                <c:pt idx="26">
                  <c:v>0.3703216291833335</c:v>
                </c:pt>
                <c:pt idx="27">
                  <c:v>0.92324400000698958</c:v>
                </c:pt>
                <c:pt idx="28">
                  <c:v>1.2433005946850226</c:v>
                </c:pt>
                <c:pt idx="29">
                  <c:v>-0.71068023392919111</c:v>
                </c:pt>
                <c:pt idx="30">
                  <c:v>-1.4491015165369834</c:v>
                </c:pt>
                <c:pt idx="31">
                  <c:v>-0.43033854530280263</c:v>
                </c:pt>
                <c:pt idx="32">
                  <c:v>9.4230238000043806E-2</c:v>
                </c:pt>
                <c:pt idx="33">
                  <c:v>1.0480329296267459</c:v>
                </c:pt>
                <c:pt idx="34">
                  <c:v>1.0256337590180515</c:v>
                </c:pt>
                <c:pt idx="35">
                  <c:v>0.21060542780679914</c:v>
                </c:pt>
              </c:numCache>
            </c:numRef>
          </c:val>
          <c:extLst>
            <c:ext xmlns:c16="http://schemas.microsoft.com/office/drawing/2014/chart" uri="{C3380CC4-5D6E-409C-BE32-E72D297353CC}">
              <c16:uniqueId val="{00000002-948E-432F-8A8C-5D15563EA9F2}"/>
            </c:ext>
          </c:extLst>
        </c:ser>
        <c:dLbls>
          <c:showLegendKey val="0"/>
          <c:showVal val="0"/>
          <c:showCatName val="0"/>
          <c:showSerName val="0"/>
          <c:showPercent val="0"/>
          <c:showBubbleSize val="0"/>
        </c:dLbls>
        <c:gapWidth val="31"/>
        <c:overlap val="100"/>
        <c:axId val="156100864"/>
        <c:axId val="156573696"/>
      </c:barChart>
      <c:lineChart>
        <c:grouping val="standard"/>
        <c:varyColors val="0"/>
        <c:ser>
          <c:idx val="3"/>
          <c:order val="0"/>
          <c:tx>
            <c:strRef>
              <c:f>'výkonnost odvětví 5a'!$D$66</c:f>
              <c:strCache>
                <c:ptCount val="1"/>
                <c:pt idx="0">
                  <c:v>Maloobchod celkem (meziroční růst)</c:v>
                </c:pt>
              </c:strCache>
            </c:strRef>
          </c:tx>
          <c:spPr>
            <a:ln>
              <a:noFill/>
            </a:ln>
          </c:spPr>
          <c:marker>
            <c:symbol val="dash"/>
            <c:size val="7"/>
            <c:spPr>
              <a:solidFill>
                <a:schemeClr val="tx1">
                  <a:lumMod val="85000"/>
                  <a:lumOff val="15000"/>
                </a:schemeClr>
              </a:solidFill>
              <a:ln w="6350">
                <a:noFill/>
              </a:ln>
            </c:spPr>
          </c:marker>
          <c:cat>
            <c:multiLvlStrRef>
              <c:f>'výkonnost odvětví 5a'!$B$67:$C$103</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5a'!$D$67:$D$103</c:f>
              <c:numCache>
                <c:formatCode>#\ ##0.0</c:formatCode>
                <c:ptCount val="37"/>
                <c:pt idx="0">
                  <c:v>5.5650157121000063</c:v>
                </c:pt>
                <c:pt idx="1">
                  <c:v>5.3140316102000043</c:v>
                </c:pt>
                <c:pt idx="2">
                  <c:v>5.261668949500006</c:v>
                </c:pt>
                <c:pt idx="3">
                  <c:v>5.8260167462999988</c:v>
                </c:pt>
                <c:pt idx="4">
                  <c:v>5.1163484119999936</c:v>
                </c:pt>
                <c:pt idx="5">
                  <c:v>4.584747701699996</c:v>
                </c:pt>
                <c:pt idx="6">
                  <c:v>4.6478731618999944</c:v>
                </c:pt>
                <c:pt idx="7">
                  <c:v>3.5966109598000031</c:v>
                </c:pt>
                <c:pt idx="8">
                  <c:v>5.068305469799995</c:v>
                </c:pt>
                <c:pt idx="9">
                  <c:v>6.2034114922000043</c:v>
                </c:pt>
                <c:pt idx="10">
                  <c:v>5.6856724027999945</c:v>
                </c:pt>
                <c:pt idx="11">
                  <c:v>5.8244576314999961</c:v>
                </c:pt>
                <c:pt idx="12">
                  <c:v>5.9658330699000004</c:v>
                </c:pt>
                <c:pt idx="13">
                  <c:v>4.3854129643000022</c:v>
                </c:pt>
                <c:pt idx="14">
                  <c:v>3.8380531616000013</c:v>
                </c:pt>
                <c:pt idx="15">
                  <c:v>4.3570454750999943</c:v>
                </c:pt>
                <c:pt idx="16">
                  <c:v>1.1052891966999994</c:v>
                </c:pt>
                <c:pt idx="17">
                  <c:v>4.2167027101999963</c:v>
                </c:pt>
                <c:pt idx="18">
                  <c:v>4.5117376484000005</c:v>
                </c:pt>
                <c:pt idx="19">
                  <c:v>7.2113533302999997</c:v>
                </c:pt>
                <c:pt idx="20">
                  <c:v>-0.15887647600000321</c:v>
                </c:pt>
                <c:pt idx="21">
                  <c:v>-4.2817243594000018</c:v>
                </c:pt>
                <c:pt idx="22">
                  <c:v>0.81643935670000189</c:v>
                </c:pt>
                <c:pt idx="23">
                  <c:v>-3.1393056612999999</c:v>
                </c:pt>
                <c:pt idx="24">
                  <c:v>-1.1439148176999936</c:v>
                </c:pt>
                <c:pt idx="25">
                  <c:v>6.9808481568999952</c:v>
                </c:pt>
                <c:pt idx="26">
                  <c:v>3.5922909883999949</c:v>
                </c:pt>
                <c:pt idx="27">
                  <c:v>6.4971048250999957</c:v>
                </c:pt>
                <c:pt idx="28">
                  <c:v>6.787429436599993</c:v>
                </c:pt>
                <c:pt idx="29">
                  <c:v>-2.8193720724000002</c:v>
                </c:pt>
                <c:pt idx="30">
                  <c:v>-7.6549734265999945</c:v>
                </c:pt>
                <c:pt idx="31">
                  <c:v>-9.3198503552000034</c:v>
                </c:pt>
                <c:pt idx="32">
                  <c:v>-7.7722789596000013</c:v>
                </c:pt>
                <c:pt idx="33">
                  <c:v>-6.2841710961999979</c:v>
                </c:pt>
                <c:pt idx="34">
                  <c:v>-3.1490125172000063</c:v>
                </c:pt>
                <c:pt idx="35">
                  <c:v>-0.12992440070000555</c:v>
                </c:pt>
              </c:numCache>
            </c:numRef>
          </c:val>
          <c:smooth val="0"/>
          <c:extLst>
            <c:ext xmlns:c16="http://schemas.microsoft.com/office/drawing/2014/chart" uri="{C3380CC4-5D6E-409C-BE32-E72D297353CC}">
              <c16:uniqueId val="{00000003-948E-432F-8A8C-5D15563EA9F2}"/>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5"/>
          <c:order val="4"/>
          <c:tx>
            <c:strRef>
              <c:f>'výkonnost odvětví 5a'!$H$66</c:f>
              <c:strCache>
                <c:ptCount val="1"/>
                <c:pt idx="0">
                  <c:v>Maloobchod, bez motor. segm. (2021=100)</c:v>
                </c:pt>
              </c:strCache>
            </c:strRef>
          </c:tx>
          <c:spPr>
            <a:ln w="15875">
              <a:solidFill>
                <a:schemeClr val="tx1">
                  <a:lumMod val="95000"/>
                  <a:lumOff val="5000"/>
                </a:schemeClr>
              </a:solidFill>
              <a:prstDash val="solid"/>
            </a:ln>
          </c:spPr>
          <c:marker>
            <c:symbol val="none"/>
          </c:marker>
          <c:cat>
            <c:multiLvlStrRef>
              <c:f>'výkonnost odvětví 5a'!$B$67:$C$103</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5a'!$H$67:$H$103</c:f>
              <c:numCache>
                <c:formatCode>#\ ##0.0</c:formatCode>
                <c:ptCount val="37"/>
                <c:pt idx="0">
                  <c:v>79.387619700000002</c:v>
                </c:pt>
                <c:pt idx="1">
                  <c:v>80.3062253433</c:v>
                </c:pt>
                <c:pt idx="2">
                  <c:v>81.199263806700003</c:v>
                </c:pt>
                <c:pt idx="3">
                  <c:v>82.829916143299997</c:v>
                </c:pt>
                <c:pt idx="4">
                  <c:v>83.359185409999995</c:v>
                </c:pt>
                <c:pt idx="5">
                  <c:v>84.084432476700002</c:v>
                </c:pt>
                <c:pt idx="6">
                  <c:v>85.181352770000004</c:v>
                </c:pt>
                <c:pt idx="7">
                  <c:v>85.88258064</c:v>
                </c:pt>
                <c:pt idx="8">
                  <c:v>87.4984558867</c:v>
                </c:pt>
                <c:pt idx="9">
                  <c:v>89.139402750000002</c:v>
                </c:pt>
                <c:pt idx="10">
                  <c:v>90.153519266700002</c:v>
                </c:pt>
                <c:pt idx="11">
                  <c:v>90.503926663300007</c:v>
                </c:pt>
                <c:pt idx="12">
                  <c:v>93.105140056699994</c:v>
                </c:pt>
                <c:pt idx="13">
                  <c:v>93.1742804167</c:v>
                </c:pt>
                <c:pt idx="14">
                  <c:v>93.514300739999996</c:v>
                </c:pt>
                <c:pt idx="15">
                  <c:v>93.457195813300004</c:v>
                </c:pt>
                <c:pt idx="16">
                  <c:v>95.080488453300006</c:v>
                </c:pt>
                <c:pt idx="17">
                  <c:v>97.775211506700003</c:v>
                </c:pt>
                <c:pt idx="18">
                  <c:v>97.432309173299998</c:v>
                </c:pt>
                <c:pt idx="19">
                  <c:v>98.591741543300003</c:v>
                </c:pt>
                <c:pt idx="20">
                  <c:v>95.1745252467</c:v>
                </c:pt>
                <c:pt idx="21">
                  <c:v>94.2238113433</c:v>
                </c:pt>
                <c:pt idx="22">
                  <c:v>98.2489351567</c:v>
                </c:pt>
                <c:pt idx="23">
                  <c:v>95.276546670000002</c:v>
                </c:pt>
                <c:pt idx="24">
                  <c:v>93.120732363299993</c:v>
                </c:pt>
                <c:pt idx="25">
                  <c:v>100.6970061967</c:v>
                </c:pt>
                <c:pt idx="26">
                  <c:v>102.0775216733</c:v>
                </c:pt>
                <c:pt idx="27">
                  <c:v>101.56045996669999</c:v>
                </c:pt>
                <c:pt idx="28">
                  <c:v>99.689017316700003</c:v>
                </c:pt>
                <c:pt idx="29">
                  <c:v>97.852227529999993</c:v>
                </c:pt>
                <c:pt idx="30">
                  <c:v>94.9484332233</c:v>
                </c:pt>
                <c:pt idx="31">
                  <c:v>92.739781856700006</c:v>
                </c:pt>
                <c:pt idx="32">
                  <c:v>91.820017989999997</c:v>
                </c:pt>
                <c:pt idx="33">
                  <c:v>91.486667793300001</c:v>
                </c:pt>
                <c:pt idx="34">
                  <c:v>91.832769183300002</c:v>
                </c:pt>
                <c:pt idx="35">
                  <c:v>92.480947256700006</c:v>
                </c:pt>
              </c:numCache>
            </c:numRef>
          </c:val>
          <c:smooth val="0"/>
          <c:extLst>
            <c:ext xmlns:c16="http://schemas.microsoft.com/office/drawing/2014/chart" uri="{C3380CC4-5D6E-409C-BE32-E72D297353CC}">
              <c16:uniqueId val="{00000004-948E-432F-8A8C-5D15563EA9F2}"/>
            </c:ext>
          </c:extLst>
        </c:ser>
        <c:ser>
          <c:idx val="2"/>
          <c:order val="5"/>
          <c:tx>
            <c:strRef>
              <c:f>'výkonnost odvětví 5a'!$I$66</c:f>
              <c:strCache>
                <c:ptCount val="1"/>
                <c:pt idx="0">
                  <c:v>z toho: maloobchod.prodej PHM (2021=100)</c:v>
                </c:pt>
              </c:strCache>
            </c:strRef>
          </c:tx>
          <c:spPr>
            <a:ln w="15875">
              <a:solidFill>
                <a:schemeClr val="bg2">
                  <a:lumMod val="50000"/>
                </a:schemeClr>
              </a:solidFill>
              <a:prstDash val="sysDash"/>
            </a:ln>
          </c:spPr>
          <c:marker>
            <c:symbol val="none"/>
          </c:marker>
          <c:cat>
            <c:multiLvlStrRef>
              <c:f>'výkonnost odvětví 5a'!$B$67:$C$103</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5a'!$I$67:$I$103</c:f>
              <c:numCache>
                <c:formatCode>#\ ##0.0</c:formatCode>
                <c:ptCount val="37"/>
                <c:pt idx="0">
                  <c:v>86.524761636700006</c:v>
                </c:pt>
                <c:pt idx="1">
                  <c:v>87.411957833299994</c:v>
                </c:pt>
                <c:pt idx="2">
                  <c:v>89.056815003300002</c:v>
                </c:pt>
                <c:pt idx="3">
                  <c:v>90.635829810000004</c:v>
                </c:pt>
                <c:pt idx="4">
                  <c:v>91.354174043300006</c:v>
                </c:pt>
                <c:pt idx="5">
                  <c:v>92.452717846699997</c:v>
                </c:pt>
                <c:pt idx="6">
                  <c:v>93.451031206699994</c:v>
                </c:pt>
                <c:pt idx="7">
                  <c:v>94.790568546700001</c:v>
                </c:pt>
                <c:pt idx="8">
                  <c:v>96.066324203299999</c:v>
                </c:pt>
                <c:pt idx="9">
                  <c:v>97.673183713300006</c:v>
                </c:pt>
                <c:pt idx="10">
                  <c:v>99.237647573299995</c:v>
                </c:pt>
                <c:pt idx="11">
                  <c:v>100.2896053067</c:v>
                </c:pt>
                <c:pt idx="12">
                  <c:v>101.9259088133</c:v>
                </c:pt>
                <c:pt idx="13">
                  <c:v>102.3498273733</c:v>
                </c:pt>
                <c:pt idx="14">
                  <c:v>102.00124114330001</c:v>
                </c:pt>
                <c:pt idx="15">
                  <c:v>101.92222832669999</c:v>
                </c:pt>
                <c:pt idx="16">
                  <c:v>105.52141971330001</c:v>
                </c:pt>
                <c:pt idx="17">
                  <c:v>106.7492027433</c:v>
                </c:pt>
                <c:pt idx="18">
                  <c:v>102.2677534367</c:v>
                </c:pt>
                <c:pt idx="19">
                  <c:v>102.38734820329999</c:v>
                </c:pt>
                <c:pt idx="20">
                  <c:v>101.74032914999999</c:v>
                </c:pt>
                <c:pt idx="21">
                  <c:v>89.521872973300006</c:v>
                </c:pt>
                <c:pt idx="22">
                  <c:v>98.536132409999993</c:v>
                </c:pt>
                <c:pt idx="23">
                  <c:v>92.227044199999995</c:v>
                </c:pt>
                <c:pt idx="24">
                  <c:v>96.337185626700006</c:v>
                </c:pt>
                <c:pt idx="25">
                  <c:v>101.04246166999999</c:v>
                </c:pt>
                <c:pt idx="26">
                  <c:v>102.21868815329999</c:v>
                </c:pt>
                <c:pt idx="27">
                  <c:v>100.16278036999999</c:v>
                </c:pt>
                <c:pt idx="28">
                  <c:v>100.58357590999999</c:v>
                </c:pt>
                <c:pt idx="29">
                  <c:v>96.011938103299997</c:v>
                </c:pt>
                <c:pt idx="30">
                  <c:v>95.327974240000003</c:v>
                </c:pt>
                <c:pt idx="31">
                  <c:v>98.001312830000003</c:v>
                </c:pt>
                <c:pt idx="32">
                  <c:v>99.337867446700002</c:v>
                </c:pt>
                <c:pt idx="33">
                  <c:v>101.7315474767</c:v>
                </c:pt>
                <c:pt idx="34">
                  <c:v>102.5722280567</c:v>
                </c:pt>
                <c:pt idx="35">
                  <c:v>102.33722072330001</c:v>
                </c:pt>
              </c:numCache>
            </c:numRef>
          </c:val>
          <c:smooth val="0"/>
          <c:extLst>
            <c:ext xmlns:c16="http://schemas.microsoft.com/office/drawing/2014/chart" uri="{C3380CC4-5D6E-409C-BE32-E72D297353CC}">
              <c16:uniqueId val="{00000005-948E-432F-8A8C-5D15563EA9F2}"/>
            </c:ext>
          </c:extLst>
        </c:ser>
        <c:ser>
          <c:idx val="6"/>
          <c:order val="6"/>
          <c:tx>
            <c:strRef>
              <c:f>'výkonnost odvětví 5a'!$J$66</c:f>
              <c:strCache>
                <c:ptCount val="1"/>
                <c:pt idx="0">
                  <c:v>Obchod a opravy motor. vozidel (2021=100)</c:v>
                </c:pt>
              </c:strCache>
            </c:strRef>
          </c:tx>
          <c:spPr>
            <a:ln w="15875">
              <a:solidFill>
                <a:srgbClr val="984807"/>
              </a:solidFill>
              <a:prstDash val="solid"/>
            </a:ln>
          </c:spPr>
          <c:marker>
            <c:symbol val="none"/>
          </c:marker>
          <c:cat>
            <c:multiLvlStrRef>
              <c:f>'výkonnost odvětví 5a'!$B$67:$C$103</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5a'!$J$67:$J$103</c:f>
              <c:numCache>
                <c:formatCode>#\ ##0.0</c:formatCode>
                <c:ptCount val="37"/>
                <c:pt idx="0">
                  <c:v>94.876410473299998</c:v>
                </c:pt>
                <c:pt idx="1">
                  <c:v>97.695799643300006</c:v>
                </c:pt>
                <c:pt idx="2">
                  <c:v>100.06974644669999</c:v>
                </c:pt>
                <c:pt idx="3">
                  <c:v>102.95079615</c:v>
                </c:pt>
                <c:pt idx="4">
                  <c:v>104.2505530033</c:v>
                </c:pt>
                <c:pt idx="5">
                  <c:v>105.7391903267</c:v>
                </c:pt>
                <c:pt idx="6">
                  <c:v>107.83085998670001</c:v>
                </c:pt>
                <c:pt idx="7">
                  <c:v>108.3916669833</c:v>
                </c:pt>
                <c:pt idx="8">
                  <c:v>109.6607583333</c:v>
                </c:pt>
                <c:pt idx="9">
                  <c:v>110.11505321999999</c:v>
                </c:pt>
                <c:pt idx="10">
                  <c:v>109.31164355999999</c:v>
                </c:pt>
                <c:pt idx="11">
                  <c:v>110.27179532</c:v>
                </c:pt>
                <c:pt idx="12">
                  <c:v>108.78251946669999</c:v>
                </c:pt>
                <c:pt idx="13">
                  <c:v>108.49123695</c:v>
                </c:pt>
                <c:pt idx="14">
                  <c:v>108.3772654867</c:v>
                </c:pt>
                <c:pt idx="15">
                  <c:v>106.77434101</c:v>
                </c:pt>
                <c:pt idx="16">
                  <c:v>108.7007365533</c:v>
                </c:pt>
                <c:pt idx="17">
                  <c:v>109.26996463</c:v>
                </c:pt>
                <c:pt idx="18">
                  <c:v>107.48895487670001</c:v>
                </c:pt>
                <c:pt idx="19">
                  <c:v>107.35668517000001</c:v>
                </c:pt>
                <c:pt idx="20">
                  <c:v>95.100964756699994</c:v>
                </c:pt>
                <c:pt idx="21">
                  <c:v>78.817161313300005</c:v>
                </c:pt>
                <c:pt idx="22">
                  <c:v>99.582288770000005</c:v>
                </c:pt>
                <c:pt idx="23">
                  <c:v>99.444996476699998</c:v>
                </c:pt>
                <c:pt idx="24">
                  <c:v>101.4815698533</c:v>
                </c:pt>
                <c:pt idx="25">
                  <c:v>101.20538912000001</c:v>
                </c:pt>
                <c:pt idx="26">
                  <c:v>98.547187789999995</c:v>
                </c:pt>
                <c:pt idx="27">
                  <c:v>97.296073133299998</c:v>
                </c:pt>
                <c:pt idx="28">
                  <c:v>96.634273013300003</c:v>
                </c:pt>
                <c:pt idx="29">
                  <c:v>95.490189773300003</c:v>
                </c:pt>
                <c:pt idx="30">
                  <c:v>95.478794416699998</c:v>
                </c:pt>
                <c:pt idx="31">
                  <c:v>96.020386646700004</c:v>
                </c:pt>
                <c:pt idx="32">
                  <c:v>98.921513309999995</c:v>
                </c:pt>
                <c:pt idx="33">
                  <c:v>99.495656653300003</c:v>
                </c:pt>
                <c:pt idx="34">
                  <c:v>100.74736775</c:v>
                </c:pt>
                <c:pt idx="35">
                  <c:v>101.88866950000001</c:v>
                </c:pt>
              </c:numCache>
            </c:numRef>
          </c:val>
          <c:smooth val="0"/>
          <c:extLst>
            <c:ext xmlns:c16="http://schemas.microsoft.com/office/drawing/2014/chart" uri="{C3380CC4-5D6E-409C-BE32-E72D297353CC}">
              <c16:uniqueId val="{00000006-948E-432F-8A8C-5D15563EA9F2}"/>
            </c:ext>
          </c:extLst>
        </c:ser>
        <c:ser>
          <c:idx val="7"/>
          <c:order val="7"/>
          <c:tx>
            <c:strRef>
              <c:f>'výkonnost odvětví 5a'!$K$66</c:f>
              <c:strCache>
                <c:ptCount val="1"/>
              </c:strCache>
            </c:strRef>
          </c:tx>
          <c:spPr>
            <a:ln w="3175">
              <a:noFill/>
              <a:prstDash val="sysDash"/>
            </a:ln>
          </c:spPr>
          <c:marker>
            <c:symbol val="none"/>
          </c:marker>
          <c:cat>
            <c:multiLvlStrRef>
              <c:f>'výkonnost odvětví 5a'!$B$67:$C$103</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5a'!$K$67:$K$103</c:f>
              <c:numCache>
                <c:formatCode>General</c:formatCode>
                <c:ptCount val="37"/>
              </c:numCache>
            </c:numRef>
          </c:val>
          <c:smooth val="0"/>
          <c:extLst>
            <c:ext xmlns:c16="http://schemas.microsoft.com/office/drawing/2014/chart" uri="{C3380CC4-5D6E-409C-BE32-E72D297353CC}">
              <c16:uniqueId val="{00000007-948E-432F-8A8C-5D15563EA9F2}"/>
            </c:ext>
          </c:extLst>
        </c:ser>
        <c:ser>
          <c:idx val="8"/>
          <c:order val="8"/>
          <c:tx>
            <c:strRef>
              <c:f>'výkonnost odvětví 5a'!$L$66</c:f>
              <c:strCache>
                <c:ptCount val="1"/>
                <c:pt idx="0">
                  <c:v>Saldo indikátoru důvěry spotřebitelů</c:v>
                </c:pt>
              </c:strCache>
            </c:strRef>
          </c:tx>
          <c:spPr>
            <a:ln w="12700">
              <a:solidFill>
                <a:schemeClr val="bg1">
                  <a:lumMod val="50000"/>
                </a:schemeClr>
              </a:solidFill>
              <a:prstDash val="sysDot"/>
            </a:ln>
          </c:spPr>
          <c:marker>
            <c:symbol val="circle"/>
            <c:size val="5"/>
            <c:spPr>
              <a:solidFill>
                <a:srgbClr val="FFFF00"/>
              </a:solidFill>
              <a:ln>
                <a:solidFill>
                  <a:schemeClr val="bg1">
                    <a:lumMod val="50000"/>
                  </a:schemeClr>
                </a:solidFill>
              </a:ln>
            </c:spPr>
          </c:marker>
          <c:cat>
            <c:multiLvlStrRef>
              <c:f>'výkonnost odvětví 5a'!$B$67:$C$103</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5a'!$L$67:$L$103</c:f>
              <c:numCache>
                <c:formatCode>0.0</c:formatCode>
                <c:ptCount val="37"/>
                <c:pt idx="0">
                  <c:v>-1.75</c:v>
                </c:pt>
                <c:pt idx="1">
                  <c:v>0.25</c:v>
                </c:pt>
                <c:pt idx="2">
                  <c:v>-3.75</c:v>
                </c:pt>
                <c:pt idx="3">
                  <c:v>-0.25</c:v>
                </c:pt>
                <c:pt idx="4">
                  <c:v>-1.5</c:v>
                </c:pt>
                <c:pt idx="5">
                  <c:v>0</c:v>
                </c:pt>
                <c:pt idx="6">
                  <c:v>-2.25</c:v>
                </c:pt>
                <c:pt idx="7">
                  <c:v>0.75</c:v>
                </c:pt>
                <c:pt idx="8">
                  <c:v>1.25</c:v>
                </c:pt>
                <c:pt idx="9">
                  <c:v>-0.5</c:v>
                </c:pt>
                <c:pt idx="10">
                  <c:v>0.5</c:v>
                </c:pt>
                <c:pt idx="11">
                  <c:v>5</c:v>
                </c:pt>
                <c:pt idx="12">
                  <c:v>3.75</c:v>
                </c:pt>
                <c:pt idx="13">
                  <c:v>6</c:v>
                </c:pt>
                <c:pt idx="14">
                  <c:v>4</c:v>
                </c:pt>
                <c:pt idx="15">
                  <c:v>1</c:v>
                </c:pt>
                <c:pt idx="16">
                  <c:v>3.25</c:v>
                </c:pt>
                <c:pt idx="17">
                  <c:v>0</c:v>
                </c:pt>
                <c:pt idx="18">
                  <c:v>2.25</c:v>
                </c:pt>
                <c:pt idx="19">
                  <c:v>-0.5</c:v>
                </c:pt>
                <c:pt idx="20">
                  <c:v>-1.75</c:v>
                </c:pt>
                <c:pt idx="21">
                  <c:v>-9.25</c:v>
                </c:pt>
                <c:pt idx="22">
                  <c:v>-8.75</c:v>
                </c:pt>
                <c:pt idx="23">
                  <c:v>-18.5</c:v>
                </c:pt>
                <c:pt idx="24">
                  <c:v>-16.25</c:v>
                </c:pt>
                <c:pt idx="25">
                  <c:v>-6.75</c:v>
                </c:pt>
                <c:pt idx="26">
                  <c:v>-4.5</c:v>
                </c:pt>
                <c:pt idx="27">
                  <c:v>-17</c:v>
                </c:pt>
                <c:pt idx="28">
                  <c:v>-16.5</c:v>
                </c:pt>
                <c:pt idx="29">
                  <c:v>-31</c:v>
                </c:pt>
                <c:pt idx="30">
                  <c:v>-29.8</c:v>
                </c:pt>
                <c:pt idx="31">
                  <c:v>-30.8</c:v>
                </c:pt>
                <c:pt idx="32">
                  <c:v>-21</c:v>
                </c:pt>
                <c:pt idx="33">
                  <c:v>-20.3</c:v>
                </c:pt>
                <c:pt idx="34">
                  <c:v>-18</c:v>
                </c:pt>
                <c:pt idx="35">
                  <c:v>-18.3</c:v>
                </c:pt>
                <c:pt idx="36">
                  <c:v>-15.8</c:v>
                </c:pt>
              </c:numCache>
            </c:numRef>
          </c:val>
          <c:smooth val="0"/>
          <c:extLst>
            <c:ext xmlns:c16="http://schemas.microsoft.com/office/drawing/2014/chart" uri="{C3380CC4-5D6E-409C-BE32-E72D297353CC}">
              <c16:uniqueId val="{00000008-948E-432F-8A8C-5D15563EA9F2}"/>
            </c:ext>
          </c:extLst>
        </c:ser>
        <c:ser>
          <c:idx val="9"/>
          <c:order val="9"/>
          <c:tx>
            <c:strRef>
              <c:f>'výkonnost odvětví 5a'!$M$66</c:f>
              <c:strCache>
                <c:ptCount val="1"/>
                <c:pt idx="0">
                  <c:v>Saldo indikátoru důvěry obchodníků</c:v>
                </c:pt>
              </c:strCache>
            </c:strRef>
          </c:tx>
          <c:spPr>
            <a:ln w="6350">
              <a:solidFill>
                <a:schemeClr val="bg1">
                  <a:lumMod val="50000"/>
                </a:schemeClr>
              </a:solidFill>
              <a:prstDash val="sysDash"/>
            </a:ln>
          </c:spPr>
          <c:marker>
            <c:symbol val="triangle"/>
            <c:size val="5"/>
            <c:spPr>
              <a:solidFill>
                <a:schemeClr val="accent6">
                  <a:lumMod val="40000"/>
                  <a:lumOff val="60000"/>
                </a:schemeClr>
              </a:solidFill>
              <a:ln>
                <a:solidFill>
                  <a:schemeClr val="bg1">
                    <a:lumMod val="50000"/>
                  </a:schemeClr>
                </a:solidFill>
              </a:ln>
            </c:spPr>
          </c:marker>
          <c:cat>
            <c:multiLvlStrRef>
              <c:f>'výkonnost odvětví 5a'!$B$67:$C$103</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5a'!$M$67:$M$103</c:f>
              <c:numCache>
                <c:formatCode>0.0</c:formatCode>
                <c:ptCount val="37"/>
                <c:pt idx="0">
                  <c:v>20</c:v>
                </c:pt>
                <c:pt idx="1">
                  <c:v>20.7</c:v>
                </c:pt>
                <c:pt idx="2">
                  <c:v>17.600000000000001</c:v>
                </c:pt>
                <c:pt idx="3">
                  <c:v>19.7</c:v>
                </c:pt>
                <c:pt idx="4">
                  <c:v>22.7</c:v>
                </c:pt>
                <c:pt idx="5">
                  <c:v>17.7</c:v>
                </c:pt>
                <c:pt idx="6">
                  <c:v>17.7</c:v>
                </c:pt>
                <c:pt idx="7">
                  <c:v>21</c:v>
                </c:pt>
                <c:pt idx="8">
                  <c:v>24.3</c:v>
                </c:pt>
                <c:pt idx="9">
                  <c:v>17.3</c:v>
                </c:pt>
                <c:pt idx="10">
                  <c:v>22.7</c:v>
                </c:pt>
                <c:pt idx="11">
                  <c:v>21.7</c:v>
                </c:pt>
                <c:pt idx="12">
                  <c:v>23.3</c:v>
                </c:pt>
                <c:pt idx="13">
                  <c:v>17.3</c:v>
                </c:pt>
                <c:pt idx="14">
                  <c:v>15.6</c:v>
                </c:pt>
                <c:pt idx="15">
                  <c:v>15</c:v>
                </c:pt>
                <c:pt idx="16">
                  <c:v>12.7</c:v>
                </c:pt>
                <c:pt idx="17">
                  <c:v>12.3</c:v>
                </c:pt>
                <c:pt idx="18">
                  <c:v>14.7</c:v>
                </c:pt>
                <c:pt idx="19">
                  <c:v>14.7</c:v>
                </c:pt>
                <c:pt idx="20">
                  <c:v>18.7</c:v>
                </c:pt>
                <c:pt idx="21">
                  <c:v>-1</c:v>
                </c:pt>
                <c:pt idx="22">
                  <c:v>12</c:v>
                </c:pt>
                <c:pt idx="23">
                  <c:v>7</c:v>
                </c:pt>
                <c:pt idx="24">
                  <c:v>1.3</c:v>
                </c:pt>
                <c:pt idx="25">
                  <c:v>15</c:v>
                </c:pt>
                <c:pt idx="26">
                  <c:v>18.3</c:v>
                </c:pt>
                <c:pt idx="27">
                  <c:v>21.3</c:v>
                </c:pt>
                <c:pt idx="28">
                  <c:v>19.7</c:v>
                </c:pt>
                <c:pt idx="29">
                  <c:v>19.600000000000001</c:v>
                </c:pt>
                <c:pt idx="30">
                  <c:v>10.3</c:v>
                </c:pt>
                <c:pt idx="31">
                  <c:v>14.7</c:v>
                </c:pt>
                <c:pt idx="32">
                  <c:v>9.3000000000000007</c:v>
                </c:pt>
                <c:pt idx="33">
                  <c:v>13.3</c:v>
                </c:pt>
                <c:pt idx="34">
                  <c:v>5.7</c:v>
                </c:pt>
                <c:pt idx="35">
                  <c:v>3.3</c:v>
                </c:pt>
                <c:pt idx="36">
                  <c:v>1.7</c:v>
                </c:pt>
              </c:numCache>
            </c:numRef>
          </c:val>
          <c:smooth val="0"/>
          <c:extLst>
            <c:ext xmlns:c16="http://schemas.microsoft.com/office/drawing/2014/chart" uri="{C3380CC4-5D6E-409C-BE32-E72D297353CC}">
              <c16:uniqueId val="{00000009-948E-432F-8A8C-5D15563EA9F2}"/>
            </c:ext>
          </c:extLst>
        </c:ser>
        <c:dLbls>
          <c:showLegendKey val="0"/>
          <c:showVal val="0"/>
          <c:showCatName val="0"/>
          <c:showSerName val="0"/>
          <c:showPercent val="0"/>
          <c:showBubbleSize val="0"/>
        </c:dLbls>
        <c:marker val="1"/>
        <c:smooth val="0"/>
        <c:axId val="1875570767"/>
        <c:axId val="1875563695"/>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2"/>
          <c:min val="-10"/>
        </c:scaling>
        <c:delete val="0"/>
        <c:axPos val="l"/>
        <c:majorGridlines>
          <c:spPr>
            <a:ln w="6350">
              <a:solidFill>
                <a:schemeClr val="bg1">
                  <a:lumMod val="75000"/>
                </a:schemeClr>
              </a:solidFill>
            </a:ln>
          </c:spPr>
        </c:majorGridlines>
        <c:title>
          <c:tx>
            <c:rich>
              <a:bodyPr/>
              <a:lstStyle/>
              <a:p>
                <a:pPr>
                  <a:defRPr sz="750" b="0" i="1"/>
                </a:pPr>
                <a:r>
                  <a:rPr lang="cs-CZ" sz="750" b="0" i="1"/>
                  <a:t>Tržby</a:t>
                </a:r>
                <a:r>
                  <a:rPr lang="cs-CZ" sz="750" b="0" i="1" baseline="0"/>
                  <a:t> (příspěvky k meziroč. změně)</a:t>
                </a:r>
                <a:endParaRPr lang="cs-CZ" sz="750" b="0" i="1"/>
              </a:p>
            </c:rich>
          </c:tx>
          <c:layout>
            <c:manualLayout>
              <c:xMode val="edge"/>
              <c:yMode val="edge"/>
              <c:x val="2.6086947381477195E-3"/>
              <c:y val="0.16393316671713359"/>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2"/>
      </c:valAx>
      <c:valAx>
        <c:axId val="1875563695"/>
        <c:scaling>
          <c:orientation val="minMax"/>
          <c:max val="125"/>
          <c:min val="-40"/>
        </c:scaling>
        <c:delete val="0"/>
        <c:axPos val="r"/>
        <c:title>
          <c:tx>
            <c:rich>
              <a:bodyPr/>
              <a:lstStyle/>
              <a:p>
                <a:pPr>
                  <a:defRPr sz="750" b="0" i="1"/>
                </a:pPr>
                <a:r>
                  <a:rPr lang="cs-CZ" sz="750" b="0" i="1">
                    <a:latin typeface="Arial" panose="020B0604020202020204" pitchFamily="34" charset="0"/>
                    <a:cs typeface="Arial" panose="020B0604020202020204" pitchFamily="34" charset="0"/>
                  </a:rPr>
                  <a:t>Tržby</a:t>
                </a:r>
                <a:r>
                  <a:rPr lang="cs-CZ" sz="750" b="0" i="1" baseline="0">
                    <a:latin typeface="Arial" panose="020B0604020202020204" pitchFamily="34" charset="0"/>
                    <a:cs typeface="Arial" panose="020B0604020202020204" pitchFamily="34" charset="0"/>
                  </a:rPr>
                  <a:t> (rok 2015=100), </a:t>
                </a:r>
                <a:r>
                  <a:rPr lang="cs-CZ" sz="750" b="0" i="1" u="none" strike="noStrike" baseline="0">
                    <a:effectLst/>
                    <a:latin typeface="Arial" panose="020B0604020202020204" pitchFamily="34" charset="0"/>
                    <a:cs typeface="Arial" panose="020B0604020202020204" pitchFamily="34" charset="0"/>
                  </a:rPr>
                  <a:t>Saldo důvěry</a:t>
                </a:r>
                <a:endParaRPr lang="cs-CZ" sz="750" b="0" i="1">
                  <a:latin typeface="Arial" panose="020B0604020202020204" pitchFamily="34" charset="0"/>
                  <a:cs typeface="Arial" panose="020B0604020202020204" pitchFamily="34" charset="0"/>
                </a:endParaRPr>
              </a:p>
            </c:rich>
          </c:tx>
          <c:layout>
            <c:manualLayout>
              <c:xMode val="edge"/>
              <c:yMode val="edge"/>
              <c:x val="0.96896265019335537"/>
              <c:y val="0.1743397117509615"/>
            </c:manualLayout>
          </c:layout>
          <c:overlay val="0"/>
        </c:title>
        <c:numFmt formatCode="#,##0" sourceLinked="0"/>
        <c:majorTickMark val="out"/>
        <c:minorTickMark val="none"/>
        <c:tickLblPos val="nextTo"/>
        <c:txPr>
          <a:bodyPr/>
          <a:lstStyle/>
          <a:p>
            <a:pPr>
              <a:defRPr sz="800"/>
            </a:pPr>
            <a:endParaRPr lang="cs-CZ"/>
          </a:p>
        </c:txPr>
        <c:crossAx val="1875570767"/>
        <c:crosses val="max"/>
        <c:crossBetween val="between"/>
        <c:majorUnit val="15"/>
      </c:valAx>
      <c:catAx>
        <c:axId val="1875570767"/>
        <c:scaling>
          <c:orientation val="minMax"/>
        </c:scaling>
        <c:delete val="1"/>
        <c:axPos val="b"/>
        <c:numFmt formatCode="General" sourceLinked="1"/>
        <c:majorTickMark val="out"/>
        <c:minorTickMark val="none"/>
        <c:tickLblPos val="nextTo"/>
        <c:crossAx val="1875563695"/>
        <c:crosses val="autoZero"/>
        <c:auto val="1"/>
        <c:lblAlgn val="ctr"/>
        <c:lblOffset val="100"/>
        <c:noMultiLvlLbl val="0"/>
      </c:catAx>
      <c:spPr>
        <a:ln>
          <a:solidFill>
            <a:schemeClr val="tx1"/>
          </a:solidFill>
        </a:ln>
      </c:spPr>
    </c:plotArea>
    <c:legend>
      <c:legendPos val="r"/>
      <c:layout>
        <c:manualLayout>
          <c:xMode val="edge"/>
          <c:yMode val="edge"/>
          <c:x val="5.1385534144624996E-3"/>
          <c:y val="0.837216076019483"/>
          <c:w val="0.98691543107779145"/>
          <c:h val="0.15565653623547093"/>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204C7C21F48A488F44995C5F8FB06D" ma:contentTypeVersion="11" ma:contentTypeDescription="Vytvoří nový dokument" ma:contentTypeScope="" ma:versionID="9a58d24f60b264923fe9c7150327a53c">
  <xsd:schema xmlns:xsd="http://www.w3.org/2001/XMLSchema" xmlns:xs="http://www.w3.org/2001/XMLSchema" xmlns:p="http://schemas.microsoft.com/office/2006/metadata/properties" xmlns:ns3="b8c0c86d-151e-4fca-b0d5-747e6692fa1d" targetNamespace="http://schemas.microsoft.com/office/2006/metadata/properties" ma:root="true" ma:fieldsID="91c8efd7c542b57fe84d8bfb95d003d1" ns3:_="">
    <xsd:import namespace="b8c0c86d-151e-4fca-b0d5-747e6692fa1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c86d-151e-4fca-b0d5-747e6692f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561CC-7D6C-40EF-AB10-C45997A72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0c86d-151e-4fca-b0d5-747e6692f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38702-393C-4E0B-95FC-6397490058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4.xml><?xml version="1.0" encoding="utf-8"?>
<ds:datastoreItem xmlns:ds="http://schemas.openxmlformats.org/officeDocument/2006/customXml" ds:itemID="{42E5213B-B99A-423D-8031-5242B94ED170}">
  <ds:schemaRefs>
    <ds:schemaRef ds:uri="http://schemas.openxmlformats.org/officeDocument/2006/bibliography"/>
  </ds:schemaRefs>
</ds:datastoreItem>
</file>

<file path=customXml/itemProps5.xml><?xml version="1.0" encoding="utf-8"?>
<ds:datastoreItem xmlns:ds="http://schemas.openxmlformats.org/officeDocument/2006/customXml" ds:itemID="{04BFE5C2-4437-4FF4-AF76-92D10857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TotalTime>
  <Pages>10</Pages>
  <Words>4445</Words>
  <Characters>26232</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30616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Karolína Súkupová</dc:creator>
  <cp:keywords/>
  <dc:description/>
  <cp:lastModifiedBy>Zábojníková Karolína</cp:lastModifiedBy>
  <cp:revision>4</cp:revision>
  <cp:lastPrinted>2023-06-09T17:23:00Z</cp:lastPrinted>
  <dcterms:created xsi:type="dcterms:W3CDTF">2024-03-21T10:53:00Z</dcterms:created>
  <dcterms:modified xsi:type="dcterms:W3CDTF">2024-03-21T10:58:00Z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0x01010070204C7C21F48A488F44995C5F8FB06D</vt:lpwstr>
  </property>
</Properties>
</file>