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4F" w:rsidRDefault="0022329B">
      <w:pPr>
        <w:pStyle w:val="Nadpis2"/>
      </w:pPr>
      <w:proofErr w:type="spellStart"/>
      <w:r>
        <w:t>Methodological</w:t>
      </w:r>
      <w:proofErr w:type="spellEnd"/>
      <w:r>
        <w:t xml:space="preserve"> notes</w:t>
      </w:r>
    </w:p>
    <w:p w:rsidR="00AB254F" w:rsidRDefault="00AB254F">
      <w:pPr>
        <w:jc w:val="both"/>
        <w:rPr>
          <w:rFonts w:ascii="Arial" w:hAnsi="Arial" w:cs="Arial"/>
          <w:i/>
          <w:iCs/>
          <w:sz w:val="20"/>
        </w:rPr>
      </w:pPr>
    </w:p>
    <w:p w:rsidR="00AB254F" w:rsidRDefault="00AB254F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</w:p>
    <w:p w:rsidR="0022329B" w:rsidRDefault="0022329B" w:rsidP="0022329B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D</w:t>
      </w:r>
      <w:r>
        <w:rPr>
          <w:rFonts w:ascii="Arial" w:hAnsi="Arial" w:cs="Arial"/>
          <w:i/>
          <w:sz w:val="20"/>
          <w:szCs w:val="20"/>
          <w:lang w:val="en-GB"/>
        </w:rPr>
        <w:t xml:space="preserve">ata on game management are taken from the Annual questionnaires on hunting grounds, game stock and hunting (covering period from 1 April of the given year to 31 March of the following year). The published data cover the entire Czech Republic; i.e. data from the statistical survey taken by the Ministry of Agriculture </w:t>
      </w:r>
      <w:r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  <w:lang w:val="en-GB"/>
        </w:rPr>
        <w:t xml:space="preserve">Annual questionnaire on hunting grounds, game stock and hunting 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Mysl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 xml:space="preserve"> (</w:t>
      </w:r>
      <w:proofErr w:type="spellStart"/>
      <w:r>
        <w:rPr>
          <w:rFonts w:ascii="Arial" w:hAnsi="Arial" w:cs="Arial"/>
          <w:i/>
          <w:sz w:val="20"/>
          <w:szCs w:val="20"/>
          <w:lang w:val="en-GB"/>
        </w:rPr>
        <w:t>MZe</w:t>
      </w:r>
      <w:proofErr w:type="spellEnd"/>
      <w:r>
        <w:rPr>
          <w:rFonts w:ascii="Arial" w:hAnsi="Arial" w:cs="Arial"/>
          <w:i/>
          <w:sz w:val="20"/>
          <w:szCs w:val="20"/>
          <w:lang w:val="en-GB"/>
        </w:rPr>
        <w:t>) 1-01</w:t>
      </w:r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  <w:lang w:val="en-GB"/>
        </w:rPr>
        <w:t xml:space="preserve"> and from data sources of the Ministry of Environment are included.</w:t>
      </w:r>
    </w:p>
    <w:p w:rsidR="0022329B" w:rsidRDefault="0022329B" w:rsidP="0022329B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:rsidR="0022329B" w:rsidRPr="00C53BC2" w:rsidRDefault="0022329B" w:rsidP="0022329B">
      <w:pPr>
        <w:pStyle w:val="Zkladntextodsazen"/>
        <w:ind w:firstLine="0"/>
        <w:rPr>
          <w:i/>
          <w:iCs/>
          <w:lang w:val="en-GB"/>
        </w:rPr>
      </w:pPr>
      <w:r>
        <w:rPr>
          <w:i/>
          <w:iCs/>
          <w:lang w:val="en-GB"/>
        </w:rPr>
        <w:t xml:space="preserve">The questionnaire consists of </w:t>
      </w:r>
      <w:r w:rsidR="00D3535E">
        <w:rPr>
          <w:i/>
          <w:iCs/>
          <w:lang w:val="en-GB"/>
        </w:rPr>
        <w:t>five basic</w:t>
      </w:r>
      <w:r>
        <w:rPr>
          <w:i/>
          <w:iCs/>
          <w:lang w:val="en-GB"/>
        </w:rPr>
        <w:t xml:space="preserve"> parts. Section “Basic data on hunting grounds” includes e.g. area and type of hunting grounds, organization of hunting grounds, </w:t>
      </w:r>
      <w:r w:rsidR="007E41D5">
        <w:rPr>
          <w:i/>
          <w:iCs/>
          <w:lang w:val="en-GB"/>
        </w:rPr>
        <w:t>number</w:t>
      </w:r>
      <w:r>
        <w:rPr>
          <w:i/>
          <w:iCs/>
          <w:lang w:val="en-GB"/>
        </w:rPr>
        <w:t xml:space="preserve"> of hunting dogs, number of </w:t>
      </w:r>
      <w:r w:rsidR="007E41D5">
        <w:rPr>
          <w:i/>
          <w:iCs/>
          <w:lang w:val="en-GB"/>
        </w:rPr>
        <w:t>facilities for game feeding</w:t>
      </w:r>
      <w:r>
        <w:rPr>
          <w:i/>
          <w:iCs/>
          <w:lang w:val="en-GB"/>
        </w:rPr>
        <w:t xml:space="preserve">, and number of holders of valid hunting licenses. Section “Classification of hunting grounds – </w:t>
      </w:r>
      <w:r w:rsidR="0090427A">
        <w:rPr>
          <w:i/>
          <w:iCs/>
          <w:lang w:val="en-GB"/>
        </w:rPr>
        <w:t>defined</w:t>
      </w:r>
      <w:r>
        <w:rPr>
          <w:i/>
          <w:iCs/>
          <w:lang w:val="en-GB"/>
        </w:rPr>
        <w:t xml:space="preserve"> and minimum game stocks and area of hunting grounds by quality classes” gives information on </w:t>
      </w:r>
      <w:r w:rsidR="0090427A">
        <w:rPr>
          <w:i/>
          <w:iCs/>
          <w:lang w:val="en-GB"/>
        </w:rPr>
        <w:t>defined</w:t>
      </w:r>
      <w:r>
        <w:rPr>
          <w:i/>
          <w:iCs/>
          <w:lang w:val="en-GB"/>
        </w:rPr>
        <w:t xml:space="preserve"> and minimum game stocks per unit of hunting ground area. Section “Results of game management” provides data on hunting and dea</w:t>
      </w:r>
      <w:r w:rsidR="0090427A">
        <w:rPr>
          <w:i/>
          <w:iCs/>
          <w:lang w:val="en-GB"/>
        </w:rPr>
        <w:t>d</w:t>
      </w:r>
      <w:r>
        <w:rPr>
          <w:i/>
          <w:iCs/>
          <w:lang w:val="en-GB"/>
        </w:rPr>
        <w:t xml:space="preserve"> loss</w:t>
      </w:r>
      <w:r w:rsidR="0090427A">
        <w:rPr>
          <w:i/>
          <w:iCs/>
          <w:lang w:val="en-GB"/>
        </w:rPr>
        <w:t>es</w:t>
      </w:r>
      <w:r>
        <w:rPr>
          <w:i/>
          <w:iCs/>
          <w:lang w:val="en-GB"/>
        </w:rPr>
        <w:t xml:space="preserve"> of game, restocking with game, and spring stocks of game. </w:t>
      </w:r>
      <w:r w:rsidR="003657AB">
        <w:rPr>
          <w:i/>
          <w:iCs/>
          <w:lang w:val="en-GB"/>
        </w:rPr>
        <w:t>S</w:t>
      </w:r>
      <w:r>
        <w:rPr>
          <w:i/>
          <w:iCs/>
          <w:lang w:val="en-GB"/>
        </w:rPr>
        <w:t xml:space="preserve">ection “Other game species </w:t>
      </w:r>
      <w:r>
        <w:rPr>
          <w:rFonts w:ascii="Calibri" w:hAnsi="Calibri"/>
          <w:i/>
          <w:iCs/>
          <w:lang w:val="en-GB"/>
        </w:rPr>
        <w:t>–</w:t>
      </w:r>
      <w:r>
        <w:rPr>
          <w:i/>
          <w:iCs/>
          <w:lang w:val="en-GB"/>
        </w:rPr>
        <w:t xml:space="preserve"> stock and hunting in case of dispensation” is related to the preceding part. Also protec</w:t>
      </w:r>
      <w:r w:rsidR="00D3535E">
        <w:rPr>
          <w:i/>
          <w:iCs/>
          <w:lang w:val="en-GB"/>
        </w:rPr>
        <w:t>ted animal species are included. The last section is “</w:t>
      </w:r>
      <w:r w:rsidR="006B5488">
        <w:rPr>
          <w:i/>
          <w:iCs/>
          <w:lang w:val="en-GB"/>
        </w:rPr>
        <w:t>Kill</w:t>
      </w:r>
      <w:r w:rsidR="00D3535E">
        <w:rPr>
          <w:i/>
          <w:iCs/>
          <w:lang w:val="en-GB"/>
        </w:rPr>
        <w:t xml:space="preserve">ing of </w:t>
      </w:r>
      <w:r w:rsidR="008D22CD">
        <w:rPr>
          <w:i/>
          <w:iCs/>
          <w:lang w:val="en-GB"/>
        </w:rPr>
        <w:t>the other animals”.</w:t>
      </w: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Note (symbols used in the tables):</w:t>
      </w: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 xml:space="preserve">. data </w:t>
      </w:r>
      <w:r w:rsidR="0022329B">
        <w:rPr>
          <w:rFonts w:ascii="Arial" w:hAnsi="Arial" w:cs="Arial"/>
          <w:i/>
          <w:iCs/>
          <w:sz w:val="20"/>
          <w:lang w:val="en-US"/>
        </w:rPr>
        <w:t>un</w:t>
      </w:r>
      <w:r>
        <w:rPr>
          <w:rFonts w:ascii="Arial" w:hAnsi="Arial" w:cs="Arial"/>
          <w:i/>
          <w:iCs/>
          <w:sz w:val="20"/>
          <w:lang w:val="en-US"/>
        </w:rPr>
        <w:t xml:space="preserve">available or </w:t>
      </w:r>
      <w:r w:rsidR="0022329B">
        <w:rPr>
          <w:rFonts w:ascii="Arial" w:hAnsi="Arial" w:cs="Arial"/>
          <w:i/>
          <w:iCs/>
          <w:sz w:val="20"/>
          <w:lang w:val="en-US"/>
        </w:rPr>
        <w:t>un</w:t>
      </w:r>
      <w:r>
        <w:rPr>
          <w:rFonts w:ascii="Arial" w:hAnsi="Arial" w:cs="Arial"/>
          <w:i/>
          <w:iCs/>
          <w:sz w:val="20"/>
          <w:lang w:val="en-US"/>
        </w:rPr>
        <w:t>reliable</w:t>
      </w:r>
    </w:p>
    <w:p w:rsidR="00AB254F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US"/>
        </w:rPr>
      </w:pPr>
      <w:r>
        <w:rPr>
          <w:rFonts w:ascii="Arial" w:hAnsi="Arial" w:cs="Arial"/>
          <w:i/>
          <w:iCs/>
          <w:sz w:val="20"/>
          <w:lang w:val="en-US"/>
        </w:rPr>
        <w:t>x not applicable</w:t>
      </w:r>
      <w:bookmarkStart w:id="0" w:name="_GoBack"/>
      <w:bookmarkEnd w:id="0"/>
    </w:p>
    <w:sectPr w:rsidR="00AB254F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F9C"/>
    <w:rsid w:val="0022329B"/>
    <w:rsid w:val="00360DC4"/>
    <w:rsid w:val="003657AB"/>
    <w:rsid w:val="006B5488"/>
    <w:rsid w:val="006C7E6C"/>
    <w:rsid w:val="007E41D5"/>
    <w:rsid w:val="008D22CD"/>
    <w:rsid w:val="0090427A"/>
    <w:rsid w:val="00AB254F"/>
    <w:rsid w:val="00B45F9C"/>
    <w:rsid w:val="00D3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pPr>
      <w:ind w:firstLine="708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 w:cs="Arial"/>
      <w:i/>
      <w:iCs/>
      <w:sz w:val="20"/>
    </w:rPr>
  </w:style>
  <w:style w:type="character" w:customStyle="1" w:styleId="ZkladntextodsazenChar">
    <w:name w:val="Základní text odsazený Char"/>
    <w:link w:val="Zkladntextodsazen"/>
    <w:semiHidden/>
    <w:rsid w:val="0022329B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Josef Kahuda</cp:lastModifiedBy>
  <cp:revision>7</cp:revision>
  <cp:lastPrinted>2007-05-10T12:34:00Z</cp:lastPrinted>
  <dcterms:created xsi:type="dcterms:W3CDTF">2015-08-07T10:30:00Z</dcterms:created>
  <dcterms:modified xsi:type="dcterms:W3CDTF">2019-08-05T13:04:00Z</dcterms:modified>
</cp:coreProperties>
</file>