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FB" w:rsidRDefault="00400FEF" w:rsidP="00D32055">
      <w:pPr>
        <w:pStyle w:val="Nadpis1"/>
      </w:pPr>
      <w:r>
        <w:t xml:space="preserve">Využití </w:t>
      </w:r>
      <w:r w:rsidR="00D32055">
        <w:t>INTERNETOVÉHO PRODEJE</w:t>
      </w:r>
      <w:r>
        <w:t xml:space="preserve"> v</w:t>
      </w:r>
      <w:r w:rsidR="00D32055">
        <w:t> </w:t>
      </w:r>
      <w:r>
        <w:t>maloobchodě</w:t>
      </w:r>
      <w:bookmarkStart w:id="0" w:name="_GoBack"/>
      <w:bookmarkEnd w:id="0"/>
    </w:p>
    <w:p w:rsidR="00BE58BF" w:rsidRDefault="00BE58BF" w:rsidP="00873E7D">
      <w:pPr>
        <w:pStyle w:val="Nadpis3"/>
        <w:spacing w:before="120" w:after="360"/>
      </w:pPr>
    </w:p>
    <w:p w:rsidR="00400FEF" w:rsidRDefault="00400FEF" w:rsidP="00873E7D">
      <w:pPr>
        <w:pStyle w:val="Nadpis3"/>
        <w:spacing w:before="120" w:after="360"/>
      </w:pPr>
      <w:r>
        <w:t>Výsledky jednorázového šetření</w:t>
      </w:r>
      <w:r w:rsidR="006F65DB">
        <w:t xml:space="preserve"> za rok 2013</w:t>
      </w:r>
    </w:p>
    <w:p w:rsidR="000920EC" w:rsidRDefault="00A51594" w:rsidP="007662A7">
      <w:pPr>
        <w:spacing w:after="120"/>
      </w:pPr>
      <w:r>
        <w:t xml:space="preserve">Nakupování přes internet </w:t>
      </w:r>
      <w:r w:rsidR="000920EC">
        <w:t xml:space="preserve">je dnes již </w:t>
      </w:r>
      <w:r w:rsidR="00E1495C">
        <w:t>docela obvyklým</w:t>
      </w:r>
      <w:r w:rsidR="000920EC">
        <w:t xml:space="preserve"> způsobem pořízení potřebného zboží</w:t>
      </w:r>
      <w:r>
        <w:t xml:space="preserve"> </w:t>
      </w:r>
      <w:r w:rsidR="00E1495C">
        <w:t>a</w:t>
      </w:r>
      <w:r>
        <w:t xml:space="preserve"> v </w:t>
      </w:r>
      <w:r w:rsidR="000920EC">
        <w:t xml:space="preserve">současné </w:t>
      </w:r>
      <w:r>
        <w:t xml:space="preserve">informační době nabývá stále větší obliby. </w:t>
      </w:r>
      <w:r w:rsidR="00C0413D">
        <w:t xml:space="preserve">Podle statistiky Informačních a komunikačních technologií </w:t>
      </w:r>
      <w:r w:rsidR="002A7088">
        <w:t>počet domácností vybavených počítačem stále stoupá</w:t>
      </w:r>
      <w:r w:rsidR="003D736A">
        <w:t xml:space="preserve">. S rozvojem </w:t>
      </w:r>
      <w:r w:rsidR="000920EC">
        <w:t xml:space="preserve">komunikačních </w:t>
      </w:r>
      <w:r w:rsidR="003D736A">
        <w:t xml:space="preserve">technologií však již počítač není jediným přístupovým bodem na internet. Stále populárnější se stávají tablety a chytré telefony, s jejichž pomocí </w:t>
      </w:r>
      <w:r w:rsidR="009C4EB5">
        <w:t xml:space="preserve">se lze </w:t>
      </w:r>
      <w:r w:rsidR="000920EC">
        <w:t xml:space="preserve">nejen </w:t>
      </w:r>
      <w:r w:rsidR="009C4EB5">
        <w:t>pohybovat na internetu</w:t>
      </w:r>
      <w:r w:rsidR="000920EC">
        <w:t>, ale i nakupovat a platit zboží bez přímého kontaktu s obchodníkem</w:t>
      </w:r>
      <w:r w:rsidR="009C4EB5">
        <w:t xml:space="preserve">. </w:t>
      </w:r>
    </w:p>
    <w:p w:rsidR="00A60D5D" w:rsidRDefault="00E1495C" w:rsidP="00651B2C">
      <w:pPr>
        <w:spacing w:after="120"/>
      </w:pPr>
      <w:r>
        <w:t>V roce 2013 mělo p</w:t>
      </w:r>
      <w:r w:rsidR="00A60D5D">
        <w:t xml:space="preserve">řístup na </w:t>
      </w:r>
      <w:r w:rsidR="007F514A">
        <w:t>internet 67 % domácností, což bylo</w:t>
      </w:r>
      <w:r w:rsidR="00A60D5D">
        <w:t xml:space="preserve"> více než dvakrát tolik ve srovnání s rokem 2007.</w:t>
      </w:r>
      <w:r w:rsidR="000920EC">
        <w:t xml:space="preserve"> Přitom </w:t>
      </w:r>
      <w:r w:rsidR="00911D95">
        <w:t xml:space="preserve">v domácnostech s dětmi </w:t>
      </w:r>
      <w:r w:rsidR="00FC3EF0">
        <w:t>vykázalo přístup k</w:t>
      </w:r>
      <w:r w:rsidR="00911D95">
        <w:t xml:space="preserve"> internetu 92 %, </w:t>
      </w:r>
      <w:r w:rsidR="00E70064">
        <w:t xml:space="preserve">v domácnostech bez dětí </w:t>
      </w:r>
      <w:r w:rsidR="00043C3F">
        <w:t>je procento výrazně nižší,</w:t>
      </w:r>
      <w:r w:rsidR="00911D95">
        <w:t xml:space="preserve"> jen </w:t>
      </w:r>
      <w:r w:rsidR="00E70064">
        <w:t xml:space="preserve">57 %. Je patrné, že na internetu se pohybují zejména mladší lidé a mladé rodiny. </w:t>
      </w:r>
      <w:r w:rsidR="00D70918">
        <w:t>Tento trend</w:t>
      </w:r>
      <w:r w:rsidR="007F514A">
        <w:t xml:space="preserve"> potvrdily</w:t>
      </w:r>
      <w:r w:rsidR="00CD3917">
        <w:t xml:space="preserve"> i údaje o jednotlivcích</w:t>
      </w:r>
      <w:r w:rsidR="009E2A8E">
        <w:t>, kdy s přibývajícím věkem klesalo</w:t>
      </w:r>
      <w:r w:rsidR="00352BFC">
        <w:t xml:space="preserve"> procento </w:t>
      </w:r>
      <w:r w:rsidR="00FA553F">
        <w:t>těch</w:t>
      </w:r>
      <w:r w:rsidR="00352BFC">
        <w:t xml:space="preserve">, kteří </w:t>
      </w:r>
      <w:r w:rsidR="009E2A8E">
        <w:t xml:space="preserve">používali </w:t>
      </w:r>
      <w:r w:rsidR="00352BFC">
        <w:t xml:space="preserve">internet. Ve skupině </w:t>
      </w:r>
      <w:r w:rsidR="0066223C">
        <w:t xml:space="preserve">od 16 do 24 let </w:t>
      </w:r>
      <w:r w:rsidR="00043C3F">
        <w:t>uvedlo využívání internetu</w:t>
      </w:r>
      <w:r w:rsidR="00ED27B6">
        <w:t xml:space="preserve"> celkem</w:t>
      </w:r>
      <w:r w:rsidR="00352BFC">
        <w:t xml:space="preserve"> 97 %, ve věkové kategorii 25 až 44 let pak </w:t>
      </w:r>
      <w:r w:rsidR="00ED27B6">
        <w:t>91 %</w:t>
      </w:r>
      <w:r w:rsidR="0066223C">
        <w:t xml:space="preserve">. </w:t>
      </w:r>
      <w:r w:rsidR="00043C3F">
        <w:t xml:space="preserve">U vyšších věkových kategorií se procento výrazně </w:t>
      </w:r>
      <w:r w:rsidR="000A6612">
        <w:t>snížilo</w:t>
      </w:r>
      <w:r w:rsidR="00043C3F">
        <w:t>, ještě</w:t>
      </w:r>
      <w:r w:rsidR="0066223C">
        <w:t> 81 %</w:t>
      </w:r>
      <w:r w:rsidR="00043C3F">
        <w:t xml:space="preserve"> lidí pod 55 let využív</w:t>
      </w:r>
      <w:r w:rsidR="000A6612">
        <w:t>alo</w:t>
      </w:r>
      <w:r w:rsidR="00043C3F">
        <w:t xml:space="preserve"> internet, ale pak procento s věkem prudce </w:t>
      </w:r>
      <w:r w:rsidR="00043C3F" w:rsidRPr="00306113">
        <w:t>kles</w:t>
      </w:r>
      <w:r w:rsidR="000A6612">
        <w:t>lo</w:t>
      </w:r>
      <w:r w:rsidR="00043C3F" w:rsidRPr="00306113">
        <w:t xml:space="preserve"> </w:t>
      </w:r>
      <w:r w:rsidR="00FA553F" w:rsidRPr="00306113">
        <w:t>(</w:t>
      </w:r>
      <w:r w:rsidR="004B1856" w:rsidRPr="00306113">
        <w:t>údaje z</w:t>
      </w:r>
      <w:r w:rsidR="00D538AB" w:rsidRPr="00306113">
        <w:t xml:space="preserve"> výběrového</w:t>
      </w:r>
      <w:r w:rsidR="00FA553F" w:rsidRPr="00306113">
        <w:t xml:space="preserve"> šetření</w:t>
      </w:r>
      <w:r w:rsidR="004B1856" w:rsidRPr="00306113">
        <w:t xml:space="preserve"> </w:t>
      </w:r>
      <w:r w:rsidR="00360B31" w:rsidRPr="00306113">
        <w:t>„Využívání informačních a komunikačních technologií v domácnostech a mezi jednotlivci 2013“</w:t>
      </w:r>
      <w:r w:rsidR="00FA553F" w:rsidRPr="00306113">
        <w:t>)</w:t>
      </w:r>
      <w:r w:rsidR="0066223C" w:rsidRPr="00306113">
        <w:t>.</w:t>
      </w:r>
    </w:p>
    <w:p w:rsidR="000B2374" w:rsidRDefault="00A22141" w:rsidP="007662A7">
      <w:pPr>
        <w:spacing w:after="120"/>
      </w:pPr>
      <w:r>
        <w:t xml:space="preserve">Výsledky </w:t>
      </w:r>
      <w:r w:rsidR="00FA553F">
        <w:t xml:space="preserve">uvedeného </w:t>
      </w:r>
      <w:r>
        <w:t xml:space="preserve">šetření </w:t>
      </w:r>
      <w:r w:rsidR="006F0D6D">
        <w:t>ukázaly</w:t>
      </w:r>
      <w:r>
        <w:t xml:space="preserve">, že </w:t>
      </w:r>
      <w:r w:rsidR="00FA553F">
        <w:t xml:space="preserve">roste obliba využití internetu </w:t>
      </w:r>
      <w:r w:rsidR="00E1495C">
        <w:t xml:space="preserve">také </w:t>
      </w:r>
      <w:r w:rsidR="00FA553F">
        <w:t xml:space="preserve">k nakupování zboží i služeb. </w:t>
      </w:r>
      <w:r w:rsidR="000B2374">
        <w:t xml:space="preserve">Zatímco v roce 2007 nakoupilo přes internet 15 % </w:t>
      </w:r>
      <w:r w:rsidR="00FA553F">
        <w:t>šetřené populace</w:t>
      </w:r>
      <w:r w:rsidR="000B2374">
        <w:t>, v roce 2010 to bylo již 25 % a v roce 2013 již přes 34 %</w:t>
      </w:r>
      <w:r w:rsidR="00195DDE">
        <w:t>, přičemž 50</w:t>
      </w:r>
      <w:r w:rsidR="00E1495C">
        <w:t xml:space="preserve"> </w:t>
      </w:r>
      <w:r w:rsidR="00195DDE">
        <w:t xml:space="preserve">% </w:t>
      </w:r>
      <w:r w:rsidR="00406F04">
        <w:t>byli</w:t>
      </w:r>
      <w:r w:rsidR="00FA553F">
        <w:t xml:space="preserve"> mladí lidé ve věku </w:t>
      </w:r>
      <w:r w:rsidR="00EF09C7">
        <w:t xml:space="preserve">16 až 34 </w:t>
      </w:r>
      <w:r w:rsidR="00B841A5">
        <w:t>let</w:t>
      </w:r>
      <w:r w:rsidR="00EF09C7" w:rsidRPr="003E6E2C">
        <w:t xml:space="preserve">. </w:t>
      </w:r>
      <w:r w:rsidR="0085295D" w:rsidRPr="003E6E2C">
        <w:t xml:space="preserve">Ze šetření, uskutečněného ve druhém </w:t>
      </w:r>
      <w:r w:rsidR="00F200ED" w:rsidRPr="003E6E2C">
        <w:t>čtvrtletí</w:t>
      </w:r>
      <w:r w:rsidR="00F200ED">
        <w:t xml:space="preserve"> roku 2013</w:t>
      </w:r>
      <w:r w:rsidR="003E6E2C">
        <w:t>,</w:t>
      </w:r>
      <w:r w:rsidR="00F200ED">
        <w:t xml:space="preserve"> </w:t>
      </w:r>
      <w:r w:rsidR="00807680">
        <w:t>se mezi jednotlivci nad 16 let věku v posledních 12 měsících nejčastěji přes internet nakupovalo oblečení, obuv a módní doplňky</w:t>
      </w:r>
      <w:r w:rsidR="0001548E">
        <w:t xml:space="preserve"> (47 %). </w:t>
      </w:r>
      <w:r w:rsidR="00F731CA">
        <w:t xml:space="preserve">Kosmetiku a zdravotnické prostředky zakoupilo 25 % jednotlivců, elektroniku 23 % a sportovní potřeby 22 % nakupujících. </w:t>
      </w:r>
      <w:r w:rsidR="005709AB">
        <w:t>Méně často lidé nakupovali knihy a časopisy (17 %), hry a hračky (13 %) a bílou techniku a elektrospotřebiče pro domácnost (11 %).</w:t>
      </w:r>
    </w:p>
    <w:p w:rsidR="006A3106" w:rsidRDefault="00FA553F" w:rsidP="004B1856">
      <w:pPr>
        <w:spacing w:after="120"/>
      </w:pPr>
      <w:r>
        <w:t xml:space="preserve">Oblibu a stále zvyšující se zájem o nákupy přes internet dokazují </w:t>
      </w:r>
      <w:r w:rsidR="005F4E92">
        <w:t>i</w:t>
      </w:r>
      <w:r>
        <w:t xml:space="preserve"> zvyšující se tržby v</w:t>
      </w:r>
      <w:r w:rsidR="00195DDE">
        <w:t> </w:t>
      </w:r>
      <w:r>
        <w:t>obchodech</w:t>
      </w:r>
      <w:r w:rsidR="00195DDE">
        <w:t xml:space="preserve"> realizujících svůj prodej převážně prostřednictvím internetu nebo zásilkové služby, přičemž tyto dvě formy v posledních letech již téměř splývají</w:t>
      </w:r>
      <w:r>
        <w:t xml:space="preserve">. </w:t>
      </w:r>
      <w:r w:rsidR="006A3106">
        <w:t>O</w:t>
      </w:r>
      <w:r w:rsidR="006A3106" w:rsidRPr="00147C01">
        <w:t xml:space="preserve">bchody </w:t>
      </w:r>
      <w:r w:rsidR="006A3106">
        <w:t xml:space="preserve">specializující se na tuto formu prodeje </w:t>
      </w:r>
      <w:r w:rsidR="006A3106" w:rsidRPr="00147C01">
        <w:t>jako jedny z mála skupin maloobchodních podniků vykazovaly rostoucí tendence i v obdobích, kdy domácnosti vlivem zhoršené ekonomické situace začaly šetřit</w:t>
      </w:r>
      <w:r w:rsidR="00E1495C">
        <w:t xml:space="preserve"> a</w:t>
      </w:r>
      <w:r w:rsidR="006A3106" w:rsidRPr="00147C01">
        <w:t xml:space="preserve"> celkov</w:t>
      </w:r>
      <w:r w:rsidR="00E1495C">
        <w:t>é</w:t>
      </w:r>
      <w:r w:rsidR="006A3106" w:rsidRPr="00147C01">
        <w:t xml:space="preserve"> maloobchodní</w:t>
      </w:r>
      <w:r w:rsidR="00E1495C">
        <w:t xml:space="preserve"> trž</w:t>
      </w:r>
      <w:r w:rsidR="006A3106" w:rsidRPr="00147C01">
        <w:t>b</w:t>
      </w:r>
      <w:r w:rsidR="00E1495C">
        <w:t>y</w:t>
      </w:r>
      <w:r w:rsidR="006A3106" w:rsidRPr="00147C01">
        <w:t xml:space="preserve"> za spotřební zboží </w:t>
      </w:r>
      <w:r w:rsidR="00E1495C">
        <w:t xml:space="preserve">stagnovaly </w:t>
      </w:r>
      <w:r w:rsidR="006A3106" w:rsidRPr="00147C01">
        <w:t xml:space="preserve">(ve stálých cenách) – viz graf č. 1. </w:t>
      </w:r>
    </w:p>
    <w:p w:rsidR="005F4E92" w:rsidRDefault="005F4E92" w:rsidP="004B1856">
      <w:pPr>
        <w:spacing w:after="120"/>
      </w:pPr>
    </w:p>
    <w:p w:rsidR="001D57FD" w:rsidRPr="005B75A7" w:rsidRDefault="001D57FD" w:rsidP="001D57FD">
      <w:pPr>
        <w:keepNext/>
        <w:jc w:val="center"/>
        <w:rPr>
          <w:b/>
          <w:szCs w:val="20"/>
        </w:rPr>
      </w:pPr>
      <w:r w:rsidRPr="005B75A7">
        <w:rPr>
          <w:b/>
          <w:szCs w:val="20"/>
        </w:rPr>
        <w:lastRenderedPageBreak/>
        <w:t>Graf č. 1 Vývoj tržeb ve stálých cenách od rok</w:t>
      </w:r>
      <w:r>
        <w:rPr>
          <w:b/>
          <w:szCs w:val="20"/>
        </w:rPr>
        <w:t>u 2001</w:t>
      </w:r>
    </w:p>
    <w:p w:rsidR="001D57FD" w:rsidRDefault="001D57FD" w:rsidP="001D57FD">
      <w:pPr>
        <w:keepNext/>
        <w:spacing w:after="120" w:line="240" w:lineRule="auto"/>
        <w:jc w:val="center"/>
        <w:rPr>
          <w:noProof/>
          <w:lang w:eastAsia="cs-CZ"/>
        </w:rPr>
      </w:pPr>
      <w:r w:rsidRPr="00EB3737">
        <w:rPr>
          <w:noProof/>
          <w:lang w:eastAsia="cs-CZ"/>
        </w:rPr>
        <w:t>(průměr roku 20</w:t>
      </w:r>
      <w:r>
        <w:rPr>
          <w:noProof/>
          <w:lang w:eastAsia="cs-CZ"/>
        </w:rPr>
        <w:t>10</w:t>
      </w:r>
      <w:r w:rsidRPr="00EB3737">
        <w:rPr>
          <w:noProof/>
          <w:lang w:eastAsia="cs-CZ"/>
        </w:rPr>
        <w:t xml:space="preserve"> = 100)</w:t>
      </w:r>
    </w:p>
    <w:p w:rsidR="001D57FD" w:rsidRDefault="004D6BFB" w:rsidP="001D57FD">
      <w:pPr>
        <w:keepNext/>
        <w:spacing w:after="120" w:line="240" w:lineRule="auto"/>
        <w:jc w:val="center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02.75pt;height:262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">
            <v:imagedata r:id="rId9" o:title=""/>
            <o:lock v:ext="edit" aspectratio="f"/>
          </v:shape>
        </w:pict>
      </w:r>
    </w:p>
    <w:p w:rsidR="000C382D" w:rsidRPr="008304C1" w:rsidRDefault="002A453A" w:rsidP="00CA7CA3">
      <w:pPr>
        <w:spacing w:after="120"/>
      </w:pPr>
      <w:r w:rsidRPr="008304C1">
        <w:t>V odvětví maloobchodního internet</w:t>
      </w:r>
      <w:r w:rsidR="00705D20" w:rsidRPr="008304C1">
        <w:t>ového</w:t>
      </w:r>
      <w:r w:rsidRPr="008304C1">
        <w:t xml:space="preserve"> a zásilkového prodeje (CZ-NACE 4791) podnikalo v roce 2013 </w:t>
      </w:r>
      <w:r w:rsidR="00762379" w:rsidRPr="008304C1">
        <w:t xml:space="preserve">téměř </w:t>
      </w:r>
      <w:r w:rsidRPr="008304C1">
        <w:t>3 tisíce</w:t>
      </w:r>
      <w:r w:rsidRPr="008304C1">
        <w:rPr>
          <w:vertAlign w:val="superscript"/>
        </w:rPr>
        <w:footnoteReference w:customMarkFollows="1" w:id="1"/>
        <w:t>1)</w:t>
      </w:r>
      <w:r w:rsidRPr="008304C1">
        <w:t xml:space="preserve"> aktivních podnikatelských subjektů. </w:t>
      </w:r>
      <w:r w:rsidR="00410C8E" w:rsidRPr="008304C1">
        <w:t>Toto odvětví zaměstnávalo bezmála 5 tisíc</w:t>
      </w:r>
      <w:r w:rsidR="00AD7704" w:rsidRPr="00AD7704">
        <w:rPr>
          <w:vertAlign w:val="superscript"/>
        </w:rPr>
        <w:t>1)</w:t>
      </w:r>
      <w:r w:rsidR="00410C8E" w:rsidRPr="008304C1">
        <w:t xml:space="preserve"> zaměstnanců.</w:t>
      </w:r>
    </w:p>
    <w:p w:rsidR="000C382D" w:rsidRDefault="005F4E92" w:rsidP="004824A8">
      <w:pPr>
        <w:keepNext/>
        <w:spacing w:after="120"/>
      </w:pPr>
      <w:r w:rsidRPr="008304C1">
        <w:t xml:space="preserve">Podíl tržeb v internetových obchodech </w:t>
      </w:r>
      <w:r w:rsidR="00E1495C" w:rsidRPr="008304C1">
        <w:t xml:space="preserve">(včetně zásilkových) </w:t>
      </w:r>
      <w:r w:rsidR="000C382D" w:rsidRPr="008304C1">
        <w:t>dynamicky rost</w:t>
      </w:r>
      <w:r w:rsidR="00F33ACA">
        <w:t>l</w:t>
      </w:r>
      <w:r w:rsidR="000C382D" w:rsidRPr="008304C1">
        <w:t>. Jejich podíl ne</w:t>
      </w:r>
      <w:r w:rsidR="00F33ACA">
        <w:t>byl</w:t>
      </w:r>
      <w:r w:rsidR="000C382D" w:rsidRPr="008304C1">
        <w:t xml:space="preserve"> sice na celkovém maloobchodě tak výrazný, jak by se mohlo zdát (4,2 % z celkového maloobchodu v roce 2013</w:t>
      </w:r>
      <w:r w:rsidR="00AD7704" w:rsidRPr="00AD7704">
        <w:rPr>
          <w:vertAlign w:val="superscript"/>
        </w:rPr>
        <w:t>1)</w:t>
      </w:r>
      <w:r w:rsidR="00EB1DF5">
        <w:t>, což představovalo téměř 40 mld. Kč</w:t>
      </w:r>
      <w:r w:rsidR="00B65118">
        <w:rPr>
          <w:vertAlign w:val="superscript"/>
        </w:rPr>
        <w:t>1)</w:t>
      </w:r>
      <w:r w:rsidR="000C382D" w:rsidRPr="008304C1">
        <w:t>), ale to zejména proto, že v maloobchodu s potravinami, který tvoří značnou část tržeb celkového maloobchodu (42 %), je tato forma teprve na počátku svého rozvoje. Odpočteme-li z celkového maloobchodu tržby v prodejnách s převahou potravin, pohonných hmot a ve stáncích a na trzích, kde internetový prodej buď není rozšířen, nebo nepřipadá v úvahu, pak podíl tržeb v maloobchodě prostřednictvím internetu, nebo zásilkové služby (CZ-NACE 4791) činil v roce 2013</w:t>
      </w:r>
      <w:r w:rsidR="00AD7704" w:rsidRPr="00AD7704">
        <w:rPr>
          <w:vertAlign w:val="superscript"/>
        </w:rPr>
        <w:t xml:space="preserve">1) </w:t>
      </w:r>
      <w:r w:rsidR="000C382D" w:rsidRPr="008304C1">
        <w:t>téměř 10</w:t>
      </w:r>
      <w:r w:rsidR="00895BEF">
        <w:t> </w:t>
      </w:r>
      <w:r w:rsidR="000C382D" w:rsidRPr="008304C1">
        <w:t xml:space="preserve">% a proti roku 2011 se zvýšil o 0,7 </w:t>
      </w:r>
      <w:proofErr w:type="spellStart"/>
      <w:proofErr w:type="gramStart"/>
      <w:r w:rsidR="000C382D" w:rsidRPr="008304C1">
        <w:t>p.b</w:t>
      </w:r>
      <w:proofErr w:type="spellEnd"/>
      <w:r w:rsidR="000C382D" w:rsidRPr="008304C1">
        <w:t>.</w:t>
      </w:r>
      <w:proofErr w:type="gramEnd"/>
    </w:p>
    <w:p w:rsidR="001D57FD" w:rsidRDefault="00922F68" w:rsidP="00CA7CA3">
      <w:pPr>
        <w:spacing w:after="120"/>
      </w:pPr>
      <w:r w:rsidRPr="004F6D61">
        <w:t>Internetovou</w:t>
      </w:r>
      <w:r>
        <w:t xml:space="preserve"> formu prodeje si díky své vzrůstající oblibě u spotřebitelů osvojily i některé klasicky kamenné prodejny, které tak rozšiřují okruh</w:t>
      </w:r>
      <w:r w:rsidR="0090675E">
        <w:t xml:space="preserve"> svých potenciálních zákazníků. </w:t>
      </w:r>
      <w:r w:rsidR="003E2CA0">
        <w:t>Naopak internetov</w:t>
      </w:r>
      <w:r w:rsidR="000C66FE">
        <w:t>é</w:t>
      </w:r>
      <w:r w:rsidR="003E2CA0">
        <w:t xml:space="preserve"> obchody </w:t>
      </w:r>
      <w:r w:rsidR="00993493">
        <w:t>začaly provozovat síť tzv</w:t>
      </w:r>
      <w:r w:rsidR="000C66FE">
        <w:t xml:space="preserve">. </w:t>
      </w:r>
      <w:r w:rsidR="003E2CA0">
        <w:t xml:space="preserve">výdejních míst, kde si zákazníci mohou zboží objednané přes internet nejen vyzvednout, ale při přebírání i prohlédnout a vyzkoušet. </w:t>
      </w:r>
      <w:r w:rsidR="0090675E">
        <w:t>Vedle striktně internetových</w:t>
      </w:r>
      <w:r w:rsidR="00D93031">
        <w:t xml:space="preserve"> a kamenných</w:t>
      </w:r>
      <w:r w:rsidR="0090675E">
        <w:t xml:space="preserve"> obchodů tak </w:t>
      </w:r>
      <w:r w:rsidR="00337E54">
        <w:t>existuje</w:t>
      </w:r>
      <w:r w:rsidR="0090675E">
        <w:t xml:space="preserve"> sku</w:t>
      </w:r>
      <w:r w:rsidR="00417909">
        <w:t>pina obchodníků, kteří provozovali</w:t>
      </w:r>
      <w:r w:rsidR="0090675E">
        <w:t xml:space="preserve"> obě formy prodeje</w:t>
      </w:r>
      <w:r w:rsidR="00491507">
        <w:t>.</w:t>
      </w:r>
    </w:p>
    <w:p w:rsidR="00A3008A" w:rsidRPr="000F73E4" w:rsidRDefault="00927174" w:rsidP="00CA7CA3">
      <w:pPr>
        <w:spacing w:after="120"/>
      </w:pPr>
      <w:r>
        <w:lastRenderedPageBreak/>
        <w:t>V roce 2012</w:t>
      </w:r>
      <w:r w:rsidR="000F0E81">
        <w:t xml:space="preserve"> </w:t>
      </w:r>
      <w:r w:rsidR="00A3008A" w:rsidRPr="000F73E4">
        <w:t xml:space="preserve">Český statistický úřad provedl dotazníkové šetření </w:t>
      </w:r>
      <w:r w:rsidR="000F0E81">
        <w:t xml:space="preserve">o </w:t>
      </w:r>
      <w:r w:rsidR="000F0E81" w:rsidRPr="000F73E4">
        <w:t>for</w:t>
      </w:r>
      <w:r w:rsidR="000F0E81">
        <w:t>mách</w:t>
      </w:r>
      <w:r w:rsidR="000F0E81" w:rsidRPr="000F73E4">
        <w:t xml:space="preserve"> </w:t>
      </w:r>
      <w:r w:rsidR="00A3008A" w:rsidRPr="000F73E4">
        <w:t xml:space="preserve">maloobchodního prodeje zboží v České republice </w:t>
      </w:r>
      <w:r w:rsidR="00A3008A">
        <w:t>a jejich rozsah</w:t>
      </w:r>
      <w:r w:rsidR="000F0E81">
        <w:t>u</w:t>
      </w:r>
      <w:r w:rsidR="00A3008A">
        <w:t xml:space="preserve"> z pohledu tržeb </w:t>
      </w:r>
      <w:r w:rsidR="00A3008A" w:rsidRPr="000F73E4">
        <w:t xml:space="preserve">za rok 2011 </w:t>
      </w:r>
      <w:r w:rsidR="00A3008A">
        <w:t xml:space="preserve">s cílem </w:t>
      </w:r>
      <w:r w:rsidR="00A3008A" w:rsidRPr="000F73E4">
        <w:t xml:space="preserve">zmapovat </w:t>
      </w:r>
      <w:r w:rsidR="000F0E81">
        <w:t xml:space="preserve">mimo jiné i </w:t>
      </w:r>
      <w:r w:rsidR="00A3008A" w:rsidRPr="000F73E4">
        <w:t>rozsah a strukturu prodejů uskutečněných prostřednictví</w:t>
      </w:r>
      <w:r w:rsidR="001B4F24">
        <w:t>m</w:t>
      </w:r>
      <w:r w:rsidR="00A3008A" w:rsidRPr="000F73E4">
        <w:t xml:space="preserve"> internetu či jiných forem prodeje zboží, bez ohledu na to, která forma prodeje v podniku převládá. </w:t>
      </w:r>
      <w:r w:rsidR="000F0E81">
        <w:t>V letošním roce toto šetření zopakoval</w:t>
      </w:r>
      <w:r w:rsidR="00B80C0E">
        <w:t xml:space="preserve"> s cílem porovnat změny, ke kterým během dvou let v této oblasti došlo.</w:t>
      </w:r>
    </w:p>
    <w:p w:rsidR="00E12D53" w:rsidRDefault="00C63583" w:rsidP="00CA7CA3">
      <w:pPr>
        <w:spacing w:after="120"/>
      </w:pPr>
      <w:r w:rsidRPr="003A4FD5">
        <w:t>Do šetření</w:t>
      </w:r>
      <w:r>
        <w:t xml:space="preserve"> obou let</w:t>
      </w:r>
      <w:r w:rsidRPr="003A4FD5">
        <w:t xml:space="preserve"> byly zahrnuty maloobchodní jednotky spadající svou převažující činností do CZ</w:t>
      </w:r>
      <w:r w:rsidRPr="003A4FD5">
        <w:noBreakHyphen/>
        <w:t>NACE 47 „Maloobchod, kromě motorových vozidel“, s výjimkou CZ-NACE 478 „Maloobchod ve stáncích a na trzích“ a CZ-NACE 473 „Maloobchodní prodej pohonných hmot</w:t>
      </w:r>
      <w:r w:rsidRPr="004B64C7">
        <w:t>“</w:t>
      </w:r>
      <w:r w:rsidR="001F442F">
        <w:t>,</w:t>
      </w:r>
      <w:r w:rsidR="00B80C0E">
        <w:t xml:space="preserve"> u kterých se internetová forma prodeje nepředpokládá</w:t>
      </w:r>
      <w:r w:rsidRPr="004B64C7">
        <w:t>. </w:t>
      </w:r>
      <w:r w:rsidR="000C66FE">
        <w:t>D</w:t>
      </w:r>
      <w:r w:rsidR="000C66FE" w:rsidRPr="0061690C">
        <w:t>otazníkem</w:t>
      </w:r>
      <w:r w:rsidR="000C66FE" w:rsidRPr="004B64C7">
        <w:t xml:space="preserve"> </w:t>
      </w:r>
      <w:r w:rsidRPr="004B64C7">
        <w:t xml:space="preserve">bylo obesláno </w:t>
      </w:r>
      <w:r w:rsidRPr="0061690C">
        <w:t xml:space="preserve">přes </w:t>
      </w:r>
      <w:r>
        <w:t>3 200</w:t>
      </w:r>
      <w:r w:rsidRPr="0061690C">
        <w:t xml:space="preserve"> jednotek, z toho dotazník vyplnilo </w:t>
      </w:r>
      <w:r>
        <w:t>2 157</w:t>
      </w:r>
      <w:r w:rsidRPr="0061690C">
        <w:t xml:space="preserve"> jednotek</w:t>
      </w:r>
      <w:r w:rsidRPr="00CA7CA3">
        <w:t>.</w:t>
      </w:r>
      <w:r w:rsidRPr="0061690C">
        <w:t xml:space="preserve"> </w:t>
      </w:r>
      <w:r>
        <w:t xml:space="preserve">U některých jednotek byla následně zjištěna jiná převažující činnost, takže konečné výsledky zahrnují </w:t>
      </w:r>
      <w:r w:rsidR="00884E30">
        <w:t xml:space="preserve">celkem </w:t>
      </w:r>
      <w:r>
        <w:t xml:space="preserve">1 807 maloobchodních jednotek. </w:t>
      </w:r>
      <w:r w:rsidR="00B80C0E">
        <w:t xml:space="preserve">V uvedeném počtu bylo </w:t>
      </w:r>
      <w:r w:rsidR="00884E30">
        <w:t xml:space="preserve">1 425 </w:t>
      </w:r>
      <w:r w:rsidR="00B80C0E" w:rsidRPr="00884E30">
        <w:t>obchodníků prodávajících své zboží převážně v</w:t>
      </w:r>
      <w:r w:rsidR="00E12D53" w:rsidRPr="00884E30">
        <w:t> </w:t>
      </w:r>
      <w:r w:rsidR="00B80C0E" w:rsidRPr="00884E30">
        <w:t>prodejnách</w:t>
      </w:r>
      <w:r w:rsidR="00E12D53" w:rsidRPr="00884E30">
        <w:t xml:space="preserve"> a </w:t>
      </w:r>
      <w:r w:rsidR="00884E30" w:rsidRPr="00884E30">
        <w:t>382</w:t>
      </w:r>
      <w:r w:rsidR="00E12D53" w:rsidRPr="00884E30">
        <w:t xml:space="preserve"> mimo prodejny</w:t>
      </w:r>
      <w:r w:rsidR="00E12D53">
        <w:t xml:space="preserve">, stánky a trhy. </w:t>
      </w:r>
    </w:p>
    <w:p w:rsidR="00C63583" w:rsidRPr="003A4FD5" w:rsidRDefault="000C66FE" w:rsidP="00CA7CA3">
      <w:pPr>
        <w:spacing w:after="120"/>
      </w:pPr>
      <w:r w:rsidRPr="00C06004">
        <w:t>Cílem zjišťování bylo mimo jiné zjistit, jak jednotlivé typy maloobchodních podniků využíva</w:t>
      </w:r>
      <w:r w:rsidR="0055490C">
        <w:t>ly</w:t>
      </w:r>
      <w:r w:rsidRPr="00C06004">
        <w:t xml:space="preserve"> další formy prodeje svého zboží. </w:t>
      </w:r>
      <w:r w:rsidR="00E12D53" w:rsidRPr="00C06004">
        <w:t xml:space="preserve">Šetření se </w:t>
      </w:r>
      <w:r w:rsidRPr="00C06004">
        <w:t>navíc</w:t>
      </w:r>
      <w:r w:rsidR="00E12D53" w:rsidRPr="00C06004">
        <w:t xml:space="preserve"> zvlášť zaměřilo na internetov</w:t>
      </w:r>
      <w:r w:rsidR="00E30A7F">
        <w:t>ý prodej</w:t>
      </w:r>
      <w:r w:rsidR="00E12D53" w:rsidRPr="00C06004">
        <w:t>.</w:t>
      </w:r>
      <w:r w:rsidRPr="00C06004">
        <w:t xml:space="preserve"> </w:t>
      </w:r>
      <w:r w:rsidR="00C63583" w:rsidRPr="00C06004">
        <w:t xml:space="preserve">Z hlediska forem prodeje byly podniky </w:t>
      </w:r>
      <w:r w:rsidR="00E12D53" w:rsidRPr="00C06004">
        <w:t xml:space="preserve">proto </w:t>
      </w:r>
      <w:r w:rsidR="00C63583" w:rsidRPr="00C06004">
        <w:t>dotazovány</w:t>
      </w:r>
      <w:r w:rsidR="00C63583" w:rsidRPr="003A4FD5">
        <w:t>, zda prodej zboží realizují:</w:t>
      </w:r>
    </w:p>
    <w:p w:rsidR="00C63583" w:rsidRPr="003A4FD5" w:rsidRDefault="00C63583" w:rsidP="00CA7CA3">
      <w:pPr>
        <w:numPr>
          <w:ilvl w:val="0"/>
          <w:numId w:val="4"/>
        </w:numPr>
        <w:spacing w:after="120"/>
      </w:pPr>
      <w:r w:rsidRPr="003A4FD5">
        <w:t>v prodejnách: prodejna byla definována jako stálé prodejní místo (ne prodejní stanoviště, stánky apod.), vlastní nebo pronajaté, kam přicházejí zákazníci nakupovat, ne zboží pouze vyzvednout; za prodejnu byl považován i prodejní sklad, kde si může zákazník zboží vybrat a zakoupit na místě</w:t>
      </w:r>
    </w:p>
    <w:p w:rsidR="00C63583" w:rsidRPr="003A4FD5" w:rsidRDefault="00C63583" w:rsidP="00CA7CA3">
      <w:pPr>
        <w:numPr>
          <w:ilvl w:val="0"/>
          <w:numId w:val="4"/>
        </w:numPr>
        <w:spacing w:after="120"/>
      </w:pPr>
      <w:r w:rsidRPr="003A4FD5">
        <w:t>prostřednictvím internetu: internetový prodej byl pro účely uvedeného šetření vymezen možností objednání zboží prostřednictvím internetové sítě, e-</w:t>
      </w:r>
      <w:proofErr w:type="spellStart"/>
      <w:r w:rsidRPr="003A4FD5">
        <w:t>shopu</w:t>
      </w:r>
      <w:proofErr w:type="spellEnd"/>
      <w:r w:rsidRPr="003A4FD5">
        <w:t xml:space="preserve">, WEB stránek, </w:t>
      </w:r>
      <w:proofErr w:type="spellStart"/>
      <w:r w:rsidRPr="003A4FD5">
        <w:t>Facebooku</w:t>
      </w:r>
      <w:proofErr w:type="spellEnd"/>
      <w:r w:rsidRPr="003A4FD5">
        <w:t xml:space="preserve"> apod., bez ohledu na formu placení a způsob zaslání nebo vyzvednutí zboží</w:t>
      </w:r>
    </w:p>
    <w:p w:rsidR="00C63583" w:rsidRPr="003A4FD5" w:rsidRDefault="00C63583" w:rsidP="00CA7CA3">
      <w:pPr>
        <w:numPr>
          <w:ilvl w:val="0"/>
          <w:numId w:val="4"/>
        </w:numPr>
        <w:spacing w:after="120"/>
      </w:pPr>
      <w:r w:rsidRPr="003A4FD5">
        <w:t>jinou formou prodeje: například stánkový prodej, prodej na tržištích, zásilkový obchod, přímý prodej, obchod prostřednictvím automatů apod., případně velkoobchod.</w:t>
      </w:r>
    </w:p>
    <w:p w:rsidR="00A733FE" w:rsidRDefault="00A733FE" w:rsidP="00A733FE">
      <w:pPr>
        <w:spacing w:before="120" w:after="120" w:line="240" w:lineRule="auto"/>
        <w:outlineLvl w:val="0"/>
        <w:rPr>
          <w:b/>
          <w:sz w:val="22"/>
        </w:rPr>
      </w:pPr>
    </w:p>
    <w:p w:rsidR="00A733FE" w:rsidRPr="00A339BB" w:rsidRDefault="00A733FE" w:rsidP="00A733FE">
      <w:pPr>
        <w:spacing w:before="120" w:after="120" w:line="240" w:lineRule="auto"/>
        <w:outlineLvl w:val="0"/>
        <w:rPr>
          <w:b/>
          <w:sz w:val="22"/>
        </w:rPr>
      </w:pPr>
      <w:r w:rsidRPr="00A339BB">
        <w:rPr>
          <w:b/>
          <w:sz w:val="22"/>
        </w:rPr>
        <w:t>Internetový prodej versus kamenné prodejny</w:t>
      </w:r>
    </w:p>
    <w:p w:rsidR="00AC04BE" w:rsidRDefault="009F27DB" w:rsidP="00CA7CA3">
      <w:pPr>
        <w:spacing w:after="120"/>
      </w:pPr>
      <w:r w:rsidRPr="009F27DB">
        <w:t xml:space="preserve">Silná konkurence nutí obchodníky přicházet s novými nápady na podporu prodeje svého zboží, zejména ho přiblížit co nejširší skupině zákazníků. Již šetření za rok 2011 ukázalo, že 21 % obchodníků z klasických kamenných prodejen </w:t>
      </w:r>
      <w:r w:rsidRPr="003C2039">
        <w:t>využívá k prodeji zboží také internetový prodej. Tento podíl se v roce 2013 ještě o 2,5 % zvýšil. Stejně tak na změny požadavků zákazníků reag</w:t>
      </w:r>
      <w:r w:rsidR="00BF30B2">
        <w:t>ovaly</w:t>
      </w:r>
      <w:r w:rsidRPr="003C2039">
        <w:t xml:space="preserve"> i zásilkové obchody, které ke své formě prodeje přidáva</w:t>
      </w:r>
      <w:r w:rsidR="00BF30B2">
        <w:t>ly</w:t>
      </w:r>
      <w:r w:rsidRPr="003C2039">
        <w:t xml:space="preserve"> </w:t>
      </w:r>
      <w:r w:rsidR="000C66FE" w:rsidRPr="003C2039">
        <w:t>naopak zase</w:t>
      </w:r>
      <w:r w:rsidRPr="003C2039">
        <w:t xml:space="preserve"> prodej v kamenných provozovnách</w:t>
      </w:r>
      <w:r w:rsidR="00B80C0E" w:rsidRPr="003C2039">
        <w:t xml:space="preserve"> </w:t>
      </w:r>
      <w:r w:rsidR="000C66FE" w:rsidRPr="003C2039">
        <w:t>a dále</w:t>
      </w:r>
      <w:r w:rsidR="00134578" w:rsidRPr="003C2039">
        <w:t xml:space="preserve"> také</w:t>
      </w:r>
      <w:r w:rsidR="000C66FE" w:rsidRPr="003C2039">
        <w:t xml:space="preserve"> rozšiř</w:t>
      </w:r>
      <w:r w:rsidR="00BF30B2">
        <w:t>ovaly</w:t>
      </w:r>
      <w:r w:rsidR="000C66FE" w:rsidRPr="003C2039">
        <w:t xml:space="preserve"> prodej přes internet</w:t>
      </w:r>
      <w:r w:rsidR="00A374A4">
        <w:t>.</w:t>
      </w:r>
    </w:p>
    <w:p w:rsidR="0090675E" w:rsidRDefault="0073765C" w:rsidP="00CA7CA3">
      <w:pPr>
        <w:spacing w:after="120"/>
      </w:pPr>
      <w:r>
        <w:t xml:space="preserve">Naopak </w:t>
      </w:r>
      <w:r w:rsidR="00E12D53">
        <w:t>tzv.</w:t>
      </w:r>
      <w:r w:rsidR="00E12D53" w:rsidRPr="009F27DB">
        <w:t xml:space="preserve"> </w:t>
      </w:r>
      <w:r w:rsidR="009F27DB" w:rsidRPr="009F27DB">
        <w:t>kamen</w:t>
      </w:r>
      <w:r w:rsidR="0018407D">
        <w:t>n</w:t>
      </w:r>
      <w:r w:rsidR="009F27DB" w:rsidRPr="009F27DB">
        <w:t>ou prodejnu</w:t>
      </w:r>
      <w:r w:rsidR="00E12D53">
        <w:t>, tedy místo, kde si zákazník může zboží vybrat a zakoupit</w:t>
      </w:r>
      <w:r w:rsidR="0018407D">
        <w:t>,</w:t>
      </w:r>
      <w:r w:rsidR="00E12D53">
        <w:t xml:space="preserve"> provozovalo</w:t>
      </w:r>
      <w:r w:rsidR="009F27DB" w:rsidRPr="009F27DB">
        <w:t xml:space="preserve"> </w:t>
      </w:r>
      <w:r>
        <w:t xml:space="preserve">v roce 2011 téměř </w:t>
      </w:r>
      <w:r w:rsidR="009F27DB" w:rsidRPr="009F27DB">
        <w:t xml:space="preserve">43 % internetových obchodů, </w:t>
      </w:r>
      <w:r w:rsidR="00E12D53">
        <w:t xml:space="preserve">což potvrdilo předpoklady, že ne vždy zákazníkovi stačí vidět zboží jen na obrazovce počítače, </w:t>
      </w:r>
      <w:r w:rsidR="00E12D53" w:rsidRPr="003C2039">
        <w:t>notebooku, apod., ale chce si ho i osahat</w:t>
      </w:r>
      <w:r w:rsidR="00687D53" w:rsidRPr="003C2039">
        <w:t xml:space="preserve">, </w:t>
      </w:r>
      <w:r w:rsidR="003F5146" w:rsidRPr="003C2039">
        <w:t xml:space="preserve">prohlédnout, </w:t>
      </w:r>
      <w:r w:rsidR="00687D53" w:rsidRPr="003C2039">
        <w:t xml:space="preserve">vyzkoušet. </w:t>
      </w:r>
      <w:r w:rsidR="0017777E" w:rsidRPr="003C2039">
        <w:t>V š</w:t>
      </w:r>
      <w:r w:rsidR="00687D53" w:rsidRPr="003C2039">
        <w:t>etření za rok</w:t>
      </w:r>
      <w:r w:rsidR="009F27DB" w:rsidRPr="003C2039">
        <w:t xml:space="preserve"> 2013</w:t>
      </w:r>
      <w:r w:rsidR="00687D53" w:rsidRPr="003C2039">
        <w:t xml:space="preserve"> </w:t>
      </w:r>
      <w:r w:rsidR="0017777E" w:rsidRPr="003C2039">
        <w:t>se je</w:t>
      </w:r>
      <w:r w:rsidR="001944AB" w:rsidRPr="003C2039">
        <w:t xml:space="preserve">jich podíl </w:t>
      </w:r>
      <w:r w:rsidR="00134578" w:rsidRPr="003C2039">
        <w:t xml:space="preserve">sice </w:t>
      </w:r>
      <w:r w:rsidR="001944AB" w:rsidRPr="003C2039">
        <w:t>mírně snížil na 39 %</w:t>
      </w:r>
      <w:r w:rsidR="00134578" w:rsidRPr="003C2039">
        <w:t>, d</w:t>
      </w:r>
      <w:r w:rsidR="009F27DB" w:rsidRPr="003C2039">
        <w:t xml:space="preserve">ochází </w:t>
      </w:r>
      <w:r w:rsidR="001944AB" w:rsidRPr="003C2039">
        <w:t xml:space="preserve">však </w:t>
      </w:r>
      <w:r w:rsidR="009F27DB" w:rsidRPr="003C2039">
        <w:t>k nárůstu výdejních míst</w:t>
      </w:r>
      <w:r w:rsidR="00134578" w:rsidRPr="003C2039">
        <w:t xml:space="preserve">, kde je možné si objednané zboží však jen vyzvednout, a to nejen v prostorách prodejce, ale i smluvních partnerů </w:t>
      </w:r>
      <w:r w:rsidR="009F27DB" w:rsidRPr="003C2039">
        <w:t xml:space="preserve">(např. </w:t>
      </w:r>
      <w:proofErr w:type="spellStart"/>
      <w:r w:rsidR="009F27DB" w:rsidRPr="003C2039">
        <w:t>Zásilkovna</w:t>
      </w:r>
      <w:proofErr w:type="spellEnd"/>
      <w:r w:rsidR="009F27DB" w:rsidRPr="003C2039">
        <w:t xml:space="preserve">, </w:t>
      </w:r>
      <w:proofErr w:type="spellStart"/>
      <w:r w:rsidR="009F27DB" w:rsidRPr="003C2039">
        <w:t>Uloženka</w:t>
      </w:r>
      <w:proofErr w:type="spellEnd"/>
      <w:r w:rsidR="009F27DB" w:rsidRPr="003C2039">
        <w:t xml:space="preserve"> apod.).</w:t>
      </w:r>
      <w:r w:rsidR="00687D53" w:rsidRPr="003C2039">
        <w:t xml:space="preserve"> </w:t>
      </w:r>
      <w:r w:rsidR="00134578" w:rsidRPr="003C2039">
        <w:t>Tento typ provozovny však nebyl předmětem šetření.</w:t>
      </w:r>
    </w:p>
    <w:p w:rsidR="00AC04BE" w:rsidRDefault="00687D53" w:rsidP="00CA7CA3">
      <w:pPr>
        <w:spacing w:after="120"/>
      </w:pPr>
      <w:r>
        <w:lastRenderedPageBreak/>
        <w:t xml:space="preserve">Jak již ukázalo předchozí </w:t>
      </w:r>
      <w:r w:rsidR="00134578">
        <w:t>zjišťován</w:t>
      </w:r>
      <w:r w:rsidR="00760CC3">
        <w:t>í, část obchodníků v</w:t>
      </w:r>
      <w:r w:rsidR="000E1E1D">
        <w:t>yužívala</w:t>
      </w:r>
      <w:r>
        <w:t xml:space="preserve"> několik forem prodeje souběžně. </w:t>
      </w:r>
      <w:r w:rsidR="00AC04BE" w:rsidRPr="00D10F21">
        <w:t>Z celkového počtu podniků, které odpověděly na dotazník</w:t>
      </w:r>
      <w:r>
        <w:t xml:space="preserve"> v letošním šetření</w:t>
      </w:r>
      <w:r w:rsidR="00413391">
        <w:t>,</w:t>
      </w:r>
      <w:r w:rsidR="00D93910">
        <w:t xml:space="preserve"> </w:t>
      </w:r>
      <w:r w:rsidR="00AC04BE" w:rsidRPr="00D10F21">
        <w:t xml:space="preserve">více než čtvrtina </w:t>
      </w:r>
      <w:r w:rsidR="001944AB">
        <w:t>maloobchodní</w:t>
      </w:r>
      <w:r w:rsidR="00D93910">
        <w:t xml:space="preserve">ků </w:t>
      </w:r>
      <w:r w:rsidR="00AC04BE" w:rsidRPr="00D10F21">
        <w:t>uvedla, že využívá a kombinuje více možností</w:t>
      </w:r>
      <w:r w:rsidR="00D93910">
        <w:t xml:space="preserve"> realizace prodeje svého zboží. </w:t>
      </w:r>
      <w:r w:rsidR="00AC04BE" w:rsidRPr="00D10F21">
        <w:t xml:space="preserve"> Většinou se jednalo o kombinaci klasické kamenné prodejny a internetového obchodu, ale zhruba 5 % respondentů uvedlo</w:t>
      </w:r>
      <w:r w:rsidR="00AC04BE">
        <w:t xml:space="preserve">, že souběžně k prodeji </w:t>
      </w:r>
      <w:r w:rsidR="00AC04BE" w:rsidRPr="00D10F21">
        <w:t>zboží využívá 3 a více forem prodeje zboží.</w:t>
      </w:r>
      <w:r w:rsidR="00AC04BE">
        <w:t xml:space="preserve"> </w:t>
      </w:r>
      <w:r w:rsidR="00721C01">
        <w:t xml:space="preserve">Oproti roku 2011 poklesl prodej s jednou formou o téměř 2 % </w:t>
      </w:r>
      <w:r w:rsidR="003246B4">
        <w:t>ve prospěch</w:t>
      </w:r>
      <w:r w:rsidR="00721C01">
        <w:t xml:space="preserve"> prodeje </w:t>
      </w:r>
      <w:r w:rsidR="00BF0950">
        <w:t>s více</w:t>
      </w:r>
      <w:r w:rsidR="00721C01">
        <w:t xml:space="preserve"> formami.</w:t>
      </w:r>
    </w:p>
    <w:p w:rsidR="00AC04BE" w:rsidRPr="005B75A7" w:rsidRDefault="00AC04BE" w:rsidP="00AC04BE">
      <w:pPr>
        <w:keepNext/>
        <w:jc w:val="center"/>
        <w:rPr>
          <w:b/>
          <w:szCs w:val="20"/>
        </w:rPr>
      </w:pPr>
      <w:r w:rsidRPr="003D4393">
        <w:rPr>
          <w:b/>
          <w:szCs w:val="20"/>
        </w:rPr>
        <w:t xml:space="preserve">Graf č. 2 Podniky dle počtu využívaných forem maloobchodního </w:t>
      </w:r>
      <w:r w:rsidRPr="00E356C8">
        <w:rPr>
          <w:b/>
          <w:szCs w:val="20"/>
        </w:rPr>
        <w:t>prodeje v roce 2013</w:t>
      </w:r>
    </w:p>
    <w:p w:rsidR="00AC04BE" w:rsidRDefault="004D6BFB" w:rsidP="00AC04BE">
      <w:pPr>
        <w:spacing w:after="120" w:line="240" w:lineRule="auto"/>
        <w:jc w:val="center"/>
      </w:pPr>
      <w:r>
        <w:rPr>
          <w:noProof/>
          <w:lang w:eastAsia="cs-CZ"/>
        </w:rPr>
        <w:pict>
          <v:shape id="_x0000_i1026" type="#_x0000_t75" style="width:5in;height:176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">
            <v:imagedata r:id="rId10" o:title="" cropbottom="-93f"/>
            <o:lock v:ext="edit" aspectratio="f"/>
          </v:shape>
        </w:pict>
      </w:r>
    </w:p>
    <w:p w:rsidR="00E248BE" w:rsidRDefault="00D93910" w:rsidP="00CA7CA3">
      <w:pPr>
        <w:spacing w:after="120"/>
      </w:pPr>
      <w:r>
        <w:t xml:space="preserve">Dle mezinárodní </w:t>
      </w:r>
      <w:r w:rsidR="00834397">
        <w:t>odvětvové klasifikace CZ-NACE</w:t>
      </w:r>
      <w:r>
        <w:t xml:space="preserve"> rozlišujeme </w:t>
      </w:r>
      <w:r w:rsidR="00A37445">
        <w:t xml:space="preserve">maloobchodní podniky </w:t>
      </w:r>
      <w:r>
        <w:t xml:space="preserve">dle </w:t>
      </w:r>
      <w:r w:rsidR="00A37445">
        <w:t>formy prodeje, která u nich převažuje.</w:t>
      </w:r>
      <w:r w:rsidR="00247C33">
        <w:t xml:space="preserve"> </w:t>
      </w:r>
      <w:r w:rsidR="00A37445">
        <w:t>P</w:t>
      </w:r>
      <w:r w:rsidR="00834397">
        <w:t xml:space="preserve">ro účely </w:t>
      </w:r>
      <w:r w:rsidR="00A37445">
        <w:t xml:space="preserve">další </w:t>
      </w:r>
      <w:r w:rsidR="00834397">
        <w:t>analýzy</w:t>
      </w:r>
      <w:r w:rsidR="00A37445">
        <w:t xml:space="preserve"> jsme je</w:t>
      </w:r>
      <w:r w:rsidR="00834397">
        <w:t xml:space="preserve"> rozdělili do </w:t>
      </w:r>
      <w:r w:rsidR="00A37445">
        <w:t xml:space="preserve">čtyř </w:t>
      </w:r>
      <w:r w:rsidR="00834397">
        <w:t>skupin:</w:t>
      </w:r>
    </w:p>
    <w:p w:rsidR="004E672C" w:rsidRPr="003D4393" w:rsidRDefault="0071609C" w:rsidP="004E672C">
      <w:pPr>
        <w:numPr>
          <w:ilvl w:val="0"/>
          <w:numId w:val="2"/>
        </w:numPr>
        <w:spacing w:after="80" w:line="240" w:lineRule="auto"/>
        <w:ind w:left="714" w:hanging="357"/>
      </w:pPr>
      <w:r>
        <w:t xml:space="preserve">Prodejny – </w:t>
      </w:r>
      <w:r w:rsidR="00276303">
        <w:t>prodejci</w:t>
      </w:r>
      <w:r w:rsidR="004E672C" w:rsidRPr="003D4393">
        <w:t xml:space="preserve"> ve specializovaných a nespecializovaných prodejnách</w:t>
      </w:r>
      <w:r w:rsidR="007138A6">
        <w:t xml:space="preserve"> (převaha prodeje zboží v tzv. kamenných obchodech</w:t>
      </w:r>
      <w:r w:rsidR="004E672C" w:rsidRPr="003D4393">
        <w:t>) – CZ-NACE 471 až 477</w:t>
      </w:r>
    </w:p>
    <w:p w:rsidR="004E672C" w:rsidRPr="003D4393" w:rsidRDefault="0071609C" w:rsidP="004E672C">
      <w:pPr>
        <w:numPr>
          <w:ilvl w:val="0"/>
          <w:numId w:val="2"/>
        </w:numPr>
        <w:spacing w:after="80" w:line="240" w:lineRule="auto"/>
        <w:ind w:left="714" w:hanging="357"/>
      </w:pPr>
      <w:r>
        <w:t xml:space="preserve">Internetový prodej – </w:t>
      </w:r>
      <w:r w:rsidR="004E672C" w:rsidRPr="003D4393">
        <w:t>internetov</w:t>
      </w:r>
      <w:r w:rsidR="00276303">
        <w:t>í obchodníci</w:t>
      </w:r>
      <w:r w:rsidR="004E672C" w:rsidRPr="003D4393">
        <w:t xml:space="preserve"> – CZ-NACE 47911</w:t>
      </w:r>
    </w:p>
    <w:p w:rsidR="004E672C" w:rsidRPr="003D4393" w:rsidRDefault="0071609C" w:rsidP="004E672C">
      <w:pPr>
        <w:numPr>
          <w:ilvl w:val="0"/>
          <w:numId w:val="2"/>
        </w:numPr>
        <w:spacing w:after="80" w:line="240" w:lineRule="auto"/>
        <w:ind w:left="714" w:hanging="357"/>
      </w:pPr>
      <w:r>
        <w:t xml:space="preserve">Zásilkový prodej – </w:t>
      </w:r>
      <w:r w:rsidR="00276303">
        <w:t>obchodníci</w:t>
      </w:r>
      <w:r w:rsidR="004E672C" w:rsidRPr="003D4393">
        <w:t xml:space="preserve"> s převahou zásilkových služeb – CZ-NACE 47912</w:t>
      </w:r>
    </w:p>
    <w:p w:rsidR="004E672C" w:rsidRPr="003D4393" w:rsidRDefault="0071609C" w:rsidP="004E672C">
      <w:pPr>
        <w:numPr>
          <w:ilvl w:val="0"/>
          <w:numId w:val="2"/>
        </w:numPr>
        <w:spacing w:after="80" w:line="240" w:lineRule="auto"/>
        <w:ind w:left="714" w:hanging="357"/>
      </w:pPr>
      <w:r>
        <w:t xml:space="preserve">Ostatní prodej – </w:t>
      </w:r>
      <w:r w:rsidR="00276303">
        <w:t>ostatní maloobchodníci</w:t>
      </w:r>
      <w:r w:rsidR="004E672C" w:rsidRPr="003D4393">
        <w:t xml:space="preserve"> – CZ-NACE 4799 (přímý nebo podomní prodej, prodej prostřednictvím automatů, aukcí, obchodních zástupců, apod.)</w:t>
      </w:r>
    </w:p>
    <w:p w:rsidR="004E672C" w:rsidRPr="003D4393" w:rsidRDefault="004E672C" w:rsidP="004E672C">
      <w:pPr>
        <w:spacing w:line="240" w:lineRule="auto"/>
        <w:ind w:left="714"/>
        <w:rPr>
          <w:sz w:val="16"/>
          <w:szCs w:val="16"/>
        </w:rPr>
      </w:pPr>
    </w:p>
    <w:p w:rsidR="004E672C" w:rsidRPr="003D4393" w:rsidRDefault="004E672C" w:rsidP="004E672C">
      <w:pPr>
        <w:spacing w:line="240" w:lineRule="auto"/>
        <w:outlineLvl w:val="0"/>
      </w:pPr>
      <w:r w:rsidRPr="003D4393">
        <w:t>Následující tabulka ukazuje, nakolik se jednotlivé formy maloobchodního prodeje prolína</w:t>
      </w:r>
      <w:r w:rsidR="00187F80">
        <w:t>ly</w:t>
      </w:r>
      <w:r w:rsidRPr="003D4393">
        <w:t xml:space="preserve">. </w:t>
      </w:r>
    </w:p>
    <w:p w:rsidR="004E672C" w:rsidRPr="006F65DB" w:rsidRDefault="004E672C" w:rsidP="004E672C">
      <w:pPr>
        <w:spacing w:line="240" w:lineRule="auto"/>
        <w:rPr>
          <w:sz w:val="16"/>
          <w:szCs w:val="16"/>
          <w:highlight w:val="yellow"/>
        </w:rPr>
      </w:pPr>
    </w:p>
    <w:p w:rsidR="004E672C" w:rsidRPr="006E769F" w:rsidRDefault="004E672C" w:rsidP="004E672C">
      <w:pPr>
        <w:spacing w:after="120" w:line="240" w:lineRule="auto"/>
        <w:jc w:val="center"/>
        <w:outlineLvl w:val="0"/>
        <w:rPr>
          <w:b/>
          <w:szCs w:val="20"/>
        </w:rPr>
      </w:pPr>
      <w:r w:rsidRPr="006E769F">
        <w:rPr>
          <w:b/>
          <w:szCs w:val="20"/>
        </w:rPr>
        <w:t xml:space="preserve">Tab. </w:t>
      </w:r>
      <w:proofErr w:type="gramStart"/>
      <w:r w:rsidRPr="006E769F">
        <w:rPr>
          <w:b/>
          <w:szCs w:val="20"/>
        </w:rPr>
        <w:t>č.</w:t>
      </w:r>
      <w:proofErr w:type="gramEnd"/>
      <w:r w:rsidRPr="006E769F">
        <w:rPr>
          <w:b/>
          <w:szCs w:val="20"/>
        </w:rPr>
        <w:t xml:space="preserve"> 1 Přehled forem maloobchodního </w:t>
      </w:r>
      <w:r w:rsidRPr="00E356C8">
        <w:rPr>
          <w:b/>
          <w:szCs w:val="20"/>
        </w:rPr>
        <w:t>prodeje v</w:t>
      </w:r>
      <w:r w:rsidR="00B53923">
        <w:rPr>
          <w:b/>
          <w:szCs w:val="20"/>
        </w:rPr>
        <w:t> letech 2011 a</w:t>
      </w:r>
      <w:r w:rsidRPr="00E356C8">
        <w:rPr>
          <w:b/>
          <w:szCs w:val="20"/>
        </w:rPr>
        <w:t xml:space="preserve"> 2013</w:t>
      </w:r>
    </w:p>
    <w:tbl>
      <w:tblPr>
        <w:tblW w:w="8040" w:type="dxa"/>
        <w:jc w:val="center"/>
        <w:tblBorders>
          <w:top w:val="single" w:sz="1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75"/>
        <w:gridCol w:w="685"/>
        <w:gridCol w:w="765"/>
        <w:gridCol w:w="695"/>
        <w:gridCol w:w="735"/>
        <w:gridCol w:w="725"/>
        <w:gridCol w:w="720"/>
        <w:gridCol w:w="760"/>
      </w:tblGrid>
      <w:tr w:rsidR="002F4E84" w:rsidRPr="006E769F" w:rsidTr="002F4E84">
        <w:trPr>
          <w:trHeight w:val="397"/>
          <w:jc w:val="center"/>
        </w:trPr>
        <w:tc>
          <w:tcPr>
            <w:tcW w:w="22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4E84" w:rsidRPr="006E769F" w:rsidRDefault="002F4E84" w:rsidP="00DD1B6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E769F">
              <w:rPr>
                <w:rFonts w:eastAsia="Times New Roman"/>
                <w:b/>
                <w:color w:val="000000"/>
                <w:lang w:eastAsia="cs-CZ"/>
              </w:rPr>
              <w:t>Forma obchodu, která je v podniku převažující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E84" w:rsidRPr="006E769F" w:rsidRDefault="002F4E84" w:rsidP="00DD1B6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E769F">
              <w:rPr>
                <w:rFonts w:eastAsia="Times New Roman"/>
                <w:b/>
                <w:color w:val="000000"/>
                <w:lang w:eastAsia="cs-CZ"/>
              </w:rPr>
              <w:t>Počet jednotek v</w:t>
            </w:r>
            <w:r>
              <w:rPr>
                <w:rFonts w:eastAsia="Times New Roman"/>
                <w:b/>
                <w:color w:val="000000"/>
                <w:lang w:eastAsia="cs-CZ"/>
              </w:rPr>
              <w:t> </w:t>
            </w:r>
            <w:r w:rsidRPr="006E769F">
              <w:rPr>
                <w:rFonts w:eastAsia="Times New Roman"/>
                <w:b/>
                <w:color w:val="000000"/>
                <w:lang w:eastAsia="cs-CZ"/>
              </w:rPr>
              <w:t>souboru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E84" w:rsidRPr="006E769F" w:rsidRDefault="002F4E84" w:rsidP="00DD1B6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E769F">
              <w:rPr>
                <w:rFonts w:eastAsia="Times New Roman"/>
                <w:b/>
                <w:color w:val="000000"/>
                <w:lang w:eastAsia="cs-CZ"/>
              </w:rPr>
              <w:t>Počet jednotek s prodejnami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E84" w:rsidRPr="006E769F" w:rsidRDefault="002F4E84" w:rsidP="00DD1B6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E769F">
              <w:rPr>
                <w:rFonts w:eastAsia="Times New Roman"/>
                <w:b/>
                <w:color w:val="000000"/>
                <w:lang w:eastAsia="cs-CZ"/>
              </w:rPr>
              <w:t>Počet jednotek s internetovým obchodem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E84" w:rsidRPr="006E769F" w:rsidRDefault="002F4E84" w:rsidP="00DD1B6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E769F">
              <w:rPr>
                <w:rFonts w:eastAsia="Times New Roman"/>
                <w:b/>
                <w:color w:val="000000"/>
                <w:lang w:eastAsia="cs-CZ"/>
              </w:rPr>
              <w:t>Počet jednotek s jinou formou</w:t>
            </w:r>
          </w:p>
        </w:tc>
      </w:tr>
      <w:tr w:rsidR="002F4E84" w:rsidRPr="006E769F" w:rsidTr="002F4E84">
        <w:trPr>
          <w:trHeight w:val="230"/>
          <w:jc w:val="center"/>
        </w:trPr>
        <w:tc>
          <w:tcPr>
            <w:tcW w:w="2280" w:type="dxa"/>
            <w:vMerge/>
            <w:shd w:val="clear" w:color="auto" w:fill="auto"/>
            <w:noWrap/>
            <w:vAlign w:val="bottom"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E84" w:rsidRPr="006E769F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84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E84" w:rsidRPr="006E769F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84" w:rsidRPr="006E769F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E84" w:rsidRPr="006E769F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84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E84" w:rsidRPr="006E769F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84" w:rsidRDefault="002F4E84" w:rsidP="002F4E84">
            <w:pPr>
              <w:spacing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</w:tr>
      <w:tr w:rsidR="002F4E84" w:rsidRPr="006E769F" w:rsidTr="002F4E84">
        <w:trPr>
          <w:trHeight w:val="230"/>
          <w:jc w:val="center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Prodejny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1 835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1 425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1 835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F4E84" w:rsidRPr="006E769F" w:rsidRDefault="002F4E84" w:rsidP="00134578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 xml:space="preserve">1 </w:t>
            </w:r>
            <w:r>
              <w:rPr>
                <w:rFonts w:eastAsia="Times New Roman"/>
                <w:color w:val="000000"/>
                <w:lang w:eastAsia="cs-CZ"/>
              </w:rPr>
              <w:t>425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386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335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125</w:t>
            </w:r>
          </w:p>
        </w:tc>
      </w:tr>
      <w:tr w:rsidR="002F4E84" w:rsidRPr="006E769F" w:rsidTr="002F4E84">
        <w:trPr>
          <w:trHeight w:val="288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Internetový</w:t>
            </w:r>
            <w:r>
              <w:rPr>
                <w:rFonts w:eastAsia="Times New Roman"/>
                <w:color w:val="000000"/>
                <w:lang w:eastAsia="cs-CZ"/>
              </w:rPr>
              <w:t xml:space="preserve"> prodej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301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  <w:r w:rsidRPr="006E769F">
              <w:rPr>
                <w:rFonts w:eastAsia="Times New Roman"/>
                <w:color w:val="000000"/>
                <w:lang w:eastAsia="cs-CZ"/>
              </w:rPr>
              <w:t>9</w:t>
            </w:r>
            <w:r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128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116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301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2F4E84" w:rsidRPr="006E769F" w:rsidRDefault="002F4E84" w:rsidP="00134578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28</w:t>
            </w:r>
          </w:p>
        </w:tc>
      </w:tr>
      <w:tr w:rsidR="002F4E84" w:rsidRPr="006E769F" w:rsidTr="002F4E84">
        <w:trPr>
          <w:trHeight w:val="264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Zásilkový</w:t>
            </w:r>
            <w:r>
              <w:rPr>
                <w:rFonts w:eastAsia="Times New Roman"/>
                <w:color w:val="000000"/>
                <w:lang w:eastAsia="cs-CZ"/>
              </w:rPr>
              <w:t xml:space="preserve"> prodej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2</w:t>
            </w: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1</w:t>
            </w: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2</w:t>
            </w: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</w:tr>
      <w:tr w:rsidR="002F4E84" w:rsidRPr="006E769F" w:rsidTr="002F4E84">
        <w:trPr>
          <w:trHeight w:val="297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Ostatní</w:t>
            </w:r>
            <w:r>
              <w:rPr>
                <w:rFonts w:eastAsia="Times New Roman"/>
                <w:color w:val="000000"/>
                <w:lang w:eastAsia="cs-CZ"/>
              </w:rPr>
              <w:t xml:space="preserve"> prodej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106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19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106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65</w:t>
            </w:r>
          </w:p>
        </w:tc>
      </w:tr>
      <w:tr w:rsidR="002F4E84" w:rsidRPr="006E769F" w:rsidTr="002F4E84">
        <w:trPr>
          <w:trHeight w:val="286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F4E84" w:rsidRPr="006E769F" w:rsidRDefault="002F4E84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>Celkový součet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2 265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1 807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1 983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2F4E84" w:rsidRPr="006E769F" w:rsidRDefault="002F4E84" w:rsidP="0091428C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E769F">
              <w:rPr>
                <w:rFonts w:eastAsia="Times New Roman"/>
                <w:color w:val="000000"/>
                <w:lang w:eastAsia="cs-CZ"/>
              </w:rPr>
              <w:t xml:space="preserve">1 </w:t>
            </w:r>
            <w:r>
              <w:rPr>
                <w:rFonts w:eastAsia="Times New Roman"/>
                <w:color w:val="000000"/>
                <w:lang w:eastAsia="cs-CZ"/>
              </w:rPr>
              <w:t>56</w:t>
            </w:r>
            <w:r w:rsidR="0091428C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721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2F4E84" w:rsidRPr="006E769F" w:rsidRDefault="002F4E84" w:rsidP="0091428C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65</w:t>
            </w:r>
            <w:r w:rsidR="0091428C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F4E84" w:rsidRPr="006E769F" w:rsidRDefault="00C21E51" w:rsidP="002F4E84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280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2F4E84" w:rsidRPr="006E769F" w:rsidRDefault="002F4E84" w:rsidP="00DD1B65">
            <w:pPr>
              <w:spacing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239</w:t>
            </w:r>
          </w:p>
        </w:tc>
      </w:tr>
    </w:tbl>
    <w:p w:rsidR="006258A2" w:rsidRDefault="002A71BF" w:rsidP="00CA7CA3">
      <w:pPr>
        <w:spacing w:after="120"/>
      </w:pPr>
      <w:r w:rsidRPr="003248CA">
        <w:lastRenderedPageBreak/>
        <w:t xml:space="preserve">Z celkového počtu 1 425 podniků, které </w:t>
      </w:r>
      <w:r w:rsidR="00134578">
        <w:t>deklar</w:t>
      </w:r>
      <w:r w:rsidR="0051217C">
        <w:t>ovaly</w:t>
      </w:r>
      <w:r w:rsidR="00134578">
        <w:t xml:space="preserve"> převahu obchodu v</w:t>
      </w:r>
      <w:r w:rsidRPr="003248CA">
        <w:t xml:space="preserve"> prodej</w:t>
      </w:r>
      <w:r>
        <w:t>n</w:t>
      </w:r>
      <w:r w:rsidR="00134578">
        <w:t>ách</w:t>
      </w:r>
      <w:r w:rsidRPr="003248CA">
        <w:t xml:space="preserve"> a </w:t>
      </w:r>
      <w:r w:rsidRPr="006258A2">
        <w:t>kter</w:t>
      </w:r>
      <w:r w:rsidR="0051217C">
        <w:t>é se šetření zúčastnily, využívalo</w:t>
      </w:r>
      <w:r w:rsidRPr="006258A2">
        <w:t xml:space="preserve"> internetovou formu prodeje 23,5 % podniků. Oproti minulému šetření se tento podíl zvýšil o 2,5 %. </w:t>
      </w:r>
      <w:r w:rsidR="0099486F" w:rsidRPr="00B303B7">
        <w:t>Naopak internetové obchody ve 39</w:t>
      </w:r>
      <w:r w:rsidRPr="00B303B7">
        <w:t> % využíva</w:t>
      </w:r>
      <w:r w:rsidR="0051217C">
        <w:t>ly</w:t>
      </w:r>
      <w:r w:rsidRPr="00B303B7">
        <w:t xml:space="preserve"> i prodej v</w:t>
      </w:r>
      <w:r w:rsidR="006258A2" w:rsidRPr="00B303B7">
        <w:t> </w:t>
      </w:r>
      <w:r w:rsidRPr="00B303B7">
        <w:t>prodejnách</w:t>
      </w:r>
      <w:r w:rsidR="006258A2" w:rsidRPr="00B303B7">
        <w:t>,</w:t>
      </w:r>
      <w:r w:rsidRPr="00B303B7">
        <w:t xml:space="preserve"> příp. prodejních skladech, což znamená </w:t>
      </w:r>
      <w:r w:rsidR="0099486F" w:rsidRPr="00B303B7">
        <w:t>3</w:t>
      </w:r>
      <w:r w:rsidRPr="00B303B7">
        <w:t>% pokles oproti roku 2011</w:t>
      </w:r>
      <w:r w:rsidR="00134578" w:rsidRPr="00B303B7">
        <w:t>.</w:t>
      </w:r>
      <w:r w:rsidR="00A37445" w:rsidRPr="00B303B7">
        <w:t xml:space="preserve"> </w:t>
      </w:r>
      <w:r w:rsidRPr="00B303B7">
        <w:t>Internetovou formu prodeje hojně využíva</w:t>
      </w:r>
      <w:r w:rsidR="0051217C">
        <w:t>ly</w:t>
      </w:r>
      <w:r w:rsidRPr="00B303B7">
        <w:t xml:space="preserve"> i zásilkové</w:t>
      </w:r>
      <w:r w:rsidR="00BA2C80">
        <w:t xml:space="preserve"> obchody</w:t>
      </w:r>
      <w:r w:rsidRPr="00B303B7">
        <w:t>.</w:t>
      </w:r>
      <w:r w:rsidRPr="006258A2">
        <w:t xml:space="preserve"> </w:t>
      </w:r>
    </w:p>
    <w:p w:rsidR="002A71BF" w:rsidRDefault="002A71BF" w:rsidP="00CA7CA3">
      <w:pPr>
        <w:spacing w:after="120"/>
      </w:pPr>
      <w:r w:rsidRPr="006258A2">
        <w:t>Celkově pak internet nebo jiné elektronické formy objednávání zboží využív</w:t>
      </w:r>
      <w:r w:rsidR="00C91A9C">
        <w:t>alo</w:t>
      </w:r>
      <w:r w:rsidRPr="006258A2">
        <w:t xml:space="preserve"> téměř 37 % podniků zahrnutých do šetření, což je o 5 % více než před dvěma lety. Spa</w:t>
      </w:r>
      <w:r w:rsidR="00F556A5">
        <w:t>daly</w:t>
      </w:r>
      <w:r w:rsidR="00134578">
        <w:t xml:space="preserve"> do nich jak podniky, které k</w:t>
      </w:r>
      <w:r w:rsidRPr="006258A2">
        <w:t xml:space="preserve"> internetovému obchodu </w:t>
      </w:r>
      <w:r w:rsidR="00F556A5">
        <w:t>provozovaly</w:t>
      </w:r>
      <w:r w:rsidRPr="006258A2">
        <w:t xml:space="preserve"> i kamennou prodejnu,</w:t>
      </w:r>
      <w:r w:rsidRPr="003F34FD">
        <w:t xml:space="preserve"> tak podniky, které prodávaly zboží původně </w:t>
      </w:r>
      <w:r w:rsidR="00134578">
        <w:t xml:space="preserve">pouze </w:t>
      </w:r>
      <w:r w:rsidRPr="003F34FD">
        <w:t>v kamenných prodejnách a internetový obchod si zřídily jako doplňkový prodej, který postupem času v objemu tržeb převážil. Prodej v maloobchodních prodejnách pak uvedlo 87 % z celkového počtu podniků zahrnutých do analýzy a 13 % jednotek vykázalo využívání i dalších forem (trhy, stánky, podomní prodej, aukce apod</w:t>
      </w:r>
      <w:r w:rsidRPr="009E04A6">
        <w:t>.) Tento podíl se mezi roky 2011 a 2013 nezměnil.</w:t>
      </w:r>
    </w:p>
    <w:p w:rsidR="004E672C" w:rsidRDefault="004E672C" w:rsidP="00B929A3">
      <w:pPr>
        <w:spacing w:after="120" w:line="240" w:lineRule="auto"/>
      </w:pPr>
    </w:p>
    <w:p w:rsidR="006258A2" w:rsidRPr="005B75A7" w:rsidRDefault="006258A2" w:rsidP="006258A2">
      <w:pPr>
        <w:keepNext/>
        <w:spacing w:line="240" w:lineRule="auto"/>
        <w:jc w:val="center"/>
        <w:outlineLvl w:val="0"/>
        <w:rPr>
          <w:szCs w:val="20"/>
        </w:rPr>
      </w:pPr>
      <w:r w:rsidRPr="00820839">
        <w:rPr>
          <w:b/>
          <w:szCs w:val="20"/>
        </w:rPr>
        <w:t xml:space="preserve">Graf </w:t>
      </w:r>
      <w:proofErr w:type="gramStart"/>
      <w:r w:rsidRPr="00820839">
        <w:rPr>
          <w:b/>
          <w:szCs w:val="20"/>
        </w:rPr>
        <w:t>č. 3 Podíl</w:t>
      </w:r>
      <w:proofErr w:type="gramEnd"/>
      <w:r w:rsidRPr="00820839">
        <w:rPr>
          <w:b/>
          <w:szCs w:val="20"/>
        </w:rPr>
        <w:t xml:space="preserve"> podniků s internetovým obchodem dle maloobchodních odvětví</w:t>
      </w:r>
    </w:p>
    <w:p w:rsidR="006258A2" w:rsidRDefault="004D6BFB" w:rsidP="006258A2">
      <w:pPr>
        <w:spacing w:after="120" w:line="240" w:lineRule="auto"/>
        <w:jc w:val="center"/>
      </w:pPr>
      <w:r>
        <w:rPr>
          <w:noProof/>
          <w:lang w:eastAsia="cs-CZ"/>
        </w:rPr>
        <w:pict>
          <v:shape id="_x0000_i1027" type="#_x0000_t75" style="width:424.5pt;height:209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">
            <v:imagedata r:id="rId11" o:title="" cropbottom="-28f"/>
            <o:lock v:ext="edit" aspectratio="f"/>
          </v:shape>
        </w:pict>
      </w:r>
    </w:p>
    <w:p w:rsidR="00C80C96" w:rsidRDefault="004F5ECA" w:rsidP="00CA7CA3">
      <w:pPr>
        <w:spacing w:after="120"/>
      </w:pPr>
      <w:r>
        <w:t>Č</w:t>
      </w:r>
      <w:r w:rsidRPr="009167AF">
        <w:t xml:space="preserve">etnost podniků využívajících </w:t>
      </w:r>
      <w:r w:rsidR="001405D5">
        <w:t xml:space="preserve">také </w:t>
      </w:r>
      <w:r w:rsidRPr="009167AF">
        <w:t>internet</w:t>
      </w:r>
      <w:r>
        <w:t xml:space="preserve">ového obchodu není </w:t>
      </w:r>
      <w:r w:rsidRPr="009167AF">
        <w:t>v jednotlivých maloobchodních odvětvích</w:t>
      </w:r>
      <w:r>
        <w:t xml:space="preserve"> rovnoměrně rozložená</w:t>
      </w:r>
      <w:r w:rsidRPr="009167AF">
        <w:t xml:space="preserve">. Je zřejmé, že v sortimentu potravin (CZ-NACE 471 a 472) je prodej přes internet okrajovou záležitostí. </w:t>
      </w:r>
      <w:r w:rsidR="00A37445">
        <w:t>Vyplývá to z charakteru prodávaného zboží</w:t>
      </w:r>
      <w:r w:rsidR="0002006A">
        <w:t xml:space="preserve">. </w:t>
      </w:r>
      <w:r w:rsidRPr="009167AF">
        <w:t xml:space="preserve">Naopak odvětví s nejvyšším podílem podniků využívajících kromě klasických </w:t>
      </w:r>
      <w:r>
        <w:t xml:space="preserve">kamenných </w:t>
      </w:r>
      <w:r w:rsidRPr="009167AF">
        <w:t>obchodů také internet</w:t>
      </w:r>
      <w:r>
        <w:t>ový prodej</w:t>
      </w:r>
      <w:r w:rsidRPr="009167AF">
        <w:t xml:space="preserve"> - kromě odvětví CZ-NACE 479, kam patří </w:t>
      </w:r>
      <w:r w:rsidR="0033755E">
        <w:t xml:space="preserve">samotný </w:t>
      </w:r>
      <w:r w:rsidRPr="009167AF">
        <w:t>internetový obchod - jsou maloobchod s počítačovým a komunikačním zařízením (CZ-NACE 474) a maloobchod s výrobky pro kulturní rozhled a zájmovou činnost (CZ-NACE 476).</w:t>
      </w:r>
    </w:p>
    <w:p w:rsidR="00F95DC6" w:rsidRDefault="004F5ECA" w:rsidP="00CA7CA3">
      <w:pPr>
        <w:spacing w:after="120"/>
      </w:pPr>
      <w:r w:rsidRPr="00ED3FCF">
        <w:t>Oproti šetření  za rok 2011 došlo ke zvýšení podíl</w:t>
      </w:r>
      <w:r w:rsidR="0002006A">
        <w:t>u podniků využívajících internetovou formu prodeje</w:t>
      </w:r>
      <w:r w:rsidRPr="00ED3FCF">
        <w:t xml:space="preserve"> u </w:t>
      </w:r>
      <w:r w:rsidR="0002006A">
        <w:t xml:space="preserve">obchodníků s </w:t>
      </w:r>
      <w:r w:rsidR="00CA13F9">
        <w:t>výrobk</w:t>
      </w:r>
      <w:r w:rsidR="0002006A">
        <w:t>y</w:t>
      </w:r>
      <w:r w:rsidR="00CA13F9">
        <w:t xml:space="preserve"> zejména pro domácnost (</w:t>
      </w:r>
      <w:r w:rsidRPr="00ED3FCF">
        <w:t>CZ-NACE 475</w:t>
      </w:r>
      <w:r w:rsidR="00CA13F9">
        <w:t>)</w:t>
      </w:r>
      <w:r w:rsidRPr="00ED3FCF">
        <w:t xml:space="preserve"> a </w:t>
      </w:r>
      <w:r w:rsidR="00CA13F9" w:rsidRPr="009167AF">
        <w:t>maloobchod</w:t>
      </w:r>
      <w:r w:rsidR="0002006A">
        <w:t>u</w:t>
      </w:r>
      <w:r w:rsidR="00CA13F9" w:rsidRPr="009167AF">
        <w:t xml:space="preserve"> s výrobky pro kulturní rozhled a zájmovou činnost </w:t>
      </w:r>
      <w:r w:rsidR="00CA13F9">
        <w:t xml:space="preserve">(CZ-NACE </w:t>
      </w:r>
      <w:r w:rsidRPr="00ED3FCF">
        <w:t>476</w:t>
      </w:r>
      <w:r w:rsidR="00CA13F9">
        <w:t>)</w:t>
      </w:r>
      <w:r w:rsidRPr="00ED3FCF">
        <w:t xml:space="preserve"> o 5 % a u </w:t>
      </w:r>
      <w:r w:rsidR="00F95DC6">
        <w:t>maloobchodu s ostatním zbožím, tj. oděvy, farmaceutickými přípravky, kosmetikou, hodinkami, šperky aj. (</w:t>
      </w:r>
      <w:r w:rsidRPr="00ED3FCF">
        <w:t>CZ-NACE 477</w:t>
      </w:r>
      <w:r w:rsidR="00F95DC6">
        <w:t>)</w:t>
      </w:r>
      <w:r w:rsidRPr="00ED3FCF">
        <w:t xml:space="preserve"> o téměř 4 %. </w:t>
      </w:r>
      <w:r w:rsidR="0002006A">
        <w:t xml:space="preserve">Ve skupině podniků zatříděných dle formy prodeje do </w:t>
      </w:r>
      <w:r w:rsidR="00F95DC6">
        <w:t xml:space="preserve">maloobchodu </w:t>
      </w:r>
      <w:r w:rsidR="00F95DC6">
        <w:lastRenderedPageBreak/>
        <w:t xml:space="preserve">mimo prodejny, stánky a trhy (CZ-NACE 479), </w:t>
      </w:r>
      <w:r w:rsidR="008A44EE">
        <w:t>vzrostl podíl podniků s internetovou formou prodeje proti roku 2011 v roce 2013 o 6 %.</w:t>
      </w:r>
    </w:p>
    <w:p w:rsidR="006E0F0D" w:rsidRDefault="006E0F0D" w:rsidP="00CA7CA3">
      <w:pPr>
        <w:spacing w:after="120"/>
      </w:pPr>
    </w:p>
    <w:p w:rsidR="004B3460" w:rsidRPr="00A45AF7" w:rsidRDefault="004B3460" w:rsidP="00A45AF7">
      <w:pPr>
        <w:keepNext/>
        <w:spacing w:before="120" w:after="120" w:line="240" w:lineRule="auto"/>
        <w:outlineLvl w:val="0"/>
        <w:rPr>
          <w:b/>
          <w:sz w:val="22"/>
        </w:rPr>
      </w:pPr>
      <w:r w:rsidRPr="00A45AF7">
        <w:rPr>
          <w:b/>
          <w:sz w:val="22"/>
        </w:rPr>
        <w:t>Struktura tržeb podle forem prodeje</w:t>
      </w:r>
    </w:p>
    <w:p w:rsidR="006335A7" w:rsidRDefault="008D0A5D" w:rsidP="00C80C96">
      <w:pPr>
        <w:spacing w:after="120"/>
      </w:pPr>
      <w:r>
        <w:t xml:space="preserve">Šetření jak </w:t>
      </w:r>
      <w:r w:rsidR="00A45AF7">
        <w:t>za rok 2011,</w:t>
      </w:r>
      <w:r>
        <w:t xml:space="preserve"> tak v letošním roce</w:t>
      </w:r>
      <w:r w:rsidR="00A45AF7">
        <w:t>,</w:t>
      </w:r>
      <w:r>
        <w:t xml:space="preserve"> zjišťovalo také strukturu tržeb realizovaných maloobchodníky </w:t>
      </w:r>
      <w:r w:rsidR="00824232">
        <w:t>ve sledovaných formách prodeje a zda se tato struktura za poslední dva roky nějak výrazně změnila.</w:t>
      </w:r>
      <w:r w:rsidR="00517015">
        <w:t xml:space="preserve"> </w:t>
      </w:r>
    </w:p>
    <w:p w:rsidR="006E0F0D" w:rsidRDefault="006E0F0D" w:rsidP="00C80C96">
      <w:pPr>
        <w:spacing w:after="120"/>
      </w:pPr>
    </w:p>
    <w:p w:rsidR="00171398" w:rsidRPr="00E42A06" w:rsidRDefault="00171398" w:rsidP="00171398">
      <w:pPr>
        <w:keepNext/>
        <w:spacing w:after="120" w:line="240" w:lineRule="auto"/>
        <w:jc w:val="center"/>
        <w:outlineLvl w:val="0"/>
        <w:rPr>
          <w:b/>
          <w:szCs w:val="20"/>
        </w:rPr>
      </w:pPr>
      <w:r w:rsidRPr="00E42A06">
        <w:rPr>
          <w:b/>
          <w:szCs w:val="20"/>
        </w:rPr>
        <w:t xml:space="preserve">Tab. </w:t>
      </w:r>
      <w:proofErr w:type="gramStart"/>
      <w:r w:rsidRPr="00E42A06">
        <w:rPr>
          <w:b/>
          <w:szCs w:val="20"/>
        </w:rPr>
        <w:t>č.</w:t>
      </w:r>
      <w:proofErr w:type="gramEnd"/>
      <w:r w:rsidRPr="00E42A06">
        <w:rPr>
          <w:b/>
          <w:szCs w:val="20"/>
        </w:rPr>
        <w:t xml:space="preserve"> 2 Struktura tržeb za zboží v maloobchodních odvětvích podle forem prodeje </w:t>
      </w:r>
      <w:r w:rsidRPr="00ED3FCF">
        <w:rPr>
          <w:b/>
          <w:szCs w:val="20"/>
        </w:rPr>
        <w:t>v</w:t>
      </w:r>
      <w:r w:rsidR="0044406A">
        <w:rPr>
          <w:b/>
          <w:szCs w:val="20"/>
        </w:rPr>
        <w:t> letech 2011 a</w:t>
      </w:r>
      <w:r w:rsidRPr="00ED3FCF">
        <w:rPr>
          <w:b/>
          <w:szCs w:val="20"/>
        </w:rPr>
        <w:t xml:space="preserve"> 2013</w:t>
      </w:r>
      <w:r>
        <w:rPr>
          <w:b/>
          <w:szCs w:val="20"/>
        </w:rPr>
        <w:t xml:space="preserve"> </w:t>
      </w:r>
      <w:r w:rsidRPr="00E42A06">
        <w:rPr>
          <w:b/>
          <w:szCs w:val="20"/>
        </w:rPr>
        <w:t>(v %)</w:t>
      </w:r>
    </w:p>
    <w:tbl>
      <w:tblPr>
        <w:tblW w:w="852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992"/>
        <w:gridCol w:w="851"/>
        <w:gridCol w:w="992"/>
        <w:gridCol w:w="850"/>
        <w:gridCol w:w="809"/>
        <w:gridCol w:w="899"/>
      </w:tblGrid>
      <w:tr w:rsidR="0044406A" w:rsidRPr="00571437" w:rsidTr="0044406A">
        <w:trPr>
          <w:trHeight w:val="719"/>
        </w:trPr>
        <w:tc>
          <w:tcPr>
            <w:tcW w:w="3129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4406A" w:rsidRPr="00571437" w:rsidRDefault="0044406A" w:rsidP="00171398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71437">
              <w:rPr>
                <w:rFonts w:eastAsia="Times New Roman"/>
                <w:b/>
                <w:bCs/>
                <w:color w:val="000000"/>
                <w:lang w:eastAsia="cs-CZ"/>
              </w:rPr>
              <w:t>CZ-NACE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4406A" w:rsidRPr="00571437" w:rsidRDefault="0044406A" w:rsidP="00171398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71437">
              <w:rPr>
                <w:rFonts w:eastAsia="Times New Roman"/>
                <w:b/>
                <w:bCs/>
                <w:color w:val="000000"/>
                <w:lang w:eastAsia="cs-CZ"/>
              </w:rPr>
              <w:t>Tržby z prodejen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4406A" w:rsidRPr="00571437" w:rsidRDefault="0044406A" w:rsidP="00171398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71437">
              <w:rPr>
                <w:rFonts w:eastAsia="Times New Roman"/>
                <w:b/>
                <w:bCs/>
                <w:color w:val="000000"/>
                <w:lang w:eastAsia="cs-CZ"/>
              </w:rPr>
              <w:t>Tržby z internetového prodeje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406A" w:rsidRPr="00571437" w:rsidRDefault="0044406A" w:rsidP="00171398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71437">
              <w:rPr>
                <w:rFonts w:eastAsia="Times New Roman"/>
                <w:b/>
                <w:bCs/>
                <w:color w:val="000000"/>
                <w:lang w:eastAsia="cs-CZ"/>
              </w:rPr>
              <w:t>Tržby za zboží prodané jiným způsobem</w:t>
            </w:r>
          </w:p>
        </w:tc>
      </w:tr>
      <w:tr w:rsidR="0044406A" w:rsidRPr="00571437" w:rsidTr="0044406A">
        <w:trPr>
          <w:trHeight w:val="398"/>
        </w:trPr>
        <w:tc>
          <w:tcPr>
            <w:tcW w:w="3129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4406A" w:rsidRPr="00571437" w:rsidRDefault="0044406A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406A" w:rsidRDefault="0044406A" w:rsidP="0044406A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2013</w:t>
            </w:r>
          </w:p>
        </w:tc>
      </w:tr>
      <w:tr w:rsidR="00400071" w:rsidRPr="00571437" w:rsidTr="00400071">
        <w:trPr>
          <w:trHeight w:val="398"/>
        </w:trPr>
        <w:tc>
          <w:tcPr>
            <w:tcW w:w="3129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471 - MO v nespecializovaných prodejnách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99,6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0,4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0,3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1,2</w:t>
            </w:r>
          </w:p>
        </w:tc>
      </w:tr>
      <w:tr w:rsidR="00400071" w:rsidRPr="00571437" w:rsidTr="00400071">
        <w:trPr>
          <w:trHeight w:val="678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472 - MO s potravinami, nápoji a tabákovými výrobky ve specializovaných prodejnách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98,3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0,3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0,5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1,4</w:t>
            </w:r>
          </w:p>
        </w:tc>
      </w:tr>
      <w:tr w:rsidR="00400071" w:rsidRPr="00571437" w:rsidTr="00400071">
        <w:trPr>
          <w:trHeight w:val="448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474 - MO s počítačovým a komunikačním zařízením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79,3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18,6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1,8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2,1</w:t>
            </w:r>
          </w:p>
        </w:tc>
      </w:tr>
      <w:tr w:rsidR="00400071" w:rsidRPr="00571437" w:rsidTr="00400071">
        <w:trPr>
          <w:trHeight w:val="276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475 - MO s výrobky pro domácnost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93,6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4,2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2,2</w:t>
            </w:r>
          </w:p>
        </w:tc>
      </w:tr>
      <w:tr w:rsidR="00400071" w:rsidRPr="00571437" w:rsidTr="00400071">
        <w:trPr>
          <w:trHeight w:val="682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476 - MO s výrobky pro kulturní rozhled a zájmovou činnost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92,6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4,0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3,4</w:t>
            </w:r>
          </w:p>
        </w:tc>
      </w:tr>
      <w:tr w:rsidR="00400071" w:rsidRPr="00571437" w:rsidTr="00400071">
        <w:trPr>
          <w:trHeight w:val="564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171398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477 - MO s ostatním zbožím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96,6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1,7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0,9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1,7</w:t>
            </w:r>
          </w:p>
        </w:tc>
      </w:tr>
      <w:tr w:rsidR="00400071" w:rsidRPr="00571437" w:rsidTr="00400071">
        <w:trPr>
          <w:trHeight w:val="598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3315A9">
            <w:pPr>
              <w:keepNext/>
              <w:spacing w:after="12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 xml:space="preserve">479 - MO mimo prodejny, stánky a trhy 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6,0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72,5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71" w:rsidRPr="00571437" w:rsidRDefault="001A6332" w:rsidP="00171398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27,3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071" w:rsidRPr="00571437" w:rsidRDefault="00400071" w:rsidP="00911993">
            <w:pPr>
              <w:keepNext/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21,5</w:t>
            </w:r>
          </w:p>
        </w:tc>
      </w:tr>
      <w:tr w:rsidR="00400071" w:rsidRPr="00571437" w:rsidTr="00400071">
        <w:trPr>
          <w:trHeight w:val="496"/>
        </w:trPr>
        <w:tc>
          <w:tcPr>
            <w:tcW w:w="3129" w:type="dxa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00071" w:rsidRPr="00571437" w:rsidRDefault="00400071" w:rsidP="00DD1B65">
            <w:pPr>
              <w:spacing w:after="120" w:line="240" w:lineRule="auto"/>
              <w:ind w:left="227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71437">
              <w:rPr>
                <w:rFonts w:eastAsia="Times New Roman"/>
                <w:color w:val="000000"/>
                <w:lang w:eastAsia="cs-CZ"/>
              </w:rPr>
              <w:t>z toho 4791 - MO prostřednictvím internetu nebo zásilkové služby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00071" w:rsidRPr="00571437" w:rsidRDefault="001A6332" w:rsidP="00DD1B65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00071" w:rsidRPr="00571437" w:rsidRDefault="00400071" w:rsidP="00911993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6,3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00071" w:rsidRPr="00571437" w:rsidRDefault="001A6332" w:rsidP="00DD1B65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00071" w:rsidRPr="00571437" w:rsidRDefault="00400071" w:rsidP="00911993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87,7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00071" w:rsidRPr="00571437" w:rsidRDefault="001A6332" w:rsidP="00DD1B65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11,9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:rsidR="00400071" w:rsidRPr="00571437" w:rsidRDefault="00400071" w:rsidP="00911993">
            <w:pPr>
              <w:spacing w:after="12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5,9</w:t>
            </w:r>
          </w:p>
        </w:tc>
      </w:tr>
    </w:tbl>
    <w:p w:rsidR="006258A2" w:rsidRDefault="006258A2" w:rsidP="00C80C96">
      <w:pPr>
        <w:spacing w:after="120"/>
      </w:pPr>
    </w:p>
    <w:p w:rsidR="00AB0EA8" w:rsidRDefault="00AB0EA8" w:rsidP="00CA7CA3">
      <w:pPr>
        <w:spacing w:after="120"/>
      </w:pPr>
      <w:r w:rsidRPr="00321034">
        <w:t>Podíl tržeb realizovan</w:t>
      </w:r>
      <w:r w:rsidR="006E0F0D">
        <w:t>ých prostřednictvím internetu byl</w:t>
      </w:r>
      <w:r w:rsidRPr="00321034">
        <w:t xml:space="preserve"> </w:t>
      </w:r>
      <w:r w:rsidR="00824232">
        <w:t>v jednotlivých skupinách odvětví CZ-NACE velice odlišný. V</w:t>
      </w:r>
      <w:r w:rsidRPr="00321034">
        <w:t xml:space="preserve">ýznamný (kromě odvětví CZ-NACE 479, kam patří internetový prodej) </w:t>
      </w:r>
      <w:r w:rsidR="006E0F0D">
        <w:t>byl</w:t>
      </w:r>
      <w:r w:rsidR="008A44EE">
        <w:t>,</w:t>
      </w:r>
      <w:r w:rsidR="00824232">
        <w:t xml:space="preserve"> vzhledem ke svému charakteru</w:t>
      </w:r>
      <w:r w:rsidR="008A44EE">
        <w:t>,</w:t>
      </w:r>
      <w:r w:rsidR="00824232">
        <w:t xml:space="preserve"> </w:t>
      </w:r>
      <w:r w:rsidRPr="00321034">
        <w:t>v maloobchodě s počítačovým a komunikačním zařízením (CZ</w:t>
      </w:r>
      <w:r w:rsidRPr="00321034">
        <w:noBreakHyphen/>
        <w:t>NACE 474). Násled</w:t>
      </w:r>
      <w:r w:rsidR="006E0F0D">
        <w:t>oval</w:t>
      </w:r>
      <w:r w:rsidRPr="00321034">
        <w:t>, i když s výrazně nižším podílem, maloobchod s výrobky pro domácnost (CZ-NACE 475)</w:t>
      </w:r>
      <w:r>
        <w:t xml:space="preserve"> a </w:t>
      </w:r>
      <w:r w:rsidRPr="00321034">
        <w:t xml:space="preserve">s výrobky pro kulturní rozhled a zájmovou činnost (CZ-NACE 476). </w:t>
      </w:r>
    </w:p>
    <w:p w:rsidR="00AB0EA8" w:rsidRDefault="00AB0EA8" w:rsidP="00CA7CA3">
      <w:pPr>
        <w:spacing w:after="120"/>
      </w:pPr>
      <w:r w:rsidRPr="00387331">
        <w:lastRenderedPageBreak/>
        <w:t xml:space="preserve">Naopak v obchodech, kde převládá prodej potravin (CZ-NACE 471 a 472 - maloobchod s potravinami specializovaný a nespecializovaný) </w:t>
      </w:r>
      <w:r w:rsidR="006E0F0D">
        <w:t>byl</w:t>
      </w:r>
      <w:r w:rsidRPr="0077563E">
        <w:t xml:space="preserve"> podíl takto realizovaných tržeb </w:t>
      </w:r>
      <w:r w:rsidR="00824232">
        <w:t>stále zanedbatelný</w:t>
      </w:r>
      <w:r w:rsidR="005C3AC1">
        <w:t>.</w:t>
      </w:r>
    </w:p>
    <w:p w:rsidR="00E0714F" w:rsidRDefault="005C3AC1" w:rsidP="00BF5D99">
      <w:pPr>
        <w:spacing w:after="120"/>
      </w:pPr>
      <w:r w:rsidRPr="0027516D">
        <w:t xml:space="preserve">Ve srovnání se šetřením před dvěma lety </w:t>
      </w:r>
      <w:r w:rsidR="00D40BAF" w:rsidRPr="0027516D">
        <w:t xml:space="preserve">se zvýšil podíl zboží prodaného prostřednictvím internetu </w:t>
      </w:r>
      <w:r w:rsidR="0085295D" w:rsidRPr="0027516D">
        <w:t xml:space="preserve">v uvedených odvětvích celkově o téměř 2 procentní body. K nejmarkantnějšímu růstu došlo </w:t>
      </w:r>
      <w:r w:rsidR="00982E86" w:rsidRPr="0027516D">
        <w:t xml:space="preserve">zejména </w:t>
      </w:r>
      <w:r w:rsidR="00D40BAF" w:rsidRPr="0027516D">
        <w:t xml:space="preserve">v maloobchodě </w:t>
      </w:r>
      <w:r w:rsidR="00982E86" w:rsidRPr="0027516D">
        <w:t>s počítačovým a komunikačním zařízením (CZ</w:t>
      </w:r>
      <w:r w:rsidR="00982E86" w:rsidRPr="0027516D">
        <w:noBreakHyphen/>
        <w:t>NACE 474)</w:t>
      </w:r>
      <w:r w:rsidR="0085295D" w:rsidRPr="0027516D">
        <w:t xml:space="preserve">, kde </w:t>
      </w:r>
      <w:r w:rsidR="0085295D" w:rsidRPr="00452AB1">
        <w:t xml:space="preserve">se podíl tržeb z internetového prodeje zvýšil o </w:t>
      </w:r>
      <w:r w:rsidR="0033734E" w:rsidRPr="00452AB1">
        <w:t xml:space="preserve">více než 6 </w:t>
      </w:r>
      <w:proofErr w:type="spellStart"/>
      <w:proofErr w:type="gramStart"/>
      <w:r w:rsidR="0033734E" w:rsidRPr="00452AB1">
        <w:t>p.b</w:t>
      </w:r>
      <w:proofErr w:type="spellEnd"/>
      <w:r w:rsidR="0033734E" w:rsidRPr="00452AB1">
        <w:t>.</w:t>
      </w:r>
      <w:proofErr w:type="gramEnd"/>
      <w:r w:rsidR="0033734E" w:rsidRPr="00452AB1">
        <w:t xml:space="preserve"> Na </w:t>
      </w:r>
      <w:r w:rsidR="00452AB1" w:rsidRPr="00452AB1">
        <w:t>rozdíl od</w:t>
      </w:r>
      <w:r w:rsidR="0033734E" w:rsidRPr="00452AB1">
        <w:t xml:space="preserve"> prodejů v</w:t>
      </w:r>
      <w:r w:rsidR="00452AB1" w:rsidRPr="00452AB1">
        <w:t xml:space="preserve"> kamenných </w:t>
      </w:r>
      <w:r w:rsidR="0033734E" w:rsidRPr="00452AB1">
        <w:t xml:space="preserve">prodejnách se </w:t>
      </w:r>
      <w:r w:rsidR="00452AB1" w:rsidRPr="00452AB1">
        <w:t xml:space="preserve">mírně zvýšil </w:t>
      </w:r>
      <w:r w:rsidR="0033734E" w:rsidRPr="00452AB1">
        <w:t>podíl tržeb realizovaných</w:t>
      </w:r>
      <w:r w:rsidR="0027516D" w:rsidRPr="00452AB1">
        <w:t xml:space="preserve"> jiným způsobem, než v prodejně</w:t>
      </w:r>
      <w:r w:rsidR="0033734E" w:rsidRPr="00452AB1">
        <w:t xml:space="preserve"> nebo přes </w:t>
      </w:r>
      <w:r w:rsidR="00452AB1" w:rsidRPr="00452AB1">
        <w:t xml:space="preserve">internet, a to celkově o 1 </w:t>
      </w:r>
      <w:proofErr w:type="spellStart"/>
      <w:proofErr w:type="gramStart"/>
      <w:r w:rsidR="00452AB1" w:rsidRPr="00452AB1">
        <w:t>p.b</w:t>
      </w:r>
      <w:proofErr w:type="spellEnd"/>
      <w:r w:rsidR="00452AB1" w:rsidRPr="00452AB1">
        <w:t>.</w:t>
      </w:r>
      <w:proofErr w:type="gramEnd"/>
      <w:r w:rsidR="0033734E" w:rsidRPr="00452AB1">
        <w:t xml:space="preserve"> </w:t>
      </w:r>
      <w:r w:rsidR="00452AB1" w:rsidRPr="00452AB1">
        <w:t>V</w:t>
      </w:r>
      <w:r w:rsidR="0033734E" w:rsidRPr="00452AB1">
        <w:t> maloobchodních podnicích deklarujících převahu prodeje mimo prodejny</w:t>
      </w:r>
      <w:r w:rsidR="00452AB1" w:rsidRPr="00452AB1">
        <w:t>,</w:t>
      </w:r>
      <w:r w:rsidR="0033734E" w:rsidRPr="00452AB1">
        <w:t xml:space="preserve"> stánky a trhy (CZ</w:t>
      </w:r>
      <w:r w:rsidR="0033734E" w:rsidRPr="00452AB1">
        <w:noBreakHyphen/>
        <w:t xml:space="preserve">NACE 479) se naopak podíl těchto forem prodeje </w:t>
      </w:r>
      <w:r w:rsidR="00452AB1" w:rsidRPr="00452AB1">
        <w:t xml:space="preserve">výrazně snížil, a to o 5,6 </w:t>
      </w:r>
      <w:proofErr w:type="spellStart"/>
      <w:proofErr w:type="gramStart"/>
      <w:r w:rsidR="00452AB1" w:rsidRPr="00452AB1">
        <w:t>p.b</w:t>
      </w:r>
      <w:proofErr w:type="spellEnd"/>
      <w:r w:rsidR="00452AB1" w:rsidRPr="00452AB1">
        <w:t>.</w:t>
      </w:r>
      <w:proofErr w:type="gramEnd"/>
    </w:p>
    <w:p w:rsidR="006E0F0D" w:rsidRDefault="006E0F0D" w:rsidP="00BF5D99">
      <w:pPr>
        <w:spacing w:after="120"/>
      </w:pPr>
    </w:p>
    <w:p w:rsidR="008B7B3F" w:rsidRPr="00720620" w:rsidRDefault="008B7B3F" w:rsidP="008B7B3F">
      <w:pPr>
        <w:keepNext/>
        <w:spacing w:after="120" w:line="240" w:lineRule="auto"/>
        <w:outlineLvl w:val="0"/>
        <w:rPr>
          <w:b/>
          <w:sz w:val="22"/>
        </w:rPr>
      </w:pPr>
      <w:r w:rsidRPr="00720620">
        <w:rPr>
          <w:b/>
          <w:sz w:val="22"/>
        </w:rPr>
        <w:t>Jaké zboží se prodává přes internet</w:t>
      </w:r>
    </w:p>
    <w:p w:rsidR="0055321A" w:rsidRDefault="0055321A" w:rsidP="0055321A">
      <w:pPr>
        <w:spacing w:after="120"/>
      </w:pPr>
      <w:r>
        <w:t>Četnost nakupovaného zboží z pohledu zákazníků, jak bylo popsáno v úvodu, však ne</w:t>
      </w:r>
      <w:r w:rsidR="00197EAD">
        <w:t>odpovídá struktuře celkového objemu tržeb</w:t>
      </w:r>
      <w:r>
        <w:t>. Trvanlivé zboží vyšší hodnoty (elektronika, spotřebiče) si lidé pořizují méně často, naopak častěji nakupují zboží nižší hodnoty a podléhající zkáze (kosmetika, léky) nebo módním vlivům (oděvy, obuv).</w:t>
      </w:r>
    </w:p>
    <w:p w:rsidR="008B7B3F" w:rsidRPr="00CA7CA3" w:rsidRDefault="00314EB0" w:rsidP="00CA7CA3">
      <w:pPr>
        <w:spacing w:after="120"/>
      </w:pPr>
      <w:r>
        <w:t>C</w:t>
      </w:r>
      <w:r w:rsidR="008236F5">
        <w:t>ílem předchozího i tohoto šetření</w:t>
      </w:r>
      <w:r w:rsidR="006E0F0D">
        <w:t xml:space="preserve"> bylo</w:t>
      </w:r>
      <w:r>
        <w:t xml:space="preserve"> také</w:t>
      </w:r>
      <w:r w:rsidR="008236F5">
        <w:t xml:space="preserve"> zjistit jaké zboží, a zejména v jakém rozsahu</w:t>
      </w:r>
      <w:r w:rsidR="004057D2">
        <w:t>,</w:t>
      </w:r>
      <w:r w:rsidR="008236F5">
        <w:t xml:space="preserve"> se </w:t>
      </w:r>
      <w:r w:rsidR="004057D2">
        <w:t>prostřednictvím</w:t>
      </w:r>
      <w:r w:rsidR="008236F5">
        <w:t xml:space="preserve"> internet</w:t>
      </w:r>
      <w:r w:rsidR="004057D2">
        <w:t>u</w:t>
      </w:r>
      <w:r w:rsidR="008236F5">
        <w:t xml:space="preserve"> pr</w:t>
      </w:r>
      <w:r w:rsidR="004057D2">
        <w:t>odáv</w:t>
      </w:r>
      <w:r w:rsidR="006E0F0D">
        <w:t>alo</w:t>
      </w:r>
      <w:r w:rsidR="00461A54">
        <w:t xml:space="preserve">, a to jak </w:t>
      </w:r>
      <w:r w:rsidR="00D739B6">
        <w:t xml:space="preserve">v </w:t>
      </w:r>
      <w:r w:rsidR="00461A54">
        <w:t xml:space="preserve">internetových obchodech, tak i </w:t>
      </w:r>
      <w:r w:rsidR="00D739B6">
        <w:t xml:space="preserve">v </w:t>
      </w:r>
      <w:r w:rsidR="00461A54">
        <w:t>obchodech s převahou prodeje v kamenných prodejnách</w:t>
      </w:r>
      <w:r w:rsidR="004057D2">
        <w:t xml:space="preserve">. </w:t>
      </w:r>
      <w:r w:rsidR="00727247">
        <w:t>P</w:t>
      </w:r>
      <w:r w:rsidR="008B7B3F">
        <w:t xml:space="preserve">rvní </w:t>
      </w:r>
      <w:r w:rsidR="008B7B3F" w:rsidRPr="008B78DC">
        <w:t>informace o tom</w:t>
      </w:r>
      <w:r w:rsidR="00E0714F">
        <w:t xml:space="preserve"> </w:t>
      </w:r>
      <w:r w:rsidR="008B7B3F" w:rsidRPr="00100A9D">
        <w:t xml:space="preserve">přinesly výsledky šetření za rok 2011, a nyní máme možnost porovnat, zda se struktura zboží během dvou let </w:t>
      </w:r>
      <w:r w:rsidR="004057D2">
        <w:t xml:space="preserve">nějak zásadně </w:t>
      </w:r>
      <w:r w:rsidR="008B7B3F" w:rsidRPr="00100A9D">
        <w:t>změnila.</w:t>
      </w:r>
    </w:p>
    <w:p w:rsidR="008B7B3F" w:rsidRDefault="00D37513" w:rsidP="00CA7CA3">
      <w:pPr>
        <w:spacing w:after="120"/>
      </w:pPr>
      <w:r>
        <w:t>J</w:t>
      </w:r>
      <w:r w:rsidR="008B7B3F" w:rsidRPr="008B78DC">
        <w:t xml:space="preserve">ednotlivé druhy zboží </w:t>
      </w:r>
      <w:r>
        <w:t xml:space="preserve">byly </w:t>
      </w:r>
      <w:r w:rsidR="008B7B3F" w:rsidRPr="008B78DC">
        <w:t xml:space="preserve">rozděleny </w:t>
      </w:r>
      <w:r>
        <w:t>podle klasifikace produkce CZ-CPA.</w:t>
      </w:r>
      <w:r w:rsidR="008B7B3F" w:rsidRPr="008B78DC">
        <w:t xml:space="preserve"> </w:t>
      </w:r>
      <w:r w:rsidRPr="008B78DC">
        <w:t>Pro přehlednost</w:t>
      </w:r>
      <w:r>
        <w:t xml:space="preserve"> byly typově podobné kategorie zboží </w:t>
      </w:r>
      <w:r w:rsidR="00AE5699">
        <w:t>sloučeny</w:t>
      </w:r>
      <w:r w:rsidRPr="008B78DC">
        <w:t xml:space="preserve"> </w:t>
      </w:r>
      <w:r>
        <w:t xml:space="preserve">do </w:t>
      </w:r>
      <w:r w:rsidR="008B7B3F" w:rsidRPr="008B78DC">
        <w:t xml:space="preserve">jedenácti skupin. </w:t>
      </w:r>
    </w:p>
    <w:p w:rsidR="008B7B3F" w:rsidRPr="003313C5" w:rsidRDefault="008B7B3F" w:rsidP="00D37513">
      <w:pPr>
        <w:keepNext/>
        <w:spacing w:after="120" w:line="240" w:lineRule="auto"/>
        <w:jc w:val="center"/>
        <w:outlineLvl w:val="0"/>
        <w:rPr>
          <w:b/>
          <w:szCs w:val="20"/>
        </w:rPr>
      </w:pPr>
      <w:r w:rsidRPr="003313C5">
        <w:rPr>
          <w:b/>
          <w:szCs w:val="20"/>
        </w:rPr>
        <w:lastRenderedPageBreak/>
        <w:t xml:space="preserve">Tab. </w:t>
      </w:r>
      <w:proofErr w:type="gramStart"/>
      <w:r w:rsidRPr="003313C5">
        <w:rPr>
          <w:b/>
          <w:szCs w:val="20"/>
        </w:rPr>
        <w:t>č.</w:t>
      </w:r>
      <w:proofErr w:type="gramEnd"/>
      <w:r w:rsidRPr="003313C5">
        <w:rPr>
          <w:b/>
          <w:szCs w:val="20"/>
        </w:rPr>
        <w:t xml:space="preserve"> 3 Struktura tržeb za zboží prodaného přes internet</w:t>
      </w:r>
    </w:p>
    <w:tbl>
      <w:tblPr>
        <w:tblW w:w="8447" w:type="dxa"/>
        <w:jc w:val="center"/>
        <w:tblInd w:w="868" w:type="dxa"/>
        <w:tblBorders>
          <w:top w:val="single" w:sz="1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1843"/>
        <w:gridCol w:w="1157"/>
        <w:gridCol w:w="1157"/>
      </w:tblGrid>
      <w:tr w:rsidR="008B7B3F" w:rsidRPr="003313C5" w:rsidTr="00CB7669">
        <w:trPr>
          <w:trHeight w:val="386"/>
          <w:jc w:val="center"/>
        </w:trPr>
        <w:tc>
          <w:tcPr>
            <w:tcW w:w="4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313C5">
              <w:rPr>
                <w:rFonts w:eastAsia="Times New Roman"/>
                <w:b/>
                <w:bCs/>
                <w:color w:val="000000"/>
                <w:lang w:eastAsia="cs-CZ"/>
              </w:rPr>
              <w:t>Skupina zboží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313C5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Zkrácený název 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2011, v %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2013,</w:t>
            </w:r>
            <w:r w:rsidRPr="003313C5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v %</w:t>
            </w:r>
          </w:p>
        </w:tc>
      </w:tr>
      <w:tr w:rsidR="008B7B3F" w:rsidRPr="003313C5" w:rsidTr="00CB7669">
        <w:trPr>
          <w:trHeight w:val="406"/>
          <w:jc w:val="center"/>
        </w:trPr>
        <w:tc>
          <w:tcPr>
            <w:tcW w:w="429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Potraviny, potravinové doplňky, tabákové výrobky, nápoje (včetně alkoholických)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Potraviny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2,5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1,6</w:t>
            </w:r>
          </w:p>
        </w:tc>
      </w:tr>
      <w:tr w:rsidR="008B7B3F" w:rsidRPr="003313C5" w:rsidTr="00CB7669">
        <w:trPr>
          <w:trHeight w:val="372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Počítače a komunikační zařízení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Počítače a telefony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36,1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33,4</w:t>
            </w:r>
          </w:p>
        </w:tc>
      </w:tr>
      <w:tr w:rsidR="008B7B3F" w:rsidRPr="003313C5" w:rsidTr="00CB7669">
        <w:trPr>
          <w:trHeight w:val="421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Stavební a železářské zboží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Stavebniny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1,4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1,7</w:t>
            </w:r>
          </w:p>
        </w:tc>
      </w:tr>
      <w:tr w:rsidR="008B7B3F" w:rsidRPr="003313C5" w:rsidTr="00CB7669">
        <w:trPr>
          <w:trHeight w:val="416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Potřeby pro domácnost kromě elektrospotřebičů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Domácnost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5,5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5,6</w:t>
            </w:r>
          </w:p>
        </w:tc>
      </w:tr>
      <w:tr w:rsidR="008B7B3F" w:rsidRPr="003313C5" w:rsidTr="00CB7669">
        <w:trPr>
          <w:trHeight w:val="437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Elektrospotřebiče a elektronika pro domácnost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Elektro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20,6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24,0</w:t>
            </w:r>
          </w:p>
        </w:tc>
      </w:tr>
      <w:tr w:rsidR="008B7B3F" w:rsidRPr="003313C5" w:rsidTr="00CB7669">
        <w:trPr>
          <w:trHeight w:val="436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Výrobky pro kulturu a zájmy (kromě sportu a rekreace)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Knihy a hračky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4,3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5,</w:t>
            </w: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</w:tr>
      <w:tr w:rsidR="008B7B3F" w:rsidRPr="003313C5" w:rsidTr="00CB7669">
        <w:trPr>
          <w:trHeight w:val="424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Sportovní zboží a kempinkové potřeby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Sport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4,0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3,4</w:t>
            </w:r>
          </w:p>
        </w:tc>
      </w:tr>
      <w:tr w:rsidR="008B7B3F" w:rsidRPr="003313C5" w:rsidTr="00CB7669">
        <w:trPr>
          <w:trHeight w:val="430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Oděvy, obuv, kožená galanterie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Oděvy a obuv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5,0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5,5</w:t>
            </w:r>
          </w:p>
        </w:tc>
      </w:tr>
      <w:tr w:rsidR="008B7B3F" w:rsidRPr="003313C5" w:rsidTr="00CB7669">
        <w:trPr>
          <w:trHeight w:val="408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Farmaceutické a zdravotnické zboží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Zdraví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4,1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3,4</w:t>
            </w:r>
          </w:p>
        </w:tc>
      </w:tr>
      <w:tr w:rsidR="008B7B3F" w:rsidRPr="003313C5" w:rsidTr="00CB7669">
        <w:trPr>
          <w:trHeight w:val="464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Kosmetika a parfumerie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Kosmetika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8,8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37513">
            <w:pPr>
              <w:keepNext/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9,7</w:t>
            </w:r>
          </w:p>
        </w:tc>
      </w:tr>
      <w:tr w:rsidR="008B7B3F" w:rsidRPr="003313C5" w:rsidTr="00CB7669">
        <w:trPr>
          <w:trHeight w:val="414"/>
          <w:jc w:val="center"/>
        </w:trPr>
        <w:tc>
          <w:tcPr>
            <w:tcW w:w="4290" w:type="dxa"/>
            <w:shd w:val="clear" w:color="auto" w:fill="auto"/>
            <w:vAlign w:val="center"/>
            <w:hideMark/>
          </w:tcPr>
          <w:p w:rsidR="008B7B3F" w:rsidRPr="003313C5" w:rsidRDefault="008B7B3F" w:rsidP="00DD1B65">
            <w:pPr>
              <w:spacing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Ostatní (květiny, rostliny, osiva, hnojiva, krmiva pro zvířata, hodiny, klenoty, optika, použité zboží apod.)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D1B65">
            <w:p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 xml:space="preserve">Ostatní </w:t>
            </w:r>
          </w:p>
        </w:tc>
        <w:tc>
          <w:tcPr>
            <w:tcW w:w="1157" w:type="dxa"/>
            <w:vAlign w:val="center"/>
          </w:tcPr>
          <w:p w:rsidR="008B7B3F" w:rsidRPr="003313C5" w:rsidRDefault="008B7B3F" w:rsidP="00DD1B65">
            <w:pPr>
              <w:spacing w:line="240" w:lineRule="auto"/>
              <w:ind w:right="170" w:firstLineChars="200" w:firstLine="40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7,7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B7B3F" w:rsidRPr="003313C5" w:rsidRDefault="008B7B3F" w:rsidP="00DD1B65">
            <w:pPr>
              <w:spacing w:line="240" w:lineRule="auto"/>
              <w:ind w:right="170" w:firstLineChars="200" w:firstLine="40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313C5">
              <w:rPr>
                <w:rFonts w:eastAsia="Times New Roman"/>
                <w:color w:val="000000"/>
                <w:lang w:eastAsia="cs-CZ"/>
              </w:rPr>
              <w:t>6,7</w:t>
            </w:r>
          </w:p>
        </w:tc>
      </w:tr>
    </w:tbl>
    <w:p w:rsidR="006E0F0D" w:rsidRDefault="006E0F0D" w:rsidP="00BF5D99">
      <w:pPr>
        <w:spacing w:after="120"/>
      </w:pPr>
    </w:p>
    <w:p w:rsidR="008B7B3F" w:rsidRDefault="003E6E2C" w:rsidP="00BF5D99">
      <w:pPr>
        <w:spacing w:after="120"/>
      </w:pPr>
      <w:r w:rsidRPr="008B78DC">
        <w:t>Nejvíce se podle očekávání přes internet prodáva</w:t>
      </w:r>
      <w:r>
        <w:t>ly</w:t>
      </w:r>
      <w:r w:rsidRPr="008B78DC">
        <w:t xml:space="preserve"> počítače, mobilní telefony a celkově elektronika a další elektrospotřebič</w:t>
      </w:r>
      <w:r>
        <w:t xml:space="preserve">e. </w:t>
      </w:r>
      <w:r w:rsidRPr="008B78DC">
        <w:t xml:space="preserve">Jejich podíl na tržbách byl i vzhledem k jejich ceně největší </w:t>
      </w:r>
      <w:r w:rsidR="007E7D73">
        <w:t>–</w:t>
      </w:r>
      <w:r w:rsidRPr="008B78DC">
        <w:t xml:space="preserve"> dohromady</w:t>
      </w:r>
      <w:r w:rsidR="007E7D73">
        <w:t xml:space="preserve"> spolu se všemi</w:t>
      </w:r>
      <w:r w:rsidR="00651A96">
        <w:t xml:space="preserve"> elektronickými zařízeními tvořil</w:t>
      </w:r>
      <w:r w:rsidRPr="008B78DC">
        <w:t xml:space="preserve"> téměř 60 %</w:t>
      </w:r>
      <w:r w:rsidR="00E406F7">
        <w:t xml:space="preserve"> tržeb</w:t>
      </w:r>
      <w:r w:rsidRPr="008B78DC">
        <w:t>.</w:t>
      </w:r>
      <w:r>
        <w:t xml:space="preserve"> Proti roku 2011 se tento </w:t>
      </w:r>
      <w:r w:rsidR="00875155">
        <w:t>podíl</w:t>
      </w:r>
      <w:r>
        <w:t xml:space="preserve"> o něco málo navýšil, ale zejména ve </w:t>
      </w:r>
      <w:r w:rsidRPr="00A10F9E">
        <w:t>prospěch prodeje elektrospotřebičů a elektroniky pro domácnost (o 3</w:t>
      </w:r>
      <w:r>
        <w:t>,4</w:t>
      </w:r>
      <w:r w:rsidRPr="00A10F9E">
        <w:t xml:space="preserve"> %) a naopak o </w:t>
      </w:r>
      <w:r>
        <w:t>2,7</w:t>
      </w:r>
      <w:r w:rsidRPr="00A10F9E">
        <w:t xml:space="preserve"> % klesl podíl internetového prodeje počítačů a komunikačních zařízení na celku. </w:t>
      </w:r>
      <w:r>
        <w:t xml:space="preserve">Takto malá změna nemusí být způsobena faktem, že by se jich prodalo méně. Jde o podíl tržeb (nikoli kusů) a ceny tohoto zboží dlouhodobě klesají. </w:t>
      </w:r>
      <w:r w:rsidR="00373CF3">
        <w:t xml:space="preserve">Další větší kategorií </w:t>
      </w:r>
      <w:r w:rsidRPr="008B78DC">
        <w:t xml:space="preserve">byla kosmetika </w:t>
      </w:r>
      <w:r w:rsidRPr="00A10F9E">
        <w:t>s téměř 10% podílem internetových tržeb. Naopak nejméně se v roce 2013, stejně jako v roce 2011, přes</w:t>
      </w:r>
      <w:r w:rsidRPr="008B78DC">
        <w:t xml:space="preserve"> internet prodávaly </w:t>
      </w:r>
      <w:r>
        <w:t xml:space="preserve">již zmiňované </w:t>
      </w:r>
      <w:r w:rsidRPr="008B78DC">
        <w:t>potraviny</w:t>
      </w:r>
      <w:r>
        <w:t xml:space="preserve">, ale také </w:t>
      </w:r>
      <w:r w:rsidRPr="008B78DC">
        <w:t>stavební a železářské zboží.</w:t>
      </w:r>
    </w:p>
    <w:p w:rsidR="003E6E2C" w:rsidRPr="006F65DB" w:rsidRDefault="003E6E2C" w:rsidP="008B7B3F">
      <w:pPr>
        <w:spacing w:after="120" w:line="240" w:lineRule="auto"/>
        <w:rPr>
          <w:highlight w:val="yellow"/>
        </w:rPr>
      </w:pPr>
    </w:p>
    <w:p w:rsidR="00654268" w:rsidRPr="00654268" w:rsidRDefault="00C1658F" w:rsidP="00654268">
      <w:pPr>
        <w:keepNext/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Struktura zboží podle formy prodeje</w:t>
      </w:r>
    </w:p>
    <w:p w:rsidR="00E83779" w:rsidRDefault="00E83779" w:rsidP="00C80C96">
      <w:pPr>
        <w:spacing w:after="120"/>
      </w:pPr>
      <w:r>
        <w:t xml:space="preserve">Z hlediska komoditního rozložení zboží je zajímavé porovnání struktury prodejů přes internet v </w:t>
      </w:r>
      <w:r w:rsidRPr="00920E18">
        <w:t>internetových obchodech, tedy tam, kde tato forma prodeje převládá, a v </w:t>
      </w:r>
      <w:r>
        <w:t>kamenných</w:t>
      </w:r>
      <w:r w:rsidRPr="00920E18">
        <w:t xml:space="preserve"> obchodech, kde je </w:t>
      </w:r>
      <w:r>
        <w:t>internetový prodej</w:t>
      </w:r>
      <w:r w:rsidRPr="00920E18">
        <w:t xml:space="preserve"> pouze formou doplňkovou</w:t>
      </w:r>
      <w:r w:rsidRPr="001A7C82">
        <w:t>.</w:t>
      </w:r>
      <w:r w:rsidR="00217566">
        <w:t xml:space="preserve"> Srovnání struktury zboží prodaného touto formou mezi roky 2011 a 2013 vypovídá o proměnách podílů sledovaných sortimentních skupin.</w:t>
      </w:r>
    </w:p>
    <w:p w:rsidR="009170FF" w:rsidRPr="006335A7" w:rsidRDefault="009170FF" w:rsidP="00C80C96">
      <w:pPr>
        <w:spacing w:after="120"/>
      </w:pPr>
    </w:p>
    <w:p w:rsidR="00DD041A" w:rsidRPr="007E3D92" w:rsidRDefault="00DD041A" w:rsidP="00350A45">
      <w:pPr>
        <w:keepNext/>
        <w:spacing w:line="240" w:lineRule="auto"/>
        <w:jc w:val="center"/>
        <w:outlineLvl w:val="0"/>
        <w:rPr>
          <w:b/>
          <w:szCs w:val="20"/>
        </w:rPr>
      </w:pPr>
      <w:r w:rsidRPr="007E3D92">
        <w:rPr>
          <w:b/>
          <w:szCs w:val="20"/>
        </w:rPr>
        <w:lastRenderedPageBreak/>
        <w:t>Graf</w:t>
      </w:r>
      <w:r w:rsidR="00697C12">
        <w:rPr>
          <w:b/>
          <w:szCs w:val="20"/>
        </w:rPr>
        <w:t>y</w:t>
      </w:r>
      <w:r w:rsidRPr="007E3D92">
        <w:rPr>
          <w:b/>
          <w:szCs w:val="20"/>
        </w:rPr>
        <w:t xml:space="preserve"> č. 4 </w:t>
      </w:r>
      <w:r w:rsidR="00697C12">
        <w:rPr>
          <w:b/>
          <w:szCs w:val="20"/>
        </w:rPr>
        <w:t xml:space="preserve">a 5 </w:t>
      </w:r>
      <w:r w:rsidRPr="007E3D92">
        <w:rPr>
          <w:b/>
          <w:szCs w:val="20"/>
        </w:rPr>
        <w:t xml:space="preserve">Porovnání struktury tržeb za zboží realizovaných </w:t>
      </w:r>
    </w:p>
    <w:p w:rsidR="00DD041A" w:rsidRPr="00F31A6E" w:rsidRDefault="00DD041A" w:rsidP="00350A45">
      <w:pPr>
        <w:keepNext/>
        <w:spacing w:line="240" w:lineRule="auto"/>
        <w:jc w:val="center"/>
        <w:outlineLvl w:val="0"/>
        <w:rPr>
          <w:b/>
          <w:szCs w:val="20"/>
        </w:rPr>
      </w:pPr>
      <w:r w:rsidRPr="007E3D92">
        <w:rPr>
          <w:b/>
          <w:szCs w:val="20"/>
        </w:rPr>
        <w:t>prostřednictvím internetu</w:t>
      </w:r>
      <w:r w:rsidR="008E3B52" w:rsidRPr="007E3D92">
        <w:rPr>
          <w:b/>
          <w:szCs w:val="20"/>
        </w:rPr>
        <w:t xml:space="preserve"> </w:t>
      </w:r>
      <w:r w:rsidRPr="007E3D92">
        <w:rPr>
          <w:b/>
          <w:szCs w:val="20"/>
        </w:rPr>
        <w:t>podle typu podniku</w:t>
      </w:r>
    </w:p>
    <w:p w:rsidR="00697C12" w:rsidRDefault="00697C12" w:rsidP="00350A45">
      <w:pPr>
        <w:keepNext/>
        <w:spacing w:line="240" w:lineRule="auto"/>
        <w:outlineLvl w:val="0"/>
        <w:rPr>
          <w:b/>
        </w:rPr>
      </w:pPr>
    </w:p>
    <w:p w:rsidR="00DD041A" w:rsidRPr="00612831" w:rsidRDefault="00DD041A" w:rsidP="00350A45">
      <w:pPr>
        <w:keepNext/>
        <w:spacing w:line="240" w:lineRule="auto"/>
        <w:outlineLvl w:val="0"/>
        <w:rPr>
          <w:b/>
        </w:rPr>
      </w:pPr>
      <w:r w:rsidRPr="00612831">
        <w:rPr>
          <w:b/>
        </w:rPr>
        <w:t>P</w:t>
      </w:r>
      <w:r w:rsidR="00697C12">
        <w:rPr>
          <w:b/>
        </w:rPr>
        <w:t>řevažující prodej v kamenných prodejnách</w:t>
      </w:r>
      <w:r w:rsidRPr="00612831">
        <w:rPr>
          <w:b/>
        </w:rPr>
        <w:t xml:space="preserve"> </w:t>
      </w:r>
    </w:p>
    <w:p w:rsidR="00DD041A" w:rsidRDefault="0086788C" w:rsidP="00EC70BC">
      <w:pPr>
        <w:keepNext/>
        <w:spacing w:line="240" w:lineRule="auto"/>
        <w:jc w:val="left"/>
        <w:rPr>
          <w:b/>
        </w:rPr>
      </w:pPr>
      <w:r>
        <w:rPr>
          <w:b/>
        </w:rPr>
        <w:t>(</w:t>
      </w:r>
      <w:r w:rsidR="008A6665">
        <w:rPr>
          <w:b/>
        </w:rPr>
        <w:t>CZ-</w:t>
      </w:r>
      <w:r w:rsidR="00DD041A" w:rsidRPr="00612831">
        <w:rPr>
          <w:b/>
        </w:rPr>
        <w:t>NACE 471-477</w:t>
      </w:r>
      <w:r>
        <w:rPr>
          <w:b/>
        </w:rPr>
        <w:t>)</w:t>
      </w:r>
    </w:p>
    <w:p w:rsidR="00EC70BC" w:rsidRPr="004B08EE" w:rsidRDefault="00EC70BC" w:rsidP="00EC70BC">
      <w:pPr>
        <w:keepNext/>
        <w:spacing w:line="240" w:lineRule="auto"/>
        <w:jc w:val="left"/>
        <w:rPr>
          <w:b/>
        </w:rPr>
      </w:pPr>
    </w:p>
    <w:p w:rsidR="00DD041A" w:rsidRDefault="00C90EA2" w:rsidP="00A863EC">
      <w:pPr>
        <w:spacing w:after="120" w:line="240" w:lineRule="auto"/>
        <w:jc w:val="left"/>
      </w:pPr>
      <w:r>
        <w:rPr>
          <w:noProof/>
          <w:lang w:eastAsia="cs-CZ"/>
        </w:rPr>
      </w:r>
      <w:r>
        <w:pict w14:anchorId="2D3E273A">
          <v:shape id="_x0000_s1031" type="#_x0000_t75" style="width:420.65pt;height:184.35pt;mso-left-percent:-10001;mso-top-percent:-10001;mso-position-horizontal:absolute;mso-position-horizontal-relative:char;mso-position-vertical:absolute;mso-position-vertical-relative:line;mso-left-percent:-10001;mso-top-percent:-10001">
            <v:imagedata r:id="rId12" o:title=""/>
            <w10:anchorlock/>
          </v:shape>
        </w:pict>
      </w:r>
    </w:p>
    <w:p w:rsidR="00DD041A" w:rsidRDefault="00DD041A" w:rsidP="00A863EC">
      <w:pPr>
        <w:spacing w:after="120" w:line="240" w:lineRule="auto"/>
        <w:jc w:val="left"/>
      </w:pPr>
    </w:p>
    <w:p w:rsidR="00DD041A" w:rsidRPr="00612831" w:rsidRDefault="00697C12" w:rsidP="00A863EC">
      <w:pPr>
        <w:keepNext/>
        <w:spacing w:line="240" w:lineRule="auto"/>
        <w:jc w:val="left"/>
        <w:outlineLvl w:val="0"/>
        <w:rPr>
          <w:b/>
        </w:rPr>
      </w:pPr>
      <w:r>
        <w:rPr>
          <w:b/>
        </w:rPr>
        <w:t>Převažující prodej přes internet</w:t>
      </w:r>
    </w:p>
    <w:p w:rsidR="00DD041A" w:rsidRPr="00EC70BC" w:rsidRDefault="00DD041A" w:rsidP="00A863EC">
      <w:pPr>
        <w:keepNext/>
        <w:spacing w:line="240" w:lineRule="auto"/>
        <w:jc w:val="left"/>
        <w:rPr>
          <w:b/>
        </w:rPr>
      </w:pPr>
      <w:r w:rsidRPr="00EC70BC">
        <w:rPr>
          <w:b/>
        </w:rPr>
        <w:t>(CZ-NACE 4791</w:t>
      </w:r>
      <w:r w:rsidR="0082251B" w:rsidRPr="00EC70BC">
        <w:rPr>
          <w:b/>
        </w:rPr>
        <w:t>1</w:t>
      </w:r>
      <w:r w:rsidRPr="00EC70BC">
        <w:rPr>
          <w:b/>
        </w:rPr>
        <w:t>)</w:t>
      </w:r>
    </w:p>
    <w:p w:rsidR="00DD041A" w:rsidRPr="00EC70BC" w:rsidRDefault="00DD041A" w:rsidP="00A863EC">
      <w:pPr>
        <w:keepNext/>
        <w:spacing w:line="240" w:lineRule="auto"/>
        <w:jc w:val="left"/>
        <w:outlineLvl w:val="0"/>
        <w:rPr>
          <w:b/>
        </w:rPr>
      </w:pPr>
    </w:p>
    <w:p w:rsidR="00C16BC0" w:rsidRDefault="00A863EC" w:rsidP="00A863EC">
      <w:pPr>
        <w:spacing w:after="120" w:line="24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</w:r>
      <w:r>
        <w:rPr>
          <w:b/>
          <w:sz w:val="24"/>
          <w:szCs w:val="24"/>
        </w:rPr>
        <w:pict w14:anchorId="57527B8C">
          <v:shape id="_x0000_s1032" type="#_x0000_t75" style="width:420.65pt;height:170.4pt;mso-left-percent:-10001;mso-top-percent:-10001;mso-position-horizontal:absolute;mso-position-horizontal-relative:char;mso-position-vertical:absolute;mso-position-vertical-relative:line;mso-left-percent:-10001;mso-top-percent:-10001">
            <v:imagedata r:id="rId13" o:title=""/>
            <w10:anchorlock/>
          </v:shape>
        </w:pict>
      </w:r>
    </w:p>
    <w:p w:rsidR="00A23609" w:rsidRDefault="00A23609" w:rsidP="003A7265">
      <w:pPr>
        <w:spacing w:after="120"/>
        <w:rPr>
          <w:highlight w:val="green"/>
        </w:rPr>
      </w:pPr>
    </w:p>
    <w:p w:rsidR="00B31CD3" w:rsidRPr="00654268" w:rsidRDefault="002C20A7" w:rsidP="003A7265">
      <w:pPr>
        <w:spacing w:after="120"/>
      </w:pPr>
      <w:r w:rsidRPr="00A23609">
        <w:t xml:space="preserve">Internetový prodej v maloobchodě </w:t>
      </w:r>
      <w:r w:rsidRPr="00A23609">
        <w:rPr>
          <w:b/>
        </w:rPr>
        <w:t>s převahou prodejů v prodejnách</w:t>
      </w:r>
      <w:r w:rsidRPr="00A23609">
        <w:t xml:space="preserve"> se v sortimentní skladbě v roce 2013 proti roku 2011 mírně proměnil.</w:t>
      </w:r>
      <w:r w:rsidR="003A7265" w:rsidRPr="00A23609">
        <w:t xml:space="preserve"> </w:t>
      </w:r>
      <w:r w:rsidR="00B416D1" w:rsidRPr="00A23609">
        <w:t xml:space="preserve">V obou letech </w:t>
      </w:r>
      <w:r w:rsidR="00CE56EF">
        <w:t>převládal</w:t>
      </w:r>
      <w:r w:rsidR="00B416D1" w:rsidRPr="00A23609">
        <w:t xml:space="preserve"> internetový prodej</w:t>
      </w:r>
      <w:r w:rsidR="00B416D1">
        <w:t xml:space="preserve"> elektrospotřebičů a elektroniky pro domácnost (25 % v roce 2013, 24 % v roce 2011), následovaný prodejem počítačů a komunikačních zařízení. Mezi sledovanými roky se podíl této </w:t>
      </w:r>
      <w:r w:rsidR="00B416D1" w:rsidRPr="00A23609">
        <w:t xml:space="preserve">skupiny zvýšil o 6,5 </w:t>
      </w:r>
      <w:proofErr w:type="spellStart"/>
      <w:proofErr w:type="gramStart"/>
      <w:r w:rsidR="00A723E2" w:rsidRPr="00A23609">
        <w:t>p.b</w:t>
      </w:r>
      <w:proofErr w:type="spellEnd"/>
      <w:r w:rsidR="00A723E2" w:rsidRPr="00A23609">
        <w:t>.</w:t>
      </w:r>
      <w:r w:rsidR="00B416D1" w:rsidRPr="00A23609">
        <w:t xml:space="preserve"> na</w:t>
      </w:r>
      <w:proofErr w:type="gramEnd"/>
      <w:r w:rsidR="00B416D1" w:rsidRPr="00A23609">
        <w:t xml:space="preserve"> 18 % v roce 2013. </w:t>
      </w:r>
      <w:r w:rsidR="00A723E2" w:rsidRPr="00A23609">
        <w:t>Výrazně narostl také podíl u sportovního a</w:t>
      </w:r>
      <w:r w:rsidR="00A723E2">
        <w:t xml:space="preserve"> kempinkového zboží. </w:t>
      </w:r>
      <w:r w:rsidR="003A7265">
        <w:t>Oděvy a obuv si v </w:t>
      </w:r>
      <w:r w:rsidR="003A7265" w:rsidRPr="003A7265">
        <w:t xml:space="preserve">obou sledovaných letech podržely stejný podíl, a to </w:t>
      </w:r>
      <w:r w:rsidR="003A7265" w:rsidRPr="00A23609">
        <w:lastRenderedPageBreak/>
        <w:t>12</w:t>
      </w:r>
      <w:r w:rsidRPr="00A23609">
        <w:t> </w:t>
      </w:r>
      <w:r w:rsidR="003A7265" w:rsidRPr="00A23609">
        <w:t xml:space="preserve">%. </w:t>
      </w:r>
      <w:r w:rsidR="00A723E2" w:rsidRPr="00A23609">
        <w:t>Naopak ke snížení podílu došlo</w:t>
      </w:r>
      <w:r w:rsidR="00B31CD3" w:rsidRPr="00A23609">
        <w:t xml:space="preserve"> u zboží pro domácnost o více než 6 </w:t>
      </w:r>
      <w:proofErr w:type="spellStart"/>
      <w:proofErr w:type="gramStart"/>
      <w:r w:rsidR="00A723E2" w:rsidRPr="00A23609">
        <w:t>p.b</w:t>
      </w:r>
      <w:proofErr w:type="spellEnd"/>
      <w:r w:rsidR="00A723E2" w:rsidRPr="00A23609">
        <w:t>.</w:t>
      </w:r>
      <w:r w:rsidR="003A7265" w:rsidRPr="00A23609">
        <w:t xml:space="preserve"> na</w:t>
      </w:r>
      <w:proofErr w:type="gramEnd"/>
      <w:r w:rsidR="003A7265" w:rsidRPr="00A23609">
        <w:t xml:space="preserve"> 8 % v roce</w:t>
      </w:r>
      <w:r w:rsidR="003A7265" w:rsidRPr="003A7265">
        <w:t xml:space="preserve"> </w:t>
      </w:r>
      <w:r w:rsidR="003A7265" w:rsidRPr="00A23609">
        <w:t>2013</w:t>
      </w:r>
      <w:r w:rsidR="00B31CD3" w:rsidRPr="00A23609">
        <w:t xml:space="preserve">, u zboží pro kulturu a zájmy (knihy, hračky) o více než 5 </w:t>
      </w:r>
      <w:proofErr w:type="spellStart"/>
      <w:r w:rsidR="00A723E2" w:rsidRPr="00A23609">
        <w:t>p.b</w:t>
      </w:r>
      <w:proofErr w:type="spellEnd"/>
      <w:r w:rsidR="00A723E2" w:rsidRPr="00A23609">
        <w:t>.</w:t>
      </w:r>
      <w:r w:rsidR="00B31CD3" w:rsidRPr="00A23609">
        <w:t xml:space="preserve"> </w:t>
      </w:r>
      <w:r w:rsidR="003A7265" w:rsidRPr="00A23609">
        <w:t xml:space="preserve">na 4 % v roce 2013 </w:t>
      </w:r>
      <w:r w:rsidR="00B31CD3" w:rsidRPr="00A23609">
        <w:t xml:space="preserve">a u zdravotnických výrobků a o více než 2 </w:t>
      </w:r>
      <w:proofErr w:type="spellStart"/>
      <w:r w:rsidR="00A723E2" w:rsidRPr="00A23609">
        <w:t>p.b</w:t>
      </w:r>
      <w:proofErr w:type="spellEnd"/>
      <w:r w:rsidR="00A723E2" w:rsidRPr="00A23609">
        <w:t>.</w:t>
      </w:r>
      <w:r w:rsidR="003A7265" w:rsidRPr="00A23609">
        <w:t xml:space="preserve"> na 3 % v roce 2013</w:t>
      </w:r>
      <w:r w:rsidR="00B31CD3" w:rsidRPr="00A23609">
        <w:t>.</w:t>
      </w:r>
    </w:p>
    <w:p w:rsidR="00B416D1" w:rsidRDefault="00B416D1" w:rsidP="00DF37DE">
      <w:pPr>
        <w:spacing w:after="120"/>
      </w:pPr>
      <w:r w:rsidRPr="007F0FE4">
        <w:t xml:space="preserve">V maloobchodě </w:t>
      </w:r>
      <w:r w:rsidRPr="00DF37DE">
        <w:rPr>
          <w:b/>
        </w:rPr>
        <w:t>s převažující internetovou formou prodeje</w:t>
      </w:r>
      <w:r w:rsidRPr="007F0FE4">
        <w:t xml:space="preserve"> </w:t>
      </w:r>
      <w:r w:rsidR="002C20A7">
        <w:t>byly změny</w:t>
      </w:r>
      <w:r w:rsidR="002900EB" w:rsidRPr="007F0FE4">
        <w:t xml:space="preserve"> mezi roky 2011 a 2013 </w:t>
      </w:r>
      <w:r w:rsidR="002C20A7" w:rsidRPr="007F0FE4">
        <w:t xml:space="preserve">ve struktuře prodávaného zboží </w:t>
      </w:r>
      <w:r w:rsidR="002C20A7">
        <w:t>méně patrné</w:t>
      </w:r>
      <w:r w:rsidR="002900EB" w:rsidRPr="007F0FE4">
        <w:t xml:space="preserve">. </w:t>
      </w:r>
      <w:r w:rsidR="00E97D63">
        <w:t>D</w:t>
      </w:r>
      <w:r w:rsidR="007F0FE4" w:rsidRPr="007F0FE4">
        <w:t>ošlo</w:t>
      </w:r>
      <w:r w:rsidRPr="007F0FE4">
        <w:t xml:space="preserve"> k  poklesu </w:t>
      </w:r>
      <w:r w:rsidR="002C20A7">
        <w:t xml:space="preserve">podílu </w:t>
      </w:r>
      <w:r w:rsidRPr="007F0FE4">
        <w:t xml:space="preserve">tržeb za počítače a </w:t>
      </w:r>
      <w:r w:rsidRPr="00A23609">
        <w:t>komunikační zařízení</w:t>
      </w:r>
      <w:r w:rsidR="007F0FE4" w:rsidRPr="00A23609">
        <w:t xml:space="preserve"> ze 43 % v roce 2011</w:t>
      </w:r>
      <w:r w:rsidR="00E97D63" w:rsidRPr="00A23609">
        <w:t xml:space="preserve"> na 38 % ve prospěch podílu </w:t>
      </w:r>
      <w:r w:rsidRPr="00A23609">
        <w:t xml:space="preserve">elektrických spotřebičů pro domácnost o 4 </w:t>
      </w:r>
      <w:proofErr w:type="spellStart"/>
      <w:proofErr w:type="gramStart"/>
      <w:r w:rsidR="00E97D63" w:rsidRPr="00A23609">
        <w:t>p.b</w:t>
      </w:r>
      <w:proofErr w:type="spellEnd"/>
      <w:r w:rsidR="00E97D63" w:rsidRPr="00A23609">
        <w:t>.</w:t>
      </w:r>
      <w:r w:rsidRPr="00A23609">
        <w:t xml:space="preserve"> </w:t>
      </w:r>
      <w:r w:rsidR="007F0FE4" w:rsidRPr="00A23609">
        <w:t>na</w:t>
      </w:r>
      <w:proofErr w:type="gramEnd"/>
      <w:r w:rsidR="007F0FE4" w:rsidRPr="00A23609">
        <w:t xml:space="preserve"> 25 % v roce 2013 </w:t>
      </w:r>
      <w:r w:rsidRPr="00A23609">
        <w:t>a také podíl</w:t>
      </w:r>
      <w:r w:rsidR="00E97D63" w:rsidRPr="00A23609">
        <w:t>u</w:t>
      </w:r>
      <w:r w:rsidRPr="00A23609">
        <w:t xml:space="preserve"> kosmetického zboží o necelé 2</w:t>
      </w:r>
      <w:r w:rsidR="00E97D63" w:rsidRPr="00A23609">
        <w:t> </w:t>
      </w:r>
      <w:proofErr w:type="spellStart"/>
      <w:r w:rsidR="00E97D63" w:rsidRPr="00A23609">
        <w:t>p.b</w:t>
      </w:r>
      <w:proofErr w:type="spellEnd"/>
      <w:r w:rsidR="00E97D63" w:rsidRPr="00A23609">
        <w:t>.</w:t>
      </w:r>
      <w:r w:rsidR="007F0FE4" w:rsidRPr="00A23609">
        <w:t xml:space="preserve"> na 11 % v roce 2013</w:t>
      </w:r>
      <w:r w:rsidRPr="00A23609">
        <w:t>.</w:t>
      </w:r>
      <w:r w:rsidR="007F0FE4" w:rsidRPr="00A23609">
        <w:t xml:space="preserve"> Ostatní sortimentní skupiny si zachovaly po oba roky podobný procentní</w:t>
      </w:r>
      <w:r w:rsidR="007F0FE4" w:rsidRPr="007F0FE4">
        <w:t xml:space="preserve"> podíl.</w:t>
      </w:r>
    </w:p>
    <w:p w:rsidR="00E97D63" w:rsidRDefault="00E97D63" w:rsidP="00E97D63">
      <w:pPr>
        <w:spacing w:before="120" w:after="120" w:line="240" w:lineRule="auto"/>
      </w:pPr>
    </w:p>
    <w:p w:rsidR="00DD041A" w:rsidRPr="00C16BC0" w:rsidRDefault="00DD041A" w:rsidP="0082251B">
      <w:pPr>
        <w:keepNext/>
        <w:spacing w:after="120" w:line="240" w:lineRule="auto"/>
        <w:outlineLvl w:val="0"/>
        <w:rPr>
          <w:b/>
          <w:sz w:val="22"/>
        </w:rPr>
      </w:pPr>
      <w:r w:rsidRPr="00C16BC0">
        <w:rPr>
          <w:b/>
          <w:sz w:val="22"/>
        </w:rPr>
        <w:t>Závěr</w:t>
      </w:r>
    </w:p>
    <w:p w:rsidR="001E4153" w:rsidRDefault="00E81D1D" w:rsidP="00DF37DE">
      <w:pPr>
        <w:spacing w:after="120"/>
      </w:pPr>
      <w:r>
        <w:t xml:space="preserve">Vybavení domácností internetem a jeho využití je dnes již zcela běžné. Samozřejmostí se stává využití této formy i k nakupování. </w:t>
      </w:r>
      <w:r w:rsidR="00DD1B65">
        <w:t>Opakované šetření</w:t>
      </w:r>
      <w:r w:rsidR="00DD1B65" w:rsidRPr="00654268">
        <w:t xml:space="preserve"> </w:t>
      </w:r>
      <w:r w:rsidR="000913AE" w:rsidRPr="00654268">
        <w:t xml:space="preserve">v roce </w:t>
      </w:r>
      <w:r w:rsidR="00DD1B65" w:rsidRPr="00654268">
        <w:t>201</w:t>
      </w:r>
      <w:r w:rsidR="00DD1B65">
        <w:t>4 (za rok 2013)</w:t>
      </w:r>
      <w:r w:rsidR="00DD1B65" w:rsidRPr="00654268">
        <w:t xml:space="preserve"> </w:t>
      </w:r>
      <w:r w:rsidR="00DD041A" w:rsidRPr="00654268">
        <w:t xml:space="preserve">potvrdilo </w:t>
      </w:r>
      <w:r w:rsidR="000913AE" w:rsidRPr="00654268">
        <w:t xml:space="preserve">trend, kdy </w:t>
      </w:r>
      <w:r w:rsidR="00DD041A" w:rsidRPr="00654268">
        <w:t xml:space="preserve">podniky s maloobchodními prodejnami </w:t>
      </w:r>
      <w:r w:rsidR="00F504F8">
        <w:t>využívaly</w:t>
      </w:r>
      <w:r w:rsidR="00DD1B65">
        <w:t xml:space="preserve"> </w:t>
      </w:r>
      <w:r w:rsidR="00DD041A" w:rsidRPr="00654268">
        <w:t xml:space="preserve">jako vedlejší formu možnost elektronického objednávání zboží, </w:t>
      </w:r>
      <w:r w:rsidR="00DD1B65">
        <w:t>a naopak</w:t>
      </w:r>
      <w:r w:rsidR="00DD041A" w:rsidRPr="00654268">
        <w:t xml:space="preserve"> obchody s převahou intern</w:t>
      </w:r>
      <w:r w:rsidR="00F504F8">
        <w:t>etového prodeje nezřídka zřizovaly</w:t>
      </w:r>
      <w:r w:rsidR="00DD041A" w:rsidRPr="00654268">
        <w:t xml:space="preserve"> maloobchodní prodejny nebo prodejní sklady,</w:t>
      </w:r>
      <w:r w:rsidR="00DD041A" w:rsidRPr="00362959">
        <w:t xml:space="preserve"> kde má zákazník možnost si zboží nejen vyzvednout, ale </w:t>
      </w:r>
      <w:r w:rsidR="00DD1B65">
        <w:t>zejména</w:t>
      </w:r>
      <w:r w:rsidR="00DD041A" w:rsidRPr="00362959">
        <w:t xml:space="preserve"> prohlédnout</w:t>
      </w:r>
      <w:r w:rsidR="00DD1B65">
        <w:t>, osahat, vyzkoušet apod</w:t>
      </w:r>
      <w:r w:rsidR="00DD041A" w:rsidRPr="00362959">
        <w:t xml:space="preserve">. </w:t>
      </w:r>
      <w:r w:rsidR="00DD1B65">
        <w:t>Nicméně změny za poslední roky jsou již minimální, k největšímu „rozkvětu“ rozšiřování forem došlo již v předchozích letech a situace v maloobchodní síti – prodejny kontra internetové obchody</w:t>
      </w:r>
      <w:r w:rsidR="00DA650B">
        <w:t xml:space="preserve"> –</w:t>
      </w:r>
      <w:r w:rsidR="00DD1B65">
        <w:t xml:space="preserve"> je již poměrně stabilizovaná. </w:t>
      </w:r>
    </w:p>
    <w:p w:rsidR="000913AE" w:rsidRPr="00654268" w:rsidRDefault="008A1865" w:rsidP="00DF37DE">
      <w:pPr>
        <w:spacing w:after="120"/>
      </w:pPr>
      <w:r>
        <w:t>Struktura tržeb za jednotlivé druhy zboží realizovaných přes internet se ve srovnávaných dvou letech již také zásadním způsobem nezměnila. O</w:t>
      </w:r>
      <w:r w:rsidR="00415DC5" w:rsidRPr="00654268">
        <w:t xml:space="preserve">bliba nakupování jednotlivých druhů zboží přes internet je </w:t>
      </w:r>
      <w:r>
        <w:t xml:space="preserve">však </w:t>
      </w:r>
      <w:r w:rsidR="00415DC5" w:rsidRPr="00654268">
        <w:t xml:space="preserve">proměnlivá. </w:t>
      </w:r>
      <w:r w:rsidR="004D5EC1" w:rsidRPr="00654268">
        <w:t xml:space="preserve">Zatímco u jednotek s převahou internetového prodeje došlo pouze k dílčím změnám, u jednotek s převažujícím prodejem v kamenných prodejnách jsou patrné </w:t>
      </w:r>
      <w:r w:rsidR="002243CD" w:rsidRPr="00654268">
        <w:t>výkyvy</w:t>
      </w:r>
      <w:r w:rsidR="004D5EC1" w:rsidRPr="00654268">
        <w:t xml:space="preserve"> v sortimentu </w:t>
      </w:r>
      <w:r w:rsidR="002243CD" w:rsidRPr="00654268">
        <w:t>prodávaném přes internet</w:t>
      </w:r>
      <w:r w:rsidR="00C07C02" w:rsidRPr="00654268">
        <w:t xml:space="preserve"> mezi srovnávanými lety.</w:t>
      </w:r>
    </w:p>
    <w:p w:rsidR="00400FEF" w:rsidRPr="007C5952" w:rsidRDefault="00BD277C" w:rsidP="00DF37DE">
      <w:pPr>
        <w:spacing w:after="120"/>
      </w:pPr>
      <w:r>
        <w:t>Lze však předpokládat, že další rozvoj informačních a komunikačních technologií bude i v budoucnu měnit tvář tradičního maloobchodního prodeje.</w:t>
      </w:r>
    </w:p>
    <w:sectPr w:rsidR="00400FEF" w:rsidRPr="007C5952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95" w:rsidRDefault="009F7995" w:rsidP="00BA6370">
      <w:r>
        <w:separator/>
      </w:r>
    </w:p>
  </w:endnote>
  <w:endnote w:type="continuationSeparator" w:id="0">
    <w:p w:rsidR="009F7995" w:rsidRDefault="009F799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65" w:rsidRDefault="009F7995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4.4pt;width:426.5pt;height:33.7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inset="0,0,0,0">
            <w:txbxContent>
              <w:p w:rsidR="00DD1B65" w:rsidRDefault="00DD1B65" w:rsidP="0045547F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45547F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Oddělení informačních služeb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–</w:t>
                </w:r>
                <w:r w:rsidRPr="0045547F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ústředí</w:t>
                </w:r>
              </w:p>
              <w:p w:rsidR="00DD1B65" w:rsidRPr="00A81EB3" w:rsidRDefault="00DD1B65" w:rsidP="004E479E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A81EB3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A81EB3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A81EB3">
                  <w:rPr>
                    <w:rFonts w:cs="Arial"/>
                    <w:b/>
                    <w:bCs/>
                    <w:sz w:val="15"/>
                    <w:szCs w:val="15"/>
                  </w:rPr>
                  <w:t>www.czso.</w:t>
                </w:r>
                <w:proofErr w:type="gramStart"/>
                <w:r w:rsidRPr="00A81EB3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cz  |  </w:t>
                </w:r>
                <w:r w:rsidRPr="00A81EB3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A81EB3">
                  <w:rPr>
                    <w:rFonts w:cs="Arial"/>
                    <w:sz w:val="15"/>
                    <w:szCs w:val="15"/>
                  </w:rPr>
                  <w:t xml:space="preserve">: 274 052 304, 274 052 425, e-mail: </w:t>
                </w:r>
                <w:hyperlink r:id="rId1" w:history="1">
                  <w:r w:rsidRPr="00163593">
                    <w:rPr>
                      <w:rStyle w:val="Hypertextovodkaz"/>
                      <w:rFonts w:cs="Arial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137B94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137B94" w:rsidRPr="004E479E">
                  <w:rPr>
                    <w:rFonts w:cs="Arial"/>
                    <w:szCs w:val="15"/>
                  </w:rPr>
                  <w:fldChar w:fldCharType="separate"/>
                </w:r>
                <w:r w:rsidR="00340689">
                  <w:rPr>
                    <w:rFonts w:cs="Arial"/>
                    <w:noProof/>
                    <w:szCs w:val="15"/>
                  </w:rPr>
                  <w:t>1</w:t>
                </w:r>
                <w:r w:rsidR="00137B94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windowText" strokeweight=".5mm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95" w:rsidRDefault="009F7995" w:rsidP="00BA6370">
      <w:r>
        <w:separator/>
      </w:r>
    </w:p>
  </w:footnote>
  <w:footnote w:type="continuationSeparator" w:id="0">
    <w:p w:rsidR="009F7995" w:rsidRDefault="009F7995" w:rsidP="00BA6370">
      <w:r>
        <w:continuationSeparator/>
      </w:r>
    </w:p>
  </w:footnote>
  <w:footnote w:id="1">
    <w:p w:rsidR="002A453A" w:rsidRDefault="002A453A" w:rsidP="002A453A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 w:rsidRPr="007571E8">
        <w:rPr>
          <w:sz w:val="16"/>
          <w:szCs w:val="16"/>
        </w:rPr>
        <w:t>odhad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65" w:rsidRDefault="009F799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style="position:absolute;left:0;text-align:left;margin-left:28.55pt;margin-top:42.3pt;width:498.35pt;height:82.35pt;z-index:3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2DA"/>
    <w:multiLevelType w:val="hybridMultilevel"/>
    <w:tmpl w:val="ED381EB0"/>
    <w:lvl w:ilvl="0" w:tplc="478AEE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31100"/>
    <w:multiLevelType w:val="hybridMultilevel"/>
    <w:tmpl w:val="BEB48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24B5"/>
    <w:multiLevelType w:val="hybridMultilevel"/>
    <w:tmpl w:val="AFACEA58"/>
    <w:lvl w:ilvl="0" w:tplc="478AEE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26367"/>
    <w:multiLevelType w:val="hybridMultilevel"/>
    <w:tmpl w:val="3F04F0EE"/>
    <w:lvl w:ilvl="0" w:tplc="478AEE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41A"/>
    <w:rsid w:val="000026A8"/>
    <w:rsid w:val="0000278C"/>
    <w:rsid w:val="00004D03"/>
    <w:rsid w:val="000078D0"/>
    <w:rsid w:val="00014904"/>
    <w:rsid w:val="00014ADB"/>
    <w:rsid w:val="0001548E"/>
    <w:rsid w:val="0002006A"/>
    <w:rsid w:val="000213BA"/>
    <w:rsid w:val="000238D8"/>
    <w:rsid w:val="00025D53"/>
    <w:rsid w:val="00031FD3"/>
    <w:rsid w:val="00043C3F"/>
    <w:rsid w:val="000576A2"/>
    <w:rsid w:val="00062A70"/>
    <w:rsid w:val="00063982"/>
    <w:rsid w:val="000655E8"/>
    <w:rsid w:val="00073228"/>
    <w:rsid w:val="000757D4"/>
    <w:rsid w:val="000759FB"/>
    <w:rsid w:val="0008331D"/>
    <w:rsid w:val="000913AE"/>
    <w:rsid w:val="000920EC"/>
    <w:rsid w:val="000A6612"/>
    <w:rsid w:val="000B090A"/>
    <w:rsid w:val="000B2374"/>
    <w:rsid w:val="000C3599"/>
    <w:rsid w:val="000C382D"/>
    <w:rsid w:val="000C66FE"/>
    <w:rsid w:val="000C6DEE"/>
    <w:rsid w:val="000E1E1D"/>
    <w:rsid w:val="000E1E7D"/>
    <w:rsid w:val="000E3DA7"/>
    <w:rsid w:val="000F0D40"/>
    <w:rsid w:val="000F0E81"/>
    <w:rsid w:val="000F3C23"/>
    <w:rsid w:val="000F73E4"/>
    <w:rsid w:val="00100A9D"/>
    <w:rsid w:val="00104156"/>
    <w:rsid w:val="00104EFF"/>
    <w:rsid w:val="00107922"/>
    <w:rsid w:val="001108D4"/>
    <w:rsid w:val="001204E9"/>
    <w:rsid w:val="00121997"/>
    <w:rsid w:val="0012452D"/>
    <w:rsid w:val="00132D62"/>
    <w:rsid w:val="00133A36"/>
    <w:rsid w:val="00134578"/>
    <w:rsid w:val="00137B94"/>
    <w:rsid w:val="001405D5"/>
    <w:rsid w:val="00143745"/>
    <w:rsid w:val="001462E5"/>
    <w:rsid w:val="00147C01"/>
    <w:rsid w:val="00150A11"/>
    <w:rsid w:val="00151E8F"/>
    <w:rsid w:val="00157711"/>
    <w:rsid w:val="00161E9A"/>
    <w:rsid w:val="00161FF5"/>
    <w:rsid w:val="001630A5"/>
    <w:rsid w:val="00171398"/>
    <w:rsid w:val="0017231D"/>
    <w:rsid w:val="0017777E"/>
    <w:rsid w:val="001810DC"/>
    <w:rsid w:val="0018407D"/>
    <w:rsid w:val="00187F80"/>
    <w:rsid w:val="001944AB"/>
    <w:rsid w:val="0019580E"/>
    <w:rsid w:val="00195DDE"/>
    <w:rsid w:val="00197EAD"/>
    <w:rsid w:val="001A6332"/>
    <w:rsid w:val="001A7C82"/>
    <w:rsid w:val="001B4F24"/>
    <w:rsid w:val="001B607F"/>
    <w:rsid w:val="001C29CA"/>
    <w:rsid w:val="001C3B90"/>
    <w:rsid w:val="001C693D"/>
    <w:rsid w:val="001D1278"/>
    <w:rsid w:val="001D1509"/>
    <w:rsid w:val="001D57FD"/>
    <w:rsid w:val="001D65C6"/>
    <w:rsid w:val="001E4153"/>
    <w:rsid w:val="001F17A5"/>
    <w:rsid w:val="001F30CA"/>
    <w:rsid w:val="001F442F"/>
    <w:rsid w:val="001F4F49"/>
    <w:rsid w:val="001F780A"/>
    <w:rsid w:val="00202D22"/>
    <w:rsid w:val="002050CA"/>
    <w:rsid w:val="00205470"/>
    <w:rsid w:val="002057B8"/>
    <w:rsid w:val="002070FB"/>
    <w:rsid w:val="002133B7"/>
    <w:rsid w:val="00213411"/>
    <w:rsid w:val="00217566"/>
    <w:rsid w:val="00221670"/>
    <w:rsid w:val="002243CD"/>
    <w:rsid w:val="0022485C"/>
    <w:rsid w:val="00227A20"/>
    <w:rsid w:val="002343EA"/>
    <w:rsid w:val="002406FA"/>
    <w:rsid w:val="002449DB"/>
    <w:rsid w:val="00245897"/>
    <w:rsid w:val="00247C33"/>
    <w:rsid w:val="00251B28"/>
    <w:rsid w:val="002537A8"/>
    <w:rsid w:val="0027516D"/>
    <w:rsid w:val="00276303"/>
    <w:rsid w:val="002900EB"/>
    <w:rsid w:val="002A453A"/>
    <w:rsid w:val="002A7088"/>
    <w:rsid w:val="002A71BF"/>
    <w:rsid w:val="002B0391"/>
    <w:rsid w:val="002B2B31"/>
    <w:rsid w:val="002B2E47"/>
    <w:rsid w:val="002C20A7"/>
    <w:rsid w:val="002D6C75"/>
    <w:rsid w:val="002D7077"/>
    <w:rsid w:val="002E5488"/>
    <w:rsid w:val="002E7585"/>
    <w:rsid w:val="002F40EE"/>
    <w:rsid w:val="002F4E84"/>
    <w:rsid w:val="002F703B"/>
    <w:rsid w:val="00306113"/>
    <w:rsid w:val="00314EB0"/>
    <w:rsid w:val="0032074C"/>
    <w:rsid w:val="00321034"/>
    <w:rsid w:val="00323145"/>
    <w:rsid w:val="003246B4"/>
    <w:rsid w:val="003248CA"/>
    <w:rsid w:val="003313C5"/>
    <w:rsid w:val="003315A9"/>
    <w:rsid w:val="0033193E"/>
    <w:rsid w:val="00332863"/>
    <w:rsid w:val="00334294"/>
    <w:rsid w:val="0033734E"/>
    <w:rsid w:val="0033755E"/>
    <w:rsid w:val="003377B8"/>
    <w:rsid w:val="00337E54"/>
    <w:rsid w:val="00340689"/>
    <w:rsid w:val="0034095E"/>
    <w:rsid w:val="00350A45"/>
    <w:rsid w:val="00352A8D"/>
    <w:rsid w:val="00352BFC"/>
    <w:rsid w:val="00360B31"/>
    <w:rsid w:val="00362959"/>
    <w:rsid w:val="00373CF3"/>
    <w:rsid w:val="003775B4"/>
    <w:rsid w:val="00387331"/>
    <w:rsid w:val="00392048"/>
    <w:rsid w:val="0039597D"/>
    <w:rsid w:val="00397580"/>
    <w:rsid w:val="003A4FD5"/>
    <w:rsid w:val="003A7265"/>
    <w:rsid w:val="003C05A9"/>
    <w:rsid w:val="003C2039"/>
    <w:rsid w:val="003C2593"/>
    <w:rsid w:val="003D0499"/>
    <w:rsid w:val="003D249D"/>
    <w:rsid w:val="003D262E"/>
    <w:rsid w:val="003D304A"/>
    <w:rsid w:val="003D4393"/>
    <w:rsid w:val="003D736A"/>
    <w:rsid w:val="003E083B"/>
    <w:rsid w:val="003E2CA0"/>
    <w:rsid w:val="003E4D76"/>
    <w:rsid w:val="003E6B02"/>
    <w:rsid w:val="003E6E2C"/>
    <w:rsid w:val="003F34FD"/>
    <w:rsid w:val="003F381A"/>
    <w:rsid w:val="003F5146"/>
    <w:rsid w:val="003F526A"/>
    <w:rsid w:val="00400071"/>
    <w:rsid w:val="00400FEF"/>
    <w:rsid w:val="00405244"/>
    <w:rsid w:val="004057D2"/>
    <w:rsid w:val="00406F04"/>
    <w:rsid w:val="00410C89"/>
    <w:rsid w:val="00410C8E"/>
    <w:rsid w:val="00413391"/>
    <w:rsid w:val="00415DC5"/>
    <w:rsid w:val="00417909"/>
    <w:rsid w:val="00424916"/>
    <w:rsid w:val="00425B5A"/>
    <w:rsid w:val="0044406A"/>
    <w:rsid w:val="0044599A"/>
    <w:rsid w:val="00452AB1"/>
    <w:rsid w:val="0045547F"/>
    <w:rsid w:val="00461A54"/>
    <w:rsid w:val="00475BC5"/>
    <w:rsid w:val="004824A8"/>
    <w:rsid w:val="004869B9"/>
    <w:rsid w:val="00491507"/>
    <w:rsid w:val="00491B59"/>
    <w:rsid w:val="00497E99"/>
    <w:rsid w:val="004A43AB"/>
    <w:rsid w:val="004B1856"/>
    <w:rsid w:val="004B3460"/>
    <w:rsid w:val="004B64C7"/>
    <w:rsid w:val="004B69FF"/>
    <w:rsid w:val="004C0A7A"/>
    <w:rsid w:val="004C337C"/>
    <w:rsid w:val="004D5EC1"/>
    <w:rsid w:val="004D6BFB"/>
    <w:rsid w:val="004E479E"/>
    <w:rsid w:val="004E672C"/>
    <w:rsid w:val="004E6DF7"/>
    <w:rsid w:val="004F5ECA"/>
    <w:rsid w:val="004F6D61"/>
    <w:rsid w:val="004F78E6"/>
    <w:rsid w:val="00511C19"/>
    <w:rsid w:val="0051217C"/>
    <w:rsid w:val="00512D99"/>
    <w:rsid w:val="00517015"/>
    <w:rsid w:val="00534C76"/>
    <w:rsid w:val="0054322A"/>
    <w:rsid w:val="00550E45"/>
    <w:rsid w:val="0055321A"/>
    <w:rsid w:val="0055490C"/>
    <w:rsid w:val="00562A4C"/>
    <w:rsid w:val="00566912"/>
    <w:rsid w:val="00566F0B"/>
    <w:rsid w:val="005709AB"/>
    <w:rsid w:val="00571437"/>
    <w:rsid w:val="00582050"/>
    <w:rsid w:val="005825DE"/>
    <w:rsid w:val="00583152"/>
    <w:rsid w:val="00583190"/>
    <w:rsid w:val="00586C68"/>
    <w:rsid w:val="005B0458"/>
    <w:rsid w:val="005B75A7"/>
    <w:rsid w:val="005B7AE4"/>
    <w:rsid w:val="005C3AC1"/>
    <w:rsid w:val="005D4335"/>
    <w:rsid w:val="005E3710"/>
    <w:rsid w:val="005F4E92"/>
    <w:rsid w:val="005F5D93"/>
    <w:rsid w:val="005F6FE9"/>
    <w:rsid w:val="005F79FB"/>
    <w:rsid w:val="00605C35"/>
    <w:rsid w:val="0061690C"/>
    <w:rsid w:val="006258A2"/>
    <w:rsid w:val="006335A7"/>
    <w:rsid w:val="00633FBE"/>
    <w:rsid w:val="00636544"/>
    <w:rsid w:val="00642FC0"/>
    <w:rsid w:val="006441A1"/>
    <w:rsid w:val="00646E74"/>
    <w:rsid w:val="00651A96"/>
    <w:rsid w:val="00651B2C"/>
    <w:rsid w:val="00654268"/>
    <w:rsid w:val="0066223C"/>
    <w:rsid w:val="00665B3E"/>
    <w:rsid w:val="00682E94"/>
    <w:rsid w:val="00687D53"/>
    <w:rsid w:val="0069096E"/>
    <w:rsid w:val="006919BB"/>
    <w:rsid w:val="0069544C"/>
    <w:rsid w:val="00697028"/>
    <w:rsid w:val="00697C12"/>
    <w:rsid w:val="006A2217"/>
    <w:rsid w:val="006A3106"/>
    <w:rsid w:val="006B665D"/>
    <w:rsid w:val="006D3510"/>
    <w:rsid w:val="006D4EE4"/>
    <w:rsid w:val="006E024F"/>
    <w:rsid w:val="006E0F0D"/>
    <w:rsid w:val="006E215E"/>
    <w:rsid w:val="006E4E81"/>
    <w:rsid w:val="006E769F"/>
    <w:rsid w:val="006F0D6D"/>
    <w:rsid w:val="006F65DB"/>
    <w:rsid w:val="00705CD6"/>
    <w:rsid w:val="00705D20"/>
    <w:rsid w:val="00707605"/>
    <w:rsid w:val="00707F7D"/>
    <w:rsid w:val="007138A6"/>
    <w:rsid w:val="0071609C"/>
    <w:rsid w:val="00717EC5"/>
    <w:rsid w:val="00720620"/>
    <w:rsid w:val="00721C01"/>
    <w:rsid w:val="007230CB"/>
    <w:rsid w:val="00727247"/>
    <w:rsid w:val="007272AE"/>
    <w:rsid w:val="0073765C"/>
    <w:rsid w:val="00754645"/>
    <w:rsid w:val="007571E8"/>
    <w:rsid w:val="00760CC3"/>
    <w:rsid w:val="00762379"/>
    <w:rsid w:val="007662A7"/>
    <w:rsid w:val="00770368"/>
    <w:rsid w:val="00770BB7"/>
    <w:rsid w:val="0077563E"/>
    <w:rsid w:val="007818D5"/>
    <w:rsid w:val="00794228"/>
    <w:rsid w:val="007C04E9"/>
    <w:rsid w:val="007C28F0"/>
    <w:rsid w:val="007C5952"/>
    <w:rsid w:val="007D7ACA"/>
    <w:rsid w:val="007E009E"/>
    <w:rsid w:val="007E3D92"/>
    <w:rsid w:val="007E7D73"/>
    <w:rsid w:val="007F0FE4"/>
    <w:rsid w:val="007F514A"/>
    <w:rsid w:val="00807680"/>
    <w:rsid w:val="00814A58"/>
    <w:rsid w:val="00820839"/>
    <w:rsid w:val="008210C7"/>
    <w:rsid w:val="0082251B"/>
    <w:rsid w:val="008236F5"/>
    <w:rsid w:val="00823FEE"/>
    <w:rsid w:val="00824232"/>
    <w:rsid w:val="008304C1"/>
    <w:rsid w:val="008310C7"/>
    <w:rsid w:val="00834397"/>
    <w:rsid w:val="0085295D"/>
    <w:rsid w:val="008543B8"/>
    <w:rsid w:val="00861D0E"/>
    <w:rsid w:val="00865FA5"/>
    <w:rsid w:val="0086788C"/>
    <w:rsid w:val="00873E7D"/>
    <w:rsid w:val="00875155"/>
    <w:rsid w:val="00884E30"/>
    <w:rsid w:val="00887D45"/>
    <w:rsid w:val="00887EB1"/>
    <w:rsid w:val="00895B8C"/>
    <w:rsid w:val="00895BEF"/>
    <w:rsid w:val="008A0BD0"/>
    <w:rsid w:val="008A1865"/>
    <w:rsid w:val="008A44EE"/>
    <w:rsid w:val="008A6665"/>
    <w:rsid w:val="008B7542"/>
    <w:rsid w:val="008B78DC"/>
    <w:rsid w:val="008B7B3F"/>
    <w:rsid w:val="008C384C"/>
    <w:rsid w:val="008D0A5D"/>
    <w:rsid w:val="008D0D29"/>
    <w:rsid w:val="008D335C"/>
    <w:rsid w:val="008E22B3"/>
    <w:rsid w:val="008E3B52"/>
    <w:rsid w:val="008F73B4"/>
    <w:rsid w:val="009003BB"/>
    <w:rsid w:val="00904D77"/>
    <w:rsid w:val="0090675E"/>
    <w:rsid w:val="00911D95"/>
    <w:rsid w:val="0091428C"/>
    <w:rsid w:val="009167AF"/>
    <w:rsid w:val="009170FF"/>
    <w:rsid w:val="00920E18"/>
    <w:rsid w:val="00922F68"/>
    <w:rsid w:val="009240D6"/>
    <w:rsid w:val="00924163"/>
    <w:rsid w:val="009244DE"/>
    <w:rsid w:val="00927174"/>
    <w:rsid w:val="00937F44"/>
    <w:rsid w:val="009431E5"/>
    <w:rsid w:val="009439DB"/>
    <w:rsid w:val="00944FFC"/>
    <w:rsid w:val="00955E70"/>
    <w:rsid w:val="00962921"/>
    <w:rsid w:val="00962A21"/>
    <w:rsid w:val="00977D79"/>
    <w:rsid w:val="00982E86"/>
    <w:rsid w:val="00986B22"/>
    <w:rsid w:val="00987921"/>
    <w:rsid w:val="00993493"/>
    <w:rsid w:val="0099486F"/>
    <w:rsid w:val="0099594B"/>
    <w:rsid w:val="009A3795"/>
    <w:rsid w:val="009B134E"/>
    <w:rsid w:val="009B55B1"/>
    <w:rsid w:val="009C4EB5"/>
    <w:rsid w:val="009C6988"/>
    <w:rsid w:val="009C6CBB"/>
    <w:rsid w:val="009D6E42"/>
    <w:rsid w:val="009E04A6"/>
    <w:rsid w:val="009E2A8E"/>
    <w:rsid w:val="009F27DB"/>
    <w:rsid w:val="009F7995"/>
    <w:rsid w:val="00A065C4"/>
    <w:rsid w:val="00A10F9E"/>
    <w:rsid w:val="00A22141"/>
    <w:rsid w:val="00A235B7"/>
    <w:rsid w:val="00A23609"/>
    <w:rsid w:val="00A25560"/>
    <w:rsid w:val="00A3008A"/>
    <w:rsid w:val="00A339BB"/>
    <w:rsid w:val="00A3455C"/>
    <w:rsid w:val="00A37445"/>
    <w:rsid w:val="00A374A4"/>
    <w:rsid w:val="00A4210F"/>
    <w:rsid w:val="00A4343D"/>
    <w:rsid w:val="00A45AF7"/>
    <w:rsid w:val="00A51594"/>
    <w:rsid w:val="00A53C5F"/>
    <w:rsid w:val="00A55195"/>
    <w:rsid w:val="00A60937"/>
    <w:rsid w:val="00A60D5D"/>
    <w:rsid w:val="00A63EC6"/>
    <w:rsid w:val="00A723E2"/>
    <w:rsid w:val="00A733FE"/>
    <w:rsid w:val="00A7423A"/>
    <w:rsid w:val="00A81EB3"/>
    <w:rsid w:val="00A863EC"/>
    <w:rsid w:val="00A87F2C"/>
    <w:rsid w:val="00A97863"/>
    <w:rsid w:val="00AB0EA8"/>
    <w:rsid w:val="00AC04BE"/>
    <w:rsid w:val="00AC2170"/>
    <w:rsid w:val="00AD53A9"/>
    <w:rsid w:val="00AD6BF9"/>
    <w:rsid w:val="00AD7704"/>
    <w:rsid w:val="00AE5699"/>
    <w:rsid w:val="00B00C1D"/>
    <w:rsid w:val="00B204A2"/>
    <w:rsid w:val="00B303B7"/>
    <w:rsid w:val="00B31CD3"/>
    <w:rsid w:val="00B40DFF"/>
    <w:rsid w:val="00B416D1"/>
    <w:rsid w:val="00B50B63"/>
    <w:rsid w:val="00B53923"/>
    <w:rsid w:val="00B65118"/>
    <w:rsid w:val="00B70463"/>
    <w:rsid w:val="00B767E3"/>
    <w:rsid w:val="00B80C0E"/>
    <w:rsid w:val="00B82D50"/>
    <w:rsid w:val="00B841A5"/>
    <w:rsid w:val="00B8667F"/>
    <w:rsid w:val="00B91435"/>
    <w:rsid w:val="00B9177B"/>
    <w:rsid w:val="00B929A3"/>
    <w:rsid w:val="00BA19C4"/>
    <w:rsid w:val="00BA2C80"/>
    <w:rsid w:val="00BA6370"/>
    <w:rsid w:val="00BB1DD4"/>
    <w:rsid w:val="00BB56A8"/>
    <w:rsid w:val="00BD277C"/>
    <w:rsid w:val="00BE58BF"/>
    <w:rsid w:val="00BE6229"/>
    <w:rsid w:val="00BE62D3"/>
    <w:rsid w:val="00BF0950"/>
    <w:rsid w:val="00BF30B2"/>
    <w:rsid w:val="00BF43FA"/>
    <w:rsid w:val="00BF5D99"/>
    <w:rsid w:val="00BF651A"/>
    <w:rsid w:val="00C03E2F"/>
    <w:rsid w:val="00C0413D"/>
    <w:rsid w:val="00C04BBD"/>
    <w:rsid w:val="00C06004"/>
    <w:rsid w:val="00C07C02"/>
    <w:rsid w:val="00C15208"/>
    <w:rsid w:val="00C1658F"/>
    <w:rsid w:val="00C16BC0"/>
    <w:rsid w:val="00C21E51"/>
    <w:rsid w:val="00C35823"/>
    <w:rsid w:val="00C3610B"/>
    <w:rsid w:val="00C4160D"/>
    <w:rsid w:val="00C41DF0"/>
    <w:rsid w:val="00C460CD"/>
    <w:rsid w:val="00C505C2"/>
    <w:rsid w:val="00C63583"/>
    <w:rsid w:val="00C74A61"/>
    <w:rsid w:val="00C74C06"/>
    <w:rsid w:val="00C80C96"/>
    <w:rsid w:val="00C83D6C"/>
    <w:rsid w:val="00C8406E"/>
    <w:rsid w:val="00C87F83"/>
    <w:rsid w:val="00C90EA2"/>
    <w:rsid w:val="00C91A9C"/>
    <w:rsid w:val="00C96935"/>
    <w:rsid w:val="00CA13F9"/>
    <w:rsid w:val="00CA2183"/>
    <w:rsid w:val="00CA6DE4"/>
    <w:rsid w:val="00CA7CA3"/>
    <w:rsid w:val="00CB0E70"/>
    <w:rsid w:val="00CB2709"/>
    <w:rsid w:val="00CB2CC1"/>
    <w:rsid w:val="00CB4BBD"/>
    <w:rsid w:val="00CB6F89"/>
    <w:rsid w:val="00CB7669"/>
    <w:rsid w:val="00CD292C"/>
    <w:rsid w:val="00CD2AEC"/>
    <w:rsid w:val="00CD3917"/>
    <w:rsid w:val="00CD540B"/>
    <w:rsid w:val="00CE3D1B"/>
    <w:rsid w:val="00CE56EF"/>
    <w:rsid w:val="00CF251D"/>
    <w:rsid w:val="00CF545B"/>
    <w:rsid w:val="00D10F21"/>
    <w:rsid w:val="00D268FB"/>
    <w:rsid w:val="00D32055"/>
    <w:rsid w:val="00D3247B"/>
    <w:rsid w:val="00D345AE"/>
    <w:rsid w:val="00D3614D"/>
    <w:rsid w:val="00D37513"/>
    <w:rsid w:val="00D4073D"/>
    <w:rsid w:val="00D40BAF"/>
    <w:rsid w:val="00D538AB"/>
    <w:rsid w:val="00D54CC5"/>
    <w:rsid w:val="00D56075"/>
    <w:rsid w:val="00D624C3"/>
    <w:rsid w:val="00D70918"/>
    <w:rsid w:val="00D72058"/>
    <w:rsid w:val="00D739B6"/>
    <w:rsid w:val="00D82746"/>
    <w:rsid w:val="00D93031"/>
    <w:rsid w:val="00D93910"/>
    <w:rsid w:val="00D95C88"/>
    <w:rsid w:val="00DA0E17"/>
    <w:rsid w:val="00DA20E7"/>
    <w:rsid w:val="00DA650B"/>
    <w:rsid w:val="00DA7B3B"/>
    <w:rsid w:val="00DB6276"/>
    <w:rsid w:val="00DD041A"/>
    <w:rsid w:val="00DD1B65"/>
    <w:rsid w:val="00DD6839"/>
    <w:rsid w:val="00DD7C3B"/>
    <w:rsid w:val="00DF37DE"/>
    <w:rsid w:val="00DF47FE"/>
    <w:rsid w:val="00E017C9"/>
    <w:rsid w:val="00E0457C"/>
    <w:rsid w:val="00E0714F"/>
    <w:rsid w:val="00E12D53"/>
    <w:rsid w:val="00E1495C"/>
    <w:rsid w:val="00E1647C"/>
    <w:rsid w:val="00E16715"/>
    <w:rsid w:val="00E2383C"/>
    <w:rsid w:val="00E248BE"/>
    <w:rsid w:val="00E30A7F"/>
    <w:rsid w:val="00E32013"/>
    <w:rsid w:val="00E356C8"/>
    <w:rsid w:val="00E3719B"/>
    <w:rsid w:val="00E406F7"/>
    <w:rsid w:val="00E418A8"/>
    <w:rsid w:val="00E42A06"/>
    <w:rsid w:val="00E467A2"/>
    <w:rsid w:val="00E509FF"/>
    <w:rsid w:val="00E51A38"/>
    <w:rsid w:val="00E6254B"/>
    <w:rsid w:val="00E65F7F"/>
    <w:rsid w:val="00E70064"/>
    <w:rsid w:val="00E81D1D"/>
    <w:rsid w:val="00E83779"/>
    <w:rsid w:val="00E84D06"/>
    <w:rsid w:val="00E87932"/>
    <w:rsid w:val="00E97D63"/>
    <w:rsid w:val="00EA7E4A"/>
    <w:rsid w:val="00EB1DF5"/>
    <w:rsid w:val="00EB5D5E"/>
    <w:rsid w:val="00EC59BF"/>
    <w:rsid w:val="00EC70BC"/>
    <w:rsid w:val="00ED27B6"/>
    <w:rsid w:val="00ED3FCF"/>
    <w:rsid w:val="00ED536F"/>
    <w:rsid w:val="00EE634D"/>
    <w:rsid w:val="00EF031F"/>
    <w:rsid w:val="00EF080C"/>
    <w:rsid w:val="00EF09C7"/>
    <w:rsid w:val="00EF65D2"/>
    <w:rsid w:val="00F06B5B"/>
    <w:rsid w:val="00F12EC4"/>
    <w:rsid w:val="00F16701"/>
    <w:rsid w:val="00F200ED"/>
    <w:rsid w:val="00F24C43"/>
    <w:rsid w:val="00F31A6E"/>
    <w:rsid w:val="00F33ACA"/>
    <w:rsid w:val="00F44ED8"/>
    <w:rsid w:val="00F45A67"/>
    <w:rsid w:val="00F504F8"/>
    <w:rsid w:val="00F50A05"/>
    <w:rsid w:val="00F556A5"/>
    <w:rsid w:val="00F669B6"/>
    <w:rsid w:val="00F70BFE"/>
    <w:rsid w:val="00F731CA"/>
    <w:rsid w:val="00F741B0"/>
    <w:rsid w:val="00F77F96"/>
    <w:rsid w:val="00F85D63"/>
    <w:rsid w:val="00F864ED"/>
    <w:rsid w:val="00F95DC6"/>
    <w:rsid w:val="00F96E3C"/>
    <w:rsid w:val="00FA553F"/>
    <w:rsid w:val="00FB32D5"/>
    <w:rsid w:val="00FB48C4"/>
    <w:rsid w:val="00FB687C"/>
    <w:rsid w:val="00FC3EF0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0F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A4343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717EC5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4343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8F73B4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3Char">
    <w:name w:val="Nadpis 3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262E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D262E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3D262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7704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AD7704"/>
    <w:rPr>
      <w:rFonts w:ascii="Arial" w:hAnsi="Arial"/>
      <w:lang w:eastAsia="en-US"/>
    </w:rPr>
  </w:style>
  <w:style w:type="character" w:styleId="Odkaznavysvtlivky">
    <w:name w:val="endnote reference"/>
    <w:uiPriority w:val="99"/>
    <w:semiHidden/>
    <w:unhideWhenUsed/>
    <w:rsid w:val="00AD77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ova6389\Plocha\Internetov&#253;%20obchod\Hotovo%20-%20pro%20Marcelu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979E-3019-4789-81C5-ECBC8950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</Template>
  <TotalTime>1</TotalTime>
  <Pages>10</Pages>
  <Words>2893</Words>
  <Characters>17070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19924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Brzobohatá</cp:lastModifiedBy>
  <cp:revision>2</cp:revision>
  <cp:lastPrinted>2013-01-16T10:04:00Z</cp:lastPrinted>
  <dcterms:created xsi:type="dcterms:W3CDTF">2014-11-06T10:31:00Z</dcterms:created>
  <dcterms:modified xsi:type="dcterms:W3CDTF">2014-11-06T10:31:00Z</dcterms:modified>
</cp:coreProperties>
</file>