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5742" w14:textId="14EFA18E" w:rsidR="00683166" w:rsidRPr="00E17DC9" w:rsidRDefault="00683166" w:rsidP="00683166">
      <w:pPr>
        <w:pStyle w:val="Nadpis1"/>
      </w:pPr>
      <w:r w:rsidRPr="00E17DC9">
        <w:t xml:space="preserve">Analýza sektorových účtů – </w:t>
      </w:r>
      <w:r w:rsidR="00EE7B5E">
        <w:t>2</w:t>
      </w:r>
      <w:r w:rsidRPr="00E17DC9">
        <w:t>. čtvrtletí 202</w:t>
      </w:r>
      <w:r>
        <w:t>6</w:t>
      </w:r>
    </w:p>
    <w:p w14:paraId="602EBCF8" w14:textId="1485FA98" w:rsidR="00683166" w:rsidRPr="00E17DC9" w:rsidRDefault="00823A41" w:rsidP="00683166">
      <w:pPr>
        <w:pStyle w:val="Datum"/>
      </w:pPr>
      <w:r>
        <w:t>16</w:t>
      </w:r>
      <w:r w:rsidR="00683166" w:rsidRPr="00E17DC9">
        <w:t>. </w:t>
      </w:r>
      <w:r>
        <w:t>října</w:t>
      </w:r>
      <w:r w:rsidR="00683166">
        <w:t xml:space="preserve"> </w:t>
      </w:r>
      <w:r w:rsidR="00683166" w:rsidRPr="00E17DC9">
        <w:t>202</w:t>
      </w:r>
      <w:r w:rsidR="00683166">
        <w:t>6</w:t>
      </w:r>
    </w:p>
    <w:p w14:paraId="34E9175D" w14:textId="77777777" w:rsidR="00683166" w:rsidRDefault="00683166" w:rsidP="00683166">
      <w:pPr>
        <w:pStyle w:val="Nadpis2"/>
      </w:pPr>
      <w:r>
        <w:t xml:space="preserve">Základní ekonomické tendence </w:t>
      </w:r>
    </w:p>
    <w:p w14:paraId="6D322320" w14:textId="5E8F7BD9" w:rsidR="00683166" w:rsidRPr="004274E8" w:rsidRDefault="00F36723" w:rsidP="00683166">
      <w:pPr>
        <w:spacing w:after="120"/>
        <w:rPr>
          <w:spacing w:val="-2"/>
        </w:rPr>
      </w:pPr>
      <w:r w:rsidRPr="009A3F56">
        <w:rPr>
          <w:spacing w:val="-2"/>
        </w:rPr>
        <w:t xml:space="preserve">Česká ekonomika ve 2. čtvrtletí pokračovala v mírném zpomalování svého tempa růstu. </w:t>
      </w:r>
      <w:r w:rsidR="00683166">
        <w:rPr>
          <w:spacing w:val="-2"/>
        </w:rPr>
        <w:t>Meziročně byl hrubý domácí produkt (HDP) v</w:t>
      </w:r>
      <w:r>
        <w:rPr>
          <w:spacing w:val="-2"/>
        </w:rPr>
        <w:t>e</w:t>
      </w:r>
      <w:r w:rsidR="00683166">
        <w:rPr>
          <w:spacing w:val="-2"/>
        </w:rPr>
        <w:t> </w:t>
      </w:r>
      <w:r>
        <w:rPr>
          <w:spacing w:val="-2"/>
        </w:rPr>
        <w:t>2</w:t>
      </w:r>
      <w:r w:rsidR="00683166">
        <w:rPr>
          <w:spacing w:val="-2"/>
        </w:rPr>
        <w:t>. čtvrtletí 2026 vyšší o</w:t>
      </w:r>
      <w:r w:rsidR="00A1255F">
        <w:rPr>
          <w:spacing w:val="-2"/>
        </w:rPr>
        <w:t> </w:t>
      </w:r>
      <w:r>
        <w:rPr>
          <w:spacing w:val="-2"/>
        </w:rPr>
        <w:t>1,8</w:t>
      </w:r>
      <w:r w:rsidR="00683166">
        <w:rPr>
          <w:spacing w:val="-2"/>
        </w:rPr>
        <w:t> </w:t>
      </w:r>
      <w:r w:rsidR="00683166" w:rsidRPr="00494F60">
        <w:rPr>
          <w:spacing w:val="-2"/>
        </w:rPr>
        <w:t>%</w:t>
      </w:r>
      <w:r w:rsidR="00683166" w:rsidRPr="00494F60">
        <w:rPr>
          <w:rStyle w:val="Znakapoznpodarou"/>
          <w:spacing w:val="-2"/>
        </w:rPr>
        <w:footnoteReference w:id="1"/>
      </w:r>
      <w:r w:rsidR="00683166" w:rsidRPr="00494F60">
        <w:rPr>
          <w:spacing w:val="-2"/>
        </w:rPr>
        <w:t xml:space="preserve">. </w:t>
      </w:r>
      <w:r w:rsidR="00683166">
        <w:rPr>
          <w:spacing w:val="-2"/>
        </w:rPr>
        <w:t>Zpomalení reálného tempa růstu je patrné i</w:t>
      </w:r>
      <w:r w:rsidR="00A1255F">
        <w:rPr>
          <w:spacing w:val="-2"/>
        </w:rPr>
        <w:t> </w:t>
      </w:r>
      <w:r w:rsidR="00683166">
        <w:rPr>
          <w:spacing w:val="-2"/>
        </w:rPr>
        <w:t xml:space="preserve">v případě mezičtvrtletního vývoje. </w:t>
      </w:r>
      <w:r>
        <w:rPr>
          <w:spacing w:val="-2"/>
        </w:rPr>
        <w:t xml:space="preserve">Zatímco v průběhu roku </w:t>
      </w:r>
      <w:r w:rsidR="00683166">
        <w:rPr>
          <w:spacing w:val="-2"/>
        </w:rPr>
        <w:t xml:space="preserve">2025 </w:t>
      </w:r>
      <w:r>
        <w:rPr>
          <w:spacing w:val="-2"/>
        </w:rPr>
        <w:t xml:space="preserve">se mezičtvrtletní růst HDP pohyboval ve všech čtvrtletích mezi 0,6-0,8 %, ve 2. čtvrtletí 2026 se jednalo </w:t>
      </w:r>
      <w:r w:rsidR="00683166">
        <w:rPr>
          <w:spacing w:val="-2"/>
        </w:rPr>
        <w:t xml:space="preserve">pouze o </w:t>
      </w:r>
      <w:r w:rsidR="00683166" w:rsidRPr="00494F60">
        <w:rPr>
          <w:spacing w:val="-2"/>
        </w:rPr>
        <w:t>0,</w:t>
      </w:r>
      <w:r>
        <w:rPr>
          <w:spacing w:val="-2"/>
        </w:rPr>
        <w:t>3</w:t>
      </w:r>
      <w:r w:rsidR="00683166" w:rsidRPr="00494F60">
        <w:rPr>
          <w:spacing w:val="-2"/>
        </w:rPr>
        <w:t> %</w:t>
      </w:r>
      <w:r w:rsidR="00683166" w:rsidRPr="00E4610F">
        <w:rPr>
          <w:spacing w:val="-2"/>
          <w:vertAlign w:val="superscript"/>
        </w:rPr>
        <w:t>1</w:t>
      </w:r>
      <w:r>
        <w:rPr>
          <w:spacing w:val="-2"/>
        </w:rPr>
        <w:t xml:space="preserve"> a v 1. čtvrtletí se jednalo o 0,1 %. </w:t>
      </w:r>
      <w:r w:rsidR="00683166">
        <w:rPr>
          <w:spacing w:val="-2"/>
        </w:rPr>
        <w:t xml:space="preserve">Podobně jako v předchozích čtvrtletích byl meziroční růst české ekonomiky tažen </w:t>
      </w:r>
      <w:r w:rsidR="00685F73">
        <w:rPr>
          <w:spacing w:val="-2"/>
        </w:rPr>
        <w:t xml:space="preserve">zejména </w:t>
      </w:r>
      <w:r w:rsidR="00683166">
        <w:rPr>
          <w:spacing w:val="-2"/>
        </w:rPr>
        <w:t>domácí poptávkou</w:t>
      </w:r>
      <w:r w:rsidR="009A3F56">
        <w:rPr>
          <w:rStyle w:val="Znakapoznpodarou"/>
          <w:spacing w:val="-2"/>
        </w:rPr>
        <w:footnoteReference w:id="2"/>
      </w:r>
      <w:r w:rsidR="00683166">
        <w:rPr>
          <w:spacing w:val="-2"/>
        </w:rPr>
        <w:t xml:space="preserve">, </w:t>
      </w:r>
      <w:r w:rsidR="00685F73">
        <w:rPr>
          <w:spacing w:val="-2"/>
        </w:rPr>
        <w:t xml:space="preserve">nicméně k růstu tentokrát přispěla mírně i </w:t>
      </w:r>
      <w:r w:rsidR="007723F3" w:rsidRPr="007723F3">
        <w:rPr>
          <w:spacing w:val="-2"/>
        </w:rPr>
        <w:t>zahraniční poptávk</w:t>
      </w:r>
      <w:r w:rsidR="00685F73">
        <w:rPr>
          <w:spacing w:val="-2"/>
        </w:rPr>
        <w:t>a</w:t>
      </w:r>
      <w:r w:rsidR="00683166">
        <w:rPr>
          <w:spacing w:val="-2"/>
        </w:rPr>
        <w:t xml:space="preserve">. </w:t>
      </w:r>
      <w:r w:rsidR="00683166" w:rsidRPr="001B28DE">
        <w:rPr>
          <w:spacing w:val="-2"/>
        </w:rPr>
        <w:t>Mezičtvrtletn</w:t>
      </w:r>
      <w:r w:rsidR="00683166">
        <w:rPr>
          <w:spacing w:val="-2"/>
        </w:rPr>
        <w:t xml:space="preserve">í </w:t>
      </w:r>
      <w:r w:rsidR="00683166" w:rsidRPr="001B28DE">
        <w:rPr>
          <w:spacing w:val="-2"/>
        </w:rPr>
        <w:t xml:space="preserve">růst </w:t>
      </w:r>
      <w:r w:rsidR="00683166">
        <w:rPr>
          <w:spacing w:val="-2"/>
        </w:rPr>
        <w:t xml:space="preserve">byl </w:t>
      </w:r>
      <w:r w:rsidR="00683166" w:rsidRPr="001B28DE">
        <w:rPr>
          <w:spacing w:val="-2"/>
        </w:rPr>
        <w:t xml:space="preserve">podpořen </w:t>
      </w:r>
      <w:r w:rsidR="009A3F56">
        <w:rPr>
          <w:spacing w:val="-2"/>
        </w:rPr>
        <w:t>zejména zahraniční poptávkou, která byla v 1. čtvrtletí slabší, a mírně i spotřebou domácností</w:t>
      </w:r>
      <w:r w:rsidR="006723BE">
        <w:rPr>
          <w:spacing w:val="-2"/>
        </w:rPr>
        <w:t xml:space="preserve"> a </w:t>
      </w:r>
      <w:r w:rsidR="00683166">
        <w:rPr>
          <w:spacing w:val="-2"/>
        </w:rPr>
        <w:t>investiční aktivit</w:t>
      </w:r>
      <w:r w:rsidR="006723BE">
        <w:rPr>
          <w:spacing w:val="-2"/>
        </w:rPr>
        <w:t>ou</w:t>
      </w:r>
      <w:r w:rsidR="006723BE">
        <w:rPr>
          <w:rStyle w:val="Znakapoznpodarou"/>
          <w:spacing w:val="-2"/>
        </w:rPr>
        <w:footnoteReference w:id="3"/>
      </w:r>
      <w:r w:rsidR="00683166" w:rsidRPr="00F70EB9">
        <w:rPr>
          <w:spacing w:val="-2"/>
        </w:rPr>
        <w:t xml:space="preserve">. </w:t>
      </w:r>
      <w:r w:rsidR="00683166" w:rsidRPr="00F70EB9">
        <w:t>Meziročn</w:t>
      </w:r>
      <w:r w:rsidR="00683166">
        <w:t xml:space="preserve">ě se dařilo zejména obchodu, </w:t>
      </w:r>
      <w:r w:rsidR="00683166">
        <w:rPr>
          <w:spacing w:val="-2"/>
        </w:rPr>
        <w:t xml:space="preserve">zpracovatelskému průmyslu, </w:t>
      </w:r>
      <w:r w:rsidR="00683166" w:rsidRPr="00F70EB9">
        <w:rPr>
          <w:spacing w:val="-2"/>
        </w:rPr>
        <w:t>dopravě</w:t>
      </w:r>
      <w:r w:rsidR="00683166">
        <w:rPr>
          <w:spacing w:val="-2"/>
        </w:rPr>
        <w:t>, stavebnictví či informačním a komun</w:t>
      </w:r>
      <w:r w:rsidR="00281F2D">
        <w:rPr>
          <w:spacing w:val="-2"/>
        </w:rPr>
        <w:t>i</w:t>
      </w:r>
      <w:r w:rsidR="00683166">
        <w:rPr>
          <w:spacing w:val="-2"/>
        </w:rPr>
        <w:t xml:space="preserve">kačním činnostem. </w:t>
      </w:r>
    </w:p>
    <w:p w14:paraId="377A6262" w14:textId="77777777" w:rsidR="00683166" w:rsidRPr="008F4243" w:rsidRDefault="00683166" w:rsidP="00C056A9">
      <w:pPr>
        <w:pStyle w:val="TabulkaGraf"/>
        <w:keepNext/>
      </w:pPr>
      <w:r w:rsidRPr="008F4243">
        <w:t>Graf 1: Příspěvky</w:t>
      </w:r>
      <w:r w:rsidRPr="00281F2D">
        <w:rPr>
          <w:rStyle w:val="Znakapoznpodarou"/>
        </w:rPr>
        <w:footnoteReference w:id="4"/>
      </w:r>
      <w:r w:rsidRPr="008F4243">
        <w:t xml:space="preserve"> k meziročnímu reálnému růstu HDP</w:t>
      </w:r>
      <w:r w:rsidRPr="00F843F9">
        <w:rPr>
          <w:vertAlign w:val="superscript"/>
        </w:rPr>
        <w:t>1</w:t>
      </w:r>
      <w:r w:rsidRPr="008F4243">
        <w:t xml:space="preserve"> (v procentních bodech)</w:t>
      </w:r>
    </w:p>
    <w:p w14:paraId="6D1D28D5" w14:textId="0432F05E" w:rsidR="00683166" w:rsidRPr="009C515A" w:rsidRDefault="007A20E0" w:rsidP="00275D39">
      <w:r w:rsidRPr="007A20E0">
        <w:rPr>
          <w:noProof/>
        </w:rPr>
        <w:drawing>
          <wp:inline distT="0" distB="0" distL="0" distR="0" wp14:anchorId="52D1F0C2" wp14:editId="07AD772D">
            <wp:extent cx="4788000" cy="2077042"/>
            <wp:effectExtent l="0" t="0" r="0" b="0"/>
            <wp:docPr id="114842228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00" cy="207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46E6A" w14:textId="77777777" w:rsidR="00683166" w:rsidRPr="008F4243" w:rsidRDefault="00683166" w:rsidP="00C056A9">
      <w:pPr>
        <w:pStyle w:val="TabulkaGraf"/>
        <w:keepNext/>
      </w:pPr>
      <w:r w:rsidRPr="008F4243">
        <w:t>Graf 2: Příspěvky</w:t>
      </w:r>
      <w:r w:rsidRPr="00281F2D">
        <w:rPr>
          <w:vertAlign w:val="superscript"/>
        </w:rPr>
        <w:t>3</w:t>
      </w:r>
      <w:r w:rsidRPr="008F4243">
        <w:t xml:space="preserve"> k mezičtvrtletnímu reálnému růstu HDP</w:t>
      </w:r>
      <w:r w:rsidRPr="007A20E0">
        <w:rPr>
          <w:vertAlign w:val="superscript"/>
        </w:rPr>
        <w:t>1</w:t>
      </w:r>
      <w:r w:rsidRPr="008F4243">
        <w:t xml:space="preserve"> (v procentních bodech)</w:t>
      </w:r>
    </w:p>
    <w:p w14:paraId="2EFC95E0" w14:textId="2A2178A1" w:rsidR="00683166" w:rsidRPr="009C515A" w:rsidRDefault="00275D39" w:rsidP="00683166">
      <w:r w:rsidRPr="00275D39">
        <w:rPr>
          <w:noProof/>
        </w:rPr>
        <w:drawing>
          <wp:inline distT="0" distB="0" distL="0" distR="0" wp14:anchorId="7CB982CF" wp14:editId="3418B772">
            <wp:extent cx="4788000" cy="2082883"/>
            <wp:effectExtent l="0" t="0" r="0" b="0"/>
            <wp:docPr id="205602082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00" cy="208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E8326" w14:textId="77777777" w:rsidR="00683166" w:rsidRPr="00997580" w:rsidRDefault="00683166" w:rsidP="00683166">
      <w:pPr>
        <w:pStyle w:val="Nadpis2"/>
      </w:pPr>
      <w:r w:rsidRPr="00997580">
        <w:lastRenderedPageBreak/>
        <w:t>Sektor nefinančních podniků</w:t>
      </w:r>
    </w:p>
    <w:p w14:paraId="66CA1B4C" w14:textId="574A5CCF" w:rsidR="00683166" w:rsidRDefault="00683166" w:rsidP="00683166">
      <w:pPr>
        <w:spacing w:after="120"/>
      </w:pPr>
      <w:r>
        <w:t>Sektor nefinančních podniků je tradičně hlavním hybatelem výkon</w:t>
      </w:r>
      <w:r w:rsidR="00C3299F">
        <w:t>n</w:t>
      </w:r>
      <w:r>
        <w:t xml:space="preserve">osti české ekonomiky. </w:t>
      </w:r>
      <w:r w:rsidR="00985B7C">
        <w:t xml:space="preserve">Nicméně </w:t>
      </w:r>
      <w:r w:rsidR="00F20F3B">
        <w:t xml:space="preserve">nominální i </w:t>
      </w:r>
      <w:r w:rsidR="00985B7C">
        <w:t>r</w:t>
      </w:r>
      <w:r w:rsidRPr="00304CD0">
        <w:t xml:space="preserve">eálný výkon </w:t>
      </w:r>
      <w:r>
        <w:t xml:space="preserve">nefinančních podniků </w:t>
      </w:r>
      <w:r w:rsidR="00597356">
        <w:t xml:space="preserve">byl </w:t>
      </w:r>
      <w:r>
        <w:t>v</w:t>
      </w:r>
      <w:r w:rsidR="00F20F3B">
        <w:t>e</w:t>
      </w:r>
      <w:r>
        <w:t> </w:t>
      </w:r>
      <w:r w:rsidR="00F20F3B">
        <w:t>2</w:t>
      </w:r>
      <w:r>
        <w:t>. čtvrtletí 202</w:t>
      </w:r>
      <w:r w:rsidR="00340C69">
        <w:t>6</w:t>
      </w:r>
      <w:r>
        <w:t xml:space="preserve"> </w:t>
      </w:r>
      <w:r w:rsidR="00985B7C">
        <w:t xml:space="preserve">mírně pod tempem růstu </w:t>
      </w:r>
      <w:r>
        <w:t>celé ekonomiky</w:t>
      </w:r>
      <w:r w:rsidR="00F20F3B">
        <w:t>, stejně jako v předchozím čtvrtletí</w:t>
      </w:r>
      <w:r>
        <w:t xml:space="preserve">. </w:t>
      </w:r>
      <w:r w:rsidRPr="00A8689E">
        <w:rPr>
          <w:b/>
          <w:bCs/>
        </w:rPr>
        <w:t>Hrubá přidaná hodnota</w:t>
      </w:r>
      <w:r w:rsidRPr="00A8689E">
        <w:t xml:space="preserve"> </w:t>
      </w:r>
      <w:r w:rsidR="00261C6A" w:rsidRPr="00A8689E">
        <w:t>sektoru nefinančních podniků</w:t>
      </w:r>
      <w:r w:rsidRPr="00A8689E">
        <w:t xml:space="preserve"> reálně </w:t>
      </w:r>
      <w:r w:rsidR="00261C6A" w:rsidRPr="00A8689E">
        <w:t>stagnovala</w:t>
      </w:r>
      <w:r w:rsidRPr="00A8689E">
        <w:rPr>
          <w:rStyle w:val="Znakapoznpodarou"/>
        </w:rPr>
        <w:footnoteReference w:id="5"/>
      </w:r>
      <w:r w:rsidRPr="00A8689E">
        <w:t xml:space="preserve"> a oproti předchozímu čtvrtletí </w:t>
      </w:r>
      <w:r w:rsidR="00261C6A" w:rsidRPr="00A8689E">
        <w:t xml:space="preserve">dokonce poklesla </w:t>
      </w:r>
      <w:r w:rsidRPr="00A8689E">
        <w:t>o 0,</w:t>
      </w:r>
      <w:r w:rsidR="00261C6A" w:rsidRPr="00A8689E">
        <w:t>5</w:t>
      </w:r>
      <w:r w:rsidRPr="00A8689E">
        <w:t> %</w:t>
      </w:r>
      <w:r w:rsidRPr="00A8689E">
        <w:rPr>
          <w:rStyle w:val="Znakapoznpodarou"/>
        </w:rPr>
        <w:footnoteReference w:id="6"/>
      </w:r>
      <w:r w:rsidRPr="00A8689E">
        <w:t xml:space="preserve">. Mezi odvětvími nicméně existovaly značné rozdíly. </w:t>
      </w:r>
      <w:r w:rsidR="00985B7C" w:rsidRPr="00A8689E">
        <w:t xml:space="preserve">Dařilo se zejména službám, např. obchodu, dopravě či informačním službám. </w:t>
      </w:r>
      <w:r w:rsidRPr="00A8689E">
        <w:t xml:space="preserve">Meziroční růst zpracovatelského průmyslu byl </w:t>
      </w:r>
      <w:r w:rsidR="00985B7C" w:rsidRPr="00A8689E">
        <w:t>také na relativně vy</w:t>
      </w:r>
      <w:r w:rsidR="003A645B">
        <w:t xml:space="preserve">soké </w:t>
      </w:r>
      <w:r w:rsidR="00985B7C" w:rsidRPr="00A8689E">
        <w:t>úrovni, nicméně v porovnání s</w:t>
      </w:r>
      <w:r w:rsidRPr="00A8689E">
        <w:t> předchozí</w:t>
      </w:r>
      <w:r w:rsidR="00985B7C" w:rsidRPr="00A8689E">
        <w:t>m</w:t>
      </w:r>
      <w:r w:rsidRPr="00A8689E">
        <w:t xml:space="preserve"> čtvrtletí</w:t>
      </w:r>
      <w:r w:rsidR="00985B7C" w:rsidRPr="00A8689E">
        <w:t xml:space="preserve">m došlo k mírnému </w:t>
      </w:r>
      <w:r w:rsidR="003A645B">
        <w:t>zpomalení</w:t>
      </w:r>
      <w:r w:rsidR="00985B7C" w:rsidRPr="00A8689E">
        <w:t xml:space="preserve">. </w:t>
      </w:r>
      <w:r w:rsidR="003A645B">
        <w:t xml:space="preserve">Naopak ve </w:t>
      </w:r>
      <w:r w:rsidR="00985B7C" w:rsidRPr="00A8689E">
        <w:t>stavebnictví</w:t>
      </w:r>
      <w:r w:rsidR="003A645B">
        <w:t xml:space="preserve"> </w:t>
      </w:r>
      <w:r w:rsidRPr="00A8689E">
        <w:t>meziročn</w:t>
      </w:r>
      <w:r w:rsidR="003A645B">
        <w:t>í</w:t>
      </w:r>
      <w:r w:rsidRPr="00A8689E">
        <w:t xml:space="preserve"> </w:t>
      </w:r>
      <w:r w:rsidR="00985B7C" w:rsidRPr="00A8689E">
        <w:t xml:space="preserve">růst </w:t>
      </w:r>
      <w:r w:rsidR="00261C6A" w:rsidRPr="00A8689E">
        <w:t>zrychlil</w:t>
      </w:r>
      <w:r w:rsidR="003A645B">
        <w:t xml:space="preserve">. </w:t>
      </w:r>
    </w:p>
    <w:p w14:paraId="72863249" w14:textId="4D6BC4EA" w:rsidR="00683166" w:rsidRDefault="00683166" w:rsidP="00683166">
      <w:pPr>
        <w:spacing w:after="120"/>
      </w:pPr>
      <w:r>
        <w:t>Tento vývoj byl doprovázen mírným růstem zaměstnanosti</w:t>
      </w:r>
      <w:r w:rsidR="00150D82">
        <w:t xml:space="preserve"> v sektoru nefinančních podniků</w:t>
      </w:r>
      <w:r>
        <w:t xml:space="preserve">. </w:t>
      </w:r>
      <w:r w:rsidRPr="0030604C">
        <w:t xml:space="preserve">Celková </w:t>
      </w:r>
      <w:r w:rsidRPr="0030604C">
        <w:rPr>
          <w:b/>
        </w:rPr>
        <w:t>zaměstnanost</w:t>
      </w:r>
      <w:r w:rsidRPr="0030604C">
        <w:rPr>
          <w:rStyle w:val="Znakapoznpodarou"/>
        </w:rPr>
        <w:footnoteReference w:id="7"/>
      </w:r>
      <w:r w:rsidRPr="0030604C">
        <w:t xml:space="preserve"> </w:t>
      </w:r>
      <w:r>
        <w:t xml:space="preserve">byla </w:t>
      </w:r>
      <w:r w:rsidRPr="0030604C">
        <w:t>v</w:t>
      </w:r>
      <w:r w:rsidR="003A645B">
        <w:t>e</w:t>
      </w:r>
      <w:r>
        <w:t xml:space="preserve"> </w:t>
      </w:r>
      <w:r w:rsidR="003A645B">
        <w:t>2</w:t>
      </w:r>
      <w:r w:rsidRPr="0030604C">
        <w:t xml:space="preserve">. čtvrtletí </w:t>
      </w:r>
      <w:r>
        <w:t>202</w:t>
      </w:r>
      <w:r w:rsidR="00150D82">
        <w:t>6</w:t>
      </w:r>
      <w:r>
        <w:t xml:space="preserve"> o 0,</w:t>
      </w:r>
      <w:r w:rsidR="003A645B">
        <w:t>5</w:t>
      </w:r>
      <w:r>
        <w:t> % vyšší než před rokem</w:t>
      </w:r>
      <w:r w:rsidRPr="0030604C">
        <w:t xml:space="preserve">. </w:t>
      </w:r>
      <w:r w:rsidR="003A645B">
        <w:t>Nicméně p</w:t>
      </w:r>
      <w:r>
        <w:t xml:space="preserve">okud jde </w:t>
      </w:r>
      <w:r w:rsidR="0016521D">
        <w:t xml:space="preserve">například </w:t>
      </w:r>
      <w:r>
        <w:t xml:space="preserve">o zpracovatelský průmysl, zaměstnanost meziročně </w:t>
      </w:r>
      <w:r w:rsidR="0016521D">
        <w:t xml:space="preserve">poklesla a pokračuje tak v dlouhodobém </w:t>
      </w:r>
      <w:r w:rsidR="004E0C83">
        <w:t xml:space="preserve">sestupném </w:t>
      </w:r>
      <w:r w:rsidR="0016521D">
        <w:t>trendu posledních let</w:t>
      </w:r>
      <w:r>
        <w:t xml:space="preserve">. </w:t>
      </w:r>
    </w:p>
    <w:p w14:paraId="21440824" w14:textId="77777777" w:rsidR="00683166" w:rsidRPr="008F4243" w:rsidRDefault="00683166" w:rsidP="00C056A9">
      <w:pPr>
        <w:pStyle w:val="TabulkaGraf"/>
        <w:keepNext/>
      </w:pPr>
      <w:r w:rsidRPr="008F4243">
        <w:t>Graf 3: Rozklad meziroční nominální změny hrubé přidané hodnoty sektoru nefinančních podniků (v mil. Kč, sezónně neočištěno)</w:t>
      </w:r>
    </w:p>
    <w:p w14:paraId="49F91D07" w14:textId="7334E1FD" w:rsidR="00683166" w:rsidRPr="00C53D32" w:rsidRDefault="00AC5981" w:rsidP="00683166">
      <w:r w:rsidRPr="00AC5981">
        <w:rPr>
          <w:noProof/>
        </w:rPr>
        <w:drawing>
          <wp:inline distT="0" distB="0" distL="0" distR="0" wp14:anchorId="3968D69B" wp14:editId="5791108D">
            <wp:extent cx="5041265" cy="2161540"/>
            <wp:effectExtent l="0" t="0" r="6985" b="0"/>
            <wp:docPr id="1977083432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B681C" w14:textId="77777777" w:rsidR="00683166" w:rsidRPr="0095197C" w:rsidRDefault="00683166" w:rsidP="0016521D">
      <w:pPr>
        <w:pStyle w:val="TabulkaGraf"/>
        <w:keepNext/>
        <w:spacing w:before="240"/>
        <w:rPr>
          <w:highlight w:val="yellow"/>
        </w:rPr>
      </w:pPr>
      <w:r w:rsidRPr="0095197C">
        <w:t>Graf 4: Míra zisku a podíl náhrad zaměstnanců na hrubé přidané hodnotě sektoru nefinančních podniků (v %</w:t>
      </w:r>
      <w:r>
        <w:t>, sezónně očištěno</w:t>
      </w:r>
      <w:r w:rsidRPr="0095197C">
        <w:t>)</w:t>
      </w:r>
    </w:p>
    <w:p w14:paraId="203600D2" w14:textId="4B76D25D" w:rsidR="00683166" w:rsidRPr="0095197C" w:rsidRDefault="009000D8" w:rsidP="00683166">
      <w:r w:rsidRPr="009000D8">
        <w:rPr>
          <w:noProof/>
        </w:rPr>
        <w:drawing>
          <wp:inline distT="0" distB="0" distL="0" distR="0" wp14:anchorId="7EA410FF" wp14:editId="4002EE25">
            <wp:extent cx="5041265" cy="2161540"/>
            <wp:effectExtent l="0" t="0" r="6985" b="0"/>
            <wp:docPr id="1942946588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A3B80" w14:textId="7D2FF5B7" w:rsidR="00683166" w:rsidRPr="001469C6" w:rsidRDefault="00477026" w:rsidP="00683166">
      <w:pPr>
        <w:spacing w:after="120"/>
      </w:pPr>
      <w:r>
        <w:lastRenderedPageBreak/>
        <w:t>Nominální r</w:t>
      </w:r>
      <w:r w:rsidR="00683166" w:rsidRPr="00477026">
        <w:t>ůst hrubé přidané hodnoty</w:t>
      </w:r>
      <w:r w:rsidR="00683166" w:rsidRPr="00477026">
        <w:rPr>
          <w:rStyle w:val="Znakapoznpodarou"/>
        </w:rPr>
        <w:footnoteReference w:id="8"/>
      </w:r>
      <w:r w:rsidR="00683166" w:rsidRPr="00477026">
        <w:t xml:space="preserve"> </w:t>
      </w:r>
      <w:r w:rsidR="00AA4C4E" w:rsidRPr="00477026">
        <w:t>v</w:t>
      </w:r>
      <w:r>
        <w:t>e</w:t>
      </w:r>
      <w:r w:rsidR="00AA4C4E" w:rsidRPr="00477026">
        <w:t> </w:t>
      </w:r>
      <w:r>
        <w:t>2</w:t>
      </w:r>
      <w:r w:rsidR="00AA4C4E" w:rsidRPr="00477026">
        <w:t xml:space="preserve">. čtvrtletí </w:t>
      </w:r>
      <w:r>
        <w:t xml:space="preserve">roku </w:t>
      </w:r>
      <w:r w:rsidR="00AA4C4E" w:rsidRPr="00477026">
        <w:t>2026 podle předběžných údajů ne</w:t>
      </w:r>
      <w:r w:rsidR="00683166" w:rsidRPr="00477026">
        <w:t>stačil na pokrytí růstu</w:t>
      </w:r>
      <w:r w:rsidR="00683166" w:rsidRPr="00A0533B">
        <w:t xml:space="preserve"> mzdových nákladů nefinančních podniků (o </w:t>
      </w:r>
      <w:r>
        <w:t>6,7</w:t>
      </w:r>
      <w:r w:rsidR="00683166" w:rsidRPr="00A0533B">
        <w:t> % v běžných cenách</w:t>
      </w:r>
      <w:r w:rsidR="00683166" w:rsidRPr="00A0533B">
        <w:rPr>
          <w:rStyle w:val="Znakapoznpodarou"/>
        </w:rPr>
        <w:footnoteReference w:id="9"/>
      </w:r>
      <w:r w:rsidR="00683166" w:rsidRPr="00A0533B">
        <w:t>), tak</w:t>
      </w:r>
      <w:r w:rsidR="00AA4C4E">
        <w:t xml:space="preserve">že </w:t>
      </w:r>
      <w:r w:rsidR="00683166" w:rsidRPr="00A0533B">
        <w:t>tvorb</w:t>
      </w:r>
      <w:r w:rsidR="00AA4C4E">
        <w:t>a</w:t>
      </w:r>
      <w:r w:rsidR="00683166" w:rsidRPr="00A0533B">
        <w:t xml:space="preserve"> zisku z pohledu celého sektoru</w:t>
      </w:r>
      <w:r w:rsidR="00AA4C4E">
        <w:t xml:space="preserve"> mírně poklesla</w:t>
      </w:r>
      <w:r>
        <w:t>, podobně jako v předchozím čtvrtletí</w:t>
      </w:r>
      <w:r w:rsidR="00683166" w:rsidRPr="00A0533B">
        <w:t xml:space="preserve">. Hrubý provozní přebytek </w:t>
      </w:r>
      <w:r w:rsidR="00AA4C4E">
        <w:t>byl</w:t>
      </w:r>
      <w:r>
        <w:t xml:space="preserve"> </w:t>
      </w:r>
      <w:r w:rsidR="00AA4C4E">
        <w:t>nominálně</w:t>
      </w:r>
      <w:r w:rsidR="00683166" w:rsidRPr="00A0533B">
        <w:t xml:space="preserve"> </w:t>
      </w:r>
      <w:r>
        <w:t>o 1,3 % nižší než před rokem</w:t>
      </w:r>
      <w:r w:rsidR="00683166" w:rsidRPr="00A0533B">
        <w:t xml:space="preserve">. </w:t>
      </w:r>
      <w:r w:rsidR="00683166" w:rsidRPr="00A0533B">
        <w:rPr>
          <w:b/>
        </w:rPr>
        <w:t>Míra zisku</w:t>
      </w:r>
      <w:r w:rsidR="00683166" w:rsidRPr="00A0533B">
        <w:t xml:space="preserve"> tak dosahovala 4</w:t>
      </w:r>
      <w:r w:rsidR="00683166">
        <w:t>2,</w:t>
      </w:r>
      <w:r w:rsidR="00D51EEB">
        <w:t>4</w:t>
      </w:r>
      <w:r w:rsidR="00683166" w:rsidRPr="00A0533B">
        <w:t> %</w:t>
      </w:r>
      <w:r w:rsidR="00683166" w:rsidRPr="00A0533B">
        <w:rPr>
          <w:rStyle w:val="Znakapoznpodarou"/>
        </w:rPr>
        <w:footnoteReference w:id="10"/>
      </w:r>
      <w:r w:rsidR="00683166" w:rsidRPr="00A0533B">
        <w:t xml:space="preserve">, což bylo </w:t>
      </w:r>
      <w:r w:rsidR="00683166">
        <w:t>o</w:t>
      </w:r>
      <w:r w:rsidR="00D51EEB">
        <w:t> 0,5</w:t>
      </w:r>
      <w:r w:rsidR="00683166">
        <w:t xml:space="preserve"> p.b. méně než v předchozím čtvrtletí </w:t>
      </w:r>
      <w:r w:rsidR="00683166" w:rsidRPr="00A0533B">
        <w:t>a</w:t>
      </w:r>
      <w:r w:rsidR="00683166">
        <w:t xml:space="preserve"> </w:t>
      </w:r>
      <w:r w:rsidR="00683166" w:rsidRPr="00A0533B">
        <w:t xml:space="preserve">o </w:t>
      </w:r>
      <w:r w:rsidR="00D51EEB">
        <w:t>1,9</w:t>
      </w:r>
      <w:r w:rsidR="00683166" w:rsidRPr="00A0533B">
        <w:t> p.b. méně než před rokem.</w:t>
      </w:r>
      <w:r w:rsidR="00683166" w:rsidRPr="001469C6">
        <w:t xml:space="preserve"> </w:t>
      </w:r>
    </w:p>
    <w:p w14:paraId="335974B8" w14:textId="758A7E99" w:rsidR="00683166" w:rsidRPr="00964AE2" w:rsidRDefault="00C813C2" w:rsidP="00683166">
      <w:pPr>
        <w:spacing w:after="60"/>
      </w:pPr>
      <w:r>
        <w:t>Mírný p</w:t>
      </w:r>
      <w:r w:rsidR="0068544E">
        <w:t>okles z</w:t>
      </w:r>
      <w:r w:rsidR="00683166" w:rsidRPr="003702FA">
        <w:t>isku</w:t>
      </w:r>
      <w:r w:rsidR="00683166" w:rsidRPr="003702FA">
        <w:rPr>
          <w:rStyle w:val="Znakapoznpodarou"/>
        </w:rPr>
        <w:footnoteReference w:id="11"/>
      </w:r>
      <w:r w:rsidR="00683166" w:rsidRPr="003702FA">
        <w:t xml:space="preserve"> v sektoru nefinančních podniků byl podle předběžných údajů doprovázen meziroční</w:t>
      </w:r>
      <w:r w:rsidR="009518AD">
        <w:t xml:space="preserve"> stagnací </w:t>
      </w:r>
      <w:r w:rsidR="00683166" w:rsidRPr="003702FA">
        <w:rPr>
          <w:b/>
        </w:rPr>
        <w:t>salda důchodů z vlastnictví</w:t>
      </w:r>
      <w:r w:rsidR="00683166" w:rsidRPr="003702FA">
        <w:t xml:space="preserve">. Tyto dva jevy tak </w:t>
      </w:r>
      <w:r w:rsidR="009518AD">
        <w:t xml:space="preserve">tentokrát nepůsobily </w:t>
      </w:r>
      <w:r>
        <w:t xml:space="preserve">ani </w:t>
      </w:r>
      <w:r w:rsidR="00DA5FC1">
        <w:t>stejným směrem</w:t>
      </w:r>
      <w:r w:rsidR="009518AD">
        <w:t xml:space="preserve"> ani se nekompenzovaly vzájemně </w:t>
      </w:r>
      <w:r w:rsidR="00DA5FC1">
        <w:t>a </w:t>
      </w:r>
      <w:r w:rsidR="00683166" w:rsidRPr="003702FA">
        <w:t>výsledné saldo prvotních důchodů nefinančních podniků</w:t>
      </w:r>
      <w:r w:rsidR="00683166" w:rsidRPr="00964AE2">
        <w:t xml:space="preserve"> </w:t>
      </w:r>
      <w:r w:rsidR="009518AD">
        <w:t xml:space="preserve">tak </w:t>
      </w:r>
      <w:r w:rsidR="00683166" w:rsidRPr="00964AE2">
        <w:t xml:space="preserve">v porovnání s předchozím rokem nominálně </w:t>
      </w:r>
      <w:r>
        <w:t xml:space="preserve">mírně </w:t>
      </w:r>
      <w:r w:rsidR="00683166">
        <w:t>pokleslo</w:t>
      </w:r>
      <w:r w:rsidR="009518AD">
        <w:t xml:space="preserve"> zejména kvůli nižším ziskům podniků</w:t>
      </w:r>
      <w:r w:rsidR="00683166" w:rsidRPr="00964AE2">
        <w:t xml:space="preserve">. </w:t>
      </w:r>
    </w:p>
    <w:p w14:paraId="09DF7ACF" w14:textId="77777777" w:rsidR="00683166" w:rsidRPr="008F4243" w:rsidRDefault="00683166" w:rsidP="00C056A9">
      <w:pPr>
        <w:pStyle w:val="TabulkaGraf"/>
        <w:keepNext/>
      </w:pPr>
      <w:r w:rsidRPr="008F4243">
        <w:t>Graf 5: Rozklad meziroční nominální změny salda důchodů z vlastnictví na přijaté a vyplacené důchody nefinančních podniků (v mil. Kč)</w:t>
      </w:r>
    </w:p>
    <w:p w14:paraId="5D770102" w14:textId="698DBD6E" w:rsidR="00683166" w:rsidRPr="0070496D" w:rsidRDefault="00BE1651" w:rsidP="00683166">
      <w:r w:rsidRPr="00BE1651">
        <w:rPr>
          <w:noProof/>
        </w:rPr>
        <w:drawing>
          <wp:inline distT="0" distB="0" distL="0" distR="0" wp14:anchorId="481A3B6D" wp14:editId="4E493547">
            <wp:extent cx="5041265" cy="2197100"/>
            <wp:effectExtent l="0" t="0" r="6985" b="0"/>
            <wp:docPr id="78823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E9134" w14:textId="3053E10A" w:rsidR="00683166" w:rsidRPr="003E28ED" w:rsidRDefault="00683166" w:rsidP="00683166">
      <w:pPr>
        <w:spacing w:before="120" w:after="120"/>
        <w:rPr>
          <w:spacing w:val="-4"/>
        </w:rPr>
      </w:pPr>
      <w:r w:rsidRPr="003E28ED">
        <w:rPr>
          <w:spacing w:val="-4"/>
        </w:rPr>
        <w:t xml:space="preserve">Tento </w:t>
      </w:r>
      <w:r w:rsidR="0008041E" w:rsidRPr="003E28ED">
        <w:rPr>
          <w:spacing w:val="-4"/>
        </w:rPr>
        <w:t xml:space="preserve">velmi mírný </w:t>
      </w:r>
      <w:r w:rsidRPr="003E28ED">
        <w:rPr>
          <w:spacing w:val="-4"/>
        </w:rPr>
        <w:t xml:space="preserve">pokles prvotních důchodů byl zároveň provázen </w:t>
      </w:r>
      <w:r w:rsidR="003E28ED" w:rsidRPr="003E28ED">
        <w:rPr>
          <w:spacing w:val="-4"/>
        </w:rPr>
        <w:t xml:space="preserve">i </w:t>
      </w:r>
      <w:r w:rsidR="0008041E" w:rsidRPr="003E28ED">
        <w:rPr>
          <w:spacing w:val="-4"/>
        </w:rPr>
        <w:t xml:space="preserve">velmi </w:t>
      </w:r>
      <w:r w:rsidRPr="003E28ED">
        <w:rPr>
          <w:spacing w:val="-4"/>
        </w:rPr>
        <w:t xml:space="preserve">mírným meziročním </w:t>
      </w:r>
      <w:r w:rsidR="0008041E" w:rsidRPr="003E28ED">
        <w:rPr>
          <w:spacing w:val="-4"/>
        </w:rPr>
        <w:t>poklesem</w:t>
      </w:r>
      <w:r w:rsidRPr="003E28ED">
        <w:rPr>
          <w:spacing w:val="-4"/>
        </w:rPr>
        <w:t xml:space="preserve"> odvodu daní</w:t>
      </w:r>
      <w:r w:rsidRPr="003E28ED">
        <w:rPr>
          <w:rStyle w:val="Znakapoznpodarou"/>
          <w:spacing w:val="-4"/>
        </w:rPr>
        <w:footnoteReference w:id="12"/>
      </w:r>
      <w:r w:rsidR="0008041E" w:rsidRPr="003E28ED">
        <w:rPr>
          <w:spacing w:val="-4"/>
        </w:rPr>
        <w:t>. Saldo druhotného rozdělení tak téměř stagnovalo a v</w:t>
      </w:r>
      <w:r w:rsidRPr="003E28ED">
        <w:rPr>
          <w:spacing w:val="-4"/>
        </w:rPr>
        <w:t xml:space="preserve">e výsledku podnikům zůstalo </w:t>
      </w:r>
      <w:r w:rsidR="003E28ED" w:rsidRPr="003E28ED">
        <w:rPr>
          <w:spacing w:val="-4"/>
        </w:rPr>
        <w:t xml:space="preserve">jen o trochu méně </w:t>
      </w:r>
      <w:r w:rsidRPr="003E28ED">
        <w:rPr>
          <w:spacing w:val="-4"/>
        </w:rPr>
        <w:t xml:space="preserve">finančních prostředků </w:t>
      </w:r>
      <w:r w:rsidR="003E28ED" w:rsidRPr="003E28ED">
        <w:rPr>
          <w:spacing w:val="-4"/>
        </w:rPr>
        <w:t xml:space="preserve">než </w:t>
      </w:r>
      <w:r w:rsidRPr="003E28ED">
        <w:rPr>
          <w:spacing w:val="-4"/>
        </w:rPr>
        <w:t>před rokem</w:t>
      </w:r>
      <w:r w:rsidRPr="003E28ED">
        <w:rPr>
          <w:rStyle w:val="Znakapoznpodarou"/>
          <w:spacing w:val="-4"/>
        </w:rPr>
        <w:footnoteReference w:id="13"/>
      </w:r>
      <w:r w:rsidR="003E28ED" w:rsidRPr="003E28ED">
        <w:rPr>
          <w:spacing w:val="-4"/>
        </w:rPr>
        <w:t xml:space="preserve">. </w:t>
      </w:r>
      <w:r w:rsidR="003E28ED" w:rsidRPr="003E28ED">
        <w:rPr>
          <w:b/>
          <w:spacing w:val="-4"/>
        </w:rPr>
        <w:t>M</w:t>
      </w:r>
      <w:r w:rsidRPr="003E28ED">
        <w:rPr>
          <w:b/>
          <w:spacing w:val="-4"/>
        </w:rPr>
        <w:t>íra úspor</w:t>
      </w:r>
      <w:r w:rsidRPr="003E28ED">
        <w:rPr>
          <w:rStyle w:val="Znakapoznpodarou"/>
          <w:spacing w:val="-4"/>
        </w:rPr>
        <w:footnoteReference w:id="14"/>
      </w:r>
      <w:r w:rsidRPr="003E28ED">
        <w:rPr>
          <w:spacing w:val="-4"/>
        </w:rPr>
        <w:t xml:space="preserve"> klesla meziročně o </w:t>
      </w:r>
      <w:r w:rsidR="003E28ED" w:rsidRPr="003E28ED">
        <w:rPr>
          <w:spacing w:val="-4"/>
        </w:rPr>
        <w:t>1,0</w:t>
      </w:r>
      <w:r w:rsidRPr="003E28ED">
        <w:rPr>
          <w:spacing w:val="-4"/>
        </w:rPr>
        <w:t xml:space="preserve"> p.b. na </w:t>
      </w:r>
      <w:r w:rsidR="00443D02" w:rsidRPr="003E28ED">
        <w:rPr>
          <w:spacing w:val="-4"/>
        </w:rPr>
        <w:t>1</w:t>
      </w:r>
      <w:r w:rsidR="003E28ED" w:rsidRPr="003E28ED">
        <w:rPr>
          <w:spacing w:val="-4"/>
        </w:rPr>
        <w:t>5</w:t>
      </w:r>
      <w:r w:rsidR="00443D02" w:rsidRPr="003E28ED">
        <w:rPr>
          <w:spacing w:val="-4"/>
        </w:rPr>
        <w:t>,</w:t>
      </w:r>
      <w:r w:rsidR="003E28ED" w:rsidRPr="003E28ED">
        <w:rPr>
          <w:spacing w:val="-4"/>
        </w:rPr>
        <w:t>7</w:t>
      </w:r>
      <w:r w:rsidRPr="003E28ED">
        <w:rPr>
          <w:spacing w:val="-4"/>
        </w:rPr>
        <w:t xml:space="preserve"> %.</w:t>
      </w:r>
    </w:p>
    <w:p w14:paraId="61C54BCF" w14:textId="77777777" w:rsidR="00683166" w:rsidRPr="008F4243" w:rsidRDefault="00683166" w:rsidP="00C056A9">
      <w:pPr>
        <w:pStyle w:val="TabulkaGraf"/>
        <w:keepNext/>
      </w:pPr>
      <w:r w:rsidRPr="008F4243">
        <w:t xml:space="preserve">Graf 6: Investiční aktivita a potřeba jejího financování v sektoru nefinančních podniků </w:t>
      </w:r>
    </w:p>
    <w:p w14:paraId="68FA2ED2" w14:textId="385D4E75" w:rsidR="00683166" w:rsidRDefault="00982A02" w:rsidP="003E28ED">
      <w:pPr>
        <w:spacing w:after="0"/>
      </w:pPr>
      <w:r w:rsidRPr="00982A02">
        <w:rPr>
          <w:noProof/>
        </w:rPr>
        <w:drawing>
          <wp:inline distT="0" distB="0" distL="0" distR="0" wp14:anchorId="7F9E39E5" wp14:editId="3FE11131">
            <wp:extent cx="5041265" cy="2161540"/>
            <wp:effectExtent l="0" t="0" r="6985" b="0"/>
            <wp:docPr id="72931771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1A55" w14:textId="0ABF987B" w:rsidR="00683166" w:rsidRPr="00F677CC" w:rsidRDefault="00683166" w:rsidP="00683166">
      <w:pPr>
        <w:spacing w:after="120"/>
      </w:pPr>
      <w:r w:rsidRPr="00984F27">
        <w:lastRenderedPageBreak/>
        <w:t>Spolu s</w:t>
      </w:r>
      <w:r w:rsidR="00982A02">
        <w:t xml:space="preserve"> velmi mírným </w:t>
      </w:r>
      <w:r w:rsidRPr="00984F27">
        <w:t>poklesem úspor v</w:t>
      </w:r>
      <w:r w:rsidR="00982A02">
        <w:t>e</w:t>
      </w:r>
      <w:r w:rsidRPr="00984F27">
        <w:t xml:space="preserve"> </w:t>
      </w:r>
      <w:r w:rsidR="00982A02">
        <w:t>2</w:t>
      </w:r>
      <w:r w:rsidRPr="00984F27">
        <w:t>. čtvrtletí 202</w:t>
      </w:r>
      <w:r w:rsidR="00443D02">
        <w:t>6</w:t>
      </w:r>
      <w:r w:rsidRPr="00984F27">
        <w:t xml:space="preserve"> </w:t>
      </w:r>
      <w:r>
        <w:t>rostla</w:t>
      </w:r>
      <w:r w:rsidRPr="00984F27">
        <w:t xml:space="preserve"> investiční aktivita nefinančních podniků. Nominálně byly investice</w:t>
      </w:r>
      <w:r w:rsidRPr="00984F27">
        <w:rPr>
          <w:rStyle w:val="Znakapoznpodarou"/>
        </w:rPr>
        <w:footnoteReference w:id="15"/>
      </w:r>
      <w:r w:rsidRPr="00984F27">
        <w:t xml:space="preserve"> o </w:t>
      </w:r>
      <w:r w:rsidR="00425E68">
        <w:t>7,7</w:t>
      </w:r>
      <w:r w:rsidRPr="00984F27">
        <w:t xml:space="preserve"> % vyšší než před rokem a mezičtvrtletně </w:t>
      </w:r>
      <w:r w:rsidR="00425E68">
        <w:t>sice stagnovala, ale udržela se tak na vyšší úrovni předchozího čtvrtletí</w:t>
      </w:r>
      <w:r w:rsidRPr="00984F27">
        <w:rPr>
          <w:rStyle w:val="Znakapoznpodarou"/>
        </w:rPr>
        <w:footnoteReference w:id="16"/>
      </w:r>
      <w:r w:rsidR="00661628">
        <w:t xml:space="preserve">. </w:t>
      </w:r>
      <w:r w:rsidR="00661628">
        <w:rPr>
          <w:b/>
        </w:rPr>
        <w:t>M</w:t>
      </w:r>
      <w:r w:rsidRPr="00984F27">
        <w:rPr>
          <w:b/>
        </w:rPr>
        <w:t>íra investic</w:t>
      </w:r>
      <w:r w:rsidRPr="00984F27">
        <w:rPr>
          <w:rStyle w:val="Znakapoznpodarou"/>
        </w:rPr>
        <w:footnoteReference w:id="17"/>
      </w:r>
      <w:r w:rsidRPr="00984F27">
        <w:t xml:space="preserve"> </w:t>
      </w:r>
      <w:r w:rsidR="00443D02">
        <w:t>vzrostla</w:t>
      </w:r>
      <w:r w:rsidRPr="00984F27">
        <w:t xml:space="preserve"> na 2</w:t>
      </w:r>
      <w:r w:rsidR="00443D02">
        <w:t>8,</w:t>
      </w:r>
      <w:r w:rsidR="008C76AF">
        <w:t>3</w:t>
      </w:r>
      <w:r w:rsidRPr="00984F27">
        <w:t xml:space="preserve"> %</w:t>
      </w:r>
      <w:r w:rsidRPr="00984F27">
        <w:rPr>
          <w:rStyle w:val="Znakapoznpodarou"/>
        </w:rPr>
        <w:footnoteReference w:id="18"/>
      </w:r>
      <w:r w:rsidRPr="00984F27">
        <w:t>, což bylo meziročně o 1,</w:t>
      </w:r>
      <w:r w:rsidR="008C76AF">
        <w:t>3</w:t>
      </w:r>
      <w:r w:rsidRPr="00984F27">
        <w:t xml:space="preserve"> p.b</w:t>
      </w:r>
      <w:r w:rsidR="008C76AF">
        <w:t>.</w:t>
      </w:r>
      <w:r w:rsidR="008C76AF" w:rsidRPr="008C76AF">
        <w:t xml:space="preserve"> </w:t>
      </w:r>
      <w:r w:rsidR="008C76AF">
        <w:t>více</w:t>
      </w:r>
      <w:r w:rsidRPr="00984F27">
        <w:t xml:space="preserve">. </w:t>
      </w:r>
      <w:r w:rsidRPr="00F677CC">
        <w:t xml:space="preserve">V důsledku souběhu všech výše zmíněných tendencí se </w:t>
      </w:r>
      <w:r w:rsidR="002953B3">
        <w:t xml:space="preserve">mírně </w:t>
      </w:r>
      <w:r w:rsidRPr="00F677CC">
        <w:t>snížilo množství volných prostředků, které nefinančním podnikům zbývaly k financování dalších podnikatelských aktivit, což vedlo ke zvýšené potřebě půjčovat si od ostatních sektorů</w:t>
      </w:r>
      <w:r w:rsidRPr="00F677CC">
        <w:rPr>
          <w:rStyle w:val="Znakapoznpodarou"/>
        </w:rPr>
        <w:footnoteReference w:id="19"/>
      </w:r>
      <w:r w:rsidRPr="00F677CC">
        <w:t xml:space="preserve">. </w:t>
      </w:r>
    </w:p>
    <w:p w14:paraId="03762C3D" w14:textId="77777777" w:rsidR="00683166" w:rsidRPr="008F4243" w:rsidRDefault="00683166" w:rsidP="00C056A9">
      <w:pPr>
        <w:pStyle w:val="TabulkaGraf"/>
        <w:keepNext/>
      </w:pPr>
      <w:r w:rsidRPr="008F4243">
        <w:t xml:space="preserve">Graf 7: Rozklad meziroční nominální změny čistých půjček/výpůjček (-) sektoru nefinančních podniků (v mil. Kč) </w:t>
      </w:r>
    </w:p>
    <w:p w14:paraId="678BCF37" w14:textId="7550B399" w:rsidR="00683166" w:rsidRDefault="002877DA" w:rsidP="00683166">
      <w:pPr>
        <w:spacing w:before="120" w:after="120"/>
      </w:pPr>
      <w:r w:rsidRPr="002877DA">
        <w:rPr>
          <w:noProof/>
        </w:rPr>
        <w:drawing>
          <wp:inline distT="0" distB="0" distL="0" distR="0" wp14:anchorId="082CC5C2" wp14:editId="785F2664">
            <wp:extent cx="5041265" cy="2161540"/>
            <wp:effectExtent l="0" t="0" r="6985" b="0"/>
            <wp:docPr id="131676670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94D84" w14:textId="77777777" w:rsidR="00683166" w:rsidRPr="008F4243" w:rsidRDefault="00683166" w:rsidP="00C056A9">
      <w:pPr>
        <w:pStyle w:val="TabulkaGraf"/>
        <w:keepNext/>
      </w:pPr>
      <w:r w:rsidRPr="008F4243">
        <w:t>Graf 8: Rozklad potřeby financování sektoru nefinančních podniků (v mil. Kč)</w:t>
      </w:r>
    </w:p>
    <w:p w14:paraId="093FA74F" w14:textId="2D768AFE" w:rsidR="00683166" w:rsidRDefault="005F0912" w:rsidP="00683166">
      <w:pPr>
        <w:spacing w:before="120" w:after="120"/>
      </w:pPr>
      <w:r w:rsidRPr="005F0912">
        <w:rPr>
          <w:noProof/>
        </w:rPr>
        <w:drawing>
          <wp:inline distT="0" distB="0" distL="0" distR="0" wp14:anchorId="467E99CD" wp14:editId="479EAD98">
            <wp:extent cx="5041265" cy="2179320"/>
            <wp:effectExtent l="0" t="0" r="6985" b="0"/>
            <wp:docPr id="165240801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239F8" w14:textId="77777777" w:rsidR="00683166" w:rsidRPr="00997580" w:rsidRDefault="00683166" w:rsidP="00683166">
      <w:pPr>
        <w:pStyle w:val="Nadpis2"/>
        <w:rPr>
          <w:b w:val="0"/>
          <w:bCs w:val="0"/>
        </w:rPr>
      </w:pPr>
      <w:r w:rsidRPr="00427C19">
        <w:lastRenderedPageBreak/>
        <w:t>Sektor vládních institucí</w:t>
      </w:r>
      <w:r w:rsidRPr="00427C19">
        <w:rPr>
          <w:rStyle w:val="Znakapoznpodarou"/>
        </w:rPr>
        <w:footnoteReference w:id="20"/>
      </w:r>
    </w:p>
    <w:p w14:paraId="7276C8BD" w14:textId="44DA61F5" w:rsidR="00683166" w:rsidRDefault="00683166" w:rsidP="00683166">
      <w:pPr>
        <w:spacing w:after="240"/>
      </w:pPr>
      <w:r w:rsidRPr="00672473">
        <w:rPr>
          <w:b/>
        </w:rPr>
        <w:t>Saldo hospodaření</w:t>
      </w:r>
      <w:r w:rsidRPr="00672473">
        <w:rPr>
          <w:rStyle w:val="Znakapoznpodarou"/>
        </w:rPr>
        <w:footnoteReference w:id="21"/>
      </w:r>
      <w:r w:rsidRPr="00672473">
        <w:t xml:space="preserve"> sektoru vládních institucí </w:t>
      </w:r>
      <w:r>
        <w:t xml:space="preserve">dosáhlo </w:t>
      </w:r>
      <w:r w:rsidRPr="00672473">
        <w:t>v</w:t>
      </w:r>
      <w:r w:rsidR="00C77E07">
        <w:t>e</w:t>
      </w:r>
      <w:r w:rsidRPr="00672473">
        <w:t xml:space="preserve"> </w:t>
      </w:r>
      <w:r w:rsidR="00C77E07">
        <w:t>2</w:t>
      </w:r>
      <w:r w:rsidRPr="00672473">
        <w:t>. čtvrtletí roku 202</w:t>
      </w:r>
      <w:r w:rsidR="00CA7894">
        <w:t>6</w:t>
      </w:r>
      <w:r w:rsidRPr="00672473">
        <w:t xml:space="preserve"> </w:t>
      </w:r>
      <w:r>
        <w:t>deficitu</w:t>
      </w:r>
      <w:r w:rsidRPr="00672473">
        <w:t xml:space="preserve"> </w:t>
      </w:r>
      <w:r w:rsidR="00C77E07">
        <w:t>33,3</w:t>
      </w:r>
      <w:r w:rsidRPr="00672473">
        <w:t xml:space="preserve"> mld. Kč, což </w:t>
      </w:r>
      <w:r w:rsidR="00C77E07">
        <w:t xml:space="preserve">v meziročním srovnání znamená zhoršení </w:t>
      </w:r>
      <w:r>
        <w:t xml:space="preserve">o </w:t>
      </w:r>
      <w:r w:rsidR="00C77E07">
        <w:t>42,6</w:t>
      </w:r>
      <w:r w:rsidRPr="00672473">
        <w:t xml:space="preserve"> mld. Kč. </w:t>
      </w:r>
      <w:r>
        <w:t xml:space="preserve">Deficit </w:t>
      </w:r>
      <w:r w:rsidR="00C77E07">
        <w:t>v relativním vyjádření odpovídal hodnotě 1,5 </w:t>
      </w:r>
      <w:r w:rsidRPr="00672473">
        <w:t>% HDP</w:t>
      </w:r>
      <w:r>
        <w:rPr>
          <w:rStyle w:val="Znakapoznpodarou"/>
        </w:rPr>
        <w:footnoteReference w:id="22"/>
      </w:r>
      <w:r w:rsidRPr="00672473">
        <w:t>.</w:t>
      </w:r>
    </w:p>
    <w:p w14:paraId="51FFFF35" w14:textId="77777777" w:rsidR="00683166" w:rsidRPr="00A54604" w:rsidRDefault="00683166" w:rsidP="00C056A9">
      <w:pPr>
        <w:pStyle w:val="TabulkaGraf"/>
        <w:keepNext/>
      </w:pPr>
      <w:r w:rsidRPr="00A54604">
        <w:t xml:space="preserve">Graf </w:t>
      </w:r>
      <w:r>
        <w:t>9</w:t>
      </w:r>
      <w:r w:rsidRPr="00A54604">
        <w:t xml:space="preserve">: </w:t>
      </w:r>
      <w:r w:rsidRPr="0047791B">
        <w:t>Saldo hosp</w:t>
      </w:r>
      <w:r>
        <w:t>od</w:t>
      </w:r>
      <w:r w:rsidRPr="0047791B">
        <w:t>aření sektoru vládních institucí (v mil. Kč)</w:t>
      </w:r>
    </w:p>
    <w:p w14:paraId="64EE7A87" w14:textId="7E863118" w:rsidR="00683166" w:rsidRDefault="00A81DD1" w:rsidP="00683166">
      <w:pPr>
        <w:spacing w:before="120"/>
      </w:pPr>
      <w:r w:rsidRPr="00A81DD1">
        <w:rPr>
          <w:noProof/>
        </w:rPr>
        <w:drawing>
          <wp:inline distT="0" distB="0" distL="0" distR="0" wp14:anchorId="01FE193D" wp14:editId="2C2E1271">
            <wp:extent cx="4886960" cy="2036445"/>
            <wp:effectExtent l="0" t="0" r="8890" b="1905"/>
            <wp:docPr id="94453901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96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8AED" w14:textId="650A55EF" w:rsidR="00683166" w:rsidRPr="00D82C80" w:rsidRDefault="00683166" w:rsidP="00683166">
      <w:pPr>
        <w:spacing w:before="240" w:after="240"/>
      </w:pPr>
      <w:r w:rsidRPr="00444FDC">
        <w:t xml:space="preserve">Meziroční </w:t>
      </w:r>
      <w:r w:rsidR="00A81DD1">
        <w:t xml:space="preserve">propad hospodaření do </w:t>
      </w:r>
      <w:r w:rsidRPr="00444FDC">
        <w:t xml:space="preserve">deficitu souvisel </w:t>
      </w:r>
      <w:r w:rsidR="0066540D" w:rsidRPr="00444FDC">
        <w:t xml:space="preserve">s tím, že výdaje </w:t>
      </w:r>
      <w:r w:rsidR="00444FDC" w:rsidRPr="00444FDC">
        <w:t xml:space="preserve">vládních institucí </w:t>
      </w:r>
      <w:r w:rsidR="00A81DD1">
        <w:t>ve 2. čtvrtletí rostly výrazně rychleji než příjmy</w:t>
      </w:r>
      <w:r w:rsidR="0066540D" w:rsidRPr="00444FDC">
        <w:t xml:space="preserve">. </w:t>
      </w:r>
      <w:r w:rsidR="00E5382A">
        <w:t xml:space="preserve">Výdaje se obecně vyvíjejí </w:t>
      </w:r>
      <w:r w:rsidR="00211079">
        <w:t xml:space="preserve">s větší volatilitou a </w:t>
      </w:r>
      <w:r w:rsidR="00E5382A">
        <w:t>méně plynule než příjmy a</w:t>
      </w:r>
      <w:r w:rsidR="00211079">
        <w:t> ve 2. čtvrtletí 2026 se t</w:t>
      </w:r>
      <w:r w:rsidR="00E5382A">
        <w:t xml:space="preserve">empo růstu výdajů </w:t>
      </w:r>
      <w:r w:rsidR="00211079">
        <w:t xml:space="preserve">opětovně výrazněji odklonilo </w:t>
      </w:r>
      <w:r w:rsidR="00E528AB">
        <w:t>od</w:t>
      </w:r>
      <w:r w:rsidR="00211079">
        <w:t xml:space="preserve"> temp</w:t>
      </w:r>
      <w:r w:rsidR="00E528AB">
        <w:t>a</w:t>
      </w:r>
      <w:r w:rsidR="00211079">
        <w:t xml:space="preserve"> růstu příjmů.</w:t>
      </w:r>
      <w:r w:rsidR="00444FDC">
        <w:t xml:space="preserve"> </w:t>
      </w:r>
    </w:p>
    <w:p w14:paraId="39E15F91" w14:textId="77777777" w:rsidR="00683166" w:rsidRDefault="00683166" w:rsidP="00C056A9">
      <w:pPr>
        <w:pStyle w:val="TabulkaGraf"/>
        <w:keepNext/>
      </w:pPr>
      <w:r w:rsidRPr="00CE01A2">
        <w:t xml:space="preserve">Graf </w:t>
      </w:r>
      <w:r>
        <w:t>10</w:t>
      </w:r>
      <w:r w:rsidRPr="00CE01A2">
        <w:t>: Meziroční změny salda příjmů a výdajů vládních institucí (v mil. Kč)</w:t>
      </w:r>
    </w:p>
    <w:p w14:paraId="161C23BB" w14:textId="468EB943" w:rsidR="00683166" w:rsidRPr="00FF04A2" w:rsidRDefault="00A81DD1" w:rsidP="00683166">
      <w:pPr>
        <w:spacing w:after="120"/>
      </w:pPr>
      <w:r w:rsidRPr="00A81DD1">
        <w:rPr>
          <w:noProof/>
        </w:rPr>
        <w:drawing>
          <wp:inline distT="0" distB="0" distL="0" distR="0" wp14:anchorId="09895697" wp14:editId="5E4CE233">
            <wp:extent cx="5041265" cy="2161540"/>
            <wp:effectExtent l="0" t="0" r="6985" b="0"/>
            <wp:docPr id="79452653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7F8B" w14:textId="6115EC03" w:rsidR="00683166" w:rsidRDefault="00683166" w:rsidP="00683166">
      <w:pPr>
        <w:spacing w:before="240" w:after="120"/>
      </w:pPr>
      <w:r w:rsidRPr="007B7CD5">
        <w:rPr>
          <w:b/>
        </w:rPr>
        <w:t xml:space="preserve">Příjmy </w:t>
      </w:r>
      <w:r w:rsidRPr="007B7CD5">
        <w:t xml:space="preserve">rozpočtů sektoru vládních institucí nominálně vzrostly meziročně o </w:t>
      </w:r>
      <w:r w:rsidR="0076161E">
        <w:t>4,8</w:t>
      </w:r>
      <w:r w:rsidRPr="007B7CD5">
        <w:t> %, což byl</w:t>
      </w:r>
      <w:r>
        <w:t xml:space="preserve">o </w:t>
      </w:r>
      <w:r w:rsidR="008B1F9A">
        <w:t xml:space="preserve">podobné tempo jako v </w:t>
      </w:r>
      <w:r>
        <w:t xml:space="preserve">předchozích </w:t>
      </w:r>
      <w:r w:rsidR="008B1F9A">
        <w:t>č</w:t>
      </w:r>
      <w:r>
        <w:t>tvrtletích</w:t>
      </w:r>
      <w:r w:rsidRPr="007B7CD5">
        <w:t xml:space="preserve">. </w:t>
      </w:r>
      <w:r w:rsidR="0076161E">
        <w:t>R</w:t>
      </w:r>
      <w:r w:rsidRPr="007B7CD5">
        <w:t xml:space="preserve">ůst příjmů </w:t>
      </w:r>
      <w:r w:rsidR="0076161E">
        <w:t xml:space="preserve">byl ovšem na rozdíl od předchozích čtvrtletí téměř výhradně </w:t>
      </w:r>
      <w:r w:rsidRPr="007B7CD5">
        <w:t xml:space="preserve">podpořen </w:t>
      </w:r>
      <w:r>
        <w:t>rů</w:t>
      </w:r>
      <w:r w:rsidRPr="007B7CD5">
        <w:t>stem přijatých sociálních příspěvků</w:t>
      </w:r>
      <w:r w:rsidRPr="005A46DC">
        <w:rPr>
          <w:rStyle w:val="Znakapoznpodarou"/>
        </w:rPr>
        <w:footnoteReference w:id="23"/>
      </w:r>
      <w:r w:rsidR="0076161E">
        <w:t xml:space="preserve">. </w:t>
      </w:r>
      <w:r w:rsidR="00613FAE">
        <w:t>Většina daňových příjmů b</w:t>
      </w:r>
      <w:r w:rsidR="000278B2">
        <w:t xml:space="preserve">uď </w:t>
      </w:r>
      <w:r w:rsidR="0076161E">
        <w:t>rostl</w:t>
      </w:r>
      <w:r w:rsidR="00613FAE">
        <w:t>a</w:t>
      </w:r>
      <w:r w:rsidR="0076161E">
        <w:t xml:space="preserve"> </w:t>
      </w:r>
      <w:r w:rsidR="00613FAE">
        <w:t xml:space="preserve">jen </w:t>
      </w:r>
      <w:r w:rsidR="0076161E">
        <w:t>velmi mírně nebo stagnoval</w:t>
      </w:r>
      <w:r w:rsidR="00613FAE">
        <w:t>a</w:t>
      </w:r>
      <w:r w:rsidR="000278B2">
        <w:t xml:space="preserve"> (často i proto, že </w:t>
      </w:r>
      <w:r w:rsidR="00613FAE">
        <w:t xml:space="preserve">výběry </w:t>
      </w:r>
      <w:r w:rsidR="000278B2">
        <w:t>jednotliv</w:t>
      </w:r>
      <w:r w:rsidR="00613FAE">
        <w:t>ých</w:t>
      </w:r>
      <w:r w:rsidR="000278B2">
        <w:t xml:space="preserve"> </w:t>
      </w:r>
      <w:r w:rsidR="00613FAE">
        <w:t>dílčích daní působily proti sobě)</w:t>
      </w:r>
      <w:r w:rsidR="0076161E">
        <w:t xml:space="preserve">. </w:t>
      </w:r>
      <w:r w:rsidR="00E528AB" w:rsidRPr="00C16121">
        <w:t xml:space="preserve">Meziroční stagnaci ovlivnil především výpadek příjmů u daně z neočekávaných zisků, která byla </w:t>
      </w:r>
      <w:r w:rsidR="00E528AB" w:rsidRPr="00C16121">
        <w:lastRenderedPageBreak/>
        <w:t>v</w:t>
      </w:r>
      <w:r w:rsidR="00C16121">
        <w:t> </w:t>
      </w:r>
      <w:r w:rsidR="00E528AB" w:rsidRPr="00C16121">
        <w:t>platnosti v letech 2023-2025. Kromě toho došlo i k mimořádnému snížení spotřební daně na naftu, které platilo po většinu 2. čtvrtletí 2026</w:t>
      </w:r>
      <w:r w:rsidR="00E528AB" w:rsidRPr="00C16121">
        <w:rPr>
          <w:rStyle w:val="Znakapoznpodarou"/>
        </w:rPr>
        <w:footnoteReference w:id="24"/>
      </w:r>
      <w:r w:rsidR="00E528AB" w:rsidRPr="00C16121">
        <w:t>.</w:t>
      </w:r>
    </w:p>
    <w:p w14:paraId="4590E3B1" w14:textId="77777777" w:rsidR="00683166" w:rsidRPr="00A54604" w:rsidRDefault="00683166" w:rsidP="00C056A9">
      <w:pPr>
        <w:pStyle w:val="TabulkaGraf"/>
        <w:keepNext/>
      </w:pPr>
      <w:r w:rsidRPr="00A54604">
        <w:t xml:space="preserve">Graf </w:t>
      </w:r>
      <w:r>
        <w:t>11</w:t>
      </w:r>
      <w:r w:rsidRPr="00A54604">
        <w:t xml:space="preserve">: </w:t>
      </w:r>
      <w:r w:rsidRPr="002C68FE">
        <w:t>Rozklad meziroční změny příjmů sektoru vládních institucí (v mil. Kč)</w:t>
      </w:r>
    </w:p>
    <w:p w14:paraId="627BE23A" w14:textId="48CAD11B" w:rsidR="00683166" w:rsidRDefault="002D79F3" w:rsidP="00683166">
      <w:pPr>
        <w:spacing w:after="120"/>
        <w:rPr>
          <w:b/>
        </w:rPr>
      </w:pPr>
      <w:r w:rsidRPr="002D79F3">
        <w:rPr>
          <w:noProof/>
        </w:rPr>
        <w:drawing>
          <wp:inline distT="0" distB="0" distL="0" distR="0" wp14:anchorId="683B1FF2" wp14:editId="3649D05A">
            <wp:extent cx="5041265" cy="2161540"/>
            <wp:effectExtent l="0" t="0" r="6985" b="0"/>
            <wp:docPr id="189425268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39A07" w14:textId="4FF43897" w:rsidR="00591BB7" w:rsidRDefault="00683166" w:rsidP="00683166">
      <w:pPr>
        <w:spacing w:before="240" w:after="240"/>
      </w:pPr>
      <w:r w:rsidRPr="00E302AD">
        <w:rPr>
          <w:b/>
        </w:rPr>
        <w:t>Výdaje</w:t>
      </w:r>
      <w:r w:rsidRPr="00E302AD">
        <w:t xml:space="preserve"> rozpočtů sektoru vládních institucí byly nominálně o </w:t>
      </w:r>
      <w:r w:rsidR="00570CBA">
        <w:t>9,5</w:t>
      </w:r>
      <w:r w:rsidRPr="00E302AD">
        <w:t xml:space="preserve"> % vyšší než ve stejném čtvrtletí</w:t>
      </w:r>
      <w:r w:rsidRPr="00787502">
        <w:t xml:space="preserve"> roku 202</w:t>
      </w:r>
      <w:r w:rsidR="00A94CB1">
        <w:t>5</w:t>
      </w:r>
      <w:r w:rsidRPr="003806EF">
        <w:t xml:space="preserve">. </w:t>
      </w:r>
      <w:r w:rsidR="00591BB7">
        <w:t>S výjimkou vlastnických důchodů a kapitálových transferů a dotací</w:t>
      </w:r>
      <w:r w:rsidR="002D5141" w:rsidRPr="00303E0F">
        <w:rPr>
          <w:rStyle w:val="Znakapoznpodarou"/>
        </w:rPr>
        <w:footnoteReference w:id="25"/>
      </w:r>
      <w:r w:rsidR="00591BB7">
        <w:t xml:space="preserve"> byl tento růst tažen relativně rovnoměrně všemi položkami výdajů. N</w:t>
      </w:r>
      <w:r w:rsidR="00591BB7" w:rsidRPr="00303E0F">
        <w:t>ejvětší část c</w:t>
      </w:r>
      <w:r w:rsidR="00591BB7">
        <w:t xml:space="preserve">elkového růstu výdajů připadala </w:t>
      </w:r>
      <w:r w:rsidR="00591BB7" w:rsidRPr="00303E0F">
        <w:t>na sociální dávky</w:t>
      </w:r>
      <w:r w:rsidR="00591BB7" w:rsidRPr="00303E0F">
        <w:rPr>
          <w:rStyle w:val="Znakapoznpodarou"/>
        </w:rPr>
        <w:footnoteReference w:id="26"/>
      </w:r>
      <w:r w:rsidR="00591BB7">
        <w:t xml:space="preserve"> (</w:t>
      </w:r>
      <w:r w:rsidR="00591BB7" w:rsidRPr="0083521F">
        <w:t xml:space="preserve">tažené </w:t>
      </w:r>
      <w:r w:rsidR="00591BB7" w:rsidRPr="004B150D">
        <w:t>zejména meziročním růstem starobních důchodů, ale například i růstem příspěvků na bydlení či nákladů zdravotních pojišťoven na zdravotní služby</w:t>
      </w:r>
      <w:r w:rsidR="00591BB7">
        <w:t xml:space="preserve">). </w:t>
      </w:r>
      <w:r w:rsidR="002D5141">
        <w:t>Pokračovala intenzivnější</w:t>
      </w:r>
      <w:r w:rsidR="00591BB7">
        <w:t xml:space="preserve"> investiční aktivita státu </w:t>
      </w:r>
      <w:r w:rsidR="00E528AB">
        <w:t xml:space="preserve">i samospráv </w:t>
      </w:r>
      <w:r w:rsidR="00591BB7">
        <w:t xml:space="preserve">a mírně rostly </w:t>
      </w:r>
      <w:r w:rsidR="002D5141">
        <w:t xml:space="preserve">i </w:t>
      </w:r>
      <w:r w:rsidR="00591BB7">
        <w:t xml:space="preserve">mzdové prostředky </w:t>
      </w:r>
      <w:r w:rsidR="002D5141">
        <w:t>a</w:t>
      </w:r>
      <w:r w:rsidR="00591BB7">
        <w:t xml:space="preserve"> běžné výdaje.</w:t>
      </w:r>
      <w:r w:rsidR="002D5141">
        <w:t xml:space="preserve"> </w:t>
      </w:r>
    </w:p>
    <w:p w14:paraId="0F7743F6" w14:textId="77777777" w:rsidR="00683166" w:rsidRDefault="00683166" w:rsidP="00C056A9">
      <w:pPr>
        <w:pStyle w:val="TabulkaGraf"/>
        <w:keepNext/>
      </w:pPr>
      <w:r w:rsidRPr="00A54604">
        <w:t xml:space="preserve">Graf </w:t>
      </w:r>
      <w:r>
        <w:t>12</w:t>
      </w:r>
      <w:r w:rsidRPr="00A54604">
        <w:t xml:space="preserve">: </w:t>
      </w:r>
      <w:r w:rsidRPr="002C68FE">
        <w:t xml:space="preserve">Rozklad meziroční změny </w:t>
      </w:r>
      <w:r>
        <w:t>výdajů</w:t>
      </w:r>
      <w:r w:rsidRPr="002C68FE">
        <w:t xml:space="preserve"> sektoru vládních institucí (v mil. Kč)</w:t>
      </w:r>
    </w:p>
    <w:p w14:paraId="6D76ED4F" w14:textId="58A2ED65" w:rsidR="00683166" w:rsidRPr="004D74A4" w:rsidRDefault="00FC2E35" w:rsidP="00A94CB1">
      <w:pPr>
        <w:spacing w:after="0"/>
      </w:pPr>
      <w:r w:rsidRPr="00FC2E35">
        <w:rPr>
          <w:noProof/>
        </w:rPr>
        <w:drawing>
          <wp:inline distT="0" distB="0" distL="0" distR="0" wp14:anchorId="5203C069" wp14:editId="0F194CC5">
            <wp:extent cx="5039995" cy="2482215"/>
            <wp:effectExtent l="0" t="0" r="8255" b="0"/>
            <wp:docPr id="314195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AF1B4" w14:textId="77777777" w:rsidR="00683166" w:rsidRPr="00C84F57" w:rsidRDefault="00683166" w:rsidP="00A94CB1">
      <w:pPr>
        <w:tabs>
          <w:tab w:val="left" w:pos="426"/>
        </w:tabs>
        <w:spacing w:after="120"/>
        <w:rPr>
          <w:sz w:val="16"/>
        </w:rPr>
      </w:pPr>
      <w:r>
        <w:rPr>
          <w:sz w:val="16"/>
        </w:rPr>
        <w:tab/>
      </w:r>
      <w:r w:rsidRPr="00C84F57">
        <w:rPr>
          <w:sz w:val="16"/>
        </w:rPr>
        <w:t>* Sociální dávky jiné než naturální sociální transfery, vč. nakoupené tržní produkce</w:t>
      </w:r>
    </w:p>
    <w:p w14:paraId="35973F90" w14:textId="399E4A81" w:rsidR="00683166" w:rsidRDefault="00683166" w:rsidP="00683166">
      <w:pPr>
        <w:spacing w:after="120"/>
      </w:pPr>
      <w:r w:rsidRPr="00BD529F">
        <w:rPr>
          <w:b/>
        </w:rPr>
        <w:lastRenderedPageBreak/>
        <w:t>Dluh sektoru vládních institucí</w:t>
      </w:r>
      <w:r w:rsidRPr="00BD529F">
        <w:t xml:space="preserve"> dosáhl v</w:t>
      </w:r>
      <w:r w:rsidR="001A56C7">
        <w:t>e</w:t>
      </w:r>
      <w:r w:rsidRPr="00BD529F">
        <w:t xml:space="preserve"> </w:t>
      </w:r>
      <w:r w:rsidR="001A56C7">
        <w:t>2</w:t>
      </w:r>
      <w:r w:rsidRPr="00BD529F">
        <w:t>. čtvrtletí 202</w:t>
      </w:r>
      <w:r w:rsidR="00C96465">
        <w:t>6</w:t>
      </w:r>
      <w:r w:rsidRPr="00BD529F">
        <w:t xml:space="preserve"> hodnoty 3</w:t>
      </w:r>
      <w:r w:rsidR="001A56C7">
        <w:t> </w:t>
      </w:r>
      <w:r w:rsidR="00C96465">
        <w:t>8</w:t>
      </w:r>
      <w:r w:rsidR="001A56C7">
        <w:t xml:space="preserve">42,4 </w:t>
      </w:r>
      <w:r w:rsidRPr="00BD529F">
        <w:t>mld. Kč</w:t>
      </w:r>
      <w:r w:rsidRPr="00BD529F">
        <w:rPr>
          <w:rStyle w:val="Znakapoznpodarou"/>
        </w:rPr>
        <w:footnoteReference w:id="27"/>
      </w:r>
      <w:r w:rsidRPr="00BD529F">
        <w:t xml:space="preserve"> a meziročně byl vyšší o </w:t>
      </w:r>
      <w:r>
        <w:t>2</w:t>
      </w:r>
      <w:r w:rsidR="00C223DD">
        <w:t>15,1</w:t>
      </w:r>
      <w:r w:rsidRPr="00BD529F">
        <w:t> mld. </w:t>
      </w:r>
      <w:r w:rsidRPr="00AA6F71">
        <w:t xml:space="preserve">Kč. </w:t>
      </w:r>
      <w:r w:rsidRPr="00AA6F71">
        <w:rPr>
          <w:b/>
        </w:rPr>
        <w:t>Míra zadlužení vládních institucí ve vztahu k HDP</w:t>
      </w:r>
      <w:r w:rsidRPr="00AA6F71">
        <w:rPr>
          <w:rStyle w:val="Znakapoznpodarou"/>
        </w:rPr>
        <w:footnoteReference w:id="28"/>
      </w:r>
      <w:r w:rsidRPr="00AA6F71">
        <w:t xml:space="preserve"> se meziročně </w:t>
      </w:r>
      <w:r>
        <w:t>zvýšila</w:t>
      </w:r>
      <w:r w:rsidRPr="00AA6F71">
        <w:t xml:space="preserve"> </w:t>
      </w:r>
      <w:r w:rsidR="006D622A">
        <w:t>z 43,</w:t>
      </w:r>
      <w:r w:rsidR="00C223DD">
        <w:t>7</w:t>
      </w:r>
      <w:r w:rsidR="006D622A">
        <w:t xml:space="preserve"> %</w:t>
      </w:r>
      <w:r w:rsidRPr="00AA6F71">
        <w:t xml:space="preserve"> </w:t>
      </w:r>
      <w:r w:rsidR="006D622A">
        <w:t>na</w:t>
      </w:r>
      <w:r w:rsidRPr="00AA6F71">
        <w:t xml:space="preserve"> 4</w:t>
      </w:r>
      <w:r w:rsidR="00C223DD">
        <w:t>3,8</w:t>
      </w:r>
      <w:r w:rsidRPr="00AA6F71">
        <w:t> % HDP</w:t>
      </w:r>
      <w:r>
        <w:t xml:space="preserve">. </w:t>
      </w:r>
      <w:r w:rsidR="006D622A">
        <w:t>N</w:t>
      </w:r>
      <w:r w:rsidRPr="004260C3">
        <w:t xml:space="preserve">ominální </w:t>
      </w:r>
      <w:r w:rsidR="006D622A">
        <w:t xml:space="preserve">změna </w:t>
      </w:r>
      <w:r w:rsidRPr="004260C3">
        <w:t xml:space="preserve">dluhu </w:t>
      </w:r>
      <w:r w:rsidR="006D622A">
        <w:t>by vedla k růstu míry zadlužení vůči HDP okolo</w:t>
      </w:r>
      <w:r w:rsidRPr="004260C3">
        <w:t xml:space="preserve"> </w:t>
      </w:r>
      <w:r w:rsidR="00C223DD">
        <w:t>2,4</w:t>
      </w:r>
      <w:r w:rsidR="006D622A">
        <w:rPr>
          <w:lang w:val="en-US"/>
        </w:rPr>
        <w:t> </w:t>
      </w:r>
      <w:r w:rsidRPr="004260C3">
        <w:t xml:space="preserve">p.b., zatímco </w:t>
      </w:r>
      <w:r w:rsidR="006D622A" w:rsidRPr="004260C3">
        <w:t xml:space="preserve">nominální </w:t>
      </w:r>
      <w:r w:rsidRPr="004260C3">
        <w:t xml:space="preserve">růst HDP </w:t>
      </w:r>
      <w:r w:rsidR="006D622A">
        <w:t xml:space="preserve">působil opačně a </w:t>
      </w:r>
      <w:r w:rsidRPr="004260C3">
        <w:t>přisp</w:t>
      </w:r>
      <w:r w:rsidR="006D622A">
        <w:t>íval</w:t>
      </w:r>
      <w:r w:rsidRPr="004260C3">
        <w:t xml:space="preserve"> k</w:t>
      </w:r>
      <w:r w:rsidR="006D622A">
        <w:t xml:space="preserve"> relativnímu </w:t>
      </w:r>
      <w:r w:rsidRPr="004260C3">
        <w:t xml:space="preserve">poklesu zadlužení o </w:t>
      </w:r>
      <w:r w:rsidR="00F7763B">
        <w:noBreakHyphen/>
      </w:r>
      <w:r w:rsidR="006D622A">
        <w:t>2,</w:t>
      </w:r>
      <w:r w:rsidR="00C223DD">
        <w:t>3</w:t>
      </w:r>
      <w:r w:rsidR="00220EAA">
        <w:t> </w:t>
      </w:r>
      <w:r w:rsidRPr="004260C3">
        <w:t xml:space="preserve">p.b., což ve výsledku vedlo k </w:t>
      </w:r>
      <w:r w:rsidR="00220EAA" w:rsidRPr="004260C3">
        <w:t>mezi</w:t>
      </w:r>
      <w:r w:rsidR="00220EAA">
        <w:t xml:space="preserve">ročnímu </w:t>
      </w:r>
      <w:r w:rsidRPr="004260C3">
        <w:t xml:space="preserve">zvýšení míry zadlužení o </w:t>
      </w:r>
      <w:r w:rsidR="006D622A">
        <w:t>0,</w:t>
      </w:r>
      <w:r w:rsidR="00C223DD">
        <w:t>1</w:t>
      </w:r>
      <w:r w:rsidRPr="004260C3">
        <w:t xml:space="preserve"> p.b</w:t>
      </w:r>
      <w:r w:rsidRPr="00AA6F71">
        <w:t xml:space="preserve">. </w:t>
      </w:r>
    </w:p>
    <w:p w14:paraId="25C447D7" w14:textId="43A1670F" w:rsidR="00B77C9F" w:rsidRDefault="00B77C9F" w:rsidP="00683166">
      <w:pPr>
        <w:spacing w:after="120"/>
      </w:pPr>
      <w:r w:rsidRPr="00B77C9F">
        <w:t xml:space="preserve">Mezičtvrtletně dluh stoupl o </w:t>
      </w:r>
      <w:r w:rsidR="00C223DD">
        <w:t>14,9</w:t>
      </w:r>
      <w:r w:rsidRPr="00B77C9F">
        <w:t xml:space="preserve"> mld. Kč, samotná nominální změna dluhu činila 0,</w:t>
      </w:r>
      <w:r w:rsidR="00C223DD">
        <w:t>1</w:t>
      </w:r>
      <w:r w:rsidRPr="00B77C9F">
        <w:t xml:space="preserve"> p.b., zatímco růst nominálního HDP přispěl k poklesu zadlužení o -0,</w:t>
      </w:r>
      <w:r w:rsidR="00C223DD">
        <w:t>4</w:t>
      </w:r>
      <w:r w:rsidRPr="00B77C9F">
        <w:t xml:space="preserve"> p.b., což ve výsledku mezičtvrtletně vedlo ke</w:t>
      </w:r>
      <w:r>
        <w:t> </w:t>
      </w:r>
      <w:r w:rsidRPr="00B77C9F">
        <w:t>snížení míry zadlužení o 0,</w:t>
      </w:r>
      <w:r w:rsidR="00C223DD">
        <w:t>3</w:t>
      </w:r>
      <w:r w:rsidRPr="00B77C9F">
        <w:t xml:space="preserve"> p.b.</w:t>
      </w:r>
    </w:p>
    <w:p w14:paraId="4ED351DE" w14:textId="77777777" w:rsidR="00683166" w:rsidRPr="008F4243" w:rsidRDefault="00683166" w:rsidP="00C056A9">
      <w:pPr>
        <w:pStyle w:val="TabulkaGraf"/>
        <w:keepNext/>
      </w:pPr>
      <w:r w:rsidRPr="008F4243">
        <w:t>Graf 13: Meziroční změna struktury dluhu sektoru vládních institucí (v mil. Kč)</w:t>
      </w:r>
    </w:p>
    <w:p w14:paraId="1BF89C59" w14:textId="51674AAF" w:rsidR="00683166" w:rsidRDefault="001A56C7" w:rsidP="00683166">
      <w:r w:rsidRPr="001A56C7">
        <w:rPr>
          <w:noProof/>
        </w:rPr>
        <w:drawing>
          <wp:inline distT="0" distB="0" distL="0" distR="0" wp14:anchorId="647DC35E" wp14:editId="753A1C94">
            <wp:extent cx="5038090" cy="1954530"/>
            <wp:effectExtent l="0" t="0" r="0" b="7620"/>
            <wp:docPr id="131032918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2CEFC" w14:textId="77777777" w:rsidR="00683166" w:rsidRDefault="00683166" w:rsidP="00683166">
      <w:pPr>
        <w:spacing w:line="240" w:lineRule="auto"/>
        <w:jc w:val="left"/>
      </w:pPr>
      <w:r>
        <w:br w:type="page"/>
      </w:r>
    </w:p>
    <w:p w14:paraId="3A1B6C6B" w14:textId="77777777" w:rsidR="00683166" w:rsidRPr="00F954B9" w:rsidRDefault="00683166" w:rsidP="00683166">
      <w:pPr>
        <w:pStyle w:val="Nadpis2"/>
      </w:pPr>
      <w:r w:rsidRPr="0075253E">
        <w:lastRenderedPageBreak/>
        <w:t>Domácnosti</w:t>
      </w:r>
    </w:p>
    <w:p w14:paraId="491B1AAA" w14:textId="6223951F" w:rsidR="00683166" w:rsidRDefault="00683166" w:rsidP="00683166">
      <w:pPr>
        <w:spacing w:after="120"/>
      </w:pPr>
      <w:r w:rsidRPr="00EB557A">
        <w:rPr>
          <w:b/>
        </w:rPr>
        <w:t>Peněžní a nepeněžní příjmy domácností</w:t>
      </w:r>
      <w:r w:rsidRPr="00EB557A">
        <w:rPr>
          <w:rStyle w:val="Znakapoznpodarou"/>
        </w:rPr>
        <w:footnoteReference w:id="29"/>
      </w:r>
      <w:r w:rsidRPr="00EB557A">
        <w:t xml:space="preserve"> v</w:t>
      </w:r>
      <w:r w:rsidR="000C00D8">
        <w:t>e 2</w:t>
      </w:r>
      <w:r w:rsidRPr="00EB557A">
        <w:t>. čtvrtletí 202</w:t>
      </w:r>
      <w:r w:rsidR="00466FFD">
        <w:t>6</w:t>
      </w:r>
      <w:r w:rsidRPr="00EB557A">
        <w:t xml:space="preserve"> nominálně vzrostly meziročně o </w:t>
      </w:r>
      <w:r w:rsidR="00466FFD">
        <w:t>5,</w:t>
      </w:r>
      <w:r w:rsidR="000C00D8">
        <w:t>5</w:t>
      </w:r>
      <w:r>
        <w:t> </w:t>
      </w:r>
      <w:r w:rsidRPr="00EB557A">
        <w:t>%. T</w:t>
      </w:r>
      <w:r>
        <w:t>oto</w:t>
      </w:r>
      <w:r w:rsidRPr="00EB557A">
        <w:t xml:space="preserve"> nominální </w:t>
      </w:r>
      <w:r>
        <w:t xml:space="preserve">zvýšení stačilo na dostatečné </w:t>
      </w:r>
      <w:r w:rsidRPr="00EB557A">
        <w:t>pokry</w:t>
      </w:r>
      <w:r>
        <w:t>tí</w:t>
      </w:r>
      <w:r w:rsidRPr="00EB557A">
        <w:t xml:space="preserve"> </w:t>
      </w:r>
      <w:r>
        <w:t xml:space="preserve">růstu </w:t>
      </w:r>
      <w:r w:rsidRPr="00EB557A">
        <w:t>cenové hladiny</w:t>
      </w:r>
      <w:r>
        <w:t xml:space="preserve">, takže </w:t>
      </w:r>
      <w:r w:rsidRPr="00EB557A">
        <w:t>reáln</w:t>
      </w:r>
      <w:r>
        <w:t xml:space="preserve">ě příjmy domácností vzrostly meziročně o </w:t>
      </w:r>
      <w:r w:rsidR="00466FFD">
        <w:t>3,</w:t>
      </w:r>
      <w:r w:rsidR="000C00D8">
        <w:t>1</w:t>
      </w:r>
      <w:r>
        <w:t> %</w:t>
      </w:r>
      <w:r w:rsidRPr="00EB557A">
        <w:rPr>
          <w:rStyle w:val="Znakapoznpodarou"/>
        </w:rPr>
        <w:footnoteReference w:id="30"/>
      </w:r>
      <w:r>
        <w:t xml:space="preserve"> a m</w:t>
      </w:r>
      <w:r w:rsidRPr="00EB557A">
        <w:t>ezičtvrtletně</w:t>
      </w:r>
      <w:r>
        <w:t xml:space="preserve"> byly o </w:t>
      </w:r>
      <w:r w:rsidR="000C00D8">
        <w:t>1</w:t>
      </w:r>
      <w:r w:rsidR="00466FFD">
        <w:t>,</w:t>
      </w:r>
      <w:r w:rsidR="000C00D8">
        <w:t>0</w:t>
      </w:r>
      <w:r>
        <w:t xml:space="preserve"> % vyšší</w:t>
      </w:r>
      <w:r w:rsidRPr="00EB557A">
        <w:rPr>
          <w:rStyle w:val="Znakapoznpodarou"/>
        </w:rPr>
        <w:footnoteReference w:id="31"/>
      </w:r>
      <w:r w:rsidRPr="00EB557A">
        <w:t>.</w:t>
      </w:r>
    </w:p>
    <w:p w14:paraId="2FDAC4C6" w14:textId="21CE08CC" w:rsidR="00683166" w:rsidRDefault="00683166" w:rsidP="00C056A9">
      <w:pPr>
        <w:pStyle w:val="TabulkaGraf"/>
        <w:keepNext/>
      </w:pPr>
      <w:r w:rsidRPr="00CB41C1">
        <w:t>Graf </w:t>
      </w:r>
      <w:r>
        <w:t>14:</w:t>
      </w:r>
      <w:r w:rsidRPr="0086484F">
        <w:t xml:space="preserve"> </w:t>
      </w:r>
      <w:r w:rsidRPr="00715A42">
        <w:t xml:space="preserve">Reálný a nominální vývoj příjmů domácností </w:t>
      </w:r>
      <w:r>
        <w:t>–</w:t>
      </w:r>
      <w:r w:rsidRPr="00715A42">
        <w:t xml:space="preserve"> 4</w:t>
      </w:r>
      <w:r>
        <w:t xml:space="preserve">. čtvrtletí </w:t>
      </w:r>
      <w:r w:rsidRPr="00715A42">
        <w:t>20</w:t>
      </w:r>
      <w:r w:rsidR="00466FFD">
        <w:t>21</w:t>
      </w:r>
      <w:r w:rsidRPr="00715A42">
        <w:t xml:space="preserve"> = 100 </w:t>
      </w:r>
      <w:r>
        <w:t xml:space="preserve">% </w:t>
      </w:r>
      <w:r>
        <w:br/>
      </w:r>
      <w:r w:rsidRPr="00715A42">
        <w:t>(sezónně očištěno)</w:t>
      </w:r>
    </w:p>
    <w:p w14:paraId="76BBB1AC" w14:textId="47F3F33F" w:rsidR="00683166" w:rsidRDefault="000C00D8" w:rsidP="00683166">
      <w:pPr>
        <w:spacing w:after="120"/>
      </w:pPr>
      <w:r w:rsidRPr="000C00D8">
        <w:rPr>
          <w:noProof/>
        </w:rPr>
        <w:drawing>
          <wp:inline distT="0" distB="0" distL="0" distR="0" wp14:anchorId="697FD2BE" wp14:editId="305BAC76">
            <wp:extent cx="5069840" cy="2263775"/>
            <wp:effectExtent l="0" t="0" r="0" b="3175"/>
            <wp:docPr id="114262808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C1A35" w14:textId="379478DA" w:rsidR="00683166" w:rsidRDefault="00683166" w:rsidP="00683166">
      <w:pPr>
        <w:spacing w:after="120"/>
      </w:pPr>
      <w:r w:rsidRPr="009D12BA">
        <w:t>Nominálně se příjmy sektoru domácností pohybovaly v</w:t>
      </w:r>
      <w:r w:rsidR="00C92F69">
        <w:t>e</w:t>
      </w:r>
      <w:r w:rsidRPr="009D12BA">
        <w:t xml:space="preserve"> </w:t>
      </w:r>
      <w:r w:rsidR="00C92F69">
        <w:t>2</w:t>
      </w:r>
      <w:r w:rsidRPr="009D12BA">
        <w:t>. čtvrtletí 202</w:t>
      </w:r>
      <w:r w:rsidR="00EE71B0">
        <w:t>6</w:t>
      </w:r>
      <w:r w:rsidRPr="009D12BA">
        <w:t xml:space="preserve"> na </w:t>
      </w:r>
      <w:r w:rsidR="00EE71B0">
        <w:t>137,</w:t>
      </w:r>
      <w:r w:rsidR="00C92F69">
        <w:t>5</w:t>
      </w:r>
      <w:r w:rsidRPr="009D12BA">
        <w:t xml:space="preserve"> % úrovně před </w:t>
      </w:r>
      <w:r w:rsidR="00EE71B0">
        <w:t>začátkem ruské invaze na Ukrajinu v roce 2022</w:t>
      </w:r>
      <w:r w:rsidRPr="009D12BA">
        <w:t>, tj. úrovně 4. čtvrtletí 20</w:t>
      </w:r>
      <w:r w:rsidR="00EE71B0">
        <w:t>21</w:t>
      </w:r>
      <w:r w:rsidRPr="009D12BA">
        <w:t xml:space="preserve">. Reálně však dosahovaly příjmy sektoru domácností </w:t>
      </w:r>
      <w:r w:rsidR="00EE71B0">
        <w:t xml:space="preserve">pouze </w:t>
      </w:r>
      <w:r w:rsidRPr="009D12BA">
        <w:t>1</w:t>
      </w:r>
      <w:r w:rsidR="00EE71B0">
        <w:t>0</w:t>
      </w:r>
      <w:r w:rsidR="00C92F69">
        <w:t>4,4</w:t>
      </w:r>
      <w:r>
        <w:t> </w:t>
      </w:r>
      <w:r w:rsidRPr="009D12BA">
        <w:t xml:space="preserve">% této </w:t>
      </w:r>
      <w:r w:rsidR="00EE71B0">
        <w:t xml:space="preserve">předválečné </w:t>
      </w:r>
      <w:r w:rsidRPr="009D12BA">
        <w:t>úrovně.</w:t>
      </w:r>
    </w:p>
    <w:p w14:paraId="14A62D83" w14:textId="77777777" w:rsidR="00683166" w:rsidRPr="008F4243" w:rsidRDefault="00683166" w:rsidP="00C056A9">
      <w:pPr>
        <w:pStyle w:val="TabulkaGraf"/>
        <w:keepNext/>
      </w:pPr>
      <w:r w:rsidRPr="008F4243">
        <w:t>Graf 15: Rozklad meziroční nominální změny čistých příjmů sektoru domácností (v mil. Kč)</w:t>
      </w:r>
    </w:p>
    <w:p w14:paraId="462CAE4A" w14:textId="3594DAE8" w:rsidR="00683166" w:rsidRDefault="00C92F69" w:rsidP="00683166">
      <w:pPr>
        <w:spacing w:after="120"/>
      </w:pPr>
      <w:r w:rsidRPr="00C92F69">
        <w:rPr>
          <w:noProof/>
        </w:rPr>
        <w:drawing>
          <wp:inline distT="0" distB="0" distL="0" distR="0" wp14:anchorId="5F189BBA" wp14:editId="15325F72">
            <wp:extent cx="5038090" cy="2232025"/>
            <wp:effectExtent l="0" t="0" r="0" b="0"/>
            <wp:docPr id="177644629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73376" w14:textId="226F8411" w:rsidR="00683166" w:rsidRDefault="00683166" w:rsidP="00683166">
      <w:pPr>
        <w:spacing w:after="120"/>
      </w:pPr>
      <w:r w:rsidRPr="007D1069">
        <w:t xml:space="preserve">Na růstu příjmů sektoru domácností se, podobně jako obvykle, nejsilněji podílel </w:t>
      </w:r>
      <w:r w:rsidRPr="007D1069">
        <w:rPr>
          <w:b/>
        </w:rPr>
        <w:t>růst mezd</w:t>
      </w:r>
      <w:r w:rsidRPr="007D1069">
        <w:rPr>
          <w:rStyle w:val="Znakapoznpodarou"/>
        </w:rPr>
        <w:footnoteReference w:id="32"/>
      </w:r>
      <w:r w:rsidRPr="007D1069">
        <w:rPr>
          <w:bCs/>
        </w:rPr>
        <w:t>.</w:t>
      </w:r>
      <w:r w:rsidRPr="007D1069">
        <w:t xml:space="preserve"> Vedle toho</w:t>
      </w:r>
      <w:r>
        <w:t xml:space="preserve"> relativně významně přispěly k růstu i </w:t>
      </w:r>
      <w:r>
        <w:rPr>
          <w:b/>
        </w:rPr>
        <w:t>příjmy z podnikání</w:t>
      </w:r>
      <w:r w:rsidRPr="006E1E21">
        <w:rPr>
          <w:rStyle w:val="Znakapoznpodarou"/>
        </w:rPr>
        <w:footnoteReference w:id="33"/>
      </w:r>
      <w:r w:rsidRPr="00D81AE4">
        <w:rPr>
          <w:bCs/>
        </w:rPr>
        <w:t>.</w:t>
      </w:r>
      <w:r>
        <w:rPr>
          <w:b/>
        </w:rPr>
        <w:t xml:space="preserve"> </w:t>
      </w:r>
      <w:r w:rsidRPr="006E1E21">
        <w:t xml:space="preserve">Naopak </w:t>
      </w:r>
      <w:r>
        <w:t>vliv</w:t>
      </w:r>
      <w:r w:rsidRPr="006E1E21">
        <w:t xml:space="preserve"> přerozdělování prostředků </w:t>
      </w:r>
      <w:r>
        <w:lastRenderedPageBreak/>
        <w:t>(</w:t>
      </w:r>
      <w:r w:rsidRPr="006E1E21">
        <w:t>převážně</w:t>
      </w:r>
      <w:r>
        <w:t>)</w:t>
      </w:r>
      <w:r w:rsidRPr="006E1E21">
        <w:t xml:space="preserve"> vládními institucemi</w:t>
      </w:r>
      <w:r w:rsidRPr="006E1E21">
        <w:rPr>
          <w:rStyle w:val="Znakapoznpodarou"/>
        </w:rPr>
        <w:footnoteReference w:id="34"/>
      </w:r>
      <w:r w:rsidRPr="006E1E21">
        <w:t xml:space="preserve"> </w:t>
      </w:r>
      <w:r>
        <w:t>působil</w:t>
      </w:r>
      <w:r w:rsidRPr="006E1E21">
        <w:t xml:space="preserve"> v</w:t>
      </w:r>
      <w:r w:rsidR="00E20C93">
        <w:t>e</w:t>
      </w:r>
      <w:r w:rsidRPr="006E1E21">
        <w:t> </w:t>
      </w:r>
      <w:r w:rsidR="00E20C93">
        <w:t>2</w:t>
      </w:r>
      <w:r w:rsidRPr="006E1E21">
        <w:t>. čtvrtletí 202</w:t>
      </w:r>
      <w:r w:rsidR="001F03B2">
        <w:t>6</w:t>
      </w:r>
      <w:r w:rsidRPr="006E1E21">
        <w:t xml:space="preserve"> </w:t>
      </w:r>
      <w:r>
        <w:t xml:space="preserve">na celkové příjmy domácností </w:t>
      </w:r>
      <w:r w:rsidR="00E20C93">
        <w:t>opět</w:t>
      </w:r>
      <w:r w:rsidRPr="006E1E21">
        <w:t xml:space="preserve"> </w:t>
      </w:r>
      <w:r>
        <w:t>negativně</w:t>
      </w:r>
      <w:r w:rsidR="00E20C93">
        <w:t>,</w:t>
      </w:r>
      <w:r>
        <w:t xml:space="preserve"> jako v předchozích </w:t>
      </w:r>
      <w:r w:rsidR="00E20C93">
        <w:t>jedenácti</w:t>
      </w:r>
      <w:r>
        <w:t xml:space="preserve"> čtvrtletích (tj. odvody vládním institucím od domácností rostly rychleji než příjmy domácností od vládních institucí). Podle předběžných údajů také přetrvával negativní vliv salda důchodů z vlastnictví.</w:t>
      </w:r>
    </w:p>
    <w:p w14:paraId="69EE02E4" w14:textId="77777777" w:rsidR="00683166" w:rsidRPr="008F4243" w:rsidRDefault="00683166" w:rsidP="00C056A9">
      <w:pPr>
        <w:pStyle w:val="TabulkaGraf"/>
        <w:keepNext/>
      </w:pPr>
      <w:r w:rsidRPr="008F4243">
        <w:t>Graf 16: Meziroční nominální změna hrubých úspor a výdajů na konečnou spotřebu domácností (v mil. Kč)</w:t>
      </w:r>
    </w:p>
    <w:p w14:paraId="6AF1DA8A" w14:textId="5259F2C9" w:rsidR="00683166" w:rsidRDefault="006B3890" w:rsidP="00683166">
      <w:r w:rsidRPr="006B3890">
        <w:rPr>
          <w:noProof/>
        </w:rPr>
        <w:drawing>
          <wp:inline distT="0" distB="0" distL="0" distR="0" wp14:anchorId="2F4E90FA" wp14:editId="78C5ABBA">
            <wp:extent cx="5042535" cy="2227580"/>
            <wp:effectExtent l="0" t="0" r="5715" b="1270"/>
            <wp:docPr id="142665368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9C7AF" w14:textId="51803F31" w:rsidR="00683166" w:rsidRDefault="00683166" w:rsidP="00683166">
      <w:pPr>
        <w:spacing w:after="120"/>
      </w:pPr>
      <w:r w:rsidRPr="007D6115">
        <w:rPr>
          <w:b/>
        </w:rPr>
        <w:t>Spotřeba domácností</w:t>
      </w:r>
      <w:r w:rsidRPr="007D6115">
        <w:rPr>
          <w:rStyle w:val="Znakapoznpodarou"/>
        </w:rPr>
        <w:footnoteReference w:id="35"/>
      </w:r>
      <w:r w:rsidRPr="007D6115">
        <w:t xml:space="preserve"> </w:t>
      </w:r>
      <w:r w:rsidR="000B7BF1">
        <w:t>v</w:t>
      </w:r>
      <w:r w:rsidR="006B3890">
        <w:t>e</w:t>
      </w:r>
      <w:r w:rsidR="000B7BF1">
        <w:t> </w:t>
      </w:r>
      <w:r w:rsidR="006B3890">
        <w:t>2</w:t>
      </w:r>
      <w:r w:rsidR="000B7BF1">
        <w:t xml:space="preserve">. čtvrtletí 2026 </w:t>
      </w:r>
      <w:r w:rsidRPr="007D6115">
        <w:t xml:space="preserve">meziročně nominálně vzrostla o </w:t>
      </w:r>
      <w:r>
        <w:t>5,</w:t>
      </w:r>
      <w:r w:rsidR="006B3890">
        <w:t>1</w:t>
      </w:r>
      <w:r>
        <w:t> </w:t>
      </w:r>
      <w:r w:rsidRPr="007D6115">
        <w:t>% a reálně byla vyšší o</w:t>
      </w:r>
      <w:r w:rsidR="000B7BF1">
        <w:t> </w:t>
      </w:r>
      <w:r w:rsidR="006B3890">
        <w:t>2,7</w:t>
      </w:r>
      <w:r>
        <w:t> </w:t>
      </w:r>
      <w:r w:rsidRPr="007D6115">
        <w:t>%</w:t>
      </w:r>
      <w:r w:rsidR="00E35119" w:rsidRPr="00E35119">
        <w:rPr>
          <w:vertAlign w:val="superscript"/>
        </w:rPr>
        <w:t>3</w:t>
      </w:r>
      <w:r w:rsidR="006B3890">
        <w:rPr>
          <w:vertAlign w:val="superscript"/>
        </w:rPr>
        <w:t>6</w:t>
      </w:r>
      <w:r w:rsidRPr="007D6115">
        <w:t xml:space="preserve">. Mezičtvrtletně byla spotřeba domácností </w:t>
      </w:r>
      <w:r>
        <w:t xml:space="preserve">reálně </w:t>
      </w:r>
      <w:r w:rsidRPr="007D6115">
        <w:t xml:space="preserve">vyšší o </w:t>
      </w:r>
      <w:r w:rsidR="000B7BF1">
        <w:t>0,</w:t>
      </w:r>
      <w:r w:rsidR="006B3890">
        <w:t>5</w:t>
      </w:r>
      <w:r w:rsidRPr="007D6115">
        <w:t xml:space="preserve"> %</w:t>
      </w:r>
      <w:r w:rsidRPr="007D6115">
        <w:rPr>
          <w:rStyle w:val="Znakapoznpodarou"/>
        </w:rPr>
        <w:footnoteReference w:id="36"/>
      </w:r>
      <w:r w:rsidRPr="007D6115">
        <w:t xml:space="preserve">. </w:t>
      </w:r>
      <w:r>
        <w:t>D</w:t>
      </w:r>
      <w:r w:rsidRPr="007D6115">
        <w:t xml:space="preserve">omácnosti </w:t>
      </w:r>
      <w:r>
        <w:t>již několik čtvrtletí intenzivněji utrácejí</w:t>
      </w:r>
      <w:r w:rsidRPr="007D6115">
        <w:t xml:space="preserve"> (nejen nominálně, ale i reálně)</w:t>
      </w:r>
      <w:r>
        <w:t xml:space="preserve"> a </w:t>
      </w:r>
      <w:r w:rsidRPr="007D6115">
        <w:t xml:space="preserve">jejich celková spotřeba </w:t>
      </w:r>
      <w:r>
        <w:t xml:space="preserve">se tak již vrátila na reálnou </w:t>
      </w:r>
      <w:r w:rsidRPr="007D6115">
        <w:t>úrov</w:t>
      </w:r>
      <w:r>
        <w:t xml:space="preserve">eň </w:t>
      </w:r>
      <w:r w:rsidRPr="007D6115">
        <w:t xml:space="preserve">v období před prvními dopady pandemie covidu, tj. </w:t>
      </w:r>
      <w:r>
        <w:t>k ú</w:t>
      </w:r>
      <w:r w:rsidRPr="007D6115">
        <w:t>rovn</w:t>
      </w:r>
      <w:r>
        <w:t xml:space="preserve">i </w:t>
      </w:r>
      <w:r w:rsidRPr="007D6115">
        <w:t>4. čtvrtletí 2019.</w:t>
      </w:r>
      <w:r w:rsidRPr="00DE6BCD">
        <w:t xml:space="preserve"> </w:t>
      </w:r>
    </w:p>
    <w:p w14:paraId="1E4E5F9D" w14:textId="77777777" w:rsidR="00683166" w:rsidRPr="008F4243" w:rsidRDefault="00683166" w:rsidP="00C056A9">
      <w:pPr>
        <w:pStyle w:val="TabulkaGraf"/>
        <w:keepNext/>
      </w:pPr>
      <w:r w:rsidRPr="008F4243">
        <w:t>Graf 17: Reálný a nominální vývoj spotřeby domácností – 4. čtvrtletí 2019 = 100 (sezónně očištěno)</w:t>
      </w:r>
    </w:p>
    <w:p w14:paraId="3FB6D81C" w14:textId="30346FC6" w:rsidR="00683166" w:rsidRDefault="00CD15B9" w:rsidP="00683166">
      <w:r w:rsidRPr="00CD15B9">
        <w:rPr>
          <w:noProof/>
        </w:rPr>
        <w:drawing>
          <wp:inline distT="0" distB="0" distL="0" distR="0" wp14:anchorId="28C73159" wp14:editId="6EA7A366">
            <wp:extent cx="5007610" cy="2226310"/>
            <wp:effectExtent l="0" t="0" r="2540" b="2540"/>
            <wp:docPr id="1181213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8E59" w14:textId="696C5543" w:rsidR="00683166" w:rsidRDefault="00683166" w:rsidP="00683166">
      <w:pPr>
        <w:spacing w:after="120"/>
      </w:pPr>
      <w:r>
        <w:t>Dynamický rů</w:t>
      </w:r>
      <w:r w:rsidRPr="003F1550">
        <w:t xml:space="preserve">st spotřeby domácností byl </w:t>
      </w:r>
      <w:r>
        <w:t>do</w:t>
      </w:r>
      <w:r w:rsidRPr="003F1550">
        <w:t>provázen</w:t>
      </w:r>
      <w:r>
        <w:t xml:space="preserve"> výrazným </w:t>
      </w:r>
      <w:r w:rsidRPr="003F1550">
        <w:t>meziroční</w:t>
      </w:r>
      <w:r>
        <w:t xml:space="preserve">m nominálním růstem </w:t>
      </w:r>
      <w:r w:rsidRPr="003F1550">
        <w:rPr>
          <w:b/>
        </w:rPr>
        <w:t>hrubých úspor</w:t>
      </w:r>
      <w:r w:rsidRPr="003F1550">
        <w:rPr>
          <w:rStyle w:val="Znakapoznpodarou"/>
        </w:rPr>
        <w:footnoteReference w:id="37"/>
      </w:r>
      <w:r w:rsidRPr="003F1550">
        <w:t xml:space="preserve"> (</w:t>
      </w:r>
      <w:r w:rsidR="0053744C">
        <w:t>5,9</w:t>
      </w:r>
      <w:r w:rsidRPr="003F1550">
        <w:t> %)</w:t>
      </w:r>
      <w:r>
        <w:t xml:space="preserve">. </w:t>
      </w:r>
      <w:r w:rsidR="0076071A">
        <w:t>Jednalo se o relativně výrazný růst</w:t>
      </w:r>
      <w:r w:rsidR="00A04B5E">
        <w:t>, podobný jako v předchozích dvou čtvrtletích</w:t>
      </w:r>
      <w:r w:rsidR="0076071A">
        <w:t xml:space="preserve">. </w:t>
      </w:r>
      <w:r w:rsidRPr="00381BD4">
        <w:rPr>
          <w:b/>
        </w:rPr>
        <w:t>Míra úspor</w:t>
      </w:r>
      <w:r w:rsidRPr="00381BD4">
        <w:rPr>
          <w:rStyle w:val="Znakapoznpodarou"/>
        </w:rPr>
        <w:footnoteReference w:id="38"/>
      </w:r>
      <w:r w:rsidRPr="00381BD4">
        <w:t xml:space="preserve"> </w:t>
      </w:r>
      <w:r>
        <w:t xml:space="preserve">zachycující tendence domácností spořit (ve vazbě na jejich příjmy) </w:t>
      </w:r>
      <w:r w:rsidR="0053744C">
        <w:t xml:space="preserve">mírně rostla </w:t>
      </w:r>
      <w:r w:rsidRPr="00381BD4">
        <w:lastRenderedPageBreak/>
        <w:t>meziročně</w:t>
      </w:r>
      <w:r w:rsidR="0048791D">
        <w:rPr>
          <w:rStyle w:val="Znakapoznpodarou"/>
        </w:rPr>
        <w:footnoteReference w:id="39"/>
      </w:r>
      <w:r w:rsidRPr="00381BD4">
        <w:t xml:space="preserve"> </w:t>
      </w:r>
      <w:r w:rsidR="0048791D">
        <w:t>i mezičtvrtletně</w:t>
      </w:r>
      <w:r w:rsidR="0048791D" w:rsidRPr="00381BD4">
        <w:rPr>
          <w:rStyle w:val="Znakapoznpodarou"/>
        </w:rPr>
        <w:footnoteReference w:id="40"/>
      </w:r>
      <w:r>
        <w:t>. V porovnání s „před-covidovým“ obdobím zůstávala</w:t>
      </w:r>
      <w:r w:rsidRPr="00381BD4">
        <w:t xml:space="preserve"> </w:t>
      </w:r>
      <w:r>
        <w:t xml:space="preserve">míra úspor </w:t>
      </w:r>
      <w:r w:rsidR="00A04B5E">
        <w:t xml:space="preserve">stále </w:t>
      </w:r>
      <w:r w:rsidRPr="00381BD4">
        <w:t>na poměrně vysoké úrovni.</w:t>
      </w:r>
    </w:p>
    <w:p w14:paraId="259AE6EB" w14:textId="77777777" w:rsidR="00683166" w:rsidRDefault="00683166" w:rsidP="00C056A9">
      <w:pPr>
        <w:pStyle w:val="TabulkaGraf"/>
        <w:keepNext/>
      </w:pPr>
      <w:r w:rsidRPr="00CB41C1">
        <w:t>Graf 1</w:t>
      </w:r>
      <w:r>
        <w:t>8</w:t>
      </w:r>
      <w:r w:rsidRPr="00CB41C1">
        <w:t xml:space="preserve">: Míra investic a </w:t>
      </w:r>
      <w:r>
        <w:t xml:space="preserve">míra úspor </w:t>
      </w:r>
      <w:r w:rsidRPr="00CB41C1">
        <w:t>sektoru domácností (v %</w:t>
      </w:r>
      <w:r>
        <w:t>, sezónně očištěno</w:t>
      </w:r>
      <w:r w:rsidRPr="00CB41C1">
        <w:t>)</w:t>
      </w:r>
    </w:p>
    <w:p w14:paraId="42997F24" w14:textId="64210F36" w:rsidR="00683166" w:rsidRPr="00322311" w:rsidRDefault="006B3890" w:rsidP="00683166">
      <w:pPr>
        <w:spacing w:after="120"/>
      </w:pPr>
      <w:r w:rsidRPr="006B3890">
        <w:rPr>
          <w:noProof/>
        </w:rPr>
        <w:drawing>
          <wp:inline distT="0" distB="0" distL="0" distR="0" wp14:anchorId="33381FFB" wp14:editId="2E0DD7EB">
            <wp:extent cx="5038090" cy="2240915"/>
            <wp:effectExtent l="0" t="0" r="0" b="6985"/>
            <wp:docPr id="162009057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F63A5" w14:textId="1C5ED704" w:rsidR="00683166" w:rsidRPr="002F0251" w:rsidRDefault="00683166" w:rsidP="00683166">
      <w:pPr>
        <w:spacing w:after="120"/>
      </w:pPr>
      <w:r w:rsidRPr="009D3DAC">
        <w:t xml:space="preserve">Nominální růst úspor byl provázen </w:t>
      </w:r>
      <w:r w:rsidR="00C54AA7" w:rsidRPr="009D3DAC">
        <w:t>mírným r</w:t>
      </w:r>
      <w:r w:rsidRPr="009D3DAC">
        <w:t>ůstem investiční aktivity domácností. Nominálně meziročně</w:t>
      </w:r>
      <w:r>
        <w:t xml:space="preserve"> investice domácností vzrostly o </w:t>
      </w:r>
      <w:r w:rsidR="000C1BF3">
        <w:t>13,3</w:t>
      </w:r>
      <w:r>
        <w:t> %</w:t>
      </w:r>
      <w:r w:rsidRPr="002F0251">
        <w:rPr>
          <w:rStyle w:val="Znakapoznpodarou"/>
        </w:rPr>
        <w:footnoteReference w:id="41"/>
      </w:r>
      <w:r>
        <w:t>.</w:t>
      </w:r>
      <w:r w:rsidR="00C54AA7">
        <w:t xml:space="preserve"> </w:t>
      </w:r>
      <w:r w:rsidR="000C1BF3" w:rsidRPr="000C1BF3">
        <w:rPr>
          <w:b/>
          <w:bCs/>
        </w:rPr>
        <w:t>M</w:t>
      </w:r>
      <w:r w:rsidRPr="000C1BF3">
        <w:rPr>
          <w:b/>
          <w:bCs/>
        </w:rPr>
        <w:t>íra</w:t>
      </w:r>
      <w:r w:rsidRPr="002F0251">
        <w:rPr>
          <w:b/>
        </w:rPr>
        <w:t> investic</w:t>
      </w:r>
      <w:r w:rsidRPr="002F0251">
        <w:t xml:space="preserve"> </w:t>
      </w:r>
      <w:r w:rsidR="000C1BF3">
        <w:t xml:space="preserve">tak </w:t>
      </w:r>
      <w:r w:rsidR="00C54AA7">
        <w:t xml:space="preserve">naznačovala </w:t>
      </w:r>
      <w:r w:rsidR="000C1BF3">
        <w:t>zvýšenou</w:t>
      </w:r>
      <w:r w:rsidR="00C54AA7">
        <w:t xml:space="preserve"> ochot</w:t>
      </w:r>
      <w:r w:rsidR="000C1BF3">
        <w:t>u</w:t>
      </w:r>
      <w:r w:rsidR="00C54AA7">
        <w:t xml:space="preserve"> domácností více investovat. Míra investic </w:t>
      </w:r>
      <w:r w:rsidRPr="002F0251">
        <w:t xml:space="preserve">dosahovala hodnoty </w:t>
      </w:r>
      <w:r w:rsidR="000C1BF3">
        <w:t>10,6</w:t>
      </w:r>
      <w:r>
        <w:t> </w:t>
      </w:r>
      <w:r w:rsidRPr="002F0251">
        <w:t>%</w:t>
      </w:r>
      <w:r w:rsidR="00C54AA7" w:rsidRPr="00D715F5">
        <w:rPr>
          <w:rStyle w:val="Znakapoznpodarou"/>
        </w:rPr>
        <w:footnoteReference w:id="42"/>
      </w:r>
      <w:r>
        <w:t xml:space="preserve">, což bylo </w:t>
      </w:r>
      <w:r w:rsidR="000C1BF3">
        <w:t>o 0,</w:t>
      </w:r>
      <w:r w:rsidR="006123C2">
        <w:t>8</w:t>
      </w:r>
      <w:r w:rsidR="000C1BF3">
        <w:t xml:space="preserve"> p.b. víc než </w:t>
      </w:r>
      <w:r>
        <w:t>před rokem</w:t>
      </w:r>
      <w:r w:rsidR="00C54AA7">
        <w:t>. Mezičtvrtletně</w:t>
      </w:r>
      <w:r w:rsidRPr="002F0251">
        <w:rPr>
          <w:rStyle w:val="Znakapoznpodarou"/>
        </w:rPr>
        <w:footnoteReference w:id="43"/>
      </w:r>
      <w:r>
        <w:t xml:space="preserve"> </w:t>
      </w:r>
      <w:r w:rsidR="00C54AA7">
        <w:t xml:space="preserve">byla míra investic </w:t>
      </w:r>
      <w:r w:rsidR="000C1BF3">
        <w:t>vyšší o 0,4 p.b.</w:t>
      </w:r>
      <w:r w:rsidR="00C54AA7">
        <w:t xml:space="preserve"> </w:t>
      </w:r>
      <w:r w:rsidRPr="002F0251">
        <w:t xml:space="preserve"> </w:t>
      </w:r>
    </w:p>
    <w:p w14:paraId="048E6313" w14:textId="6AB77FBA" w:rsidR="00683166" w:rsidRDefault="00683166" w:rsidP="00683166">
      <w:pPr>
        <w:spacing w:after="60"/>
        <w:rPr>
          <w:spacing w:val="-2"/>
        </w:rPr>
      </w:pPr>
      <w:r w:rsidRPr="00D042D4">
        <w:rPr>
          <w:b/>
          <w:spacing w:val="-2"/>
        </w:rPr>
        <w:t xml:space="preserve">Celková finanční situace </w:t>
      </w:r>
      <w:r w:rsidRPr="00D042D4">
        <w:rPr>
          <w:spacing w:val="-2"/>
        </w:rPr>
        <w:t>sektoru domácností byla v</w:t>
      </w:r>
      <w:r w:rsidR="0068037D" w:rsidRPr="00D042D4">
        <w:rPr>
          <w:spacing w:val="-2"/>
        </w:rPr>
        <w:t>e</w:t>
      </w:r>
      <w:r w:rsidR="00051848" w:rsidRPr="00D042D4">
        <w:rPr>
          <w:spacing w:val="-2"/>
        </w:rPr>
        <w:t xml:space="preserve"> </w:t>
      </w:r>
      <w:r w:rsidR="0068037D" w:rsidRPr="00D042D4">
        <w:rPr>
          <w:spacing w:val="-2"/>
        </w:rPr>
        <w:t>2</w:t>
      </w:r>
      <w:r w:rsidRPr="00D042D4">
        <w:rPr>
          <w:spacing w:val="-2"/>
        </w:rPr>
        <w:t>. čtvrtletí 202</w:t>
      </w:r>
      <w:r w:rsidR="00051848" w:rsidRPr="00D042D4">
        <w:rPr>
          <w:spacing w:val="-2"/>
        </w:rPr>
        <w:t>6</w:t>
      </w:r>
      <w:r w:rsidRPr="00D042D4">
        <w:rPr>
          <w:spacing w:val="-2"/>
        </w:rPr>
        <w:t xml:space="preserve"> velmi podobná situaci </w:t>
      </w:r>
      <w:r w:rsidR="00051848" w:rsidRPr="00D042D4">
        <w:rPr>
          <w:spacing w:val="-2"/>
        </w:rPr>
        <w:t>před rokem</w:t>
      </w:r>
      <w:r w:rsidRPr="00D042D4">
        <w:rPr>
          <w:spacing w:val="-2"/>
        </w:rPr>
        <w:t>.</w:t>
      </w:r>
      <w:r w:rsidRPr="000D56CB">
        <w:rPr>
          <w:spacing w:val="-2"/>
        </w:rPr>
        <w:t xml:space="preserve"> </w:t>
      </w:r>
      <w:r>
        <w:rPr>
          <w:spacing w:val="-2"/>
        </w:rPr>
        <w:t>Z</w:t>
      </w:r>
      <w:r w:rsidRPr="000D56CB">
        <w:rPr>
          <w:spacing w:val="-2"/>
        </w:rPr>
        <w:t xml:space="preserve">výšení </w:t>
      </w:r>
      <w:r w:rsidR="006123C2">
        <w:rPr>
          <w:spacing w:val="-2"/>
        </w:rPr>
        <w:t>mezd</w:t>
      </w:r>
      <w:r w:rsidRPr="000D56CB">
        <w:rPr>
          <w:spacing w:val="-2"/>
        </w:rPr>
        <w:t xml:space="preserve"> a důchodů z podnikání</w:t>
      </w:r>
      <w:r w:rsidR="006123C2" w:rsidRPr="000D56CB">
        <w:rPr>
          <w:spacing w:val="-2"/>
        </w:rPr>
        <w:t xml:space="preserve"> </w:t>
      </w:r>
      <w:r w:rsidRPr="000D56CB">
        <w:rPr>
          <w:spacing w:val="-2"/>
        </w:rPr>
        <w:t xml:space="preserve">bylo </w:t>
      </w:r>
      <w:r>
        <w:rPr>
          <w:spacing w:val="-2"/>
        </w:rPr>
        <w:t xml:space="preserve">sice </w:t>
      </w:r>
      <w:r w:rsidRPr="000D56CB">
        <w:rPr>
          <w:spacing w:val="-2"/>
        </w:rPr>
        <w:t xml:space="preserve">doprovázeno vyšší spotřebou domácností </w:t>
      </w:r>
      <w:r w:rsidR="0069524E">
        <w:rPr>
          <w:spacing w:val="-2"/>
        </w:rPr>
        <w:t>i</w:t>
      </w:r>
      <w:r w:rsidR="00051848">
        <w:rPr>
          <w:spacing w:val="-2"/>
        </w:rPr>
        <w:t> mírnou</w:t>
      </w:r>
      <w:r w:rsidRPr="000D56CB">
        <w:rPr>
          <w:spacing w:val="-2"/>
        </w:rPr>
        <w:t xml:space="preserve"> investiční aktivitou</w:t>
      </w:r>
      <w:r>
        <w:rPr>
          <w:spacing w:val="-2"/>
        </w:rPr>
        <w:t>, ale d</w:t>
      </w:r>
      <w:r w:rsidRPr="000D56CB">
        <w:rPr>
          <w:spacing w:val="-2"/>
        </w:rPr>
        <w:t xml:space="preserve">omácnosti </w:t>
      </w:r>
      <w:r>
        <w:rPr>
          <w:spacing w:val="-2"/>
        </w:rPr>
        <w:t xml:space="preserve">měly </w:t>
      </w:r>
      <w:r w:rsidRPr="000D56CB">
        <w:rPr>
          <w:spacing w:val="-2"/>
        </w:rPr>
        <w:t xml:space="preserve">stále dostatek volných prostředků, které mohly poskytovat ve formě půjček ostatním sektorům. Ukazatel </w:t>
      </w:r>
      <w:r w:rsidRPr="000D56CB">
        <w:rPr>
          <w:b/>
          <w:spacing w:val="-2"/>
        </w:rPr>
        <w:t>čistých půjček</w:t>
      </w:r>
      <w:r w:rsidRPr="000D56CB">
        <w:rPr>
          <w:rStyle w:val="Znakapoznpodarou"/>
          <w:spacing w:val="-2"/>
        </w:rPr>
        <w:footnoteReference w:id="44"/>
      </w:r>
      <w:r w:rsidRPr="000D56CB">
        <w:rPr>
          <w:spacing w:val="-2"/>
        </w:rPr>
        <w:t xml:space="preserve"> se udržoval na relativně vysoké úrovni</w:t>
      </w:r>
      <w:r w:rsidR="003C25EC">
        <w:rPr>
          <w:spacing w:val="-2"/>
        </w:rPr>
        <w:t xml:space="preserve">, ale </w:t>
      </w:r>
      <w:r w:rsidRPr="000D56CB">
        <w:rPr>
          <w:spacing w:val="-2"/>
        </w:rPr>
        <w:t xml:space="preserve">v porovnáním s předchozím rokem </w:t>
      </w:r>
      <w:r>
        <w:rPr>
          <w:spacing w:val="-2"/>
        </w:rPr>
        <w:t xml:space="preserve">mírně </w:t>
      </w:r>
      <w:r w:rsidR="003C25EC">
        <w:rPr>
          <w:spacing w:val="-2"/>
        </w:rPr>
        <w:t>klesl</w:t>
      </w:r>
      <w:r w:rsidRPr="000D56CB">
        <w:rPr>
          <w:spacing w:val="-2"/>
        </w:rPr>
        <w:t xml:space="preserve">. </w:t>
      </w:r>
    </w:p>
    <w:p w14:paraId="657B70DE" w14:textId="77777777" w:rsidR="00683166" w:rsidRDefault="00683166" w:rsidP="00C056A9">
      <w:pPr>
        <w:pStyle w:val="TabulkaGraf"/>
        <w:keepNext/>
      </w:pPr>
      <w:r w:rsidRPr="00CB41C1">
        <w:t>Graf 1</w:t>
      </w:r>
      <w:r>
        <w:t>9</w:t>
      </w:r>
      <w:r w:rsidRPr="00CB41C1">
        <w:t xml:space="preserve">: </w:t>
      </w:r>
      <w:r w:rsidRPr="0086484F">
        <w:t>Roz</w:t>
      </w:r>
      <w:r>
        <w:t>klad</w:t>
      </w:r>
      <w:r w:rsidRPr="0086484F">
        <w:t xml:space="preserve"> meziroční změny čistých půjček domácností (v mil. Kč)</w:t>
      </w:r>
    </w:p>
    <w:p w14:paraId="4420DC5E" w14:textId="77777777" w:rsidR="009752FC" w:rsidRDefault="009752FC" w:rsidP="00683166">
      <w:r w:rsidRPr="009752FC">
        <w:rPr>
          <w:noProof/>
        </w:rPr>
        <w:drawing>
          <wp:inline distT="0" distB="0" distL="0" distR="0" wp14:anchorId="5C0F70DF" wp14:editId="10F8134F">
            <wp:extent cx="5038090" cy="2227580"/>
            <wp:effectExtent l="0" t="0" r="0" b="1270"/>
            <wp:docPr id="143613032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5F1DA" w14:textId="3E4A5161" w:rsidR="00683166" w:rsidRPr="005B7407" w:rsidRDefault="00683166" w:rsidP="00683166">
      <w:r>
        <w:br w:type="page"/>
      </w:r>
    </w:p>
    <w:p w14:paraId="383C260A" w14:textId="77777777" w:rsidR="00683166" w:rsidRPr="003C00B9" w:rsidRDefault="00683166" w:rsidP="00683166">
      <w:pPr>
        <w:pStyle w:val="Nadpis2"/>
      </w:pPr>
      <w:r w:rsidRPr="00AB35E7">
        <w:lastRenderedPageBreak/>
        <w:t>Finanční vztahy české ekonomiky se zahraničím (s ner</w:t>
      </w:r>
      <w:r w:rsidRPr="003C00B9">
        <w:t>ezidenty)</w:t>
      </w:r>
    </w:p>
    <w:p w14:paraId="768C3269" w14:textId="7BCAFF09" w:rsidR="00683166" w:rsidRPr="00C64473" w:rsidRDefault="00683166" w:rsidP="00683166">
      <w:pPr>
        <w:spacing w:after="120"/>
        <w:rPr>
          <w:spacing w:val="-2"/>
        </w:rPr>
      </w:pPr>
      <w:r w:rsidRPr="00C64473">
        <w:rPr>
          <w:spacing w:val="-2"/>
        </w:rPr>
        <w:t>Pozice české ekonomiky vůči zahraničí byla v</w:t>
      </w:r>
      <w:r w:rsidR="005F724B">
        <w:rPr>
          <w:spacing w:val="-2"/>
        </w:rPr>
        <w:t>e</w:t>
      </w:r>
      <w:r w:rsidRPr="00C64473">
        <w:rPr>
          <w:spacing w:val="-2"/>
        </w:rPr>
        <w:t> </w:t>
      </w:r>
      <w:r w:rsidR="005F724B">
        <w:rPr>
          <w:spacing w:val="-2"/>
        </w:rPr>
        <w:t>2</w:t>
      </w:r>
      <w:r w:rsidRPr="00C64473">
        <w:rPr>
          <w:spacing w:val="-2"/>
        </w:rPr>
        <w:t>. čtvrtletí 202</w:t>
      </w:r>
      <w:r w:rsidR="007C1E85">
        <w:rPr>
          <w:spacing w:val="-2"/>
        </w:rPr>
        <w:t>6</w:t>
      </w:r>
      <w:r w:rsidRPr="00C64473">
        <w:rPr>
          <w:spacing w:val="-2"/>
        </w:rPr>
        <w:t>, podobně jako většin</w:t>
      </w:r>
      <w:r>
        <w:rPr>
          <w:spacing w:val="-2"/>
        </w:rPr>
        <w:t>a</w:t>
      </w:r>
      <w:r w:rsidRPr="00C64473">
        <w:rPr>
          <w:spacing w:val="-2"/>
        </w:rPr>
        <w:t xml:space="preserve"> čtvrtletí od</w:t>
      </w:r>
      <w:r>
        <w:rPr>
          <w:spacing w:val="-2"/>
        </w:rPr>
        <w:t> </w:t>
      </w:r>
      <w:r w:rsidRPr="00C64473">
        <w:rPr>
          <w:spacing w:val="-2"/>
        </w:rPr>
        <w:t xml:space="preserve">začátku roku 2023, ovlivněna zejména výrazně kladnou bilancí zahraničního obchodu. Nicméně v opačném směru působil podle předběžných údajů </w:t>
      </w:r>
      <w:r>
        <w:rPr>
          <w:spacing w:val="-2"/>
        </w:rPr>
        <w:t xml:space="preserve">deficit </w:t>
      </w:r>
      <w:r w:rsidRPr="00C64473">
        <w:rPr>
          <w:spacing w:val="-2"/>
        </w:rPr>
        <w:t>prvotních důchodů (</w:t>
      </w:r>
      <w:r w:rsidR="00B7297D">
        <w:rPr>
          <w:spacing w:val="-2"/>
        </w:rPr>
        <w:t xml:space="preserve">nicméně </w:t>
      </w:r>
      <w:r>
        <w:rPr>
          <w:spacing w:val="-2"/>
        </w:rPr>
        <w:t xml:space="preserve">výrazně </w:t>
      </w:r>
      <w:r w:rsidR="00B7297D">
        <w:rPr>
          <w:spacing w:val="-2"/>
        </w:rPr>
        <w:t>m</w:t>
      </w:r>
      <w:r w:rsidR="00677B61">
        <w:rPr>
          <w:spacing w:val="-2"/>
        </w:rPr>
        <w:t>é</w:t>
      </w:r>
      <w:r w:rsidR="00B7297D">
        <w:rPr>
          <w:spacing w:val="-2"/>
        </w:rPr>
        <w:t>ně</w:t>
      </w:r>
      <w:r>
        <w:rPr>
          <w:spacing w:val="-2"/>
        </w:rPr>
        <w:t xml:space="preserve"> než </w:t>
      </w:r>
      <w:r w:rsidRPr="00C64473">
        <w:rPr>
          <w:spacing w:val="-2"/>
        </w:rPr>
        <w:t>ve stejném čtvrtletí roku</w:t>
      </w:r>
      <w:r>
        <w:rPr>
          <w:spacing w:val="-2"/>
        </w:rPr>
        <w:t xml:space="preserve"> 202</w:t>
      </w:r>
      <w:r w:rsidR="00E25DF5">
        <w:rPr>
          <w:spacing w:val="-2"/>
        </w:rPr>
        <w:t>5</w:t>
      </w:r>
      <w:r w:rsidRPr="00C64473">
        <w:rPr>
          <w:spacing w:val="-2"/>
        </w:rPr>
        <w:t xml:space="preserve">) a také </w:t>
      </w:r>
      <w:r>
        <w:rPr>
          <w:spacing w:val="-2"/>
        </w:rPr>
        <w:t xml:space="preserve">deficit </w:t>
      </w:r>
      <w:r w:rsidRPr="00C64473">
        <w:rPr>
          <w:spacing w:val="-2"/>
        </w:rPr>
        <w:t xml:space="preserve">druhotného rozdělení. </w:t>
      </w:r>
    </w:p>
    <w:p w14:paraId="7B76CBBE" w14:textId="64EBE639" w:rsidR="00683166" w:rsidRDefault="00683166" w:rsidP="00683166">
      <w:pPr>
        <w:spacing w:after="120"/>
      </w:pPr>
      <w:r>
        <w:t xml:space="preserve">Bilance zahraničního obchodu v běžných cenách patřila v kontextu posledních let mezi </w:t>
      </w:r>
      <w:r w:rsidR="001E5BC7">
        <w:t>mírně nižší (podobně jako v 1. čtvrtletí tohoto roku)</w:t>
      </w:r>
      <w:r>
        <w:t xml:space="preserve">. </w:t>
      </w:r>
      <w:r>
        <w:rPr>
          <w:b/>
        </w:rPr>
        <w:t>S</w:t>
      </w:r>
      <w:r w:rsidRPr="00DC300F">
        <w:rPr>
          <w:b/>
        </w:rPr>
        <w:t>aldo zahraničního obchodu</w:t>
      </w:r>
      <w:r w:rsidRPr="00DC300F">
        <w:t xml:space="preserve"> </w:t>
      </w:r>
      <w:r>
        <w:t xml:space="preserve">dosáhlo </w:t>
      </w:r>
      <w:r w:rsidRPr="00DC300F">
        <w:t>v</w:t>
      </w:r>
      <w:r w:rsidR="001E5BC7">
        <w:t>e</w:t>
      </w:r>
      <w:r>
        <w:t> </w:t>
      </w:r>
      <w:r w:rsidR="001E5BC7">
        <w:t>2</w:t>
      </w:r>
      <w:r w:rsidRPr="00DC300F">
        <w:t>.</w:t>
      </w:r>
      <w:r>
        <w:t> </w:t>
      </w:r>
      <w:r w:rsidRPr="00DC300F">
        <w:t>čtvrtletí</w:t>
      </w:r>
      <w:r>
        <w:t> </w:t>
      </w:r>
      <w:r w:rsidRPr="00D05A77">
        <w:t>202</w:t>
      </w:r>
      <w:r w:rsidR="00776D53">
        <w:t>6</w:t>
      </w:r>
      <w:r w:rsidRPr="00D05A77">
        <w:t xml:space="preserve"> hodnoty </w:t>
      </w:r>
      <w:r w:rsidR="001E5BC7">
        <w:t>109,1</w:t>
      </w:r>
      <w:r>
        <w:t xml:space="preserve"> </w:t>
      </w:r>
      <w:r w:rsidRPr="00D05A77">
        <w:t>mld. Kč</w:t>
      </w:r>
      <w:r w:rsidR="00776D53">
        <w:t xml:space="preserve">, což bylo </w:t>
      </w:r>
      <w:r w:rsidRPr="00D05A77">
        <w:t>o </w:t>
      </w:r>
      <w:r w:rsidR="001E5BC7">
        <w:t>20,4</w:t>
      </w:r>
      <w:r w:rsidR="00776D53">
        <w:t xml:space="preserve"> </w:t>
      </w:r>
      <w:r w:rsidRPr="00D05A77">
        <w:t xml:space="preserve">mld. Kč </w:t>
      </w:r>
      <w:r w:rsidR="00776D53">
        <w:t>méně</w:t>
      </w:r>
      <w:r w:rsidRPr="00D05A77">
        <w:t xml:space="preserve"> než v</w:t>
      </w:r>
      <w:r w:rsidR="001E5BC7">
        <w:t>e</w:t>
      </w:r>
      <w:r w:rsidRPr="00D05A77">
        <w:t xml:space="preserve"> </w:t>
      </w:r>
      <w:r w:rsidR="001E5BC7">
        <w:t>2</w:t>
      </w:r>
      <w:r>
        <w:t>. čtvrtletí roku</w:t>
      </w:r>
      <w:r w:rsidRPr="00D05A77">
        <w:t xml:space="preserve"> 202</w:t>
      </w:r>
      <w:r w:rsidR="00776D53">
        <w:t>5</w:t>
      </w:r>
      <w:r>
        <w:t xml:space="preserve">, a to zejména </w:t>
      </w:r>
      <w:r w:rsidR="00776D53">
        <w:t>kvůli</w:t>
      </w:r>
      <w:r>
        <w:t xml:space="preserve"> rychlejšímu nominálnímu tempu růstu </w:t>
      </w:r>
      <w:r w:rsidR="00776D53">
        <w:t>dovozu</w:t>
      </w:r>
      <w:r>
        <w:t xml:space="preserve"> než růstu </w:t>
      </w:r>
      <w:r w:rsidR="008456A1">
        <w:t>vý</w:t>
      </w:r>
      <w:r>
        <w:t xml:space="preserve">vozu. </w:t>
      </w:r>
    </w:p>
    <w:p w14:paraId="177343EB" w14:textId="632F6D48" w:rsidR="00683166" w:rsidRPr="000E333D" w:rsidRDefault="00683166" w:rsidP="00683166">
      <w:pPr>
        <w:spacing w:after="120"/>
      </w:pPr>
      <w:r w:rsidRPr="001E70A0">
        <w:t xml:space="preserve">Reálně </w:t>
      </w:r>
      <w:r>
        <w:rPr>
          <w:b/>
        </w:rPr>
        <w:t>byl v</w:t>
      </w:r>
      <w:r w:rsidRPr="00A75B4D">
        <w:rPr>
          <w:b/>
        </w:rPr>
        <w:t>ývoz zboží a služeb</w:t>
      </w:r>
      <w:r w:rsidRPr="00A75B4D">
        <w:rPr>
          <w:rStyle w:val="Znakapoznpodarou"/>
        </w:rPr>
        <w:footnoteReference w:id="45"/>
      </w:r>
      <w:r w:rsidRPr="00A75B4D">
        <w:t xml:space="preserve"> meziročně vyšší o </w:t>
      </w:r>
      <w:r w:rsidR="00CE4D66">
        <w:t>3</w:t>
      </w:r>
      <w:r w:rsidR="007D7D39">
        <w:t>,3</w:t>
      </w:r>
      <w:r w:rsidRPr="00A75B4D">
        <w:t> %</w:t>
      </w:r>
      <w:r>
        <w:t xml:space="preserve">, což </w:t>
      </w:r>
      <w:r w:rsidR="00CE4D66">
        <w:t>byl</w:t>
      </w:r>
      <w:r>
        <w:t xml:space="preserve"> růst</w:t>
      </w:r>
      <w:r w:rsidR="00CE4D66">
        <w:t xml:space="preserve"> podobný jako v roce 2025 </w:t>
      </w:r>
      <w:r w:rsidR="008456A1">
        <w:t>(</w:t>
      </w:r>
      <w:r w:rsidR="00CE4D66">
        <w:t>tentokrát však více bržděný růstem cen</w:t>
      </w:r>
      <w:r w:rsidR="008456A1">
        <w:t>)</w:t>
      </w:r>
      <w:r>
        <w:t xml:space="preserve">. Mezičtvrtletně vzrostl vývoz </w:t>
      </w:r>
      <w:r w:rsidR="00CE4D66">
        <w:t xml:space="preserve">reálně </w:t>
      </w:r>
      <w:r>
        <w:t>o</w:t>
      </w:r>
      <w:r w:rsidR="00C75430">
        <w:t xml:space="preserve"> </w:t>
      </w:r>
      <w:r w:rsidR="00CE4D66">
        <w:t>0</w:t>
      </w:r>
      <w:r w:rsidR="00C75430">
        <w:t>,9 </w:t>
      </w:r>
      <w:r>
        <w:t xml:space="preserve">%. </w:t>
      </w:r>
      <w:r w:rsidRPr="00BF2999">
        <w:rPr>
          <w:b/>
          <w:bCs/>
        </w:rPr>
        <w:t>D</w:t>
      </w:r>
      <w:r w:rsidRPr="00A75B4D">
        <w:rPr>
          <w:b/>
        </w:rPr>
        <w:t>ovoz</w:t>
      </w:r>
      <w:r w:rsidR="00CE4D66">
        <w:rPr>
          <w:b/>
        </w:rPr>
        <w:t> </w:t>
      </w:r>
      <w:r w:rsidRPr="00A75B4D">
        <w:rPr>
          <w:b/>
        </w:rPr>
        <w:t>zboží a</w:t>
      </w:r>
      <w:r w:rsidR="00E660F6">
        <w:rPr>
          <w:b/>
        </w:rPr>
        <w:t> </w:t>
      </w:r>
      <w:r w:rsidRPr="00A75B4D">
        <w:rPr>
          <w:b/>
        </w:rPr>
        <w:t>služeb</w:t>
      </w:r>
      <w:r w:rsidRPr="00A75B4D">
        <w:rPr>
          <w:rStyle w:val="Znakapoznpodarou"/>
        </w:rPr>
        <w:footnoteReference w:id="46"/>
      </w:r>
      <w:r w:rsidRPr="00A75B4D">
        <w:rPr>
          <w:b/>
        </w:rPr>
        <w:t xml:space="preserve"> </w:t>
      </w:r>
      <w:r>
        <w:rPr>
          <w:bCs/>
        </w:rPr>
        <w:t xml:space="preserve">rostl </w:t>
      </w:r>
      <w:r w:rsidRPr="008E5AB0">
        <w:t xml:space="preserve">reálně </w:t>
      </w:r>
      <w:r>
        <w:t xml:space="preserve">rychleji: </w:t>
      </w:r>
      <w:r w:rsidRPr="00A75B4D">
        <w:t xml:space="preserve">meziročně o </w:t>
      </w:r>
      <w:r w:rsidR="00CE4D66">
        <w:t>3,7</w:t>
      </w:r>
      <w:r w:rsidRPr="00A75B4D">
        <w:t> %</w:t>
      </w:r>
      <w:r w:rsidR="00E660F6">
        <w:t xml:space="preserve"> (navíc růst cen byl vyšší než v případě vývozu), ale </w:t>
      </w:r>
      <w:r w:rsidRPr="00A75B4D">
        <w:t xml:space="preserve">mezičtvrtletně </w:t>
      </w:r>
      <w:r w:rsidR="00E660F6">
        <w:t>stagnoval</w:t>
      </w:r>
      <w:r>
        <w:t>.</w:t>
      </w:r>
      <w:r w:rsidRPr="000E333D">
        <w:t xml:space="preserve"> </w:t>
      </w:r>
      <w:r w:rsidR="00C75430">
        <w:t>Od</w:t>
      </w:r>
      <w:r w:rsidR="00214368">
        <w:t> </w:t>
      </w:r>
      <w:r w:rsidR="00C75430">
        <w:t>konce roku 2024 tak v</w:t>
      </w:r>
      <w:r>
        <w:t xml:space="preserve"> meziročním srovnání </w:t>
      </w:r>
      <w:r w:rsidR="00C75430">
        <w:t>pokračuje rychlejší růst</w:t>
      </w:r>
      <w:r>
        <w:t xml:space="preserve"> dovoz</w:t>
      </w:r>
      <w:r w:rsidR="00C75430">
        <w:t xml:space="preserve">u nad vývozem. </w:t>
      </w:r>
    </w:p>
    <w:p w14:paraId="3C0146A5" w14:textId="77777777" w:rsidR="00683166" w:rsidRDefault="00683166" w:rsidP="00C056A9">
      <w:pPr>
        <w:pStyle w:val="TabulkaGraf"/>
        <w:keepNext/>
      </w:pPr>
      <w:r w:rsidRPr="00CB41C1">
        <w:t>Graf </w:t>
      </w:r>
      <w:r>
        <w:t>20:</w:t>
      </w:r>
      <w:r w:rsidRPr="0086484F">
        <w:t xml:space="preserve"> </w:t>
      </w:r>
      <w:r w:rsidRPr="0059443E">
        <w:t>Saldo běžného účtu platební bilance z pohledu národního hospodářství (v mil. Kč)</w:t>
      </w:r>
    </w:p>
    <w:p w14:paraId="17FFEB3B" w14:textId="3FA169C8" w:rsidR="00683166" w:rsidRDefault="005F724B" w:rsidP="00FC30BF">
      <w:pPr>
        <w:spacing w:after="120"/>
      </w:pPr>
      <w:r w:rsidRPr="005F724B">
        <w:rPr>
          <w:noProof/>
        </w:rPr>
        <w:drawing>
          <wp:inline distT="0" distB="0" distL="0" distR="0" wp14:anchorId="7F706769" wp14:editId="1AF838A2">
            <wp:extent cx="5177790" cy="2198370"/>
            <wp:effectExtent l="0" t="0" r="3810" b="0"/>
            <wp:docPr id="156494010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FEE41" w14:textId="77777777" w:rsidR="00683166" w:rsidRDefault="00683166" w:rsidP="00C056A9">
      <w:pPr>
        <w:pStyle w:val="TabulkaGraf"/>
        <w:keepNext/>
      </w:pPr>
      <w:r w:rsidRPr="00CB41C1">
        <w:t>Graf </w:t>
      </w:r>
      <w:r>
        <w:t>21:</w:t>
      </w:r>
      <w:r w:rsidRPr="0086484F">
        <w:t xml:space="preserve"> </w:t>
      </w:r>
      <w:r w:rsidRPr="00351694">
        <w:t>Rozklad meziroční změny salda důch</w:t>
      </w:r>
      <w:r>
        <w:t>odů z vlastnictví se zahraničím</w:t>
      </w:r>
      <w:r w:rsidRPr="00351694">
        <w:t xml:space="preserve"> (v mil. Kč)</w:t>
      </w:r>
    </w:p>
    <w:p w14:paraId="429419D1" w14:textId="5622A5E9" w:rsidR="00683166" w:rsidRDefault="00991660" w:rsidP="00683166">
      <w:pPr>
        <w:spacing w:after="240"/>
      </w:pPr>
      <w:r w:rsidRPr="00991660">
        <w:rPr>
          <w:noProof/>
        </w:rPr>
        <w:drawing>
          <wp:inline distT="0" distB="0" distL="0" distR="0" wp14:anchorId="3F6B996C" wp14:editId="034701F4">
            <wp:extent cx="5193030" cy="2160270"/>
            <wp:effectExtent l="0" t="0" r="7620" b="0"/>
            <wp:docPr id="118970284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F3779" w14:textId="335501DD" w:rsidR="00683166" w:rsidRPr="005E0018" w:rsidRDefault="00683166" w:rsidP="00683166">
      <w:pPr>
        <w:spacing w:after="120"/>
        <w:rPr>
          <w:highlight w:val="yellow"/>
        </w:rPr>
      </w:pPr>
      <w:r>
        <w:lastRenderedPageBreak/>
        <w:t xml:space="preserve">Předběžné údaje naznačují </w:t>
      </w:r>
      <w:r w:rsidR="00660072">
        <w:t>pozitivní</w:t>
      </w:r>
      <w:r>
        <w:t xml:space="preserve"> vliv </w:t>
      </w:r>
      <w:r w:rsidRPr="00570FA8">
        <w:rPr>
          <w:b/>
        </w:rPr>
        <w:t>sald</w:t>
      </w:r>
      <w:r>
        <w:rPr>
          <w:b/>
        </w:rPr>
        <w:t>a</w:t>
      </w:r>
      <w:r w:rsidRPr="00570FA8">
        <w:rPr>
          <w:b/>
        </w:rPr>
        <w:t xml:space="preserve"> důchodů z vlastnictví</w:t>
      </w:r>
      <w:r w:rsidRPr="00570FA8">
        <w:t xml:space="preserve"> </w:t>
      </w:r>
      <w:r>
        <w:t xml:space="preserve">na celkovou </w:t>
      </w:r>
      <w:r w:rsidRPr="00570FA8">
        <w:t>změnu salda běžného účtu platební bilance</w:t>
      </w:r>
      <w:r>
        <w:t xml:space="preserve"> v porovnání s předchozím rokem, a to zejména kvůli </w:t>
      </w:r>
      <w:r w:rsidR="006A0467">
        <w:t xml:space="preserve">velmi výraznému </w:t>
      </w:r>
      <w:r>
        <w:t xml:space="preserve">relativnímu </w:t>
      </w:r>
      <w:r w:rsidR="00660072">
        <w:t>zlepšení</w:t>
      </w:r>
      <w:r>
        <w:t xml:space="preserve"> salda reinvestovaných zisků</w:t>
      </w:r>
      <w:r w:rsidRPr="00570FA8">
        <w:t>.</w:t>
      </w:r>
      <w:r>
        <w:t xml:space="preserve"> </w:t>
      </w:r>
    </w:p>
    <w:p w14:paraId="4AF000E9" w14:textId="2F85DF47" w:rsidR="00683166" w:rsidRDefault="00683166" w:rsidP="00683166">
      <w:pPr>
        <w:spacing w:after="120"/>
      </w:pPr>
      <w:r w:rsidRPr="00601E04">
        <w:t>Domácí ekonomika v</w:t>
      </w:r>
      <w:r w:rsidR="006A0467">
        <w:t>e</w:t>
      </w:r>
      <w:r w:rsidRPr="00601E04">
        <w:t xml:space="preserve"> </w:t>
      </w:r>
      <w:r w:rsidR="006A0467">
        <w:t>2</w:t>
      </w:r>
      <w:r w:rsidRPr="00601E04">
        <w:t>. čtvrtletí 202</w:t>
      </w:r>
      <w:r w:rsidR="00C20725">
        <w:t>6</w:t>
      </w:r>
      <w:r w:rsidRPr="00601E04">
        <w:t xml:space="preserve"> skončila v čisté kladné </w:t>
      </w:r>
      <w:r w:rsidRPr="00601E04">
        <w:rPr>
          <w:b/>
        </w:rPr>
        <w:t>pozici vůči zahraničí</w:t>
      </w:r>
      <w:r w:rsidRPr="00601E04">
        <w:rPr>
          <w:rStyle w:val="Znakapoznpodarou"/>
        </w:rPr>
        <w:footnoteReference w:id="47"/>
      </w:r>
      <w:r w:rsidRPr="00601E04">
        <w:t xml:space="preserve">. Čisté půjčky ekonomiky jako celku činily </w:t>
      </w:r>
      <w:r>
        <w:t xml:space="preserve">vůči zahraničí </w:t>
      </w:r>
      <w:r w:rsidR="006A0467">
        <w:t>34,3</w:t>
      </w:r>
      <w:r w:rsidRPr="00601E04">
        <w:t> mld. Kč</w:t>
      </w:r>
      <w:r>
        <w:t>, což byl</w:t>
      </w:r>
      <w:r w:rsidR="002B06B8">
        <w:t>o</w:t>
      </w:r>
      <w:r>
        <w:t xml:space="preserve"> o </w:t>
      </w:r>
      <w:r w:rsidR="002B06B8">
        <w:t>1</w:t>
      </w:r>
      <w:r w:rsidR="006A0467">
        <w:t>71,9</w:t>
      </w:r>
      <w:r>
        <w:t xml:space="preserve"> mld. Kč </w:t>
      </w:r>
      <w:r w:rsidR="006A0467">
        <w:t>více</w:t>
      </w:r>
      <w:r>
        <w:t xml:space="preserve"> než před rokem (kdy čisté </w:t>
      </w:r>
      <w:r w:rsidR="006A0467">
        <w:t>vý</w:t>
      </w:r>
      <w:r>
        <w:t xml:space="preserve">půjčky vůči zahraničí činily </w:t>
      </w:r>
      <w:r w:rsidR="006A0467">
        <w:t>-137,5</w:t>
      </w:r>
      <w:r>
        <w:t xml:space="preserve"> mld. Kč).</w:t>
      </w:r>
      <w:r w:rsidRPr="006A5E04">
        <w:t xml:space="preserve"> </w:t>
      </w:r>
      <w:r w:rsidR="006A0467">
        <w:t xml:space="preserve">Podle předběžných údajů nejvíce ke změně přispěl právě odhad reinvestovaných zisků (tj. saldo prvotních důchodů). </w:t>
      </w:r>
    </w:p>
    <w:p w14:paraId="745FD052" w14:textId="77777777" w:rsidR="00683166" w:rsidRPr="00D04520" w:rsidRDefault="00683166" w:rsidP="00C056A9">
      <w:pPr>
        <w:pStyle w:val="TabulkaGraf"/>
        <w:keepNext/>
      </w:pPr>
      <w:r w:rsidRPr="00D04520">
        <w:t>Graf 22: Struktura čistých půjček / výpůjček (-) z pohledu národního hospodářství (v mil. Kč)</w:t>
      </w:r>
    </w:p>
    <w:p w14:paraId="1AC7C64A" w14:textId="092875CA" w:rsidR="00683166" w:rsidRPr="006A5E04" w:rsidRDefault="00660072" w:rsidP="00683166">
      <w:pPr>
        <w:spacing w:after="120"/>
      </w:pPr>
      <w:r w:rsidRPr="00660072">
        <w:rPr>
          <w:noProof/>
        </w:rPr>
        <w:drawing>
          <wp:inline distT="0" distB="0" distL="0" distR="0" wp14:anchorId="56849996" wp14:editId="360C1904">
            <wp:extent cx="5040630" cy="2160270"/>
            <wp:effectExtent l="0" t="0" r="7620" b="0"/>
            <wp:docPr id="203572696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EB8F4" w14:textId="77777777" w:rsidR="00683166" w:rsidRDefault="00683166" w:rsidP="00C056A9">
      <w:pPr>
        <w:pStyle w:val="TabulkaGraf"/>
        <w:keepNext/>
      </w:pPr>
      <w:r w:rsidRPr="00CB41C1">
        <w:t>Graf </w:t>
      </w:r>
      <w:r>
        <w:t>23:</w:t>
      </w:r>
      <w:r w:rsidRPr="0086484F">
        <w:t xml:space="preserve"> </w:t>
      </w:r>
      <w:r w:rsidRPr="00351694">
        <w:t>Rozklad meziroční změny čistých půjček</w:t>
      </w:r>
      <w:r>
        <w:t xml:space="preserve"> </w:t>
      </w:r>
      <w:r w:rsidRPr="00351694">
        <w:t>/</w:t>
      </w:r>
      <w:r>
        <w:t xml:space="preserve"> </w:t>
      </w:r>
      <w:r w:rsidRPr="00351694">
        <w:t>výpůjček</w:t>
      </w:r>
      <w:r>
        <w:t xml:space="preserve"> </w:t>
      </w:r>
      <w:r w:rsidRPr="00351694">
        <w:t>(-) z pohledu národního hospodářství (v mil. Kč)</w:t>
      </w:r>
    </w:p>
    <w:p w14:paraId="38DA720F" w14:textId="6D887717" w:rsidR="00683166" w:rsidRPr="00A0318C" w:rsidRDefault="006A0467" w:rsidP="00683166">
      <w:pPr>
        <w:spacing w:after="120"/>
      </w:pPr>
      <w:r w:rsidRPr="006A0467">
        <w:rPr>
          <w:noProof/>
        </w:rPr>
        <w:drawing>
          <wp:inline distT="0" distB="0" distL="0" distR="0" wp14:anchorId="7B671324" wp14:editId="528904C2">
            <wp:extent cx="5162550" cy="2160270"/>
            <wp:effectExtent l="0" t="0" r="0" b="0"/>
            <wp:docPr id="104630300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48AF" w14:textId="77777777" w:rsidR="00683166" w:rsidRDefault="00683166" w:rsidP="00070445">
      <w:pPr>
        <w:rPr>
          <w:noProof/>
        </w:rPr>
        <w:sectPr w:rsidR="00683166" w:rsidSect="00683166">
          <w:headerReference w:type="default" r:id="rId34"/>
          <w:footerReference w:type="default" r:id="rId35"/>
          <w:pgSz w:w="11906" w:h="16838" w:code="9"/>
          <w:pgMar w:top="2268" w:right="1361" w:bottom="1134" w:left="1474" w:header="607" w:footer="567" w:gutter="0"/>
          <w:cols w:space="708"/>
          <w:docGrid w:linePitch="360"/>
        </w:sectPr>
      </w:pPr>
    </w:p>
    <w:p w14:paraId="6B29117C" w14:textId="77777777" w:rsidR="00683166" w:rsidRDefault="00683166" w:rsidP="00683166">
      <w:pPr>
        <w:pStyle w:val="TabulkaGraf"/>
        <w:rPr>
          <w:lang w:eastAsia="cs-CZ"/>
        </w:rPr>
      </w:pPr>
      <w:r w:rsidRPr="005E2725">
        <w:rPr>
          <w:lang w:eastAsia="cs-CZ"/>
        </w:rPr>
        <w:lastRenderedPageBreak/>
        <w:t>Tabulka 1: Vybrané hlavní ukazatele vývoje ekonomiky</w:t>
      </w:r>
    </w:p>
    <w:p w14:paraId="2190B045" w14:textId="2F29A81B" w:rsidR="00683166" w:rsidRPr="00FD195C" w:rsidRDefault="00536CD0" w:rsidP="00683166">
      <w:pPr>
        <w:jc w:val="left"/>
        <w:rPr>
          <w:rFonts w:eastAsia="Times New Roman" w:cs="Arial"/>
          <w:b/>
          <w:bCs/>
          <w:color w:val="000000"/>
          <w:lang w:eastAsia="cs-CZ"/>
        </w:rPr>
      </w:pPr>
      <w:r w:rsidRPr="00536CD0">
        <w:rPr>
          <w:noProof/>
        </w:rPr>
        <w:drawing>
          <wp:inline distT="0" distB="0" distL="0" distR="0" wp14:anchorId="0016D124" wp14:editId="200BA4D2">
            <wp:extent cx="8910955" cy="3346450"/>
            <wp:effectExtent l="0" t="0" r="4445" b="0"/>
            <wp:docPr id="115105367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095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70209" w14:textId="77777777" w:rsidR="00683166" w:rsidRDefault="00683166" w:rsidP="00683166"/>
    <w:p w14:paraId="631089BD" w14:textId="77777777" w:rsidR="00070445" w:rsidRDefault="00070445" w:rsidP="00070445">
      <w:pPr>
        <w:rPr>
          <w:noProof/>
        </w:rPr>
      </w:pPr>
    </w:p>
    <w:sectPr w:rsidR="00070445" w:rsidSect="00683166">
      <w:pgSz w:w="16839" w:h="11907" w:orient="landscape" w:code="9"/>
      <w:pgMar w:top="2552" w:right="1388" w:bottom="1418" w:left="1418" w:header="72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3CAF" w14:textId="77777777" w:rsidR="00CA431A" w:rsidRDefault="00CA431A" w:rsidP="004A01A7">
      <w:pPr>
        <w:spacing w:after="0" w:line="240" w:lineRule="auto"/>
      </w:pPr>
      <w:r>
        <w:separator/>
      </w:r>
    </w:p>
  </w:endnote>
  <w:endnote w:type="continuationSeparator" w:id="0">
    <w:p w14:paraId="559AF84D" w14:textId="77777777" w:rsidR="00CA431A" w:rsidRDefault="00CA431A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116B" w14:textId="75DC213E" w:rsidR="00F21B6A" w:rsidRDefault="00683166" w:rsidP="00F21B6A">
    <w:pPr>
      <w:pStyle w:val="Zpat"/>
    </w:pPr>
    <w:r w:rsidRPr="006A57CC">
      <w:t>Český statistický úřad</w:t>
    </w:r>
    <w:r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808D785" w14:textId="62EA7C95" w:rsidR="004A01A7" w:rsidRPr="00F21B6A" w:rsidRDefault="00683166" w:rsidP="00683166">
    <w:pPr>
      <w:pStyle w:val="Zpat"/>
      <w:tabs>
        <w:tab w:val="left" w:pos="4440"/>
      </w:tabs>
    </w:pPr>
    <w:hyperlink r:id="rId1" w:history="1">
      <w:r>
        <w:t>csu.gov.cz</w:t>
      </w:r>
    </w:hyperlink>
    <w:r>
      <w:t xml:space="preserve">, </w:t>
    </w:r>
    <w:r w:rsidRPr="00CB5768">
      <w:t>infoservis@csu.gov.cz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4BC9C" w14:textId="77777777" w:rsidR="00CA431A" w:rsidRDefault="00CA431A" w:rsidP="004A01A7">
      <w:pPr>
        <w:spacing w:after="0" w:line="240" w:lineRule="auto"/>
      </w:pPr>
    </w:p>
  </w:footnote>
  <w:footnote w:type="continuationSeparator" w:id="0">
    <w:p w14:paraId="3C079592" w14:textId="77777777" w:rsidR="00CA431A" w:rsidRDefault="00CA431A" w:rsidP="004A01A7">
      <w:pPr>
        <w:spacing w:after="0" w:line="240" w:lineRule="auto"/>
      </w:pPr>
      <w:r>
        <w:continuationSeparator/>
      </w:r>
    </w:p>
  </w:footnote>
  <w:footnote w:id="1">
    <w:p w14:paraId="3BB387A4" w14:textId="77777777" w:rsidR="00683166" w:rsidRPr="0030704E" w:rsidRDefault="00683166" w:rsidP="00683166">
      <w:pPr>
        <w:pStyle w:val="Textpoznpodarou"/>
        <w:jc w:val="both"/>
      </w:pPr>
      <w:r w:rsidRPr="0030704E">
        <w:rPr>
          <w:rStyle w:val="Znakapoznpodarou"/>
        </w:rPr>
        <w:footnoteRef/>
      </w:r>
      <w:r w:rsidRPr="0030704E">
        <w:t xml:space="preserve"> Údaje očištěné o cenové vlivy a dále i o sezónní a kalendářní vlivy.</w:t>
      </w:r>
      <w:r>
        <w:t xml:space="preserve"> Není-li uvedeno jinak, jsou v dalším textu údaje neočištěné o cenové, kalendářní a sezónní vlivy.</w:t>
      </w:r>
    </w:p>
  </w:footnote>
  <w:footnote w:id="2">
    <w:p w14:paraId="41CD5774" w14:textId="77777777" w:rsidR="009A3F56" w:rsidRDefault="009A3F56" w:rsidP="009A3F56">
      <w:pPr>
        <w:pStyle w:val="Textpoznpodarou"/>
      </w:pPr>
      <w:r w:rsidRPr="00E1608C">
        <w:rPr>
          <w:rStyle w:val="Znakapoznpodarou"/>
          <w:szCs w:val="16"/>
        </w:rPr>
        <w:footnoteRef/>
      </w:r>
      <w:r w:rsidRPr="00E1608C">
        <w:rPr>
          <w:szCs w:val="16"/>
        </w:rPr>
        <w:t xml:space="preserve"> T</w:t>
      </w:r>
      <w:r>
        <w:t xml:space="preserve">j. zejména spotřebou domácností a investiční aktivitou (podle vývoje ukazatele </w:t>
      </w:r>
      <w:r w:rsidRPr="00837EF5">
        <w:t>hrub</w:t>
      </w:r>
      <w:r>
        <w:t>é</w:t>
      </w:r>
      <w:r w:rsidRPr="00837EF5">
        <w:t xml:space="preserve"> tvorb</w:t>
      </w:r>
      <w:r>
        <w:t>y</w:t>
      </w:r>
      <w:r w:rsidRPr="00837EF5">
        <w:t xml:space="preserve"> </w:t>
      </w:r>
      <w:r>
        <w:t xml:space="preserve">fixního </w:t>
      </w:r>
      <w:r w:rsidRPr="00837EF5">
        <w:t>kapitálu</w:t>
      </w:r>
      <w:r>
        <w:t xml:space="preserve">) </w:t>
      </w:r>
    </w:p>
  </w:footnote>
  <w:footnote w:id="3">
    <w:p w14:paraId="5523BB77" w14:textId="7719AD27" w:rsidR="006723BE" w:rsidRDefault="006723B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77BC7">
        <w:rPr>
          <w:szCs w:val="16"/>
        </w:rPr>
        <w:t xml:space="preserve">Vyjádřené ukazatelem </w:t>
      </w:r>
      <w:r>
        <w:rPr>
          <w:szCs w:val="16"/>
        </w:rPr>
        <w:t>Tvorba</w:t>
      </w:r>
      <w:r w:rsidRPr="00377BC7">
        <w:rPr>
          <w:szCs w:val="16"/>
        </w:rPr>
        <w:t xml:space="preserve"> hrubého fixního kapitálu (P.51g)</w:t>
      </w:r>
      <w:r>
        <w:rPr>
          <w:szCs w:val="16"/>
        </w:rPr>
        <w:t>.</w:t>
      </w:r>
    </w:p>
  </w:footnote>
  <w:footnote w:id="4">
    <w:p w14:paraId="2960F419" w14:textId="77777777" w:rsidR="00683166" w:rsidRPr="00994B5B" w:rsidRDefault="00683166" w:rsidP="00683166">
      <w:pPr>
        <w:pStyle w:val="Textpoznpodarou"/>
        <w:rPr>
          <w:szCs w:val="18"/>
        </w:rPr>
      </w:pPr>
      <w:r w:rsidRPr="00994B5B">
        <w:rPr>
          <w:rStyle w:val="Znakapoznpodarou"/>
          <w:szCs w:val="18"/>
        </w:rPr>
        <w:footnoteRef/>
      </w:r>
      <w:r w:rsidRPr="00994B5B">
        <w:rPr>
          <w:szCs w:val="18"/>
        </w:rPr>
        <w:t xml:space="preserve"> </w:t>
      </w:r>
      <w:r w:rsidRPr="00783040">
        <w:t>Příspěvky</w:t>
      </w:r>
      <w:r w:rsidRPr="00994B5B">
        <w:rPr>
          <w:szCs w:val="18"/>
        </w:rPr>
        <w:t xml:space="preserve"> po vyloučení dovozu pro konečné užití.  </w:t>
      </w:r>
    </w:p>
  </w:footnote>
  <w:footnote w:id="5">
    <w:p w14:paraId="0781215A" w14:textId="77777777" w:rsidR="00683166" w:rsidRPr="00FC4D7F" w:rsidRDefault="00683166" w:rsidP="00683166">
      <w:pPr>
        <w:pStyle w:val="Textpoznpodarou"/>
        <w:jc w:val="both"/>
        <w:rPr>
          <w:szCs w:val="16"/>
        </w:rPr>
      </w:pPr>
      <w:r w:rsidRPr="00FC4D7F">
        <w:rPr>
          <w:rStyle w:val="Znakapoznpodarou"/>
          <w:szCs w:val="16"/>
        </w:rPr>
        <w:footnoteRef/>
      </w:r>
      <w:r w:rsidRPr="00FC4D7F">
        <w:rPr>
          <w:szCs w:val="16"/>
        </w:rPr>
        <w:t xml:space="preserve"> Údaj očištěný o cenové</w:t>
      </w:r>
      <w:r>
        <w:rPr>
          <w:szCs w:val="16"/>
        </w:rPr>
        <w:t xml:space="preserve"> vlivy pomocí deflátoru hrubé přidané hodnoty za celé národní hospodářství.</w:t>
      </w:r>
    </w:p>
  </w:footnote>
  <w:footnote w:id="6">
    <w:p w14:paraId="7FE92AFF" w14:textId="77777777" w:rsidR="00683166" w:rsidRPr="00FC4D7F" w:rsidRDefault="00683166" w:rsidP="00683166">
      <w:pPr>
        <w:pStyle w:val="Textpoznpodarou"/>
        <w:jc w:val="both"/>
        <w:rPr>
          <w:szCs w:val="16"/>
        </w:rPr>
      </w:pPr>
      <w:r w:rsidRPr="00FC4D7F">
        <w:rPr>
          <w:rStyle w:val="Znakapoznpodarou"/>
          <w:szCs w:val="16"/>
        </w:rPr>
        <w:footnoteRef/>
      </w:r>
      <w:r w:rsidRPr="00FC4D7F">
        <w:rPr>
          <w:szCs w:val="16"/>
        </w:rPr>
        <w:t xml:space="preserve"> </w:t>
      </w:r>
      <w:r>
        <w:rPr>
          <w:szCs w:val="16"/>
        </w:rPr>
        <w:t>Údaj o</w:t>
      </w:r>
      <w:r w:rsidRPr="00FC4D7F">
        <w:rPr>
          <w:szCs w:val="16"/>
        </w:rPr>
        <w:t>čištěný o cenové, sezónní a kalendářní vlivy. K očištění o cenové vlivy byl použit deflátor hrubé přidané hodnoty za celé národní hospodářství.</w:t>
      </w:r>
    </w:p>
  </w:footnote>
  <w:footnote w:id="7">
    <w:p w14:paraId="2F236668" w14:textId="77777777" w:rsidR="00683166" w:rsidRPr="0030704E" w:rsidRDefault="00683166" w:rsidP="00683166">
      <w:pPr>
        <w:pStyle w:val="Textpoznpodarou"/>
        <w:jc w:val="both"/>
      </w:pPr>
      <w:r w:rsidRPr="0030704E">
        <w:rPr>
          <w:rStyle w:val="Znakapoznpodarou"/>
        </w:rPr>
        <w:footnoteRef/>
      </w:r>
      <w:r w:rsidRPr="0030704E">
        <w:t xml:space="preserve"> Celková zaměstnanost v přepočtu na plnou pracovní dobu.</w:t>
      </w:r>
    </w:p>
  </w:footnote>
  <w:footnote w:id="8">
    <w:p w14:paraId="7C1C81AA" w14:textId="294C1BC0" w:rsidR="00683166" w:rsidRPr="00C875D9" w:rsidRDefault="00683166" w:rsidP="00683166">
      <w:pPr>
        <w:pStyle w:val="Textpoznpodarou"/>
        <w:jc w:val="both"/>
      </w:pPr>
      <w:r w:rsidRPr="00C875D9">
        <w:rPr>
          <w:rStyle w:val="Znakapoznpodarou"/>
        </w:rPr>
        <w:footnoteRef/>
      </w:r>
      <w:r w:rsidRPr="00C875D9">
        <w:t xml:space="preserve"> V běžných cenách vzrostla hrubá přidaná hodnota</w:t>
      </w:r>
      <w:r>
        <w:t xml:space="preserve"> nefinančních podniků </w:t>
      </w:r>
      <w:r w:rsidRPr="00C875D9">
        <w:t xml:space="preserve">meziročně o </w:t>
      </w:r>
      <w:r w:rsidR="0008041E">
        <w:t>2,8</w:t>
      </w:r>
      <w:r w:rsidRPr="00A0533B">
        <w:t xml:space="preserve"> %.</w:t>
      </w:r>
    </w:p>
  </w:footnote>
  <w:footnote w:id="9">
    <w:p w14:paraId="6CA74773" w14:textId="77777777" w:rsidR="00683166" w:rsidRPr="008537E4" w:rsidRDefault="00683166" w:rsidP="00683166">
      <w:pPr>
        <w:pStyle w:val="Textpoznpodarou"/>
      </w:pPr>
      <w:r w:rsidRPr="008537E4">
        <w:rPr>
          <w:rStyle w:val="Znakapoznpodarou"/>
        </w:rPr>
        <w:footnoteRef/>
      </w:r>
      <w:r w:rsidRPr="008537E4">
        <w:t xml:space="preserve"> Vyjádřeno ukazatelem Náhrad</w:t>
      </w:r>
      <w:r>
        <w:t>y</w:t>
      </w:r>
      <w:r w:rsidRPr="008537E4">
        <w:t xml:space="preserve"> zaměstnanců</w:t>
      </w:r>
      <w:r>
        <w:t>m</w:t>
      </w:r>
      <w:r w:rsidRPr="008537E4">
        <w:t xml:space="preserve"> (D.1)</w:t>
      </w:r>
      <w:r>
        <w:t>.</w:t>
      </w:r>
    </w:p>
  </w:footnote>
  <w:footnote w:id="10">
    <w:p w14:paraId="686CE7CF" w14:textId="77777777" w:rsidR="00683166" w:rsidRPr="00CB23E5" w:rsidRDefault="00683166" w:rsidP="00683166">
      <w:pPr>
        <w:pStyle w:val="Textpoznpodarou"/>
        <w:jc w:val="both"/>
      </w:pPr>
      <w:r w:rsidRPr="00CB23E5">
        <w:rPr>
          <w:rStyle w:val="Znakapoznpodarou"/>
        </w:rPr>
        <w:footnoteRef/>
      </w:r>
      <w:r w:rsidRPr="00CB23E5">
        <w:t xml:space="preserve"> Vyjádřená poměrem </w:t>
      </w:r>
      <w:r>
        <w:t>hrubého provozního přebytku a hrubé přidané hodnoty, sezónně očištěný ukazatel.</w:t>
      </w:r>
    </w:p>
  </w:footnote>
  <w:footnote w:id="11">
    <w:p w14:paraId="3505D2BB" w14:textId="77777777" w:rsidR="00683166" w:rsidRPr="00DA4977" w:rsidRDefault="00683166" w:rsidP="00683166">
      <w:pPr>
        <w:pStyle w:val="Textpoznpodarou"/>
      </w:pPr>
      <w:r w:rsidRPr="00DA4977">
        <w:rPr>
          <w:rStyle w:val="Znakapoznpodarou"/>
        </w:rPr>
        <w:footnoteRef/>
      </w:r>
      <w:r w:rsidRPr="00DA4977">
        <w:t xml:space="preserve"> Vyjádřený </w:t>
      </w:r>
      <w:r>
        <w:t>vývojem</w:t>
      </w:r>
      <w:r w:rsidRPr="00DA4977">
        <w:t xml:space="preserve"> hrubého provozního přebytku</w:t>
      </w:r>
      <w:r>
        <w:t xml:space="preserve"> (B.2g) v běžných cenách</w:t>
      </w:r>
      <w:r w:rsidRPr="00DA4977">
        <w:t>.</w:t>
      </w:r>
    </w:p>
  </w:footnote>
  <w:footnote w:id="12">
    <w:p w14:paraId="3B72244E" w14:textId="593450ED" w:rsidR="00683166" w:rsidRPr="001D5B98" w:rsidRDefault="00683166" w:rsidP="00683166">
      <w:pPr>
        <w:pStyle w:val="Textpoznpodarou"/>
        <w:jc w:val="both"/>
      </w:pPr>
      <w:r w:rsidRPr="000303AC">
        <w:rPr>
          <w:rStyle w:val="Znakapoznpodarou"/>
        </w:rPr>
        <w:footnoteRef/>
      </w:r>
      <w:r w:rsidRPr="000303AC">
        <w:t xml:space="preserve"> </w:t>
      </w:r>
      <w:r w:rsidRPr="00393B22">
        <w:rPr>
          <w:spacing w:val="-4"/>
        </w:rPr>
        <w:t xml:space="preserve">Běžné daně z důchodů a jmění (D.5) zaplacené sektorem nefinančních podniků </w:t>
      </w:r>
      <w:r w:rsidR="0008041E">
        <w:rPr>
          <w:spacing w:val="-4"/>
        </w:rPr>
        <w:t>poklesly</w:t>
      </w:r>
      <w:r>
        <w:rPr>
          <w:spacing w:val="-4"/>
        </w:rPr>
        <w:t xml:space="preserve"> v běžných cenách o </w:t>
      </w:r>
      <w:r w:rsidR="0008041E">
        <w:rPr>
          <w:spacing w:val="-4"/>
        </w:rPr>
        <w:t>1,3</w:t>
      </w:r>
      <w:r>
        <w:rPr>
          <w:spacing w:val="-4"/>
        </w:rPr>
        <w:t xml:space="preserve"> %</w:t>
      </w:r>
      <w:r w:rsidR="0008041E">
        <w:rPr>
          <w:spacing w:val="-4"/>
        </w:rPr>
        <w:t xml:space="preserve"> (tj. o 1,2 mld. Kč)</w:t>
      </w:r>
      <w:r w:rsidRPr="00393B22">
        <w:rPr>
          <w:spacing w:val="-4"/>
        </w:rPr>
        <w:t>.</w:t>
      </w:r>
    </w:p>
  </w:footnote>
  <w:footnote w:id="13">
    <w:p w14:paraId="24E78C0B" w14:textId="42E31AA6" w:rsidR="00683166" w:rsidRPr="00D70329" w:rsidRDefault="00683166" w:rsidP="00683166">
      <w:pPr>
        <w:pStyle w:val="Textpoznpodarou"/>
        <w:rPr>
          <w:rStyle w:val="Znakapoznpodarou"/>
          <w:vertAlign w:val="baseline"/>
        </w:rPr>
      </w:pPr>
      <w:r w:rsidRPr="00D70329">
        <w:rPr>
          <w:rStyle w:val="Znakapoznpodarou"/>
        </w:rPr>
        <w:footnoteRef/>
      </w:r>
      <w:r w:rsidRPr="00D70329">
        <w:t xml:space="preserve"> Hrubé</w:t>
      </w:r>
      <w:r>
        <w:t xml:space="preserve"> úspory (B.8g) poklesly o </w:t>
      </w:r>
      <w:r w:rsidR="003E28ED">
        <w:t xml:space="preserve">6,3 </w:t>
      </w:r>
      <w:r>
        <w:t xml:space="preserve">mld. Kč, tj. o </w:t>
      </w:r>
      <w:r w:rsidR="003E28ED">
        <w:t>3,2</w:t>
      </w:r>
      <w:r>
        <w:t xml:space="preserve"> %. </w:t>
      </w:r>
    </w:p>
  </w:footnote>
  <w:footnote w:id="14">
    <w:p w14:paraId="61F45551" w14:textId="77777777" w:rsidR="00683166" w:rsidRPr="00215652" w:rsidRDefault="00683166" w:rsidP="00683166">
      <w:pPr>
        <w:pStyle w:val="Textpoznpodarou"/>
        <w:jc w:val="both"/>
      </w:pPr>
      <w:r w:rsidRPr="00215652">
        <w:rPr>
          <w:rStyle w:val="Znakapoznpodarou"/>
        </w:rPr>
        <w:footnoteRef/>
      </w:r>
      <w:r w:rsidRPr="00215652">
        <w:t xml:space="preserve"> Vyjádřenou </w:t>
      </w:r>
      <w:r>
        <w:t>poměrem hrubých úspor a hrubé přidané hodnoty</w:t>
      </w:r>
    </w:p>
  </w:footnote>
  <w:footnote w:id="15">
    <w:p w14:paraId="7579DDAA" w14:textId="77777777" w:rsidR="00683166" w:rsidRPr="00377BC7" w:rsidRDefault="00683166" w:rsidP="00683166">
      <w:pPr>
        <w:pStyle w:val="Textpoznpodarou"/>
        <w:jc w:val="both"/>
        <w:rPr>
          <w:szCs w:val="16"/>
        </w:rPr>
      </w:pPr>
      <w:r w:rsidRPr="00377BC7">
        <w:rPr>
          <w:rStyle w:val="Znakapoznpodarou"/>
          <w:szCs w:val="16"/>
        </w:rPr>
        <w:footnoteRef/>
      </w:r>
      <w:r w:rsidRPr="00377BC7">
        <w:rPr>
          <w:szCs w:val="16"/>
        </w:rPr>
        <w:t xml:space="preserve"> Vyjádřené ukazatelem </w:t>
      </w:r>
      <w:r>
        <w:rPr>
          <w:szCs w:val="16"/>
        </w:rPr>
        <w:t>Tvorba</w:t>
      </w:r>
      <w:r w:rsidRPr="00377BC7">
        <w:rPr>
          <w:szCs w:val="16"/>
        </w:rPr>
        <w:t xml:space="preserve"> hrubého fixního kapitálu (P.51g)</w:t>
      </w:r>
    </w:p>
  </w:footnote>
  <w:footnote w:id="16">
    <w:p w14:paraId="5F39A968" w14:textId="77777777" w:rsidR="00683166" w:rsidRPr="00377BC7" w:rsidRDefault="00683166" w:rsidP="00683166">
      <w:pPr>
        <w:pStyle w:val="Textpoznpodarou"/>
        <w:jc w:val="both"/>
        <w:rPr>
          <w:szCs w:val="16"/>
        </w:rPr>
      </w:pPr>
      <w:r w:rsidRPr="00377BC7">
        <w:rPr>
          <w:rStyle w:val="Znakapoznpodarou"/>
          <w:szCs w:val="16"/>
        </w:rPr>
        <w:footnoteRef/>
      </w:r>
      <w:r w:rsidRPr="00377BC7">
        <w:rPr>
          <w:szCs w:val="16"/>
        </w:rPr>
        <w:t xml:space="preserve"> Údaj vychází ze sezónně očištěných dat.</w:t>
      </w:r>
    </w:p>
  </w:footnote>
  <w:footnote w:id="17">
    <w:p w14:paraId="4224F54A" w14:textId="77777777" w:rsidR="00683166" w:rsidRPr="00215652" w:rsidRDefault="00683166" w:rsidP="00683166">
      <w:pPr>
        <w:pStyle w:val="Textpoznpodarou"/>
        <w:jc w:val="both"/>
      </w:pPr>
      <w:r w:rsidRPr="00215652">
        <w:rPr>
          <w:rStyle w:val="Znakapoznpodarou"/>
        </w:rPr>
        <w:footnoteRef/>
      </w:r>
      <w:r w:rsidRPr="00215652">
        <w:t xml:space="preserve"> Vyjádřená poměrem ukazatele Tvorby hrubého fixního kapitálu a hrubé přidané hodnoty. </w:t>
      </w:r>
    </w:p>
  </w:footnote>
  <w:footnote w:id="18">
    <w:p w14:paraId="1EE2F10D" w14:textId="77777777" w:rsidR="00683166" w:rsidRPr="00377BC7" w:rsidRDefault="00683166" w:rsidP="00683166">
      <w:pPr>
        <w:pStyle w:val="Textpoznpodarou"/>
        <w:jc w:val="both"/>
        <w:rPr>
          <w:szCs w:val="16"/>
        </w:rPr>
      </w:pPr>
      <w:r w:rsidRPr="00377BC7">
        <w:rPr>
          <w:rStyle w:val="Znakapoznpodarou"/>
          <w:szCs w:val="16"/>
        </w:rPr>
        <w:footnoteRef/>
      </w:r>
      <w:r w:rsidRPr="00377BC7">
        <w:rPr>
          <w:szCs w:val="16"/>
        </w:rPr>
        <w:t xml:space="preserve"> Údaj vychází ze sezónně očištěných dat.</w:t>
      </w:r>
    </w:p>
  </w:footnote>
  <w:footnote w:id="19">
    <w:p w14:paraId="0346390C" w14:textId="75D40AD7" w:rsidR="00683166" w:rsidRPr="0030704E" w:rsidRDefault="00683166" w:rsidP="00683166">
      <w:pPr>
        <w:pStyle w:val="Textpoznpodarou"/>
        <w:jc w:val="both"/>
      </w:pPr>
      <w:r w:rsidRPr="0030704E">
        <w:rPr>
          <w:rStyle w:val="Znakapoznpodarou"/>
          <w:spacing w:val="-4"/>
        </w:rPr>
        <w:footnoteRef/>
      </w:r>
      <w:r w:rsidRPr="0030704E">
        <w:rPr>
          <w:spacing w:val="-4"/>
        </w:rPr>
        <w:t xml:space="preserve"> Ukazatel čisté půjčky/výpůjčky (B.9) </w:t>
      </w:r>
      <w:r>
        <w:rPr>
          <w:spacing w:val="-4"/>
        </w:rPr>
        <w:t>po sezónním očištění poklesl na -</w:t>
      </w:r>
      <w:r w:rsidR="002953B3">
        <w:rPr>
          <w:spacing w:val="-4"/>
        </w:rPr>
        <w:t>84,3</w:t>
      </w:r>
      <w:r>
        <w:rPr>
          <w:spacing w:val="-4"/>
        </w:rPr>
        <w:t xml:space="preserve"> mld. Kč (z</w:t>
      </w:r>
      <w:r w:rsidR="002953B3">
        <w:rPr>
          <w:spacing w:val="-4"/>
        </w:rPr>
        <w:t>e</w:t>
      </w:r>
      <w:r>
        <w:rPr>
          <w:spacing w:val="-4"/>
        </w:rPr>
        <w:t xml:space="preserve"> </w:t>
      </w:r>
      <w:r w:rsidR="002953B3">
        <w:rPr>
          <w:spacing w:val="-4"/>
        </w:rPr>
        <w:t>72,8</w:t>
      </w:r>
      <w:r>
        <w:rPr>
          <w:spacing w:val="-4"/>
        </w:rPr>
        <w:t xml:space="preserve"> mld. v</w:t>
      </w:r>
      <w:r w:rsidR="002953B3">
        <w:rPr>
          <w:spacing w:val="-4"/>
        </w:rPr>
        <w:t>e</w:t>
      </w:r>
      <w:r>
        <w:rPr>
          <w:spacing w:val="-4"/>
        </w:rPr>
        <w:t> </w:t>
      </w:r>
      <w:r w:rsidR="002953B3">
        <w:rPr>
          <w:spacing w:val="-4"/>
        </w:rPr>
        <w:t>2</w:t>
      </w:r>
      <w:r>
        <w:rPr>
          <w:spacing w:val="-4"/>
        </w:rPr>
        <w:t>. čtvrtletí 202</w:t>
      </w:r>
      <w:r w:rsidR="00B2444F">
        <w:rPr>
          <w:spacing w:val="-4"/>
        </w:rPr>
        <w:t>5</w:t>
      </w:r>
      <w:r w:rsidR="00661628">
        <w:rPr>
          <w:spacing w:val="-4"/>
        </w:rPr>
        <w:t xml:space="preserve"> a </w:t>
      </w:r>
      <w:r w:rsidR="003C25EC">
        <w:rPr>
          <w:spacing w:val="-4"/>
        </w:rPr>
        <w:t xml:space="preserve">z </w:t>
      </w:r>
      <w:r w:rsidR="00661628">
        <w:rPr>
          <w:spacing w:val="-4"/>
        </w:rPr>
        <w:t>-</w:t>
      </w:r>
      <w:r w:rsidR="002953B3">
        <w:rPr>
          <w:spacing w:val="-4"/>
        </w:rPr>
        <w:t>109,5</w:t>
      </w:r>
      <w:r w:rsidR="00661628">
        <w:rPr>
          <w:spacing w:val="-4"/>
        </w:rPr>
        <w:t xml:space="preserve"> mld. Kč v </w:t>
      </w:r>
      <w:r w:rsidR="002953B3">
        <w:rPr>
          <w:spacing w:val="-4"/>
        </w:rPr>
        <w:t>1</w:t>
      </w:r>
      <w:r w:rsidR="00661628">
        <w:rPr>
          <w:spacing w:val="-4"/>
        </w:rPr>
        <w:t>. čtvrtletí 202</w:t>
      </w:r>
      <w:r w:rsidR="002953B3">
        <w:rPr>
          <w:spacing w:val="-4"/>
        </w:rPr>
        <w:t>6</w:t>
      </w:r>
      <w:r>
        <w:rPr>
          <w:spacing w:val="-4"/>
        </w:rPr>
        <w:t xml:space="preserve">), což naznačuje </w:t>
      </w:r>
      <w:r w:rsidR="002953B3">
        <w:rPr>
          <w:spacing w:val="-4"/>
        </w:rPr>
        <w:t xml:space="preserve">jen velmi mírně </w:t>
      </w:r>
      <w:r w:rsidR="00B2444F">
        <w:rPr>
          <w:spacing w:val="-4"/>
        </w:rPr>
        <w:t>zvýšenou</w:t>
      </w:r>
      <w:r>
        <w:rPr>
          <w:spacing w:val="-4"/>
        </w:rPr>
        <w:t xml:space="preserve"> ochotu nefinančních podniků jako celku půjčovat si finanční prostředky pro své podnikatelské aktivity. </w:t>
      </w:r>
    </w:p>
  </w:footnote>
  <w:footnote w:id="20">
    <w:p w14:paraId="3807331D" w14:textId="77777777" w:rsidR="00683166" w:rsidRPr="00EB0AEF" w:rsidRDefault="00683166" w:rsidP="00683166">
      <w:pPr>
        <w:pStyle w:val="Textpoznpodarou"/>
        <w:jc w:val="both"/>
      </w:pPr>
      <w:r w:rsidRPr="00EB0AEF">
        <w:rPr>
          <w:rStyle w:val="Znakapoznpodarou"/>
        </w:rPr>
        <w:footnoteRef/>
      </w:r>
      <w:r w:rsidRPr="00EB0AEF">
        <w:t xml:space="preserve"> Údaje v této kapitole odpovídají aktuálním notifikacím vládního deficitu a dluhu. Údaje se mohou mírně lišit od publikovaných údajů ve čtvrtletních sektorových účtech z důvodu revizní politiky národních účtů.</w:t>
      </w:r>
    </w:p>
  </w:footnote>
  <w:footnote w:id="21">
    <w:p w14:paraId="0740AA65" w14:textId="77777777" w:rsidR="00683166" w:rsidRPr="00EB0AEF" w:rsidRDefault="00683166" w:rsidP="00683166">
      <w:pPr>
        <w:pStyle w:val="Textpoznpodarou"/>
        <w:jc w:val="both"/>
      </w:pPr>
      <w:r w:rsidRPr="00EB0AEF">
        <w:rPr>
          <w:rStyle w:val="Znakapoznpodarou"/>
        </w:rPr>
        <w:footnoteRef/>
      </w:r>
      <w:r w:rsidRPr="00EB0AEF">
        <w:t xml:space="preserve"> Jedná se o ukazatel Čisté půjčky/výpůjčky (B.9).</w:t>
      </w:r>
    </w:p>
  </w:footnote>
  <w:footnote w:id="22">
    <w:p w14:paraId="56D59A6A" w14:textId="77777777" w:rsidR="00683166" w:rsidRPr="00676429" w:rsidRDefault="00683166" w:rsidP="00683166">
      <w:pPr>
        <w:pStyle w:val="Textpoznpodarou"/>
        <w:rPr>
          <w:szCs w:val="16"/>
        </w:rPr>
      </w:pPr>
      <w:r w:rsidRPr="00676429">
        <w:rPr>
          <w:rStyle w:val="Znakapoznpodarou"/>
          <w:szCs w:val="16"/>
        </w:rPr>
        <w:footnoteRef/>
      </w:r>
      <w:r w:rsidRPr="00676429">
        <w:rPr>
          <w:szCs w:val="16"/>
        </w:rPr>
        <w:t xml:space="preserve"> Jedná se o sezónně neočištěné údaje.</w:t>
      </w:r>
    </w:p>
  </w:footnote>
  <w:footnote w:id="23">
    <w:p w14:paraId="5B91B769" w14:textId="7A44A1AB" w:rsidR="00683166" w:rsidRPr="008B1F9A" w:rsidRDefault="00683166" w:rsidP="00683166">
      <w:pPr>
        <w:pStyle w:val="Textpoznpodarou"/>
      </w:pPr>
      <w:r w:rsidRPr="008B1F9A">
        <w:rPr>
          <w:rStyle w:val="Znakapoznpodarou"/>
        </w:rPr>
        <w:footnoteRef/>
      </w:r>
      <w:r w:rsidRPr="008B1F9A">
        <w:t xml:space="preserve"> Jedná se o ukazatele Čisté sociální příspěvky (D.61), který vzrostl o </w:t>
      </w:r>
      <w:r w:rsidR="0076161E">
        <w:t xml:space="preserve">9,6 </w:t>
      </w:r>
      <w:r w:rsidRPr="008B1F9A">
        <w:t>% na 3</w:t>
      </w:r>
      <w:r w:rsidR="008B1F9A" w:rsidRPr="008B1F9A">
        <w:t>47</w:t>
      </w:r>
      <w:r w:rsidRPr="008B1F9A">
        <w:t>,</w:t>
      </w:r>
      <w:r w:rsidR="0076161E">
        <w:t>9</w:t>
      </w:r>
      <w:r w:rsidR="008B1F9A" w:rsidRPr="008B1F9A">
        <w:t xml:space="preserve"> m</w:t>
      </w:r>
      <w:r w:rsidRPr="008B1F9A">
        <w:t>ld. Kč.</w:t>
      </w:r>
    </w:p>
  </w:footnote>
  <w:footnote w:id="24">
    <w:p w14:paraId="7C2E6B3A" w14:textId="5E1D3559" w:rsidR="00E528AB" w:rsidRPr="00EB0AEF" w:rsidRDefault="00E528AB" w:rsidP="00E528AB">
      <w:pPr>
        <w:pStyle w:val="Textpoznpodarou"/>
        <w:jc w:val="both"/>
      </w:pPr>
      <w:r w:rsidRPr="009E4B3A">
        <w:rPr>
          <w:rStyle w:val="Znakapoznpodarou"/>
        </w:rPr>
        <w:footnoteRef/>
      </w:r>
      <w:r w:rsidRPr="009E4B3A">
        <w:t xml:space="preserve"> </w:t>
      </w:r>
      <w:r>
        <w:t>Například b</w:t>
      </w:r>
      <w:r w:rsidRPr="009E4B3A">
        <w:t>ěžné daně z příjmů a majetku (D.5)</w:t>
      </w:r>
      <w:r>
        <w:t xml:space="preserve"> </w:t>
      </w:r>
      <w:r w:rsidRPr="009E4B3A">
        <w:t>vzrostl</w:t>
      </w:r>
      <w:r>
        <w:t>y</w:t>
      </w:r>
      <w:r w:rsidRPr="009E4B3A">
        <w:t xml:space="preserve"> meziročně </w:t>
      </w:r>
      <w:r>
        <w:t xml:space="preserve">pouze </w:t>
      </w:r>
      <w:r w:rsidRPr="009E4B3A">
        <w:t xml:space="preserve">o </w:t>
      </w:r>
      <w:r>
        <w:t>0,1</w:t>
      </w:r>
      <w:r w:rsidRPr="009E4B3A">
        <w:t xml:space="preserve"> % na </w:t>
      </w:r>
      <w:r>
        <w:t>209,6</w:t>
      </w:r>
      <w:r w:rsidRPr="009E4B3A">
        <w:t xml:space="preserve"> mld. Kč.</w:t>
      </w:r>
      <w:r>
        <w:t xml:space="preserve"> </w:t>
      </w:r>
      <w:r w:rsidRPr="001574DA">
        <w:rPr>
          <w:szCs w:val="16"/>
        </w:rPr>
        <w:t>Výběr daně z přidané hodnoty</w:t>
      </w:r>
      <w:r>
        <w:rPr>
          <w:szCs w:val="16"/>
        </w:rPr>
        <w:t xml:space="preserve"> </w:t>
      </w:r>
      <w:r w:rsidRPr="001574DA">
        <w:rPr>
          <w:szCs w:val="16"/>
        </w:rPr>
        <w:t xml:space="preserve">vzrostl </w:t>
      </w:r>
      <w:r>
        <w:rPr>
          <w:szCs w:val="16"/>
        </w:rPr>
        <w:t xml:space="preserve">sice </w:t>
      </w:r>
      <w:r w:rsidRPr="001574DA">
        <w:rPr>
          <w:szCs w:val="16"/>
        </w:rPr>
        <w:t>o 8,</w:t>
      </w:r>
      <w:r>
        <w:rPr>
          <w:szCs w:val="16"/>
        </w:rPr>
        <w:t>0</w:t>
      </w:r>
      <w:r w:rsidRPr="001574DA">
        <w:rPr>
          <w:szCs w:val="16"/>
        </w:rPr>
        <w:t xml:space="preserve"> </w:t>
      </w:r>
      <w:r>
        <w:rPr>
          <w:szCs w:val="16"/>
        </w:rPr>
        <w:t xml:space="preserve">% (tj, o 12,6 mld. Kč </w:t>
      </w:r>
      <w:r w:rsidRPr="001574DA">
        <w:rPr>
          <w:szCs w:val="16"/>
        </w:rPr>
        <w:t xml:space="preserve">na </w:t>
      </w:r>
      <w:r>
        <w:rPr>
          <w:szCs w:val="16"/>
        </w:rPr>
        <w:t xml:space="preserve">168,6 </w:t>
      </w:r>
      <w:r w:rsidRPr="001574DA">
        <w:rPr>
          <w:szCs w:val="16"/>
        </w:rPr>
        <w:t>mld. Kč</w:t>
      </w:r>
      <w:r>
        <w:rPr>
          <w:szCs w:val="16"/>
        </w:rPr>
        <w:t>), ale zároveň se výrazně snížil výběr spotřební daně z pohonných hmot (o 3,0 mld. Kč na 21,8 mld. Kč) a</w:t>
      </w:r>
      <w:r w:rsidRPr="006C7492">
        <w:t xml:space="preserve"> </w:t>
      </w:r>
      <w:r>
        <w:t>n</w:t>
      </w:r>
      <w:r w:rsidRPr="006C7492">
        <w:rPr>
          <w:szCs w:val="16"/>
        </w:rPr>
        <w:t>egativní vliv měl také výpadek příjmů z poplatku na podporu obnovitelných zdrojů, jehož výběr byl pro rok 202</w:t>
      </w:r>
      <w:r>
        <w:rPr>
          <w:szCs w:val="16"/>
        </w:rPr>
        <w:t>6</w:t>
      </w:r>
      <w:r w:rsidRPr="006C7492">
        <w:rPr>
          <w:szCs w:val="16"/>
        </w:rPr>
        <w:t xml:space="preserve"> pozastaven</w:t>
      </w:r>
      <w:r>
        <w:rPr>
          <w:szCs w:val="16"/>
        </w:rPr>
        <w:t xml:space="preserve"> (pozn. </w:t>
      </w:r>
      <w:r w:rsidR="00C16121">
        <w:rPr>
          <w:szCs w:val="16"/>
        </w:rPr>
        <w:t>v</w:t>
      </w:r>
      <w:r>
        <w:rPr>
          <w:szCs w:val="16"/>
        </w:rPr>
        <w:t>e 2. čtvrtletí 2025 byl tento příjem 8,1 mld. Kč)</w:t>
      </w:r>
      <w:r w:rsidRPr="006C7492">
        <w:rPr>
          <w:szCs w:val="16"/>
        </w:rPr>
        <w:t>.</w:t>
      </w:r>
      <w:r>
        <w:rPr>
          <w:szCs w:val="16"/>
        </w:rPr>
        <w:t xml:space="preserve"> Celkově tak výběr daní na produkci a dovoz (D.2) vzrostl pouze o 2,3 mld. Kč. </w:t>
      </w:r>
    </w:p>
  </w:footnote>
  <w:footnote w:id="25">
    <w:p w14:paraId="1ADB2A73" w14:textId="77777777" w:rsidR="002D5141" w:rsidRPr="00D344C9" w:rsidRDefault="002D5141" w:rsidP="002D5141">
      <w:pPr>
        <w:pStyle w:val="Textpoznpodarou"/>
        <w:jc w:val="both"/>
      </w:pPr>
      <w:r w:rsidRPr="00D344C9">
        <w:rPr>
          <w:rStyle w:val="Znakapoznpodarou"/>
        </w:rPr>
        <w:footnoteRef/>
      </w:r>
      <w:r w:rsidRPr="00D344C9">
        <w:t xml:space="preserve"> Jedná se o ukazatel Dotace (D</w:t>
      </w:r>
      <w:r>
        <w:t>.3</w:t>
      </w:r>
      <w:r w:rsidRPr="00D344C9">
        <w:t>).</w:t>
      </w:r>
    </w:p>
  </w:footnote>
  <w:footnote w:id="26">
    <w:p w14:paraId="2C93CB95" w14:textId="1899D8E5" w:rsidR="00591BB7" w:rsidRPr="0030704E" w:rsidRDefault="00591BB7" w:rsidP="00591BB7">
      <w:pPr>
        <w:pStyle w:val="Textpoznpodarou"/>
        <w:jc w:val="both"/>
      </w:pPr>
      <w:r w:rsidRPr="0030704E">
        <w:rPr>
          <w:rStyle w:val="Znakapoznpodarou"/>
        </w:rPr>
        <w:footnoteRef/>
      </w:r>
      <w:r w:rsidRPr="0030704E">
        <w:t xml:space="preserve"> </w:t>
      </w:r>
      <w:r>
        <w:t>Jedná se o uk</w:t>
      </w:r>
      <w:r w:rsidRPr="0030704E">
        <w:t>azatel Sociální dávky jiné než naturální sociální transfery (D.62)</w:t>
      </w:r>
      <w:r>
        <w:t xml:space="preserve"> a </w:t>
      </w:r>
      <w:r w:rsidR="00E528AB">
        <w:t>N</w:t>
      </w:r>
      <w:r>
        <w:t xml:space="preserve">aturální sociální transfery – </w:t>
      </w:r>
      <w:r w:rsidRPr="0030704E">
        <w:t>nakoupen</w:t>
      </w:r>
      <w:r>
        <w:t>á</w:t>
      </w:r>
      <w:r w:rsidRPr="0030704E">
        <w:t xml:space="preserve"> tržní produkce (D.632)</w:t>
      </w:r>
      <w:r>
        <w:t>.</w:t>
      </w:r>
    </w:p>
  </w:footnote>
  <w:footnote w:id="27">
    <w:p w14:paraId="5C909CB5" w14:textId="77777777" w:rsidR="00683166" w:rsidRPr="00337C71" w:rsidRDefault="00683166" w:rsidP="00683166">
      <w:pPr>
        <w:autoSpaceDE w:val="0"/>
        <w:autoSpaceDN w:val="0"/>
        <w:adjustRightInd w:val="0"/>
        <w:spacing w:line="240" w:lineRule="auto"/>
        <w:rPr>
          <w:rStyle w:val="Znakapoznpodarou"/>
          <w:sz w:val="16"/>
          <w:szCs w:val="16"/>
          <w:vertAlign w:val="baseline"/>
          <w:lang w:eastAsia="cs-CZ"/>
        </w:rPr>
      </w:pPr>
      <w:r w:rsidRPr="00B15AA8">
        <w:rPr>
          <w:rStyle w:val="Znakapoznpodarou"/>
          <w:sz w:val="16"/>
          <w:szCs w:val="16"/>
        </w:rPr>
        <w:footnoteRef/>
      </w:r>
      <w:r w:rsidRPr="00B15AA8">
        <w:rPr>
          <w:sz w:val="16"/>
          <w:szCs w:val="16"/>
        </w:rPr>
        <w:t xml:space="preserve"> </w:t>
      </w:r>
      <w:r w:rsidRPr="00F25A1A">
        <w:rPr>
          <w:sz w:val="16"/>
          <w:szCs w:val="16"/>
        </w:rPr>
        <w:t xml:space="preserve">Dluh vládních institucí </w:t>
      </w:r>
      <w:r>
        <w:rPr>
          <w:sz w:val="16"/>
          <w:szCs w:val="16"/>
        </w:rPr>
        <w:t xml:space="preserve">je v tomto textu reprezentován </w:t>
      </w:r>
      <w:r w:rsidRPr="00F25A1A">
        <w:rPr>
          <w:sz w:val="16"/>
          <w:szCs w:val="16"/>
        </w:rPr>
        <w:t>výš</w:t>
      </w:r>
      <w:r>
        <w:rPr>
          <w:sz w:val="16"/>
          <w:szCs w:val="16"/>
        </w:rPr>
        <w:t>í</w:t>
      </w:r>
      <w:r w:rsidRPr="00F25A1A">
        <w:rPr>
          <w:sz w:val="16"/>
          <w:szCs w:val="16"/>
        </w:rPr>
        <w:t xml:space="preserve"> konsolidovaných závazků sektoru vládních institucí vyplývající z přijatých vkladů, emitovaných dluhových cenných papírů a přijatých půjček (tzv. Maastrichtský dluh pro potřeby EDP statistiky).</w:t>
      </w:r>
      <w:r>
        <w:rPr>
          <w:sz w:val="16"/>
          <w:szCs w:val="16"/>
        </w:rPr>
        <w:t xml:space="preserve"> </w:t>
      </w:r>
      <w:r w:rsidRPr="00802C76">
        <w:rPr>
          <w:sz w:val="16"/>
          <w:szCs w:val="16"/>
        </w:rPr>
        <w:t>Jedná se o ukazatel, který je odlišný od chápání dluhu v sektorových účtech podle ESA 2010 zahrnujícího navíc měnové zlato a zvláštní práva čerpání, účasti a podíly v investičních fondech, pojistné a penzijní programy, finanční deriváty a zaměstnanecké opce a ostatní závazky.</w:t>
      </w:r>
    </w:p>
  </w:footnote>
  <w:footnote w:id="28">
    <w:p w14:paraId="32D8B448" w14:textId="77777777" w:rsidR="00683166" w:rsidRPr="00FE7EFA" w:rsidRDefault="00683166" w:rsidP="00683166">
      <w:pPr>
        <w:pStyle w:val="Textpoznpodarou"/>
        <w:jc w:val="both"/>
      </w:pPr>
      <w:r w:rsidRPr="00FE7EFA">
        <w:rPr>
          <w:rStyle w:val="Znakapoznpodarou"/>
        </w:rPr>
        <w:footnoteRef/>
      </w:r>
      <w:r w:rsidRPr="00FE7EFA">
        <w:t xml:space="preserve"> </w:t>
      </w:r>
      <w:r>
        <w:t>Vyjadřuje poměr dluhu vládních institucí k HDP (</w:t>
      </w:r>
      <w:r w:rsidRPr="004B150D">
        <w:t>konečný stav dluhu aktuálního čtvrtletí k součtu hodnot HDP posledních 4 čtvrtletí</w:t>
      </w:r>
      <w:r>
        <w:t>).</w:t>
      </w:r>
    </w:p>
  </w:footnote>
  <w:footnote w:id="29">
    <w:p w14:paraId="3E88F08B" w14:textId="77777777" w:rsidR="00683166" w:rsidRPr="0030704E" w:rsidRDefault="00683166" w:rsidP="00683166">
      <w:pPr>
        <w:pStyle w:val="Textpoznpodarou"/>
        <w:jc w:val="both"/>
      </w:pPr>
      <w:r w:rsidRPr="0030704E">
        <w:rPr>
          <w:rStyle w:val="Znakapoznpodarou"/>
        </w:rPr>
        <w:footnoteRef/>
      </w:r>
      <w:r w:rsidRPr="0030704E">
        <w:t xml:space="preserve"> </w:t>
      </w:r>
      <w:r>
        <w:t>Reprezentované u</w:t>
      </w:r>
      <w:r w:rsidRPr="0030704E">
        <w:t>kazat</w:t>
      </w:r>
      <w:r>
        <w:t>elem</w:t>
      </w:r>
      <w:r w:rsidRPr="0030704E">
        <w:t xml:space="preserve"> </w:t>
      </w:r>
      <w:r w:rsidRPr="00783217">
        <w:rPr>
          <w:b/>
        </w:rPr>
        <w:t>Hrubý disponibilní důchod (B.6g)</w:t>
      </w:r>
      <w:r w:rsidRPr="00D274B1">
        <w:t xml:space="preserve">, </w:t>
      </w:r>
      <w:r>
        <w:t>který představuje celkový úhrn všech důchodů, které mají domácnosti k dispozici pro spotřebu, investice a jiné účely. V následujícím textu je tento ukazatel nahrazen pojmem „příjmy domácností“.</w:t>
      </w:r>
    </w:p>
  </w:footnote>
  <w:footnote w:id="30">
    <w:p w14:paraId="2680DBCA" w14:textId="77777777" w:rsidR="00683166" w:rsidRPr="009E0C2A" w:rsidRDefault="00683166" w:rsidP="00683166">
      <w:pPr>
        <w:pStyle w:val="Textpoznpodarou"/>
        <w:jc w:val="both"/>
        <w:rPr>
          <w:szCs w:val="16"/>
        </w:rPr>
      </w:pPr>
      <w:r w:rsidRPr="004E69CE">
        <w:rPr>
          <w:rStyle w:val="Znakapoznpodarou"/>
          <w:szCs w:val="16"/>
        </w:rPr>
        <w:footnoteRef/>
      </w:r>
      <w:r w:rsidRPr="004E69CE">
        <w:rPr>
          <w:szCs w:val="16"/>
        </w:rPr>
        <w:t xml:space="preserve"> Pro očištění o vliv cen byl použit deflátor výdajů na konečnou spotřebu domácností.</w:t>
      </w:r>
    </w:p>
  </w:footnote>
  <w:footnote w:id="31">
    <w:p w14:paraId="387C9F50" w14:textId="77777777" w:rsidR="00683166" w:rsidRPr="00CB29E5" w:rsidRDefault="00683166" w:rsidP="00683166">
      <w:pPr>
        <w:pStyle w:val="Textpoznpodarou"/>
        <w:jc w:val="both"/>
      </w:pPr>
      <w:r w:rsidRPr="00090D87">
        <w:rPr>
          <w:rStyle w:val="Znakapoznpodarou"/>
        </w:rPr>
        <w:footnoteRef/>
      </w:r>
      <w:r w:rsidRPr="00090D87">
        <w:t xml:space="preserve"> Tj. po očištění o </w:t>
      </w:r>
      <w:r>
        <w:t>cenové vlivy (</w:t>
      </w:r>
      <w:r w:rsidRPr="004E69CE">
        <w:rPr>
          <w:szCs w:val="16"/>
        </w:rPr>
        <w:t>deflátor</w:t>
      </w:r>
      <w:r>
        <w:rPr>
          <w:szCs w:val="16"/>
        </w:rPr>
        <w:t>em</w:t>
      </w:r>
      <w:r w:rsidRPr="004E69CE">
        <w:rPr>
          <w:szCs w:val="16"/>
        </w:rPr>
        <w:t xml:space="preserve"> výdajů na konečnou spotřebu domácností</w:t>
      </w:r>
      <w:r>
        <w:rPr>
          <w:szCs w:val="16"/>
        </w:rPr>
        <w:t>)</w:t>
      </w:r>
      <w:r>
        <w:t xml:space="preserve"> i o </w:t>
      </w:r>
      <w:r w:rsidRPr="00090D87">
        <w:t>sezónní a ka</w:t>
      </w:r>
      <w:r w:rsidRPr="00CB29E5">
        <w:t>lendářní vlivy.</w:t>
      </w:r>
    </w:p>
  </w:footnote>
  <w:footnote w:id="32">
    <w:p w14:paraId="1FF88C1E" w14:textId="2F28D4A4" w:rsidR="00683166" w:rsidRPr="00FB41D4" w:rsidRDefault="00683166" w:rsidP="00683166">
      <w:pPr>
        <w:pStyle w:val="Textpoznpodarou"/>
        <w:jc w:val="both"/>
      </w:pPr>
      <w:r w:rsidRPr="00CB29E5">
        <w:rPr>
          <w:rStyle w:val="Znakapoznpodarou"/>
        </w:rPr>
        <w:footnoteRef/>
      </w:r>
      <w:r w:rsidRPr="00CB29E5">
        <w:t xml:space="preserve"> Ukazatel (přijaté) Náhrady zaměstnancům (D.1) vzrostl meziročně nominálně o </w:t>
      </w:r>
      <w:r w:rsidR="00CB29E5" w:rsidRPr="00CB29E5">
        <w:t>7,</w:t>
      </w:r>
      <w:r w:rsidR="00C92F69">
        <w:t>1</w:t>
      </w:r>
      <w:r w:rsidRPr="00CB29E5">
        <w:t xml:space="preserve"> % a reálně o </w:t>
      </w:r>
      <w:r w:rsidR="00C92F69">
        <w:t>4,6</w:t>
      </w:r>
      <w:r w:rsidRPr="00CB29E5">
        <w:t xml:space="preserve"> % (očištěno o cenový vývoj pomocí deflátoru konečné spotřeby domácností).</w:t>
      </w:r>
      <w:r w:rsidRPr="00FB41D4">
        <w:t xml:space="preserve"> </w:t>
      </w:r>
    </w:p>
  </w:footnote>
  <w:footnote w:id="33">
    <w:p w14:paraId="1D241C63" w14:textId="77777777" w:rsidR="00683166" w:rsidRPr="00415F9D" w:rsidRDefault="00683166" w:rsidP="00683166">
      <w:pPr>
        <w:pStyle w:val="Textpoznpodarou"/>
        <w:jc w:val="both"/>
      </w:pPr>
      <w:r w:rsidRPr="00415F9D">
        <w:rPr>
          <w:rStyle w:val="Znakapoznpodarou"/>
        </w:rPr>
        <w:footnoteRef/>
      </w:r>
      <w:r w:rsidRPr="00415F9D">
        <w:t xml:space="preserve"> Ukazatel Čistý provozní přebytek a smíšený důchod (B.2n a B.3n)</w:t>
      </w:r>
    </w:p>
  </w:footnote>
  <w:footnote w:id="34">
    <w:p w14:paraId="0D61D25E" w14:textId="77777777" w:rsidR="00683166" w:rsidRPr="003D5938" w:rsidRDefault="00683166" w:rsidP="00683166">
      <w:pPr>
        <w:pStyle w:val="Textpoznpodarou"/>
        <w:jc w:val="both"/>
      </w:pPr>
      <w:r w:rsidRPr="003D5938">
        <w:rPr>
          <w:rStyle w:val="Znakapoznpodarou"/>
        </w:rPr>
        <w:footnoteRef/>
      </w:r>
      <w:r w:rsidRPr="003D5938">
        <w:t xml:space="preserve"> </w:t>
      </w:r>
      <w:r>
        <w:t>Reprezentovaný u</w:t>
      </w:r>
      <w:r w:rsidRPr="003D5938">
        <w:t>kazatel</w:t>
      </w:r>
      <w:r>
        <w:t>em</w:t>
      </w:r>
      <w:r w:rsidRPr="003D5938">
        <w:t xml:space="preserve"> Saldo druhotn</w:t>
      </w:r>
      <w:r>
        <w:t>ých důchodů (B.8g).</w:t>
      </w:r>
    </w:p>
  </w:footnote>
  <w:footnote w:id="35">
    <w:p w14:paraId="7CD00FCD" w14:textId="77777777" w:rsidR="00683166" w:rsidRPr="009327ED" w:rsidRDefault="00683166" w:rsidP="00683166">
      <w:pPr>
        <w:pStyle w:val="Textpoznpodarou"/>
        <w:jc w:val="both"/>
      </w:pPr>
      <w:r w:rsidRPr="009327ED">
        <w:rPr>
          <w:rStyle w:val="Znakapoznpodarou"/>
        </w:rPr>
        <w:footnoteRef/>
      </w:r>
      <w:r w:rsidRPr="009327ED">
        <w:t xml:space="preserve"> Ukazatel </w:t>
      </w:r>
      <w:r>
        <w:t>Výdaje na konečnou spotřebu domácností (P.3)</w:t>
      </w:r>
    </w:p>
  </w:footnote>
  <w:footnote w:id="36">
    <w:p w14:paraId="54FB1964" w14:textId="77777777" w:rsidR="00683166" w:rsidRPr="00255688" w:rsidRDefault="00683166" w:rsidP="00683166">
      <w:pPr>
        <w:pStyle w:val="Textpoznpodarou"/>
        <w:jc w:val="both"/>
        <w:rPr>
          <w:szCs w:val="16"/>
        </w:rPr>
      </w:pPr>
      <w:r w:rsidRPr="00255688">
        <w:rPr>
          <w:rStyle w:val="Znakapoznpodarou"/>
          <w:szCs w:val="16"/>
        </w:rPr>
        <w:footnoteRef/>
      </w:r>
      <w:r w:rsidRPr="00255688">
        <w:rPr>
          <w:szCs w:val="16"/>
        </w:rPr>
        <w:t xml:space="preserve"> Údaje očištěné o změny cen a kalendářní a sezónní vlivy.</w:t>
      </w:r>
    </w:p>
  </w:footnote>
  <w:footnote w:id="37">
    <w:p w14:paraId="4009FD26" w14:textId="77777777" w:rsidR="00683166" w:rsidRPr="00797632" w:rsidRDefault="00683166" w:rsidP="00683166">
      <w:pPr>
        <w:pStyle w:val="Textpoznpodarou"/>
        <w:jc w:val="both"/>
        <w:rPr>
          <w:szCs w:val="16"/>
        </w:rPr>
      </w:pPr>
      <w:r w:rsidRPr="00797632">
        <w:rPr>
          <w:rStyle w:val="Znakapoznpodarou"/>
          <w:szCs w:val="16"/>
        </w:rPr>
        <w:footnoteRef/>
      </w:r>
      <w:r w:rsidRPr="00797632">
        <w:rPr>
          <w:szCs w:val="16"/>
        </w:rPr>
        <w:t xml:space="preserve"> </w:t>
      </w:r>
      <w:r w:rsidRPr="00797632">
        <w:rPr>
          <w:rFonts w:cs="Arial"/>
          <w:iCs/>
          <w:szCs w:val="16"/>
        </w:rPr>
        <w:t xml:space="preserve">Hrubé úspory </w:t>
      </w:r>
      <w:r>
        <w:rPr>
          <w:rFonts w:cs="Arial"/>
          <w:iCs/>
          <w:szCs w:val="16"/>
        </w:rPr>
        <w:t xml:space="preserve">(B.8g) </w:t>
      </w:r>
      <w:r w:rsidRPr="00797632">
        <w:rPr>
          <w:rFonts w:cs="Arial"/>
          <w:iCs/>
          <w:szCs w:val="16"/>
        </w:rPr>
        <w:t>představují část hrubého disponibilního důchodu, která nebyla spotřebována ve formě výdajů na konečnou spotřebu.</w:t>
      </w:r>
    </w:p>
  </w:footnote>
  <w:footnote w:id="38">
    <w:p w14:paraId="5A418341" w14:textId="77777777" w:rsidR="00683166" w:rsidRPr="00381BD4" w:rsidRDefault="00683166" w:rsidP="00683166">
      <w:pPr>
        <w:pStyle w:val="Textpoznpodarou"/>
        <w:rPr>
          <w:szCs w:val="16"/>
        </w:rPr>
      </w:pPr>
      <w:r w:rsidRPr="00381BD4">
        <w:rPr>
          <w:rStyle w:val="Znakapoznpodarou"/>
          <w:szCs w:val="16"/>
        </w:rPr>
        <w:footnoteRef/>
      </w:r>
      <w:r w:rsidRPr="00381BD4">
        <w:rPr>
          <w:szCs w:val="16"/>
        </w:rPr>
        <w:t xml:space="preserve"> Vyjádřen</w:t>
      </w:r>
      <w:r>
        <w:rPr>
          <w:szCs w:val="16"/>
        </w:rPr>
        <w:t>á</w:t>
      </w:r>
      <w:r w:rsidRPr="00381BD4">
        <w:rPr>
          <w:szCs w:val="16"/>
        </w:rPr>
        <w:t xml:space="preserve"> poměrem hrubých úspor a hrubé přidané hodnoty</w:t>
      </w:r>
    </w:p>
  </w:footnote>
  <w:footnote w:id="39">
    <w:p w14:paraId="3D0EC40F" w14:textId="642E8537" w:rsidR="0048791D" w:rsidRPr="00CD27F3" w:rsidRDefault="0048791D" w:rsidP="0048791D">
      <w:pPr>
        <w:pStyle w:val="Textpoznpodarou"/>
        <w:rPr>
          <w:szCs w:val="16"/>
        </w:rPr>
      </w:pPr>
      <w:r w:rsidRPr="00CD27F3">
        <w:rPr>
          <w:rStyle w:val="Znakapoznpodarou"/>
          <w:szCs w:val="16"/>
        </w:rPr>
        <w:footnoteRef/>
      </w:r>
      <w:r w:rsidR="0053744C">
        <w:rPr>
          <w:szCs w:val="16"/>
        </w:rPr>
        <w:t xml:space="preserve"> </w:t>
      </w:r>
      <w:r w:rsidRPr="00CD27F3">
        <w:rPr>
          <w:szCs w:val="16"/>
        </w:rPr>
        <w:t xml:space="preserve">Údaj </w:t>
      </w:r>
      <w:r>
        <w:rPr>
          <w:szCs w:val="16"/>
        </w:rPr>
        <w:t>ne</w:t>
      </w:r>
      <w:r w:rsidRPr="00CD27F3">
        <w:rPr>
          <w:szCs w:val="16"/>
        </w:rPr>
        <w:t>očištěn</w:t>
      </w:r>
      <w:r>
        <w:rPr>
          <w:szCs w:val="16"/>
        </w:rPr>
        <w:t>ý</w:t>
      </w:r>
      <w:r w:rsidRPr="00CD27F3">
        <w:rPr>
          <w:szCs w:val="16"/>
        </w:rPr>
        <w:t xml:space="preserve"> o kalendářní a sezónní vlivy</w:t>
      </w:r>
      <w:r w:rsidR="00351742">
        <w:rPr>
          <w:szCs w:val="16"/>
        </w:rPr>
        <w:t>: m</w:t>
      </w:r>
      <w:r>
        <w:rPr>
          <w:szCs w:val="16"/>
        </w:rPr>
        <w:t>íra úspor vzrostla z</w:t>
      </w:r>
      <w:r w:rsidR="0053744C">
        <w:rPr>
          <w:szCs w:val="16"/>
        </w:rPr>
        <w:t>e 17,8</w:t>
      </w:r>
      <w:r>
        <w:rPr>
          <w:szCs w:val="16"/>
        </w:rPr>
        <w:t xml:space="preserve"> % na </w:t>
      </w:r>
      <w:r w:rsidR="0053744C">
        <w:rPr>
          <w:szCs w:val="16"/>
        </w:rPr>
        <w:t xml:space="preserve">18,0 </w:t>
      </w:r>
      <w:r>
        <w:rPr>
          <w:szCs w:val="16"/>
        </w:rPr>
        <w:t>%.</w:t>
      </w:r>
    </w:p>
  </w:footnote>
  <w:footnote w:id="40">
    <w:p w14:paraId="3E0C8ABC" w14:textId="59323831" w:rsidR="0048791D" w:rsidRPr="00BA60DC" w:rsidRDefault="0048791D" w:rsidP="0048791D">
      <w:pPr>
        <w:pStyle w:val="Textpoznpodarou"/>
        <w:jc w:val="both"/>
      </w:pPr>
      <w:r w:rsidRPr="00BA60DC">
        <w:rPr>
          <w:rStyle w:val="Znakapoznpodarou"/>
        </w:rPr>
        <w:footnoteRef/>
      </w:r>
      <w:r w:rsidRPr="00BA60DC">
        <w:t xml:space="preserve"> Údaje očištěné o kalendářní a sezónní vlivy</w:t>
      </w:r>
      <w:r w:rsidR="00351742">
        <w:t>: m</w:t>
      </w:r>
      <w:r>
        <w:t xml:space="preserve">íra úspor </w:t>
      </w:r>
      <w:r w:rsidR="00634BFC">
        <w:t xml:space="preserve">mezičtvrtletně vzrostla o 0,4 % na 19,9 %. </w:t>
      </w:r>
    </w:p>
  </w:footnote>
  <w:footnote w:id="41">
    <w:p w14:paraId="1156F95D" w14:textId="77777777" w:rsidR="00683166" w:rsidRPr="0085242C" w:rsidRDefault="00683166" w:rsidP="00683166">
      <w:pPr>
        <w:pStyle w:val="Textpoznpodarou"/>
        <w:jc w:val="both"/>
      </w:pPr>
      <w:r w:rsidRPr="0085242C">
        <w:rPr>
          <w:rStyle w:val="Znakapoznpodarou"/>
        </w:rPr>
        <w:footnoteRef/>
      </w:r>
      <w:r w:rsidRPr="0085242C">
        <w:t xml:space="preserve"> </w:t>
      </w:r>
      <w:r>
        <w:t>Reprezentované u</w:t>
      </w:r>
      <w:r w:rsidRPr="0085242C">
        <w:t>kazatel</w:t>
      </w:r>
      <w:r>
        <w:t>em</w:t>
      </w:r>
      <w:r w:rsidRPr="0085242C">
        <w:t xml:space="preserve"> Tvorba hrubého fixního kapitálu (P.51)</w:t>
      </w:r>
      <w:r>
        <w:t>.</w:t>
      </w:r>
    </w:p>
  </w:footnote>
  <w:footnote w:id="42">
    <w:p w14:paraId="454D9BC0" w14:textId="77777777" w:rsidR="00C54AA7" w:rsidRPr="00D715F5" w:rsidRDefault="00C54AA7" w:rsidP="00C54AA7">
      <w:pPr>
        <w:pStyle w:val="Textpoznpodarou"/>
        <w:rPr>
          <w:szCs w:val="16"/>
        </w:rPr>
      </w:pPr>
      <w:r w:rsidRPr="00D715F5">
        <w:rPr>
          <w:rStyle w:val="Znakapoznpodarou"/>
          <w:szCs w:val="16"/>
        </w:rPr>
        <w:footnoteRef/>
      </w:r>
      <w:r w:rsidRPr="00D715F5">
        <w:rPr>
          <w:szCs w:val="16"/>
        </w:rPr>
        <w:t xml:space="preserve"> Vyjádřená poměrem hrub</w:t>
      </w:r>
      <w:r>
        <w:rPr>
          <w:szCs w:val="16"/>
        </w:rPr>
        <w:t xml:space="preserve">é tvorby fixního kapitálu </w:t>
      </w:r>
      <w:r w:rsidRPr="00D715F5">
        <w:rPr>
          <w:szCs w:val="16"/>
        </w:rPr>
        <w:t>a hrubé přidané hodnoty</w:t>
      </w:r>
      <w:r>
        <w:rPr>
          <w:szCs w:val="16"/>
        </w:rPr>
        <w:t>. Údaj sezónně neočištěný.</w:t>
      </w:r>
    </w:p>
  </w:footnote>
  <w:footnote w:id="43">
    <w:p w14:paraId="0184DA7B" w14:textId="77777777" w:rsidR="00683166" w:rsidRPr="004C6B03" w:rsidRDefault="00683166" w:rsidP="00683166">
      <w:pPr>
        <w:pStyle w:val="Textpoznpodarou"/>
        <w:jc w:val="both"/>
        <w:rPr>
          <w:szCs w:val="16"/>
        </w:rPr>
      </w:pPr>
      <w:r w:rsidRPr="004C6B03">
        <w:rPr>
          <w:rStyle w:val="Znakapoznpodarou"/>
          <w:szCs w:val="16"/>
        </w:rPr>
        <w:footnoteRef/>
      </w:r>
      <w:r w:rsidRPr="004C6B03">
        <w:rPr>
          <w:szCs w:val="16"/>
        </w:rPr>
        <w:t xml:space="preserve"> </w:t>
      </w:r>
      <w:r w:rsidRPr="00BA60DC">
        <w:t>Údaje očištěné o kalendářní a sezónní vlivy</w:t>
      </w:r>
    </w:p>
  </w:footnote>
  <w:footnote w:id="44">
    <w:p w14:paraId="60BE61F2" w14:textId="5F1CECF1" w:rsidR="00683166" w:rsidRPr="008F7016" w:rsidRDefault="00683166" w:rsidP="00683166">
      <w:pPr>
        <w:pStyle w:val="Textpoznpodarou"/>
        <w:jc w:val="both"/>
      </w:pPr>
      <w:r w:rsidRPr="008F7016">
        <w:rPr>
          <w:rStyle w:val="Znakapoznpodarou"/>
        </w:rPr>
        <w:footnoteRef/>
      </w:r>
      <w:r w:rsidRPr="008F7016">
        <w:t xml:space="preserve"> Ukazatel Čisté půjčky</w:t>
      </w:r>
      <w:r>
        <w:t>/výpůjčky</w:t>
      </w:r>
      <w:r w:rsidRPr="008F7016">
        <w:t xml:space="preserve"> (B.9g)</w:t>
      </w:r>
      <w:r>
        <w:t xml:space="preserve"> činil </w:t>
      </w:r>
      <w:r w:rsidR="00DC7A75">
        <w:t>98,7</w:t>
      </w:r>
      <w:r>
        <w:t xml:space="preserve"> mld. Kč, což bylo o </w:t>
      </w:r>
      <w:r w:rsidR="00DC7A75">
        <w:t>7,7</w:t>
      </w:r>
      <w:r>
        <w:t xml:space="preserve"> mld. Kč </w:t>
      </w:r>
      <w:r w:rsidR="00DC7A75">
        <w:t>méně</w:t>
      </w:r>
      <w:r>
        <w:t xml:space="preserve"> než před rokem.</w:t>
      </w:r>
    </w:p>
  </w:footnote>
  <w:footnote w:id="45">
    <w:p w14:paraId="02C062C7" w14:textId="77777777" w:rsidR="00683166" w:rsidRPr="00FB20C3" w:rsidRDefault="00683166" w:rsidP="00683166">
      <w:pPr>
        <w:pStyle w:val="Textpoznpodarou"/>
        <w:jc w:val="both"/>
      </w:pPr>
      <w:r w:rsidRPr="00FB20C3">
        <w:rPr>
          <w:rStyle w:val="Znakapoznpodarou"/>
        </w:rPr>
        <w:footnoteRef/>
      </w:r>
      <w:r w:rsidRPr="00FB20C3">
        <w:t xml:space="preserve"> Oba údaje </w:t>
      </w:r>
      <w:r>
        <w:t xml:space="preserve">vychází z dat očištěných o cenové, sezónní a kalendářní vlivy. </w:t>
      </w:r>
    </w:p>
  </w:footnote>
  <w:footnote w:id="46">
    <w:p w14:paraId="299A0D6A" w14:textId="77777777" w:rsidR="00683166" w:rsidRPr="00F9227A" w:rsidRDefault="00683166" w:rsidP="00683166">
      <w:pPr>
        <w:pStyle w:val="Textpoznpodarou"/>
        <w:jc w:val="both"/>
      </w:pPr>
      <w:r w:rsidRPr="00F9227A">
        <w:rPr>
          <w:rStyle w:val="Znakapoznpodarou"/>
        </w:rPr>
        <w:footnoteRef/>
      </w:r>
      <w:r w:rsidRPr="00F9227A">
        <w:t xml:space="preserve"> </w:t>
      </w:r>
      <w:r w:rsidRPr="00FB20C3">
        <w:t xml:space="preserve">Oba údaje </w:t>
      </w:r>
      <w:r>
        <w:t xml:space="preserve">vychází z dat očištěných o cenové, sezónní a kalendářní vlivy. </w:t>
      </w:r>
    </w:p>
  </w:footnote>
  <w:footnote w:id="47">
    <w:p w14:paraId="160159EE" w14:textId="77777777" w:rsidR="00683166" w:rsidRPr="00326373" w:rsidRDefault="00683166" w:rsidP="00683166">
      <w:pPr>
        <w:pStyle w:val="Textpoznpodarou"/>
        <w:jc w:val="both"/>
      </w:pPr>
      <w:r w:rsidRPr="00326373">
        <w:rPr>
          <w:rStyle w:val="Znakapoznpodarou"/>
        </w:rPr>
        <w:footnoteRef/>
      </w:r>
      <w:r w:rsidRPr="00326373">
        <w:t xml:space="preserve"> Reprezentovaná ukazatelem Čisté půjčky/výpůjčky (B.9n).</w:t>
      </w:r>
      <w:r>
        <w:t xml:space="preserve"> Kladná pozice (půjčky) představují schopnost půjčovat finanční prostředky do zahraničí.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B5DA72F" w14:textId="77777777" w:rsidTr="00F21B6A">
      <w:trPr>
        <w:jc w:val="right"/>
      </w:trPr>
      <w:tc>
        <w:tcPr>
          <w:tcW w:w="4253" w:type="dxa"/>
        </w:tcPr>
        <w:p w14:paraId="37FE8C6B" w14:textId="70F08C15" w:rsidR="003208E6" w:rsidRDefault="00683166" w:rsidP="00C063DD">
          <w:pPr>
            <w:pStyle w:val="Nadpis3"/>
            <w:spacing w:before="0"/>
            <w:jc w:val="right"/>
          </w:pPr>
          <w:r>
            <w:t>Analýza</w:t>
          </w:r>
        </w:p>
      </w:tc>
    </w:tr>
  </w:tbl>
  <w:p w14:paraId="12E38667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172276217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3B"/>
    <w:rsid w:val="0000714B"/>
    <w:rsid w:val="000106FE"/>
    <w:rsid w:val="000120B4"/>
    <w:rsid w:val="0002560E"/>
    <w:rsid w:val="000278B2"/>
    <w:rsid w:val="00032CCE"/>
    <w:rsid w:val="00035F16"/>
    <w:rsid w:val="00043335"/>
    <w:rsid w:val="00051848"/>
    <w:rsid w:val="00054392"/>
    <w:rsid w:val="0005510C"/>
    <w:rsid w:val="00062565"/>
    <w:rsid w:val="00070445"/>
    <w:rsid w:val="00071F0F"/>
    <w:rsid w:val="00075D84"/>
    <w:rsid w:val="0008041E"/>
    <w:rsid w:val="00082FFD"/>
    <w:rsid w:val="00083A55"/>
    <w:rsid w:val="00085436"/>
    <w:rsid w:val="000968A9"/>
    <w:rsid w:val="000A5093"/>
    <w:rsid w:val="000B059D"/>
    <w:rsid w:val="000B1CCF"/>
    <w:rsid w:val="000B4F0B"/>
    <w:rsid w:val="000B7BF1"/>
    <w:rsid w:val="000C00D8"/>
    <w:rsid w:val="000C11F2"/>
    <w:rsid w:val="000C1BF3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5F81"/>
    <w:rsid w:val="0010606B"/>
    <w:rsid w:val="00127794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0D82"/>
    <w:rsid w:val="001510FA"/>
    <w:rsid w:val="00160FEB"/>
    <w:rsid w:val="001612DB"/>
    <w:rsid w:val="00164790"/>
    <w:rsid w:val="0016521D"/>
    <w:rsid w:val="001712FE"/>
    <w:rsid w:val="00171B3E"/>
    <w:rsid w:val="00175680"/>
    <w:rsid w:val="001909FA"/>
    <w:rsid w:val="0019514E"/>
    <w:rsid w:val="00195D3B"/>
    <w:rsid w:val="001A56C7"/>
    <w:rsid w:val="001C77D9"/>
    <w:rsid w:val="001D52C5"/>
    <w:rsid w:val="001D719A"/>
    <w:rsid w:val="001E0520"/>
    <w:rsid w:val="001E1B82"/>
    <w:rsid w:val="001E417F"/>
    <w:rsid w:val="001E513B"/>
    <w:rsid w:val="001E5BC7"/>
    <w:rsid w:val="001E691A"/>
    <w:rsid w:val="001F03B2"/>
    <w:rsid w:val="001F493F"/>
    <w:rsid w:val="002000F6"/>
    <w:rsid w:val="00200551"/>
    <w:rsid w:val="002013B0"/>
    <w:rsid w:val="0020716F"/>
    <w:rsid w:val="002105C0"/>
    <w:rsid w:val="00211079"/>
    <w:rsid w:val="00214368"/>
    <w:rsid w:val="00216463"/>
    <w:rsid w:val="00220EAA"/>
    <w:rsid w:val="00222610"/>
    <w:rsid w:val="002234D1"/>
    <w:rsid w:val="002363CA"/>
    <w:rsid w:val="0024676C"/>
    <w:rsid w:val="00260DCA"/>
    <w:rsid w:val="00261C6A"/>
    <w:rsid w:val="00275B42"/>
    <w:rsid w:val="00275D39"/>
    <w:rsid w:val="00280346"/>
    <w:rsid w:val="00280D21"/>
    <w:rsid w:val="0028101B"/>
    <w:rsid w:val="00281F2D"/>
    <w:rsid w:val="002826B4"/>
    <w:rsid w:val="002877DA"/>
    <w:rsid w:val="00293F29"/>
    <w:rsid w:val="002953B3"/>
    <w:rsid w:val="00297C33"/>
    <w:rsid w:val="002B06B8"/>
    <w:rsid w:val="002C4C20"/>
    <w:rsid w:val="002D11B9"/>
    <w:rsid w:val="002D5141"/>
    <w:rsid w:val="002D796B"/>
    <w:rsid w:val="002D79F3"/>
    <w:rsid w:val="002F7004"/>
    <w:rsid w:val="0030061B"/>
    <w:rsid w:val="00301CCC"/>
    <w:rsid w:val="00303A0E"/>
    <w:rsid w:val="00307360"/>
    <w:rsid w:val="003206E7"/>
    <w:rsid w:val="003208E6"/>
    <w:rsid w:val="00321C76"/>
    <w:rsid w:val="0032285E"/>
    <w:rsid w:val="003351B8"/>
    <w:rsid w:val="00340C69"/>
    <w:rsid w:val="00342E5E"/>
    <w:rsid w:val="00351742"/>
    <w:rsid w:val="003540FA"/>
    <w:rsid w:val="00356332"/>
    <w:rsid w:val="00363815"/>
    <w:rsid w:val="003649D7"/>
    <w:rsid w:val="003654CD"/>
    <w:rsid w:val="00370110"/>
    <w:rsid w:val="00372598"/>
    <w:rsid w:val="00392F53"/>
    <w:rsid w:val="00393EC0"/>
    <w:rsid w:val="003A2A49"/>
    <w:rsid w:val="003A3966"/>
    <w:rsid w:val="003A645B"/>
    <w:rsid w:val="003A7E6A"/>
    <w:rsid w:val="003C027F"/>
    <w:rsid w:val="003C25EC"/>
    <w:rsid w:val="003C3F6A"/>
    <w:rsid w:val="003D2BE1"/>
    <w:rsid w:val="003D639F"/>
    <w:rsid w:val="003E0572"/>
    <w:rsid w:val="003E28ED"/>
    <w:rsid w:val="003E3910"/>
    <w:rsid w:val="003E6369"/>
    <w:rsid w:val="003F2843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5E68"/>
    <w:rsid w:val="00426C60"/>
    <w:rsid w:val="00427375"/>
    <w:rsid w:val="00430BB6"/>
    <w:rsid w:val="0043243E"/>
    <w:rsid w:val="00433E54"/>
    <w:rsid w:val="00436EC2"/>
    <w:rsid w:val="00442A09"/>
    <w:rsid w:val="00443D02"/>
    <w:rsid w:val="00444FDC"/>
    <w:rsid w:val="00450156"/>
    <w:rsid w:val="00454DC7"/>
    <w:rsid w:val="00455530"/>
    <w:rsid w:val="00456C0A"/>
    <w:rsid w:val="004573FA"/>
    <w:rsid w:val="004607B2"/>
    <w:rsid w:val="00463047"/>
    <w:rsid w:val="00466FFD"/>
    <w:rsid w:val="0046727D"/>
    <w:rsid w:val="004723B2"/>
    <w:rsid w:val="00477026"/>
    <w:rsid w:val="00484EA6"/>
    <w:rsid w:val="0048791D"/>
    <w:rsid w:val="00493ED9"/>
    <w:rsid w:val="004977D7"/>
    <w:rsid w:val="004A01A7"/>
    <w:rsid w:val="004A09C5"/>
    <w:rsid w:val="004A38DD"/>
    <w:rsid w:val="004B4A94"/>
    <w:rsid w:val="004C7DCA"/>
    <w:rsid w:val="004D7880"/>
    <w:rsid w:val="004E0C83"/>
    <w:rsid w:val="004E7E0E"/>
    <w:rsid w:val="00500A63"/>
    <w:rsid w:val="00521746"/>
    <w:rsid w:val="005263E3"/>
    <w:rsid w:val="00534403"/>
    <w:rsid w:val="00536CD0"/>
    <w:rsid w:val="0053744C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0CBA"/>
    <w:rsid w:val="005801BB"/>
    <w:rsid w:val="005865A4"/>
    <w:rsid w:val="00586756"/>
    <w:rsid w:val="0058729F"/>
    <w:rsid w:val="00591BB7"/>
    <w:rsid w:val="00593FA2"/>
    <w:rsid w:val="0059455B"/>
    <w:rsid w:val="005970F5"/>
    <w:rsid w:val="00597356"/>
    <w:rsid w:val="0059741B"/>
    <w:rsid w:val="005A012C"/>
    <w:rsid w:val="005A4EC9"/>
    <w:rsid w:val="005A60C3"/>
    <w:rsid w:val="005C14EB"/>
    <w:rsid w:val="005C29C9"/>
    <w:rsid w:val="005C4816"/>
    <w:rsid w:val="005C781E"/>
    <w:rsid w:val="005E1A50"/>
    <w:rsid w:val="005E1D85"/>
    <w:rsid w:val="005E3599"/>
    <w:rsid w:val="005F0912"/>
    <w:rsid w:val="005F724B"/>
    <w:rsid w:val="00601C8A"/>
    <w:rsid w:val="00601DFE"/>
    <w:rsid w:val="006051FE"/>
    <w:rsid w:val="00606CF5"/>
    <w:rsid w:val="00607675"/>
    <w:rsid w:val="006120D2"/>
    <w:rsid w:val="006123C2"/>
    <w:rsid w:val="00613FAE"/>
    <w:rsid w:val="00626A46"/>
    <w:rsid w:val="00626A74"/>
    <w:rsid w:val="0062750B"/>
    <w:rsid w:val="00634BFC"/>
    <w:rsid w:val="00637E8B"/>
    <w:rsid w:val="00640E73"/>
    <w:rsid w:val="0064237D"/>
    <w:rsid w:val="00647757"/>
    <w:rsid w:val="00650D3D"/>
    <w:rsid w:val="00660072"/>
    <w:rsid w:val="00661628"/>
    <w:rsid w:val="0066540D"/>
    <w:rsid w:val="0067042F"/>
    <w:rsid w:val="006723BE"/>
    <w:rsid w:val="00677B61"/>
    <w:rsid w:val="0068037D"/>
    <w:rsid w:val="00683166"/>
    <w:rsid w:val="0068544E"/>
    <w:rsid w:val="00685F73"/>
    <w:rsid w:val="006950C1"/>
    <w:rsid w:val="0069524E"/>
    <w:rsid w:val="0069631F"/>
    <w:rsid w:val="006A0467"/>
    <w:rsid w:val="006A4940"/>
    <w:rsid w:val="006A57CC"/>
    <w:rsid w:val="006B3890"/>
    <w:rsid w:val="006C0860"/>
    <w:rsid w:val="006C2D08"/>
    <w:rsid w:val="006C7492"/>
    <w:rsid w:val="006D622A"/>
    <w:rsid w:val="006E7273"/>
    <w:rsid w:val="006F4755"/>
    <w:rsid w:val="006F51DB"/>
    <w:rsid w:val="00702BED"/>
    <w:rsid w:val="007049E6"/>
    <w:rsid w:val="00710925"/>
    <w:rsid w:val="00713213"/>
    <w:rsid w:val="007141CA"/>
    <w:rsid w:val="0071455E"/>
    <w:rsid w:val="00716F0E"/>
    <w:rsid w:val="00724E67"/>
    <w:rsid w:val="0073040F"/>
    <w:rsid w:val="007371E0"/>
    <w:rsid w:val="00742489"/>
    <w:rsid w:val="0076071A"/>
    <w:rsid w:val="0076161E"/>
    <w:rsid w:val="00761AF3"/>
    <w:rsid w:val="00765263"/>
    <w:rsid w:val="007723F3"/>
    <w:rsid w:val="00773B0B"/>
    <w:rsid w:val="00776D53"/>
    <w:rsid w:val="00787190"/>
    <w:rsid w:val="007A20E0"/>
    <w:rsid w:val="007C1E85"/>
    <w:rsid w:val="007C4F15"/>
    <w:rsid w:val="007D1069"/>
    <w:rsid w:val="007D6A0E"/>
    <w:rsid w:val="007D6F07"/>
    <w:rsid w:val="007D7D39"/>
    <w:rsid w:val="007F772C"/>
    <w:rsid w:val="00801CDD"/>
    <w:rsid w:val="00811964"/>
    <w:rsid w:val="00823A41"/>
    <w:rsid w:val="00824996"/>
    <w:rsid w:val="008340C9"/>
    <w:rsid w:val="00834A49"/>
    <w:rsid w:val="00837E45"/>
    <w:rsid w:val="0084277E"/>
    <w:rsid w:val="008456A1"/>
    <w:rsid w:val="00851074"/>
    <w:rsid w:val="008541DA"/>
    <w:rsid w:val="0087049D"/>
    <w:rsid w:val="00870D3E"/>
    <w:rsid w:val="00877CF1"/>
    <w:rsid w:val="00881BA3"/>
    <w:rsid w:val="00884306"/>
    <w:rsid w:val="00891DB2"/>
    <w:rsid w:val="008A4895"/>
    <w:rsid w:val="008B0E87"/>
    <w:rsid w:val="008B1F9A"/>
    <w:rsid w:val="008C4A49"/>
    <w:rsid w:val="008C76AF"/>
    <w:rsid w:val="008D405D"/>
    <w:rsid w:val="008D5575"/>
    <w:rsid w:val="008F125B"/>
    <w:rsid w:val="008F533C"/>
    <w:rsid w:val="009000D8"/>
    <w:rsid w:val="009072FC"/>
    <w:rsid w:val="009149E6"/>
    <w:rsid w:val="00916E60"/>
    <w:rsid w:val="00917C90"/>
    <w:rsid w:val="00945FB9"/>
    <w:rsid w:val="009475A7"/>
    <w:rsid w:val="009518AD"/>
    <w:rsid w:val="00951930"/>
    <w:rsid w:val="00956F49"/>
    <w:rsid w:val="009610E2"/>
    <w:rsid w:val="0096469E"/>
    <w:rsid w:val="0097303D"/>
    <w:rsid w:val="009752FC"/>
    <w:rsid w:val="00982A02"/>
    <w:rsid w:val="00983393"/>
    <w:rsid w:val="00984352"/>
    <w:rsid w:val="00985819"/>
    <w:rsid w:val="00985B7C"/>
    <w:rsid w:val="00985E6B"/>
    <w:rsid w:val="00991660"/>
    <w:rsid w:val="00995049"/>
    <w:rsid w:val="009A389D"/>
    <w:rsid w:val="009A3F56"/>
    <w:rsid w:val="009B032C"/>
    <w:rsid w:val="009B0804"/>
    <w:rsid w:val="009C081A"/>
    <w:rsid w:val="009C0BC3"/>
    <w:rsid w:val="009C31A6"/>
    <w:rsid w:val="009D3DAC"/>
    <w:rsid w:val="009D72AA"/>
    <w:rsid w:val="009E4B3A"/>
    <w:rsid w:val="009E4B81"/>
    <w:rsid w:val="009F3E9D"/>
    <w:rsid w:val="00A04B5E"/>
    <w:rsid w:val="00A1255F"/>
    <w:rsid w:val="00A15A28"/>
    <w:rsid w:val="00A274A1"/>
    <w:rsid w:val="00A3283F"/>
    <w:rsid w:val="00A47859"/>
    <w:rsid w:val="00A55A71"/>
    <w:rsid w:val="00A66FC9"/>
    <w:rsid w:val="00A7786D"/>
    <w:rsid w:val="00A81DD1"/>
    <w:rsid w:val="00A851CE"/>
    <w:rsid w:val="00A8689E"/>
    <w:rsid w:val="00A90461"/>
    <w:rsid w:val="00A91166"/>
    <w:rsid w:val="00A91452"/>
    <w:rsid w:val="00A94CB1"/>
    <w:rsid w:val="00A95D0B"/>
    <w:rsid w:val="00AA0C58"/>
    <w:rsid w:val="00AA1D72"/>
    <w:rsid w:val="00AA4C4E"/>
    <w:rsid w:val="00AB4BE7"/>
    <w:rsid w:val="00AB5479"/>
    <w:rsid w:val="00AB7649"/>
    <w:rsid w:val="00AC0BF4"/>
    <w:rsid w:val="00AC5981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13E3F"/>
    <w:rsid w:val="00B2195A"/>
    <w:rsid w:val="00B2444F"/>
    <w:rsid w:val="00B30BFC"/>
    <w:rsid w:val="00B31BB1"/>
    <w:rsid w:val="00B35F60"/>
    <w:rsid w:val="00B40D87"/>
    <w:rsid w:val="00B43D9B"/>
    <w:rsid w:val="00B47092"/>
    <w:rsid w:val="00B51C8F"/>
    <w:rsid w:val="00B602D0"/>
    <w:rsid w:val="00B62344"/>
    <w:rsid w:val="00B70022"/>
    <w:rsid w:val="00B7165F"/>
    <w:rsid w:val="00B7297D"/>
    <w:rsid w:val="00B733E5"/>
    <w:rsid w:val="00B759AD"/>
    <w:rsid w:val="00B77C9F"/>
    <w:rsid w:val="00B8724F"/>
    <w:rsid w:val="00B90BD8"/>
    <w:rsid w:val="00B9367A"/>
    <w:rsid w:val="00B96F18"/>
    <w:rsid w:val="00BA175D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1651"/>
    <w:rsid w:val="00BE2E0B"/>
    <w:rsid w:val="00BE3BE4"/>
    <w:rsid w:val="00BE5550"/>
    <w:rsid w:val="00BF58C9"/>
    <w:rsid w:val="00C044C1"/>
    <w:rsid w:val="00C056A9"/>
    <w:rsid w:val="00C063DD"/>
    <w:rsid w:val="00C07FEA"/>
    <w:rsid w:val="00C12B28"/>
    <w:rsid w:val="00C15C5E"/>
    <w:rsid w:val="00C16121"/>
    <w:rsid w:val="00C206E5"/>
    <w:rsid w:val="00C20725"/>
    <w:rsid w:val="00C21594"/>
    <w:rsid w:val="00C223DD"/>
    <w:rsid w:val="00C240F6"/>
    <w:rsid w:val="00C27B17"/>
    <w:rsid w:val="00C30639"/>
    <w:rsid w:val="00C311A5"/>
    <w:rsid w:val="00C326D6"/>
    <w:rsid w:val="00C3299F"/>
    <w:rsid w:val="00C40994"/>
    <w:rsid w:val="00C4391D"/>
    <w:rsid w:val="00C47D31"/>
    <w:rsid w:val="00C5077B"/>
    <w:rsid w:val="00C54AA7"/>
    <w:rsid w:val="00C559EC"/>
    <w:rsid w:val="00C5725B"/>
    <w:rsid w:val="00C61C26"/>
    <w:rsid w:val="00C678BE"/>
    <w:rsid w:val="00C744B6"/>
    <w:rsid w:val="00C744B7"/>
    <w:rsid w:val="00C74A09"/>
    <w:rsid w:val="00C75430"/>
    <w:rsid w:val="00C77E07"/>
    <w:rsid w:val="00C813C2"/>
    <w:rsid w:val="00C92F69"/>
    <w:rsid w:val="00C96465"/>
    <w:rsid w:val="00CA0DC0"/>
    <w:rsid w:val="00CA3ABB"/>
    <w:rsid w:val="00CA431A"/>
    <w:rsid w:val="00CA7894"/>
    <w:rsid w:val="00CB1B52"/>
    <w:rsid w:val="00CB1E4F"/>
    <w:rsid w:val="00CB29E5"/>
    <w:rsid w:val="00CB5768"/>
    <w:rsid w:val="00CB6B2A"/>
    <w:rsid w:val="00CC0409"/>
    <w:rsid w:val="00CC309B"/>
    <w:rsid w:val="00CC35A2"/>
    <w:rsid w:val="00CC7927"/>
    <w:rsid w:val="00CD0856"/>
    <w:rsid w:val="00CD15B9"/>
    <w:rsid w:val="00CD48E1"/>
    <w:rsid w:val="00CD784B"/>
    <w:rsid w:val="00CE0BC6"/>
    <w:rsid w:val="00CE34F5"/>
    <w:rsid w:val="00CE4D66"/>
    <w:rsid w:val="00CE6BE9"/>
    <w:rsid w:val="00CF6697"/>
    <w:rsid w:val="00D042D4"/>
    <w:rsid w:val="00D066AA"/>
    <w:rsid w:val="00D12AC4"/>
    <w:rsid w:val="00D1533B"/>
    <w:rsid w:val="00D15B3B"/>
    <w:rsid w:val="00D20AC3"/>
    <w:rsid w:val="00D50FAD"/>
    <w:rsid w:val="00D51EEB"/>
    <w:rsid w:val="00D63056"/>
    <w:rsid w:val="00D70040"/>
    <w:rsid w:val="00D7143F"/>
    <w:rsid w:val="00DA10DB"/>
    <w:rsid w:val="00DA5FC1"/>
    <w:rsid w:val="00DA6707"/>
    <w:rsid w:val="00DB4171"/>
    <w:rsid w:val="00DC7A75"/>
    <w:rsid w:val="00DD3D93"/>
    <w:rsid w:val="00DD4E3E"/>
    <w:rsid w:val="00DD6689"/>
    <w:rsid w:val="00DF3F66"/>
    <w:rsid w:val="00E12747"/>
    <w:rsid w:val="00E14659"/>
    <w:rsid w:val="00E20C93"/>
    <w:rsid w:val="00E24FEA"/>
    <w:rsid w:val="00E25DF5"/>
    <w:rsid w:val="00E34849"/>
    <w:rsid w:val="00E35119"/>
    <w:rsid w:val="00E414DB"/>
    <w:rsid w:val="00E456D4"/>
    <w:rsid w:val="00E47767"/>
    <w:rsid w:val="00E528AB"/>
    <w:rsid w:val="00E5382A"/>
    <w:rsid w:val="00E62893"/>
    <w:rsid w:val="00E660F6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E71B0"/>
    <w:rsid w:val="00EE7B5E"/>
    <w:rsid w:val="00EF1981"/>
    <w:rsid w:val="00EF4611"/>
    <w:rsid w:val="00F0418D"/>
    <w:rsid w:val="00F049CC"/>
    <w:rsid w:val="00F04EC6"/>
    <w:rsid w:val="00F152C4"/>
    <w:rsid w:val="00F20F3B"/>
    <w:rsid w:val="00F21784"/>
    <w:rsid w:val="00F21B6A"/>
    <w:rsid w:val="00F225F7"/>
    <w:rsid w:val="00F26AB3"/>
    <w:rsid w:val="00F30E1E"/>
    <w:rsid w:val="00F34410"/>
    <w:rsid w:val="00F36723"/>
    <w:rsid w:val="00F508AE"/>
    <w:rsid w:val="00F562EF"/>
    <w:rsid w:val="00F668A6"/>
    <w:rsid w:val="00F70F49"/>
    <w:rsid w:val="00F7763B"/>
    <w:rsid w:val="00F837DE"/>
    <w:rsid w:val="00F843F9"/>
    <w:rsid w:val="00FA0FB3"/>
    <w:rsid w:val="00FA634C"/>
    <w:rsid w:val="00FA79CC"/>
    <w:rsid w:val="00FA7B77"/>
    <w:rsid w:val="00FB11FD"/>
    <w:rsid w:val="00FB4F1B"/>
    <w:rsid w:val="00FB57B9"/>
    <w:rsid w:val="00FC186E"/>
    <w:rsid w:val="00FC2E35"/>
    <w:rsid w:val="00FC30BF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2198E"/>
  <w15:chartTrackingRefBased/>
  <w15:docId w15:val="{6E8FDB13-1675-41FB-9473-DF42BF12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aliases w:val="Text pozn. pod čarou_martin_ang"/>
    <w:basedOn w:val="Normln"/>
    <w:link w:val="TextpoznpodarouChar"/>
    <w:uiPriority w:val="99"/>
    <w:unhideWhenUsed/>
    <w:qFormat/>
    <w:rsid w:val="00281F2D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aliases w:val="Text pozn. pod čarou_martin_ang Char"/>
    <w:basedOn w:val="Standardnpsmoodstavce"/>
    <w:link w:val="Textpoznpodarou"/>
    <w:qFormat/>
    <w:rsid w:val="000106FE"/>
    <w:rPr>
      <w:sz w:val="16"/>
    </w:rPr>
  </w:style>
  <w:style w:type="character" w:styleId="Znakapoznpodarou">
    <w:name w:val="footnote reference"/>
    <w:basedOn w:val="Standardnpsmoodstavce"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Datum">
    <w:name w:val="Datum_"/>
    <w:qFormat/>
    <w:rsid w:val="00683166"/>
    <w:pPr>
      <w:spacing w:after="0"/>
      <w:jc w:val="left"/>
    </w:pPr>
    <w:rPr>
      <w:rFonts w:ascii="Arial" w:eastAsia="Calibri" w:hAnsi="Arial" w:cs="Arial"/>
      <w:b/>
      <w:kern w:val="0"/>
      <w:sz w:val="18"/>
      <w:szCs w:val="22"/>
      <w14:ligatures w14:val="none"/>
    </w:rPr>
  </w:style>
  <w:style w:type="paragraph" w:customStyle="1" w:styleId="TabulkaGraf">
    <w:name w:val="Tabulka/Graf_"/>
    <w:next w:val="Normln"/>
    <w:link w:val="TabulkaGrafChar"/>
    <w:qFormat/>
    <w:rsid w:val="00683166"/>
    <w:pPr>
      <w:spacing w:after="0"/>
      <w:jc w:val="left"/>
    </w:pPr>
    <w:rPr>
      <w:rFonts w:ascii="Arial" w:eastAsia="Times New Roman" w:hAnsi="Arial" w:cs="Times New Roman"/>
      <w:b/>
      <w:bCs/>
      <w:kern w:val="0"/>
      <w:szCs w:val="28"/>
      <w14:ligatures w14:val="none"/>
    </w:rPr>
  </w:style>
  <w:style w:type="character" w:customStyle="1" w:styleId="TabulkaGrafChar">
    <w:name w:val="Tabulka/Graf_ Char"/>
    <w:link w:val="TabulkaGraf"/>
    <w:rsid w:val="00683166"/>
    <w:rPr>
      <w:rFonts w:ascii="Arial" w:eastAsia="Times New Roman" w:hAnsi="Arial" w:cs="Times New Roman"/>
      <w:b/>
      <w:bCs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5.emf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stakova14689\Downloads\Form_c463_Rychla%20informace_CZ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UstanoveniForm xmlns="8675fb2b-b414-4bad-b4c4-d9349268b5a1" xsi:nil="true"/>
    <Vazbanaproces xmlns="8675fb2b-b414-4bad-b4c4-d9349268b5a1">P4.2</Vazbanaproces>
    <UcinnostOdForm xmlns="8675fb2b-b414-4bad-b4c4-d9349268b5a1">2026-05-31T22:00:00+00:00</UcinnostOdForm>
    <Odkaz xmlns="8675fb2b-b414-4bad-b4c4-d9349268b5a1">
      <Url xsi:nil="true"/>
      <Description xsi:nil="true"/>
    </Odkaz>
    <Verzeform xmlns="8675fb2b-b414-4bad-b4c4-d9349268b5a1">v1.1</Verzeform>
    <Historieverze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Oznaceni xmlns="8675fb2b-b414-4bad-b4c4-d9349268b5a1">Form_c463</Oznaceni>
    <Platnost xmlns="8675fb2b-b414-4bad-b4c4-d9349268b5a1">true</Platnost>
    <Form_c xmlns="8675fb2b-b414-4bad-b4c4-d9349268b5a1">463</Form_c>
    <DomenaForm xmlns="8675fb2b-b414-4bad-b4c4-d9349268b5a1">
      <Value>P4 Komunikace a propagace</Value>
    </DomenaForm>
    <NazevForm xmlns="8675fb2b-b414-4bad-b4c4-d9349268b5a1">Rychlá informace CZ</NazevForm>
    <PredpisForm xmlns="8675fb2b-b414-4bad-b4c4-d9349268b5a1">Manuál značky a jednotného vizuálního stylu Českého statistického úřadu </PredpisForm>
    <Forma xmlns="8675fb2b-b414-4bad-b4c4-d9349268b5a1">
      <Value>Elektronická</Value>
    </Forma>
    <UcinnostDoForm xmlns="8675fb2b-b414-4bad-b4c4-d9349268b5a1" xsi:nil="true"/>
    <PoznForm xmlns="8675fb2b-b414-4bad-b4c4-d9349268b5a1" xsi:nil="true"/>
    <SiteKnihDok xmlns="406a38fe-c53c-4047-b0f8-c641386931ae">Formuláře</SiteKnihDok>
    <ProcDomena xmlns="406a38fe-c53c-4047-b0f8-c641386931ae">
      <Value>P4 Komunikace a propagace</Value>
    </ProcDomen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40" ma:contentTypeDescription="Vytvoří nový dokument" ma:contentTypeScope="" ma:versionID="2a02fb4344da2b946e7cd44bdddfdd45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b4ba85179febe9c5eeba657ddc1348ef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iteKnihDok" minOccurs="0"/>
                <xsd:element ref="ns3:ProcD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_old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teKnihDok" ma:index="37" nillable="true" ma:displayName="SiteKnihDok" ma:default="Vnitřní předpisy" ma:description="Seznam knihoven v Site Knihovna dokumentů ČSÚ" ma:format="Dropdown" ma:internalName="SiteKnihDok">
      <xsd:simpleType>
        <xsd:restriction base="dms:Choice">
          <xsd:enumeration value="Vnitřní předpisy"/>
          <xsd:enumeration value="Formuláře"/>
          <xsd:enumeration value="Návody a manuály"/>
          <xsd:enumeration value="Zápisy a reporty"/>
        </xsd:restriction>
      </xsd:simpleType>
    </xsd:element>
    <xsd:element name="ProcDomena" ma:index="38" nillable="true" ma:displayName="Procesní doména" ma:default="P1 Bezpečnost" ma:internalName="ProcDomen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 Koordinace a správa metodiky"/>
                    <xsd:enumeration value="H2 Posouzení požadavků"/>
                    <xsd:enumeration value="H3 Specifikace úlohy"/>
                    <xsd:enumeration value="H4 Příprava zpracování"/>
                    <xsd:enumeration value="H5 Sběr dat"/>
                    <xsd:enumeration value="H6 Statistické zpracování"/>
                    <xsd:enumeration value="H7 Analýza a tvorba výstupů"/>
                    <xsd:enumeration value="H8 Diseminace"/>
                    <xsd:enumeration value="H9 Evaluace"/>
                    <xsd:enumeration value="H10 Zpracování voleb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9ED94B62-3755-4F6B-ABA4-8F87B4680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1277</TotalTime>
  <Pages>13</Pages>
  <Words>1884</Words>
  <Characters>11120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12979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Košťáková Tereza</dc:creator>
  <cp:keywords/>
  <dc:description/>
  <cp:lastModifiedBy>Košťáková Tereza</cp:lastModifiedBy>
  <cp:revision>69</cp:revision>
  <dcterms:created xsi:type="dcterms:W3CDTF">2026-07-21T08:36:00Z</dcterms:created>
  <dcterms:modified xsi:type="dcterms:W3CDTF">2026-10-15T08:58:00Z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