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D59B4" w14:textId="77777777" w:rsidR="00A75E40" w:rsidRPr="009110F7" w:rsidRDefault="00BF4329" w:rsidP="00E67696">
      <w:pPr>
        <w:rPr>
          <w:lang w:eastAsia="ar-SA"/>
        </w:rPr>
        <w:sectPr w:rsidR="00A75E40" w:rsidRPr="009110F7" w:rsidSect="0085114D">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153790F7" wp14:editId="0FC115F8">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3D550F9"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">
                <o:lock v:ext="edit" aspectratio="t"/>
                <v:rect id="Rectangle 9"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fillcolor="#0071bc" stroked="f">
                  <o:lock v:ext="edit" aspectratio="t"/>
                </v:rect>
                <v:rect id="Rectangle 10"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fillcolor="#0071bc" stroked="f">
                  <o:lock v:ext="edit" aspectratio="t"/>
                </v:rect>
                <v:rect id="Rectangle 11"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7D749472" wp14:editId="7C6FD2F2">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E9AC955" w14:textId="1A430DC1" w:rsidR="0091476D" w:rsidRDefault="0091476D" w:rsidP="004924DC">
                            <w:r>
                              <w:t>Z</w:t>
                            </w:r>
                            <w:r w:rsidRPr="006C5577">
                              <w:t xml:space="preserve">pracoval: </w:t>
                            </w:r>
                            <w:r>
                              <w:t>o</w:t>
                            </w:r>
                            <w:r w:rsidRPr="006C5577">
                              <w:t>dbor</w:t>
                            </w:r>
                            <w:r>
                              <w:t xml:space="preserve"> Kancelář předsedy</w:t>
                            </w:r>
                          </w:p>
                          <w:p w14:paraId="132AD0FF" w14:textId="77777777" w:rsidR="0091476D" w:rsidRPr="006C5577" w:rsidRDefault="0091476D" w:rsidP="004924DC">
                            <w:r w:rsidRPr="006C5577">
                              <w:t xml:space="preserve">Ředitel odboru: </w:t>
                            </w:r>
                            <w:proofErr w:type="spellStart"/>
                            <w:r>
                              <w:t>Egor</w:t>
                            </w:r>
                            <w:proofErr w:type="spellEnd"/>
                            <w:r>
                              <w:t xml:space="preserve"> </w:t>
                            </w:r>
                            <w:proofErr w:type="spellStart"/>
                            <w:r>
                              <w:t>Sidorov</w:t>
                            </w:r>
                            <w:proofErr w:type="spellEnd"/>
                            <w:r>
                              <w:t>, Ph.D.</w:t>
                            </w:r>
                          </w:p>
                          <w:p w14:paraId="6CA077B6" w14:textId="77777777" w:rsidR="0091476D" w:rsidRPr="006C5577" w:rsidRDefault="0091476D" w:rsidP="004924DC">
                            <w:r w:rsidRPr="006C5577">
                              <w:t xml:space="preserve">Kontaktní osoba: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49472"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" filled="f" stroked="f">
                <v:textbox inset="0,0,0,0">
                  <w:txbxContent>
                    <w:p w14:paraId="7E9AC955" w14:textId="1A430DC1" w:rsidR="0091476D" w:rsidRDefault="0091476D" w:rsidP="004924DC">
                      <w:r>
                        <w:t>Z</w:t>
                      </w:r>
                      <w:r w:rsidRPr="006C5577">
                        <w:t xml:space="preserve">pracoval: </w:t>
                      </w:r>
                      <w:r>
                        <w:t>o</w:t>
                      </w:r>
                      <w:r w:rsidRPr="006C5577">
                        <w:t>dbor</w:t>
                      </w:r>
                      <w:r>
                        <w:t xml:space="preserve"> Kancelář předsedy</w:t>
                      </w:r>
                    </w:p>
                    <w:p w14:paraId="132AD0FF" w14:textId="77777777" w:rsidR="0091476D" w:rsidRPr="006C5577" w:rsidRDefault="0091476D" w:rsidP="004924DC">
                      <w:r w:rsidRPr="006C5577">
                        <w:t xml:space="preserve">Ředitel odboru: </w:t>
                      </w:r>
                      <w:proofErr w:type="spellStart"/>
                      <w:r>
                        <w:t>Egor</w:t>
                      </w:r>
                      <w:proofErr w:type="spellEnd"/>
                      <w:r>
                        <w:t xml:space="preserve"> </w:t>
                      </w:r>
                      <w:proofErr w:type="spellStart"/>
                      <w:r>
                        <w:t>Sidorov</w:t>
                      </w:r>
                      <w:proofErr w:type="spellEnd"/>
                      <w:r>
                        <w:t>, Ph.D.</w:t>
                      </w:r>
                    </w:p>
                    <w:p w14:paraId="6CA077B6" w14:textId="77777777" w:rsidR="0091476D" w:rsidRPr="006C5577" w:rsidRDefault="0091476D"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8FC7FBA" wp14:editId="39BCFF7A">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DD19A4A" w14:textId="77777777" w:rsidR="0091476D" w:rsidRPr="004924DC" w:rsidRDefault="0091476D" w:rsidP="004924DC">
                            <w:pPr>
                              <w:pStyle w:val="TLIdentifikace-sted"/>
                            </w:pPr>
                            <w:r>
                              <w:t>souhrnná data o České republice</w:t>
                            </w:r>
                          </w:p>
                          <w:p w14:paraId="6D18FF6B" w14:textId="16686A04" w:rsidR="0091476D" w:rsidRPr="004924DC" w:rsidRDefault="0091476D" w:rsidP="004924DC">
                            <w:pPr>
                              <w:pStyle w:val="TLIdentifikace-sted"/>
                            </w:pPr>
                            <w:r>
                              <w:t>Praha, 19. 3. 2020</w:t>
                            </w:r>
                          </w:p>
                          <w:p w14:paraId="730B937E" w14:textId="6A25289A" w:rsidR="0091476D" w:rsidRPr="00B23E6E" w:rsidRDefault="0091476D" w:rsidP="004924DC">
                            <w:pPr>
                              <w:pStyle w:val="TLIdentifikace-sted"/>
                            </w:pPr>
                            <w:r w:rsidRPr="00B23E6E">
                              <w:t>Kód publikace: 320193-20</w:t>
                            </w:r>
                          </w:p>
                          <w:p w14:paraId="1E265112" w14:textId="16821D44" w:rsidR="0091476D" w:rsidRPr="00264992" w:rsidRDefault="0091476D" w:rsidP="004924DC">
                            <w:pPr>
                              <w:pStyle w:val="TLIdentifikace-sted"/>
                              <w:rPr>
                                <w:rFonts w:cs="Arial"/>
                              </w:rPr>
                            </w:pPr>
                            <w:r w:rsidRPr="00264992">
                              <w:rPr>
                                <w:rFonts w:cs="Arial"/>
                              </w:rPr>
                              <w:t xml:space="preserve">Č. j.: </w:t>
                            </w:r>
                            <w:r w:rsidR="00264992" w:rsidRPr="00264992">
                              <w:rPr>
                                <w:rFonts w:eastAsia="Calibri" w:cs="Arial"/>
                                <w:lang w:eastAsia="en-US"/>
                              </w:rPr>
                              <w:t>CSU: 002748/2021-01</w:t>
                            </w:r>
                            <w:bookmarkStart w:id="0" w:name="_GoBack"/>
                            <w:bookmarkEnd w:id="0"/>
                          </w:p>
                          <w:p w14:paraId="3F00E29A" w14:textId="2F75B082" w:rsidR="0091476D" w:rsidRPr="004924DC" w:rsidRDefault="0091476D" w:rsidP="004924DC">
                            <w:pPr>
                              <w:pStyle w:val="TLIdentifikace-sted"/>
                            </w:pPr>
                            <w:r w:rsidRPr="004924DC">
                              <w:t>Pořadové číslo v</w:t>
                            </w:r>
                            <w:r>
                              <w:t> </w:t>
                            </w:r>
                            <w:r w:rsidRPr="004924DC">
                              <w:t xml:space="preserve">roce: </w:t>
                            </w:r>
                            <w:r>
                              <w:t>4</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FC7FBA"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" filled="f" stroked="f">
                <v:textbox style="mso-fit-shape-to-text:t" inset="0,0,0,0">
                  <w:txbxContent>
                    <w:p w14:paraId="7DD19A4A" w14:textId="77777777" w:rsidR="0091476D" w:rsidRPr="004924DC" w:rsidRDefault="0091476D" w:rsidP="004924DC">
                      <w:pPr>
                        <w:pStyle w:val="TLIdentifikace-sted"/>
                      </w:pPr>
                      <w:r>
                        <w:t>souhrnná data o České republice</w:t>
                      </w:r>
                    </w:p>
                    <w:p w14:paraId="6D18FF6B" w14:textId="16686A04" w:rsidR="0091476D" w:rsidRPr="004924DC" w:rsidRDefault="0091476D" w:rsidP="004924DC">
                      <w:pPr>
                        <w:pStyle w:val="TLIdentifikace-sted"/>
                      </w:pPr>
                      <w:r>
                        <w:t>Praha, 19. 3. 2020</w:t>
                      </w:r>
                    </w:p>
                    <w:p w14:paraId="730B937E" w14:textId="6A25289A" w:rsidR="0091476D" w:rsidRPr="00B23E6E" w:rsidRDefault="0091476D" w:rsidP="004924DC">
                      <w:pPr>
                        <w:pStyle w:val="TLIdentifikace-sted"/>
                      </w:pPr>
                      <w:r w:rsidRPr="00B23E6E">
                        <w:t>Kód publikace: 320193-20</w:t>
                      </w:r>
                    </w:p>
                    <w:p w14:paraId="1E265112" w14:textId="16821D44" w:rsidR="0091476D" w:rsidRPr="00264992" w:rsidRDefault="0091476D" w:rsidP="004924DC">
                      <w:pPr>
                        <w:pStyle w:val="TLIdentifikace-sted"/>
                        <w:rPr>
                          <w:rFonts w:cs="Arial"/>
                        </w:rPr>
                      </w:pPr>
                      <w:r w:rsidRPr="00264992">
                        <w:rPr>
                          <w:rFonts w:cs="Arial"/>
                        </w:rPr>
                        <w:t xml:space="preserve">Č. j.: </w:t>
                      </w:r>
                      <w:r w:rsidR="00264992" w:rsidRPr="00264992">
                        <w:rPr>
                          <w:rFonts w:eastAsia="Calibri" w:cs="Arial"/>
                          <w:lang w:eastAsia="en-US"/>
                        </w:rPr>
                        <w:t>CSU: 002748/2021-01</w:t>
                      </w:r>
                      <w:bookmarkStart w:id="1" w:name="_GoBack"/>
                      <w:bookmarkEnd w:id="1"/>
                    </w:p>
                    <w:p w14:paraId="3F00E29A" w14:textId="2F75B082" w:rsidR="0091476D" w:rsidRPr="004924DC" w:rsidRDefault="0091476D" w:rsidP="004924DC">
                      <w:pPr>
                        <w:pStyle w:val="TLIdentifikace-sted"/>
                      </w:pPr>
                      <w:r w:rsidRPr="004924DC">
                        <w:t>Pořadové číslo v</w:t>
                      </w:r>
                      <w:r>
                        <w:t> </w:t>
                      </w:r>
                      <w:r w:rsidRPr="004924DC">
                        <w:t xml:space="preserve">roce: </w:t>
                      </w:r>
                      <w:r>
                        <w:t>4</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22A1BD4B" wp14:editId="31E7B52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6763847" w14:textId="77777777" w:rsidR="0091476D" w:rsidRPr="000E6FBD" w:rsidRDefault="0091476D" w:rsidP="000E6FBD">
                            <w:pPr>
                              <w:pStyle w:val="Nzev"/>
                            </w:pPr>
                            <w:r>
                              <w:t>Vývoj ekonomiky české republiky</w:t>
                            </w:r>
                          </w:p>
                          <w:p w14:paraId="0059A4DC" w14:textId="77777777" w:rsidR="0091476D" w:rsidRPr="0012192F" w:rsidRDefault="0091476D" w:rsidP="0012192F">
                            <w:pPr>
                              <w:pStyle w:val="Podnadpis"/>
                            </w:pPr>
                          </w:p>
                          <w:p w14:paraId="0A162DB8" w14:textId="73663A13" w:rsidR="0091476D" w:rsidRPr="0012192F" w:rsidRDefault="0091476D" w:rsidP="00EA0E39">
                            <w:pPr>
                              <w:pStyle w:val="Podnadpis"/>
                              <w:ind w:left="360"/>
                            </w:pPr>
                            <w:r>
                              <w:t>Rok 2020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A1BD4B"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" filled="f" stroked="f">
                <v:textbox style="mso-fit-shape-to-text:t" inset="0,0,0,0">
                  <w:txbxContent>
                    <w:p w14:paraId="06763847" w14:textId="77777777" w:rsidR="0091476D" w:rsidRPr="000E6FBD" w:rsidRDefault="0091476D" w:rsidP="000E6FBD">
                      <w:pPr>
                        <w:pStyle w:val="Nzev"/>
                      </w:pPr>
                      <w:r>
                        <w:t>Vývoj ekonomiky české republiky</w:t>
                      </w:r>
                    </w:p>
                    <w:p w14:paraId="0059A4DC" w14:textId="77777777" w:rsidR="0091476D" w:rsidRPr="0012192F" w:rsidRDefault="0091476D" w:rsidP="0012192F">
                      <w:pPr>
                        <w:pStyle w:val="Podnadpis"/>
                      </w:pPr>
                    </w:p>
                    <w:p w14:paraId="0A162DB8" w14:textId="73663A13" w:rsidR="0091476D" w:rsidRPr="0012192F" w:rsidRDefault="0091476D" w:rsidP="00EA0E39">
                      <w:pPr>
                        <w:pStyle w:val="Podnadpis"/>
                        <w:ind w:left="360"/>
                      </w:pPr>
                      <w:r>
                        <w:t>Rok 2020</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211D308C" wp14:editId="77DC381B">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04B1224" w14:textId="3919AAF8" w:rsidR="0091476D" w:rsidRPr="004924DC" w:rsidRDefault="0091476D" w:rsidP="004924DC">
                            <w:r w:rsidRPr="004924DC">
                              <w:t xml:space="preserve">© Český statistický úřad, </w:t>
                            </w:r>
                            <w:r>
                              <w:t>Praha</w:t>
                            </w:r>
                            <w:r w:rsidRPr="004924DC">
                              <w:t xml:space="preserve">, </w:t>
                            </w:r>
                            <w:r>
                              <w:t>2021</w:t>
                            </w:r>
                          </w:p>
                          <w:p w14:paraId="6B03C3EF" w14:textId="77777777" w:rsidR="0091476D" w:rsidRPr="005251DD" w:rsidRDefault="0091476D" w:rsidP="00665BA4"/>
                          <w:p w14:paraId="0A8089AF" w14:textId="77777777" w:rsidR="0091476D" w:rsidRPr="005251DD" w:rsidRDefault="0091476D" w:rsidP="00FC684B"/>
                          <w:p w14:paraId="002EBABF" w14:textId="77777777" w:rsidR="0091476D" w:rsidRDefault="0091476D"/>
                          <w:p w14:paraId="1BBEDF65" w14:textId="77777777" w:rsidR="0091476D" w:rsidRPr="00097407" w:rsidRDefault="0091476D"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048CED67" w14:textId="77777777" w:rsidR="0091476D" w:rsidRPr="005251DD" w:rsidRDefault="0091476D" w:rsidP="00665BA4"/>
                          <w:p w14:paraId="2D7C43C3" w14:textId="77777777" w:rsidR="0091476D" w:rsidRPr="005251DD" w:rsidRDefault="0091476D"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D308C"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" filled="f" stroked="f">
                <v:textbox inset="0,0,0,0">
                  <w:txbxContent>
                    <w:p w14:paraId="504B1224" w14:textId="3919AAF8" w:rsidR="0091476D" w:rsidRPr="004924DC" w:rsidRDefault="0091476D" w:rsidP="004924DC">
                      <w:r w:rsidRPr="004924DC">
                        <w:t xml:space="preserve">© Český statistický úřad, </w:t>
                      </w:r>
                      <w:r>
                        <w:t>Praha</w:t>
                      </w:r>
                      <w:r w:rsidRPr="004924DC">
                        <w:t xml:space="preserve">, </w:t>
                      </w:r>
                      <w:r>
                        <w:t>2021</w:t>
                      </w:r>
                    </w:p>
                    <w:p w14:paraId="6B03C3EF" w14:textId="77777777" w:rsidR="0091476D" w:rsidRPr="005251DD" w:rsidRDefault="0091476D" w:rsidP="00665BA4"/>
                    <w:p w14:paraId="0A8089AF" w14:textId="77777777" w:rsidR="0091476D" w:rsidRPr="005251DD" w:rsidRDefault="0091476D" w:rsidP="00FC684B"/>
                    <w:p w14:paraId="002EBABF" w14:textId="77777777" w:rsidR="0091476D" w:rsidRDefault="0091476D"/>
                    <w:p w14:paraId="1BBEDF65" w14:textId="77777777" w:rsidR="0091476D" w:rsidRPr="00097407" w:rsidRDefault="0091476D"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048CED67" w14:textId="77777777" w:rsidR="0091476D" w:rsidRPr="005251DD" w:rsidRDefault="0091476D" w:rsidP="00665BA4"/>
                    <w:p w14:paraId="2D7C43C3" w14:textId="77777777" w:rsidR="0091476D" w:rsidRPr="005251DD" w:rsidRDefault="0091476D" w:rsidP="00FC684B"/>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3632" behindDoc="0" locked="1" layoutInCell="0" allowOverlap="1" wp14:anchorId="56616E6D" wp14:editId="72D626EF">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CF06386" id="Přímá spojnice 33" o:spid="_x0000_s1026"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rsidRPr="009110F7">
        <w:br w:type="page"/>
      </w:r>
      <w:r w:rsidR="00D57677" w:rsidRPr="009110F7">
        <w:lastRenderedPageBreak/>
        <w:br w:type="page"/>
      </w:r>
      <w:r>
        <w:rPr>
          <w:noProof/>
        </w:rPr>
        <mc:AlternateContent>
          <mc:Choice Requires="wps">
            <w:drawing>
              <wp:anchor distT="0" distB="0" distL="114300" distR="114300" simplePos="0" relativeHeight="251659776" behindDoc="0" locked="1" layoutInCell="1" allowOverlap="1" wp14:anchorId="1CA088C6" wp14:editId="054DEB49">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8541332" w14:textId="77777777" w:rsidR="0091476D" w:rsidRPr="006F5416" w:rsidRDefault="0091476D" w:rsidP="006F5416">
                            <w:pPr>
                              <w:pStyle w:val="TLKontaktyerven"/>
                            </w:pPr>
                            <w:r w:rsidRPr="006F5416">
                              <w:t>KONTAKTY V ÚSTŘEDÍ</w:t>
                            </w:r>
                          </w:p>
                          <w:p w14:paraId="3C71345D" w14:textId="77777777" w:rsidR="0091476D" w:rsidRPr="007D40DF" w:rsidRDefault="0091476D"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DF2AD66" w14:textId="77777777" w:rsidR="0091476D" w:rsidRPr="00D235B7" w:rsidRDefault="0091476D"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1F3052F" w14:textId="77777777" w:rsidR="0091476D" w:rsidRPr="00D235B7" w:rsidRDefault="0091476D"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31AC1D4" w14:textId="77777777" w:rsidR="0091476D" w:rsidRPr="00D235B7" w:rsidRDefault="0091476D"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548AAF1E" w14:textId="77777777" w:rsidR="0091476D" w:rsidRPr="00D235B7" w:rsidRDefault="0091476D"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676CE837" w14:textId="77777777" w:rsidR="0091476D" w:rsidRPr="004A61C5" w:rsidRDefault="0091476D" w:rsidP="00825C4D">
                            <w:pPr>
                              <w:pStyle w:val="TLKontakty"/>
                              <w:spacing w:after="80" w:line="240" w:lineRule="auto"/>
                              <w:contextualSpacing w:val="0"/>
                              <w:rPr>
                                <w:color w:val="auto"/>
                              </w:rPr>
                            </w:pPr>
                          </w:p>
                          <w:p w14:paraId="58156969" w14:textId="77777777" w:rsidR="0091476D" w:rsidRPr="00D66223" w:rsidRDefault="0091476D" w:rsidP="00D66223">
                            <w:pPr>
                              <w:pStyle w:val="TLKontaktyerven"/>
                            </w:pPr>
                            <w:r w:rsidRPr="00D66223">
                              <w:t>INFORMAČNÍ SLUŽBY V REGIONECH</w:t>
                            </w:r>
                          </w:p>
                          <w:p w14:paraId="4879BC68" w14:textId="77777777" w:rsidR="0091476D" w:rsidRPr="00992CF3" w:rsidRDefault="0091476D"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13DC4C4" w14:textId="77777777" w:rsidR="0091476D" w:rsidRPr="00992CF3" w:rsidRDefault="0091476D"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39B244A8" w14:textId="77777777" w:rsidR="0091476D" w:rsidRPr="004A61C5" w:rsidRDefault="0091476D" w:rsidP="00825C4D">
                            <w:pPr>
                              <w:pStyle w:val="TLKontakty"/>
                              <w:spacing w:after="80" w:line="240" w:lineRule="auto"/>
                              <w:rPr>
                                <w:color w:val="auto"/>
                              </w:rPr>
                            </w:pPr>
                          </w:p>
                          <w:p w14:paraId="0700B661" w14:textId="77777777" w:rsidR="0091476D" w:rsidRPr="00992CF3" w:rsidRDefault="0091476D"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416161E8" w14:textId="77777777" w:rsidR="0091476D" w:rsidRPr="00992CF3" w:rsidRDefault="0091476D"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4FF5E3BD" w14:textId="77777777" w:rsidR="0091476D" w:rsidRPr="004A61C5" w:rsidRDefault="0091476D" w:rsidP="00825C4D">
                            <w:pPr>
                              <w:pStyle w:val="TLKontakty"/>
                              <w:spacing w:after="80" w:line="240" w:lineRule="auto"/>
                              <w:rPr>
                                <w:color w:val="auto"/>
                              </w:rPr>
                            </w:pPr>
                          </w:p>
                          <w:p w14:paraId="272E9710" w14:textId="77777777" w:rsidR="0091476D" w:rsidRPr="00992CF3" w:rsidRDefault="0091476D"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41660CA4" w14:textId="77777777" w:rsidR="0091476D" w:rsidRPr="00992CF3" w:rsidRDefault="0091476D"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02FFC287" w14:textId="77777777" w:rsidR="0091476D" w:rsidRPr="004A61C5" w:rsidRDefault="0091476D" w:rsidP="00825C4D">
                            <w:pPr>
                              <w:pStyle w:val="TLKontakty"/>
                              <w:spacing w:after="80" w:line="240" w:lineRule="auto"/>
                              <w:rPr>
                                <w:color w:val="auto"/>
                              </w:rPr>
                            </w:pPr>
                          </w:p>
                          <w:p w14:paraId="28D66B71" w14:textId="77777777" w:rsidR="0091476D" w:rsidRPr="00BC731E" w:rsidRDefault="0091476D"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44E4A2F2"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24C070B" w14:textId="77777777" w:rsidR="0091476D" w:rsidRPr="004A61C5" w:rsidRDefault="0091476D" w:rsidP="00825C4D">
                            <w:pPr>
                              <w:pStyle w:val="TLKontakty"/>
                              <w:spacing w:after="80" w:line="240" w:lineRule="auto"/>
                              <w:rPr>
                                <w:color w:val="auto"/>
                              </w:rPr>
                            </w:pPr>
                          </w:p>
                          <w:p w14:paraId="09B6DE68" w14:textId="77777777" w:rsidR="0091476D" w:rsidRPr="004A61C5" w:rsidRDefault="0091476D"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77EF21B"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C1AC3BB" w14:textId="77777777" w:rsidR="0091476D" w:rsidRPr="004A61C5" w:rsidRDefault="0091476D" w:rsidP="00825C4D">
                            <w:pPr>
                              <w:pStyle w:val="TLKontakty"/>
                              <w:spacing w:after="80" w:line="240" w:lineRule="auto"/>
                              <w:rPr>
                                <w:color w:val="auto"/>
                              </w:rPr>
                            </w:pPr>
                          </w:p>
                          <w:p w14:paraId="59D3D98A" w14:textId="77777777" w:rsidR="0091476D" w:rsidRPr="004A61C5" w:rsidRDefault="0091476D"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F4D5FAC"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465C0979" w14:textId="77777777" w:rsidR="0091476D" w:rsidRPr="004A61C5" w:rsidRDefault="0091476D" w:rsidP="00825C4D">
                            <w:pPr>
                              <w:pStyle w:val="TLKontakty"/>
                              <w:spacing w:after="80" w:line="240" w:lineRule="auto"/>
                              <w:rPr>
                                <w:color w:val="auto"/>
                              </w:rPr>
                            </w:pPr>
                          </w:p>
                          <w:p w14:paraId="53E44571" w14:textId="77777777" w:rsidR="0091476D" w:rsidRPr="004A61C5" w:rsidRDefault="0091476D"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7748DBC3"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4123AE44" w14:textId="77777777" w:rsidR="0091476D" w:rsidRPr="004A61C5" w:rsidRDefault="0091476D" w:rsidP="00825C4D">
                            <w:pPr>
                              <w:pStyle w:val="TLKontakty"/>
                              <w:spacing w:after="80" w:line="240" w:lineRule="auto"/>
                              <w:rPr>
                                <w:b w:val="0"/>
                                <w:color w:val="auto"/>
                              </w:rPr>
                            </w:pPr>
                          </w:p>
                          <w:p w14:paraId="10E14C3C" w14:textId="77777777" w:rsidR="0091476D" w:rsidRPr="004A61C5" w:rsidRDefault="0091476D"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2E3651FF"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4F45FF3" w14:textId="77777777" w:rsidR="0091476D" w:rsidRPr="004A61C5" w:rsidRDefault="0091476D" w:rsidP="00825C4D">
                            <w:pPr>
                              <w:pStyle w:val="TLKontakty"/>
                              <w:spacing w:after="80" w:line="240" w:lineRule="auto"/>
                              <w:rPr>
                                <w:color w:val="auto"/>
                              </w:rPr>
                            </w:pPr>
                          </w:p>
                          <w:p w14:paraId="5E11F5F2" w14:textId="77777777" w:rsidR="0091476D" w:rsidRPr="004A61C5" w:rsidRDefault="0091476D"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2152ABD"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158F18" w14:textId="77777777" w:rsidR="0091476D" w:rsidRPr="004A61C5" w:rsidRDefault="0091476D" w:rsidP="00825C4D">
                            <w:pPr>
                              <w:pStyle w:val="TLKontakty"/>
                              <w:spacing w:after="80" w:line="240" w:lineRule="auto"/>
                              <w:rPr>
                                <w:b w:val="0"/>
                                <w:color w:val="auto"/>
                              </w:rPr>
                            </w:pPr>
                          </w:p>
                          <w:p w14:paraId="231F5E11" w14:textId="77777777" w:rsidR="0091476D" w:rsidRPr="004A61C5" w:rsidRDefault="0091476D"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5687D8F"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14A58016" w14:textId="77777777" w:rsidR="0091476D" w:rsidRDefault="0091476D" w:rsidP="00825C4D">
                            <w:pPr>
                              <w:pStyle w:val="TLKontakty"/>
                              <w:spacing w:after="80" w:line="240" w:lineRule="auto"/>
                            </w:pPr>
                          </w:p>
                          <w:p w14:paraId="2C2F9B1E" w14:textId="455F4613" w:rsidR="0091476D" w:rsidRPr="00BC731E" w:rsidRDefault="0091476D"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95EA08C" w14:textId="77777777" w:rsidR="0091476D" w:rsidRPr="004A61C5" w:rsidRDefault="0091476D"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E41DBBE" w14:textId="77777777" w:rsidR="0091476D" w:rsidRPr="004A61C5" w:rsidRDefault="0091476D" w:rsidP="00825C4D">
                            <w:pPr>
                              <w:pStyle w:val="TLKontakty"/>
                              <w:spacing w:after="80" w:line="240" w:lineRule="auto"/>
                              <w:rPr>
                                <w:b w:val="0"/>
                                <w:color w:val="auto"/>
                              </w:rPr>
                            </w:pPr>
                          </w:p>
                          <w:p w14:paraId="3F9813C4" w14:textId="77777777" w:rsidR="0091476D" w:rsidRPr="005E7C78" w:rsidRDefault="0091476D"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483B16E7" w14:textId="77777777" w:rsidR="0091476D" w:rsidRPr="005E7C78" w:rsidRDefault="0091476D"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1DEA6773" w14:textId="77777777" w:rsidR="0091476D" w:rsidRPr="005E7C78" w:rsidRDefault="0091476D" w:rsidP="00825C4D">
                            <w:pPr>
                              <w:pStyle w:val="TLKontakty"/>
                              <w:spacing w:after="80" w:line="240" w:lineRule="auto"/>
                              <w:rPr>
                                <w:b w:val="0"/>
                                <w:color w:val="auto"/>
                              </w:rPr>
                            </w:pPr>
                          </w:p>
                          <w:p w14:paraId="448F5DDA" w14:textId="77777777" w:rsidR="0091476D" w:rsidRPr="005E7C78" w:rsidRDefault="0091476D"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103B14" w14:textId="77777777" w:rsidR="0091476D" w:rsidRDefault="0091476D"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48B741A9" w14:textId="77777777" w:rsidR="0091476D" w:rsidRPr="005E7C78" w:rsidRDefault="0091476D" w:rsidP="00095135">
                            <w:pPr>
                              <w:pStyle w:val="TLKontakty"/>
                              <w:spacing w:after="80" w:line="240" w:lineRule="auto"/>
                              <w:rPr>
                                <w:b w:val="0"/>
                                <w:color w:val="auto"/>
                              </w:rPr>
                            </w:pPr>
                          </w:p>
                          <w:p w14:paraId="395ED09A" w14:textId="77777777" w:rsidR="0091476D" w:rsidRPr="005E7C78" w:rsidRDefault="0091476D"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0575867B" w14:textId="77777777" w:rsidR="0091476D" w:rsidRPr="00095135" w:rsidRDefault="0091476D"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A088C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B7Ir+ksCAABDBAAADgAAAAAAAAAAAAAAAAAuAgAAZHJzL2Uyb0RvYy54bWxQSwECLQAUAAYACAAA&#10;ACEArRpGXOAAAAANAQAADwAAAAAAAAAAAAAAAAClBAAAZHJzL2Rvd25yZXYueG1sUEsFBgAAAAAE&#10;AAQA8wAAALIFAAAAAA==&#10;" filled="f" stroked="f">
                <v:textbox style="mso-fit-shape-to-text:t" inset="0,0,0,0">
                  <w:txbxContent>
                    <w:p w14:paraId="28541332" w14:textId="77777777" w:rsidR="0091476D" w:rsidRPr="006F5416" w:rsidRDefault="0091476D" w:rsidP="006F5416">
                      <w:pPr>
                        <w:pStyle w:val="TLKontaktyerven"/>
                      </w:pPr>
                      <w:r w:rsidRPr="006F5416">
                        <w:t>KONTAKTY V ÚSTŘEDÍ</w:t>
                      </w:r>
                    </w:p>
                    <w:p w14:paraId="3C71345D" w14:textId="77777777" w:rsidR="0091476D" w:rsidRPr="007D40DF" w:rsidRDefault="0091476D"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DF2AD66" w14:textId="77777777" w:rsidR="0091476D" w:rsidRPr="00D235B7" w:rsidRDefault="0091476D"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1F3052F" w14:textId="77777777" w:rsidR="0091476D" w:rsidRPr="00D235B7" w:rsidRDefault="0091476D"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31AC1D4" w14:textId="77777777" w:rsidR="0091476D" w:rsidRPr="00D235B7" w:rsidRDefault="0091476D"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548AAF1E" w14:textId="77777777" w:rsidR="0091476D" w:rsidRPr="00D235B7" w:rsidRDefault="0091476D"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676CE837" w14:textId="77777777" w:rsidR="0091476D" w:rsidRPr="004A61C5" w:rsidRDefault="0091476D" w:rsidP="00825C4D">
                      <w:pPr>
                        <w:pStyle w:val="TLKontakty"/>
                        <w:spacing w:after="80" w:line="240" w:lineRule="auto"/>
                        <w:contextualSpacing w:val="0"/>
                        <w:rPr>
                          <w:color w:val="auto"/>
                        </w:rPr>
                      </w:pPr>
                    </w:p>
                    <w:p w14:paraId="58156969" w14:textId="77777777" w:rsidR="0091476D" w:rsidRPr="00D66223" w:rsidRDefault="0091476D" w:rsidP="00D66223">
                      <w:pPr>
                        <w:pStyle w:val="TLKontaktyerven"/>
                      </w:pPr>
                      <w:r w:rsidRPr="00D66223">
                        <w:t>INFORMAČNÍ SLUŽBY V REGIONECH</w:t>
                      </w:r>
                    </w:p>
                    <w:p w14:paraId="4879BC68" w14:textId="77777777" w:rsidR="0091476D" w:rsidRPr="00992CF3" w:rsidRDefault="0091476D"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13DC4C4" w14:textId="77777777" w:rsidR="0091476D" w:rsidRPr="00992CF3" w:rsidRDefault="0091476D"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39B244A8" w14:textId="77777777" w:rsidR="0091476D" w:rsidRPr="004A61C5" w:rsidRDefault="0091476D" w:rsidP="00825C4D">
                      <w:pPr>
                        <w:pStyle w:val="TLKontakty"/>
                        <w:spacing w:after="80" w:line="240" w:lineRule="auto"/>
                        <w:rPr>
                          <w:color w:val="auto"/>
                        </w:rPr>
                      </w:pPr>
                    </w:p>
                    <w:p w14:paraId="0700B661" w14:textId="77777777" w:rsidR="0091476D" w:rsidRPr="00992CF3" w:rsidRDefault="0091476D"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416161E8" w14:textId="77777777" w:rsidR="0091476D" w:rsidRPr="00992CF3" w:rsidRDefault="0091476D"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4FF5E3BD" w14:textId="77777777" w:rsidR="0091476D" w:rsidRPr="004A61C5" w:rsidRDefault="0091476D" w:rsidP="00825C4D">
                      <w:pPr>
                        <w:pStyle w:val="TLKontakty"/>
                        <w:spacing w:after="80" w:line="240" w:lineRule="auto"/>
                        <w:rPr>
                          <w:color w:val="auto"/>
                        </w:rPr>
                      </w:pPr>
                    </w:p>
                    <w:p w14:paraId="272E9710" w14:textId="77777777" w:rsidR="0091476D" w:rsidRPr="00992CF3" w:rsidRDefault="0091476D"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41660CA4" w14:textId="77777777" w:rsidR="0091476D" w:rsidRPr="00992CF3" w:rsidRDefault="0091476D"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02FFC287" w14:textId="77777777" w:rsidR="0091476D" w:rsidRPr="004A61C5" w:rsidRDefault="0091476D" w:rsidP="00825C4D">
                      <w:pPr>
                        <w:pStyle w:val="TLKontakty"/>
                        <w:spacing w:after="80" w:line="240" w:lineRule="auto"/>
                        <w:rPr>
                          <w:color w:val="auto"/>
                        </w:rPr>
                      </w:pPr>
                    </w:p>
                    <w:p w14:paraId="28D66B71" w14:textId="77777777" w:rsidR="0091476D" w:rsidRPr="00BC731E" w:rsidRDefault="0091476D"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44E4A2F2"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24C070B" w14:textId="77777777" w:rsidR="0091476D" w:rsidRPr="004A61C5" w:rsidRDefault="0091476D" w:rsidP="00825C4D">
                      <w:pPr>
                        <w:pStyle w:val="TLKontakty"/>
                        <w:spacing w:after="80" w:line="240" w:lineRule="auto"/>
                        <w:rPr>
                          <w:color w:val="auto"/>
                        </w:rPr>
                      </w:pPr>
                    </w:p>
                    <w:p w14:paraId="09B6DE68" w14:textId="77777777" w:rsidR="0091476D" w:rsidRPr="004A61C5" w:rsidRDefault="0091476D"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77EF21B"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C1AC3BB" w14:textId="77777777" w:rsidR="0091476D" w:rsidRPr="004A61C5" w:rsidRDefault="0091476D" w:rsidP="00825C4D">
                      <w:pPr>
                        <w:pStyle w:val="TLKontakty"/>
                        <w:spacing w:after="80" w:line="240" w:lineRule="auto"/>
                        <w:rPr>
                          <w:color w:val="auto"/>
                        </w:rPr>
                      </w:pPr>
                    </w:p>
                    <w:p w14:paraId="59D3D98A" w14:textId="77777777" w:rsidR="0091476D" w:rsidRPr="004A61C5" w:rsidRDefault="0091476D"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F4D5FAC"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465C0979" w14:textId="77777777" w:rsidR="0091476D" w:rsidRPr="004A61C5" w:rsidRDefault="0091476D" w:rsidP="00825C4D">
                      <w:pPr>
                        <w:pStyle w:val="TLKontakty"/>
                        <w:spacing w:after="80" w:line="240" w:lineRule="auto"/>
                        <w:rPr>
                          <w:color w:val="auto"/>
                        </w:rPr>
                      </w:pPr>
                    </w:p>
                    <w:p w14:paraId="53E44571" w14:textId="77777777" w:rsidR="0091476D" w:rsidRPr="004A61C5" w:rsidRDefault="0091476D"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7748DBC3"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4123AE44" w14:textId="77777777" w:rsidR="0091476D" w:rsidRPr="004A61C5" w:rsidRDefault="0091476D" w:rsidP="00825C4D">
                      <w:pPr>
                        <w:pStyle w:val="TLKontakty"/>
                        <w:spacing w:after="80" w:line="240" w:lineRule="auto"/>
                        <w:rPr>
                          <w:b w:val="0"/>
                          <w:color w:val="auto"/>
                        </w:rPr>
                      </w:pPr>
                    </w:p>
                    <w:p w14:paraId="10E14C3C" w14:textId="77777777" w:rsidR="0091476D" w:rsidRPr="004A61C5" w:rsidRDefault="0091476D"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2E3651FF"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4F45FF3" w14:textId="77777777" w:rsidR="0091476D" w:rsidRPr="004A61C5" w:rsidRDefault="0091476D" w:rsidP="00825C4D">
                      <w:pPr>
                        <w:pStyle w:val="TLKontakty"/>
                        <w:spacing w:after="80" w:line="240" w:lineRule="auto"/>
                        <w:rPr>
                          <w:color w:val="auto"/>
                        </w:rPr>
                      </w:pPr>
                    </w:p>
                    <w:p w14:paraId="5E11F5F2" w14:textId="77777777" w:rsidR="0091476D" w:rsidRPr="004A61C5" w:rsidRDefault="0091476D"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2152ABD"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158F18" w14:textId="77777777" w:rsidR="0091476D" w:rsidRPr="004A61C5" w:rsidRDefault="0091476D" w:rsidP="00825C4D">
                      <w:pPr>
                        <w:pStyle w:val="TLKontakty"/>
                        <w:spacing w:after="80" w:line="240" w:lineRule="auto"/>
                        <w:rPr>
                          <w:b w:val="0"/>
                          <w:color w:val="auto"/>
                        </w:rPr>
                      </w:pPr>
                    </w:p>
                    <w:p w14:paraId="231F5E11" w14:textId="77777777" w:rsidR="0091476D" w:rsidRPr="004A61C5" w:rsidRDefault="0091476D"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5687D8F" w14:textId="77777777" w:rsidR="0091476D" w:rsidRPr="004A61C5" w:rsidRDefault="0091476D"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14A58016" w14:textId="77777777" w:rsidR="0091476D" w:rsidRDefault="0091476D" w:rsidP="00825C4D">
                      <w:pPr>
                        <w:pStyle w:val="TLKontakty"/>
                        <w:spacing w:after="80" w:line="240" w:lineRule="auto"/>
                      </w:pPr>
                    </w:p>
                    <w:p w14:paraId="2C2F9B1E" w14:textId="455F4613" w:rsidR="0091476D" w:rsidRPr="00BC731E" w:rsidRDefault="0091476D"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95EA08C" w14:textId="77777777" w:rsidR="0091476D" w:rsidRPr="004A61C5" w:rsidRDefault="0091476D"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E41DBBE" w14:textId="77777777" w:rsidR="0091476D" w:rsidRPr="004A61C5" w:rsidRDefault="0091476D" w:rsidP="00825C4D">
                      <w:pPr>
                        <w:pStyle w:val="TLKontakty"/>
                        <w:spacing w:after="80" w:line="240" w:lineRule="auto"/>
                        <w:rPr>
                          <w:b w:val="0"/>
                          <w:color w:val="auto"/>
                        </w:rPr>
                      </w:pPr>
                    </w:p>
                    <w:p w14:paraId="3F9813C4" w14:textId="77777777" w:rsidR="0091476D" w:rsidRPr="005E7C78" w:rsidRDefault="0091476D"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483B16E7" w14:textId="77777777" w:rsidR="0091476D" w:rsidRPr="005E7C78" w:rsidRDefault="0091476D"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1DEA6773" w14:textId="77777777" w:rsidR="0091476D" w:rsidRPr="005E7C78" w:rsidRDefault="0091476D" w:rsidP="00825C4D">
                      <w:pPr>
                        <w:pStyle w:val="TLKontakty"/>
                        <w:spacing w:after="80" w:line="240" w:lineRule="auto"/>
                        <w:rPr>
                          <w:b w:val="0"/>
                          <w:color w:val="auto"/>
                        </w:rPr>
                      </w:pPr>
                    </w:p>
                    <w:p w14:paraId="448F5DDA" w14:textId="77777777" w:rsidR="0091476D" w:rsidRPr="005E7C78" w:rsidRDefault="0091476D"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103B14" w14:textId="77777777" w:rsidR="0091476D" w:rsidRDefault="0091476D"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48B741A9" w14:textId="77777777" w:rsidR="0091476D" w:rsidRPr="005E7C78" w:rsidRDefault="0091476D" w:rsidP="00095135">
                      <w:pPr>
                        <w:pStyle w:val="TLKontakty"/>
                        <w:spacing w:after="80" w:line="240" w:lineRule="auto"/>
                        <w:rPr>
                          <w:b w:val="0"/>
                          <w:color w:val="auto"/>
                        </w:rPr>
                      </w:pPr>
                    </w:p>
                    <w:p w14:paraId="395ED09A" w14:textId="77777777" w:rsidR="0091476D" w:rsidRPr="005E7C78" w:rsidRDefault="0091476D"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0575867B" w14:textId="77777777" w:rsidR="0091476D" w:rsidRPr="00095135" w:rsidRDefault="0091476D"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3EE77A96" wp14:editId="5156964C">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AD0B002" w14:textId="051D4305" w:rsidR="0091476D" w:rsidRPr="00321924" w:rsidRDefault="0091476D" w:rsidP="00A16E1D">
                            <w:pPr>
                              <w:jc w:val="left"/>
                            </w:pPr>
                            <w:r w:rsidRPr="00321924">
                              <w:br/>
                              <w:t xml:space="preserve">© Český statistický úřad, </w:t>
                            </w:r>
                            <w:r>
                              <w:t>Praha, 2021</w:t>
                            </w:r>
                          </w:p>
                          <w:p w14:paraId="52FD100C" w14:textId="77777777" w:rsidR="0091476D" w:rsidRDefault="0091476D"/>
                          <w:p w14:paraId="515D7599" w14:textId="0789EE63" w:rsidR="0091476D" w:rsidRPr="00841D9F" w:rsidRDefault="0091476D"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0975553D" w14:textId="77777777" w:rsidR="0091476D" w:rsidRPr="00AF2852" w:rsidRDefault="0091476D"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7A96"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" filled="f" stroked="f">
                <v:textbox inset="0,0,0,0">
                  <w:txbxContent>
                    <w:p w14:paraId="1AD0B002" w14:textId="051D4305" w:rsidR="0091476D" w:rsidRPr="00321924" w:rsidRDefault="0091476D" w:rsidP="00A16E1D">
                      <w:pPr>
                        <w:jc w:val="left"/>
                      </w:pPr>
                      <w:r w:rsidRPr="00321924">
                        <w:br/>
                        <w:t xml:space="preserve">© Český statistický úřad, </w:t>
                      </w:r>
                      <w:r>
                        <w:t>Praha, 2021</w:t>
                      </w:r>
                    </w:p>
                    <w:p w14:paraId="52FD100C" w14:textId="77777777" w:rsidR="0091476D" w:rsidRDefault="0091476D"/>
                    <w:p w14:paraId="515D7599" w14:textId="0789EE63" w:rsidR="0091476D" w:rsidRPr="00841D9F" w:rsidRDefault="0091476D"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0975553D" w14:textId="77777777" w:rsidR="0091476D" w:rsidRPr="00AF2852" w:rsidRDefault="0091476D"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01D0B83B" wp14:editId="3F386203">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6FEE0FA" w14:textId="77777777" w:rsidR="0091476D" w:rsidRPr="009A1902" w:rsidRDefault="0091476D"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D0B83B"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" filled="f" stroked="f">
                <v:textbox style="mso-fit-shape-to-text:t" inset="0,0,0,0">
                  <w:txbxContent>
                    <w:p w14:paraId="26FEE0FA" w14:textId="77777777" w:rsidR="0091476D" w:rsidRPr="009A1902" w:rsidRDefault="0091476D"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mc:Fallback>
        </mc:AlternateContent>
      </w:r>
    </w:p>
    <w:sdt>
      <w:sdtPr>
        <w:rPr>
          <w:b w:val="0"/>
          <w:color w:val="auto"/>
          <w:sz w:val="20"/>
        </w:rPr>
        <w:id w:val="5357999"/>
        <w:docPartObj>
          <w:docPartGallery w:val="Table of Contents"/>
          <w:docPartUnique/>
        </w:docPartObj>
      </w:sdtPr>
      <w:sdtEndPr/>
      <w:sdtContent>
        <w:p w14:paraId="74D73AA9" w14:textId="77777777" w:rsidR="00867DAB" w:rsidRPr="009110F7" w:rsidRDefault="00867DAB" w:rsidP="00867DAB">
          <w:pPr>
            <w:pStyle w:val="Obsah"/>
          </w:pPr>
          <w:r w:rsidRPr="009110F7">
            <w:t>Obsah</w:t>
          </w:r>
        </w:p>
        <w:p w14:paraId="4747B667" w14:textId="5CF4F538" w:rsidR="00ED1A00" w:rsidRDefault="007D42E5">
          <w:pPr>
            <w:pStyle w:val="Obsah1"/>
            <w:rPr>
              <w:rFonts w:asciiTheme="minorHAnsi" w:eastAsiaTheme="minorEastAsia" w:hAnsiTheme="minorHAnsi" w:cstheme="minorBidi"/>
              <w:noProof/>
              <w:sz w:val="22"/>
              <w:szCs w:val="22"/>
            </w:rPr>
          </w:pPr>
          <w:r w:rsidRPr="009110F7">
            <w:fldChar w:fldCharType="begin"/>
          </w:r>
          <w:r w:rsidR="00867DAB" w:rsidRPr="009110F7">
            <w:instrText xml:space="preserve"> TOC \o "1-3" \h \z \u </w:instrText>
          </w:r>
          <w:r w:rsidRPr="009110F7">
            <w:fldChar w:fldCharType="separate"/>
          </w:r>
          <w:hyperlink w:anchor="_Toc66954402" w:history="1">
            <w:r w:rsidR="00ED1A00" w:rsidRPr="00130A3A">
              <w:rPr>
                <w:rStyle w:val="Hypertextovodkaz"/>
                <w:noProof/>
              </w:rPr>
              <w:t>1. Shrnutí</w:t>
            </w:r>
            <w:r w:rsidR="00ED1A00">
              <w:rPr>
                <w:noProof/>
                <w:webHidden/>
              </w:rPr>
              <w:tab/>
            </w:r>
            <w:r w:rsidR="00ED1A00">
              <w:rPr>
                <w:noProof/>
                <w:webHidden/>
              </w:rPr>
              <w:fldChar w:fldCharType="begin"/>
            </w:r>
            <w:r w:rsidR="00ED1A00">
              <w:rPr>
                <w:noProof/>
                <w:webHidden/>
              </w:rPr>
              <w:instrText xml:space="preserve"> PAGEREF _Toc66954402 \h </w:instrText>
            </w:r>
            <w:r w:rsidR="00ED1A00">
              <w:rPr>
                <w:noProof/>
                <w:webHidden/>
              </w:rPr>
            </w:r>
            <w:r w:rsidR="00ED1A00">
              <w:rPr>
                <w:noProof/>
                <w:webHidden/>
              </w:rPr>
              <w:fldChar w:fldCharType="separate"/>
            </w:r>
            <w:r w:rsidR="00ED1A00">
              <w:rPr>
                <w:noProof/>
                <w:webHidden/>
              </w:rPr>
              <w:t>4</w:t>
            </w:r>
            <w:r w:rsidR="00ED1A00">
              <w:rPr>
                <w:noProof/>
                <w:webHidden/>
              </w:rPr>
              <w:fldChar w:fldCharType="end"/>
            </w:r>
          </w:hyperlink>
        </w:p>
        <w:p w14:paraId="252D7AF7" w14:textId="12664339" w:rsidR="00ED1A00" w:rsidRDefault="00ED1A00">
          <w:pPr>
            <w:pStyle w:val="Obsah1"/>
            <w:rPr>
              <w:rFonts w:asciiTheme="minorHAnsi" w:eastAsiaTheme="minorEastAsia" w:hAnsiTheme="minorHAnsi" w:cstheme="minorBidi"/>
              <w:noProof/>
              <w:sz w:val="22"/>
              <w:szCs w:val="22"/>
            </w:rPr>
          </w:pPr>
          <w:hyperlink w:anchor="_Toc66954403" w:history="1">
            <w:r w:rsidRPr="00130A3A">
              <w:rPr>
                <w:rStyle w:val="Hypertextovodkaz"/>
                <w:noProof/>
              </w:rPr>
              <w:t>2. Souhrnná výkonnost</w:t>
            </w:r>
            <w:r>
              <w:rPr>
                <w:noProof/>
                <w:webHidden/>
              </w:rPr>
              <w:tab/>
            </w:r>
            <w:r>
              <w:rPr>
                <w:noProof/>
                <w:webHidden/>
              </w:rPr>
              <w:fldChar w:fldCharType="begin"/>
            </w:r>
            <w:r>
              <w:rPr>
                <w:noProof/>
                <w:webHidden/>
              </w:rPr>
              <w:instrText xml:space="preserve"> PAGEREF _Toc66954403 \h </w:instrText>
            </w:r>
            <w:r>
              <w:rPr>
                <w:noProof/>
                <w:webHidden/>
              </w:rPr>
            </w:r>
            <w:r>
              <w:rPr>
                <w:noProof/>
                <w:webHidden/>
              </w:rPr>
              <w:fldChar w:fldCharType="separate"/>
            </w:r>
            <w:r>
              <w:rPr>
                <w:noProof/>
                <w:webHidden/>
              </w:rPr>
              <w:t>5</w:t>
            </w:r>
            <w:r>
              <w:rPr>
                <w:noProof/>
                <w:webHidden/>
              </w:rPr>
              <w:fldChar w:fldCharType="end"/>
            </w:r>
          </w:hyperlink>
        </w:p>
        <w:p w14:paraId="5CD31EA2" w14:textId="5B54C852" w:rsidR="00ED1A00" w:rsidRDefault="00ED1A00">
          <w:pPr>
            <w:pStyle w:val="Obsah1"/>
            <w:rPr>
              <w:rFonts w:asciiTheme="minorHAnsi" w:eastAsiaTheme="minorEastAsia" w:hAnsiTheme="minorHAnsi" w:cstheme="minorBidi"/>
              <w:noProof/>
              <w:sz w:val="22"/>
              <w:szCs w:val="22"/>
            </w:rPr>
          </w:pPr>
          <w:hyperlink w:anchor="_Toc66954404" w:history="1">
            <w:r w:rsidRPr="00130A3A">
              <w:rPr>
                <w:rStyle w:val="Hypertextovodkaz"/>
                <w:noProof/>
              </w:rPr>
              <w:t>3. Výkonnost odvětví</w:t>
            </w:r>
            <w:r>
              <w:rPr>
                <w:noProof/>
                <w:webHidden/>
              </w:rPr>
              <w:tab/>
            </w:r>
            <w:r>
              <w:rPr>
                <w:noProof/>
                <w:webHidden/>
              </w:rPr>
              <w:fldChar w:fldCharType="begin"/>
            </w:r>
            <w:r>
              <w:rPr>
                <w:noProof/>
                <w:webHidden/>
              </w:rPr>
              <w:instrText xml:space="preserve"> PAGEREF _Toc66954404 \h </w:instrText>
            </w:r>
            <w:r>
              <w:rPr>
                <w:noProof/>
                <w:webHidden/>
              </w:rPr>
            </w:r>
            <w:r>
              <w:rPr>
                <w:noProof/>
                <w:webHidden/>
              </w:rPr>
              <w:fldChar w:fldCharType="separate"/>
            </w:r>
            <w:r>
              <w:rPr>
                <w:noProof/>
                <w:webHidden/>
              </w:rPr>
              <w:t>9</w:t>
            </w:r>
            <w:r>
              <w:rPr>
                <w:noProof/>
                <w:webHidden/>
              </w:rPr>
              <w:fldChar w:fldCharType="end"/>
            </w:r>
          </w:hyperlink>
        </w:p>
        <w:p w14:paraId="2A4B22F1" w14:textId="0BB2FFE1" w:rsidR="00ED1A00" w:rsidRDefault="00ED1A00">
          <w:pPr>
            <w:pStyle w:val="Obsah1"/>
            <w:rPr>
              <w:rFonts w:asciiTheme="minorHAnsi" w:eastAsiaTheme="minorEastAsia" w:hAnsiTheme="minorHAnsi" w:cstheme="minorBidi"/>
              <w:noProof/>
              <w:sz w:val="22"/>
              <w:szCs w:val="22"/>
            </w:rPr>
          </w:pPr>
          <w:hyperlink w:anchor="_Toc66954405" w:history="1">
            <w:r w:rsidRPr="00130A3A">
              <w:rPr>
                <w:rStyle w:val="Hypertextovodkaz"/>
                <w:noProof/>
              </w:rPr>
              <w:t>4. Vnější vztahy</w:t>
            </w:r>
            <w:r>
              <w:rPr>
                <w:noProof/>
                <w:webHidden/>
              </w:rPr>
              <w:tab/>
            </w:r>
            <w:r>
              <w:rPr>
                <w:noProof/>
                <w:webHidden/>
              </w:rPr>
              <w:fldChar w:fldCharType="begin"/>
            </w:r>
            <w:r>
              <w:rPr>
                <w:noProof/>
                <w:webHidden/>
              </w:rPr>
              <w:instrText xml:space="preserve"> PAGEREF _Toc66954405 \h </w:instrText>
            </w:r>
            <w:r>
              <w:rPr>
                <w:noProof/>
                <w:webHidden/>
              </w:rPr>
            </w:r>
            <w:r>
              <w:rPr>
                <w:noProof/>
                <w:webHidden/>
              </w:rPr>
              <w:fldChar w:fldCharType="separate"/>
            </w:r>
            <w:r>
              <w:rPr>
                <w:noProof/>
                <w:webHidden/>
              </w:rPr>
              <w:t>17</w:t>
            </w:r>
            <w:r>
              <w:rPr>
                <w:noProof/>
                <w:webHidden/>
              </w:rPr>
              <w:fldChar w:fldCharType="end"/>
            </w:r>
          </w:hyperlink>
        </w:p>
        <w:p w14:paraId="1F883538" w14:textId="39CA1BCE" w:rsidR="00ED1A00" w:rsidRDefault="00ED1A00">
          <w:pPr>
            <w:pStyle w:val="Obsah1"/>
            <w:rPr>
              <w:rFonts w:asciiTheme="minorHAnsi" w:eastAsiaTheme="minorEastAsia" w:hAnsiTheme="minorHAnsi" w:cstheme="minorBidi"/>
              <w:noProof/>
              <w:sz w:val="22"/>
              <w:szCs w:val="22"/>
            </w:rPr>
          </w:pPr>
          <w:hyperlink w:anchor="_Toc66954406" w:history="1">
            <w:r w:rsidRPr="00130A3A">
              <w:rPr>
                <w:rStyle w:val="Hypertextovodkaz"/>
                <w:noProof/>
              </w:rPr>
              <w:t>5. Ceny</w:t>
            </w:r>
            <w:r>
              <w:rPr>
                <w:noProof/>
                <w:webHidden/>
              </w:rPr>
              <w:tab/>
            </w:r>
            <w:r>
              <w:rPr>
                <w:noProof/>
                <w:webHidden/>
              </w:rPr>
              <w:fldChar w:fldCharType="begin"/>
            </w:r>
            <w:r>
              <w:rPr>
                <w:noProof/>
                <w:webHidden/>
              </w:rPr>
              <w:instrText xml:space="preserve"> PAGEREF _Toc66954406 \h </w:instrText>
            </w:r>
            <w:r>
              <w:rPr>
                <w:noProof/>
                <w:webHidden/>
              </w:rPr>
            </w:r>
            <w:r>
              <w:rPr>
                <w:noProof/>
                <w:webHidden/>
              </w:rPr>
              <w:fldChar w:fldCharType="separate"/>
            </w:r>
            <w:r>
              <w:rPr>
                <w:noProof/>
                <w:webHidden/>
              </w:rPr>
              <w:t>20</w:t>
            </w:r>
            <w:r>
              <w:rPr>
                <w:noProof/>
                <w:webHidden/>
              </w:rPr>
              <w:fldChar w:fldCharType="end"/>
            </w:r>
          </w:hyperlink>
        </w:p>
        <w:p w14:paraId="476E6BA0" w14:textId="4C8F7C57" w:rsidR="00ED1A00" w:rsidRDefault="00ED1A00">
          <w:pPr>
            <w:pStyle w:val="Obsah1"/>
            <w:rPr>
              <w:rFonts w:asciiTheme="minorHAnsi" w:eastAsiaTheme="minorEastAsia" w:hAnsiTheme="minorHAnsi" w:cstheme="minorBidi"/>
              <w:noProof/>
              <w:sz w:val="22"/>
              <w:szCs w:val="22"/>
            </w:rPr>
          </w:pPr>
          <w:hyperlink w:anchor="_Toc66954407" w:history="1">
            <w:r w:rsidRPr="00130A3A">
              <w:rPr>
                <w:rStyle w:val="Hypertextovodkaz"/>
                <w:noProof/>
              </w:rPr>
              <w:t>6. Trh práce</w:t>
            </w:r>
            <w:r>
              <w:rPr>
                <w:noProof/>
                <w:webHidden/>
              </w:rPr>
              <w:tab/>
            </w:r>
            <w:r>
              <w:rPr>
                <w:noProof/>
                <w:webHidden/>
              </w:rPr>
              <w:fldChar w:fldCharType="begin"/>
            </w:r>
            <w:r>
              <w:rPr>
                <w:noProof/>
                <w:webHidden/>
              </w:rPr>
              <w:instrText xml:space="preserve"> PAGEREF _Toc66954407 \h </w:instrText>
            </w:r>
            <w:r>
              <w:rPr>
                <w:noProof/>
                <w:webHidden/>
              </w:rPr>
            </w:r>
            <w:r>
              <w:rPr>
                <w:noProof/>
                <w:webHidden/>
              </w:rPr>
              <w:fldChar w:fldCharType="separate"/>
            </w:r>
            <w:r>
              <w:rPr>
                <w:noProof/>
                <w:webHidden/>
              </w:rPr>
              <w:t>26</w:t>
            </w:r>
            <w:r>
              <w:rPr>
                <w:noProof/>
                <w:webHidden/>
              </w:rPr>
              <w:fldChar w:fldCharType="end"/>
            </w:r>
          </w:hyperlink>
        </w:p>
        <w:p w14:paraId="7223C17F" w14:textId="2933D9A0" w:rsidR="00ED1A00" w:rsidRDefault="00ED1A00">
          <w:pPr>
            <w:pStyle w:val="Obsah1"/>
            <w:rPr>
              <w:rFonts w:asciiTheme="minorHAnsi" w:eastAsiaTheme="minorEastAsia" w:hAnsiTheme="minorHAnsi" w:cstheme="minorBidi"/>
              <w:noProof/>
              <w:sz w:val="22"/>
              <w:szCs w:val="22"/>
            </w:rPr>
          </w:pPr>
          <w:hyperlink w:anchor="_Toc66954408" w:history="1">
            <w:r w:rsidRPr="00130A3A">
              <w:rPr>
                <w:rStyle w:val="Hypertextovodkaz"/>
                <w:noProof/>
              </w:rPr>
              <w:t>7. Měnové podmínky</w:t>
            </w:r>
            <w:r>
              <w:rPr>
                <w:noProof/>
                <w:webHidden/>
              </w:rPr>
              <w:tab/>
            </w:r>
            <w:r>
              <w:rPr>
                <w:noProof/>
                <w:webHidden/>
              </w:rPr>
              <w:fldChar w:fldCharType="begin"/>
            </w:r>
            <w:r>
              <w:rPr>
                <w:noProof/>
                <w:webHidden/>
              </w:rPr>
              <w:instrText xml:space="preserve"> PAGEREF _Toc66954408 \h </w:instrText>
            </w:r>
            <w:r>
              <w:rPr>
                <w:noProof/>
                <w:webHidden/>
              </w:rPr>
            </w:r>
            <w:r>
              <w:rPr>
                <w:noProof/>
                <w:webHidden/>
              </w:rPr>
              <w:fldChar w:fldCharType="separate"/>
            </w:r>
            <w:r>
              <w:rPr>
                <w:noProof/>
                <w:webHidden/>
              </w:rPr>
              <w:t>31</w:t>
            </w:r>
            <w:r>
              <w:rPr>
                <w:noProof/>
                <w:webHidden/>
              </w:rPr>
              <w:fldChar w:fldCharType="end"/>
            </w:r>
          </w:hyperlink>
        </w:p>
        <w:p w14:paraId="60C32650" w14:textId="2300D1FE" w:rsidR="00ED1A00" w:rsidRDefault="00ED1A00">
          <w:pPr>
            <w:pStyle w:val="Obsah1"/>
            <w:rPr>
              <w:rFonts w:asciiTheme="minorHAnsi" w:eastAsiaTheme="minorEastAsia" w:hAnsiTheme="minorHAnsi" w:cstheme="minorBidi"/>
              <w:noProof/>
              <w:sz w:val="22"/>
              <w:szCs w:val="22"/>
            </w:rPr>
          </w:pPr>
          <w:hyperlink w:anchor="_Toc66954409" w:history="1">
            <w:r w:rsidRPr="00130A3A">
              <w:rPr>
                <w:rStyle w:val="Hypertextovodkaz"/>
                <w:noProof/>
              </w:rPr>
              <w:t>8. Státní rozpočet</w:t>
            </w:r>
            <w:r>
              <w:rPr>
                <w:noProof/>
                <w:webHidden/>
              </w:rPr>
              <w:tab/>
            </w:r>
            <w:r>
              <w:rPr>
                <w:noProof/>
                <w:webHidden/>
              </w:rPr>
              <w:fldChar w:fldCharType="begin"/>
            </w:r>
            <w:r>
              <w:rPr>
                <w:noProof/>
                <w:webHidden/>
              </w:rPr>
              <w:instrText xml:space="preserve"> PAGEREF _Toc66954409 \h </w:instrText>
            </w:r>
            <w:r>
              <w:rPr>
                <w:noProof/>
                <w:webHidden/>
              </w:rPr>
            </w:r>
            <w:r>
              <w:rPr>
                <w:noProof/>
                <w:webHidden/>
              </w:rPr>
              <w:fldChar w:fldCharType="separate"/>
            </w:r>
            <w:r>
              <w:rPr>
                <w:noProof/>
                <w:webHidden/>
              </w:rPr>
              <w:t>33</w:t>
            </w:r>
            <w:r>
              <w:rPr>
                <w:noProof/>
                <w:webHidden/>
              </w:rPr>
              <w:fldChar w:fldCharType="end"/>
            </w:r>
          </w:hyperlink>
        </w:p>
        <w:p w14:paraId="75243E96" w14:textId="483F8114" w:rsidR="00867DAB" w:rsidRPr="009110F7" w:rsidRDefault="007D42E5">
          <w:r w:rsidRPr="009110F7">
            <w:fldChar w:fldCharType="end"/>
          </w:r>
        </w:p>
      </w:sdtContent>
    </w:sdt>
    <w:p w14:paraId="0A820079" w14:textId="77777777" w:rsidR="00003F5C" w:rsidRPr="009110F7" w:rsidRDefault="00003F5C" w:rsidP="00003F5C">
      <w:pPr>
        <w:pStyle w:val="Textpoznpodarou"/>
        <w:jc w:val="both"/>
        <w:rPr>
          <w:rFonts w:cs="Arial"/>
          <w:color w:val="000000"/>
        </w:rPr>
      </w:pPr>
    </w:p>
    <w:p w14:paraId="3858DEBA" w14:textId="77777777" w:rsidR="00003F5C" w:rsidRPr="009110F7" w:rsidRDefault="00003F5C" w:rsidP="00003F5C">
      <w:pPr>
        <w:pStyle w:val="Textpoznpodarou"/>
        <w:jc w:val="both"/>
        <w:rPr>
          <w:rFonts w:cs="Arial"/>
          <w:color w:val="000000"/>
        </w:rPr>
      </w:pPr>
    </w:p>
    <w:p w14:paraId="446544F6" w14:textId="77777777" w:rsidR="00003F5C" w:rsidRPr="009110F7" w:rsidRDefault="00003F5C" w:rsidP="00003F5C">
      <w:pPr>
        <w:pStyle w:val="Textpoznpodarou"/>
        <w:jc w:val="both"/>
        <w:rPr>
          <w:rFonts w:cs="Arial"/>
          <w:color w:val="000000"/>
        </w:rPr>
      </w:pPr>
    </w:p>
    <w:p w14:paraId="7C135E77" w14:textId="77777777" w:rsidR="00003F5C" w:rsidRPr="009110F7" w:rsidRDefault="00003F5C" w:rsidP="00003F5C">
      <w:pPr>
        <w:pStyle w:val="Textpoznpodarou"/>
        <w:jc w:val="both"/>
        <w:rPr>
          <w:rFonts w:cs="Arial"/>
          <w:color w:val="000000"/>
        </w:rPr>
      </w:pPr>
    </w:p>
    <w:p w14:paraId="0E1BF7EA" w14:textId="77777777" w:rsidR="00003F5C" w:rsidRPr="009110F7" w:rsidRDefault="00003F5C" w:rsidP="00003F5C">
      <w:pPr>
        <w:pStyle w:val="Textpoznpodarou"/>
        <w:jc w:val="both"/>
        <w:rPr>
          <w:rFonts w:cs="Arial"/>
          <w:color w:val="000000"/>
        </w:rPr>
      </w:pPr>
    </w:p>
    <w:p w14:paraId="62028913" w14:textId="77777777" w:rsidR="00003F5C" w:rsidRPr="009110F7" w:rsidRDefault="00003F5C" w:rsidP="00003F5C">
      <w:pPr>
        <w:pStyle w:val="Textpoznpodarou"/>
        <w:jc w:val="both"/>
        <w:rPr>
          <w:rFonts w:cs="Arial"/>
          <w:color w:val="000000"/>
        </w:rPr>
      </w:pPr>
    </w:p>
    <w:p w14:paraId="1651792B" w14:textId="77777777" w:rsidR="00003F5C" w:rsidRPr="009110F7" w:rsidRDefault="00003F5C" w:rsidP="00003F5C">
      <w:pPr>
        <w:pStyle w:val="Textpoznpodarou"/>
        <w:jc w:val="both"/>
        <w:rPr>
          <w:rFonts w:cs="Arial"/>
          <w:color w:val="000000"/>
        </w:rPr>
      </w:pPr>
      <w:r w:rsidRPr="009110F7">
        <w:rPr>
          <w:rFonts w:cs="Arial"/>
          <w:color w:val="000000"/>
        </w:rPr>
        <w:t>Zdroje dat v celé analýze: ČSÚ, MF</w:t>
      </w:r>
      <w:r w:rsidR="00A45489" w:rsidRPr="009110F7">
        <w:rPr>
          <w:rFonts w:cs="Arial"/>
          <w:color w:val="000000"/>
        </w:rPr>
        <w:t> </w:t>
      </w:r>
      <w:r w:rsidRPr="009110F7">
        <w:rPr>
          <w:rFonts w:cs="Arial"/>
          <w:color w:val="000000"/>
        </w:rPr>
        <w:t xml:space="preserve">ČR, ČNB, MPSV, ČSSZ, </w:t>
      </w:r>
      <w:proofErr w:type="spellStart"/>
      <w:r w:rsidRPr="009110F7">
        <w:rPr>
          <w:rFonts w:cs="Arial"/>
          <w:color w:val="000000"/>
        </w:rPr>
        <w:t>Eurostat</w:t>
      </w:r>
      <w:proofErr w:type="spellEnd"/>
      <w:r w:rsidRPr="009110F7">
        <w:rPr>
          <w:rFonts w:cs="Arial"/>
          <w:color w:val="000000"/>
        </w:rPr>
        <w:t>, propočty ČSÚ.</w:t>
      </w:r>
    </w:p>
    <w:p w14:paraId="4EA2233D" w14:textId="12338D11" w:rsidR="00003F5C" w:rsidRDefault="00003F5C" w:rsidP="00003F5C">
      <w:pPr>
        <w:pStyle w:val="Textpoznpodarou"/>
        <w:jc w:val="both"/>
        <w:rPr>
          <w:rFonts w:cs="Arial"/>
          <w:color w:val="000000"/>
        </w:rPr>
      </w:pPr>
      <w:r w:rsidRPr="009110F7">
        <w:rPr>
          <w:rFonts w:cs="Arial"/>
          <w:color w:val="000000"/>
        </w:rPr>
        <w:t xml:space="preserve">Poslední informace uváděné v této publikaci </w:t>
      </w:r>
      <w:r w:rsidR="00FA6CB6" w:rsidRPr="009110F7">
        <w:rPr>
          <w:rFonts w:cs="Arial"/>
          <w:color w:val="000000"/>
        </w:rPr>
        <w:t xml:space="preserve">pocházejí </w:t>
      </w:r>
      <w:r w:rsidR="00283F7B" w:rsidRPr="009110F7">
        <w:rPr>
          <w:rFonts w:cs="Arial"/>
          <w:color w:val="000000"/>
        </w:rPr>
        <w:t>z</w:t>
      </w:r>
      <w:r w:rsidR="00283F7B">
        <w:rPr>
          <w:rFonts w:cs="Arial"/>
          <w:color w:val="000000"/>
        </w:rPr>
        <w:t> </w:t>
      </w:r>
      <w:r w:rsidR="00EA0E39">
        <w:rPr>
          <w:rFonts w:cs="Arial"/>
          <w:color w:val="000000"/>
        </w:rPr>
        <w:t>15</w:t>
      </w:r>
      <w:r w:rsidR="00971710">
        <w:rPr>
          <w:rFonts w:cs="Arial"/>
          <w:color w:val="000000"/>
        </w:rPr>
        <w:t>.</w:t>
      </w:r>
      <w:r w:rsidR="003A7373">
        <w:rPr>
          <w:rFonts w:cs="Arial"/>
          <w:color w:val="000000"/>
        </w:rPr>
        <w:t> </w:t>
      </w:r>
      <w:r w:rsidR="00EA0E39">
        <w:rPr>
          <w:rFonts w:cs="Arial"/>
          <w:color w:val="000000"/>
        </w:rPr>
        <w:t>března</w:t>
      </w:r>
      <w:r w:rsidRPr="009110F7">
        <w:rPr>
          <w:rFonts w:cs="Arial"/>
          <w:color w:val="000000"/>
        </w:rPr>
        <w:t xml:space="preserve"> </w:t>
      </w:r>
      <w:r w:rsidR="00F37EDC">
        <w:rPr>
          <w:rFonts w:cs="Arial"/>
          <w:color w:val="000000"/>
        </w:rPr>
        <w:t>20</w:t>
      </w:r>
      <w:r w:rsidR="005C216C">
        <w:rPr>
          <w:rFonts w:cs="Arial"/>
          <w:color w:val="000000"/>
        </w:rPr>
        <w:t>2</w:t>
      </w:r>
      <w:r w:rsidR="00EA0E39">
        <w:rPr>
          <w:rFonts w:cs="Arial"/>
          <w:color w:val="000000"/>
        </w:rPr>
        <w:t>1</w:t>
      </w:r>
      <w:r w:rsidRPr="009110F7">
        <w:rPr>
          <w:rFonts w:cs="Arial"/>
          <w:color w:val="000000"/>
        </w:rPr>
        <w:t>.</w:t>
      </w:r>
    </w:p>
    <w:p w14:paraId="56EC82D9" w14:textId="0A5866B3" w:rsidR="002F1D56" w:rsidRDefault="002F1D56" w:rsidP="00003F5C">
      <w:pPr>
        <w:pStyle w:val="Textpoznpodarou"/>
        <w:jc w:val="both"/>
        <w:rPr>
          <w:rFonts w:cs="Arial"/>
          <w:color w:val="000000"/>
        </w:rPr>
      </w:pPr>
    </w:p>
    <w:p w14:paraId="7C689972" w14:textId="443C9781" w:rsidR="002F1D56" w:rsidRPr="002F1D56" w:rsidRDefault="002F1D56" w:rsidP="00003F5C">
      <w:pPr>
        <w:pStyle w:val="Textpoznpodarou"/>
        <w:jc w:val="both"/>
        <w:rPr>
          <w:rFonts w:cs="Arial"/>
        </w:rPr>
      </w:pPr>
    </w:p>
    <w:p w14:paraId="638CF984" w14:textId="3D533D8A" w:rsidR="002F1D56" w:rsidRPr="002F1D56" w:rsidRDefault="002F1D56" w:rsidP="00003F5C">
      <w:pPr>
        <w:pStyle w:val="Textpoznpodarou"/>
        <w:jc w:val="both"/>
        <w:rPr>
          <w:rFonts w:cs="Arial"/>
        </w:rPr>
      </w:pPr>
      <w:r w:rsidRPr="002F1D56">
        <w:rPr>
          <w:rStyle w:val="Zdraznn"/>
          <w:rFonts w:cs="Arial"/>
          <w:i w:val="0"/>
        </w:rPr>
        <w:t>Agregované údaje za EU použité v tomto textu zahrnují 2</w:t>
      </w:r>
      <w:r w:rsidR="00C41D54">
        <w:rPr>
          <w:rStyle w:val="Zdraznn"/>
          <w:rFonts w:cs="Arial"/>
          <w:i w:val="0"/>
        </w:rPr>
        <w:t>7</w:t>
      </w:r>
      <w:r w:rsidRPr="002F1D56">
        <w:rPr>
          <w:rStyle w:val="Zdraznn"/>
          <w:rFonts w:cs="Arial"/>
          <w:i w:val="0"/>
        </w:rPr>
        <w:t xml:space="preserve"> států Unie </w:t>
      </w:r>
      <w:r w:rsidR="00C41D54">
        <w:rPr>
          <w:rStyle w:val="Zdraznn"/>
          <w:rFonts w:cs="Arial"/>
          <w:i w:val="0"/>
        </w:rPr>
        <w:t>bez V</w:t>
      </w:r>
      <w:r w:rsidRPr="002F1D56">
        <w:rPr>
          <w:rStyle w:val="Zdraznn"/>
          <w:rFonts w:cs="Arial"/>
          <w:i w:val="0"/>
        </w:rPr>
        <w:t>elké Británie.</w:t>
      </w:r>
    </w:p>
    <w:p w14:paraId="4B6AA756" w14:textId="77777777" w:rsidR="000C72B7" w:rsidRPr="00584252" w:rsidRDefault="00087F2B" w:rsidP="000C72B7">
      <w:pPr>
        <w:pStyle w:val="Nadpis1"/>
      </w:pPr>
      <w:r w:rsidRPr="002F1D56">
        <w:rPr>
          <w:color w:val="auto"/>
        </w:rPr>
        <w:br w:type="page"/>
      </w:r>
      <w:bookmarkStart w:id="2" w:name="_Toc444112494"/>
      <w:bookmarkStart w:id="3" w:name="_Toc511215208"/>
      <w:bookmarkStart w:id="4" w:name="_Toc26865017"/>
      <w:bookmarkStart w:id="5" w:name="_Toc19090676"/>
      <w:bookmarkStart w:id="6" w:name="_Toc66954402"/>
      <w:r w:rsidR="000C72B7" w:rsidRPr="00584252">
        <w:lastRenderedPageBreak/>
        <w:t>1. Shrnutí</w:t>
      </w:r>
      <w:bookmarkEnd w:id="6"/>
    </w:p>
    <w:bookmarkEnd w:id="2"/>
    <w:bookmarkEnd w:id="3"/>
    <w:p w14:paraId="5AE4BFBE" w14:textId="77777777" w:rsidR="00121609" w:rsidRDefault="00121609" w:rsidP="00121609">
      <w:pPr>
        <w:pStyle w:val="Normalodrka"/>
        <w:spacing w:after="100"/>
        <w:rPr>
          <w:spacing w:val="-4"/>
        </w:rPr>
      </w:pPr>
      <w:r>
        <w:rPr>
          <w:spacing w:val="-4"/>
        </w:rPr>
        <w:t>Hrubý domácí produkt (HDP) české ekonomiky se v roce 2020 reálně propadl o 5,6 %</w:t>
      </w:r>
      <w:r w:rsidRPr="008C3B05">
        <w:rPr>
          <w:rStyle w:val="Znakapoznpodarou"/>
          <w:spacing w:val="-4"/>
          <w:szCs w:val="20"/>
        </w:rPr>
        <w:footnoteReference w:id="1"/>
      </w:r>
      <w:r>
        <w:rPr>
          <w:spacing w:val="-4"/>
        </w:rPr>
        <w:t>, což bylo nejhlubší snížení za dobu existence samostatné ČR. K poklesu loni přispívaly všechny složky HDP, nejvíce domácí spotřeba a investice. Samotné 4. čtvrtletí 2020 bylo ovlivněno další vlnou opatření proti šíření covidu-19. Na rozdíl od 2. čtvrtletí roku ale nebyla v takové míře zasažena zahraniční poptávka. Výsledný meziroční pokles se tedy zmírnil na 4,7 % a </w:t>
      </w:r>
      <w:proofErr w:type="spellStart"/>
      <w:r>
        <w:rPr>
          <w:spacing w:val="-4"/>
        </w:rPr>
        <w:t>mezičtvrtletně</w:t>
      </w:r>
      <w:proofErr w:type="spellEnd"/>
      <w:r>
        <w:rPr>
          <w:spacing w:val="-4"/>
        </w:rPr>
        <w:t xml:space="preserve"> HDP vzrostl o 0,6 %. Domácí spotřeba i investice ale ve 4. čtvrtletí výrazně klesaly. Nová vlna nákazy přinutila k opatřením i zbytek EU. Hrubý domácí produkt v Unii tak klesl o 0,4 % </w:t>
      </w:r>
      <w:proofErr w:type="spellStart"/>
      <w:r>
        <w:rPr>
          <w:spacing w:val="-4"/>
        </w:rPr>
        <w:t>mezičtvrtletně</w:t>
      </w:r>
      <w:proofErr w:type="spellEnd"/>
      <w:r>
        <w:rPr>
          <w:spacing w:val="-4"/>
        </w:rPr>
        <w:t xml:space="preserve"> a meziroční pokles se prohloubil </w:t>
      </w:r>
      <w:proofErr w:type="gramStart"/>
      <w:r>
        <w:rPr>
          <w:spacing w:val="-4"/>
        </w:rPr>
        <w:t>na</w:t>
      </w:r>
      <w:proofErr w:type="gramEnd"/>
      <w:r>
        <w:rPr>
          <w:spacing w:val="-4"/>
        </w:rPr>
        <w:t xml:space="preserve"> –</w:t>
      </w:r>
      <w:proofErr w:type="gramStart"/>
      <w:r>
        <w:rPr>
          <w:spacing w:val="-4"/>
        </w:rPr>
        <w:t>4,8</w:t>
      </w:r>
      <w:proofErr w:type="gramEnd"/>
      <w:r>
        <w:rPr>
          <w:spacing w:val="-4"/>
        </w:rPr>
        <w:t xml:space="preserve"> %. Výsledky ale negativně ovlivnil mezičtvrtletní propad ve velkých ekonomikách – Francii a Itálii. Velké množství evropských ekonomik naopak </w:t>
      </w:r>
      <w:proofErr w:type="spellStart"/>
      <w:r>
        <w:rPr>
          <w:spacing w:val="-4"/>
        </w:rPr>
        <w:t>mezičtvrtletně</w:t>
      </w:r>
      <w:proofErr w:type="spellEnd"/>
      <w:r>
        <w:rPr>
          <w:spacing w:val="-4"/>
        </w:rPr>
        <w:t xml:space="preserve"> mírně rostlo.</w:t>
      </w:r>
    </w:p>
    <w:p w14:paraId="149CB7F7" w14:textId="77777777" w:rsidR="00121609" w:rsidRDefault="00121609" w:rsidP="00121609">
      <w:pPr>
        <w:pStyle w:val="Normalodrka"/>
        <w:spacing w:after="100"/>
        <w:rPr>
          <w:spacing w:val="-4"/>
        </w:rPr>
      </w:pPr>
      <w:r>
        <w:rPr>
          <w:spacing w:val="-4"/>
        </w:rPr>
        <w:t>Hrubá přidaná hodnota (HPH) loni klesla o 5,5 % a propad zasáhl většinu odvětví. Výjimkou byly zemědělství, informační a komunikační činnosti, veřejná správa a obrana, vzdělávání, zdravotní a sociální péče. Hluboký propad vykázalo uskupení obchod, doprava, ubytování a </w:t>
      </w:r>
      <w:proofErr w:type="gramStart"/>
      <w:r>
        <w:rPr>
          <w:spacing w:val="-4"/>
        </w:rPr>
        <w:t>pohostinství (–11,8</w:t>
      </w:r>
      <w:proofErr w:type="gramEnd"/>
      <w:r>
        <w:rPr>
          <w:spacing w:val="-4"/>
        </w:rPr>
        <w:t xml:space="preserve"> %) i profesní, vědecké, technické a administrativní činnosti (–9,3 %). Pokles zasáhl i na export zaměřený zpracovatelský </w:t>
      </w:r>
      <w:proofErr w:type="gramStart"/>
      <w:r>
        <w:rPr>
          <w:spacing w:val="-4"/>
        </w:rPr>
        <w:t>průmysl (–6,9</w:t>
      </w:r>
      <w:proofErr w:type="gramEnd"/>
      <w:r>
        <w:rPr>
          <w:spacing w:val="-4"/>
        </w:rPr>
        <w:t xml:space="preserve"> %). Ve 4. čtvrtletí HPH za úrovní předchozího roku zaostávala o 4,7 %, ale </w:t>
      </w:r>
      <w:proofErr w:type="spellStart"/>
      <w:r>
        <w:rPr>
          <w:spacing w:val="-4"/>
        </w:rPr>
        <w:t>mezičtvrtletně</w:t>
      </w:r>
      <w:proofErr w:type="spellEnd"/>
      <w:r>
        <w:rPr>
          <w:spacing w:val="-4"/>
        </w:rPr>
        <w:t xml:space="preserve"> se zvýšila o 0,5 %. Vzhledem k nové vlně opatření byly opět nejsilněji postiženy ostatní činnosti (zejména osobní služby, jako jsou kadeřnictví apod., meziroční pokles HPH o 20,9 %) a obchod, doprava, ubytování a </w:t>
      </w:r>
      <w:proofErr w:type="gramStart"/>
      <w:r>
        <w:rPr>
          <w:spacing w:val="-4"/>
        </w:rPr>
        <w:t>pohostinství (–14,7</w:t>
      </w:r>
      <w:proofErr w:type="gramEnd"/>
      <w:r>
        <w:rPr>
          <w:spacing w:val="-4"/>
        </w:rPr>
        <w:t> %). Naopak meziroční propad ve zpracovatelském průmyslu se zmírnil na 1,1 %.</w:t>
      </w:r>
    </w:p>
    <w:p w14:paraId="5B4A2D56" w14:textId="77777777" w:rsidR="00121609" w:rsidRDefault="00121609" w:rsidP="00121609">
      <w:pPr>
        <w:pStyle w:val="Normalodrka"/>
        <w:spacing w:after="100"/>
        <w:rPr>
          <w:spacing w:val="-4"/>
        </w:rPr>
      </w:pPr>
      <w:r>
        <w:rPr>
          <w:spacing w:val="-4"/>
        </w:rPr>
        <w:t>Všeobecné omezení ekonomického provozu v průběhu 2. čtvrtletí negativně ovlivnilo zahraniční obchod a ve druhé polovině roku se vývozci snažili ztráty dohnat. Celkem loni vývoz zboží a služeb reálně klesl o 6,0 %</w:t>
      </w:r>
      <w:r w:rsidRPr="009110F7">
        <w:rPr>
          <w:rStyle w:val="Znakapoznpodarou"/>
        </w:rPr>
        <w:footnoteReference w:id="2"/>
      </w:r>
      <w:r>
        <w:rPr>
          <w:spacing w:val="-4"/>
        </w:rPr>
        <w:t xml:space="preserve"> a dovoz o 6,1 %. Bilance dosáhla přebytku 390,5 mld. korun, což bylo meziročně o 42,3 mld. více. Zlepšení se týkalo výhradně obchodu se zbožím. Na zvýšení kladného salda měl vliv zejména obchod s ropou a zemním plynem, naopak přebytek obchodu s motorovými vozidly se snížil. Ve 4. čtvrtletí zahraniční obchod dosahoval rekordních výsledků (přebytek 145,5 mld.), na kterých se naopak právě obchod s motorovými vozidly ve velké míře podílel.</w:t>
      </w:r>
    </w:p>
    <w:p w14:paraId="47BA1555" w14:textId="77777777" w:rsidR="00121609" w:rsidRDefault="00121609" w:rsidP="00121609">
      <w:pPr>
        <w:pStyle w:val="Normalodrka"/>
        <w:spacing w:after="100"/>
        <w:rPr>
          <w:spacing w:val="-4"/>
        </w:rPr>
      </w:pPr>
      <w:r>
        <w:rPr>
          <w:spacing w:val="-4"/>
        </w:rPr>
        <w:t>Podle deflátoru HDP celkový nárůst cenové hladiny loni činil 4,1 %, což je nejvíce od roku 2001. Výrazně rostly ceny spotřeby i kapitálových statků. Index spotřebitelských cen se loni zvýšil o 3,2 %, zejména pod vlivem potravin a nealkoholických nápojů, alkoholu a tabáku a bydlení a energií. Ve 4. čtvrtletí růst spotřebitelských cen výrazně zpomalil na 2,6 %, hlavně pod vlivem zpomalení dynamiky cen potravin. Většinu sledovaných cenových indexů loni ovlivňoval propad cen ropy, který tlumil meziroční růst cen průmyslových výrobců i cen dovozu.</w:t>
      </w:r>
    </w:p>
    <w:p w14:paraId="48D13698" w14:textId="77777777" w:rsidR="00121609" w:rsidRDefault="00121609" w:rsidP="00121609">
      <w:pPr>
        <w:pStyle w:val="Normalodrka"/>
        <w:spacing w:after="100"/>
        <w:rPr>
          <w:spacing w:val="-4"/>
        </w:rPr>
      </w:pPr>
      <w:proofErr w:type="spellStart"/>
      <w:r>
        <w:rPr>
          <w:spacing w:val="-4"/>
        </w:rPr>
        <w:t>Měnověpolitické</w:t>
      </w:r>
      <w:proofErr w:type="spellEnd"/>
      <w:r>
        <w:rPr>
          <w:spacing w:val="-4"/>
        </w:rPr>
        <w:t xml:space="preserve"> úrokové sazby byly v první polovině roku sníženy, což ovlivnilo i další úrokové sazby, zejména ty u vkladů. Snížená spotřeba tlumila dynamiku spotřebních úvěrů pro domácnosti, poměrně nedotčen byl vývoj objemu úvěrů na bydlení.</w:t>
      </w:r>
    </w:p>
    <w:p w14:paraId="1D284175" w14:textId="77777777" w:rsidR="00121609" w:rsidRDefault="00121609" w:rsidP="00121609">
      <w:pPr>
        <w:pStyle w:val="Normalodrka"/>
        <w:spacing w:after="100"/>
        <w:rPr>
          <w:spacing w:val="-4"/>
        </w:rPr>
      </w:pPr>
      <w:r>
        <w:rPr>
          <w:spacing w:val="-4"/>
        </w:rPr>
        <w:t>Ekonomický pokles měl vliv i na zaměstnanost, která loni klesla o 1,5 %</w:t>
      </w:r>
      <w:r w:rsidRPr="00B9720E">
        <w:rPr>
          <w:rStyle w:val="Znakapoznpodarou"/>
          <w:spacing w:val="-4"/>
        </w:rPr>
        <w:footnoteReference w:id="3"/>
      </w:r>
      <w:r>
        <w:rPr>
          <w:spacing w:val="-4"/>
        </w:rPr>
        <w:t>. Výrazně k tomu přispěl zpracovatelský průmysl, kde se ale ve 4. čtvrtletí situace spíše zlepšovala a pokles se dál neprohluboval. Naproti tomu v segmentu obchodu, dopravy, ubytování a pohostinství se propad zaměstnanosti ve 4. čtvrtletí prohloubil na 5 %. Naopak pokračoval výrazný rozvoj informačních a komunikačních činností (nárůst o 3,5 %). Obecná míra nezaměstnanosti loni rostla jen mírně, což souvisí s vládními stabilizačními programy i s poměrně výrazným navýšením počtu ekonomicky neaktivních. Průměrná mzda loni vzrostla o 4,4 % na 35,6 tis. korun. V rámci jednotlivých odvětví ale panovaly ve mzdovém vývoji velké rozdíly.</w:t>
      </w:r>
    </w:p>
    <w:p w14:paraId="1531AB70" w14:textId="0ABA73A0" w:rsidR="00275758" w:rsidRPr="00121609" w:rsidRDefault="00121609" w:rsidP="00121609">
      <w:pPr>
        <w:pStyle w:val="Normalodrka"/>
        <w:spacing w:after="0"/>
        <w:rPr>
          <w:spacing w:val="-4"/>
        </w:rPr>
      </w:pPr>
      <w:r>
        <w:rPr>
          <w:spacing w:val="-4"/>
        </w:rPr>
        <w:t xml:space="preserve">Hospodaření státního rozpočtu loni skončilo schodkem ve výši 367,4 mld. korun. Meziročně se deficit prohloubil o téměř 340 mld. Rozhodující měrou se na schodku podílela </w:t>
      </w:r>
      <w:proofErr w:type="spellStart"/>
      <w:r>
        <w:rPr>
          <w:spacing w:val="-4"/>
        </w:rPr>
        <w:t>protipandemická</w:t>
      </w:r>
      <w:proofErr w:type="spellEnd"/>
      <w:r>
        <w:rPr>
          <w:spacing w:val="-4"/>
        </w:rPr>
        <w:t xml:space="preserve"> opatření, která na jedné straně významně navýšila rozpočtové výdaje (18,8 %), zároveň ale vedla k propadu </w:t>
      </w:r>
      <w:proofErr w:type="gramStart"/>
      <w:r>
        <w:rPr>
          <w:spacing w:val="-4"/>
        </w:rPr>
        <w:t>příjmů (–3,1</w:t>
      </w:r>
      <w:proofErr w:type="gramEnd"/>
      <w:r>
        <w:rPr>
          <w:spacing w:val="-4"/>
        </w:rPr>
        <w:t> %). Na straně příjmů došlo k citelnému výpadku daňových příjmů i výběru pojistného na sociální zabezpečení. Narůstaly běžné výdaje, které zahrnovaly i kompenzační opatření podnikům, obcím i jednotlivcům. Výrazný růst se týkal i sociálních dávek (důchodů i nedůchodových dávek).</w:t>
      </w:r>
      <w:r w:rsidRPr="00121609">
        <w:rPr>
          <w:spacing w:val="-4"/>
        </w:rPr>
        <w:br w:type="page"/>
      </w:r>
    </w:p>
    <w:p w14:paraId="38934AC7" w14:textId="5E006098" w:rsidR="00251496" w:rsidRPr="009110F7" w:rsidRDefault="00251496" w:rsidP="00251496">
      <w:pPr>
        <w:pStyle w:val="Nadpis1"/>
      </w:pPr>
      <w:bookmarkStart w:id="7" w:name="_Toc58605372"/>
      <w:bookmarkStart w:id="8" w:name="_Toc66954403"/>
      <w:bookmarkEnd w:id="4"/>
      <w:r w:rsidRPr="0077605B">
        <w:lastRenderedPageBreak/>
        <w:t>2</w:t>
      </w:r>
      <w:r>
        <w:t>. </w:t>
      </w:r>
      <w:r w:rsidRPr="0077605B">
        <w:t>Souhrnná výkonnost</w:t>
      </w:r>
      <w:bookmarkEnd w:id="7"/>
      <w:bookmarkEnd w:id="8"/>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251496" w:rsidRPr="009110F7" w14:paraId="1ED2BE07" w14:textId="77777777" w:rsidTr="00275758">
        <w:trPr>
          <w:trHeight w:val="145"/>
        </w:trPr>
        <w:tc>
          <w:tcPr>
            <w:tcW w:w="1806" w:type="dxa"/>
            <w:shd w:val="clear" w:color="auto" w:fill="auto"/>
            <w:tcMar>
              <w:left w:w="0" w:type="dxa"/>
            </w:tcMar>
          </w:tcPr>
          <w:p w14:paraId="05A8927B" w14:textId="77777777" w:rsidR="00251496" w:rsidRDefault="00251496" w:rsidP="00275758">
            <w:pPr>
              <w:pStyle w:val="Marginlie"/>
            </w:pPr>
            <w:r>
              <w:t>V roce 2020 se rekordně propadl hrubý domácí produkt.</w:t>
            </w:r>
          </w:p>
        </w:tc>
        <w:tc>
          <w:tcPr>
            <w:tcW w:w="223" w:type="dxa"/>
            <w:shd w:val="clear" w:color="auto" w:fill="auto"/>
            <w:tcMar>
              <w:left w:w="0" w:type="dxa"/>
            </w:tcMar>
          </w:tcPr>
          <w:p w14:paraId="2F083886" w14:textId="77777777" w:rsidR="00251496" w:rsidRDefault="00251496" w:rsidP="00275758">
            <w:pPr>
              <w:pStyle w:val="Textpoznpodarou"/>
              <w:jc w:val="both"/>
              <w:rPr>
                <w:spacing w:val="-4"/>
              </w:rPr>
            </w:pPr>
          </w:p>
        </w:tc>
        <w:tc>
          <w:tcPr>
            <w:tcW w:w="7610" w:type="dxa"/>
            <w:shd w:val="clear" w:color="auto" w:fill="auto"/>
            <w:tcMar>
              <w:left w:w="0" w:type="dxa"/>
            </w:tcMar>
          </w:tcPr>
          <w:p w14:paraId="696D3D3A" w14:textId="77777777" w:rsidR="00251496" w:rsidRPr="00014ED0" w:rsidRDefault="00251496" w:rsidP="00267C51">
            <w:pPr>
              <w:rPr>
                <w:spacing w:val="-2"/>
              </w:rPr>
            </w:pPr>
            <w:r>
              <w:rPr>
                <w:spacing w:val="-2"/>
              </w:rPr>
              <w:t>Rok 2020 byl pro českou ekonomiku nejhorším za dobu samostatné existence státu. Hrubý domácí produkt (HDP) se loni reálně snížil o 5,6 %</w:t>
            </w:r>
            <w:r w:rsidRPr="00014ED0">
              <w:rPr>
                <w:rStyle w:val="Znakapoznpodarou"/>
                <w:rFonts w:cs="Arial"/>
                <w:spacing w:val="-2"/>
              </w:rPr>
              <w:footnoteReference w:id="4"/>
            </w:r>
            <w:r>
              <w:rPr>
                <w:spacing w:val="-2"/>
              </w:rPr>
              <w:t>, což překonalo i hluboký propad v krizovém roce 2009. Pokles se dotkl všech složek HDP. Hluboce se propadla investiční aktivita a rovněž spotřeba domácností. Zejména reakce domácích i zahraničních podniků na jarní vlnu nákazy covid-19 postihla bilanci zahraničního obchodu. Ani mohutné zlepšení bilance v druhé polovině roku výpadek nevykompenzovalo, a tak zahraniční poptávka negativně ovlivňovala i celoroční výsledek. Narostla pouze spotřeba vládních institucí. V samotném 4. čtvrtletí se zčásti projevila nová vlna opatření proti šíření nákazy. Ta ale mířila především na obchod a služby. Průmysl na rozdíl od jarního období nepřerušil provoz, což napomohlo k výraznému zlepšení bilance zahraničního obchodu se zbožím. Zejména vliv zahraniční poptávky tak ve 4. čtvrtletí napomohl mezičtvrtletnímu zvýšení HDP o 0,6 %. Meziroční propad se zmírnil na 4,7 %.</w:t>
            </w:r>
          </w:p>
        </w:tc>
      </w:tr>
      <w:tr w:rsidR="00251496" w:rsidRPr="009110F7" w14:paraId="592D81BC" w14:textId="77777777" w:rsidTr="00275758">
        <w:trPr>
          <w:trHeight w:val="170"/>
        </w:trPr>
        <w:tc>
          <w:tcPr>
            <w:tcW w:w="1806" w:type="dxa"/>
            <w:vMerge w:val="restart"/>
            <w:shd w:val="clear" w:color="auto" w:fill="auto"/>
            <w:tcMar>
              <w:left w:w="0" w:type="dxa"/>
            </w:tcMar>
          </w:tcPr>
          <w:p w14:paraId="15D0D1DC" w14:textId="77777777" w:rsidR="00251496" w:rsidRDefault="00251496" w:rsidP="00275758">
            <w:pPr>
              <w:pStyle w:val="Marginlie"/>
            </w:pPr>
          </w:p>
        </w:tc>
        <w:tc>
          <w:tcPr>
            <w:tcW w:w="223" w:type="dxa"/>
            <w:vMerge w:val="restart"/>
            <w:shd w:val="clear" w:color="auto" w:fill="auto"/>
            <w:tcMar>
              <w:left w:w="0" w:type="dxa"/>
            </w:tcMar>
          </w:tcPr>
          <w:p w14:paraId="070FAB0F" w14:textId="77777777" w:rsidR="00251496" w:rsidRDefault="00251496" w:rsidP="00275758">
            <w:pPr>
              <w:pStyle w:val="Textpoznpodarou"/>
              <w:jc w:val="both"/>
              <w:rPr>
                <w:spacing w:val="-4"/>
              </w:rPr>
            </w:pPr>
          </w:p>
        </w:tc>
        <w:tc>
          <w:tcPr>
            <w:tcW w:w="7610" w:type="dxa"/>
            <w:shd w:val="clear" w:color="auto" w:fill="auto"/>
            <w:tcMar>
              <w:left w:w="0" w:type="dxa"/>
            </w:tcMar>
          </w:tcPr>
          <w:p w14:paraId="7F221285" w14:textId="77777777" w:rsidR="00251496" w:rsidRPr="00D721B4" w:rsidRDefault="00251496" w:rsidP="00275758">
            <w:pPr>
              <w:spacing w:after="0"/>
              <w:rPr>
                <w:b/>
                <w:szCs w:val="20"/>
              </w:rPr>
            </w:pPr>
            <w:r w:rsidRPr="00D721B4">
              <w:rPr>
                <w:rFonts w:cs="Arial"/>
                <w:b/>
                <w:bCs/>
                <w:color w:val="000000"/>
                <w:szCs w:val="20"/>
              </w:rPr>
              <w:t xml:space="preserve">Graf č. 1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251496" w:rsidRPr="009110F7" w14:paraId="3AF15126" w14:textId="77777777" w:rsidTr="00275758">
        <w:tblPrEx>
          <w:tblCellMar>
            <w:left w:w="70" w:type="dxa"/>
            <w:right w:w="70" w:type="dxa"/>
          </w:tblCellMar>
        </w:tblPrEx>
        <w:trPr>
          <w:trHeight w:val="170"/>
        </w:trPr>
        <w:tc>
          <w:tcPr>
            <w:tcW w:w="1806" w:type="dxa"/>
            <w:vMerge/>
            <w:shd w:val="clear" w:color="auto" w:fill="auto"/>
          </w:tcPr>
          <w:p w14:paraId="41D6E83B" w14:textId="77777777" w:rsidR="00251496" w:rsidRPr="009110F7" w:rsidRDefault="00251496" w:rsidP="00275758">
            <w:pPr>
              <w:pStyle w:val="Marginlie"/>
            </w:pPr>
          </w:p>
        </w:tc>
        <w:tc>
          <w:tcPr>
            <w:tcW w:w="223" w:type="dxa"/>
            <w:vMerge/>
            <w:shd w:val="clear" w:color="auto" w:fill="auto"/>
          </w:tcPr>
          <w:p w14:paraId="6C97FE97" w14:textId="77777777" w:rsidR="00251496" w:rsidRPr="009110F7" w:rsidRDefault="00251496" w:rsidP="00275758">
            <w:pPr>
              <w:pStyle w:val="Textpoznpodarou"/>
              <w:jc w:val="both"/>
              <w:rPr>
                <w:spacing w:val="-4"/>
              </w:rPr>
            </w:pPr>
          </w:p>
        </w:tc>
        <w:tc>
          <w:tcPr>
            <w:tcW w:w="7610" w:type="dxa"/>
            <w:shd w:val="clear" w:color="auto" w:fill="auto"/>
          </w:tcPr>
          <w:p w14:paraId="1E0EDAEC" w14:textId="77777777" w:rsidR="00251496" w:rsidRPr="009110F7" w:rsidRDefault="00251496" w:rsidP="00275758">
            <w:pPr>
              <w:spacing w:after="0"/>
            </w:pPr>
            <w:r>
              <w:rPr>
                <w:noProof/>
              </w:rPr>
              <w:drawing>
                <wp:inline distT="0" distB="0" distL="0" distR="0" wp14:anchorId="7E6D3480" wp14:editId="3E841D58">
                  <wp:extent cx="4737600" cy="3438900"/>
                  <wp:effectExtent l="0" t="0" r="6350" b="0"/>
                  <wp:docPr id="26" name="Graf 2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251496" w:rsidRPr="009110F7" w14:paraId="33F3626B" w14:textId="77777777" w:rsidTr="00275758">
        <w:trPr>
          <w:trHeight w:val="170"/>
        </w:trPr>
        <w:tc>
          <w:tcPr>
            <w:tcW w:w="1806" w:type="dxa"/>
            <w:vMerge/>
            <w:shd w:val="clear" w:color="auto" w:fill="auto"/>
            <w:tcMar>
              <w:left w:w="0" w:type="dxa"/>
            </w:tcMar>
          </w:tcPr>
          <w:p w14:paraId="56C2E83C" w14:textId="77777777" w:rsidR="00251496" w:rsidRPr="009110F7" w:rsidRDefault="00251496" w:rsidP="00275758">
            <w:pPr>
              <w:pStyle w:val="Marginlie"/>
            </w:pPr>
          </w:p>
        </w:tc>
        <w:tc>
          <w:tcPr>
            <w:tcW w:w="223" w:type="dxa"/>
            <w:vMerge/>
            <w:shd w:val="clear" w:color="auto" w:fill="auto"/>
            <w:tcMar>
              <w:left w:w="0" w:type="dxa"/>
            </w:tcMar>
          </w:tcPr>
          <w:p w14:paraId="0E541FF0" w14:textId="77777777" w:rsidR="00251496" w:rsidRPr="009110F7" w:rsidRDefault="00251496" w:rsidP="00275758">
            <w:pPr>
              <w:pStyle w:val="Textpoznpodarou"/>
              <w:jc w:val="both"/>
              <w:rPr>
                <w:spacing w:val="-4"/>
              </w:rPr>
            </w:pPr>
          </w:p>
        </w:tc>
        <w:tc>
          <w:tcPr>
            <w:tcW w:w="7610" w:type="dxa"/>
            <w:shd w:val="clear" w:color="auto" w:fill="auto"/>
            <w:tcMar>
              <w:left w:w="0" w:type="dxa"/>
            </w:tcMar>
          </w:tcPr>
          <w:p w14:paraId="4C5A015E" w14:textId="77777777" w:rsidR="00251496" w:rsidRPr="009110F7" w:rsidRDefault="00251496" w:rsidP="00275758">
            <w:pPr>
              <w:spacing w:after="220"/>
              <w:rPr>
                <w:sz w:val="14"/>
                <w:szCs w:val="14"/>
              </w:rPr>
            </w:pPr>
            <w:r>
              <w:rPr>
                <w:sz w:val="14"/>
                <w:szCs w:val="14"/>
              </w:rPr>
              <w:t xml:space="preserve">Zdroj: ČSÚ, </w:t>
            </w:r>
            <w:proofErr w:type="spellStart"/>
            <w:r>
              <w:rPr>
                <w:sz w:val="14"/>
                <w:szCs w:val="14"/>
              </w:rPr>
              <w:t>Eurostat</w:t>
            </w:r>
            <w:proofErr w:type="spellEnd"/>
          </w:p>
        </w:tc>
      </w:tr>
      <w:tr w:rsidR="00251496" w:rsidRPr="009110F7" w14:paraId="2BC08FC8" w14:textId="77777777" w:rsidTr="00275758">
        <w:trPr>
          <w:trHeight w:val="145"/>
        </w:trPr>
        <w:tc>
          <w:tcPr>
            <w:tcW w:w="1806" w:type="dxa"/>
            <w:shd w:val="clear" w:color="auto" w:fill="auto"/>
            <w:tcMar>
              <w:left w:w="0" w:type="dxa"/>
            </w:tcMar>
          </w:tcPr>
          <w:p w14:paraId="1B137299" w14:textId="77777777" w:rsidR="00251496" w:rsidRDefault="00251496" w:rsidP="00275758">
            <w:pPr>
              <w:pStyle w:val="Marginlie"/>
            </w:pPr>
            <w:r>
              <w:t xml:space="preserve">Také evropské ekonomiky byly postiženy opatřeními proti šíření </w:t>
            </w:r>
            <w:proofErr w:type="spellStart"/>
            <w:r>
              <w:t>koronaviru</w:t>
            </w:r>
            <w:proofErr w:type="spellEnd"/>
            <w:r>
              <w:t>.</w:t>
            </w:r>
          </w:p>
        </w:tc>
        <w:tc>
          <w:tcPr>
            <w:tcW w:w="223" w:type="dxa"/>
            <w:shd w:val="clear" w:color="auto" w:fill="auto"/>
            <w:tcMar>
              <w:left w:w="0" w:type="dxa"/>
            </w:tcMar>
          </w:tcPr>
          <w:p w14:paraId="5420153F" w14:textId="77777777" w:rsidR="00251496" w:rsidRDefault="00251496" w:rsidP="00275758">
            <w:pPr>
              <w:pStyle w:val="Textpoznpodarou"/>
              <w:jc w:val="both"/>
              <w:rPr>
                <w:spacing w:val="-4"/>
              </w:rPr>
            </w:pPr>
          </w:p>
        </w:tc>
        <w:tc>
          <w:tcPr>
            <w:tcW w:w="7610" w:type="dxa"/>
            <w:shd w:val="clear" w:color="auto" w:fill="auto"/>
            <w:tcMar>
              <w:left w:w="0" w:type="dxa"/>
            </w:tcMar>
          </w:tcPr>
          <w:p w14:paraId="6DDBFE88" w14:textId="77777777" w:rsidR="00251496" w:rsidRDefault="00251496" w:rsidP="00267C51">
            <w:pPr>
              <w:spacing w:after="0"/>
            </w:pPr>
            <w:r>
              <w:t xml:space="preserve">Druhá vlna nákazy a následná opatření zasáhly ve 4. čtvrtletí většinu zemí EU, takže hrubý domácí produkt v EU </w:t>
            </w:r>
            <w:proofErr w:type="spellStart"/>
            <w:r>
              <w:t>mezičtvrtletně</w:t>
            </w:r>
            <w:proofErr w:type="spellEnd"/>
            <w:r>
              <w:t xml:space="preserve"> klesl o 0,4 %</w:t>
            </w:r>
            <w:r w:rsidRPr="009110F7">
              <w:rPr>
                <w:rStyle w:val="Znakapoznpodarou"/>
                <w:spacing w:val="-2"/>
              </w:rPr>
              <w:footnoteReference w:id="5"/>
            </w:r>
            <w:r>
              <w:t xml:space="preserve">. Většina ekonomik EU ale zaznamenala nárůst oproti 3. čtvrtletí – nejvíce Rumunsko (5,3 %), Chorvatsko (2,7 %) a Estonsko (2,1 %), mírný přírůstek kromě Česka vykázalo třeba Německo (0,3 %) a Slovensko (0,2 %). Agregovaný výsledek za celou Unii negativně ovlivnil propad v některých velkých ekonomikách – </w:t>
            </w:r>
            <w:proofErr w:type="gramStart"/>
            <w:r>
              <w:t>Itálii (–2,0</w:t>
            </w:r>
            <w:proofErr w:type="gramEnd"/>
            <w:r>
              <w:t xml:space="preserve"> %) a Francii (–1,4 %). Nejvíce HDP </w:t>
            </w:r>
            <w:proofErr w:type="spellStart"/>
            <w:r>
              <w:t>mezičtvrtletně</w:t>
            </w:r>
            <w:proofErr w:type="spellEnd"/>
            <w:r>
              <w:t xml:space="preserve"> klesl v </w:t>
            </w:r>
            <w:proofErr w:type="gramStart"/>
            <w:r>
              <w:t>Rakousku (–4,3</w:t>
            </w:r>
            <w:proofErr w:type="gramEnd"/>
            <w:r>
              <w:t xml:space="preserve"> %). Meziroční propad HDP v Evropské unii se prohloubil </w:t>
            </w:r>
            <w:proofErr w:type="gramStart"/>
            <w:r>
              <w:t>na</w:t>
            </w:r>
            <w:proofErr w:type="gramEnd"/>
            <w:r>
              <w:t xml:space="preserve"> –</w:t>
            </w:r>
            <w:proofErr w:type="gramStart"/>
            <w:r>
              <w:t>4,8</w:t>
            </w:r>
            <w:proofErr w:type="gramEnd"/>
            <w:r>
              <w:t> %. Podle dostupných dat meziročního přírůstku dosáhlo jen Lucembursko</w:t>
            </w:r>
            <w:r>
              <w:rPr>
                <w:rStyle w:val="Znakapoznpodarou"/>
              </w:rPr>
              <w:footnoteReference w:id="6"/>
            </w:r>
            <w:r>
              <w:t xml:space="preserve"> (1,4 %). Nejhlubší propad zažívaly </w:t>
            </w:r>
            <w:proofErr w:type="gramStart"/>
            <w:r>
              <w:t>Španělsko (–9,1</w:t>
            </w:r>
            <w:proofErr w:type="gramEnd"/>
            <w:r>
              <w:t> %), Rakousko</w:t>
            </w:r>
            <w:r>
              <w:br/>
              <w:t>(–7,8 %) a Chorvatsko (–7,1 %).</w:t>
            </w:r>
          </w:p>
        </w:tc>
      </w:tr>
      <w:tr w:rsidR="00251496" w:rsidRPr="009110F7" w14:paraId="050DB1EC" w14:textId="77777777" w:rsidTr="00275758">
        <w:trPr>
          <w:trHeight w:val="145"/>
        </w:trPr>
        <w:tc>
          <w:tcPr>
            <w:tcW w:w="1806" w:type="dxa"/>
            <w:shd w:val="clear" w:color="auto" w:fill="auto"/>
            <w:tcMar>
              <w:left w:w="0" w:type="dxa"/>
            </w:tcMar>
          </w:tcPr>
          <w:p w14:paraId="1558C68C" w14:textId="77777777" w:rsidR="00251496" w:rsidRDefault="00251496" w:rsidP="00275758">
            <w:pPr>
              <w:pStyle w:val="Marginlie"/>
            </w:pPr>
            <w:r>
              <w:lastRenderedPageBreak/>
              <w:t>Objem vyplacených mezd a platů se loni snížil.</w:t>
            </w:r>
          </w:p>
        </w:tc>
        <w:tc>
          <w:tcPr>
            <w:tcW w:w="223" w:type="dxa"/>
            <w:shd w:val="clear" w:color="auto" w:fill="auto"/>
            <w:tcMar>
              <w:left w:w="0" w:type="dxa"/>
            </w:tcMar>
          </w:tcPr>
          <w:p w14:paraId="09C5A900" w14:textId="77777777" w:rsidR="00251496" w:rsidRDefault="00251496" w:rsidP="00275758">
            <w:pPr>
              <w:pStyle w:val="Textpoznpodarou"/>
              <w:jc w:val="both"/>
              <w:rPr>
                <w:spacing w:val="-4"/>
              </w:rPr>
            </w:pPr>
          </w:p>
        </w:tc>
        <w:tc>
          <w:tcPr>
            <w:tcW w:w="7610" w:type="dxa"/>
            <w:shd w:val="clear" w:color="auto" w:fill="auto"/>
            <w:tcMar>
              <w:left w:w="0" w:type="dxa"/>
            </w:tcMar>
          </w:tcPr>
          <w:p w14:paraId="7EF12B0E" w14:textId="77777777" w:rsidR="00251496" w:rsidRPr="00014ED0" w:rsidRDefault="00251496" w:rsidP="00267C51">
            <w:pPr>
              <w:rPr>
                <w:spacing w:val="-2"/>
              </w:rPr>
            </w:pPr>
            <w:r>
              <w:rPr>
                <w:spacing w:val="-2"/>
              </w:rPr>
              <w:t>Celkový ekonomický pokles zasáhl i trh práce. Za celý rok 2020 poklesl objem vyplacených mezd a platů o 0,4 % při současném poklesu celkové zaměstnanosti o 1,5 %</w:t>
            </w:r>
            <w:r w:rsidRPr="00014ED0">
              <w:rPr>
                <w:rStyle w:val="Znakapoznpodarou"/>
                <w:spacing w:val="-2"/>
              </w:rPr>
              <w:footnoteReference w:id="7"/>
            </w:r>
            <w:r>
              <w:rPr>
                <w:spacing w:val="-2"/>
              </w:rPr>
              <w:t xml:space="preserve">. Vzhledem k výraznému růstu cenové hladiny byl reálný propad kupní síly výdělků ještě </w:t>
            </w:r>
            <w:proofErr w:type="gramStart"/>
            <w:r>
              <w:rPr>
                <w:spacing w:val="-2"/>
              </w:rPr>
              <w:t>výraznější (–3,1</w:t>
            </w:r>
            <w:proofErr w:type="gramEnd"/>
            <w:r>
              <w:rPr>
                <w:spacing w:val="-2"/>
              </w:rPr>
              <w:t> %</w:t>
            </w:r>
            <w:r>
              <w:rPr>
                <w:rStyle w:val="Znakapoznpodarou"/>
                <w:spacing w:val="-2"/>
              </w:rPr>
              <w:footnoteReference w:id="8"/>
            </w:r>
            <w:r>
              <w:rPr>
                <w:spacing w:val="-2"/>
              </w:rPr>
              <w:t xml:space="preserve">). Pokles celkového objemu vyplacených prostředků byl nejvíce ovlivněn propadem objemu vyplacených mezd a platů ve zpracovatelském </w:t>
            </w:r>
            <w:proofErr w:type="gramStart"/>
            <w:r>
              <w:rPr>
                <w:spacing w:val="-2"/>
              </w:rPr>
              <w:t>průmyslu (–4,3</w:t>
            </w:r>
            <w:proofErr w:type="gramEnd"/>
            <w:r>
              <w:rPr>
                <w:spacing w:val="-2"/>
              </w:rPr>
              <w:t xml:space="preserve"> %) a v uskupení obchod, doprava, ubytování a pohostinství (–6,2 %). Mzdy a platy klesly také u ostatních </w:t>
            </w:r>
            <w:proofErr w:type="gramStart"/>
            <w:r>
              <w:rPr>
                <w:spacing w:val="-2"/>
              </w:rPr>
              <w:t>činností (–4,4</w:t>
            </w:r>
            <w:proofErr w:type="gramEnd"/>
            <w:r>
              <w:rPr>
                <w:spacing w:val="-2"/>
              </w:rPr>
              <w:t> %) a profesních, vědeckých, technických a administrativních činností (–4,3 %). S výjimkou ostatních činností byl u zmíněných odvětví pokles způsoben i výrazným snížením zaměstnanosti. Loni naopak výrazně vzrostl objem vyplacených prostředků v činnostech v oblasti nemovitostí (13,9 %), informačních a komunikačních činnostech (8,1 %) a odvětvích s dominancí sektoru vládních institucí</w:t>
            </w:r>
            <w:r>
              <w:rPr>
                <w:rStyle w:val="Znakapoznpodarou"/>
                <w:spacing w:val="-2"/>
              </w:rPr>
              <w:footnoteReference w:id="9"/>
            </w:r>
            <w:r>
              <w:rPr>
                <w:spacing w:val="-2"/>
              </w:rPr>
              <w:t xml:space="preserve"> (7,2 %). V samotném 4. čtvrtletí objem vyplacených mezd a platů meziročně poklesl o 0,4 % (při snížení zaměstnanosti o 1,9 %). Nejhlubší propad vykázaly obchod, doprava, ubytování a </w:t>
            </w:r>
            <w:proofErr w:type="gramStart"/>
            <w:r>
              <w:rPr>
                <w:spacing w:val="-2"/>
              </w:rPr>
              <w:t>pohostinství (–10,5</w:t>
            </w:r>
            <w:proofErr w:type="gramEnd"/>
            <w:r>
              <w:rPr>
                <w:spacing w:val="-2"/>
              </w:rPr>
              <w:t> %), ostatní činnosti (–6,7 %) a profesní, vědecké technické a administrativní činnosti (–4,1 %), tedy odvětví často přímo zasažená nuceným omezením provozu. Meziroční pokles mezd a platů ve zpracovatelském průmyslu se zmírnil na 1,4 %. Výrazný nárůst vyplacených prostředků byl ve 4. čtvrtletí zaznamenán v činnostech v oblasti nemovitostí (16,5 %), informačních a komunikačních činnostech (8,3 %) a odvětvích s dominancí sektoru vládních institucí (8,4 %).</w:t>
            </w:r>
          </w:p>
        </w:tc>
      </w:tr>
      <w:tr w:rsidR="00251496" w:rsidRPr="009110F7" w14:paraId="372466E5" w14:textId="77777777" w:rsidTr="00275758">
        <w:trPr>
          <w:trHeight w:val="170"/>
        </w:trPr>
        <w:tc>
          <w:tcPr>
            <w:tcW w:w="1806" w:type="dxa"/>
            <w:vMerge w:val="restart"/>
            <w:shd w:val="clear" w:color="auto" w:fill="auto"/>
            <w:tcMar>
              <w:left w:w="0" w:type="dxa"/>
            </w:tcMar>
          </w:tcPr>
          <w:p w14:paraId="796F6BB2" w14:textId="77777777" w:rsidR="00251496" w:rsidRDefault="00251496" w:rsidP="00275758">
            <w:pPr>
              <w:pStyle w:val="Marginlie"/>
            </w:pPr>
          </w:p>
        </w:tc>
        <w:tc>
          <w:tcPr>
            <w:tcW w:w="223" w:type="dxa"/>
            <w:vMerge w:val="restart"/>
            <w:shd w:val="clear" w:color="auto" w:fill="auto"/>
            <w:tcMar>
              <w:left w:w="0" w:type="dxa"/>
            </w:tcMar>
          </w:tcPr>
          <w:p w14:paraId="42837803" w14:textId="77777777" w:rsidR="00251496" w:rsidRDefault="00251496" w:rsidP="00275758">
            <w:pPr>
              <w:pStyle w:val="Textpoznpodarou"/>
              <w:jc w:val="both"/>
              <w:rPr>
                <w:spacing w:val="-4"/>
              </w:rPr>
            </w:pPr>
          </w:p>
        </w:tc>
        <w:tc>
          <w:tcPr>
            <w:tcW w:w="7610" w:type="dxa"/>
            <w:shd w:val="clear" w:color="auto" w:fill="auto"/>
            <w:tcMar>
              <w:left w:w="0" w:type="dxa"/>
            </w:tcMar>
          </w:tcPr>
          <w:p w14:paraId="489FD7BE" w14:textId="77777777" w:rsidR="00251496" w:rsidRPr="00D721B4" w:rsidRDefault="00251496" w:rsidP="00275758">
            <w:pPr>
              <w:spacing w:after="0"/>
              <w:rPr>
                <w:szCs w:val="20"/>
              </w:rPr>
            </w:pPr>
            <w:r w:rsidRPr="00D721B4">
              <w:rPr>
                <w:b/>
                <w:szCs w:val="20"/>
              </w:rPr>
              <w:t xml:space="preserve">Graf č. 2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251496" w:rsidRPr="009110F7" w14:paraId="46F7ADCF" w14:textId="77777777" w:rsidTr="00275758">
        <w:tblPrEx>
          <w:tblCellMar>
            <w:left w:w="70" w:type="dxa"/>
            <w:right w:w="70" w:type="dxa"/>
          </w:tblCellMar>
        </w:tblPrEx>
        <w:trPr>
          <w:trHeight w:val="170"/>
        </w:trPr>
        <w:tc>
          <w:tcPr>
            <w:tcW w:w="1806" w:type="dxa"/>
            <w:vMerge/>
            <w:shd w:val="clear" w:color="auto" w:fill="auto"/>
          </w:tcPr>
          <w:p w14:paraId="0A8C34FD" w14:textId="77777777" w:rsidR="00251496" w:rsidRDefault="00251496" w:rsidP="00275758">
            <w:pPr>
              <w:pStyle w:val="Marginlie"/>
            </w:pPr>
          </w:p>
        </w:tc>
        <w:tc>
          <w:tcPr>
            <w:tcW w:w="223" w:type="dxa"/>
            <w:vMerge/>
            <w:shd w:val="clear" w:color="auto" w:fill="auto"/>
          </w:tcPr>
          <w:p w14:paraId="3FD98090" w14:textId="77777777" w:rsidR="00251496" w:rsidRDefault="00251496" w:rsidP="00275758">
            <w:pPr>
              <w:pStyle w:val="Textpoznpodarou"/>
              <w:jc w:val="both"/>
              <w:rPr>
                <w:spacing w:val="-4"/>
              </w:rPr>
            </w:pPr>
          </w:p>
        </w:tc>
        <w:tc>
          <w:tcPr>
            <w:tcW w:w="7610" w:type="dxa"/>
            <w:shd w:val="clear" w:color="auto" w:fill="auto"/>
          </w:tcPr>
          <w:p w14:paraId="1625E610" w14:textId="77777777" w:rsidR="00251496" w:rsidRDefault="00251496" w:rsidP="00275758">
            <w:pPr>
              <w:spacing w:after="0"/>
            </w:pPr>
            <w:r>
              <w:rPr>
                <w:noProof/>
              </w:rPr>
              <w:drawing>
                <wp:inline distT="0" distB="0" distL="0" distR="0" wp14:anchorId="6D6682C5" wp14:editId="10B3BC8D">
                  <wp:extent cx="4737600" cy="3432550"/>
                  <wp:effectExtent l="0" t="0" r="6350" b="0"/>
                  <wp:docPr id="3" name="Graf 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51496" w:rsidRPr="009110F7" w14:paraId="0888E960" w14:textId="77777777" w:rsidTr="00275758">
        <w:trPr>
          <w:trHeight w:val="170"/>
        </w:trPr>
        <w:tc>
          <w:tcPr>
            <w:tcW w:w="1806" w:type="dxa"/>
            <w:vMerge/>
            <w:shd w:val="clear" w:color="auto" w:fill="auto"/>
            <w:tcMar>
              <w:left w:w="0" w:type="dxa"/>
            </w:tcMar>
          </w:tcPr>
          <w:p w14:paraId="26D3A84E" w14:textId="77777777" w:rsidR="00251496" w:rsidRDefault="00251496" w:rsidP="00275758">
            <w:pPr>
              <w:pStyle w:val="Marginlie"/>
            </w:pPr>
          </w:p>
        </w:tc>
        <w:tc>
          <w:tcPr>
            <w:tcW w:w="223" w:type="dxa"/>
            <w:vMerge/>
            <w:shd w:val="clear" w:color="auto" w:fill="auto"/>
            <w:tcMar>
              <w:left w:w="0" w:type="dxa"/>
            </w:tcMar>
          </w:tcPr>
          <w:p w14:paraId="20EC8477" w14:textId="77777777" w:rsidR="00251496" w:rsidRDefault="00251496" w:rsidP="00275758">
            <w:pPr>
              <w:pStyle w:val="Textpoznpodarou"/>
              <w:jc w:val="both"/>
              <w:rPr>
                <w:spacing w:val="-4"/>
              </w:rPr>
            </w:pPr>
          </w:p>
        </w:tc>
        <w:tc>
          <w:tcPr>
            <w:tcW w:w="7610" w:type="dxa"/>
            <w:shd w:val="clear" w:color="auto" w:fill="auto"/>
            <w:tcMar>
              <w:left w:w="0" w:type="dxa"/>
            </w:tcMar>
          </w:tcPr>
          <w:p w14:paraId="2CA291B0" w14:textId="77777777" w:rsidR="00251496" w:rsidRDefault="00251496" w:rsidP="00275758">
            <w:pPr>
              <w:spacing w:after="0"/>
              <w:rPr>
                <w:sz w:val="14"/>
                <w:szCs w:val="14"/>
              </w:rPr>
            </w:pPr>
            <w:r>
              <w:rPr>
                <w:sz w:val="14"/>
                <w:szCs w:val="14"/>
              </w:rPr>
              <w:t>Zdroj: ČSÚ</w:t>
            </w:r>
          </w:p>
          <w:p w14:paraId="73BBD936" w14:textId="77777777" w:rsidR="00251496" w:rsidRDefault="00251496" w:rsidP="00275758">
            <w:r>
              <w:rPr>
                <w:sz w:val="14"/>
                <w:szCs w:val="14"/>
              </w:rPr>
              <w:t>*po vyloučení dovozu pro konečné užití</w:t>
            </w:r>
          </w:p>
        </w:tc>
      </w:tr>
      <w:tr w:rsidR="00251496" w:rsidRPr="009110F7" w14:paraId="350BC160" w14:textId="77777777" w:rsidTr="00275758">
        <w:trPr>
          <w:trHeight w:val="145"/>
        </w:trPr>
        <w:tc>
          <w:tcPr>
            <w:tcW w:w="1806" w:type="dxa"/>
            <w:shd w:val="clear" w:color="auto" w:fill="auto"/>
            <w:tcMar>
              <w:left w:w="0" w:type="dxa"/>
            </w:tcMar>
          </w:tcPr>
          <w:p w14:paraId="076DCBFD" w14:textId="77777777" w:rsidR="00251496" w:rsidRDefault="00251496" w:rsidP="00275758">
            <w:pPr>
              <w:pStyle w:val="Marginlie"/>
            </w:pPr>
            <w:r>
              <w:t>Vzhledem k omezením prudce klesla spotřeba domácností, především u služeb a trvanlivých statků.</w:t>
            </w:r>
          </w:p>
        </w:tc>
        <w:tc>
          <w:tcPr>
            <w:tcW w:w="223" w:type="dxa"/>
            <w:shd w:val="clear" w:color="auto" w:fill="auto"/>
            <w:tcMar>
              <w:left w:w="0" w:type="dxa"/>
            </w:tcMar>
          </w:tcPr>
          <w:p w14:paraId="1A3760A9" w14:textId="77777777" w:rsidR="00251496" w:rsidRDefault="00251496" w:rsidP="00275758">
            <w:pPr>
              <w:pStyle w:val="Textpoznpodarou"/>
              <w:jc w:val="both"/>
              <w:rPr>
                <w:spacing w:val="-4"/>
              </w:rPr>
            </w:pPr>
          </w:p>
        </w:tc>
        <w:tc>
          <w:tcPr>
            <w:tcW w:w="7610" w:type="dxa"/>
            <w:shd w:val="clear" w:color="auto" w:fill="auto"/>
            <w:tcMar>
              <w:left w:w="0" w:type="dxa"/>
            </w:tcMar>
          </w:tcPr>
          <w:p w14:paraId="5983EC44" w14:textId="77777777" w:rsidR="00251496" w:rsidRDefault="00251496" w:rsidP="00275758">
            <w:r>
              <w:rPr>
                <w:spacing w:val="-2"/>
              </w:rPr>
              <w:t xml:space="preserve">Výdaje na spotřebu loni klesly o 2,8 %, poprvé od roku 2012. Restrikcemi byla ovlivněna především spotřeba domácností, která se rekordně </w:t>
            </w:r>
            <w:proofErr w:type="gramStart"/>
            <w:r>
              <w:rPr>
                <w:spacing w:val="-2"/>
              </w:rPr>
              <w:t>propadla (–5,2</w:t>
            </w:r>
            <w:proofErr w:type="gramEnd"/>
            <w:r>
              <w:rPr>
                <w:spacing w:val="-2"/>
              </w:rPr>
              <w:t> %) a celkový růst HDP srazila o 1,9 p. b.</w:t>
            </w:r>
            <w:r w:rsidRPr="00014ED0">
              <w:rPr>
                <w:rStyle w:val="Znakapoznpodarou"/>
                <w:spacing w:val="-2"/>
              </w:rPr>
              <w:footnoteReference w:id="10"/>
            </w:r>
            <w:r>
              <w:rPr>
                <w:spacing w:val="-2"/>
              </w:rPr>
              <w:t xml:space="preserve"> Naopak celková situace vedla k nárůstu spotřeby vládních institucí o 2,9 %. K růstu HDP to přidalo 0,6 p. b. V samotném 4. čtvrtletí se meziroční </w:t>
            </w:r>
            <w:r>
              <w:rPr>
                <w:spacing w:val="-2"/>
              </w:rPr>
              <w:lastRenderedPageBreak/>
              <w:t xml:space="preserve">propad spotřeby prohloubil na 4,3 %. Z toho se hloubka meziročního propadu spotřeby domácností přiblížila úrovni </w:t>
            </w:r>
            <w:proofErr w:type="gramStart"/>
            <w:r>
              <w:rPr>
                <w:spacing w:val="-2"/>
              </w:rPr>
              <w:t>ze</w:t>
            </w:r>
            <w:proofErr w:type="gramEnd"/>
            <w:r>
              <w:rPr>
                <w:spacing w:val="-2"/>
              </w:rPr>
              <w:t xml:space="preserve"> 2. čtvrtletí (–8,3 %). Vládní spotřeba naopak vzrostla o 4,9 %. </w:t>
            </w:r>
            <w:proofErr w:type="spellStart"/>
            <w:r>
              <w:rPr>
                <w:spacing w:val="-2"/>
              </w:rPr>
              <w:t>Mezičtvrtletně</w:t>
            </w:r>
            <w:proofErr w:type="spellEnd"/>
            <w:r>
              <w:rPr>
                <w:spacing w:val="-2"/>
              </w:rPr>
              <w:t xml:space="preserve"> celková spotřeba klesla o 1,1 %. Z toho se výdaje domácností snížily o 4,2 %, zatímco vládní spotřeba oproti 3. kvartálu narostla o 5,5 %. Členění spotřeby podle trvanlivosti dokládá, že hluboký meziroční propad ve 4. čtvrtletí postihl zejména spotřebu trvanlivých statků</w:t>
            </w:r>
            <w:r>
              <w:rPr>
                <w:rStyle w:val="Znakapoznpodarou"/>
              </w:rPr>
              <w:footnoteReference w:id="11"/>
            </w:r>
            <w:r>
              <w:rPr>
                <w:spacing w:val="-2"/>
              </w:rPr>
              <w:t xml:space="preserve"> (střednědobá spotřeba klesla o 29,1 % a dlouhodobá o 7,6 %) a </w:t>
            </w:r>
            <w:proofErr w:type="gramStart"/>
            <w:r>
              <w:rPr>
                <w:spacing w:val="-2"/>
              </w:rPr>
              <w:t>služeb (–14,8</w:t>
            </w:r>
            <w:proofErr w:type="gramEnd"/>
            <w:r>
              <w:rPr>
                <w:spacing w:val="-2"/>
              </w:rPr>
              <w:t xml:space="preserve"> %). Spotřeba netrvanlivých statků, která z velké části zahrnuje nezbytné zboží, klesla o 3,2 %. Za celý rok se spotřeba služeb propadla o 11,1 % a zboží střednědobé spotřeby o 18,7 %. O 5,5 % klesly výdaje na zboží dlouhodobé spotřeby a jen mírně se snížila spotřeba netrvanlivého </w:t>
            </w:r>
            <w:proofErr w:type="gramStart"/>
            <w:r>
              <w:rPr>
                <w:spacing w:val="-2"/>
              </w:rPr>
              <w:t>zboží (–0,8</w:t>
            </w:r>
            <w:proofErr w:type="gramEnd"/>
            <w:r>
              <w:rPr>
                <w:spacing w:val="-2"/>
              </w:rPr>
              <w:t> %).</w:t>
            </w:r>
          </w:p>
        </w:tc>
      </w:tr>
      <w:tr w:rsidR="00251496" w:rsidRPr="009110F7" w14:paraId="015946B9" w14:textId="77777777" w:rsidTr="00275758">
        <w:trPr>
          <w:trHeight w:val="145"/>
        </w:trPr>
        <w:tc>
          <w:tcPr>
            <w:tcW w:w="1806" w:type="dxa"/>
            <w:shd w:val="clear" w:color="auto" w:fill="auto"/>
            <w:tcMar>
              <w:left w:w="0" w:type="dxa"/>
            </w:tcMar>
          </w:tcPr>
          <w:p w14:paraId="1F063D18" w14:textId="77777777" w:rsidR="00251496" w:rsidRDefault="00251496" w:rsidP="00275758">
            <w:pPr>
              <w:pStyle w:val="Marginlie"/>
            </w:pPr>
            <w:r>
              <w:lastRenderedPageBreak/>
              <w:t>Investiční aktivitu omezily domácnosti i podniky.</w:t>
            </w:r>
          </w:p>
        </w:tc>
        <w:tc>
          <w:tcPr>
            <w:tcW w:w="223" w:type="dxa"/>
            <w:shd w:val="clear" w:color="auto" w:fill="auto"/>
            <w:tcMar>
              <w:left w:w="0" w:type="dxa"/>
            </w:tcMar>
          </w:tcPr>
          <w:p w14:paraId="4D62848E" w14:textId="77777777" w:rsidR="00251496" w:rsidRDefault="00251496" w:rsidP="00275758">
            <w:pPr>
              <w:pStyle w:val="Textpoznpodarou"/>
              <w:jc w:val="both"/>
              <w:rPr>
                <w:spacing w:val="-4"/>
              </w:rPr>
            </w:pPr>
          </w:p>
        </w:tc>
        <w:tc>
          <w:tcPr>
            <w:tcW w:w="7610" w:type="dxa"/>
            <w:shd w:val="clear" w:color="auto" w:fill="auto"/>
            <w:tcMar>
              <w:left w:w="0" w:type="dxa"/>
            </w:tcMar>
          </w:tcPr>
          <w:p w14:paraId="57841653" w14:textId="77777777" w:rsidR="00251496" w:rsidRDefault="00251496" w:rsidP="00275758">
            <w:r>
              <w:t xml:space="preserve">Investiční aktivita byla všeobecným ekonomickým propadem také postižena. Zejména ve druhé polovině roku se ukázalo, že dynamika kapitálových výdajů na zotavení ekonomiky nereagovala. Celkově se loni výdaje na tvorbu hrubého kapitálu propadly o 12,6 % a k poklesu HDP přispěly 3,1 p. b. Z toho výdaje na hrubý fixní kapitál (investice) klesly o 8,5 %. Investice se meziročně propadaly po celý rok a ve 4. čtvrtletí se jejich pokles dále prohloubil </w:t>
            </w:r>
            <w:proofErr w:type="gramStart"/>
            <w:r>
              <w:t>na</w:t>
            </w:r>
            <w:proofErr w:type="gramEnd"/>
            <w:r>
              <w:t xml:space="preserve"> –</w:t>
            </w:r>
            <w:proofErr w:type="gramStart"/>
            <w:r>
              <w:t>12,3</w:t>
            </w:r>
            <w:proofErr w:type="gramEnd"/>
            <w:r>
              <w:t> %. Oproti 3. kvartálu se investice snížily o 0,3 %. Věcné členění tvorby hrubého fixního kapitálu</w:t>
            </w:r>
            <w:r w:rsidRPr="009110F7">
              <w:rPr>
                <w:rStyle w:val="Znakapoznpodarou"/>
              </w:rPr>
              <w:footnoteReference w:id="12"/>
            </w:r>
            <w:r>
              <w:t xml:space="preserve"> ukazuje, že se loni propadly téměř všechny druhy investic. Nejvíce poklesly výdaje na dopravní prostředky a </w:t>
            </w:r>
            <w:proofErr w:type="gramStart"/>
            <w:r>
              <w:t>zařízení (–18,0</w:t>
            </w:r>
            <w:proofErr w:type="gramEnd"/>
            <w:r>
              <w:t xml:space="preserve"> %) a ICT a ostatní stroje a zařízení (–14,2 %), což jsou oboje domény sektoru nefinančních podniků. Po šesti letech růstu se výrazně propadly také především domácnostmi financované investice do </w:t>
            </w:r>
            <w:proofErr w:type="gramStart"/>
            <w:r>
              <w:t>obydlí (–6,4</w:t>
            </w:r>
            <w:proofErr w:type="gramEnd"/>
            <w:r>
              <w:t xml:space="preserve"> %). Oproti tomu byl díky pokračujícím infrastrukturním projektům pokles výdajů na ostatní budovy a stavby </w:t>
            </w:r>
            <w:proofErr w:type="gramStart"/>
            <w:r>
              <w:t>slabší (–2,4</w:t>
            </w:r>
            <w:proofErr w:type="gramEnd"/>
            <w:r>
              <w:t xml:space="preserve"> %). Investice do produktů duševního vlastnictví také klesly poprvé od roku </w:t>
            </w:r>
            <w:proofErr w:type="gramStart"/>
            <w:r>
              <w:t>2013 (–4,7</w:t>
            </w:r>
            <w:proofErr w:type="gramEnd"/>
            <w:r>
              <w:t> %). Ve 4. čtvrtletí se prohloubil meziroční propad investic do ICT a ostatních strojů a </w:t>
            </w:r>
            <w:proofErr w:type="gramStart"/>
            <w:r>
              <w:t>zařízení (–21,9</w:t>
            </w:r>
            <w:proofErr w:type="gramEnd"/>
            <w:r>
              <w:t> %), do obydlí (–12,8 %) i ostatních budov a staveb (–6,9 %). Hluboký zůstal pokles investic do dopravních prostředků a </w:t>
            </w:r>
            <w:proofErr w:type="gramStart"/>
            <w:r>
              <w:t>zařízení (–15,5</w:t>
            </w:r>
            <w:proofErr w:type="gramEnd"/>
            <w:r>
              <w:t xml:space="preserve"> %) a blízko úrovni předchozího roku se vrátily investice do produktů duševního vlastnictví (–0,9 %). </w:t>
            </w:r>
          </w:p>
        </w:tc>
      </w:tr>
      <w:tr w:rsidR="00251496" w:rsidRPr="009110F7" w14:paraId="05F8C602" w14:textId="77777777" w:rsidTr="00275758">
        <w:trPr>
          <w:trHeight w:val="145"/>
        </w:trPr>
        <w:tc>
          <w:tcPr>
            <w:tcW w:w="1806" w:type="dxa"/>
            <w:shd w:val="clear" w:color="auto" w:fill="auto"/>
            <w:tcMar>
              <w:left w:w="0" w:type="dxa"/>
            </w:tcMar>
          </w:tcPr>
          <w:p w14:paraId="58FACF25" w14:textId="77777777" w:rsidR="00251496" w:rsidRDefault="00251496" w:rsidP="00275758">
            <w:pPr>
              <w:pStyle w:val="Marginlie"/>
            </w:pPr>
            <w:r>
              <w:t>Zahraniční obchod ve druhé polovině roku doháněl jarní ztráty.</w:t>
            </w:r>
          </w:p>
        </w:tc>
        <w:tc>
          <w:tcPr>
            <w:tcW w:w="223" w:type="dxa"/>
            <w:shd w:val="clear" w:color="auto" w:fill="auto"/>
            <w:tcMar>
              <w:left w:w="0" w:type="dxa"/>
            </w:tcMar>
          </w:tcPr>
          <w:p w14:paraId="28E9912A" w14:textId="77777777" w:rsidR="00251496" w:rsidRDefault="00251496" w:rsidP="00275758">
            <w:pPr>
              <w:pStyle w:val="Textpoznpodarou"/>
              <w:jc w:val="both"/>
              <w:rPr>
                <w:spacing w:val="-4"/>
              </w:rPr>
            </w:pPr>
          </w:p>
        </w:tc>
        <w:tc>
          <w:tcPr>
            <w:tcW w:w="7610" w:type="dxa"/>
            <w:shd w:val="clear" w:color="auto" w:fill="auto"/>
            <w:tcMar>
              <w:left w:w="0" w:type="dxa"/>
            </w:tcMar>
          </w:tcPr>
          <w:p w14:paraId="2372CB95" w14:textId="77777777" w:rsidR="00251496" w:rsidRDefault="00251496" w:rsidP="00275758">
            <w:r>
              <w:t xml:space="preserve">Export zboží a služeb se loni poprvé od roku 2009 reálně propadl, a to o 6,0 %. Mírně hlubší byl pokles </w:t>
            </w:r>
            <w:proofErr w:type="gramStart"/>
            <w:r>
              <w:t>dovozu (–6,1</w:t>
            </w:r>
            <w:proofErr w:type="gramEnd"/>
            <w:r>
              <w:t> %). Bilance zahraničního obchodu se zbožím a službami dosáhla loni přebytku 390,5 mld. korun</w:t>
            </w:r>
            <w:r w:rsidRPr="009110F7">
              <w:rPr>
                <w:rStyle w:val="Znakapoznpodarou"/>
              </w:rPr>
              <w:footnoteReference w:id="13"/>
            </w:r>
            <w:r>
              <w:t xml:space="preserve"> a kladné saldo se navíc zlepšilo o 42,3 mld., nejvíce od roku 2016. Bilanci v běžných cenách ale silně napomohl propad cen ropy. Zlepšení lze přičíst výhradně obchodu se zbožím (+43,4 mld. korun), v případě služeb se přebytek meziročně snížil o 1,1 mld. Výrazný pokles přebytku </w:t>
            </w:r>
            <w:proofErr w:type="gramStart"/>
            <w:r>
              <w:t>ze</w:t>
            </w:r>
            <w:proofErr w:type="gramEnd"/>
            <w:r>
              <w:t xml:space="preserve"> 2. čtvrtletí se dařilo dohánět v 2. polovině roku. V samotném 4. čtvrtletí dosáhl přebytek 145,5 mld. korun a meziročně se zvýšil o 69,3 mld. Z toho přebytek obchodu se zbožím narostl o 73,2 mld. Přebytek obchodu se službami klesl o 3,9 mld.</w:t>
            </w:r>
          </w:p>
        </w:tc>
      </w:tr>
      <w:tr w:rsidR="00251496" w:rsidRPr="009110F7" w14:paraId="0C30154B" w14:textId="77777777" w:rsidTr="00275758">
        <w:trPr>
          <w:trHeight w:val="145"/>
        </w:trPr>
        <w:tc>
          <w:tcPr>
            <w:tcW w:w="1806" w:type="dxa"/>
            <w:shd w:val="clear" w:color="auto" w:fill="auto"/>
            <w:tcMar>
              <w:left w:w="0" w:type="dxa"/>
            </w:tcMar>
          </w:tcPr>
          <w:p w14:paraId="33D0FB04" w14:textId="77777777" w:rsidR="00251496" w:rsidRDefault="00251496" w:rsidP="00275758">
            <w:pPr>
              <w:pStyle w:val="Marginlie"/>
            </w:pPr>
            <w:r>
              <w:t>Loni se propadla HPH ve většině odvětví.</w:t>
            </w:r>
          </w:p>
        </w:tc>
        <w:tc>
          <w:tcPr>
            <w:tcW w:w="223" w:type="dxa"/>
            <w:shd w:val="clear" w:color="auto" w:fill="auto"/>
            <w:tcMar>
              <w:left w:w="0" w:type="dxa"/>
            </w:tcMar>
          </w:tcPr>
          <w:p w14:paraId="733A9C72" w14:textId="77777777" w:rsidR="00251496" w:rsidRDefault="00251496" w:rsidP="00275758">
            <w:pPr>
              <w:pStyle w:val="Textpoznpodarou"/>
              <w:jc w:val="both"/>
              <w:rPr>
                <w:spacing w:val="-4"/>
              </w:rPr>
            </w:pPr>
          </w:p>
        </w:tc>
        <w:tc>
          <w:tcPr>
            <w:tcW w:w="7610" w:type="dxa"/>
            <w:shd w:val="clear" w:color="auto" w:fill="auto"/>
            <w:tcMar>
              <w:left w:w="0" w:type="dxa"/>
            </w:tcMar>
          </w:tcPr>
          <w:p w14:paraId="2A90B302" w14:textId="77777777" w:rsidR="00251496" w:rsidRPr="00F93F2C" w:rsidRDefault="00251496" w:rsidP="00275758">
            <w:r>
              <w:t xml:space="preserve">Hrubá přidaná hodnota (HPH) se loni reálně snížila o 5,5 %. Obdobně jako u HDP jde za dobu existence samostatné ČR o největší zaznamenaný propad. Pokles byl všeobecný a vyhnul se mu jen zlomek odvětví – zemědělství (nárůst HPH o 4,8 %), informační a komunikační činnosti (+1,6 %) a odvětví s převahou sektoru vládních institucí (+0,9 %). K propadu HPH nejvíce přispělo uskupení odvětví obchod, doprava, ubytování a pohostinství (HPH se zde snížila o 11,8 %) a dále zpracovatelský </w:t>
            </w:r>
            <w:proofErr w:type="gramStart"/>
            <w:r>
              <w:t>průmysl (–6,9</w:t>
            </w:r>
            <w:proofErr w:type="gramEnd"/>
            <w:r>
              <w:t xml:space="preserve"> %). Hluboce klesla HPH ostatních činností, které zahrnují i poskytování osobních služeb, jako jsou kadeřnictví a kosmetické </w:t>
            </w:r>
            <w:proofErr w:type="gramStart"/>
            <w:r>
              <w:t>služby (–12,1</w:t>
            </w:r>
            <w:proofErr w:type="gramEnd"/>
            <w:r>
              <w:t xml:space="preserve"> %). Propad ekonomiky zasáhl také tržní služby, jako jsou profesní, vědecké, technické a administrativní </w:t>
            </w:r>
            <w:proofErr w:type="gramStart"/>
            <w:r>
              <w:t>činnosti</w:t>
            </w:r>
            <w:r>
              <w:br/>
              <w:t>(–9,3</w:t>
            </w:r>
            <w:proofErr w:type="gramEnd"/>
            <w:r>
              <w:t xml:space="preserve"> %) nebo peněžnictví a pojišťovnictví (–2,8 %). Snížila se HPH činností v oblasti </w:t>
            </w:r>
            <w:proofErr w:type="gramStart"/>
            <w:r>
              <w:t>nemovitostí (–3,1</w:t>
            </w:r>
            <w:proofErr w:type="gramEnd"/>
            <w:r>
              <w:t> %) a druhý rok v řadě pokles zaznamenalo i stavebnictví (–3,4 %).</w:t>
            </w:r>
          </w:p>
        </w:tc>
      </w:tr>
      <w:tr w:rsidR="00251496" w:rsidRPr="009110F7" w14:paraId="250E4586" w14:textId="77777777" w:rsidTr="00275758">
        <w:trPr>
          <w:trHeight w:val="145"/>
        </w:trPr>
        <w:tc>
          <w:tcPr>
            <w:tcW w:w="1806" w:type="dxa"/>
            <w:shd w:val="clear" w:color="auto" w:fill="auto"/>
            <w:tcMar>
              <w:left w:w="0" w:type="dxa"/>
            </w:tcMar>
          </w:tcPr>
          <w:p w14:paraId="2BAD8F40" w14:textId="77777777" w:rsidR="00251496" w:rsidRDefault="00251496" w:rsidP="00275758">
            <w:pPr>
              <w:pStyle w:val="Marginlie"/>
            </w:pPr>
            <w:r>
              <w:lastRenderedPageBreak/>
              <w:t>Ve 4. čtvrtletí propad postihl zejména služby.</w:t>
            </w:r>
          </w:p>
        </w:tc>
        <w:tc>
          <w:tcPr>
            <w:tcW w:w="223" w:type="dxa"/>
            <w:shd w:val="clear" w:color="auto" w:fill="auto"/>
            <w:tcMar>
              <w:left w:w="0" w:type="dxa"/>
            </w:tcMar>
          </w:tcPr>
          <w:p w14:paraId="3C5D5C26" w14:textId="77777777" w:rsidR="00251496" w:rsidRDefault="00251496" w:rsidP="00275758">
            <w:pPr>
              <w:pStyle w:val="Textpoznpodarou"/>
              <w:jc w:val="both"/>
              <w:rPr>
                <w:spacing w:val="-4"/>
              </w:rPr>
            </w:pPr>
          </w:p>
        </w:tc>
        <w:tc>
          <w:tcPr>
            <w:tcW w:w="7610" w:type="dxa"/>
            <w:shd w:val="clear" w:color="auto" w:fill="auto"/>
            <w:tcMar>
              <w:left w:w="0" w:type="dxa"/>
            </w:tcMar>
          </w:tcPr>
          <w:p w14:paraId="64A4E5BC" w14:textId="77777777" w:rsidR="00251496" w:rsidRDefault="00251496" w:rsidP="00275758">
            <w:r>
              <w:t xml:space="preserve">V samotném 4. čtvrtletí se HPH meziročně snížila o 4,7 %. Nová vlna opatření zasáhla především odvětví služeb – nejvíce ostatní </w:t>
            </w:r>
            <w:proofErr w:type="gramStart"/>
            <w:r>
              <w:t>činnosti (–20,9</w:t>
            </w:r>
            <w:proofErr w:type="gramEnd"/>
            <w:r>
              <w:t xml:space="preserve"> %), uskupení obchod, doprava, ubytování a pohostinství (–14,7 %) a profesní, vědecké, technické a administrativní činnosti (–12,8 %). Prohloubil se meziroční pokles HPH ve </w:t>
            </w:r>
            <w:proofErr w:type="gramStart"/>
            <w:r>
              <w:t>stavebnictví (–5,3</w:t>
            </w:r>
            <w:proofErr w:type="gramEnd"/>
            <w:r>
              <w:t> %). Naproti tomu se meziroční propad HPH ve zpracovatelském průmyslu zmírnil na 1,1 %. Meziroční navýšení HPH zaznamenaly zemědělství (5,0 %), veřejná správa a obrana, vzdělávání, zdravotní a sociální péče (1,8 %) a informační a komunikační činnosti (1,5 %). Ve srovnání se 3. čtvrtletím se HPH zvýšila o 0,5 %. Přičíst to lze zejména pokračujícímu oživení zpracovatelského průmyslu (2,3 %) i části služeb – profesních, vědeckých, technických a administrativních činností (2,4 %), peněžnictví a pojišťovnictví (3,5 %) nebo informačních a komunikačních činností (2,2 %). To převážilo i mezičtvrtletní propad ostatních činností o 13,9 %, uskupení obchod, doprava, ubytování a pohostinství o 6,6 % a stavebnictví o 1,2 %.</w:t>
            </w:r>
          </w:p>
        </w:tc>
      </w:tr>
      <w:tr w:rsidR="00251496" w:rsidRPr="009110F7" w14:paraId="4F9FEE1E" w14:textId="77777777" w:rsidTr="00275758">
        <w:trPr>
          <w:trHeight w:val="170"/>
        </w:trPr>
        <w:tc>
          <w:tcPr>
            <w:tcW w:w="1806" w:type="dxa"/>
            <w:vMerge w:val="restart"/>
            <w:shd w:val="clear" w:color="auto" w:fill="auto"/>
            <w:tcMar>
              <w:left w:w="0" w:type="dxa"/>
            </w:tcMar>
          </w:tcPr>
          <w:p w14:paraId="2F8DF28F" w14:textId="77777777" w:rsidR="00251496" w:rsidRDefault="00251496" w:rsidP="00275758">
            <w:pPr>
              <w:pStyle w:val="Marginlie"/>
            </w:pPr>
          </w:p>
        </w:tc>
        <w:tc>
          <w:tcPr>
            <w:tcW w:w="223" w:type="dxa"/>
            <w:vMerge w:val="restart"/>
            <w:shd w:val="clear" w:color="auto" w:fill="auto"/>
            <w:tcMar>
              <w:left w:w="0" w:type="dxa"/>
            </w:tcMar>
          </w:tcPr>
          <w:p w14:paraId="739F195C" w14:textId="77777777" w:rsidR="00251496" w:rsidRDefault="00251496" w:rsidP="00275758">
            <w:pPr>
              <w:pStyle w:val="Textpoznpodarou"/>
              <w:jc w:val="both"/>
              <w:rPr>
                <w:spacing w:val="-4"/>
              </w:rPr>
            </w:pPr>
          </w:p>
        </w:tc>
        <w:tc>
          <w:tcPr>
            <w:tcW w:w="7610" w:type="dxa"/>
            <w:shd w:val="clear" w:color="auto" w:fill="auto"/>
            <w:tcMar>
              <w:left w:w="0" w:type="dxa"/>
            </w:tcMar>
          </w:tcPr>
          <w:p w14:paraId="399CCE37" w14:textId="77777777" w:rsidR="00251496" w:rsidRPr="00D721B4" w:rsidRDefault="00251496" w:rsidP="00275758">
            <w:pPr>
              <w:spacing w:after="0"/>
              <w:rPr>
                <w:szCs w:val="20"/>
              </w:rPr>
            </w:pPr>
            <w:r w:rsidRPr="00D721B4">
              <w:rPr>
                <w:b/>
                <w:szCs w:val="20"/>
              </w:rPr>
              <w:t xml:space="preserve">Graf č. 3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251496" w:rsidRPr="009110F7" w14:paraId="6858529E" w14:textId="77777777" w:rsidTr="00275758">
        <w:tblPrEx>
          <w:tblCellMar>
            <w:left w:w="70" w:type="dxa"/>
            <w:right w:w="70" w:type="dxa"/>
          </w:tblCellMar>
        </w:tblPrEx>
        <w:trPr>
          <w:trHeight w:val="170"/>
        </w:trPr>
        <w:tc>
          <w:tcPr>
            <w:tcW w:w="1806" w:type="dxa"/>
            <w:vMerge/>
            <w:shd w:val="clear" w:color="auto" w:fill="auto"/>
          </w:tcPr>
          <w:p w14:paraId="457EE272" w14:textId="77777777" w:rsidR="00251496" w:rsidRPr="009110F7" w:rsidRDefault="00251496" w:rsidP="00275758">
            <w:pPr>
              <w:pStyle w:val="Marginlie"/>
            </w:pPr>
          </w:p>
        </w:tc>
        <w:tc>
          <w:tcPr>
            <w:tcW w:w="223" w:type="dxa"/>
            <w:vMerge/>
            <w:shd w:val="clear" w:color="auto" w:fill="auto"/>
          </w:tcPr>
          <w:p w14:paraId="2FC1F852" w14:textId="77777777" w:rsidR="00251496" w:rsidRPr="009110F7" w:rsidRDefault="00251496" w:rsidP="00275758">
            <w:pPr>
              <w:pStyle w:val="Textpoznpodarou"/>
              <w:jc w:val="both"/>
              <w:rPr>
                <w:spacing w:val="-4"/>
              </w:rPr>
            </w:pPr>
          </w:p>
        </w:tc>
        <w:tc>
          <w:tcPr>
            <w:tcW w:w="7610" w:type="dxa"/>
            <w:shd w:val="clear" w:color="auto" w:fill="auto"/>
          </w:tcPr>
          <w:p w14:paraId="3F603183" w14:textId="77777777" w:rsidR="00251496" w:rsidRPr="009110F7" w:rsidRDefault="00251496" w:rsidP="00275758">
            <w:pPr>
              <w:spacing w:after="0"/>
            </w:pPr>
            <w:r>
              <w:rPr>
                <w:noProof/>
              </w:rPr>
              <w:drawing>
                <wp:inline distT="0" distB="0" distL="0" distR="0" wp14:anchorId="5A551FCC" wp14:editId="0EB1C641">
                  <wp:extent cx="4737600" cy="3372225"/>
                  <wp:effectExtent l="0" t="0" r="6350" b="0"/>
                  <wp:docPr id="2" name="Graf 2">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251496" w:rsidRPr="009110F7" w14:paraId="6FBE1CAF" w14:textId="77777777" w:rsidTr="00275758">
        <w:trPr>
          <w:trHeight w:val="170"/>
        </w:trPr>
        <w:tc>
          <w:tcPr>
            <w:tcW w:w="1806" w:type="dxa"/>
            <w:vMerge/>
            <w:shd w:val="clear" w:color="auto" w:fill="auto"/>
            <w:tcMar>
              <w:left w:w="0" w:type="dxa"/>
            </w:tcMar>
          </w:tcPr>
          <w:p w14:paraId="1F66640C" w14:textId="77777777" w:rsidR="00251496" w:rsidRPr="009110F7" w:rsidRDefault="00251496" w:rsidP="00275758">
            <w:pPr>
              <w:pStyle w:val="Marginlie"/>
            </w:pPr>
          </w:p>
        </w:tc>
        <w:tc>
          <w:tcPr>
            <w:tcW w:w="223" w:type="dxa"/>
            <w:vMerge/>
            <w:shd w:val="clear" w:color="auto" w:fill="auto"/>
            <w:tcMar>
              <w:left w:w="0" w:type="dxa"/>
            </w:tcMar>
          </w:tcPr>
          <w:p w14:paraId="3618E25F" w14:textId="77777777" w:rsidR="00251496" w:rsidRPr="009110F7" w:rsidRDefault="00251496" w:rsidP="00275758">
            <w:pPr>
              <w:pStyle w:val="Textpoznpodarou"/>
              <w:jc w:val="both"/>
              <w:rPr>
                <w:spacing w:val="-4"/>
              </w:rPr>
            </w:pPr>
          </w:p>
        </w:tc>
        <w:tc>
          <w:tcPr>
            <w:tcW w:w="7610" w:type="dxa"/>
            <w:shd w:val="clear" w:color="auto" w:fill="auto"/>
            <w:tcMar>
              <w:left w:w="0" w:type="dxa"/>
            </w:tcMar>
          </w:tcPr>
          <w:p w14:paraId="73B13152" w14:textId="77777777" w:rsidR="00251496" w:rsidRPr="009110F7" w:rsidRDefault="00251496" w:rsidP="00275758">
            <w:pPr>
              <w:rPr>
                <w:sz w:val="14"/>
                <w:szCs w:val="14"/>
              </w:rPr>
            </w:pPr>
            <w:r w:rsidRPr="00A85DE1">
              <w:rPr>
                <w:sz w:val="14"/>
                <w:szCs w:val="14"/>
              </w:rPr>
              <w:t>Zdroj: ČSÚ</w:t>
            </w:r>
          </w:p>
        </w:tc>
      </w:tr>
    </w:tbl>
    <w:p w14:paraId="6B5F5630" w14:textId="77777777" w:rsidR="00251496" w:rsidRPr="00C41D54" w:rsidRDefault="00251496" w:rsidP="00251496">
      <w:pPr>
        <w:pStyle w:val="Nadpis11"/>
        <w:rPr>
          <w:b w:val="0"/>
          <w:sz w:val="2"/>
          <w:szCs w:val="2"/>
          <w:highlight w:val="yellow"/>
        </w:rPr>
      </w:pPr>
    </w:p>
    <w:p w14:paraId="437A6FF1" w14:textId="77777777" w:rsidR="00251496" w:rsidRPr="00DA3ADF" w:rsidRDefault="00251496" w:rsidP="00251496">
      <w:pPr>
        <w:spacing w:after="0" w:line="240" w:lineRule="auto"/>
        <w:jc w:val="left"/>
        <w:rPr>
          <w:rFonts w:eastAsia="MS Gothic"/>
          <w:bCs/>
          <w:color w:val="71818C"/>
          <w:sz w:val="2"/>
          <w:szCs w:val="2"/>
          <w:highlight w:val="yellow"/>
        </w:rPr>
      </w:pPr>
    </w:p>
    <w:p w14:paraId="4B2537CF" w14:textId="77777777" w:rsidR="00251496" w:rsidRDefault="00251496" w:rsidP="00251496">
      <w:pPr>
        <w:spacing w:after="0" w:line="240" w:lineRule="auto"/>
        <w:jc w:val="left"/>
        <w:rPr>
          <w:b/>
          <w:sz w:val="2"/>
          <w:szCs w:val="2"/>
          <w:highlight w:val="yellow"/>
        </w:rPr>
      </w:pPr>
    </w:p>
    <w:p w14:paraId="6DDAD012" w14:textId="77777777" w:rsidR="00251496" w:rsidRPr="00E42054" w:rsidRDefault="00251496" w:rsidP="00251496">
      <w:pPr>
        <w:pStyle w:val="Nadpis11"/>
        <w:spacing w:after="0"/>
        <w:rPr>
          <w:b w:val="0"/>
          <w:sz w:val="2"/>
          <w:szCs w:val="2"/>
        </w:rPr>
      </w:pPr>
    </w:p>
    <w:p w14:paraId="18899EB9" w14:textId="77777777" w:rsidR="00E13995" w:rsidRDefault="00E13995" w:rsidP="00E13995">
      <w:pPr>
        <w:spacing w:after="0" w:line="240" w:lineRule="auto"/>
        <w:jc w:val="left"/>
        <w:rPr>
          <w:b/>
          <w:sz w:val="2"/>
          <w:szCs w:val="2"/>
          <w:highlight w:val="yellow"/>
        </w:rPr>
      </w:pPr>
      <w:bookmarkStart w:id="9" w:name="_Toc532558284"/>
      <w:bookmarkStart w:id="10" w:name="_Toc26539341"/>
      <w:bookmarkStart w:id="11" w:name="_Toc11237634"/>
      <w:bookmarkEnd w:id="5"/>
    </w:p>
    <w:p w14:paraId="49B6BFF2" w14:textId="77777777" w:rsidR="00251496" w:rsidRDefault="00251496">
      <w:pPr>
        <w:spacing w:after="0" w:line="240" w:lineRule="auto"/>
        <w:jc w:val="left"/>
        <w:rPr>
          <w:rFonts w:eastAsia="MS Gothic"/>
          <w:b/>
          <w:bCs/>
          <w:color w:val="71818C"/>
          <w:sz w:val="32"/>
          <w:szCs w:val="28"/>
        </w:rPr>
      </w:pPr>
      <w:r>
        <w:br w:type="page"/>
      </w:r>
    </w:p>
    <w:p w14:paraId="1D173380" w14:textId="273050C7" w:rsidR="00B96D74" w:rsidRDefault="00B96D74" w:rsidP="00E13995">
      <w:pPr>
        <w:pStyle w:val="Nadpis11"/>
      </w:pPr>
      <w:bookmarkStart w:id="12" w:name="_Toc66954404"/>
      <w:r w:rsidRPr="00567910">
        <w:lastRenderedPageBreak/>
        <w:t>3. Výkonnost odvětví</w:t>
      </w:r>
      <w:bookmarkEnd w:id="12"/>
    </w:p>
    <w:tbl>
      <w:tblPr>
        <w:tblW w:w="9664" w:type="dxa"/>
        <w:tblInd w:w="-30" w:type="dxa"/>
        <w:tblCellMar>
          <w:left w:w="0" w:type="dxa"/>
          <w:right w:w="0" w:type="dxa"/>
        </w:tblCellMar>
        <w:tblLook w:val="00A0" w:firstRow="1" w:lastRow="0" w:firstColumn="1" w:lastColumn="0" w:noHBand="0" w:noVBand="0"/>
      </w:tblPr>
      <w:tblGrid>
        <w:gridCol w:w="1780"/>
        <w:gridCol w:w="214"/>
        <w:gridCol w:w="7670"/>
      </w:tblGrid>
      <w:tr w:rsidR="00B96D74" w:rsidRPr="00071E83" w14:paraId="78F8E70B" w14:textId="77777777" w:rsidTr="0091476D">
        <w:trPr>
          <w:trHeight w:val="155"/>
        </w:trPr>
        <w:tc>
          <w:tcPr>
            <w:tcW w:w="1780" w:type="dxa"/>
            <w:shd w:val="clear" w:color="auto" w:fill="auto"/>
            <w:tcMar>
              <w:left w:w="0" w:type="dxa"/>
            </w:tcMar>
          </w:tcPr>
          <w:p w14:paraId="2D2D3506" w14:textId="77777777" w:rsidR="00B96D74" w:rsidRDefault="00B96D74" w:rsidP="0091476D">
            <w:pPr>
              <w:pStyle w:val="Marginlie"/>
            </w:pPr>
            <w:r>
              <w:t>Hrubá přidaná hodnota se loni snížila o 5,5 % a mírně tak překonala rekordní propad z krizového roku 2009.</w:t>
            </w:r>
          </w:p>
          <w:p w14:paraId="3A5804B1" w14:textId="77777777" w:rsidR="00B96D74" w:rsidRDefault="00B96D74" w:rsidP="0091476D">
            <w:pPr>
              <w:pStyle w:val="Marginlie"/>
            </w:pPr>
          </w:p>
          <w:p w14:paraId="5DB8C826" w14:textId="77777777" w:rsidR="00B96D74" w:rsidRDefault="00B96D74" w:rsidP="0091476D">
            <w:pPr>
              <w:pStyle w:val="Marginlie"/>
            </w:pPr>
          </w:p>
          <w:p w14:paraId="14E34F72" w14:textId="77777777" w:rsidR="00B96D74" w:rsidRDefault="00B96D74" w:rsidP="0091476D">
            <w:pPr>
              <w:pStyle w:val="Marginlie"/>
            </w:pPr>
          </w:p>
          <w:p w14:paraId="6F6B82A1" w14:textId="77777777" w:rsidR="00B96D74" w:rsidRDefault="00B96D74" w:rsidP="0091476D">
            <w:pPr>
              <w:pStyle w:val="Marginlie"/>
            </w:pPr>
          </w:p>
          <w:p w14:paraId="0A7F5FDD" w14:textId="77777777" w:rsidR="00B96D74" w:rsidRDefault="00B96D74" w:rsidP="0091476D">
            <w:pPr>
              <w:pStyle w:val="Marginlie"/>
            </w:pPr>
            <w:r>
              <w:t>Řada odvětví projevila během podzimních restriktivních opatření dobrou adaptační schopnost.</w:t>
            </w:r>
          </w:p>
        </w:tc>
        <w:tc>
          <w:tcPr>
            <w:tcW w:w="214" w:type="dxa"/>
            <w:shd w:val="clear" w:color="auto" w:fill="auto"/>
            <w:tcMar>
              <w:left w:w="0" w:type="dxa"/>
            </w:tcMar>
          </w:tcPr>
          <w:p w14:paraId="538D610C"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71D0F94D" w14:textId="77777777" w:rsidR="00B96D74" w:rsidRPr="00071E83" w:rsidRDefault="00B96D74" w:rsidP="0091476D">
            <w:pPr>
              <w:rPr>
                <w:spacing w:val="-2"/>
              </w:rPr>
            </w:pPr>
            <w:r w:rsidRPr="00071E83">
              <w:rPr>
                <w:spacing w:val="-2"/>
              </w:rPr>
              <w:t xml:space="preserve">Jestliže restriktivní </w:t>
            </w:r>
            <w:proofErr w:type="spellStart"/>
            <w:r w:rsidRPr="00071E83">
              <w:rPr>
                <w:spacing w:val="-2"/>
              </w:rPr>
              <w:t>protipandemická</w:t>
            </w:r>
            <w:proofErr w:type="spellEnd"/>
            <w:r w:rsidRPr="00071E83">
              <w:rPr>
                <w:spacing w:val="-2"/>
              </w:rPr>
              <w:t xml:space="preserve"> opatření tvrdě dopadla v 1. čtvrtletí 2020 primárně na odvětví těsně navázaná na cestovní ruch, během následujícího kvartálu již dokázala na několik týdnů ochromit klíčovou část ekonomiky. Hrubá přidaná hodnota (HPH)</w:t>
            </w:r>
            <w:r w:rsidRPr="00071E83">
              <w:rPr>
                <w:rStyle w:val="Znakapoznpodarou"/>
                <w:spacing w:val="-2"/>
              </w:rPr>
              <w:footnoteReference w:id="14"/>
            </w:r>
            <w:r w:rsidRPr="00071E83">
              <w:rPr>
                <w:spacing w:val="-2"/>
              </w:rPr>
              <w:t xml:space="preserve"> tak </w:t>
            </w:r>
            <w:proofErr w:type="spellStart"/>
            <w:r w:rsidRPr="00071E83">
              <w:rPr>
                <w:spacing w:val="2"/>
              </w:rPr>
              <w:t>mezikvartálně</w:t>
            </w:r>
            <w:proofErr w:type="spellEnd"/>
            <w:r w:rsidRPr="00071E83">
              <w:rPr>
                <w:spacing w:val="2"/>
              </w:rPr>
              <w:t xml:space="preserve"> propadla o rekordních 9,6 % a</w:t>
            </w:r>
            <w:r>
              <w:rPr>
                <w:spacing w:val="2"/>
              </w:rPr>
              <w:t> </w:t>
            </w:r>
            <w:r w:rsidRPr="00071E83">
              <w:rPr>
                <w:spacing w:val="2"/>
              </w:rPr>
              <w:t>prohloubila tak svůj pokles z 1. </w:t>
            </w:r>
            <w:proofErr w:type="gramStart"/>
            <w:r w:rsidRPr="00071E83">
              <w:rPr>
                <w:spacing w:val="2"/>
              </w:rPr>
              <w:t>čtvrtletí</w:t>
            </w:r>
            <w:r>
              <w:rPr>
                <w:spacing w:val="2"/>
              </w:rPr>
              <w:t xml:space="preserve"> </w:t>
            </w:r>
            <w:r w:rsidRPr="00071E83">
              <w:rPr>
                <w:spacing w:val="-2"/>
              </w:rPr>
              <w:t>(</w:t>
            </w:r>
            <w:r>
              <w:rPr>
                <w:color w:val="000000" w:themeColor="text1"/>
                <w:spacing w:val="-2"/>
              </w:rPr>
              <w:t>–</w:t>
            </w:r>
            <w:r w:rsidRPr="00071E83">
              <w:rPr>
                <w:spacing w:val="-2"/>
              </w:rPr>
              <w:t>2,4</w:t>
            </w:r>
            <w:proofErr w:type="gramEnd"/>
            <w:r w:rsidRPr="00071E83">
              <w:rPr>
                <w:spacing w:val="-2"/>
              </w:rPr>
              <w:t> %). Ve 3.</w:t>
            </w:r>
            <w:r>
              <w:rPr>
                <w:spacing w:val="-2"/>
              </w:rPr>
              <w:t> čtvrtlet</w:t>
            </w:r>
            <w:r w:rsidRPr="00071E83">
              <w:rPr>
                <w:spacing w:val="-2"/>
              </w:rPr>
              <w:t xml:space="preserve">í </w:t>
            </w:r>
            <w:r>
              <w:rPr>
                <w:spacing w:val="-2"/>
              </w:rPr>
              <w:t xml:space="preserve">byla </w:t>
            </w:r>
            <w:r w:rsidRPr="00071E83">
              <w:rPr>
                <w:spacing w:val="-2"/>
              </w:rPr>
              <w:t xml:space="preserve">většina významných restriktivních opatření </w:t>
            </w:r>
            <w:r>
              <w:rPr>
                <w:spacing w:val="-2"/>
              </w:rPr>
              <w:t>zrušena</w:t>
            </w:r>
            <w:r w:rsidRPr="00071E83">
              <w:rPr>
                <w:spacing w:val="-2"/>
              </w:rPr>
              <w:t xml:space="preserve"> a</w:t>
            </w:r>
            <w:r>
              <w:rPr>
                <w:spacing w:val="-2"/>
              </w:rPr>
              <w:t> </w:t>
            </w:r>
            <w:r w:rsidRPr="00071E83">
              <w:rPr>
                <w:spacing w:val="-2"/>
              </w:rPr>
              <w:t>ekonomika se tak mohla opět nadechnout. Rychlou resuscitaci dokládá 7,5% mezičtvrtletní růst HPH, jenž rovněž neměl v téměř 25leté dostupné časové řadě obdoby. Výrazné zhoršení epidemické situace</w:t>
            </w:r>
            <w:r>
              <w:rPr>
                <w:spacing w:val="-2"/>
              </w:rPr>
              <w:t xml:space="preserve"> </w:t>
            </w:r>
            <w:r w:rsidRPr="00071E83">
              <w:rPr>
                <w:spacing w:val="-2"/>
              </w:rPr>
              <w:t xml:space="preserve">v poslední čtvrtině roku pokračující oživení hospodářství silně utlumilo, avšak nezastavilo. Jeho dopady byly oproti jarnímu období více selektivní, postihly především obory úzce navázané na spotřebu domácností. Řada oborů projevila </w:t>
            </w:r>
            <w:r>
              <w:rPr>
                <w:spacing w:val="-2"/>
              </w:rPr>
              <w:t>dobrou</w:t>
            </w:r>
            <w:r w:rsidRPr="00071E83">
              <w:rPr>
                <w:spacing w:val="-2"/>
              </w:rPr>
              <w:t xml:space="preserve"> </w:t>
            </w:r>
            <w:r>
              <w:rPr>
                <w:spacing w:val="-2"/>
              </w:rPr>
              <w:t>adaptační schopnost</w:t>
            </w:r>
            <w:r w:rsidRPr="00071E83">
              <w:rPr>
                <w:spacing w:val="-2"/>
              </w:rPr>
              <w:t>, když těžil</w:t>
            </w:r>
            <w:r>
              <w:rPr>
                <w:spacing w:val="-2"/>
              </w:rPr>
              <w:t>y</w:t>
            </w:r>
            <w:r w:rsidRPr="00071E83">
              <w:rPr>
                <w:spacing w:val="-2"/>
              </w:rPr>
              <w:t xml:space="preserve"> z příznivějšího </w:t>
            </w:r>
            <w:r>
              <w:rPr>
                <w:spacing w:val="-2"/>
              </w:rPr>
              <w:t>vývoje zahraniční poptávky i</w:t>
            </w:r>
            <w:r w:rsidRPr="00071E83">
              <w:rPr>
                <w:spacing w:val="-2"/>
              </w:rPr>
              <w:t> vyšších výdajů sektoru vládních institucí. Za celý loňský rok HPH klesla o</w:t>
            </w:r>
            <w:r>
              <w:rPr>
                <w:spacing w:val="-2"/>
              </w:rPr>
              <w:t> </w:t>
            </w:r>
            <w:r w:rsidRPr="00071E83">
              <w:rPr>
                <w:spacing w:val="-2"/>
              </w:rPr>
              <w:t>5,5</w:t>
            </w:r>
            <w:r>
              <w:rPr>
                <w:spacing w:val="-2"/>
              </w:rPr>
              <w:t> % a těsně tak předčila útlum z roku 2009, jenž byl v historii samostatné ČR dosud nejvyšší.</w:t>
            </w:r>
          </w:p>
        </w:tc>
      </w:tr>
      <w:tr w:rsidR="00B96D74" w:rsidRPr="00541253" w14:paraId="45327EE0" w14:textId="77777777" w:rsidTr="0091476D">
        <w:trPr>
          <w:trHeight w:val="155"/>
        </w:trPr>
        <w:tc>
          <w:tcPr>
            <w:tcW w:w="1780" w:type="dxa"/>
            <w:shd w:val="clear" w:color="auto" w:fill="auto"/>
            <w:tcMar>
              <w:left w:w="0" w:type="dxa"/>
            </w:tcMar>
          </w:tcPr>
          <w:p w14:paraId="7FC49CBC" w14:textId="77777777" w:rsidR="00B96D74" w:rsidRDefault="00B96D74" w:rsidP="0091476D">
            <w:pPr>
              <w:pStyle w:val="Marginlie"/>
            </w:pPr>
            <w:r w:rsidRPr="00CC3976">
              <w:rPr>
                <w:spacing w:val="-4"/>
              </w:rPr>
              <w:t>V</w:t>
            </w:r>
            <w:r>
              <w:rPr>
                <w:spacing w:val="-4"/>
              </w:rPr>
              <w:t> </w:t>
            </w:r>
            <w:r w:rsidRPr="00CC3976">
              <w:rPr>
                <w:spacing w:val="-4"/>
              </w:rPr>
              <w:t>1. i</w:t>
            </w:r>
            <w:r>
              <w:rPr>
                <w:spacing w:val="-4"/>
              </w:rPr>
              <w:t> </w:t>
            </w:r>
            <w:r w:rsidRPr="00CC3976">
              <w:rPr>
                <w:spacing w:val="-4"/>
              </w:rPr>
              <w:t>2.</w:t>
            </w:r>
            <w:r>
              <w:rPr>
                <w:spacing w:val="-4"/>
              </w:rPr>
              <w:t> čtvrtlet</w:t>
            </w:r>
            <w:r w:rsidRPr="00CC3976">
              <w:rPr>
                <w:spacing w:val="-4"/>
              </w:rPr>
              <w:t xml:space="preserve">í přispíval </w:t>
            </w:r>
            <w:r>
              <w:rPr>
                <w:spacing w:val="-4"/>
              </w:rPr>
              <w:t>k </w:t>
            </w:r>
            <w:r w:rsidRPr="00CC3976">
              <w:rPr>
                <w:spacing w:val="-4"/>
              </w:rPr>
              <w:t>poklesu výkonu ekonomiky nejvíce zpracovatelský průmysl, v dalším období uskupení obchod,</w:t>
            </w:r>
            <w:r>
              <w:rPr>
                <w:spacing w:val="-4"/>
              </w:rPr>
              <w:t xml:space="preserve"> </w:t>
            </w:r>
            <w:r w:rsidRPr="00CC3976">
              <w:rPr>
                <w:spacing w:val="-4"/>
              </w:rPr>
              <w:t>doprava, ubytování a</w:t>
            </w:r>
            <w:r>
              <w:rPr>
                <w:spacing w:val="-4"/>
              </w:rPr>
              <w:t> </w:t>
            </w:r>
            <w:r w:rsidRPr="00CC3976">
              <w:rPr>
                <w:spacing w:val="-4"/>
              </w:rPr>
              <w:t>pohostinství</w:t>
            </w:r>
            <w:r>
              <w:t>.</w:t>
            </w:r>
          </w:p>
          <w:p w14:paraId="34BDCF5C" w14:textId="77777777" w:rsidR="00B96D74" w:rsidRDefault="00B96D74" w:rsidP="0091476D">
            <w:pPr>
              <w:pStyle w:val="Marginlie"/>
            </w:pPr>
          </w:p>
          <w:p w14:paraId="70C8C806" w14:textId="77777777" w:rsidR="00B96D74" w:rsidRDefault="00B96D74" w:rsidP="0091476D">
            <w:pPr>
              <w:pStyle w:val="Marginlie"/>
            </w:pPr>
          </w:p>
          <w:p w14:paraId="61AE7295" w14:textId="77777777" w:rsidR="00B96D74" w:rsidRDefault="00B96D74" w:rsidP="0091476D">
            <w:pPr>
              <w:pStyle w:val="Marginlie"/>
            </w:pPr>
            <w:r>
              <w:t>V některých odvětvích služeb byly loňské propady HPH rekordní.</w:t>
            </w:r>
          </w:p>
          <w:p w14:paraId="7C6EA740" w14:textId="77777777" w:rsidR="00B96D74" w:rsidRDefault="00B96D74" w:rsidP="0091476D">
            <w:pPr>
              <w:pStyle w:val="Marginlie"/>
            </w:pPr>
          </w:p>
          <w:p w14:paraId="3C133C62" w14:textId="77777777" w:rsidR="00B96D74" w:rsidRDefault="00B96D74" w:rsidP="0091476D">
            <w:pPr>
              <w:pStyle w:val="Marginlie"/>
            </w:pPr>
          </w:p>
          <w:p w14:paraId="49005870" w14:textId="77777777" w:rsidR="00B96D74" w:rsidRDefault="00B96D74" w:rsidP="0091476D">
            <w:pPr>
              <w:pStyle w:val="Marginlie"/>
            </w:pPr>
          </w:p>
          <w:p w14:paraId="2D4D9C8D" w14:textId="77777777" w:rsidR="00B96D74" w:rsidRDefault="00B96D74" w:rsidP="0091476D">
            <w:pPr>
              <w:pStyle w:val="Marginlie"/>
            </w:pPr>
          </w:p>
          <w:p w14:paraId="157B9B3A" w14:textId="77777777" w:rsidR="00B96D74" w:rsidRDefault="00B96D74" w:rsidP="0091476D">
            <w:pPr>
              <w:pStyle w:val="Marginlie"/>
            </w:pPr>
            <w:r>
              <w:t>Na rozdíl od zpracovatelského průmyslu či energetiky nedošlo ve stavebnictví na konci roku k oživení.</w:t>
            </w:r>
          </w:p>
        </w:tc>
        <w:tc>
          <w:tcPr>
            <w:tcW w:w="214" w:type="dxa"/>
            <w:shd w:val="clear" w:color="auto" w:fill="auto"/>
            <w:tcMar>
              <w:left w:w="0" w:type="dxa"/>
            </w:tcMar>
          </w:tcPr>
          <w:p w14:paraId="41FEB6EB"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63BC2DB6" w14:textId="77777777" w:rsidR="00B96D74" w:rsidRPr="00541253" w:rsidRDefault="00B96D74" w:rsidP="0091476D">
            <w:pPr>
              <w:rPr>
                <w:spacing w:val="-3"/>
              </w:rPr>
            </w:pPr>
            <w:r w:rsidRPr="00541253">
              <w:rPr>
                <w:spacing w:val="-2"/>
              </w:rPr>
              <w:t xml:space="preserve">Loňský útlum přidané hodnoty byl úzce svázán s poklesem počtu odpracovaných </w:t>
            </w:r>
            <w:proofErr w:type="gramStart"/>
            <w:r w:rsidRPr="00541253">
              <w:rPr>
                <w:spacing w:val="-2"/>
              </w:rPr>
              <w:t>hodin (–6,0</w:t>
            </w:r>
            <w:proofErr w:type="gramEnd"/>
            <w:r>
              <w:rPr>
                <w:spacing w:val="-2"/>
              </w:rPr>
              <w:t> %</w:t>
            </w:r>
            <w:r w:rsidRPr="00541253">
              <w:rPr>
                <w:spacing w:val="-2"/>
              </w:rPr>
              <w:t>),</w:t>
            </w:r>
            <w:r>
              <w:rPr>
                <w:spacing w:val="-3"/>
              </w:rPr>
              <w:t xml:space="preserve"> třikrát vyšším než</w:t>
            </w:r>
            <w:r w:rsidRPr="00541253">
              <w:rPr>
                <w:spacing w:val="-3"/>
              </w:rPr>
              <w:t xml:space="preserve"> v krizovém roce 2009. Rovněž skladba nejcitelněji zasažených odvětví nebyla identická a</w:t>
            </w:r>
            <w:r>
              <w:rPr>
                <w:spacing w:val="-3"/>
              </w:rPr>
              <w:t> </w:t>
            </w:r>
            <w:r w:rsidRPr="00541253">
              <w:rPr>
                <w:spacing w:val="-3"/>
              </w:rPr>
              <w:t>v</w:t>
            </w:r>
            <w:r>
              <w:rPr>
                <w:spacing w:val="-3"/>
              </w:rPr>
              <w:t> </w:t>
            </w:r>
            <w:r w:rsidRPr="00541253">
              <w:rPr>
                <w:spacing w:val="-3"/>
              </w:rPr>
              <w:t>průběhu loňského roku doznala podstatných změn. Zatímco ve všech předešlých obdobích recese v historii samostatné ČR hrál prim průmysl, loni se na</w:t>
            </w:r>
            <w:r>
              <w:rPr>
                <w:spacing w:val="-3"/>
              </w:rPr>
              <w:t xml:space="preserve"> </w:t>
            </w:r>
            <w:r w:rsidRPr="00541253">
              <w:rPr>
                <w:color w:val="0D0D0D" w:themeColor="text1" w:themeTint="F2"/>
                <w:spacing w:val="-3"/>
              </w:rPr>
              <w:t>poklesu výkonu ekonomiky podepsal nejvíce sektor služeb (</w:t>
            </w:r>
            <w:proofErr w:type="gramStart"/>
            <w:r w:rsidRPr="00541253">
              <w:rPr>
                <w:color w:val="0D0D0D" w:themeColor="text1" w:themeTint="F2"/>
                <w:spacing w:val="-3"/>
              </w:rPr>
              <w:t>příspěvek</w:t>
            </w:r>
            <w:proofErr w:type="gramEnd"/>
            <w:r w:rsidRPr="00541253">
              <w:rPr>
                <w:color w:val="0D0D0D" w:themeColor="text1" w:themeTint="F2"/>
                <w:spacing w:val="-3"/>
              </w:rPr>
              <w:t xml:space="preserve"> </w:t>
            </w:r>
            <w:r w:rsidRPr="00541253">
              <w:rPr>
                <w:spacing w:val="-3"/>
              </w:rPr>
              <w:t>–</w:t>
            </w:r>
            <w:proofErr w:type="gramStart"/>
            <w:r w:rsidRPr="00541253">
              <w:rPr>
                <w:color w:val="0D0D0D" w:themeColor="text1" w:themeTint="F2"/>
                <w:spacing w:val="-3"/>
              </w:rPr>
              <w:t>3,3</w:t>
            </w:r>
            <w:proofErr w:type="gramEnd"/>
            <w:r>
              <w:rPr>
                <w:color w:val="0D0D0D" w:themeColor="text1" w:themeTint="F2"/>
                <w:spacing w:val="-3"/>
              </w:rPr>
              <w:t> p. b.</w:t>
            </w:r>
            <w:r w:rsidRPr="00541253">
              <w:rPr>
                <w:color w:val="0D0D0D" w:themeColor="text1" w:themeTint="F2"/>
                <w:spacing w:val="-3"/>
              </w:rPr>
              <w:t>), konkrétně zejména uskupení obchod, doprava, ubytování a</w:t>
            </w:r>
            <w:r>
              <w:rPr>
                <w:color w:val="0D0D0D" w:themeColor="text1" w:themeTint="F2"/>
                <w:spacing w:val="-3"/>
              </w:rPr>
              <w:t> </w:t>
            </w:r>
            <w:r w:rsidRPr="00541253">
              <w:rPr>
                <w:color w:val="0D0D0D" w:themeColor="text1" w:themeTint="F2"/>
                <w:spacing w:val="-3"/>
              </w:rPr>
              <w:t>pohostinství (</w:t>
            </w:r>
            <w:r w:rsidRPr="00541253">
              <w:rPr>
                <w:spacing w:val="-3"/>
              </w:rPr>
              <w:t>–</w:t>
            </w:r>
            <w:r w:rsidRPr="00541253">
              <w:rPr>
                <w:color w:val="0D0D0D" w:themeColor="text1" w:themeTint="F2"/>
                <w:spacing w:val="-3"/>
              </w:rPr>
              <w:t>2,2</w:t>
            </w:r>
            <w:r>
              <w:rPr>
                <w:color w:val="0D0D0D" w:themeColor="text1" w:themeTint="F2"/>
                <w:spacing w:val="-3"/>
              </w:rPr>
              <w:t> p. b.</w:t>
            </w:r>
            <w:r w:rsidRPr="00541253">
              <w:rPr>
                <w:color w:val="0D0D0D" w:themeColor="text1" w:themeTint="F2"/>
                <w:spacing w:val="-3"/>
              </w:rPr>
              <w:t>)</w:t>
            </w:r>
            <w:r>
              <w:rPr>
                <w:rStyle w:val="Znakapoznpodarou"/>
                <w:color w:val="0D0D0D" w:themeColor="text1" w:themeTint="F2"/>
                <w:spacing w:val="-3"/>
              </w:rPr>
              <w:footnoteReference w:id="15"/>
            </w:r>
            <w:r w:rsidRPr="00541253">
              <w:rPr>
                <w:color w:val="0D0D0D" w:themeColor="text1" w:themeTint="F2"/>
                <w:spacing w:val="-3"/>
              </w:rPr>
              <w:t xml:space="preserve">. </w:t>
            </w:r>
            <w:r>
              <w:rPr>
                <w:color w:val="0D0D0D" w:themeColor="text1" w:themeTint="F2"/>
                <w:spacing w:val="-3"/>
              </w:rPr>
              <w:t xml:space="preserve">HPH v tomto odvětví se za </w:t>
            </w:r>
            <w:r w:rsidRPr="0075739A">
              <w:rPr>
                <w:color w:val="0D0D0D" w:themeColor="text1" w:themeTint="F2"/>
                <w:spacing w:val="-3"/>
              </w:rPr>
              <w:t>loňský rok propadla nejvíce v novodobé historii, obdobně jako v</w:t>
            </w:r>
            <w:r w:rsidRPr="00071E83">
              <w:rPr>
                <w:spacing w:val="-2"/>
              </w:rPr>
              <w:t> </w:t>
            </w:r>
            <w:r w:rsidRPr="0075739A">
              <w:rPr>
                <w:color w:val="0D0D0D" w:themeColor="text1" w:themeTint="F2"/>
                <w:spacing w:val="-4"/>
              </w:rPr>
              <w:t>profesních, vědeckých, technických a</w:t>
            </w:r>
            <w:r>
              <w:rPr>
                <w:color w:val="0D0D0D" w:themeColor="text1" w:themeTint="F2"/>
                <w:spacing w:val="-4"/>
              </w:rPr>
              <w:t> </w:t>
            </w:r>
            <w:r w:rsidRPr="0075739A">
              <w:rPr>
                <w:color w:val="0D0D0D" w:themeColor="text1" w:themeTint="F2"/>
                <w:spacing w:val="-4"/>
              </w:rPr>
              <w:t>administrativních činnostech či v odvětví ostatní činnosti služeb</w:t>
            </w:r>
            <w:r w:rsidRPr="0075739A">
              <w:rPr>
                <w:rStyle w:val="Znakapoznpodarou"/>
                <w:color w:val="0D0D0D" w:themeColor="text1" w:themeTint="F2"/>
                <w:spacing w:val="-4"/>
              </w:rPr>
              <w:footnoteReference w:id="16"/>
            </w:r>
            <w:r>
              <w:rPr>
                <w:color w:val="0D0D0D" w:themeColor="text1" w:themeTint="F2"/>
                <w:spacing w:val="-4"/>
              </w:rPr>
              <w:t xml:space="preserve">. Příspěvek průmyslu činil </w:t>
            </w:r>
            <w:proofErr w:type="gramStart"/>
            <w:r>
              <w:rPr>
                <w:color w:val="0D0D0D" w:themeColor="text1" w:themeTint="F2"/>
                <w:spacing w:val="-4"/>
              </w:rPr>
              <w:t>loni</w:t>
            </w:r>
            <w:proofErr w:type="gramEnd"/>
            <w:r>
              <w:rPr>
                <w:color w:val="0D0D0D" w:themeColor="text1" w:themeTint="F2"/>
                <w:spacing w:val="-4"/>
              </w:rPr>
              <w:t xml:space="preserve"> </w:t>
            </w:r>
            <w:r w:rsidRPr="00541253">
              <w:rPr>
                <w:spacing w:val="-3"/>
              </w:rPr>
              <w:t>–</w:t>
            </w:r>
            <w:proofErr w:type="gramStart"/>
            <w:r>
              <w:rPr>
                <w:color w:val="0D0D0D" w:themeColor="text1" w:themeTint="F2"/>
                <w:spacing w:val="-4"/>
              </w:rPr>
              <w:t>2,1</w:t>
            </w:r>
            <w:proofErr w:type="gramEnd"/>
            <w:r>
              <w:rPr>
                <w:color w:val="0D0D0D" w:themeColor="text1" w:themeTint="F2"/>
                <w:spacing w:val="-4"/>
              </w:rPr>
              <w:t> p. b.</w:t>
            </w:r>
            <w:r w:rsidRPr="00AB5C8C">
              <w:rPr>
                <w:color w:val="0D0D0D" w:themeColor="text1" w:themeTint="F2"/>
                <w:spacing w:val="-4"/>
              </w:rPr>
              <w:t xml:space="preserve"> Nejvíce táhl dolů celou ekonomiku v 1.</w:t>
            </w:r>
            <w:r>
              <w:rPr>
                <w:color w:val="0D0D0D" w:themeColor="text1" w:themeTint="F2"/>
                <w:spacing w:val="-4"/>
              </w:rPr>
              <w:t> pololet</w:t>
            </w:r>
            <w:r w:rsidRPr="00AB5C8C">
              <w:rPr>
                <w:color w:val="0D0D0D" w:themeColor="text1" w:themeTint="F2"/>
                <w:spacing w:val="-4"/>
              </w:rPr>
              <w:t xml:space="preserve">í, kdy se na jeho výkonu podepsalo dubnové uzavření provozoven klíčových exportních podniků. Ve druhé půli roku naopak těžil z rychle oživující zahraniční poptávky související </w:t>
            </w:r>
            <w:r>
              <w:rPr>
                <w:color w:val="0D0D0D" w:themeColor="text1" w:themeTint="F2"/>
                <w:spacing w:val="-4"/>
              </w:rPr>
              <w:t>i </w:t>
            </w:r>
            <w:r w:rsidRPr="00AB5C8C">
              <w:rPr>
                <w:color w:val="0D0D0D" w:themeColor="text1" w:themeTint="F2"/>
                <w:spacing w:val="-4"/>
              </w:rPr>
              <w:t>s příznivým vývojem důležitých východoasijských ekonomik. Ve 4.</w:t>
            </w:r>
            <w:r>
              <w:rPr>
                <w:color w:val="0D0D0D" w:themeColor="text1" w:themeTint="F2"/>
                <w:spacing w:val="-4"/>
              </w:rPr>
              <w:t> čtvrtlet</w:t>
            </w:r>
            <w:r w:rsidRPr="00AB5C8C">
              <w:rPr>
                <w:color w:val="0D0D0D" w:themeColor="text1" w:themeTint="F2"/>
                <w:spacing w:val="-4"/>
              </w:rPr>
              <w:t xml:space="preserve">í </w:t>
            </w:r>
            <w:r>
              <w:rPr>
                <w:color w:val="0D0D0D" w:themeColor="text1" w:themeTint="F2"/>
                <w:spacing w:val="-4"/>
              </w:rPr>
              <w:t xml:space="preserve">činil </w:t>
            </w:r>
            <w:r w:rsidRPr="00AB5C8C">
              <w:rPr>
                <w:color w:val="0D0D0D" w:themeColor="text1" w:themeTint="F2"/>
                <w:spacing w:val="-4"/>
              </w:rPr>
              <w:t xml:space="preserve">příspěvek </w:t>
            </w:r>
            <w:r w:rsidRPr="00852533">
              <w:rPr>
                <w:color w:val="0D0D0D" w:themeColor="text1" w:themeTint="F2"/>
                <w:spacing w:val="-4"/>
              </w:rPr>
              <w:t xml:space="preserve">průmyslu k meziroční změně HPH v ekonomice </w:t>
            </w:r>
            <w:proofErr w:type="gramStart"/>
            <w:r w:rsidRPr="00852533">
              <w:rPr>
                <w:color w:val="0D0D0D" w:themeColor="text1" w:themeTint="F2"/>
                <w:spacing w:val="-4"/>
              </w:rPr>
              <w:t>jen</w:t>
            </w:r>
            <w:proofErr w:type="gramEnd"/>
            <w:r w:rsidRPr="00852533">
              <w:rPr>
                <w:color w:val="0D0D0D" w:themeColor="text1" w:themeTint="F2"/>
                <w:spacing w:val="-4"/>
              </w:rPr>
              <w:t xml:space="preserve"> </w:t>
            </w:r>
            <w:r w:rsidRPr="00852533">
              <w:rPr>
                <w:spacing w:val="-4"/>
              </w:rPr>
              <w:t>–</w:t>
            </w:r>
            <w:proofErr w:type="gramStart"/>
            <w:r w:rsidRPr="00852533">
              <w:rPr>
                <w:color w:val="0D0D0D" w:themeColor="text1" w:themeTint="F2"/>
                <w:spacing w:val="-4"/>
              </w:rPr>
              <w:t>0,4</w:t>
            </w:r>
            <w:proofErr w:type="gramEnd"/>
            <w:r>
              <w:rPr>
                <w:color w:val="0D0D0D" w:themeColor="text1" w:themeTint="F2"/>
                <w:spacing w:val="-4"/>
              </w:rPr>
              <w:t> p. b.</w:t>
            </w:r>
            <w:r w:rsidRPr="00852533">
              <w:rPr>
                <w:color w:val="0D0D0D" w:themeColor="text1" w:themeTint="F2"/>
                <w:spacing w:val="-4"/>
              </w:rPr>
              <w:t xml:space="preserve"> O</w:t>
            </w:r>
            <w:r>
              <w:rPr>
                <w:color w:val="0D0D0D" w:themeColor="text1" w:themeTint="F2"/>
                <w:spacing w:val="-4"/>
              </w:rPr>
              <w:t>živení poptávky i</w:t>
            </w:r>
            <w:r w:rsidRPr="00AB5C8C">
              <w:rPr>
                <w:color w:val="0D0D0D" w:themeColor="text1" w:themeTint="F2"/>
                <w:spacing w:val="-4"/>
              </w:rPr>
              <w:t> </w:t>
            </w:r>
            <w:r w:rsidRPr="00852533">
              <w:rPr>
                <w:color w:val="0D0D0D" w:themeColor="text1" w:themeTint="F2"/>
                <w:spacing w:val="-4"/>
              </w:rPr>
              <w:t>plynulá výroba ve zpracovatelském průmyslu měly pozitivní dopad i</w:t>
            </w:r>
            <w:r>
              <w:rPr>
                <w:color w:val="0D0D0D" w:themeColor="text1" w:themeTint="F2"/>
                <w:spacing w:val="-4"/>
              </w:rPr>
              <w:t> </w:t>
            </w:r>
            <w:r w:rsidRPr="00852533">
              <w:rPr>
                <w:color w:val="0D0D0D" w:themeColor="text1" w:themeTint="F2"/>
                <w:spacing w:val="-4"/>
              </w:rPr>
              <w:t>na energetiku.</w:t>
            </w:r>
            <w:r>
              <w:rPr>
                <w:color w:val="0D0D0D" w:themeColor="text1" w:themeTint="F2"/>
                <w:spacing w:val="-5"/>
              </w:rPr>
              <w:t xml:space="preserve"> K podobnému oživení nedošlo ve stavebnictví. Díky setrvačnému charakteru produkce i</w:t>
            </w:r>
            <w:r w:rsidRPr="00AB5C8C">
              <w:rPr>
                <w:color w:val="0D0D0D" w:themeColor="text1" w:themeTint="F2"/>
                <w:spacing w:val="-4"/>
              </w:rPr>
              <w:t> </w:t>
            </w:r>
            <w:r>
              <w:rPr>
                <w:spacing w:val="-4"/>
              </w:rPr>
              <w:t>vysoké zásobě zakázek</w:t>
            </w:r>
            <w:r>
              <w:rPr>
                <w:color w:val="0D0D0D" w:themeColor="text1" w:themeTint="F2"/>
                <w:spacing w:val="-5"/>
              </w:rPr>
              <w:t xml:space="preserve"> měla </w:t>
            </w:r>
            <w:proofErr w:type="spellStart"/>
            <w:r>
              <w:rPr>
                <w:color w:val="0D0D0D" w:themeColor="text1" w:themeTint="F2"/>
                <w:spacing w:val="-5"/>
              </w:rPr>
              <w:t>protipandemická</w:t>
            </w:r>
            <w:proofErr w:type="spellEnd"/>
            <w:r>
              <w:rPr>
                <w:color w:val="0D0D0D" w:themeColor="text1" w:themeTint="F2"/>
                <w:spacing w:val="-5"/>
              </w:rPr>
              <w:t xml:space="preserve"> opatření v tomto odvětví zpočátku menší dopad a projevila se především omezenou disponibilitou zahraničních pracovníků. Narůstající ekonomické nejistoty podniků i domácností spolu s </w:t>
            </w:r>
            <w:r>
              <w:rPr>
                <w:spacing w:val="-4"/>
              </w:rPr>
              <w:t>vysokou administrativní náročností procesu přípravy i realizace staveb si ale postupně začaly vybírat sovu daň. HPH ve stavebnictví, jako v jednom z mála hlavních odvětví, tak na sklonku roku ve srovnání se 3. čtvrtletím 2020 poklesla (o 1,2 %).</w:t>
            </w:r>
          </w:p>
        </w:tc>
      </w:tr>
      <w:tr w:rsidR="00B96D74" w:rsidRPr="00BC341E" w14:paraId="4C504FE7" w14:textId="77777777" w:rsidTr="0091476D">
        <w:trPr>
          <w:trHeight w:val="155"/>
        </w:trPr>
        <w:tc>
          <w:tcPr>
            <w:tcW w:w="1780" w:type="dxa"/>
            <w:shd w:val="clear" w:color="auto" w:fill="auto"/>
            <w:tcMar>
              <w:left w:w="0" w:type="dxa"/>
            </w:tcMar>
          </w:tcPr>
          <w:p w14:paraId="3D3A3676" w14:textId="77777777" w:rsidR="00B96D74" w:rsidRDefault="00B96D74" w:rsidP="0091476D">
            <w:pPr>
              <w:pStyle w:val="Marginlie"/>
              <w:rPr>
                <w:spacing w:val="-4"/>
              </w:rPr>
            </w:pPr>
            <w:r>
              <w:rPr>
                <w:spacing w:val="-4"/>
              </w:rPr>
              <w:t>Pokles HPH v ekonomice byl nejvíce tlumen vyšším výkonem veřejných služeb.</w:t>
            </w:r>
          </w:p>
          <w:p w14:paraId="7D481399" w14:textId="77777777" w:rsidR="00B96D74" w:rsidRDefault="00B96D74" w:rsidP="0091476D">
            <w:pPr>
              <w:pStyle w:val="Marginlie"/>
              <w:rPr>
                <w:spacing w:val="-4"/>
              </w:rPr>
            </w:pPr>
          </w:p>
          <w:p w14:paraId="5124C067" w14:textId="77777777" w:rsidR="00B96D74" w:rsidRDefault="00B96D74" w:rsidP="0091476D">
            <w:pPr>
              <w:pStyle w:val="Marginlie"/>
              <w:rPr>
                <w:spacing w:val="-4"/>
              </w:rPr>
            </w:pPr>
          </w:p>
          <w:p w14:paraId="09F617F2" w14:textId="77777777" w:rsidR="00B96D74" w:rsidRDefault="00B96D74" w:rsidP="0091476D">
            <w:pPr>
              <w:pStyle w:val="Marginlie"/>
              <w:rPr>
                <w:spacing w:val="-4"/>
              </w:rPr>
            </w:pPr>
          </w:p>
          <w:p w14:paraId="4101614D" w14:textId="77777777" w:rsidR="00B96D74" w:rsidRDefault="00B96D74" w:rsidP="0091476D">
            <w:pPr>
              <w:pStyle w:val="Marginlie"/>
              <w:rPr>
                <w:spacing w:val="-4"/>
              </w:rPr>
            </w:pPr>
            <w:r w:rsidRPr="00BE54BF">
              <w:t>Nejvíce rostla HPH v zemědělství, lesnictví a</w:t>
            </w:r>
            <w:r>
              <w:t> </w:t>
            </w:r>
            <w:r w:rsidRPr="00BE54BF">
              <w:t>rybářství. Projevil</w:t>
            </w:r>
            <w:r>
              <w:t>y</w:t>
            </w:r>
            <w:r w:rsidRPr="00BE54BF">
              <w:t xml:space="preserve"> se </w:t>
            </w:r>
            <w:r w:rsidRPr="00BE54BF">
              <w:lastRenderedPageBreak/>
              <w:t xml:space="preserve">vliv dobré úrody, stabilizovaný stav živočišné výroby </w:t>
            </w:r>
            <w:r>
              <w:t>i </w:t>
            </w:r>
            <w:r w:rsidRPr="00BE54BF">
              <w:t>silná živelní těžba dřeva.</w:t>
            </w:r>
          </w:p>
        </w:tc>
        <w:tc>
          <w:tcPr>
            <w:tcW w:w="214" w:type="dxa"/>
            <w:shd w:val="clear" w:color="auto" w:fill="auto"/>
            <w:tcMar>
              <w:left w:w="0" w:type="dxa"/>
            </w:tcMar>
          </w:tcPr>
          <w:p w14:paraId="6CFE9E43"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7F0A61A1" w14:textId="32691ED7" w:rsidR="00B96D74" w:rsidRPr="00BC341E" w:rsidRDefault="00B96D74" w:rsidP="0091476D">
            <w:pPr>
              <w:rPr>
                <w:rFonts w:cs="Arial"/>
                <w:bCs/>
                <w:color w:val="0D0D0D" w:themeColor="text1" w:themeTint="F2"/>
                <w:spacing w:val="-4"/>
                <w:szCs w:val="20"/>
              </w:rPr>
            </w:pPr>
            <w:r>
              <w:rPr>
                <w:rFonts w:cs="Arial"/>
                <w:bCs/>
                <w:color w:val="000000"/>
                <w:spacing w:val="-4"/>
                <w:szCs w:val="20"/>
              </w:rPr>
              <w:t>Proti hlubšímu poklesu HPH v ekonomice působila loni nejvíce odvětví s převahou vládních institucí, a to zejména ve 2. polovině roku (+0,3 p. b.), kdy ve vazbě na nepříznivou epidemickou situaci narostly nároky na výkon zdravotnictví</w:t>
            </w:r>
            <w:r>
              <w:rPr>
                <w:rStyle w:val="Znakapoznpodarou"/>
                <w:bCs/>
                <w:color w:val="000000"/>
                <w:spacing w:val="-4"/>
                <w:szCs w:val="20"/>
              </w:rPr>
              <w:footnoteReference w:id="17"/>
            </w:r>
            <w:r>
              <w:rPr>
                <w:rFonts w:cs="Arial"/>
                <w:bCs/>
                <w:color w:val="000000"/>
                <w:spacing w:val="-4"/>
                <w:szCs w:val="20"/>
              </w:rPr>
              <w:t>. To platilo i pro informační a</w:t>
            </w:r>
            <w:r w:rsidRPr="00AB5C8C">
              <w:rPr>
                <w:color w:val="0D0D0D" w:themeColor="text1" w:themeTint="F2"/>
                <w:spacing w:val="-4"/>
              </w:rPr>
              <w:t> </w:t>
            </w:r>
            <w:r>
              <w:rPr>
                <w:rFonts w:cs="Arial"/>
                <w:bCs/>
                <w:color w:val="000000"/>
                <w:spacing w:val="-4"/>
                <w:szCs w:val="20"/>
              </w:rPr>
              <w:t>komunikační činnosti. I tak zde HPH loni rostla nejméně za posledních osm let (+1,6 %)</w:t>
            </w:r>
            <w:r>
              <w:rPr>
                <w:rStyle w:val="Znakapoznpodarou"/>
                <w:bCs/>
                <w:color w:val="000000"/>
                <w:spacing w:val="-4"/>
                <w:szCs w:val="20"/>
              </w:rPr>
              <w:footnoteReference w:id="18"/>
            </w:r>
            <w:r>
              <w:rPr>
                <w:rFonts w:cs="Arial"/>
                <w:bCs/>
                <w:color w:val="000000"/>
                <w:spacing w:val="-4"/>
                <w:szCs w:val="20"/>
              </w:rPr>
              <w:t xml:space="preserve">. </w:t>
            </w:r>
            <w:r w:rsidRPr="00551127">
              <w:rPr>
                <w:rFonts w:cs="Arial"/>
                <w:bCs/>
                <w:color w:val="0D0D0D" w:themeColor="text1" w:themeTint="F2"/>
                <w:spacing w:val="-4"/>
                <w:szCs w:val="20"/>
              </w:rPr>
              <w:t xml:space="preserve">HPH </w:t>
            </w:r>
            <w:r w:rsidRPr="00551127">
              <w:rPr>
                <w:color w:val="0D0D0D" w:themeColor="text1" w:themeTint="F2"/>
                <w:spacing w:val="-4"/>
              </w:rPr>
              <w:t>zemědělství, lesnictví a</w:t>
            </w:r>
            <w:r>
              <w:rPr>
                <w:color w:val="0D0D0D" w:themeColor="text1" w:themeTint="F2"/>
                <w:spacing w:val="-4"/>
              </w:rPr>
              <w:t> </w:t>
            </w:r>
            <w:r w:rsidRPr="00551127">
              <w:rPr>
                <w:color w:val="0D0D0D" w:themeColor="text1" w:themeTint="F2"/>
                <w:spacing w:val="-4"/>
              </w:rPr>
              <w:t>rybářství</w:t>
            </w:r>
            <w:r>
              <w:rPr>
                <w:color w:val="0D0D0D" w:themeColor="text1" w:themeTint="F2"/>
                <w:spacing w:val="-4"/>
              </w:rPr>
              <w:t xml:space="preserve"> vzrostla loni meziročně o bezmála 5 % a stejně jako </w:t>
            </w:r>
            <w:r w:rsidRPr="00551127">
              <w:rPr>
                <w:rFonts w:cs="Arial"/>
                <w:bCs/>
                <w:color w:val="0D0D0D" w:themeColor="text1" w:themeTint="F2"/>
                <w:spacing w:val="-4"/>
                <w:szCs w:val="20"/>
              </w:rPr>
              <w:t>v roce 2019</w:t>
            </w:r>
            <w:r>
              <w:rPr>
                <w:rFonts w:cs="Arial"/>
                <w:bCs/>
                <w:color w:val="0D0D0D" w:themeColor="text1" w:themeTint="F2"/>
                <w:spacing w:val="-4"/>
                <w:szCs w:val="20"/>
              </w:rPr>
              <w:t xml:space="preserve"> to bylo jedno z nejdynamičtějších odvětví ekonomiky. </w:t>
            </w:r>
            <w:r w:rsidRPr="007D213B">
              <w:rPr>
                <w:spacing w:val="-4"/>
              </w:rPr>
              <w:t xml:space="preserve">Přispěla k tomu stabilizovaná situace v zemědělské prvovýrobě, jež nebyla </w:t>
            </w:r>
            <w:r>
              <w:rPr>
                <w:spacing w:val="-4"/>
              </w:rPr>
              <w:t>v roce 2020</w:t>
            </w:r>
            <w:r w:rsidRPr="007D213B">
              <w:rPr>
                <w:spacing w:val="-4"/>
              </w:rPr>
              <w:t xml:space="preserve"> vyjma zpřísněných hygienických opatření regulačními vlivy negativně dotčena. </w:t>
            </w:r>
            <w:r>
              <w:rPr>
                <w:spacing w:val="-4"/>
              </w:rPr>
              <w:t xml:space="preserve">Výroba masa lehce vzrostla </w:t>
            </w:r>
            <w:r>
              <w:rPr>
                <w:spacing w:val="-4"/>
              </w:rPr>
              <w:lastRenderedPageBreak/>
              <w:t xml:space="preserve">(+0,9 %), a to </w:t>
            </w:r>
            <w:r w:rsidRPr="00ED3E51">
              <w:rPr>
                <w:spacing w:val="-5"/>
              </w:rPr>
              <w:t>díky vyšší porážkové hmotnosti vykrmovaného skotu a</w:t>
            </w:r>
            <w:r>
              <w:rPr>
                <w:spacing w:val="-5"/>
              </w:rPr>
              <w:t> </w:t>
            </w:r>
            <w:r w:rsidRPr="00ED3E51">
              <w:rPr>
                <w:spacing w:val="-5"/>
              </w:rPr>
              <w:t>prasat i</w:t>
            </w:r>
            <w:r>
              <w:rPr>
                <w:spacing w:val="-5"/>
              </w:rPr>
              <w:t> </w:t>
            </w:r>
            <w:r w:rsidRPr="00ED3E51">
              <w:rPr>
                <w:spacing w:val="-5"/>
              </w:rPr>
              <w:t>dlouhodobě posilující spotřebitelské oblibě drůbežího masa. Tuzemští producenti prodali naturálně o 3,9 % mléka více. Rostlinnou produkc</w:t>
            </w:r>
            <w:r>
              <w:rPr>
                <w:spacing w:val="-5"/>
              </w:rPr>
              <w:t>i</w:t>
            </w:r>
            <w:r w:rsidRPr="00ED3E51">
              <w:rPr>
                <w:spacing w:val="-5"/>
              </w:rPr>
              <w:t xml:space="preserve"> podpořil</w:t>
            </w:r>
            <w:r>
              <w:rPr>
                <w:spacing w:val="-5"/>
              </w:rPr>
              <w:t>a</w:t>
            </w:r>
            <w:r w:rsidRPr="00ED3E51">
              <w:rPr>
                <w:spacing w:val="-5"/>
              </w:rPr>
              <w:t xml:space="preserve"> </w:t>
            </w:r>
            <w:r w:rsidR="00D260C7">
              <w:rPr>
                <w:spacing w:val="-5"/>
              </w:rPr>
              <w:t>dobrá loňská</w:t>
            </w:r>
            <w:r w:rsidRPr="00ED3E51">
              <w:rPr>
                <w:spacing w:val="-5"/>
              </w:rPr>
              <w:t xml:space="preserve"> sklizeň, zejména u</w:t>
            </w:r>
            <w:r>
              <w:rPr>
                <w:spacing w:val="-5"/>
              </w:rPr>
              <w:t> </w:t>
            </w:r>
            <w:r w:rsidRPr="00ED3E51">
              <w:rPr>
                <w:spacing w:val="-5"/>
              </w:rPr>
              <w:t>obilovin, brambor či pícnin</w:t>
            </w:r>
            <w:r w:rsidRPr="00ED3E51">
              <w:rPr>
                <w:rStyle w:val="Znakapoznpodarou"/>
                <w:spacing w:val="-5"/>
              </w:rPr>
              <w:footnoteReference w:id="19"/>
            </w:r>
            <w:r w:rsidRPr="00ED3E51">
              <w:rPr>
                <w:spacing w:val="-5"/>
              </w:rPr>
              <w:t xml:space="preserve">. </w:t>
            </w:r>
            <w:proofErr w:type="spellStart"/>
            <w:r w:rsidRPr="00ED3E51">
              <w:rPr>
                <w:spacing w:val="-5"/>
              </w:rPr>
              <w:t>Prorůstově</w:t>
            </w:r>
            <w:proofErr w:type="spellEnd"/>
            <w:r w:rsidRPr="00ED3E51">
              <w:rPr>
                <w:spacing w:val="-5"/>
              </w:rPr>
              <w:t xml:space="preserve"> zřejmě působila na celý primární sektor i pokračující živelní těžba dřeva.</w:t>
            </w:r>
          </w:p>
        </w:tc>
      </w:tr>
      <w:tr w:rsidR="00B96D74" w:rsidRPr="00F63577" w14:paraId="29F48783" w14:textId="77777777" w:rsidTr="0091476D">
        <w:trPr>
          <w:trHeight w:val="155"/>
        </w:trPr>
        <w:tc>
          <w:tcPr>
            <w:tcW w:w="1780" w:type="dxa"/>
            <w:shd w:val="clear" w:color="auto" w:fill="auto"/>
            <w:tcMar>
              <w:left w:w="0" w:type="dxa"/>
            </w:tcMar>
          </w:tcPr>
          <w:p w14:paraId="401638D8" w14:textId="77777777" w:rsidR="00B96D74" w:rsidRDefault="00B96D74" w:rsidP="0091476D">
            <w:pPr>
              <w:pStyle w:val="Marginlie"/>
              <w:rPr>
                <w:spacing w:val="-4"/>
              </w:rPr>
            </w:pPr>
            <w:r w:rsidRPr="00883202">
              <w:lastRenderedPageBreak/>
              <w:t xml:space="preserve">Největší meziroční útlum </w:t>
            </w:r>
            <w:r>
              <w:t>HPH postihl loni</w:t>
            </w:r>
            <w:r w:rsidRPr="00883202">
              <w:t xml:space="preserve"> státy jižního</w:t>
            </w:r>
            <w:r>
              <w:t xml:space="preserve"> křídla eurozóny. Ze středoevropských ekonomik si vedlo nejlépe Polsko.</w:t>
            </w:r>
          </w:p>
        </w:tc>
        <w:tc>
          <w:tcPr>
            <w:tcW w:w="214" w:type="dxa"/>
            <w:shd w:val="clear" w:color="auto" w:fill="auto"/>
            <w:tcMar>
              <w:left w:w="0" w:type="dxa"/>
            </w:tcMar>
          </w:tcPr>
          <w:p w14:paraId="2F8F8DD6"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31411CA4" w14:textId="77777777" w:rsidR="00B96D74" w:rsidRPr="00F63577" w:rsidRDefault="00B96D74" w:rsidP="0091476D">
            <w:pPr>
              <w:rPr>
                <w:rFonts w:cs="Arial"/>
                <w:bCs/>
                <w:color w:val="000000"/>
                <w:spacing w:val="-4"/>
                <w:szCs w:val="20"/>
              </w:rPr>
            </w:pPr>
            <w:r>
              <w:rPr>
                <w:spacing w:val="-4"/>
              </w:rPr>
              <w:t>Celková přidaná hodnota klesla za loňský rok v EU o 6,1 % a v zemích eurozóny o 6,5 %, tedy více než v ČR</w:t>
            </w:r>
            <w:r>
              <w:rPr>
                <w:rStyle w:val="Znakapoznpodarou"/>
                <w:spacing w:val="-4"/>
              </w:rPr>
              <w:footnoteReference w:id="20"/>
            </w:r>
            <w:r>
              <w:rPr>
                <w:spacing w:val="-4"/>
              </w:rPr>
              <w:t>. Přesto byl tuzemský útlum mezi státy EU desátý nejvyšší. Unijní</w:t>
            </w:r>
            <w:r w:rsidRPr="00F63577">
              <w:rPr>
                <w:spacing w:val="-4"/>
              </w:rPr>
              <w:t xml:space="preserve"> výsledky byly ovlivněny propade</w:t>
            </w:r>
            <w:r>
              <w:rPr>
                <w:spacing w:val="-4"/>
              </w:rPr>
              <w:t xml:space="preserve">m výkonu </w:t>
            </w:r>
            <w:r w:rsidRPr="00F63577">
              <w:rPr>
                <w:spacing w:val="-4"/>
              </w:rPr>
              <w:t>významných ekonomik zejména na jižn</w:t>
            </w:r>
            <w:r>
              <w:rPr>
                <w:spacing w:val="-4"/>
              </w:rPr>
              <w:t>ím křídle eurozóny (Španělsko 10,8 %, Itálie 8</w:t>
            </w:r>
            <w:r w:rsidRPr="00F63577">
              <w:rPr>
                <w:spacing w:val="-4"/>
              </w:rPr>
              <w:t>,6 %, Řecko</w:t>
            </w:r>
            <w:r>
              <w:rPr>
                <w:spacing w:val="-4"/>
              </w:rPr>
              <w:t xml:space="preserve"> 8,1 %</w:t>
            </w:r>
            <w:r w:rsidRPr="00F63577">
              <w:rPr>
                <w:spacing w:val="-4"/>
              </w:rPr>
              <w:t>, Port</w:t>
            </w:r>
            <w:r>
              <w:rPr>
                <w:spacing w:val="-4"/>
              </w:rPr>
              <w:t>ugalsko 6,4 %) a také Francie (8,1 %). Ze středoevropských</w:t>
            </w:r>
            <w:r w:rsidRPr="00F63577">
              <w:rPr>
                <w:spacing w:val="-4"/>
              </w:rPr>
              <w:t xml:space="preserve"> s</w:t>
            </w:r>
            <w:r>
              <w:rPr>
                <w:spacing w:val="-4"/>
              </w:rPr>
              <w:t xml:space="preserve">tátů si nejlépe vedlo </w:t>
            </w:r>
            <w:proofErr w:type="gramStart"/>
            <w:r>
              <w:rPr>
                <w:spacing w:val="-4"/>
              </w:rPr>
              <w:t>Polsko (</w:t>
            </w:r>
            <w:r w:rsidRPr="00852533">
              <w:rPr>
                <w:spacing w:val="-4"/>
              </w:rPr>
              <w:t>–</w:t>
            </w:r>
            <w:r>
              <w:rPr>
                <w:spacing w:val="-4"/>
              </w:rPr>
              <w:t>2,8</w:t>
            </w:r>
            <w:proofErr w:type="gramEnd"/>
            <w:r>
              <w:rPr>
                <w:spacing w:val="-4"/>
              </w:rPr>
              <w:t xml:space="preserve"> %), nejhůře Rakousko </w:t>
            </w:r>
            <w:r>
              <w:rPr>
                <w:spacing w:val="-4"/>
              </w:rPr>
              <w:br/>
              <w:t>(</w:t>
            </w:r>
            <w:r w:rsidRPr="00852533">
              <w:rPr>
                <w:spacing w:val="-4"/>
              </w:rPr>
              <w:t>–</w:t>
            </w:r>
            <w:r>
              <w:rPr>
                <w:spacing w:val="-4"/>
              </w:rPr>
              <w:t xml:space="preserve">6,4 %). Německo i Slovensko zaznamenaly srovnatelné poklesy jako ČR. Růst </w:t>
            </w:r>
            <w:r w:rsidRPr="00F63577">
              <w:rPr>
                <w:spacing w:val="-4"/>
              </w:rPr>
              <w:t>přidané hodnot</w:t>
            </w:r>
            <w:r>
              <w:rPr>
                <w:spacing w:val="-4"/>
              </w:rPr>
              <w:t>y registrovalo jen Irsko (+2,5 %</w:t>
            </w:r>
            <w:r w:rsidRPr="00F63577">
              <w:rPr>
                <w:spacing w:val="-4"/>
              </w:rPr>
              <w:t>), relativně pří</w:t>
            </w:r>
            <w:r>
              <w:rPr>
                <w:spacing w:val="-4"/>
              </w:rPr>
              <w:t>znivé výsledky hlásily i severské státy či Pobaltí. Rozdíly mezi státy</w:t>
            </w:r>
            <w:r w:rsidRPr="00F63577">
              <w:rPr>
                <w:spacing w:val="-4"/>
              </w:rPr>
              <w:t xml:space="preserve"> vypovídají primárně o náběhu </w:t>
            </w:r>
            <w:proofErr w:type="spellStart"/>
            <w:r w:rsidRPr="00F63577">
              <w:rPr>
                <w:spacing w:val="-4"/>
              </w:rPr>
              <w:t>koronavirové</w:t>
            </w:r>
            <w:proofErr w:type="spellEnd"/>
            <w:r w:rsidRPr="00F63577">
              <w:rPr>
                <w:spacing w:val="-4"/>
              </w:rPr>
              <w:t xml:space="preserve"> nákazy napříč EU, rychlosti a intenzitě vládních restriktivních opatření a zčásti také o odlišné odvětvové skladbě ekonomik (negativně se projevilo vyšší zastoupení odvětví s vazbou na cestovní ruch, pozitivně pak například role veřejných služeb</w:t>
            </w:r>
            <w:r>
              <w:rPr>
                <w:spacing w:val="-4"/>
              </w:rPr>
              <w:t>, ale i zpracovatelského průmyslu</w:t>
            </w:r>
            <w:r w:rsidRPr="00F63577">
              <w:rPr>
                <w:spacing w:val="-4"/>
              </w:rPr>
              <w:t>).</w:t>
            </w:r>
          </w:p>
        </w:tc>
      </w:tr>
      <w:tr w:rsidR="00B96D74" w:rsidRPr="00E87B43" w14:paraId="456AD68E" w14:textId="77777777" w:rsidTr="0091476D">
        <w:trPr>
          <w:trHeight w:val="155"/>
        </w:trPr>
        <w:tc>
          <w:tcPr>
            <w:tcW w:w="1780" w:type="dxa"/>
            <w:shd w:val="clear" w:color="auto" w:fill="auto"/>
            <w:tcMar>
              <w:left w:w="0" w:type="dxa"/>
            </w:tcMar>
          </w:tcPr>
          <w:p w14:paraId="24FF6E74" w14:textId="77777777" w:rsidR="00B96D74" w:rsidRDefault="00B96D74" w:rsidP="0091476D">
            <w:pPr>
              <w:pStyle w:val="Marginlie"/>
              <w:rPr>
                <w:spacing w:val="-4"/>
              </w:rPr>
            </w:pPr>
            <w:r w:rsidRPr="008A4CB5">
              <w:rPr>
                <w:spacing w:val="-4"/>
              </w:rPr>
              <w:t>Navzdory silnému letnímu oživení zůstávala hodnota průmyslové produkce stále po</w:t>
            </w:r>
            <w:r>
              <w:rPr>
                <w:spacing w:val="-4"/>
              </w:rPr>
              <w:t>d svým „</w:t>
            </w:r>
            <w:proofErr w:type="spellStart"/>
            <w:r>
              <w:rPr>
                <w:spacing w:val="-4"/>
              </w:rPr>
              <w:t>předpandemickým</w:t>
            </w:r>
            <w:proofErr w:type="spellEnd"/>
            <w:r>
              <w:rPr>
                <w:spacing w:val="-4"/>
              </w:rPr>
              <w:t>“ vrcholem</w:t>
            </w:r>
            <w:r w:rsidRPr="008A4CB5">
              <w:rPr>
                <w:spacing w:val="-4"/>
              </w:rPr>
              <w:t>.</w:t>
            </w:r>
          </w:p>
          <w:p w14:paraId="763D2504" w14:textId="77777777" w:rsidR="00B96D74" w:rsidRDefault="00B96D74" w:rsidP="0091476D">
            <w:pPr>
              <w:pStyle w:val="Marginlie"/>
              <w:rPr>
                <w:spacing w:val="-4"/>
              </w:rPr>
            </w:pPr>
          </w:p>
          <w:p w14:paraId="22C1F23B" w14:textId="77777777" w:rsidR="00B96D74" w:rsidRDefault="00B96D74" w:rsidP="0091476D">
            <w:pPr>
              <w:pStyle w:val="Marginlie"/>
              <w:rPr>
                <w:spacing w:val="-4"/>
              </w:rPr>
            </w:pPr>
          </w:p>
          <w:p w14:paraId="05768AF1" w14:textId="77777777" w:rsidR="00B96D74" w:rsidRDefault="00B96D74" w:rsidP="0091476D">
            <w:pPr>
              <w:pStyle w:val="Marginlie"/>
              <w:rPr>
                <w:spacing w:val="-4"/>
              </w:rPr>
            </w:pPr>
          </w:p>
          <w:p w14:paraId="2FBCFA4C" w14:textId="77777777" w:rsidR="00B96D74" w:rsidRPr="00BE54BF" w:rsidRDefault="00B96D74" w:rsidP="0091476D">
            <w:pPr>
              <w:pStyle w:val="Marginlie"/>
            </w:pPr>
            <w:r>
              <w:rPr>
                <w:spacing w:val="-4"/>
              </w:rPr>
              <w:t>Výroba motorových vozidel stála za útlumem celého průmyslu v 1. pololetí, byla ale klíčová i pro znovuobnovení jeho růstu na konci roku.</w:t>
            </w:r>
          </w:p>
        </w:tc>
        <w:tc>
          <w:tcPr>
            <w:tcW w:w="214" w:type="dxa"/>
            <w:shd w:val="clear" w:color="auto" w:fill="auto"/>
            <w:tcMar>
              <w:left w:w="0" w:type="dxa"/>
            </w:tcMar>
          </w:tcPr>
          <w:p w14:paraId="7FDAF8AB"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0E82A7C5" w14:textId="4F518DCF" w:rsidR="00B96D74" w:rsidRPr="00E87B43" w:rsidRDefault="00B96D74" w:rsidP="00862C0A">
            <w:pPr>
              <w:rPr>
                <w:spacing w:val="-4"/>
              </w:rPr>
            </w:pPr>
            <w:r>
              <w:rPr>
                <w:spacing w:val="-4"/>
              </w:rPr>
              <w:t>Také</w:t>
            </w:r>
            <w:r w:rsidRPr="00E87B43">
              <w:rPr>
                <w:spacing w:val="-4"/>
              </w:rPr>
              <w:t xml:space="preserve"> podrobnější data </w:t>
            </w:r>
            <w:r w:rsidRPr="00E87B43">
              <w:rPr>
                <w:color w:val="0D0D0D" w:themeColor="text1" w:themeTint="F2"/>
                <w:spacing w:val="-4"/>
              </w:rPr>
              <w:t xml:space="preserve">podnikových statistik </w:t>
            </w:r>
            <w:r>
              <w:rPr>
                <w:spacing w:val="-4"/>
              </w:rPr>
              <w:t>po</w:t>
            </w:r>
            <w:r w:rsidRPr="00E87B43">
              <w:rPr>
                <w:spacing w:val="-4"/>
              </w:rPr>
              <w:t>tvrzují</w:t>
            </w:r>
            <w:r>
              <w:rPr>
                <w:spacing w:val="-4"/>
              </w:rPr>
              <w:t xml:space="preserve"> to</w:t>
            </w:r>
            <w:r w:rsidRPr="00E87B43">
              <w:rPr>
                <w:spacing w:val="-4"/>
              </w:rPr>
              <w:t>, že po prudkém jarním útlumu</w:t>
            </w:r>
            <w:r w:rsidRPr="00E87B43">
              <w:rPr>
                <w:rStyle w:val="Znakapoznpodarou"/>
                <w:spacing w:val="-4"/>
              </w:rPr>
              <w:footnoteReference w:id="21"/>
            </w:r>
            <w:r w:rsidRPr="00E87B43">
              <w:rPr>
                <w:spacing w:val="-4"/>
              </w:rPr>
              <w:t xml:space="preserve"> doprovázeném několikatýdenní uzavírkou řady provozoven došlo během května i</w:t>
            </w:r>
            <w:r>
              <w:rPr>
                <w:spacing w:val="-4"/>
              </w:rPr>
              <w:t> </w:t>
            </w:r>
            <w:r w:rsidRPr="00E87B43">
              <w:rPr>
                <w:spacing w:val="-4"/>
              </w:rPr>
              <w:t xml:space="preserve">června k významnému oživení </w:t>
            </w:r>
            <w:r w:rsidRPr="00E87B43">
              <w:rPr>
                <w:color w:val="000000" w:themeColor="text1"/>
                <w:spacing w:val="-4"/>
              </w:rPr>
              <w:t>průmyslové produkce</w:t>
            </w:r>
            <w:r w:rsidRPr="00E87B43">
              <w:rPr>
                <w:color w:val="000000" w:themeColor="text1"/>
                <w:spacing w:val="-4"/>
                <w:vertAlign w:val="superscript"/>
              </w:rPr>
              <w:footnoteReference w:id="22"/>
            </w:r>
            <w:r w:rsidRPr="00E87B43">
              <w:rPr>
                <w:color w:val="000000" w:themeColor="text1"/>
                <w:spacing w:val="-4"/>
              </w:rPr>
              <w:t xml:space="preserve">. </w:t>
            </w:r>
            <w:r>
              <w:rPr>
                <w:color w:val="000000" w:themeColor="text1"/>
                <w:spacing w:val="-4"/>
              </w:rPr>
              <w:t>Pozitivně působilo rychlé znovuobnovení poptávky v klíčových exportních oborech i přetrvávající slabší kurz koruny. Důležité bylo i</w:t>
            </w:r>
            <w:r w:rsidRPr="00E87B43">
              <w:rPr>
                <w:spacing w:val="-4"/>
              </w:rPr>
              <w:t> </w:t>
            </w:r>
            <w:r w:rsidR="00862C0A">
              <w:rPr>
                <w:color w:val="000000" w:themeColor="text1"/>
                <w:spacing w:val="-4"/>
              </w:rPr>
              <w:t>to, že se nedošl</w:t>
            </w:r>
            <w:r>
              <w:rPr>
                <w:color w:val="000000" w:themeColor="text1"/>
                <w:spacing w:val="-4"/>
              </w:rPr>
              <w:t xml:space="preserve">o </w:t>
            </w:r>
            <w:r w:rsidR="00862C0A">
              <w:rPr>
                <w:color w:val="000000" w:themeColor="text1"/>
                <w:spacing w:val="-4"/>
              </w:rPr>
              <w:t xml:space="preserve">k </w:t>
            </w:r>
            <w:r>
              <w:rPr>
                <w:color w:val="000000" w:themeColor="text1"/>
                <w:spacing w:val="-4"/>
              </w:rPr>
              <w:t>větší</w:t>
            </w:r>
            <w:r w:rsidR="00862C0A">
              <w:rPr>
                <w:color w:val="000000" w:themeColor="text1"/>
                <w:spacing w:val="-4"/>
              </w:rPr>
              <w:t>mu</w:t>
            </w:r>
            <w:r>
              <w:rPr>
                <w:color w:val="000000" w:themeColor="text1"/>
                <w:spacing w:val="-4"/>
              </w:rPr>
              <w:t xml:space="preserve"> narušení globálních </w:t>
            </w:r>
            <w:r w:rsidR="00862C0A">
              <w:rPr>
                <w:color w:val="000000" w:themeColor="text1"/>
                <w:spacing w:val="-4"/>
              </w:rPr>
              <w:t xml:space="preserve">výrobních </w:t>
            </w:r>
            <w:r>
              <w:rPr>
                <w:color w:val="000000" w:themeColor="text1"/>
                <w:spacing w:val="-4"/>
              </w:rPr>
              <w:t xml:space="preserve">řetězců a propustnost hranic pro nákladní dopravu již nebyla dále narušena. </w:t>
            </w:r>
            <w:r w:rsidRPr="00E87B43">
              <w:rPr>
                <w:color w:val="000000" w:themeColor="text1"/>
                <w:spacing w:val="-4"/>
              </w:rPr>
              <w:t xml:space="preserve">Výkon průmyslu meziměsíčně rostl až do října, v posledních měsících roku produkce fakticky stagnovala. </w:t>
            </w:r>
            <w:r>
              <w:rPr>
                <w:color w:val="000000" w:themeColor="text1"/>
                <w:spacing w:val="-4"/>
              </w:rPr>
              <w:t>I</w:t>
            </w:r>
            <w:r w:rsidRPr="00E87B43">
              <w:rPr>
                <w:spacing w:val="-4"/>
              </w:rPr>
              <w:t> </w:t>
            </w:r>
            <w:r w:rsidRPr="00E87B43">
              <w:rPr>
                <w:color w:val="000000" w:themeColor="text1"/>
                <w:spacing w:val="-4"/>
              </w:rPr>
              <w:t>přesto ani prosincová úroveň produkce stále svého „</w:t>
            </w:r>
            <w:proofErr w:type="spellStart"/>
            <w:r w:rsidRPr="00E87B43">
              <w:rPr>
                <w:color w:val="000000" w:themeColor="text1"/>
                <w:spacing w:val="-4"/>
              </w:rPr>
              <w:t>předpandemického</w:t>
            </w:r>
            <w:proofErr w:type="spellEnd"/>
            <w:r w:rsidRPr="00E87B43">
              <w:rPr>
                <w:color w:val="000000" w:themeColor="text1"/>
                <w:spacing w:val="-4"/>
              </w:rPr>
              <w:t>“ maxima nedosahovala</w:t>
            </w:r>
            <w:r w:rsidRPr="00E87B43">
              <w:rPr>
                <w:rStyle w:val="Znakapoznpodarou"/>
                <w:color w:val="000000" w:themeColor="text1"/>
                <w:spacing w:val="-4"/>
              </w:rPr>
              <w:footnoteReference w:id="23"/>
            </w:r>
            <w:r w:rsidRPr="00E87B43">
              <w:rPr>
                <w:color w:val="000000" w:themeColor="text1"/>
                <w:spacing w:val="-4"/>
              </w:rPr>
              <w:t>. Pozitivní ovšem bylo, že ve 4.</w:t>
            </w:r>
            <w:r>
              <w:rPr>
                <w:color w:val="000000" w:themeColor="text1"/>
                <w:spacing w:val="-4"/>
              </w:rPr>
              <w:t> čtvrtlet</w:t>
            </w:r>
            <w:r w:rsidRPr="00E87B43">
              <w:rPr>
                <w:color w:val="000000" w:themeColor="text1"/>
                <w:spacing w:val="-4"/>
              </w:rPr>
              <w:t>í se průmysl vrátil k růstu v meziročním vyjádření (+2,0</w:t>
            </w:r>
            <w:r>
              <w:rPr>
                <w:color w:val="000000" w:themeColor="text1"/>
                <w:spacing w:val="-4"/>
              </w:rPr>
              <w:t> %</w:t>
            </w:r>
            <w:r w:rsidRPr="00E87B43">
              <w:rPr>
                <w:color w:val="000000" w:themeColor="text1"/>
                <w:spacing w:val="-4"/>
              </w:rPr>
              <w:t>). Za celý rok 2020 se průmyslová produkce snížila o</w:t>
            </w:r>
            <w:r>
              <w:rPr>
                <w:color w:val="000000" w:themeColor="text1"/>
                <w:spacing w:val="-4"/>
              </w:rPr>
              <w:t> </w:t>
            </w:r>
            <w:r w:rsidRPr="00E87B43">
              <w:rPr>
                <w:color w:val="000000" w:themeColor="text1"/>
                <w:spacing w:val="-4"/>
              </w:rPr>
              <w:t>7,2</w:t>
            </w:r>
            <w:r>
              <w:rPr>
                <w:color w:val="000000" w:themeColor="text1"/>
                <w:spacing w:val="-4"/>
              </w:rPr>
              <w:t> %</w:t>
            </w:r>
            <w:r w:rsidRPr="00E87B43">
              <w:rPr>
                <w:rStyle w:val="Znakapoznpodarou"/>
                <w:color w:val="000000" w:themeColor="text1"/>
                <w:spacing w:val="-4"/>
              </w:rPr>
              <w:footnoteReference w:id="24"/>
            </w:r>
            <w:r w:rsidRPr="00E87B43">
              <w:rPr>
                <w:color w:val="000000" w:themeColor="text1"/>
                <w:spacing w:val="-4"/>
              </w:rPr>
              <w:t>. Zatímco v 1. i</w:t>
            </w:r>
            <w:r>
              <w:rPr>
                <w:color w:val="000000" w:themeColor="text1"/>
                <w:spacing w:val="-4"/>
              </w:rPr>
              <w:t> </w:t>
            </w:r>
            <w:r w:rsidRPr="00E87B43">
              <w:rPr>
                <w:color w:val="000000" w:themeColor="text1"/>
                <w:spacing w:val="-4"/>
              </w:rPr>
              <w:t>ve 2.</w:t>
            </w:r>
            <w:r>
              <w:rPr>
                <w:color w:val="000000" w:themeColor="text1"/>
                <w:spacing w:val="-4"/>
              </w:rPr>
              <w:t> čtvrtlet</w:t>
            </w:r>
            <w:r w:rsidRPr="00E87B43">
              <w:rPr>
                <w:color w:val="000000" w:themeColor="text1"/>
                <w:spacing w:val="-4"/>
              </w:rPr>
              <w:t>í táhla celé odvětví dolů nejvíce výroba motorových vozidel (zodpovídala za více než třetinu meziročního propadu průmyslové produkce), ve zbývající části roku převzalo tuto roli strojírenství. Naopak automobil</w:t>
            </w:r>
            <w:r>
              <w:rPr>
                <w:color w:val="000000" w:themeColor="text1"/>
                <w:spacing w:val="-4"/>
              </w:rPr>
              <w:t xml:space="preserve">ový průmysl se ukázal být </w:t>
            </w:r>
            <w:r w:rsidRPr="00E87B43">
              <w:rPr>
                <w:color w:val="000000" w:themeColor="text1"/>
                <w:spacing w:val="-4"/>
              </w:rPr>
              <w:t>zásadní</w:t>
            </w:r>
            <w:r>
              <w:rPr>
                <w:color w:val="000000" w:themeColor="text1"/>
                <w:spacing w:val="-4"/>
              </w:rPr>
              <w:t>m</w:t>
            </w:r>
            <w:r w:rsidRPr="00E87B43">
              <w:rPr>
                <w:color w:val="000000" w:themeColor="text1"/>
                <w:spacing w:val="-4"/>
              </w:rPr>
              <w:t xml:space="preserve"> faktorem pro </w:t>
            </w:r>
            <w:r>
              <w:rPr>
                <w:color w:val="000000" w:themeColor="text1"/>
                <w:spacing w:val="-4"/>
              </w:rPr>
              <w:t xml:space="preserve">znovunastolení </w:t>
            </w:r>
            <w:r w:rsidRPr="00E87B43">
              <w:rPr>
                <w:color w:val="000000" w:themeColor="text1"/>
                <w:spacing w:val="-4"/>
              </w:rPr>
              <w:t>růst</w:t>
            </w:r>
            <w:r>
              <w:rPr>
                <w:color w:val="000000" w:themeColor="text1"/>
                <w:spacing w:val="-4"/>
              </w:rPr>
              <w:t>u</w:t>
            </w:r>
            <w:r w:rsidRPr="00E87B43">
              <w:rPr>
                <w:color w:val="000000" w:themeColor="text1"/>
                <w:spacing w:val="-4"/>
              </w:rPr>
              <w:t xml:space="preserve"> celého průmyslu ve 4.</w:t>
            </w:r>
            <w:r>
              <w:rPr>
                <w:color w:val="000000" w:themeColor="text1"/>
                <w:spacing w:val="-4"/>
              </w:rPr>
              <w:t> čtvrtlet</w:t>
            </w:r>
            <w:r w:rsidRPr="00E87B43">
              <w:rPr>
                <w:color w:val="000000" w:themeColor="text1"/>
                <w:spacing w:val="-4"/>
              </w:rPr>
              <w:t>í (příspěvek +1,9</w:t>
            </w:r>
            <w:r>
              <w:rPr>
                <w:color w:val="000000" w:themeColor="text1"/>
                <w:spacing w:val="-4"/>
              </w:rPr>
              <w:t> p. b.</w:t>
            </w:r>
            <w:r w:rsidRPr="00E87B43">
              <w:rPr>
                <w:color w:val="000000" w:themeColor="text1"/>
                <w:spacing w:val="-4"/>
              </w:rPr>
              <w:t>, spolu s nejbližšími subdodavatelskými odvětvími +2,5</w:t>
            </w:r>
            <w:r>
              <w:rPr>
                <w:color w:val="000000" w:themeColor="text1"/>
                <w:spacing w:val="-4"/>
              </w:rPr>
              <w:t> p. b.</w:t>
            </w:r>
            <w:r w:rsidRPr="00E87B43">
              <w:rPr>
                <w:color w:val="000000" w:themeColor="text1"/>
                <w:spacing w:val="-4"/>
              </w:rPr>
              <w:t>).</w:t>
            </w:r>
            <w:r>
              <w:rPr>
                <w:color w:val="000000" w:themeColor="text1"/>
                <w:spacing w:val="-4"/>
              </w:rPr>
              <w:t xml:space="preserve"> Toto oživení, byť s menší intenzitou, ale nastalo ve všech významnějších zpracovatelských odvětvích (vyjma strojírenství).</w:t>
            </w:r>
          </w:p>
        </w:tc>
      </w:tr>
      <w:tr w:rsidR="00B96D74" w:rsidRPr="00965AD0" w14:paraId="34217A43" w14:textId="77777777" w:rsidTr="0091476D">
        <w:trPr>
          <w:trHeight w:val="155"/>
        </w:trPr>
        <w:tc>
          <w:tcPr>
            <w:tcW w:w="1780" w:type="dxa"/>
            <w:shd w:val="clear" w:color="auto" w:fill="auto"/>
            <w:tcMar>
              <w:left w:w="0" w:type="dxa"/>
            </w:tcMar>
          </w:tcPr>
          <w:p w14:paraId="2EB5E2F3" w14:textId="77777777" w:rsidR="00B96D74" w:rsidRPr="008A4CB5" w:rsidRDefault="00B96D74" w:rsidP="0091476D">
            <w:pPr>
              <w:pStyle w:val="Marginlie"/>
              <w:rPr>
                <w:spacing w:val="-4"/>
              </w:rPr>
            </w:pPr>
            <w:r>
              <w:rPr>
                <w:spacing w:val="-4"/>
              </w:rPr>
              <w:t xml:space="preserve">Ve druhé polovině roku se výrobci motorových vozidel snažili kompenzovat část jarních ztrát. Využití výrobních </w:t>
            </w:r>
            <w:r>
              <w:rPr>
                <w:spacing w:val="-4"/>
              </w:rPr>
              <w:lastRenderedPageBreak/>
              <w:t>kapacit se vrátilo na vysokou úroveň.</w:t>
            </w:r>
          </w:p>
        </w:tc>
        <w:tc>
          <w:tcPr>
            <w:tcW w:w="214" w:type="dxa"/>
            <w:shd w:val="clear" w:color="auto" w:fill="auto"/>
            <w:tcMar>
              <w:left w:w="0" w:type="dxa"/>
            </w:tcMar>
          </w:tcPr>
          <w:p w14:paraId="12D04432"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5AD4E351" w14:textId="77777777" w:rsidR="00B96D74" w:rsidRPr="00965AD0" w:rsidRDefault="00B96D74" w:rsidP="0091476D">
            <w:pPr>
              <w:rPr>
                <w:spacing w:val="-4"/>
              </w:rPr>
            </w:pPr>
            <w:r>
              <w:rPr>
                <w:spacing w:val="-4"/>
              </w:rPr>
              <w:t>Za loňský rok</w:t>
            </w:r>
            <w:r w:rsidRPr="004173F3">
              <w:rPr>
                <w:spacing w:val="-4"/>
              </w:rPr>
              <w:t xml:space="preserve"> se produkce v odvětví výroby mot</w:t>
            </w:r>
            <w:r>
              <w:rPr>
                <w:spacing w:val="-4"/>
              </w:rPr>
              <w:t xml:space="preserve">orových vozidel snížila o osminu, tedy nepatrně více než v krizovém roce 2009. </w:t>
            </w:r>
            <w:r w:rsidRPr="004173F3">
              <w:rPr>
                <w:spacing w:val="-4"/>
              </w:rPr>
              <w:t xml:space="preserve">Faktické uzavření provozoven klíčových podniků i souběžné ochromení činnosti mnohých subdodavatelů </w:t>
            </w:r>
            <w:r>
              <w:rPr>
                <w:spacing w:val="-4"/>
              </w:rPr>
              <w:t>vedly v dubnu k nebývalému</w:t>
            </w:r>
            <w:r w:rsidRPr="004173F3">
              <w:rPr>
                <w:spacing w:val="-4"/>
              </w:rPr>
              <w:t xml:space="preserve"> propadu produkce, vývozu i</w:t>
            </w:r>
            <w:r>
              <w:rPr>
                <w:spacing w:val="-4"/>
              </w:rPr>
              <w:t> nových zakázek o více než 75 %</w:t>
            </w:r>
            <w:r w:rsidRPr="004173F3">
              <w:rPr>
                <w:rStyle w:val="Znakapoznpodarou"/>
                <w:spacing w:val="-4"/>
              </w:rPr>
              <w:footnoteReference w:id="25"/>
            </w:r>
            <w:r w:rsidRPr="004173F3">
              <w:rPr>
                <w:spacing w:val="-4"/>
              </w:rPr>
              <w:t>.</w:t>
            </w:r>
            <w:r>
              <w:rPr>
                <w:spacing w:val="-4"/>
              </w:rPr>
              <w:t xml:space="preserve"> V takovém rozsahu se jarní zmrazení ekonomiky v žádném jiném průmyslovém odvětví neobjevilo. Již během června </w:t>
            </w:r>
            <w:r>
              <w:rPr>
                <w:spacing w:val="-4"/>
              </w:rPr>
              <w:lastRenderedPageBreak/>
              <w:t xml:space="preserve">a července však registrovali výrobci vozidel meziroční růst zahraničních zakázek, s jejichž pomocí se </w:t>
            </w:r>
            <w:r w:rsidRPr="000B209D">
              <w:rPr>
                <w:rFonts w:ascii="Helvetica" w:hAnsi="Helvetica"/>
                <w:color w:val="000000"/>
                <w:szCs w:val="20"/>
              </w:rPr>
              <w:t xml:space="preserve">snažili alespoň část </w:t>
            </w:r>
            <w:r>
              <w:rPr>
                <w:rFonts w:ascii="Helvetica" w:hAnsi="Helvetica"/>
                <w:color w:val="000000"/>
                <w:szCs w:val="20"/>
              </w:rPr>
              <w:t xml:space="preserve">jarních </w:t>
            </w:r>
            <w:r w:rsidRPr="000B209D">
              <w:rPr>
                <w:rFonts w:ascii="Helvetica" w:hAnsi="Helvetica"/>
                <w:color w:val="000000"/>
                <w:szCs w:val="20"/>
              </w:rPr>
              <w:t>ztrát kompenzovat</w:t>
            </w:r>
            <w:r>
              <w:rPr>
                <w:rFonts w:ascii="Helvetica" w:hAnsi="Helvetica"/>
                <w:color w:val="000000"/>
                <w:szCs w:val="20"/>
              </w:rPr>
              <w:t xml:space="preserve">. </w:t>
            </w:r>
            <w:r>
              <w:rPr>
                <w:spacing w:val="-4"/>
              </w:rPr>
              <w:t>Ve</w:t>
            </w:r>
            <w:r w:rsidRPr="004173F3">
              <w:rPr>
                <w:spacing w:val="-4"/>
              </w:rPr>
              <w:t xml:space="preserve"> 4.</w:t>
            </w:r>
            <w:r>
              <w:rPr>
                <w:spacing w:val="-4"/>
              </w:rPr>
              <w:t> čtvrtlet</w:t>
            </w:r>
            <w:r w:rsidRPr="004173F3">
              <w:rPr>
                <w:spacing w:val="-4"/>
              </w:rPr>
              <w:t>í přesáhlo využití výrobních kapacit v tomto odvětví 90</w:t>
            </w:r>
            <w:r>
              <w:rPr>
                <w:spacing w:val="-4"/>
              </w:rPr>
              <w:t> %,</w:t>
            </w:r>
            <w:r w:rsidRPr="004173F3">
              <w:rPr>
                <w:spacing w:val="-4"/>
              </w:rPr>
              <w:t xml:space="preserve"> a</w:t>
            </w:r>
            <w:r>
              <w:rPr>
                <w:spacing w:val="-4"/>
              </w:rPr>
              <w:t> </w:t>
            </w:r>
            <w:r w:rsidRPr="004173F3">
              <w:rPr>
                <w:spacing w:val="-4"/>
              </w:rPr>
              <w:t>vrátilo se tak na úroveň obvyklou v</w:t>
            </w:r>
            <w:r>
              <w:rPr>
                <w:spacing w:val="-4"/>
              </w:rPr>
              <w:t> předchozím konjunkturním období.</w:t>
            </w:r>
            <w:r w:rsidRPr="004173F3">
              <w:rPr>
                <w:spacing w:val="-4"/>
              </w:rPr>
              <w:t xml:space="preserve"> </w:t>
            </w:r>
            <w:r>
              <w:rPr>
                <w:spacing w:val="-4"/>
              </w:rPr>
              <w:t>Produkce tak zde meziročně vzrostla o více než desetinu.</w:t>
            </w:r>
          </w:p>
        </w:tc>
      </w:tr>
      <w:tr w:rsidR="00B96D74" w:rsidRPr="00965AD0" w14:paraId="35DA1304" w14:textId="77777777" w:rsidTr="0091476D">
        <w:trPr>
          <w:trHeight w:val="155"/>
        </w:trPr>
        <w:tc>
          <w:tcPr>
            <w:tcW w:w="1780" w:type="dxa"/>
            <w:shd w:val="clear" w:color="auto" w:fill="auto"/>
            <w:tcMar>
              <w:left w:w="0" w:type="dxa"/>
            </w:tcMar>
          </w:tcPr>
          <w:p w14:paraId="035C1C08" w14:textId="77777777" w:rsidR="00B96D74" w:rsidRPr="006D405D" w:rsidRDefault="00B96D74" w:rsidP="0091476D">
            <w:pPr>
              <w:pStyle w:val="Marginlie"/>
              <w:rPr>
                <w:spacing w:val="-5"/>
              </w:rPr>
            </w:pPr>
            <w:r w:rsidRPr="006D405D">
              <w:rPr>
                <w:spacing w:val="-5"/>
              </w:rPr>
              <w:lastRenderedPageBreak/>
              <w:t>Oživení strojírenství stála v cestě přetrvávající slabá soukromá investiční aktivita v ekonomice.</w:t>
            </w:r>
          </w:p>
          <w:p w14:paraId="7FAC2184" w14:textId="77777777" w:rsidR="00B96D74" w:rsidRDefault="00B96D74" w:rsidP="0091476D">
            <w:pPr>
              <w:pStyle w:val="Marginlie"/>
              <w:rPr>
                <w:spacing w:val="-5"/>
              </w:rPr>
            </w:pPr>
          </w:p>
          <w:p w14:paraId="098EB127" w14:textId="77777777" w:rsidR="00B96D74" w:rsidRDefault="00B96D74" w:rsidP="0091476D">
            <w:pPr>
              <w:pStyle w:val="Marginlie"/>
              <w:rPr>
                <w:spacing w:val="-5"/>
              </w:rPr>
            </w:pPr>
          </w:p>
          <w:p w14:paraId="422EE3BC" w14:textId="77777777" w:rsidR="00B96D74" w:rsidRPr="006D405D" w:rsidRDefault="00B96D74" w:rsidP="0091476D">
            <w:pPr>
              <w:pStyle w:val="Marginlie"/>
              <w:rPr>
                <w:spacing w:val="-5"/>
              </w:rPr>
            </w:pPr>
          </w:p>
          <w:p w14:paraId="1BE3707A" w14:textId="77777777" w:rsidR="00B96D74" w:rsidRPr="008A4CB5" w:rsidRDefault="00B96D74" w:rsidP="0091476D">
            <w:pPr>
              <w:pStyle w:val="Marginlie"/>
              <w:rPr>
                <w:spacing w:val="-4"/>
              </w:rPr>
            </w:pPr>
            <w:r w:rsidRPr="006D405D">
              <w:rPr>
                <w:spacing w:val="-5"/>
              </w:rPr>
              <w:t>Propady produkce v těžebním průmyslu i</w:t>
            </w:r>
            <w:r>
              <w:rPr>
                <w:spacing w:val="-5"/>
              </w:rPr>
              <w:t> </w:t>
            </w:r>
            <w:r w:rsidRPr="006D405D">
              <w:rPr>
                <w:spacing w:val="-5"/>
              </w:rPr>
              <w:t>energetice byly nejvyšší ve srovnatelné 20leté řadě.</w:t>
            </w:r>
          </w:p>
        </w:tc>
        <w:tc>
          <w:tcPr>
            <w:tcW w:w="214" w:type="dxa"/>
            <w:shd w:val="clear" w:color="auto" w:fill="auto"/>
            <w:tcMar>
              <w:left w:w="0" w:type="dxa"/>
            </w:tcMar>
          </w:tcPr>
          <w:p w14:paraId="7F5EAF3D"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6E75BCD4" w14:textId="77777777" w:rsidR="00B96D74" w:rsidRPr="00965AD0" w:rsidRDefault="00B96D74" w:rsidP="0091476D">
            <w:pPr>
              <w:rPr>
                <w:spacing w:val="-4"/>
              </w:rPr>
            </w:pPr>
            <w:r>
              <w:rPr>
                <w:spacing w:val="-4"/>
              </w:rPr>
              <w:t>Osminový pokles produkce zasáhl loni i strojírenství, které tak přispělo k poklesu celého průmyslu 1 p. b. (o polovinu méně než výrobci automobilů). Strojírenství se prakticky po celý rok</w:t>
            </w:r>
            <w:r w:rsidRPr="004173F3">
              <w:rPr>
                <w:spacing w:val="-4"/>
              </w:rPr>
              <w:t xml:space="preserve"> potýkalo s poklesem domácí i</w:t>
            </w:r>
            <w:r>
              <w:rPr>
                <w:spacing w:val="-4"/>
              </w:rPr>
              <w:t> </w:t>
            </w:r>
            <w:r w:rsidRPr="004173F3">
              <w:rPr>
                <w:spacing w:val="-4"/>
              </w:rPr>
              <w:t>zahraniční pop</w:t>
            </w:r>
            <w:r>
              <w:rPr>
                <w:spacing w:val="-4"/>
              </w:rPr>
              <w:t>távky, což souviselo s přetrvávají</w:t>
            </w:r>
            <w:r w:rsidRPr="004173F3">
              <w:rPr>
                <w:spacing w:val="-4"/>
              </w:rPr>
              <w:t>cím útlumem investiční aktivity v ekonomice.</w:t>
            </w:r>
            <w:r>
              <w:rPr>
                <w:spacing w:val="-4"/>
              </w:rPr>
              <w:t xml:space="preserve"> Nejvýrazněji však loni propadla produkce v dlouhodobě útlumovém těžebním průmyslu (o rekordních 16,5 %, ve stále dominantní těžbě uhlí skoro o</w:t>
            </w:r>
            <w:r w:rsidRPr="004173F3">
              <w:rPr>
                <w:spacing w:val="-4"/>
              </w:rPr>
              <w:t> </w:t>
            </w:r>
            <w:r>
              <w:rPr>
                <w:spacing w:val="-4"/>
              </w:rPr>
              <w:t xml:space="preserve">čtvrtinu). Vzhledem k váze tohoto odvětví to však mělo na výkon celého průmyslu omezený </w:t>
            </w:r>
            <w:proofErr w:type="gramStart"/>
            <w:r>
              <w:rPr>
                <w:spacing w:val="-4"/>
              </w:rPr>
              <w:t>dopad (</w:t>
            </w:r>
            <w:r w:rsidRPr="00541253">
              <w:rPr>
                <w:spacing w:val="-3"/>
              </w:rPr>
              <w:t>–</w:t>
            </w:r>
            <w:r>
              <w:rPr>
                <w:spacing w:val="-4"/>
              </w:rPr>
              <w:t>0,3</w:t>
            </w:r>
            <w:proofErr w:type="gramEnd"/>
            <w:r>
              <w:rPr>
                <w:spacing w:val="-4"/>
              </w:rPr>
              <w:t xml:space="preserve"> p. b.). Větší roli měla </w:t>
            </w:r>
            <w:proofErr w:type="gramStart"/>
            <w:r>
              <w:rPr>
                <w:spacing w:val="-4"/>
              </w:rPr>
              <w:t>energetika (</w:t>
            </w:r>
            <w:r w:rsidRPr="00541253">
              <w:rPr>
                <w:spacing w:val="-3"/>
              </w:rPr>
              <w:t>–</w:t>
            </w:r>
            <w:r>
              <w:rPr>
                <w:spacing w:val="-4"/>
              </w:rPr>
              <w:t>0,7</w:t>
            </w:r>
            <w:proofErr w:type="gramEnd"/>
            <w:r>
              <w:rPr>
                <w:spacing w:val="-4"/>
              </w:rPr>
              <w:t> p. b.), kde rekordní 6,3% meziroční pokles produkce těsně kopíroval tempo výroby elektřiny. Vedle plánovaných</w:t>
            </w:r>
            <w:r w:rsidRPr="004173F3">
              <w:rPr>
                <w:spacing w:val="-4"/>
              </w:rPr>
              <w:t xml:space="preserve"> odstávek v</w:t>
            </w:r>
            <w:r>
              <w:rPr>
                <w:spacing w:val="-4"/>
              </w:rPr>
              <w:t> </w:t>
            </w:r>
            <w:r w:rsidRPr="004173F3">
              <w:rPr>
                <w:spacing w:val="-4"/>
              </w:rPr>
              <w:t>elektrárnách</w:t>
            </w:r>
            <w:r>
              <w:rPr>
                <w:spacing w:val="-4"/>
              </w:rPr>
              <w:t xml:space="preserve"> se projevil zejména </w:t>
            </w:r>
            <w:r w:rsidRPr="004173F3">
              <w:rPr>
                <w:spacing w:val="-4"/>
              </w:rPr>
              <w:t xml:space="preserve">pokles poptávky v podnicích vlivem snížené </w:t>
            </w:r>
            <w:r>
              <w:rPr>
                <w:spacing w:val="-4"/>
              </w:rPr>
              <w:t xml:space="preserve">či dočasně zastavené </w:t>
            </w:r>
            <w:r w:rsidRPr="004173F3">
              <w:rPr>
                <w:spacing w:val="-4"/>
              </w:rPr>
              <w:t>výrobní aktivity</w:t>
            </w:r>
            <w:r>
              <w:rPr>
                <w:rStyle w:val="Znakapoznpodarou"/>
                <w:spacing w:val="-4"/>
              </w:rPr>
              <w:footnoteReference w:id="26"/>
            </w:r>
            <w:r w:rsidRPr="004173F3">
              <w:rPr>
                <w:spacing w:val="-4"/>
              </w:rPr>
              <w:t>.</w:t>
            </w:r>
          </w:p>
        </w:tc>
      </w:tr>
      <w:tr w:rsidR="00B96D74" w:rsidRPr="00965AD0" w14:paraId="79AA6679" w14:textId="77777777" w:rsidTr="0091476D">
        <w:trPr>
          <w:trHeight w:val="155"/>
        </w:trPr>
        <w:tc>
          <w:tcPr>
            <w:tcW w:w="1780" w:type="dxa"/>
            <w:shd w:val="clear" w:color="auto" w:fill="auto"/>
            <w:tcMar>
              <w:left w:w="0" w:type="dxa"/>
            </w:tcMar>
          </w:tcPr>
          <w:p w14:paraId="0A185FFE" w14:textId="77777777" w:rsidR="00B96D74" w:rsidRPr="008A4CB5" w:rsidRDefault="00B96D74" w:rsidP="0091476D">
            <w:pPr>
              <w:pStyle w:val="Marginlie"/>
              <w:rPr>
                <w:spacing w:val="-4"/>
              </w:rPr>
            </w:pPr>
            <w:proofErr w:type="spellStart"/>
            <w:r>
              <w:rPr>
                <w:spacing w:val="-4"/>
              </w:rPr>
              <w:t>Protipandemické</w:t>
            </w:r>
            <w:proofErr w:type="spellEnd"/>
            <w:r>
              <w:rPr>
                <w:spacing w:val="-4"/>
              </w:rPr>
              <w:t xml:space="preserve"> restrikce citelně ovlivnily produkci výroby nápojů.</w:t>
            </w:r>
          </w:p>
        </w:tc>
        <w:tc>
          <w:tcPr>
            <w:tcW w:w="214" w:type="dxa"/>
            <w:shd w:val="clear" w:color="auto" w:fill="auto"/>
            <w:tcMar>
              <w:left w:w="0" w:type="dxa"/>
            </w:tcMar>
          </w:tcPr>
          <w:p w14:paraId="64273716"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4F794073" w14:textId="77777777" w:rsidR="00B96D74" w:rsidRPr="00965AD0" w:rsidRDefault="00B96D74" w:rsidP="0091476D">
            <w:pPr>
              <w:rPr>
                <w:spacing w:val="-4"/>
              </w:rPr>
            </w:pPr>
            <w:r>
              <w:rPr>
                <w:spacing w:val="-4"/>
              </w:rPr>
              <w:t>V nejmenším zpracovatelském odvětví – kožedělném průmyslu – klesla loni produkce o sedminu, zejména vinou slabší zahraniční poptávky. O desetinu se loni snížil výkon odvětví výroby nápojů, jemuž se v předchozích letech poměrně dařilo. Citelná provozní omezení pohostinských zařízení doprovázená propadem příjezdového cestovního ruchu se zde negativně promítly na tuzemských tržbách. K poklesu došlo ale i u vývozu nápojů. Naopak relativně mírný pokles produkce (mezi 3 a 4 %) postihl chemický průmysl, výrobu stavebních hmot či výrazně proexportní výrobu počítačů, elektronických a optických přístrojů.</w:t>
            </w:r>
          </w:p>
        </w:tc>
      </w:tr>
      <w:tr w:rsidR="00B96D74" w:rsidRPr="00965AD0" w14:paraId="113A7A9C" w14:textId="77777777" w:rsidTr="0091476D">
        <w:trPr>
          <w:trHeight w:val="155"/>
        </w:trPr>
        <w:tc>
          <w:tcPr>
            <w:tcW w:w="1780" w:type="dxa"/>
            <w:shd w:val="clear" w:color="auto" w:fill="auto"/>
            <w:tcMar>
              <w:left w:w="0" w:type="dxa"/>
            </w:tcMar>
          </w:tcPr>
          <w:p w14:paraId="192A22FA" w14:textId="77777777" w:rsidR="00B96D74" w:rsidRPr="00BE54BF" w:rsidRDefault="00B96D74" w:rsidP="0091476D">
            <w:pPr>
              <w:pStyle w:val="Marginlie"/>
            </w:pPr>
          </w:p>
        </w:tc>
        <w:tc>
          <w:tcPr>
            <w:tcW w:w="214" w:type="dxa"/>
            <w:shd w:val="clear" w:color="auto" w:fill="auto"/>
            <w:tcMar>
              <w:left w:w="0" w:type="dxa"/>
            </w:tcMar>
          </w:tcPr>
          <w:p w14:paraId="008C7D68" w14:textId="77777777" w:rsidR="00B96D74" w:rsidRPr="003B1401" w:rsidRDefault="00B96D74" w:rsidP="0091476D">
            <w:pPr>
              <w:pStyle w:val="Textpoznpodarou"/>
              <w:jc w:val="both"/>
              <w:rPr>
                <w:spacing w:val="-4"/>
              </w:rPr>
            </w:pPr>
          </w:p>
        </w:tc>
        <w:tc>
          <w:tcPr>
            <w:tcW w:w="7670" w:type="dxa"/>
            <w:shd w:val="clear" w:color="auto" w:fill="auto"/>
            <w:tcMar>
              <w:left w:w="0" w:type="dxa"/>
            </w:tcMar>
          </w:tcPr>
          <w:p w14:paraId="28B3B52E" w14:textId="77777777" w:rsidR="00B96D74" w:rsidRPr="00965AD0" w:rsidRDefault="00B96D74" w:rsidP="0091476D">
            <w:pPr>
              <w:spacing w:after="0"/>
              <w:rPr>
                <w:spacing w:val="-4"/>
              </w:rPr>
            </w:pPr>
            <w:r w:rsidRPr="00883202">
              <w:rPr>
                <w:rFonts w:cs="Arial"/>
                <w:b/>
                <w:bCs/>
                <w:color w:val="000000"/>
                <w:szCs w:val="20"/>
              </w:rPr>
              <w:t>Graf č. 4</w:t>
            </w:r>
            <w:r>
              <w:rPr>
                <w:rFonts w:cs="Arial"/>
                <w:b/>
                <w:bCs/>
                <w:color w:val="000000"/>
                <w:szCs w:val="20"/>
              </w:rPr>
              <w:t xml:space="preserve"> </w:t>
            </w:r>
            <w:r w:rsidRPr="00883202">
              <w:rPr>
                <w:rFonts w:cs="Arial"/>
                <w:b/>
                <w:bCs/>
                <w:color w:val="000000"/>
                <w:szCs w:val="20"/>
              </w:rPr>
              <w:t xml:space="preserve"> </w:t>
            </w:r>
            <w:r w:rsidRPr="00883202">
              <w:rPr>
                <w:b/>
              </w:rPr>
              <w:t>Příspěvky dílčích odvětví k meziroční změně průmyslové produkce</w:t>
            </w:r>
            <w:r w:rsidRPr="00883202">
              <w:rPr>
                <w:b/>
              </w:rPr>
              <w:br/>
            </w:r>
            <w:r>
              <w:t>(v p. b., očištěno o kalendářní</w:t>
            </w:r>
            <w:r w:rsidRPr="00883202">
              <w:t xml:space="preserve"> vlivy)</w:t>
            </w:r>
            <w:r w:rsidRPr="00883202">
              <w:rPr>
                <w:b/>
                <w:bCs/>
              </w:rPr>
              <w:t xml:space="preserve">, </w:t>
            </w:r>
            <w:r w:rsidRPr="00883202">
              <w:rPr>
                <w:b/>
              </w:rPr>
              <w:t xml:space="preserve">saldo důvěry v průmyslu* </w:t>
            </w:r>
            <w:r w:rsidRPr="00883202">
              <w:t xml:space="preserve">(v p. b., </w:t>
            </w:r>
            <w:proofErr w:type="spellStart"/>
            <w:r w:rsidRPr="00883202">
              <w:t>pr</w:t>
            </w:r>
            <w:proofErr w:type="spellEnd"/>
            <w:r w:rsidRPr="00883202">
              <w:t>. </w:t>
            </w:r>
            <w:proofErr w:type="gramStart"/>
            <w:r w:rsidRPr="00883202">
              <w:t>osa</w:t>
            </w:r>
            <w:proofErr w:type="gramEnd"/>
            <w:r w:rsidRPr="00883202">
              <w:t>)</w:t>
            </w:r>
          </w:p>
        </w:tc>
      </w:tr>
      <w:tr w:rsidR="00B96D74" w:rsidRPr="00241E62" w14:paraId="2F52BC95" w14:textId="77777777" w:rsidTr="0091476D">
        <w:tblPrEx>
          <w:tblCellMar>
            <w:left w:w="70" w:type="dxa"/>
            <w:right w:w="70" w:type="dxa"/>
          </w:tblCellMar>
        </w:tblPrEx>
        <w:trPr>
          <w:trHeight w:val="145"/>
        </w:trPr>
        <w:tc>
          <w:tcPr>
            <w:tcW w:w="1780" w:type="dxa"/>
            <w:shd w:val="clear" w:color="auto" w:fill="auto"/>
          </w:tcPr>
          <w:p w14:paraId="0B7E69EF" w14:textId="77777777" w:rsidR="00B96D74" w:rsidRDefault="00B96D74" w:rsidP="0091476D">
            <w:pPr>
              <w:pStyle w:val="Marginlie"/>
              <w:rPr>
                <w:spacing w:val="-4"/>
              </w:rPr>
            </w:pPr>
          </w:p>
        </w:tc>
        <w:tc>
          <w:tcPr>
            <w:tcW w:w="214" w:type="dxa"/>
            <w:shd w:val="clear" w:color="auto" w:fill="auto"/>
          </w:tcPr>
          <w:p w14:paraId="0BB2BAF3" w14:textId="77777777" w:rsidR="00B96D74" w:rsidRPr="00B43216" w:rsidRDefault="00B96D74" w:rsidP="0091476D">
            <w:pPr>
              <w:pStyle w:val="Textpoznpodarou"/>
              <w:jc w:val="both"/>
              <w:rPr>
                <w:spacing w:val="-4"/>
              </w:rPr>
            </w:pPr>
          </w:p>
        </w:tc>
        <w:tc>
          <w:tcPr>
            <w:tcW w:w="7670" w:type="dxa"/>
            <w:shd w:val="clear" w:color="auto" w:fill="auto"/>
          </w:tcPr>
          <w:p w14:paraId="62BAB230" w14:textId="77777777" w:rsidR="00B96D74" w:rsidRPr="00241E62" w:rsidRDefault="00B96D74" w:rsidP="0091476D">
            <w:pPr>
              <w:spacing w:after="40"/>
              <w:rPr>
                <w:rFonts w:cs="Arial"/>
                <w:bCs/>
                <w:color w:val="000000"/>
                <w:szCs w:val="20"/>
              </w:rPr>
            </w:pPr>
            <w:r>
              <w:rPr>
                <w:noProof/>
              </w:rPr>
              <w:drawing>
                <wp:inline distT="0" distB="0" distL="0" distR="0" wp14:anchorId="5F5F1299" wp14:editId="023DCDE6">
                  <wp:extent cx="4781550" cy="3495675"/>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96D74" w:rsidRPr="00241E62" w14:paraId="3D92D2CC" w14:textId="77777777" w:rsidTr="0091476D">
        <w:trPr>
          <w:trHeight w:val="145"/>
        </w:trPr>
        <w:tc>
          <w:tcPr>
            <w:tcW w:w="1780" w:type="dxa"/>
            <w:shd w:val="clear" w:color="auto" w:fill="auto"/>
            <w:tcMar>
              <w:left w:w="0" w:type="dxa"/>
            </w:tcMar>
          </w:tcPr>
          <w:p w14:paraId="141979E5" w14:textId="77777777" w:rsidR="00B96D74" w:rsidRDefault="00B96D74" w:rsidP="0091476D">
            <w:pPr>
              <w:pStyle w:val="Marginlie"/>
              <w:rPr>
                <w:spacing w:val="-4"/>
              </w:rPr>
            </w:pPr>
          </w:p>
        </w:tc>
        <w:tc>
          <w:tcPr>
            <w:tcW w:w="214" w:type="dxa"/>
            <w:shd w:val="clear" w:color="auto" w:fill="auto"/>
            <w:tcMar>
              <w:left w:w="0" w:type="dxa"/>
            </w:tcMar>
          </w:tcPr>
          <w:p w14:paraId="306610E5"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56A2FEB3" w14:textId="77777777" w:rsidR="00B96D74" w:rsidRPr="00883202" w:rsidRDefault="00B96D74" w:rsidP="0091476D">
            <w:pPr>
              <w:spacing w:after="0"/>
              <w:rPr>
                <w:rFonts w:cs="Arial"/>
                <w:sz w:val="14"/>
                <w:szCs w:val="14"/>
              </w:rPr>
            </w:pPr>
            <w:r w:rsidRPr="00883202">
              <w:rPr>
                <w:rFonts w:cs="Arial"/>
                <w:sz w:val="14"/>
                <w:szCs w:val="14"/>
              </w:rPr>
              <w:t>*Saldo důvěry je sezónně očištěno a vyjadřuje stav ve druhém měsíci daného čtvrtletí.</w:t>
            </w:r>
          </w:p>
          <w:p w14:paraId="46120D3E" w14:textId="77777777" w:rsidR="00B96D74" w:rsidRPr="00241E62" w:rsidRDefault="00B96D74" w:rsidP="0091476D">
            <w:pPr>
              <w:spacing w:after="220"/>
              <w:rPr>
                <w:rFonts w:cs="Arial"/>
                <w:bCs/>
                <w:color w:val="000000"/>
                <w:szCs w:val="20"/>
              </w:rPr>
            </w:pPr>
            <w:r w:rsidRPr="00883202">
              <w:rPr>
                <w:rFonts w:cs="Arial"/>
                <w:sz w:val="14"/>
                <w:szCs w:val="14"/>
              </w:rPr>
              <w:t>Zdroj: ČSÚ</w:t>
            </w:r>
          </w:p>
        </w:tc>
      </w:tr>
      <w:tr w:rsidR="00B96D74" w:rsidRPr="00744EA3" w14:paraId="55E9608C" w14:textId="77777777" w:rsidTr="0091476D">
        <w:trPr>
          <w:trHeight w:val="145"/>
        </w:trPr>
        <w:tc>
          <w:tcPr>
            <w:tcW w:w="1780" w:type="dxa"/>
            <w:shd w:val="clear" w:color="auto" w:fill="auto"/>
            <w:tcMar>
              <w:left w:w="0" w:type="dxa"/>
            </w:tcMar>
          </w:tcPr>
          <w:p w14:paraId="44ADBCB1" w14:textId="77777777" w:rsidR="00B96D74" w:rsidRDefault="00B96D74" w:rsidP="0091476D">
            <w:pPr>
              <w:pStyle w:val="Marginlie"/>
            </w:pPr>
            <w:r>
              <w:lastRenderedPageBreak/>
              <w:t>Potravinářství těžilo z vyšší tuzemské poptávky i dobré úrody.</w:t>
            </w:r>
          </w:p>
          <w:p w14:paraId="582CB14F" w14:textId="77777777" w:rsidR="00B96D74" w:rsidRDefault="00B96D74" w:rsidP="0091476D">
            <w:pPr>
              <w:pStyle w:val="Marginlie"/>
            </w:pPr>
          </w:p>
          <w:p w14:paraId="459B09D4" w14:textId="77777777" w:rsidR="00B96D74" w:rsidRPr="00D15820" w:rsidRDefault="00B96D74" w:rsidP="0091476D">
            <w:pPr>
              <w:pStyle w:val="Marginlie"/>
              <w:rPr>
                <w:spacing w:val="0"/>
              </w:rPr>
            </w:pPr>
            <w:r w:rsidRPr="00261D3B">
              <w:t>Někte</w:t>
            </w:r>
            <w:r>
              <w:t>rým zejména menším oborům pomáhala</w:t>
            </w:r>
            <w:r w:rsidRPr="00261D3B">
              <w:t xml:space="preserve"> </w:t>
            </w:r>
            <w:r w:rsidRPr="00261D3B">
              <w:rPr>
                <w:color w:val="000000" w:themeColor="text1"/>
                <w:spacing w:val="-3"/>
              </w:rPr>
              <w:t>specifická skladba poptávky b</w:t>
            </w:r>
            <w:r>
              <w:rPr>
                <w:color w:val="000000" w:themeColor="text1"/>
                <w:spacing w:val="-3"/>
              </w:rPr>
              <w:t xml:space="preserve">ěhem </w:t>
            </w:r>
            <w:proofErr w:type="spellStart"/>
            <w:r>
              <w:rPr>
                <w:color w:val="000000" w:themeColor="text1"/>
                <w:spacing w:val="-3"/>
              </w:rPr>
              <w:t>koronavirové</w:t>
            </w:r>
            <w:proofErr w:type="spellEnd"/>
            <w:r>
              <w:rPr>
                <w:color w:val="000000" w:themeColor="text1"/>
                <w:spacing w:val="-3"/>
              </w:rPr>
              <w:t xml:space="preserve"> krize.</w:t>
            </w:r>
          </w:p>
        </w:tc>
        <w:tc>
          <w:tcPr>
            <w:tcW w:w="214" w:type="dxa"/>
            <w:shd w:val="clear" w:color="auto" w:fill="auto"/>
            <w:tcMar>
              <w:left w:w="0" w:type="dxa"/>
            </w:tcMar>
          </w:tcPr>
          <w:p w14:paraId="67D4D398"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6AC6564B" w14:textId="77777777" w:rsidR="00B96D74" w:rsidRPr="00744EA3" w:rsidRDefault="00B96D74" w:rsidP="0091476D">
            <w:pPr>
              <w:rPr>
                <w:rFonts w:cs="Arial"/>
                <w:bCs/>
                <w:color w:val="000000"/>
                <w:spacing w:val="-4"/>
                <w:szCs w:val="20"/>
              </w:rPr>
            </w:pPr>
            <w:r>
              <w:rPr>
                <w:rFonts w:cs="Arial"/>
                <w:bCs/>
                <w:color w:val="000000"/>
                <w:spacing w:val="-4"/>
                <w:szCs w:val="20"/>
              </w:rPr>
              <w:t xml:space="preserve">Přestože potravinářský průmysl loni zaznamenal nejslabší meziroční tempo produkce od konce recese v roce 2013, šlo o jedno z mála průmyslových odvětví, jež loni vykázalo růst (+0,6 %). </w:t>
            </w:r>
            <w:r>
              <w:rPr>
                <w:spacing w:val="-4"/>
              </w:rPr>
              <w:t>V</w:t>
            </w:r>
            <w:r w:rsidRPr="004173F3">
              <w:rPr>
                <w:spacing w:val="-4"/>
              </w:rPr>
              <w:t xml:space="preserve">edle relativně stabilní tuzemské poptávky </w:t>
            </w:r>
            <w:r>
              <w:rPr>
                <w:spacing w:val="-4"/>
              </w:rPr>
              <w:t xml:space="preserve">mu </w:t>
            </w:r>
            <w:r w:rsidRPr="004173F3">
              <w:rPr>
                <w:spacing w:val="-4"/>
              </w:rPr>
              <w:t>patrně pomáhaly i</w:t>
            </w:r>
            <w:r>
              <w:rPr>
                <w:spacing w:val="-4"/>
              </w:rPr>
              <w:t> </w:t>
            </w:r>
            <w:r w:rsidRPr="004173F3">
              <w:rPr>
                <w:spacing w:val="-4"/>
              </w:rPr>
              <w:t>dobré le</w:t>
            </w:r>
            <w:r>
              <w:rPr>
                <w:spacing w:val="-4"/>
              </w:rPr>
              <w:t>tošní výsledky zemědělské prvovýroby</w:t>
            </w:r>
            <w:r w:rsidRPr="004173F3">
              <w:rPr>
                <w:spacing w:val="-4"/>
              </w:rPr>
              <w:t>.</w:t>
            </w:r>
            <w:r>
              <w:rPr>
                <w:spacing w:val="-4"/>
              </w:rPr>
              <w:t xml:space="preserve"> Úzkou vazbou na primární sektor se vyznačují i dřevozpracující a papírenský průmysl.</w:t>
            </w:r>
            <w:r w:rsidRPr="004173F3">
              <w:rPr>
                <w:spacing w:val="-4"/>
              </w:rPr>
              <w:t xml:space="preserve"> </w:t>
            </w:r>
            <w:r>
              <w:rPr>
                <w:spacing w:val="-4"/>
              </w:rPr>
              <w:t xml:space="preserve">Ty </w:t>
            </w:r>
            <w:r w:rsidRPr="004173F3">
              <w:rPr>
                <w:spacing w:val="-4"/>
              </w:rPr>
              <w:t>docílily shodně</w:t>
            </w:r>
            <w:r>
              <w:rPr>
                <w:spacing w:val="-4"/>
              </w:rPr>
              <w:t xml:space="preserve"> posílení produkce okolo 4 %</w:t>
            </w:r>
            <w:r w:rsidRPr="004173F3">
              <w:rPr>
                <w:spacing w:val="-4"/>
              </w:rPr>
              <w:t xml:space="preserve">. </w:t>
            </w:r>
            <w:r w:rsidRPr="004173F3">
              <w:rPr>
                <w:color w:val="000000" w:themeColor="text1"/>
                <w:spacing w:val="-4"/>
              </w:rPr>
              <w:t xml:space="preserve">Specifická skladba poptávky během </w:t>
            </w:r>
            <w:proofErr w:type="spellStart"/>
            <w:r w:rsidRPr="004173F3">
              <w:rPr>
                <w:color w:val="000000" w:themeColor="text1"/>
                <w:spacing w:val="-4"/>
              </w:rPr>
              <w:t>koronavirové</w:t>
            </w:r>
            <w:proofErr w:type="spellEnd"/>
            <w:r w:rsidRPr="004173F3">
              <w:rPr>
                <w:color w:val="000000" w:themeColor="text1"/>
                <w:spacing w:val="-4"/>
              </w:rPr>
              <w:t xml:space="preserve"> krize se </w:t>
            </w:r>
            <w:r>
              <w:rPr>
                <w:color w:val="000000" w:themeColor="text1"/>
                <w:spacing w:val="-4"/>
              </w:rPr>
              <w:t xml:space="preserve">loni </w:t>
            </w:r>
            <w:r w:rsidRPr="004173F3">
              <w:rPr>
                <w:color w:val="000000" w:themeColor="text1"/>
                <w:spacing w:val="-4"/>
              </w:rPr>
              <w:t>odrazila v mírném růstu výkonu farmaceutického průmyslu</w:t>
            </w:r>
            <w:r>
              <w:rPr>
                <w:color w:val="000000" w:themeColor="text1"/>
                <w:spacing w:val="-4"/>
              </w:rPr>
              <w:t xml:space="preserve"> (+3,7 %)</w:t>
            </w:r>
            <w:r w:rsidRPr="004173F3">
              <w:rPr>
                <w:color w:val="000000" w:themeColor="text1"/>
                <w:spacing w:val="-4"/>
              </w:rPr>
              <w:t xml:space="preserve"> či ostatního zpracovatelského průmyslu</w:t>
            </w:r>
            <w:r>
              <w:rPr>
                <w:color w:val="000000" w:themeColor="text1"/>
                <w:spacing w:val="-4"/>
              </w:rPr>
              <w:t xml:space="preserve"> (+2,4</w:t>
            </w:r>
            <w:r>
              <w:rPr>
                <w:spacing w:val="-4"/>
              </w:rPr>
              <w:t> </w:t>
            </w:r>
            <w:r>
              <w:rPr>
                <w:color w:val="000000" w:themeColor="text1"/>
                <w:spacing w:val="-4"/>
              </w:rPr>
              <w:t>%)</w:t>
            </w:r>
            <w:r w:rsidRPr="004173F3">
              <w:rPr>
                <w:color w:val="000000" w:themeColor="text1"/>
                <w:spacing w:val="-4"/>
              </w:rPr>
              <w:t>, jenž zahrnuje i</w:t>
            </w:r>
            <w:r>
              <w:rPr>
                <w:color w:val="000000" w:themeColor="text1"/>
                <w:spacing w:val="-4"/>
              </w:rPr>
              <w:t> </w:t>
            </w:r>
            <w:r w:rsidRPr="004173F3">
              <w:rPr>
                <w:color w:val="000000" w:themeColor="text1"/>
                <w:spacing w:val="-4"/>
              </w:rPr>
              <w:t>výrobu lékařských potřeb či výrobu her a</w:t>
            </w:r>
            <w:r>
              <w:rPr>
                <w:color w:val="000000" w:themeColor="text1"/>
                <w:spacing w:val="-4"/>
              </w:rPr>
              <w:t> </w:t>
            </w:r>
            <w:r w:rsidRPr="004173F3">
              <w:rPr>
                <w:color w:val="000000" w:themeColor="text1"/>
                <w:spacing w:val="-4"/>
              </w:rPr>
              <w:t>hraček.</w:t>
            </w:r>
          </w:p>
        </w:tc>
      </w:tr>
      <w:tr w:rsidR="00B96D74" w:rsidRPr="004670E0" w14:paraId="58F516DB" w14:textId="77777777" w:rsidTr="0091476D">
        <w:trPr>
          <w:trHeight w:val="145"/>
        </w:trPr>
        <w:tc>
          <w:tcPr>
            <w:tcW w:w="1780" w:type="dxa"/>
            <w:shd w:val="clear" w:color="auto" w:fill="auto"/>
            <w:tcMar>
              <w:left w:w="0" w:type="dxa"/>
            </w:tcMar>
          </w:tcPr>
          <w:p w14:paraId="7529CAE0" w14:textId="77777777" w:rsidR="00B96D74" w:rsidRPr="00D15820" w:rsidRDefault="00B96D74" w:rsidP="0091476D">
            <w:pPr>
              <w:pStyle w:val="Marginlie"/>
              <w:rPr>
                <w:spacing w:val="0"/>
              </w:rPr>
            </w:pPr>
            <w:r>
              <w:rPr>
                <w:spacing w:val="0"/>
              </w:rPr>
              <w:t>Nejvíce narostly tržby podnikům v energetice, výhradně vlivem cenového růstu.</w:t>
            </w:r>
          </w:p>
        </w:tc>
        <w:tc>
          <w:tcPr>
            <w:tcW w:w="214" w:type="dxa"/>
            <w:shd w:val="clear" w:color="auto" w:fill="auto"/>
            <w:tcMar>
              <w:left w:w="0" w:type="dxa"/>
            </w:tcMar>
          </w:tcPr>
          <w:p w14:paraId="5F58E26B"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6FF30433" w14:textId="77777777" w:rsidR="00B96D74" w:rsidRPr="004670E0" w:rsidRDefault="00B96D74" w:rsidP="0091476D">
            <w:pPr>
              <w:rPr>
                <w:spacing w:val="-5"/>
              </w:rPr>
            </w:pPr>
            <w:r w:rsidRPr="004670E0">
              <w:rPr>
                <w:rFonts w:cs="Arial"/>
                <w:bCs/>
                <w:color w:val="000000"/>
                <w:spacing w:val="-5"/>
                <w:szCs w:val="20"/>
              </w:rPr>
              <w:t>Nominální tržby průmyslových podniků se loni snížily o</w:t>
            </w:r>
            <w:r>
              <w:rPr>
                <w:rFonts w:cs="Arial"/>
                <w:bCs/>
                <w:color w:val="000000"/>
                <w:spacing w:val="-5"/>
                <w:szCs w:val="20"/>
              </w:rPr>
              <w:t> </w:t>
            </w:r>
            <w:r w:rsidRPr="004670E0">
              <w:rPr>
                <w:rFonts w:cs="Arial"/>
                <w:bCs/>
                <w:color w:val="000000"/>
                <w:spacing w:val="-5"/>
                <w:szCs w:val="20"/>
              </w:rPr>
              <w:t>6,1</w:t>
            </w:r>
            <w:r>
              <w:rPr>
                <w:rFonts w:cs="Arial"/>
                <w:bCs/>
                <w:color w:val="000000"/>
                <w:spacing w:val="-5"/>
                <w:szCs w:val="20"/>
              </w:rPr>
              <w:t> %</w:t>
            </w:r>
            <w:r>
              <w:rPr>
                <w:rStyle w:val="Znakapoznpodarou"/>
                <w:bCs/>
                <w:color w:val="000000"/>
                <w:spacing w:val="-5"/>
                <w:szCs w:val="20"/>
              </w:rPr>
              <w:footnoteReference w:id="27"/>
            </w:r>
            <w:r w:rsidRPr="004670E0">
              <w:rPr>
                <w:rFonts w:cs="Arial"/>
                <w:bCs/>
                <w:color w:val="000000"/>
                <w:spacing w:val="-5"/>
                <w:szCs w:val="20"/>
              </w:rPr>
              <w:t>, poprvé od roku 2009. Pokles tržeb z přímého vývozu i</w:t>
            </w:r>
            <w:r>
              <w:rPr>
                <w:rFonts w:cs="Arial"/>
                <w:bCs/>
                <w:color w:val="000000"/>
                <w:spacing w:val="-5"/>
                <w:szCs w:val="20"/>
              </w:rPr>
              <w:t> z </w:t>
            </w:r>
            <w:r w:rsidRPr="004670E0">
              <w:rPr>
                <w:rFonts w:cs="Arial"/>
                <w:bCs/>
                <w:color w:val="000000"/>
                <w:spacing w:val="-5"/>
                <w:szCs w:val="20"/>
              </w:rPr>
              <w:t>tuzemska byl takřka totožný. Nejvíce vzrostly tržby v energetice (</w:t>
            </w:r>
            <w:r>
              <w:rPr>
                <w:rFonts w:cs="Arial"/>
                <w:bCs/>
                <w:color w:val="000000"/>
                <w:spacing w:val="-5"/>
                <w:szCs w:val="20"/>
              </w:rPr>
              <w:t>+5</w:t>
            </w:r>
            <w:r w:rsidRPr="004670E0">
              <w:rPr>
                <w:rFonts w:cs="Arial"/>
                <w:bCs/>
                <w:color w:val="000000"/>
                <w:spacing w:val="-5"/>
                <w:szCs w:val="20"/>
              </w:rPr>
              <w:t> %</w:t>
            </w:r>
            <w:r>
              <w:rPr>
                <w:rFonts w:cs="Arial"/>
                <w:bCs/>
                <w:color w:val="000000"/>
                <w:spacing w:val="-5"/>
                <w:szCs w:val="20"/>
              </w:rPr>
              <w:t>).</w:t>
            </w:r>
            <w:r w:rsidRPr="004670E0">
              <w:rPr>
                <w:rFonts w:cs="Arial"/>
                <w:bCs/>
                <w:color w:val="000000"/>
                <w:spacing w:val="-5"/>
                <w:szCs w:val="20"/>
              </w:rPr>
              <w:t xml:space="preserve"> </w:t>
            </w:r>
            <w:r>
              <w:rPr>
                <w:rFonts w:cs="Arial"/>
                <w:bCs/>
                <w:color w:val="000000"/>
                <w:spacing w:val="-5"/>
                <w:szCs w:val="20"/>
              </w:rPr>
              <w:t>R</w:t>
            </w:r>
            <w:r w:rsidRPr="004670E0">
              <w:rPr>
                <w:rFonts w:cs="Arial"/>
                <w:bCs/>
                <w:color w:val="000000"/>
                <w:spacing w:val="-5"/>
                <w:szCs w:val="20"/>
              </w:rPr>
              <w:t xml:space="preserve">ovněž výhradně vlivem cenového růstu stržili více výrobci oděvů. Naopak navzdory vyšší produkci nerostly tržby v papírenském </w:t>
            </w:r>
            <w:r>
              <w:rPr>
                <w:rFonts w:cs="Arial"/>
                <w:bCs/>
                <w:color w:val="000000"/>
                <w:spacing w:val="-5"/>
                <w:szCs w:val="20"/>
              </w:rPr>
              <w:t>průmyslu.</w:t>
            </w:r>
            <w:r w:rsidRPr="004670E0">
              <w:rPr>
                <w:rFonts w:cs="Arial"/>
                <w:bCs/>
                <w:color w:val="000000"/>
                <w:spacing w:val="-5"/>
                <w:szCs w:val="20"/>
              </w:rPr>
              <w:t xml:space="preserve"> </w:t>
            </w:r>
            <w:r>
              <w:rPr>
                <w:rFonts w:cs="Arial"/>
                <w:bCs/>
                <w:color w:val="000000"/>
                <w:spacing w:val="-5"/>
                <w:szCs w:val="20"/>
              </w:rPr>
              <w:t>C</w:t>
            </w:r>
            <w:r w:rsidRPr="004670E0">
              <w:rPr>
                <w:rFonts w:cs="Arial"/>
                <w:bCs/>
                <w:color w:val="000000"/>
                <w:spacing w:val="-5"/>
                <w:szCs w:val="20"/>
              </w:rPr>
              <w:t>enový vl</w:t>
            </w:r>
            <w:r>
              <w:rPr>
                <w:rFonts w:cs="Arial"/>
                <w:bCs/>
                <w:color w:val="000000"/>
                <w:spacing w:val="-5"/>
                <w:szCs w:val="20"/>
              </w:rPr>
              <w:t xml:space="preserve">iv negativně ovlivnil i tržby </w:t>
            </w:r>
            <w:r w:rsidRPr="004670E0">
              <w:rPr>
                <w:rFonts w:cs="Arial"/>
                <w:bCs/>
                <w:color w:val="000000"/>
                <w:spacing w:val="-5"/>
                <w:szCs w:val="20"/>
              </w:rPr>
              <w:t>v chemickém průmyslu a</w:t>
            </w:r>
            <w:r>
              <w:rPr>
                <w:rFonts w:cs="Arial"/>
                <w:bCs/>
                <w:color w:val="000000"/>
                <w:spacing w:val="-5"/>
                <w:szCs w:val="20"/>
              </w:rPr>
              <w:t> </w:t>
            </w:r>
            <w:r w:rsidRPr="004670E0">
              <w:rPr>
                <w:rFonts w:cs="Arial"/>
                <w:bCs/>
                <w:color w:val="000000"/>
                <w:spacing w:val="-5"/>
                <w:szCs w:val="20"/>
              </w:rPr>
              <w:t>hutnictví (v</w:t>
            </w:r>
            <w:r>
              <w:rPr>
                <w:rFonts w:cs="Arial"/>
                <w:bCs/>
                <w:color w:val="000000"/>
                <w:spacing w:val="-5"/>
                <w:szCs w:val="20"/>
              </w:rPr>
              <w:t> </w:t>
            </w:r>
            <w:r w:rsidRPr="004670E0">
              <w:rPr>
                <w:rFonts w:cs="Arial"/>
                <w:bCs/>
                <w:color w:val="000000"/>
                <w:spacing w:val="-5"/>
                <w:szCs w:val="20"/>
              </w:rPr>
              <w:t>obou odvětvích se tržby snížily o</w:t>
            </w:r>
            <w:r>
              <w:rPr>
                <w:rFonts w:cs="Arial"/>
                <w:bCs/>
                <w:color w:val="000000"/>
                <w:spacing w:val="-5"/>
                <w:szCs w:val="20"/>
              </w:rPr>
              <w:t> </w:t>
            </w:r>
            <w:r w:rsidRPr="004670E0">
              <w:rPr>
                <w:rFonts w:cs="Arial"/>
                <w:bCs/>
                <w:color w:val="000000"/>
                <w:spacing w:val="-5"/>
                <w:szCs w:val="20"/>
              </w:rPr>
              <w:t>více než desetinu).</w:t>
            </w:r>
          </w:p>
        </w:tc>
      </w:tr>
      <w:tr w:rsidR="00B96D74" w:rsidRPr="00760356" w14:paraId="3B24549F" w14:textId="77777777" w:rsidTr="0091476D">
        <w:trPr>
          <w:trHeight w:val="155"/>
        </w:trPr>
        <w:tc>
          <w:tcPr>
            <w:tcW w:w="1780" w:type="dxa"/>
            <w:vMerge w:val="restart"/>
            <w:shd w:val="clear" w:color="auto" w:fill="auto"/>
            <w:tcMar>
              <w:left w:w="0" w:type="dxa"/>
            </w:tcMar>
          </w:tcPr>
          <w:p w14:paraId="4D7AB2FD" w14:textId="77777777" w:rsidR="00B96D74" w:rsidRPr="00B43216" w:rsidRDefault="00B96D74" w:rsidP="0091476D">
            <w:pPr>
              <w:pStyle w:val="Marginlie"/>
              <w:rPr>
                <w:spacing w:val="-4"/>
              </w:rPr>
            </w:pPr>
          </w:p>
        </w:tc>
        <w:tc>
          <w:tcPr>
            <w:tcW w:w="214" w:type="dxa"/>
            <w:vMerge w:val="restart"/>
            <w:shd w:val="clear" w:color="auto" w:fill="auto"/>
            <w:tcMar>
              <w:left w:w="0" w:type="dxa"/>
            </w:tcMar>
          </w:tcPr>
          <w:p w14:paraId="77316F2B"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3E82CDF7" w14:textId="77777777" w:rsidR="00B96D74" w:rsidRPr="00760356" w:rsidRDefault="00B96D74" w:rsidP="0091476D">
            <w:pPr>
              <w:pStyle w:val="Textpoznpodarou"/>
              <w:spacing w:line="276" w:lineRule="auto"/>
              <w:jc w:val="both"/>
              <w:rPr>
                <w:b/>
                <w:spacing w:val="-2"/>
              </w:rPr>
            </w:pPr>
            <w:r w:rsidRPr="00760356">
              <w:rPr>
                <w:b/>
                <w:spacing w:val="-2"/>
              </w:rPr>
              <w:t>Graf č. 5</w:t>
            </w:r>
            <w:r>
              <w:rPr>
                <w:b/>
                <w:spacing w:val="-2"/>
              </w:rPr>
              <w:t xml:space="preserve"> </w:t>
            </w:r>
            <w:r w:rsidRPr="00760356">
              <w:rPr>
                <w:b/>
                <w:spacing w:val="-2"/>
              </w:rPr>
              <w:t xml:space="preserve"> Nové zakázky v automobilovém průmyslu a</w:t>
            </w:r>
            <w:r>
              <w:rPr>
                <w:b/>
                <w:spacing w:val="-2"/>
              </w:rPr>
              <w:t> </w:t>
            </w:r>
            <w:r w:rsidRPr="00760356">
              <w:rPr>
                <w:b/>
                <w:spacing w:val="-2"/>
              </w:rPr>
              <w:t xml:space="preserve">v průmyslu celkem </w:t>
            </w:r>
            <w:r w:rsidRPr="00760356">
              <w:rPr>
                <w:bCs/>
                <w:spacing w:val="-2"/>
              </w:rPr>
              <w:t xml:space="preserve">(v běžných cenách, </w:t>
            </w:r>
            <w:r w:rsidRPr="00760356">
              <w:rPr>
                <w:spacing w:val="-2"/>
              </w:rPr>
              <w:t>meziročně</w:t>
            </w:r>
            <w:r w:rsidRPr="00760356">
              <w:rPr>
                <w:bCs/>
                <w:spacing w:val="-2"/>
              </w:rPr>
              <w:t xml:space="preserve"> v %)</w:t>
            </w:r>
            <w:r w:rsidRPr="00760356">
              <w:rPr>
                <w:b/>
                <w:spacing w:val="-2"/>
              </w:rPr>
              <w:t xml:space="preserve"> a využití výrobních kapacit v průmyslu*</w:t>
            </w:r>
            <w:r w:rsidRPr="00760356">
              <w:rPr>
                <w:spacing w:val="-2"/>
              </w:rPr>
              <w:t xml:space="preserve"> </w:t>
            </w:r>
            <w:r w:rsidRPr="00760356">
              <w:rPr>
                <w:b/>
                <w:spacing w:val="-2"/>
              </w:rPr>
              <w:t>a vybrané bariéry růstu</w:t>
            </w:r>
            <w:r w:rsidRPr="00760356">
              <w:rPr>
                <w:spacing w:val="-2"/>
              </w:rPr>
              <w:t>* (v %, pravá osa)</w:t>
            </w:r>
          </w:p>
        </w:tc>
      </w:tr>
      <w:tr w:rsidR="00B96D74" w:rsidRPr="00B43216" w14:paraId="26C0BA2C" w14:textId="77777777" w:rsidTr="0091476D">
        <w:tblPrEx>
          <w:tblCellMar>
            <w:left w:w="70" w:type="dxa"/>
            <w:right w:w="70" w:type="dxa"/>
          </w:tblCellMar>
        </w:tblPrEx>
        <w:trPr>
          <w:trHeight w:val="155"/>
        </w:trPr>
        <w:tc>
          <w:tcPr>
            <w:tcW w:w="1780" w:type="dxa"/>
            <w:vMerge/>
            <w:shd w:val="clear" w:color="auto" w:fill="auto"/>
          </w:tcPr>
          <w:p w14:paraId="7BCF3412" w14:textId="77777777" w:rsidR="00B96D74" w:rsidRPr="00B43216" w:rsidRDefault="00B96D74" w:rsidP="0091476D">
            <w:pPr>
              <w:pStyle w:val="Marginlie"/>
              <w:rPr>
                <w:spacing w:val="-4"/>
              </w:rPr>
            </w:pPr>
          </w:p>
        </w:tc>
        <w:tc>
          <w:tcPr>
            <w:tcW w:w="214" w:type="dxa"/>
            <w:vMerge/>
            <w:shd w:val="clear" w:color="auto" w:fill="auto"/>
          </w:tcPr>
          <w:p w14:paraId="570D8E59" w14:textId="77777777" w:rsidR="00B96D74" w:rsidRPr="00B43216" w:rsidRDefault="00B96D74" w:rsidP="0091476D">
            <w:pPr>
              <w:pStyle w:val="Textpoznpodarou"/>
              <w:jc w:val="both"/>
              <w:rPr>
                <w:spacing w:val="-4"/>
              </w:rPr>
            </w:pPr>
          </w:p>
        </w:tc>
        <w:tc>
          <w:tcPr>
            <w:tcW w:w="7670" w:type="dxa"/>
            <w:shd w:val="clear" w:color="auto" w:fill="auto"/>
          </w:tcPr>
          <w:p w14:paraId="3E1AD741" w14:textId="77777777" w:rsidR="00B96D74" w:rsidRPr="00B43216" w:rsidRDefault="00B96D74" w:rsidP="0091476D">
            <w:pPr>
              <w:spacing w:after="0"/>
              <w:rPr>
                <w:spacing w:val="-4"/>
              </w:rPr>
            </w:pPr>
            <w:r>
              <w:rPr>
                <w:noProof/>
              </w:rPr>
              <w:drawing>
                <wp:inline distT="0" distB="0" distL="0" distR="0" wp14:anchorId="4878582E" wp14:editId="4BDBB44D">
                  <wp:extent cx="4759325" cy="3384467"/>
                  <wp:effectExtent l="0" t="0" r="3175" b="698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96D74" w:rsidRPr="008C5037" w14:paraId="5EA95268" w14:textId="77777777" w:rsidTr="0091476D">
        <w:trPr>
          <w:trHeight w:val="152"/>
        </w:trPr>
        <w:tc>
          <w:tcPr>
            <w:tcW w:w="1780" w:type="dxa"/>
            <w:vMerge/>
            <w:shd w:val="clear" w:color="auto" w:fill="auto"/>
            <w:tcMar>
              <w:left w:w="0" w:type="dxa"/>
            </w:tcMar>
          </w:tcPr>
          <w:p w14:paraId="4AB2F07E" w14:textId="77777777" w:rsidR="00B96D74" w:rsidRPr="00B43216" w:rsidRDefault="00B96D74" w:rsidP="0091476D">
            <w:pPr>
              <w:pStyle w:val="Marginlie"/>
              <w:rPr>
                <w:spacing w:val="-4"/>
              </w:rPr>
            </w:pPr>
          </w:p>
        </w:tc>
        <w:tc>
          <w:tcPr>
            <w:tcW w:w="214" w:type="dxa"/>
            <w:vMerge/>
            <w:shd w:val="clear" w:color="auto" w:fill="auto"/>
            <w:tcMar>
              <w:left w:w="0" w:type="dxa"/>
            </w:tcMar>
          </w:tcPr>
          <w:p w14:paraId="4DC0E8B1"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3F9C8D4B" w14:textId="39E1E1D3" w:rsidR="00B96D74" w:rsidRDefault="00B96D74" w:rsidP="00B96D74">
            <w:pPr>
              <w:spacing w:after="0"/>
              <w:rPr>
                <w:rFonts w:cs="Arial"/>
                <w:sz w:val="14"/>
                <w:szCs w:val="14"/>
              </w:rPr>
            </w:pPr>
            <w:r w:rsidRPr="00883202">
              <w:rPr>
                <w:rFonts w:cs="Arial"/>
                <w:sz w:val="14"/>
                <w:szCs w:val="14"/>
              </w:rPr>
              <w:t>*Využití průmyslových kapacit i</w:t>
            </w:r>
            <w:r>
              <w:rPr>
                <w:rFonts w:cs="Arial"/>
                <w:sz w:val="14"/>
                <w:szCs w:val="14"/>
              </w:rPr>
              <w:t> </w:t>
            </w:r>
            <w:r w:rsidRPr="00883202">
              <w:rPr>
                <w:rFonts w:cs="Arial"/>
                <w:sz w:val="14"/>
                <w:szCs w:val="14"/>
              </w:rPr>
              <w:t>bariéry růstu jsou sezónně oč</w:t>
            </w:r>
            <w:r>
              <w:rPr>
                <w:rFonts w:cs="Arial"/>
                <w:sz w:val="14"/>
                <w:szCs w:val="14"/>
              </w:rPr>
              <w:t>ištěny a vyjadřují stav v prvním (bariéry růstu), resp.</w:t>
            </w:r>
            <w:r w:rsidRPr="00883202">
              <w:rPr>
                <w:rFonts w:cs="Arial"/>
                <w:sz w:val="14"/>
                <w:szCs w:val="14"/>
              </w:rPr>
              <w:t xml:space="preserve"> druhém měsíci daného čtvrtletí</w:t>
            </w:r>
            <w:r>
              <w:rPr>
                <w:rFonts w:cs="Arial"/>
                <w:sz w:val="14"/>
                <w:szCs w:val="14"/>
              </w:rPr>
              <w:t xml:space="preserve"> (využití kapacit)</w:t>
            </w:r>
            <w:r w:rsidRPr="00883202">
              <w:rPr>
                <w:rFonts w:cs="Arial"/>
                <w:sz w:val="14"/>
                <w:szCs w:val="14"/>
              </w:rPr>
              <w:t>.</w:t>
            </w:r>
            <w:r>
              <w:rPr>
                <w:rFonts w:cs="Arial"/>
                <w:sz w:val="14"/>
                <w:szCs w:val="14"/>
              </w:rPr>
              <w:t xml:space="preserve"> Podniky mohly uvést více hlavních bariér současně</w:t>
            </w:r>
          </w:p>
          <w:p w14:paraId="7CAB9CBF" w14:textId="0FA171EF" w:rsidR="00B96D74" w:rsidRPr="008C5037" w:rsidRDefault="00B96D74" w:rsidP="0091476D">
            <w:pPr>
              <w:rPr>
                <w:rFonts w:cs="Arial"/>
                <w:sz w:val="14"/>
                <w:szCs w:val="14"/>
              </w:rPr>
            </w:pPr>
            <w:r w:rsidRPr="00883202">
              <w:rPr>
                <w:rFonts w:cs="Arial"/>
                <w:sz w:val="14"/>
                <w:szCs w:val="14"/>
              </w:rPr>
              <w:t>Zdroj: ČSÚ</w:t>
            </w:r>
          </w:p>
        </w:tc>
      </w:tr>
      <w:tr w:rsidR="00B96D74" w:rsidRPr="00982C9E" w14:paraId="1DEEBFD7" w14:textId="77777777" w:rsidTr="0091476D">
        <w:trPr>
          <w:trHeight w:val="145"/>
        </w:trPr>
        <w:tc>
          <w:tcPr>
            <w:tcW w:w="1780" w:type="dxa"/>
            <w:shd w:val="clear" w:color="auto" w:fill="auto"/>
            <w:tcMar>
              <w:left w:w="0" w:type="dxa"/>
            </w:tcMar>
          </w:tcPr>
          <w:p w14:paraId="20CB45E9" w14:textId="77777777" w:rsidR="00B96D74" w:rsidRDefault="00B96D74" w:rsidP="0091476D">
            <w:pPr>
              <w:pStyle w:val="Marginlie"/>
            </w:pPr>
            <w:r>
              <w:rPr>
                <w:spacing w:val="0"/>
              </w:rPr>
              <w:t>Hodnota nových průmyslových zakázek na konci roku vzrostla.</w:t>
            </w:r>
          </w:p>
          <w:p w14:paraId="3145C53A" w14:textId="77777777" w:rsidR="00B96D74" w:rsidRDefault="00B96D74" w:rsidP="0091476D">
            <w:pPr>
              <w:pStyle w:val="Marginlie"/>
            </w:pPr>
          </w:p>
          <w:p w14:paraId="5CAC03C8" w14:textId="77777777" w:rsidR="00B96D74" w:rsidRDefault="00B96D74" w:rsidP="0091476D">
            <w:pPr>
              <w:pStyle w:val="Marginlie"/>
            </w:pPr>
          </w:p>
          <w:p w14:paraId="4E19F4F5" w14:textId="77777777" w:rsidR="00B96D74" w:rsidRDefault="00B96D74" w:rsidP="0091476D">
            <w:pPr>
              <w:pStyle w:val="Marginlie"/>
            </w:pPr>
          </w:p>
          <w:p w14:paraId="54D74B05" w14:textId="77777777" w:rsidR="00B96D74" w:rsidRDefault="00B96D74" w:rsidP="0091476D">
            <w:pPr>
              <w:pStyle w:val="Marginlie"/>
            </w:pPr>
            <w:r>
              <w:lastRenderedPageBreak/>
              <w:t>Mezi bariérami růstu stále výrazně dominuje nedostatečná poptávka. Indikátor důvěry na počátku roku 2021 posílil.</w:t>
            </w:r>
          </w:p>
        </w:tc>
        <w:tc>
          <w:tcPr>
            <w:tcW w:w="214" w:type="dxa"/>
            <w:shd w:val="clear" w:color="auto" w:fill="auto"/>
            <w:tcMar>
              <w:left w:w="0" w:type="dxa"/>
            </w:tcMar>
          </w:tcPr>
          <w:p w14:paraId="6265EDDC"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7B62F21A" w14:textId="77777777" w:rsidR="00B96D74" w:rsidRPr="00E15929" w:rsidRDefault="00B96D74" w:rsidP="0091476D">
            <w:pPr>
              <w:rPr>
                <w:spacing w:val="-4"/>
              </w:rPr>
            </w:pPr>
            <w:r w:rsidRPr="00D639E1">
              <w:rPr>
                <w:color w:val="000000" w:themeColor="text1"/>
                <w:spacing w:val="-6"/>
              </w:rPr>
              <w:t xml:space="preserve">Krátkodobé vyhlídky průmyslu se ke konci roku zlepšovaly. </w:t>
            </w:r>
            <w:r w:rsidRPr="00D639E1">
              <w:rPr>
                <w:color w:val="0D0D0D" w:themeColor="text1" w:themeTint="F2"/>
                <w:spacing w:val="-6"/>
              </w:rPr>
              <w:t>Hodnota průmyslových zakázek</w:t>
            </w:r>
            <w:r w:rsidRPr="00B12B9E">
              <w:rPr>
                <w:rStyle w:val="Znakapoznpodarou"/>
                <w:spacing w:val="-4"/>
              </w:rPr>
              <w:footnoteReference w:id="28"/>
            </w:r>
            <w:r>
              <w:rPr>
                <w:color w:val="0D0D0D" w:themeColor="text1" w:themeTint="F2"/>
                <w:spacing w:val="-4"/>
              </w:rPr>
              <w:t xml:space="preserve"> vzrostla ve 4</w:t>
            </w:r>
            <w:r w:rsidRPr="00B12B9E">
              <w:rPr>
                <w:color w:val="0D0D0D" w:themeColor="text1" w:themeTint="F2"/>
                <w:spacing w:val="-4"/>
              </w:rPr>
              <w:t xml:space="preserve">. čtvrtletí </w:t>
            </w:r>
            <w:r>
              <w:rPr>
                <w:color w:val="0D0D0D" w:themeColor="text1" w:themeTint="F2"/>
                <w:spacing w:val="-4"/>
              </w:rPr>
              <w:t>2020 zásluhou zahraniční i tuzemské poptávky meziročně o 6,9 %</w:t>
            </w:r>
            <w:r>
              <w:rPr>
                <w:rStyle w:val="Znakapoznpodarou"/>
                <w:color w:val="0D0D0D" w:themeColor="text1" w:themeTint="F2"/>
                <w:spacing w:val="-4"/>
              </w:rPr>
              <w:footnoteReference w:id="29"/>
            </w:r>
            <w:r>
              <w:rPr>
                <w:color w:val="0D0D0D" w:themeColor="text1" w:themeTint="F2"/>
                <w:spacing w:val="-4"/>
              </w:rPr>
              <w:t>. Vyšší poptávka prostupovala drtivou většinou sledovaných oborů, minula však důležité odvětví strojírenství.</w:t>
            </w:r>
            <w:r w:rsidRPr="00B12B9E">
              <w:rPr>
                <w:color w:val="0D0D0D" w:themeColor="text1" w:themeTint="F2"/>
                <w:spacing w:val="-4"/>
              </w:rPr>
              <w:t xml:space="preserve"> V</w:t>
            </w:r>
            <w:r>
              <w:rPr>
                <w:color w:val="0D0D0D" w:themeColor="text1" w:themeTint="F2"/>
                <w:spacing w:val="-4"/>
              </w:rPr>
              <w:t>yužití výrobních kapacit překročilo na počátku roku 2021 již 83 %, a těsně se tak přiblížilo úrovni z posledního konjunkturního období</w:t>
            </w:r>
            <w:r>
              <w:rPr>
                <w:rStyle w:val="Znakapoznpodarou"/>
                <w:color w:val="0D0D0D" w:themeColor="text1" w:themeTint="F2"/>
                <w:spacing w:val="-4"/>
              </w:rPr>
              <w:footnoteReference w:id="30"/>
            </w:r>
            <w:r>
              <w:rPr>
                <w:color w:val="0D0D0D" w:themeColor="text1" w:themeTint="F2"/>
                <w:spacing w:val="-4"/>
              </w:rPr>
              <w:t>.</w:t>
            </w:r>
            <w:r w:rsidRPr="00B12B9E">
              <w:rPr>
                <w:color w:val="0D0D0D" w:themeColor="text1" w:themeTint="F2"/>
                <w:spacing w:val="-4"/>
              </w:rPr>
              <w:t xml:space="preserve"> Hlavní růstovou bariérou</w:t>
            </w:r>
            <w:r w:rsidRPr="00B12B9E">
              <w:rPr>
                <w:rStyle w:val="Znakapoznpodarou"/>
                <w:color w:val="0D0D0D" w:themeColor="text1" w:themeTint="F2"/>
                <w:spacing w:val="-4"/>
              </w:rPr>
              <w:footnoteReference w:id="31"/>
            </w:r>
            <w:r w:rsidRPr="00B12B9E">
              <w:rPr>
                <w:color w:val="0D0D0D" w:themeColor="text1" w:themeTint="F2"/>
                <w:spacing w:val="-4"/>
              </w:rPr>
              <w:t xml:space="preserve"> zůstáv</w:t>
            </w:r>
            <w:r>
              <w:rPr>
                <w:color w:val="0D0D0D" w:themeColor="text1" w:themeTint="F2"/>
                <w:spacing w:val="-4"/>
              </w:rPr>
              <w:t>á nedostatečná poptávka. Na počátku roku 2021</w:t>
            </w:r>
            <w:r w:rsidRPr="00B12B9E">
              <w:rPr>
                <w:color w:val="0D0D0D" w:themeColor="text1" w:themeTint="F2"/>
                <w:spacing w:val="-4"/>
              </w:rPr>
              <w:t xml:space="preserve"> ji uvedla skoro polovina </w:t>
            </w:r>
            <w:r w:rsidRPr="00B12B9E">
              <w:rPr>
                <w:color w:val="0D0D0D" w:themeColor="text1" w:themeTint="F2"/>
                <w:spacing w:val="-4"/>
              </w:rPr>
              <w:lastRenderedPageBreak/>
              <w:t>průmyslových podniků</w:t>
            </w:r>
            <w:r>
              <w:rPr>
                <w:color w:val="0D0D0D" w:themeColor="text1" w:themeTint="F2"/>
                <w:spacing w:val="-4"/>
              </w:rPr>
              <w:t>, nedostatek pracovníků trápil pětinu z nich.</w:t>
            </w:r>
            <w:r w:rsidRPr="00B12B9E">
              <w:rPr>
                <w:color w:val="0D0D0D" w:themeColor="text1" w:themeTint="F2"/>
                <w:spacing w:val="-4"/>
              </w:rPr>
              <w:t xml:space="preserve"> Souhrnné saldo indikátoru důvěry v</w:t>
            </w:r>
            <w:r>
              <w:rPr>
                <w:color w:val="0D0D0D" w:themeColor="text1" w:themeTint="F2"/>
                <w:spacing w:val="-4"/>
              </w:rPr>
              <w:t> </w:t>
            </w:r>
            <w:r w:rsidRPr="00B12B9E">
              <w:rPr>
                <w:color w:val="0D0D0D" w:themeColor="text1" w:themeTint="F2"/>
                <w:spacing w:val="-4"/>
              </w:rPr>
              <w:t>průmyslu</w:t>
            </w:r>
            <w:r>
              <w:rPr>
                <w:color w:val="0D0D0D" w:themeColor="text1" w:themeTint="F2"/>
                <w:spacing w:val="-4"/>
              </w:rPr>
              <w:t xml:space="preserve"> na přelomu let 2020 a 2021 rostlo a v letošním únoru se nacházelo nejvýše od dubna 2019. Očekávání výrobní činnosti v následujících třech měsících bylo mírně pozitivní a výhled v oblasti změn zaměstnanosti neutrální.</w:t>
            </w:r>
          </w:p>
        </w:tc>
      </w:tr>
      <w:tr w:rsidR="00B96D74" w:rsidRPr="00982C9E" w14:paraId="0E044189" w14:textId="77777777" w:rsidTr="0091476D">
        <w:trPr>
          <w:trHeight w:val="145"/>
        </w:trPr>
        <w:tc>
          <w:tcPr>
            <w:tcW w:w="1780" w:type="dxa"/>
            <w:shd w:val="clear" w:color="auto" w:fill="auto"/>
            <w:tcMar>
              <w:left w:w="0" w:type="dxa"/>
            </w:tcMar>
          </w:tcPr>
          <w:p w14:paraId="6B426043" w14:textId="77777777" w:rsidR="00B96D74" w:rsidRDefault="00B96D74" w:rsidP="0091476D">
            <w:pPr>
              <w:pStyle w:val="Marginlie"/>
            </w:pPr>
            <w:r>
              <w:lastRenderedPageBreak/>
              <w:t xml:space="preserve">Dopady </w:t>
            </w:r>
            <w:proofErr w:type="spellStart"/>
            <w:r>
              <w:t>protipandemických</w:t>
            </w:r>
            <w:proofErr w:type="spellEnd"/>
            <w:r>
              <w:t xml:space="preserve"> opatření byly ve stavebnictví pozvolnější, přetrvávaly však déle.</w:t>
            </w:r>
          </w:p>
          <w:p w14:paraId="6C73DD47" w14:textId="77777777" w:rsidR="00B96D74" w:rsidRDefault="00B96D74" w:rsidP="0091476D">
            <w:pPr>
              <w:pStyle w:val="Marginlie"/>
            </w:pPr>
          </w:p>
          <w:p w14:paraId="33FCDF36" w14:textId="77777777" w:rsidR="00B96D74" w:rsidRDefault="00B96D74" w:rsidP="0091476D">
            <w:pPr>
              <w:pStyle w:val="Marginlie"/>
            </w:pPr>
          </w:p>
          <w:p w14:paraId="070BDC2F" w14:textId="77777777" w:rsidR="00B96D74" w:rsidRDefault="00B96D74" w:rsidP="0091476D">
            <w:pPr>
              <w:pStyle w:val="Marginlie"/>
            </w:pPr>
          </w:p>
          <w:p w14:paraId="6D0AA813" w14:textId="77777777" w:rsidR="00B96D74" w:rsidRDefault="00B96D74" w:rsidP="0091476D">
            <w:pPr>
              <w:pStyle w:val="Marginlie"/>
            </w:pPr>
            <w:r>
              <w:t>Produkce pozemního stavitelství propadla nejvíce za poslední dvě dekády. Inženýrské stavitelství si mírný růst udrželo.</w:t>
            </w:r>
          </w:p>
        </w:tc>
        <w:tc>
          <w:tcPr>
            <w:tcW w:w="214" w:type="dxa"/>
            <w:shd w:val="clear" w:color="auto" w:fill="auto"/>
            <w:tcMar>
              <w:left w:w="0" w:type="dxa"/>
            </w:tcMar>
          </w:tcPr>
          <w:p w14:paraId="4CDED929"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C3DE844" w14:textId="77777777" w:rsidR="00B96D74" w:rsidRPr="00982C9E" w:rsidRDefault="00B96D74" w:rsidP="0091476D">
            <w:pPr>
              <w:rPr>
                <w:spacing w:val="-4"/>
              </w:rPr>
            </w:pPr>
            <w:r w:rsidRPr="00E15929">
              <w:rPr>
                <w:spacing w:val="-4"/>
              </w:rPr>
              <w:t xml:space="preserve">Dopady </w:t>
            </w:r>
            <w:proofErr w:type="spellStart"/>
            <w:r w:rsidRPr="00E15929">
              <w:rPr>
                <w:spacing w:val="-4"/>
              </w:rPr>
              <w:t>protipandemických</w:t>
            </w:r>
            <w:proofErr w:type="spellEnd"/>
            <w:r w:rsidRPr="00E15929">
              <w:rPr>
                <w:spacing w:val="-4"/>
              </w:rPr>
              <w:t xml:space="preserve"> opatření se ve stavebnictví projevovaly pozvolněji, zato s větší </w:t>
            </w:r>
            <w:r w:rsidRPr="00E15929">
              <w:rPr>
                <w:spacing w:val="-2"/>
              </w:rPr>
              <w:t xml:space="preserve">setrvačností. Nejhlubší meziměsíční pokles </w:t>
            </w:r>
            <w:r w:rsidRPr="00E15929">
              <w:rPr>
                <w:color w:val="0D0D0D" w:themeColor="text1" w:themeTint="F2"/>
                <w:spacing w:val="-2"/>
              </w:rPr>
              <w:t>s</w:t>
            </w:r>
            <w:r w:rsidRPr="00E15929">
              <w:rPr>
                <w:spacing w:val="-2"/>
              </w:rPr>
              <w:t>tavební produkce</w:t>
            </w:r>
            <w:r w:rsidRPr="00E15929">
              <w:rPr>
                <w:rStyle w:val="Znakapoznpodarou"/>
                <w:spacing w:val="-2"/>
              </w:rPr>
              <w:footnoteReference w:id="32"/>
            </w:r>
            <w:r w:rsidRPr="00E15929">
              <w:rPr>
                <w:spacing w:val="-2"/>
              </w:rPr>
              <w:t xml:space="preserve"> nastal loni</w:t>
            </w:r>
            <w:r w:rsidRPr="00982C9E">
              <w:rPr>
                <w:spacing w:val="-2"/>
              </w:rPr>
              <w:t xml:space="preserve"> až v </w:t>
            </w:r>
            <w:proofErr w:type="gramStart"/>
            <w:r w:rsidRPr="00982C9E">
              <w:rPr>
                <w:spacing w:val="-2"/>
              </w:rPr>
              <w:t>květnu (–3,9</w:t>
            </w:r>
            <w:proofErr w:type="gramEnd"/>
            <w:r>
              <w:rPr>
                <w:spacing w:val="-2"/>
              </w:rPr>
              <w:t> %</w:t>
            </w:r>
            <w:r w:rsidRPr="00982C9E">
              <w:rPr>
                <w:spacing w:val="-2"/>
              </w:rPr>
              <w:t>).</w:t>
            </w:r>
            <w:r w:rsidRPr="00982C9E">
              <w:rPr>
                <w:spacing w:val="-4"/>
              </w:rPr>
              <w:t xml:space="preserve"> Restriktivní opatření postupně </w:t>
            </w:r>
            <w:r>
              <w:rPr>
                <w:spacing w:val="-4"/>
              </w:rPr>
              <w:t xml:space="preserve">omezila potřebnou součinnost všech aktérů stavebního řízení a dále tak ztížila náročný administrativní proces přípravy staveb. Některá výběrová řízení byla pozastavena, což narušilo plynulost výstavby. Vlivem omezené mobility došlo k prohloubení problémů s dostupností pracovníků, zejména těch zahraničních. Na rozdíl od drtivé většiny ostatních tržních odvětví byl jarní útlum ve stavebnictví slabší, nebyl však doprovázen následným oživením. Produkce tak </w:t>
            </w:r>
            <w:proofErr w:type="spellStart"/>
            <w:r>
              <w:rPr>
                <w:spacing w:val="-4"/>
              </w:rPr>
              <w:t>mezikvartálně</w:t>
            </w:r>
            <w:proofErr w:type="spellEnd"/>
            <w:r>
              <w:rPr>
                <w:spacing w:val="-4"/>
              </w:rPr>
              <w:t xml:space="preserve"> klesla ve 3., ale i ve 4. </w:t>
            </w:r>
            <w:proofErr w:type="gramStart"/>
            <w:r>
              <w:rPr>
                <w:spacing w:val="-4"/>
              </w:rPr>
              <w:t>čtvrtletí (</w:t>
            </w:r>
            <w:r w:rsidRPr="00982C9E">
              <w:rPr>
                <w:spacing w:val="-2"/>
              </w:rPr>
              <w:t>–</w:t>
            </w:r>
            <w:r>
              <w:rPr>
                <w:spacing w:val="-2"/>
              </w:rPr>
              <w:t>2</w:t>
            </w:r>
            <w:r w:rsidRPr="00982C9E">
              <w:rPr>
                <w:spacing w:val="-2"/>
              </w:rPr>
              <w:t>,9</w:t>
            </w:r>
            <w:proofErr w:type="gramEnd"/>
            <w:r>
              <w:rPr>
                <w:spacing w:val="-2"/>
              </w:rPr>
              <w:t xml:space="preserve"> %, resp. </w:t>
            </w:r>
            <w:r w:rsidRPr="00982C9E">
              <w:rPr>
                <w:spacing w:val="-2"/>
              </w:rPr>
              <w:t>–</w:t>
            </w:r>
            <w:r>
              <w:rPr>
                <w:spacing w:val="-2"/>
              </w:rPr>
              <w:t>0,3 %). Za celý loňský rok produkce propadla o 6,2 %</w:t>
            </w:r>
            <w:r>
              <w:rPr>
                <w:rStyle w:val="Znakapoznpodarou"/>
                <w:spacing w:val="-2"/>
              </w:rPr>
              <w:footnoteReference w:id="33"/>
            </w:r>
            <w:r>
              <w:rPr>
                <w:spacing w:val="-2"/>
              </w:rPr>
              <w:t xml:space="preserve">, a to výhradně vlivem slabého výkonu pozemního </w:t>
            </w:r>
            <w:proofErr w:type="gramStart"/>
            <w:r>
              <w:rPr>
                <w:spacing w:val="-2"/>
              </w:rPr>
              <w:t>stavitelství (</w:t>
            </w:r>
            <w:r w:rsidRPr="00982C9E">
              <w:rPr>
                <w:spacing w:val="-2"/>
              </w:rPr>
              <w:t>–</w:t>
            </w:r>
            <w:r>
              <w:rPr>
                <w:spacing w:val="-2"/>
              </w:rPr>
              <w:t>9,0</w:t>
            </w:r>
            <w:proofErr w:type="gramEnd"/>
            <w:r>
              <w:rPr>
                <w:spacing w:val="-2"/>
              </w:rPr>
              <w:t> %, minimum ve srovnatelné řadě po roce 2000). Inženýrskému stavitelství pomohl pokračující růst veřejných investic</w:t>
            </w:r>
            <w:r>
              <w:rPr>
                <w:rStyle w:val="Znakapoznpodarou"/>
                <w:spacing w:val="-2"/>
              </w:rPr>
              <w:footnoteReference w:id="34"/>
            </w:r>
            <w:r>
              <w:rPr>
                <w:spacing w:val="-2"/>
              </w:rPr>
              <w:t>, jeho výkon tak ve srovnání s rokem 2019 mírně vzrostl (+1,4 %).</w:t>
            </w:r>
          </w:p>
        </w:tc>
      </w:tr>
      <w:tr w:rsidR="00B96D74" w:rsidRPr="00FE5237" w14:paraId="0D52A66B" w14:textId="77777777" w:rsidTr="0091476D">
        <w:trPr>
          <w:trHeight w:val="145"/>
        </w:trPr>
        <w:tc>
          <w:tcPr>
            <w:tcW w:w="1780" w:type="dxa"/>
            <w:shd w:val="clear" w:color="auto" w:fill="auto"/>
            <w:tcMar>
              <w:left w:w="0" w:type="dxa"/>
            </w:tcMar>
          </w:tcPr>
          <w:p w14:paraId="5452ED86" w14:textId="77777777" w:rsidR="00B96D74" w:rsidRDefault="00B96D74" w:rsidP="0091476D">
            <w:pPr>
              <w:pStyle w:val="Marginlie"/>
            </w:pPr>
          </w:p>
        </w:tc>
        <w:tc>
          <w:tcPr>
            <w:tcW w:w="214" w:type="dxa"/>
            <w:shd w:val="clear" w:color="auto" w:fill="auto"/>
            <w:tcMar>
              <w:left w:w="0" w:type="dxa"/>
            </w:tcMar>
          </w:tcPr>
          <w:p w14:paraId="0C6F15D5"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CA5524A" w14:textId="77777777" w:rsidR="00B96D74" w:rsidRPr="00FE5237" w:rsidRDefault="00B96D74" w:rsidP="0091476D">
            <w:pPr>
              <w:spacing w:after="0"/>
              <w:rPr>
                <w:spacing w:val="-4"/>
              </w:rPr>
            </w:pPr>
            <w:r w:rsidRPr="00883202">
              <w:rPr>
                <w:b/>
              </w:rPr>
              <w:t>Graf č. 6</w:t>
            </w:r>
            <w:r>
              <w:rPr>
                <w:b/>
              </w:rPr>
              <w:t xml:space="preserve"> </w:t>
            </w:r>
            <w:r w:rsidRPr="00883202">
              <w:rPr>
                <w:b/>
              </w:rPr>
              <w:t xml:space="preserve"> Příspěvky odvětví k meziroční změně stavební produkce </w:t>
            </w:r>
            <w:r w:rsidRPr="00883202">
              <w:t>(v p. b.)</w:t>
            </w:r>
            <w:r w:rsidRPr="00883202">
              <w:rPr>
                <w:b/>
                <w:bCs/>
              </w:rPr>
              <w:t>,</w:t>
            </w:r>
            <w:r w:rsidRPr="00883202">
              <w:rPr>
                <w:b/>
                <w:bCs/>
              </w:rPr>
              <w:br/>
            </w:r>
            <w:r w:rsidRPr="00883202">
              <w:rPr>
                <w:b/>
              </w:rPr>
              <w:t xml:space="preserve">nové stavební zakázky </w:t>
            </w:r>
            <w:r w:rsidRPr="00883202">
              <w:rPr>
                <w:bCs/>
              </w:rPr>
              <w:t>(</w:t>
            </w:r>
            <w:r w:rsidRPr="00883202">
              <w:t>meziročně</w:t>
            </w:r>
            <w:r w:rsidRPr="00883202">
              <w:rPr>
                <w:bCs/>
              </w:rPr>
              <w:t xml:space="preserve"> v %</w:t>
            </w:r>
            <w:r w:rsidRPr="00883202">
              <w:t>, pravá osa</w:t>
            </w:r>
            <w:r w:rsidRPr="00883202">
              <w:rPr>
                <w:bCs/>
              </w:rPr>
              <w:t>)</w:t>
            </w:r>
            <w:r w:rsidRPr="00883202">
              <w:rPr>
                <w:b/>
              </w:rPr>
              <w:t>, saldo indikátoru důvěry ve stavebnictví*</w:t>
            </w:r>
            <w:r w:rsidRPr="00883202">
              <w:t xml:space="preserve"> (v p. b., pravá osa) </w:t>
            </w:r>
            <w:r w:rsidRPr="00883202">
              <w:rPr>
                <w:b/>
              </w:rPr>
              <w:t>a vybrané bariéry růstu</w:t>
            </w:r>
            <w:r w:rsidRPr="00883202">
              <w:t>* (v %, pravá osa)</w:t>
            </w:r>
          </w:p>
        </w:tc>
      </w:tr>
      <w:tr w:rsidR="00B96D74" w:rsidRPr="003E01D3" w14:paraId="515B31BC" w14:textId="77777777" w:rsidTr="0091476D">
        <w:tblPrEx>
          <w:tblCellMar>
            <w:left w:w="70" w:type="dxa"/>
            <w:right w:w="70" w:type="dxa"/>
          </w:tblCellMar>
        </w:tblPrEx>
        <w:trPr>
          <w:trHeight w:val="145"/>
        </w:trPr>
        <w:tc>
          <w:tcPr>
            <w:tcW w:w="1780" w:type="dxa"/>
            <w:shd w:val="clear" w:color="auto" w:fill="auto"/>
          </w:tcPr>
          <w:p w14:paraId="36C71FED" w14:textId="77777777" w:rsidR="00B96D74" w:rsidRDefault="00B96D74" w:rsidP="0091476D">
            <w:pPr>
              <w:pStyle w:val="Marginlie"/>
            </w:pPr>
          </w:p>
        </w:tc>
        <w:tc>
          <w:tcPr>
            <w:tcW w:w="214" w:type="dxa"/>
            <w:shd w:val="clear" w:color="auto" w:fill="auto"/>
          </w:tcPr>
          <w:p w14:paraId="1020A4C3" w14:textId="77777777" w:rsidR="00B96D74" w:rsidRPr="00B43216" w:rsidRDefault="00B96D74" w:rsidP="0091476D">
            <w:pPr>
              <w:pStyle w:val="Textpoznpodarou"/>
              <w:jc w:val="both"/>
              <w:rPr>
                <w:spacing w:val="-4"/>
              </w:rPr>
            </w:pPr>
          </w:p>
        </w:tc>
        <w:tc>
          <w:tcPr>
            <w:tcW w:w="7670" w:type="dxa"/>
            <w:shd w:val="clear" w:color="auto" w:fill="auto"/>
          </w:tcPr>
          <w:p w14:paraId="4F5D8243" w14:textId="77777777" w:rsidR="00B96D74" w:rsidRPr="003E01D3" w:rsidRDefault="00B96D74" w:rsidP="0091476D">
            <w:pPr>
              <w:spacing w:after="0"/>
              <w:rPr>
                <w:b/>
                <w:spacing w:val="-4"/>
              </w:rPr>
            </w:pPr>
            <w:r>
              <w:rPr>
                <w:noProof/>
              </w:rPr>
              <w:drawing>
                <wp:inline distT="0" distB="0" distL="0" distR="0" wp14:anchorId="46A0D4C6" wp14:editId="03979D17">
                  <wp:extent cx="4740910" cy="3800475"/>
                  <wp:effectExtent l="0" t="0" r="254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B96D74" w14:paraId="784C4E8D" w14:textId="77777777" w:rsidTr="0091476D">
        <w:trPr>
          <w:trHeight w:val="145"/>
        </w:trPr>
        <w:tc>
          <w:tcPr>
            <w:tcW w:w="1780" w:type="dxa"/>
            <w:shd w:val="clear" w:color="auto" w:fill="auto"/>
            <w:tcMar>
              <w:left w:w="0" w:type="dxa"/>
            </w:tcMar>
          </w:tcPr>
          <w:p w14:paraId="328FDAA1" w14:textId="77777777" w:rsidR="00B96D74" w:rsidRDefault="00B96D74" w:rsidP="0091476D">
            <w:pPr>
              <w:pStyle w:val="Marginlie"/>
            </w:pPr>
          </w:p>
        </w:tc>
        <w:tc>
          <w:tcPr>
            <w:tcW w:w="214" w:type="dxa"/>
            <w:shd w:val="clear" w:color="auto" w:fill="auto"/>
            <w:tcMar>
              <w:left w:w="0" w:type="dxa"/>
            </w:tcMar>
          </w:tcPr>
          <w:p w14:paraId="53C32A74"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0140876D" w14:textId="77777777" w:rsidR="00B96D74" w:rsidRPr="00883202" w:rsidRDefault="00B96D74" w:rsidP="0091476D">
            <w:pPr>
              <w:spacing w:after="0"/>
              <w:rPr>
                <w:rFonts w:cs="Arial"/>
                <w:sz w:val="14"/>
                <w:szCs w:val="14"/>
              </w:rPr>
            </w:pPr>
            <w:r w:rsidRPr="00883202">
              <w:rPr>
                <w:rFonts w:cs="Arial"/>
                <w:sz w:val="14"/>
                <w:szCs w:val="14"/>
              </w:rPr>
              <w:t>Údaje o stavební produkci jsou očištěny o kalendářní vlivy.</w:t>
            </w:r>
          </w:p>
          <w:p w14:paraId="23980790" w14:textId="77777777" w:rsidR="00B96D74" w:rsidRPr="00883202" w:rsidRDefault="00B96D74" w:rsidP="0091476D">
            <w:pPr>
              <w:spacing w:after="0"/>
              <w:rPr>
                <w:rFonts w:cs="Arial"/>
                <w:sz w:val="14"/>
                <w:szCs w:val="14"/>
              </w:rPr>
            </w:pPr>
            <w:r w:rsidRPr="00883202">
              <w:rPr>
                <w:rFonts w:cs="Arial"/>
                <w:sz w:val="14"/>
                <w:szCs w:val="14"/>
              </w:rPr>
              <w:t>*</w:t>
            </w:r>
            <w:r w:rsidRPr="00883202">
              <w:rPr>
                <w:rFonts w:cs="Arial"/>
                <w:spacing w:val="-2"/>
                <w:sz w:val="14"/>
                <w:szCs w:val="14"/>
              </w:rPr>
              <w:t>Saldo důvěry i bariéry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w:t>
            </w:r>
          </w:p>
          <w:p w14:paraId="1A66E42D" w14:textId="77777777" w:rsidR="00B96D74" w:rsidRDefault="00B96D74" w:rsidP="0091476D">
            <w:pPr>
              <w:rPr>
                <w:noProof/>
              </w:rPr>
            </w:pPr>
            <w:r w:rsidRPr="00883202">
              <w:rPr>
                <w:rFonts w:cs="Arial"/>
                <w:sz w:val="14"/>
                <w:szCs w:val="14"/>
              </w:rPr>
              <w:t>Zdroj: ČSÚ</w:t>
            </w:r>
          </w:p>
        </w:tc>
      </w:tr>
      <w:tr w:rsidR="00B96D74" w:rsidRPr="00F47F7F" w14:paraId="4058A510" w14:textId="77777777" w:rsidTr="0091476D">
        <w:trPr>
          <w:trHeight w:val="145"/>
        </w:trPr>
        <w:tc>
          <w:tcPr>
            <w:tcW w:w="1780" w:type="dxa"/>
            <w:shd w:val="clear" w:color="auto" w:fill="auto"/>
            <w:tcMar>
              <w:left w:w="0" w:type="dxa"/>
            </w:tcMar>
          </w:tcPr>
          <w:p w14:paraId="226E6243" w14:textId="77777777" w:rsidR="00B96D74" w:rsidRDefault="00B96D74" w:rsidP="0091476D">
            <w:pPr>
              <w:pStyle w:val="Marginlie"/>
            </w:pPr>
            <w:r>
              <w:lastRenderedPageBreak/>
              <w:t>Výkon pozemního stavitelství srážela hlavně nižší výstavba nebytových budov.</w:t>
            </w:r>
          </w:p>
          <w:p w14:paraId="7FBC56EA" w14:textId="77777777" w:rsidR="00B96D74" w:rsidRDefault="00B96D74" w:rsidP="0091476D">
            <w:pPr>
              <w:pStyle w:val="Marginlie"/>
            </w:pPr>
          </w:p>
          <w:p w14:paraId="775F4026" w14:textId="77777777" w:rsidR="00B96D74" w:rsidRDefault="00B96D74" w:rsidP="0091476D">
            <w:pPr>
              <w:pStyle w:val="Marginlie"/>
            </w:pPr>
          </w:p>
          <w:p w14:paraId="1C2CD670" w14:textId="77777777" w:rsidR="00B96D74" w:rsidRDefault="00B96D74" w:rsidP="0091476D">
            <w:pPr>
              <w:pStyle w:val="Marginlie"/>
            </w:pPr>
            <w:r>
              <w:t>Dlouhodobější růst bytové výstavby se loni zastavil.</w:t>
            </w:r>
          </w:p>
        </w:tc>
        <w:tc>
          <w:tcPr>
            <w:tcW w:w="214" w:type="dxa"/>
            <w:shd w:val="clear" w:color="auto" w:fill="auto"/>
            <w:tcMar>
              <w:left w:w="0" w:type="dxa"/>
            </w:tcMar>
          </w:tcPr>
          <w:p w14:paraId="7F2B3810"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3812B28D" w14:textId="77777777" w:rsidR="00B96D74" w:rsidRPr="00F47F7F" w:rsidRDefault="00B96D74" w:rsidP="0091476D">
            <w:pPr>
              <w:rPr>
                <w:spacing w:val="-5"/>
                <w:sz w:val="14"/>
                <w:szCs w:val="14"/>
              </w:rPr>
            </w:pPr>
            <w:r>
              <w:rPr>
                <w:spacing w:val="-5"/>
              </w:rPr>
              <w:t>Stavebnictví tak loni pomáhaly</w:t>
            </w:r>
            <w:r w:rsidRPr="00F47F7F">
              <w:rPr>
                <w:spacing w:val="-5"/>
              </w:rPr>
              <w:t xml:space="preserve"> opravy a</w:t>
            </w:r>
            <w:r>
              <w:rPr>
                <w:spacing w:val="-5"/>
              </w:rPr>
              <w:t> </w:t>
            </w:r>
            <w:r w:rsidRPr="00F47F7F">
              <w:rPr>
                <w:spacing w:val="-5"/>
              </w:rPr>
              <w:t xml:space="preserve">modernizace, neboť dále </w:t>
            </w:r>
            <w:r>
              <w:rPr>
                <w:spacing w:val="-5"/>
              </w:rPr>
              <w:t>rostl objem</w:t>
            </w:r>
            <w:r w:rsidRPr="00F47F7F">
              <w:rPr>
                <w:spacing w:val="-5"/>
              </w:rPr>
              <w:t xml:space="preserve"> stavebních povolení na změny dokončených staveb (+0,5</w:t>
            </w:r>
            <w:r>
              <w:rPr>
                <w:spacing w:val="-5"/>
              </w:rPr>
              <w:t> %</w:t>
            </w:r>
            <w:r w:rsidRPr="00F47F7F">
              <w:rPr>
                <w:spacing w:val="-5"/>
              </w:rPr>
              <w:t xml:space="preserve">). Ze stejného zdroje lze usuzovat na útlum nové výstavby, zejména nebytových </w:t>
            </w:r>
            <w:proofErr w:type="gramStart"/>
            <w:r w:rsidRPr="00F47F7F">
              <w:rPr>
                <w:spacing w:val="-5"/>
              </w:rPr>
              <w:t>budov (–11</w:t>
            </w:r>
            <w:proofErr w:type="gramEnd"/>
            <w:r>
              <w:rPr>
                <w:spacing w:val="-5"/>
              </w:rPr>
              <w:t> %</w:t>
            </w:r>
            <w:r w:rsidRPr="00F47F7F">
              <w:rPr>
                <w:spacing w:val="-5"/>
              </w:rPr>
              <w:t>). Počet zahájených bytů ve srovnání s vysokou loňskou základnou klesl o</w:t>
            </w:r>
            <w:r>
              <w:rPr>
                <w:spacing w:val="-5"/>
              </w:rPr>
              <w:t> </w:t>
            </w:r>
            <w:r w:rsidRPr="00F47F7F">
              <w:rPr>
                <w:spacing w:val="-5"/>
              </w:rPr>
              <w:t>bezmála 9</w:t>
            </w:r>
            <w:r>
              <w:rPr>
                <w:spacing w:val="-5"/>
              </w:rPr>
              <w:t> %</w:t>
            </w:r>
            <w:r w:rsidRPr="00F47F7F">
              <w:rPr>
                <w:rStyle w:val="Znakapoznpodarou"/>
                <w:spacing w:val="-5"/>
              </w:rPr>
              <w:footnoteReference w:id="35"/>
            </w:r>
            <w:r w:rsidRPr="00F47F7F">
              <w:rPr>
                <w:spacing w:val="-5"/>
              </w:rPr>
              <w:t>. I</w:t>
            </w:r>
            <w:r>
              <w:rPr>
                <w:spacing w:val="-5"/>
              </w:rPr>
              <w:t> </w:t>
            </w:r>
            <w:r w:rsidRPr="00F47F7F">
              <w:rPr>
                <w:spacing w:val="-5"/>
              </w:rPr>
              <w:t>tak byla loňská četnost bytů (35,3</w:t>
            </w:r>
            <w:r>
              <w:rPr>
                <w:spacing w:val="-5"/>
              </w:rPr>
              <w:t> tis.</w:t>
            </w:r>
            <w:r w:rsidRPr="00F47F7F">
              <w:rPr>
                <w:spacing w:val="-5"/>
              </w:rPr>
              <w:t>) druhá nejvyšší za poslední dekádu. Po pěti letech růstu ubylo loni i</w:t>
            </w:r>
            <w:r>
              <w:rPr>
                <w:spacing w:val="-5"/>
              </w:rPr>
              <w:t> </w:t>
            </w:r>
            <w:r w:rsidRPr="00F47F7F">
              <w:rPr>
                <w:spacing w:val="-5"/>
              </w:rPr>
              <w:t>dokončených bytů (o</w:t>
            </w:r>
            <w:r>
              <w:rPr>
                <w:spacing w:val="-5"/>
              </w:rPr>
              <w:t> </w:t>
            </w:r>
            <w:r w:rsidRPr="00F47F7F">
              <w:rPr>
                <w:spacing w:val="-5"/>
              </w:rPr>
              <w:t>5,4</w:t>
            </w:r>
            <w:r>
              <w:rPr>
                <w:spacing w:val="-5"/>
              </w:rPr>
              <w:t> %</w:t>
            </w:r>
            <w:r w:rsidRPr="00F47F7F">
              <w:rPr>
                <w:spacing w:val="-5"/>
              </w:rPr>
              <w:t xml:space="preserve">), především vinou nižšího počtu bytů v bytových domech. </w:t>
            </w:r>
            <w:r>
              <w:rPr>
                <w:spacing w:val="-5"/>
              </w:rPr>
              <w:t>Zato</w:t>
            </w:r>
            <w:r w:rsidRPr="00F47F7F">
              <w:rPr>
                <w:spacing w:val="-5"/>
              </w:rPr>
              <w:t xml:space="preserve"> v rodinných domech vzniklo loni nejvíce bytů za posledních dese</w:t>
            </w:r>
            <w:r>
              <w:rPr>
                <w:spacing w:val="-5"/>
              </w:rPr>
              <w:t>t</w:t>
            </w:r>
            <w:r w:rsidRPr="00F47F7F">
              <w:rPr>
                <w:spacing w:val="-5"/>
              </w:rPr>
              <w:t xml:space="preserve"> let (19,3</w:t>
            </w:r>
            <w:r>
              <w:rPr>
                <w:spacing w:val="-5"/>
              </w:rPr>
              <w:t> tis.</w:t>
            </w:r>
            <w:r w:rsidRPr="00F47F7F">
              <w:rPr>
                <w:spacing w:val="-5"/>
              </w:rPr>
              <w:t>). Pokles výstavby měl loni p</w:t>
            </w:r>
            <w:r>
              <w:rPr>
                <w:spacing w:val="-5"/>
              </w:rPr>
              <w:t xml:space="preserve">řevážně plošný charakter, </w:t>
            </w:r>
            <w:r w:rsidRPr="00F47F7F">
              <w:rPr>
                <w:spacing w:val="-5"/>
              </w:rPr>
              <w:t>dokončených bytů</w:t>
            </w:r>
            <w:r>
              <w:rPr>
                <w:spacing w:val="-5"/>
              </w:rPr>
              <w:t xml:space="preserve"> celkem</w:t>
            </w:r>
            <w:r w:rsidRPr="00F47F7F">
              <w:rPr>
                <w:spacing w:val="-5"/>
              </w:rPr>
              <w:t xml:space="preserve"> přibylo meziročně jen v krajích Ol</w:t>
            </w:r>
            <w:r>
              <w:rPr>
                <w:spacing w:val="-5"/>
              </w:rPr>
              <w:t>omouckém a</w:t>
            </w:r>
            <w:r w:rsidRPr="00F47F7F">
              <w:rPr>
                <w:spacing w:val="-5"/>
              </w:rPr>
              <w:t xml:space="preserve"> Moravskoslezském </w:t>
            </w:r>
            <w:r>
              <w:rPr>
                <w:spacing w:val="-5"/>
              </w:rPr>
              <w:t>a v Kraji Vysočina</w:t>
            </w:r>
            <w:r w:rsidRPr="00F47F7F">
              <w:rPr>
                <w:spacing w:val="-5"/>
              </w:rPr>
              <w:t>.</w:t>
            </w:r>
          </w:p>
        </w:tc>
      </w:tr>
      <w:tr w:rsidR="00B96D74" w:rsidRPr="004D53D9" w14:paraId="602CE76B" w14:textId="77777777" w:rsidTr="0091476D">
        <w:trPr>
          <w:trHeight w:val="145"/>
        </w:trPr>
        <w:tc>
          <w:tcPr>
            <w:tcW w:w="1780" w:type="dxa"/>
            <w:shd w:val="clear" w:color="auto" w:fill="auto"/>
            <w:tcMar>
              <w:left w:w="0" w:type="dxa"/>
            </w:tcMar>
          </w:tcPr>
          <w:p w14:paraId="23C1287D" w14:textId="77777777" w:rsidR="00B96D74" w:rsidRDefault="00B96D74" w:rsidP="0091476D">
            <w:pPr>
              <w:pStyle w:val="Marginlie"/>
            </w:pPr>
            <w:r>
              <w:t>Nové zakázky rostly v pozemním i inženýrském stavitelství. Rychleji přibývala zásoba dosud nerealizovaných zakázek.</w:t>
            </w:r>
          </w:p>
          <w:p w14:paraId="443AF670" w14:textId="77777777" w:rsidR="00B96D74" w:rsidRDefault="00B96D74" w:rsidP="0091476D">
            <w:pPr>
              <w:pStyle w:val="Marginlie"/>
            </w:pPr>
          </w:p>
          <w:p w14:paraId="250CF4EA" w14:textId="77777777" w:rsidR="00B96D74" w:rsidRDefault="00B96D74" w:rsidP="0091476D">
            <w:pPr>
              <w:pStyle w:val="Marginlie"/>
            </w:pPr>
          </w:p>
          <w:p w14:paraId="7D1C80C2" w14:textId="77777777" w:rsidR="00B96D74" w:rsidRDefault="00B96D74" w:rsidP="0091476D">
            <w:pPr>
              <w:pStyle w:val="Marginlie"/>
            </w:pPr>
          </w:p>
          <w:p w14:paraId="498484D1" w14:textId="77777777" w:rsidR="00B96D74" w:rsidRDefault="00B96D74" w:rsidP="0091476D">
            <w:pPr>
              <w:pStyle w:val="Marginlie"/>
            </w:pPr>
            <w:r>
              <w:t>Důvěra ve stavebnictví posilovala. Významné bariéry růstu produkce ale přetrvávaly.</w:t>
            </w:r>
          </w:p>
        </w:tc>
        <w:tc>
          <w:tcPr>
            <w:tcW w:w="214" w:type="dxa"/>
            <w:shd w:val="clear" w:color="auto" w:fill="auto"/>
            <w:tcMar>
              <w:left w:w="0" w:type="dxa"/>
            </w:tcMar>
          </w:tcPr>
          <w:p w14:paraId="7BE826F4"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42B6776" w14:textId="77777777" w:rsidR="00B96D74" w:rsidRPr="004D53D9" w:rsidRDefault="00B96D74" w:rsidP="0091476D">
            <w:pPr>
              <w:rPr>
                <w:spacing w:val="-4"/>
                <w:szCs w:val="20"/>
              </w:rPr>
            </w:pPr>
            <w:r>
              <w:rPr>
                <w:spacing w:val="-4"/>
                <w:szCs w:val="20"/>
              </w:rPr>
              <w:t>Hodnota nově uzavřených stavebních zakázek (v podnicích s více než 50 zaměstnanci) ve 4. čtvrtletí 2020 meziročně vzrostla v pozemním (o 8,1 %) i inženýrském stavitelství (7,0 %). Vzhledem k tomu, že se tak dělo i po většinu roku 2020, mělo to v kombinaci s nižší loňskou plynulostí stavební produkce pozitivní dopad na celkovou zásobu práce (dosud nerealizované zakázky). Ta byla na konci prosince meziročně vyšší o šestinu, o což se podobným dílem zasloužily veřejné i soukromé tuzemské zakázky. Poprvé od roku 2014 vzrostl objem nasmlouvaných prací v zahraničí, jimiž si tuzemské firmy mnohdy vypomáhají „v horších časech“. Celková důvěra podnikatelů ve stavebnictví se od půle loňského roku zlepšovala a v únoru 2021 dosáhla jedenáctiměsíčního maxima. Souviselo to s příznivým vývojem zakázek i mírně pozitivním náhledem na vývoj zaměstnanosti. I tak nedostatečná poptávka stále limitovala skoro třetinu podniků a nedostatek pracovníků kolem 40 % z nich.</w:t>
            </w:r>
          </w:p>
        </w:tc>
      </w:tr>
      <w:tr w:rsidR="00B96D74" w:rsidRPr="00B863F5" w14:paraId="452B1FF4" w14:textId="77777777" w:rsidTr="0091476D">
        <w:trPr>
          <w:trHeight w:val="145"/>
        </w:trPr>
        <w:tc>
          <w:tcPr>
            <w:tcW w:w="1780" w:type="dxa"/>
            <w:shd w:val="clear" w:color="auto" w:fill="auto"/>
            <w:tcMar>
              <w:left w:w="0" w:type="dxa"/>
            </w:tcMar>
          </w:tcPr>
          <w:p w14:paraId="35B6CDA3" w14:textId="7E207DEF" w:rsidR="00B96D74" w:rsidRDefault="00B96D74" w:rsidP="0091476D">
            <w:pPr>
              <w:pStyle w:val="Marginlie"/>
            </w:pPr>
            <w:r>
              <w:t>Tržby ve službách propadly meziměsíčně v březnu i </w:t>
            </w:r>
            <w:r w:rsidR="0091476D">
              <w:t xml:space="preserve">v </w:t>
            </w:r>
            <w:r>
              <w:t>dubnu téměř o desetinu.</w:t>
            </w:r>
          </w:p>
        </w:tc>
        <w:tc>
          <w:tcPr>
            <w:tcW w:w="214" w:type="dxa"/>
            <w:shd w:val="clear" w:color="auto" w:fill="auto"/>
            <w:tcMar>
              <w:left w:w="0" w:type="dxa"/>
            </w:tcMar>
          </w:tcPr>
          <w:p w14:paraId="40FBB0EB"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2BF04E2" w14:textId="77777777" w:rsidR="00B96D74" w:rsidRPr="00B863F5" w:rsidRDefault="00B96D74" w:rsidP="0091476D">
            <w:pPr>
              <w:rPr>
                <w:spacing w:val="-4"/>
                <w:szCs w:val="20"/>
              </w:rPr>
            </w:pPr>
            <w:r w:rsidRPr="00B863F5">
              <w:rPr>
                <w:spacing w:val="-4"/>
              </w:rPr>
              <w:t xml:space="preserve">Tržby </w:t>
            </w:r>
            <w:r w:rsidRPr="00B863F5">
              <w:rPr>
                <w:color w:val="0D0D0D" w:themeColor="text1" w:themeTint="F2"/>
                <w:spacing w:val="-4"/>
              </w:rPr>
              <w:t>ve vybraných službách</w:t>
            </w:r>
            <w:r w:rsidRPr="00B863F5">
              <w:rPr>
                <w:color w:val="0D0D0D" w:themeColor="text1" w:themeTint="F2"/>
                <w:spacing w:val="-4"/>
                <w:vertAlign w:val="superscript"/>
              </w:rPr>
              <w:footnoteReference w:id="36"/>
            </w:r>
            <w:r w:rsidRPr="00B863F5">
              <w:rPr>
                <w:color w:val="0D0D0D" w:themeColor="text1" w:themeTint="F2"/>
                <w:spacing w:val="-4"/>
              </w:rPr>
              <w:t xml:space="preserve"> byly vládními restriktivními opatřeními loni zvlášť citelně zasaženy. Během března a</w:t>
            </w:r>
            <w:r>
              <w:rPr>
                <w:color w:val="0D0D0D" w:themeColor="text1" w:themeTint="F2"/>
                <w:spacing w:val="-4"/>
              </w:rPr>
              <w:t> </w:t>
            </w:r>
            <w:r w:rsidRPr="00B863F5">
              <w:rPr>
                <w:color w:val="0D0D0D" w:themeColor="text1" w:themeTint="F2"/>
                <w:spacing w:val="-4"/>
              </w:rPr>
              <w:t>dubna se meziměsíčně</w:t>
            </w:r>
            <w:r>
              <w:rPr>
                <w:color w:val="0D0D0D" w:themeColor="text1" w:themeTint="F2"/>
                <w:spacing w:val="-4"/>
              </w:rPr>
              <w:t xml:space="preserve"> rekordně propadly skoro</w:t>
            </w:r>
            <w:r w:rsidRPr="00B863F5">
              <w:rPr>
                <w:color w:val="0D0D0D" w:themeColor="text1" w:themeTint="F2"/>
                <w:spacing w:val="-4"/>
              </w:rPr>
              <w:t xml:space="preserve"> o</w:t>
            </w:r>
            <w:r>
              <w:rPr>
                <w:color w:val="0D0D0D" w:themeColor="text1" w:themeTint="F2"/>
                <w:spacing w:val="-4"/>
              </w:rPr>
              <w:t> </w:t>
            </w:r>
            <w:r w:rsidRPr="00B863F5">
              <w:rPr>
                <w:color w:val="0D0D0D" w:themeColor="text1" w:themeTint="F2"/>
                <w:spacing w:val="-4"/>
              </w:rPr>
              <w:t xml:space="preserve">desetinu. </w:t>
            </w:r>
            <w:r>
              <w:rPr>
                <w:color w:val="0D0D0D" w:themeColor="text1" w:themeTint="F2"/>
                <w:spacing w:val="-4"/>
              </w:rPr>
              <w:t>V</w:t>
            </w:r>
            <w:r>
              <w:rPr>
                <w:spacing w:val="-4"/>
                <w:szCs w:val="20"/>
              </w:rPr>
              <w:t> </w:t>
            </w:r>
            <w:r>
              <w:rPr>
                <w:color w:val="0D0D0D" w:themeColor="text1" w:themeTint="F2"/>
                <w:spacing w:val="-4"/>
              </w:rPr>
              <w:t>následujících třech měsících</w:t>
            </w:r>
            <w:r w:rsidRPr="00B863F5">
              <w:rPr>
                <w:color w:val="0D0D0D" w:themeColor="text1" w:themeTint="F2"/>
                <w:spacing w:val="-4"/>
              </w:rPr>
              <w:t xml:space="preserve"> došlo sice k částečnému oživení (</w:t>
            </w:r>
            <w:r>
              <w:rPr>
                <w:color w:val="0D0D0D" w:themeColor="text1" w:themeTint="F2"/>
                <w:spacing w:val="-4"/>
              </w:rPr>
              <w:t>hlavně</w:t>
            </w:r>
            <w:r w:rsidRPr="00B863F5">
              <w:rPr>
                <w:color w:val="0D0D0D" w:themeColor="text1" w:themeTint="F2"/>
                <w:spacing w:val="-4"/>
              </w:rPr>
              <w:t xml:space="preserve"> v ubytování, stravování a</w:t>
            </w:r>
            <w:r>
              <w:rPr>
                <w:color w:val="0D0D0D" w:themeColor="text1" w:themeTint="F2"/>
                <w:spacing w:val="-4"/>
              </w:rPr>
              <w:t> </w:t>
            </w:r>
            <w:r w:rsidRPr="00B863F5">
              <w:rPr>
                <w:color w:val="0D0D0D" w:themeColor="text1" w:themeTint="F2"/>
                <w:spacing w:val="-4"/>
              </w:rPr>
              <w:t>pohostinství), to ale zdaleka nemohlo hluboký předchozí útlum kompenzovat.</w:t>
            </w:r>
            <w:r>
              <w:rPr>
                <w:color w:val="0D0D0D" w:themeColor="text1" w:themeTint="F2"/>
                <w:spacing w:val="-4"/>
              </w:rPr>
              <w:t xml:space="preserve"> Druhá epidemická vlna vedla ke zkrácení letní turistické sezóny. Od srpna až do konce loňského roku tržby meziměsíčně opět klesaly</w:t>
            </w:r>
            <w:r>
              <w:rPr>
                <w:rStyle w:val="Znakapoznpodarou"/>
                <w:color w:val="0D0D0D" w:themeColor="text1" w:themeTint="F2"/>
                <w:spacing w:val="-4"/>
              </w:rPr>
              <w:footnoteReference w:id="37"/>
            </w:r>
            <w:r>
              <w:rPr>
                <w:color w:val="0D0D0D" w:themeColor="text1" w:themeTint="F2"/>
                <w:spacing w:val="-4"/>
              </w:rPr>
              <w:t xml:space="preserve">, ovšem o řád nižšími tempy než za jarní krize. Některé služby se dokázaly zčásti přizpůsobit </w:t>
            </w:r>
            <w:r>
              <w:rPr>
                <w:rFonts w:cs="Arial"/>
                <w:bCs/>
                <w:spacing w:val="-2"/>
                <w:szCs w:val="20"/>
              </w:rPr>
              <w:t>nařízenému omezení mezilidského kontaktu, určitý segment služeb také profitoval z příznivého vývoje průmyslu.</w:t>
            </w:r>
          </w:p>
        </w:tc>
      </w:tr>
      <w:tr w:rsidR="00B96D74" w:rsidRPr="00B863F5" w14:paraId="615A8A69" w14:textId="77777777" w:rsidTr="0091476D">
        <w:trPr>
          <w:trHeight w:val="145"/>
        </w:trPr>
        <w:tc>
          <w:tcPr>
            <w:tcW w:w="1780" w:type="dxa"/>
            <w:shd w:val="clear" w:color="auto" w:fill="auto"/>
            <w:tcMar>
              <w:left w:w="0" w:type="dxa"/>
            </w:tcMar>
          </w:tcPr>
          <w:p w14:paraId="2275A2EB" w14:textId="77777777" w:rsidR="00B96D74" w:rsidRDefault="00B96D74" w:rsidP="0091476D">
            <w:pPr>
              <w:pStyle w:val="Marginlie"/>
            </w:pPr>
            <w:r>
              <w:t>Tržby ve službách loni propadly hlouběji než v roce 2009. Nejvíce je ovlivnil vývoj v dopravě a skladování.</w:t>
            </w:r>
          </w:p>
        </w:tc>
        <w:tc>
          <w:tcPr>
            <w:tcW w:w="214" w:type="dxa"/>
            <w:shd w:val="clear" w:color="auto" w:fill="auto"/>
            <w:tcMar>
              <w:left w:w="0" w:type="dxa"/>
            </w:tcMar>
          </w:tcPr>
          <w:p w14:paraId="15F7CB98"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5E4A3EDD" w14:textId="376233ED" w:rsidR="00B96D74" w:rsidRPr="00B863F5" w:rsidRDefault="00B96D74" w:rsidP="0091476D">
            <w:pPr>
              <w:rPr>
                <w:spacing w:val="-4"/>
              </w:rPr>
            </w:pPr>
            <w:r w:rsidRPr="004931BB">
              <w:rPr>
                <w:spacing w:val="-4"/>
                <w:szCs w:val="20"/>
              </w:rPr>
              <w:t>Za celý loňský rok se tržby ve službách propadly o</w:t>
            </w:r>
            <w:r>
              <w:rPr>
                <w:spacing w:val="-4"/>
                <w:szCs w:val="20"/>
              </w:rPr>
              <w:t> </w:t>
            </w:r>
            <w:r w:rsidRPr="004931BB">
              <w:rPr>
                <w:spacing w:val="-4"/>
                <w:szCs w:val="20"/>
              </w:rPr>
              <w:t>11,8</w:t>
            </w:r>
            <w:r>
              <w:rPr>
                <w:spacing w:val="-4"/>
                <w:szCs w:val="20"/>
              </w:rPr>
              <w:t> %</w:t>
            </w:r>
            <w:r w:rsidRPr="004931BB">
              <w:rPr>
                <w:spacing w:val="-4"/>
                <w:szCs w:val="20"/>
              </w:rPr>
              <w:t xml:space="preserve"> a</w:t>
            </w:r>
            <w:r>
              <w:rPr>
                <w:spacing w:val="-4"/>
                <w:szCs w:val="20"/>
              </w:rPr>
              <w:t> </w:t>
            </w:r>
            <w:r w:rsidRPr="004931BB">
              <w:rPr>
                <w:spacing w:val="-4"/>
                <w:szCs w:val="20"/>
              </w:rPr>
              <w:t xml:space="preserve">mírně tak překonaly svůj dosud nejhlubší útlum z roku 2009. </w:t>
            </w:r>
            <w:r>
              <w:rPr>
                <w:spacing w:val="-4"/>
                <w:szCs w:val="20"/>
              </w:rPr>
              <w:t xml:space="preserve">Na loňském </w:t>
            </w:r>
            <w:r w:rsidRPr="004931BB">
              <w:rPr>
                <w:spacing w:val="-4"/>
                <w:szCs w:val="20"/>
              </w:rPr>
              <w:t xml:space="preserve">poklesu </w:t>
            </w:r>
            <w:r>
              <w:rPr>
                <w:spacing w:val="-4"/>
                <w:szCs w:val="20"/>
              </w:rPr>
              <w:t>se téměř třetinou podílela</w:t>
            </w:r>
            <w:r w:rsidRPr="004931BB">
              <w:rPr>
                <w:spacing w:val="-4"/>
                <w:szCs w:val="20"/>
              </w:rPr>
              <w:t xml:space="preserve"> váhově dominantní</w:t>
            </w:r>
            <w:r>
              <w:rPr>
                <w:spacing w:val="-4"/>
                <w:szCs w:val="20"/>
              </w:rPr>
              <w:t xml:space="preserve"> doprava a</w:t>
            </w:r>
            <w:r w:rsidRPr="004931BB">
              <w:rPr>
                <w:spacing w:val="-4"/>
                <w:szCs w:val="20"/>
              </w:rPr>
              <w:t> </w:t>
            </w:r>
            <w:r>
              <w:rPr>
                <w:spacing w:val="-4"/>
                <w:szCs w:val="20"/>
              </w:rPr>
              <w:t>skladování</w:t>
            </w:r>
            <w:r w:rsidRPr="004931BB">
              <w:rPr>
                <w:spacing w:val="-4"/>
                <w:szCs w:val="20"/>
              </w:rPr>
              <w:t>. Jen mírně slabší vliv měl</w:t>
            </w:r>
            <w:r>
              <w:rPr>
                <w:spacing w:val="-4"/>
                <w:szCs w:val="20"/>
              </w:rPr>
              <w:t>a</w:t>
            </w:r>
            <w:r w:rsidRPr="004931BB">
              <w:rPr>
                <w:spacing w:val="-4"/>
                <w:szCs w:val="20"/>
              </w:rPr>
              <w:t xml:space="preserve"> další odvětví</w:t>
            </w:r>
            <w:r>
              <w:rPr>
                <w:spacing w:val="-4"/>
                <w:szCs w:val="20"/>
              </w:rPr>
              <w:t> </w:t>
            </w:r>
            <w:r w:rsidRPr="004931BB">
              <w:rPr>
                <w:spacing w:val="-4"/>
                <w:szCs w:val="20"/>
              </w:rPr>
              <w:t>– administr</w:t>
            </w:r>
            <w:r>
              <w:rPr>
                <w:spacing w:val="-4"/>
                <w:szCs w:val="20"/>
              </w:rPr>
              <w:t>ativní a</w:t>
            </w:r>
            <w:r w:rsidRPr="004931BB">
              <w:rPr>
                <w:spacing w:val="-4"/>
                <w:szCs w:val="20"/>
              </w:rPr>
              <w:t xml:space="preserve"> podpůrné činnosti, resp. ubytování, </w:t>
            </w:r>
            <w:r>
              <w:rPr>
                <w:spacing w:val="-4"/>
                <w:szCs w:val="20"/>
              </w:rPr>
              <w:t>stravování a </w:t>
            </w:r>
            <w:r w:rsidRPr="004931BB">
              <w:rPr>
                <w:spacing w:val="-4"/>
                <w:szCs w:val="20"/>
              </w:rPr>
              <w:t>pohostinství</w:t>
            </w:r>
            <w:r>
              <w:rPr>
                <w:spacing w:val="-4"/>
                <w:szCs w:val="20"/>
              </w:rPr>
              <w:t> </w:t>
            </w:r>
            <w:r w:rsidRPr="004931BB">
              <w:rPr>
                <w:spacing w:val="-4"/>
                <w:szCs w:val="20"/>
              </w:rPr>
              <w:t>–, kter</w:t>
            </w:r>
            <w:r>
              <w:rPr>
                <w:spacing w:val="-4"/>
                <w:szCs w:val="20"/>
              </w:rPr>
              <w:t>á</w:t>
            </w:r>
            <w:r w:rsidRPr="004931BB">
              <w:rPr>
                <w:spacing w:val="-4"/>
                <w:szCs w:val="20"/>
              </w:rPr>
              <w:t xml:space="preserve"> byl</w:t>
            </w:r>
            <w:r>
              <w:rPr>
                <w:spacing w:val="-4"/>
                <w:szCs w:val="20"/>
              </w:rPr>
              <w:t>a</w:t>
            </w:r>
            <w:r w:rsidRPr="004931BB">
              <w:rPr>
                <w:spacing w:val="-4"/>
                <w:szCs w:val="20"/>
              </w:rPr>
              <w:t xml:space="preserve"> rozhodující</w:t>
            </w:r>
            <w:r>
              <w:rPr>
                <w:spacing w:val="-4"/>
                <w:szCs w:val="20"/>
              </w:rPr>
              <w:t>m</w:t>
            </w:r>
            <w:r w:rsidRPr="004931BB">
              <w:rPr>
                <w:spacing w:val="-4"/>
                <w:szCs w:val="20"/>
              </w:rPr>
              <w:t xml:space="preserve"> faktorem nepříznivého vývoje služeb ve</w:t>
            </w:r>
            <w:r w:rsidR="0093648B">
              <w:rPr>
                <w:spacing w:val="-4"/>
                <w:szCs w:val="20"/>
              </w:rPr>
              <w:t> třetím, resp. čtvrtém</w:t>
            </w:r>
            <w:r>
              <w:rPr>
                <w:spacing w:val="-4"/>
                <w:szCs w:val="20"/>
              </w:rPr>
              <w:t> čtvrtletí 2020.</w:t>
            </w:r>
          </w:p>
        </w:tc>
      </w:tr>
      <w:tr w:rsidR="00B96D74" w:rsidRPr="00B863F5" w14:paraId="48A1FF64" w14:textId="77777777" w:rsidTr="0091476D">
        <w:trPr>
          <w:trHeight w:val="145"/>
        </w:trPr>
        <w:tc>
          <w:tcPr>
            <w:tcW w:w="1780" w:type="dxa"/>
            <w:shd w:val="clear" w:color="auto" w:fill="auto"/>
            <w:tcMar>
              <w:left w:w="0" w:type="dxa"/>
            </w:tcMar>
          </w:tcPr>
          <w:p w14:paraId="697CCE16" w14:textId="77777777" w:rsidR="00B96D74" w:rsidRDefault="00B96D74" w:rsidP="0091476D">
            <w:pPr>
              <w:pStyle w:val="Marginlie"/>
            </w:pPr>
            <w:r>
              <w:t>Nejvíce byly zasaženy oblasti služeb vázané na cestovní ruch či jiné volnočasové aktivity.</w:t>
            </w:r>
          </w:p>
          <w:p w14:paraId="73FB0A11" w14:textId="77777777" w:rsidR="00B96D74" w:rsidRDefault="00B96D74" w:rsidP="0091476D">
            <w:pPr>
              <w:pStyle w:val="Marginlie"/>
            </w:pPr>
          </w:p>
          <w:p w14:paraId="00BE137C" w14:textId="77777777" w:rsidR="00B96D74" w:rsidRDefault="00B96D74" w:rsidP="0091476D">
            <w:pPr>
              <w:pStyle w:val="Marginlie"/>
            </w:pPr>
          </w:p>
          <w:p w14:paraId="16FE1F57" w14:textId="399A5AC3" w:rsidR="00B96D74" w:rsidRDefault="00B96D74" w:rsidP="0091476D">
            <w:pPr>
              <w:pStyle w:val="Marginlie"/>
            </w:pPr>
          </w:p>
          <w:p w14:paraId="7198CB6B" w14:textId="77777777" w:rsidR="00B96D74" w:rsidRDefault="00B96D74" w:rsidP="0091476D">
            <w:pPr>
              <w:pStyle w:val="Marginlie"/>
            </w:pPr>
          </w:p>
          <w:p w14:paraId="2E05154A" w14:textId="77777777" w:rsidR="00B96D74" w:rsidRDefault="00B96D74" w:rsidP="0091476D">
            <w:pPr>
              <w:pStyle w:val="Marginlie"/>
            </w:pPr>
          </w:p>
          <w:p w14:paraId="140E7E35" w14:textId="77777777" w:rsidR="00B96D74" w:rsidRDefault="00B96D74" w:rsidP="0091476D">
            <w:pPr>
              <w:pStyle w:val="Marginlie"/>
            </w:pPr>
            <w:r>
              <w:lastRenderedPageBreak/>
              <w:t>Služby s vazbou na průmysl zažily ve druhé polovině roku mírné oživení.</w:t>
            </w:r>
          </w:p>
        </w:tc>
        <w:tc>
          <w:tcPr>
            <w:tcW w:w="214" w:type="dxa"/>
            <w:shd w:val="clear" w:color="auto" w:fill="auto"/>
            <w:tcMar>
              <w:left w:w="0" w:type="dxa"/>
            </w:tcMar>
          </w:tcPr>
          <w:p w14:paraId="0B0C6992"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763ACB9B" w14:textId="6C1275A9" w:rsidR="00B96D74" w:rsidRPr="00B863F5" w:rsidRDefault="00B96D74" w:rsidP="0091476D">
            <w:pPr>
              <w:rPr>
                <w:spacing w:val="-4"/>
              </w:rPr>
            </w:pPr>
            <w:r>
              <w:rPr>
                <w:spacing w:val="-4"/>
                <w:szCs w:val="20"/>
              </w:rPr>
              <w:t>Vzhledem k povaze restrikcí není překvapivé, že největší útlum ve službách postihl oblasti úzce vázané na cestovní ruch a jiné volnočasové aktivity. Tržby cestovních kanceláří a agentur propadly ve srovnání s rokem 2019 o 75</w:t>
            </w:r>
            <w:r w:rsidR="0091476D">
              <w:rPr>
                <w:spacing w:val="-4"/>
                <w:szCs w:val="20"/>
              </w:rPr>
              <w:t>,0</w:t>
            </w:r>
            <w:r>
              <w:rPr>
                <w:spacing w:val="-4"/>
                <w:szCs w:val="20"/>
              </w:rPr>
              <w:t> %, v letecké dopravě o 70</w:t>
            </w:r>
            <w:r w:rsidR="0091476D">
              <w:rPr>
                <w:spacing w:val="-4"/>
                <w:szCs w:val="20"/>
              </w:rPr>
              <w:t>,4 %, v ubytování o 55,9</w:t>
            </w:r>
            <w:r>
              <w:rPr>
                <w:spacing w:val="-4"/>
                <w:szCs w:val="20"/>
              </w:rPr>
              <w:t> % a ve stravování i </w:t>
            </w:r>
            <w:r w:rsidRPr="00AF0C26">
              <w:rPr>
                <w:spacing w:val="-4"/>
                <w:szCs w:val="20"/>
              </w:rPr>
              <w:t>pohostinství</w:t>
            </w:r>
            <w:r>
              <w:rPr>
                <w:spacing w:val="-4"/>
                <w:szCs w:val="20"/>
              </w:rPr>
              <w:t xml:space="preserve"> o 34</w:t>
            </w:r>
            <w:r w:rsidR="0091476D">
              <w:rPr>
                <w:spacing w:val="-4"/>
                <w:szCs w:val="20"/>
              </w:rPr>
              <w:t>,1</w:t>
            </w:r>
            <w:r>
              <w:rPr>
                <w:spacing w:val="-4"/>
                <w:szCs w:val="20"/>
              </w:rPr>
              <w:t> %</w:t>
            </w:r>
            <w:r>
              <w:rPr>
                <w:rStyle w:val="Znakapoznpodarou"/>
                <w:spacing w:val="-4"/>
                <w:szCs w:val="20"/>
              </w:rPr>
              <w:footnoteReference w:id="38"/>
            </w:r>
            <w:r>
              <w:rPr>
                <w:spacing w:val="-4"/>
                <w:szCs w:val="20"/>
              </w:rPr>
              <w:t>. Téměř o dvě pětiny propadl i výkon filmového a hudebního průmyslu</w:t>
            </w:r>
            <w:r>
              <w:rPr>
                <w:rStyle w:val="Znakapoznpodarou"/>
                <w:spacing w:val="-4"/>
                <w:szCs w:val="20"/>
              </w:rPr>
              <w:footnoteReference w:id="39"/>
            </w:r>
            <w:r>
              <w:rPr>
                <w:spacing w:val="-4"/>
                <w:szCs w:val="20"/>
              </w:rPr>
              <w:t>. S problémy se loni potýkaly i další oblasti služeb, kde je</w:t>
            </w:r>
            <w:r>
              <w:rPr>
                <w:rFonts w:cs="Arial"/>
                <w:bCs/>
                <w:spacing w:val="-2"/>
                <w:szCs w:val="20"/>
              </w:rPr>
              <w:t xml:space="preserve"> poptávka citlivá na výkyvy hospodářského cyklu. Šlo zejména o pracovní agentury, v nichž tržby propadly skoro o pětinu. O více než desetinu se snížily v </w:t>
            </w:r>
            <w:r w:rsidR="0091476D">
              <w:rPr>
                <w:rFonts w:cs="Arial"/>
                <w:bCs/>
                <w:spacing w:val="-2"/>
                <w:szCs w:val="20"/>
              </w:rPr>
              <w:t xml:space="preserve">pozemní dopravě, ve skladování a také </w:t>
            </w:r>
            <w:r>
              <w:rPr>
                <w:rFonts w:cs="Arial"/>
                <w:bCs/>
                <w:spacing w:val="-2"/>
                <w:szCs w:val="20"/>
              </w:rPr>
              <w:t xml:space="preserve">v reklamě, 8% pokles registrovaly aktivity v oblasti pronájmu </w:t>
            </w:r>
            <w:r>
              <w:rPr>
                <w:rFonts w:cs="Arial"/>
                <w:bCs/>
                <w:spacing w:val="-2"/>
                <w:szCs w:val="20"/>
              </w:rPr>
              <w:lastRenderedPageBreak/>
              <w:t>a</w:t>
            </w:r>
            <w:r>
              <w:rPr>
                <w:spacing w:val="-4"/>
                <w:szCs w:val="20"/>
              </w:rPr>
              <w:t> </w:t>
            </w:r>
            <w:r w:rsidRPr="00873FD9">
              <w:rPr>
                <w:rFonts w:cs="Arial"/>
                <w:bCs/>
                <w:spacing w:val="-2"/>
                <w:szCs w:val="20"/>
              </w:rPr>
              <w:t>operativního leasingu</w:t>
            </w:r>
            <w:r>
              <w:rPr>
                <w:rFonts w:cs="Arial"/>
                <w:bCs/>
                <w:spacing w:val="-2"/>
                <w:szCs w:val="20"/>
              </w:rPr>
              <w:t xml:space="preserve"> či a</w:t>
            </w:r>
            <w:r w:rsidRPr="00873FD9">
              <w:rPr>
                <w:rFonts w:cs="Arial"/>
                <w:bCs/>
                <w:spacing w:val="-2"/>
                <w:szCs w:val="20"/>
              </w:rPr>
              <w:t>rchit</w:t>
            </w:r>
            <w:r>
              <w:rPr>
                <w:rFonts w:cs="Arial"/>
                <w:bCs/>
                <w:spacing w:val="-2"/>
                <w:szCs w:val="20"/>
              </w:rPr>
              <w:t>ektonické a inženýrské činnosti. Oblasti služeb navázané na průmysl zažily ve 2.</w:t>
            </w:r>
            <w:r>
              <w:rPr>
                <w:spacing w:val="-4"/>
                <w:szCs w:val="20"/>
              </w:rPr>
              <w:t> </w:t>
            </w:r>
            <w:r>
              <w:rPr>
                <w:rFonts w:cs="Arial"/>
                <w:bCs/>
                <w:spacing w:val="-2"/>
                <w:szCs w:val="20"/>
              </w:rPr>
              <w:t>pololetí oživení. Ve 4. čtvrtletí tak ve srovnání s předchozím kvartálem vzrostly tržby v pozemní dopravě (+1,9 %), ve skladování (+3,2 %) i v pracovních agenturách (+5,2 %).</w:t>
            </w:r>
          </w:p>
        </w:tc>
      </w:tr>
      <w:tr w:rsidR="00B96D74" w:rsidRPr="00307BAB" w14:paraId="1BCCEA4B" w14:textId="77777777" w:rsidTr="0091476D">
        <w:trPr>
          <w:trHeight w:val="145"/>
        </w:trPr>
        <w:tc>
          <w:tcPr>
            <w:tcW w:w="1780" w:type="dxa"/>
            <w:shd w:val="clear" w:color="auto" w:fill="auto"/>
            <w:tcMar>
              <w:left w:w="0" w:type="dxa"/>
            </w:tcMar>
          </w:tcPr>
          <w:p w14:paraId="09CF8E27" w14:textId="77777777" w:rsidR="00B96D74" w:rsidRDefault="00B96D74" w:rsidP="0091476D">
            <w:pPr>
              <w:pStyle w:val="Marginlie"/>
            </w:pPr>
          </w:p>
        </w:tc>
        <w:tc>
          <w:tcPr>
            <w:tcW w:w="214" w:type="dxa"/>
            <w:shd w:val="clear" w:color="auto" w:fill="auto"/>
            <w:tcMar>
              <w:left w:w="0" w:type="dxa"/>
            </w:tcMar>
          </w:tcPr>
          <w:p w14:paraId="7A8D1414"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11484006" w14:textId="77777777" w:rsidR="00B96D74" w:rsidRPr="00307BAB" w:rsidRDefault="00B96D74" w:rsidP="0091476D">
            <w:pPr>
              <w:spacing w:after="0"/>
              <w:rPr>
                <w:spacing w:val="2"/>
                <w:szCs w:val="20"/>
              </w:rPr>
            </w:pPr>
            <w:r w:rsidRPr="00307BAB">
              <w:rPr>
                <w:b/>
                <w:spacing w:val="2"/>
              </w:rPr>
              <w:t>Graf č. 7</w:t>
            </w:r>
            <w:r>
              <w:rPr>
                <w:b/>
                <w:spacing w:val="2"/>
              </w:rPr>
              <w:t xml:space="preserve"> </w:t>
            </w:r>
            <w:r w:rsidRPr="00307BAB">
              <w:rPr>
                <w:b/>
                <w:spacing w:val="2"/>
              </w:rPr>
              <w:t xml:space="preserve"> Příspěvky odvětví k meziroční změně tržeb ve službách*</w:t>
            </w:r>
            <w:r w:rsidRPr="00307BAB">
              <w:rPr>
                <w:b/>
                <w:spacing w:val="2"/>
              </w:rPr>
              <w:br/>
            </w:r>
            <w:r w:rsidRPr="00307BAB">
              <w:rPr>
                <w:spacing w:val="2"/>
              </w:rPr>
              <w:t>(v p. b., očištěno o kalendářní vlivy)</w:t>
            </w:r>
            <w:r w:rsidRPr="00307BAB">
              <w:rPr>
                <w:b/>
                <w:bCs/>
                <w:spacing w:val="2"/>
              </w:rPr>
              <w:t xml:space="preserve">, </w:t>
            </w:r>
            <w:r w:rsidRPr="00307BAB">
              <w:rPr>
                <w:b/>
                <w:spacing w:val="2"/>
              </w:rPr>
              <w:t>saldo indikátoru důvěry ve službách**</w:t>
            </w:r>
            <w:r w:rsidRPr="00307BAB">
              <w:rPr>
                <w:b/>
                <w:spacing w:val="2"/>
              </w:rPr>
              <w:br/>
            </w:r>
            <w:r w:rsidRPr="00307BAB">
              <w:rPr>
                <w:spacing w:val="2"/>
              </w:rPr>
              <w:t>(v p. b., pravá osa)</w:t>
            </w:r>
            <w:r w:rsidRPr="00307BAB">
              <w:rPr>
                <w:b/>
                <w:spacing w:val="2"/>
              </w:rPr>
              <w:t xml:space="preserve"> a vybrané bariéry růstu*</w:t>
            </w:r>
            <w:r w:rsidRPr="00307BAB">
              <w:rPr>
                <w:spacing w:val="2"/>
              </w:rPr>
              <w:t>* (v %, pravá osa)</w:t>
            </w:r>
          </w:p>
        </w:tc>
      </w:tr>
      <w:tr w:rsidR="00B96D74" w:rsidRPr="004D53D9" w14:paraId="469F5CC5" w14:textId="77777777" w:rsidTr="0091476D">
        <w:tblPrEx>
          <w:tblCellMar>
            <w:left w:w="70" w:type="dxa"/>
            <w:right w:w="70" w:type="dxa"/>
          </w:tblCellMar>
        </w:tblPrEx>
        <w:trPr>
          <w:trHeight w:val="145"/>
        </w:trPr>
        <w:tc>
          <w:tcPr>
            <w:tcW w:w="1780" w:type="dxa"/>
            <w:shd w:val="clear" w:color="auto" w:fill="auto"/>
          </w:tcPr>
          <w:p w14:paraId="1F44F6FF" w14:textId="77777777" w:rsidR="00B96D74" w:rsidRDefault="00B96D74" w:rsidP="0091476D">
            <w:pPr>
              <w:pStyle w:val="Marginlie"/>
            </w:pPr>
          </w:p>
        </w:tc>
        <w:tc>
          <w:tcPr>
            <w:tcW w:w="214" w:type="dxa"/>
            <w:shd w:val="clear" w:color="auto" w:fill="auto"/>
          </w:tcPr>
          <w:p w14:paraId="33C44D82" w14:textId="77777777" w:rsidR="00B96D74" w:rsidRPr="00B43216" w:rsidRDefault="00B96D74" w:rsidP="0091476D">
            <w:pPr>
              <w:pStyle w:val="Textpoznpodarou"/>
              <w:jc w:val="both"/>
              <w:rPr>
                <w:spacing w:val="-4"/>
              </w:rPr>
            </w:pPr>
          </w:p>
        </w:tc>
        <w:tc>
          <w:tcPr>
            <w:tcW w:w="7670" w:type="dxa"/>
            <w:shd w:val="clear" w:color="auto" w:fill="auto"/>
          </w:tcPr>
          <w:p w14:paraId="0CDE48E6" w14:textId="77777777" w:rsidR="00B96D74" w:rsidRPr="004D53D9" w:rsidRDefault="00B96D74" w:rsidP="0091476D">
            <w:pPr>
              <w:spacing w:after="0"/>
              <w:rPr>
                <w:spacing w:val="-4"/>
                <w:szCs w:val="20"/>
              </w:rPr>
            </w:pPr>
            <w:r>
              <w:rPr>
                <w:noProof/>
              </w:rPr>
              <w:drawing>
                <wp:inline distT="0" distB="0" distL="0" distR="0" wp14:anchorId="275B8E46" wp14:editId="11E22D72">
                  <wp:extent cx="4773930" cy="3724275"/>
                  <wp:effectExtent l="0" t="0" r="762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96D74" w:rsidRPr="00417064" w14:paraId="7B33AD3F" w14:textId="77777777" w:rsidTr="0091476D">
        <w:trPr>
          <w:trHeight w:val="145"/>
        </w:trPr>
        <w:tc>
          <w:tcPr>
            <w:tcW w:w="1780" w:type="dxa"/>
            <w:shd w:val="clear" w:color="auto" w:fill="auto"/>
            <w:tcMar>
              <w:left w:w="0" w:type="dxa"/>
            </w:tcMar>
          </w:tcPr>
          <w:p w14:paraId="6AB6DAC3" w14:textId="77777777" w:rsidR="00B96D74" w:rsidRDefault="00B96D74" w:rsidP="0091476D">
            <w:pPr>
              <w:pStyle w:val="Marginlie"/>
            </w:pPr>
          </w:p>
        </w:tc>
        <w:tc>
          <w:tcPr>
            <w:tcW w:w="214" w:type="dxa"/>
            <w:shd w:val="clear" w:color="auto" w:fill="auto"/>
            <w:tcMar>
              <w:left w:w="0" w:type="dxa"/>
            </w:tcMar>
          </w:tcPr>
          <w:p w14:paraId="03F36BF2"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2C80D51E" w14:textId="77777777" w:rsidR="00B96D74" w:rsidRPr="00883202" w:rsidRDefault="00B96D74" w:rsidP="0091476D">
            <w:pPr>
              <w:spacing w:after="0"/>
              <w:rPr>
                <w:rFonts w:cs="Arial"/>
                <w:sz w:val="14"/>
                <w:szCs w:val="14"/>
              </w:rPr>
            </w:pPr>
            <w:r w:rsidRPr="00883202">
              <w:rPr>
                <w:rFonts w:cs="Arial"/>
                <w:sz w:val="14"/>
                <w:szCs w:val="14"/>
              </w:rPr>
              <w:t>*</w:t>
            </w:r>
            <w:r w:rsidRPr="00883202">
              <w:rPr>
                <w:color w:val="0D0D0D" w:themeColor="text1" w:themeTint="F2"/>
                <w:sz w:val="14"/>
                <w:szCs w:val="14"/>
              </w:rPr>
              <w:t xml:space="preserve"> Bez odvětví obchodu, peněžnictví, pojišťovnictví, vědy, výzkumu a veřejných služeb.</w:t>
            </w:r>
          </w:p>
          <w:p w14:paraId="73552487" w14:textId="22E39205" w:rsidR="00B96D74" w:rsidRDefault="00B96D74" w:rsidP="00B96D74">
            <w:pPr>
              <w:spacing w:after="0"/>
              <w:rPr>
                <w:rFonts w:cs="Arial"/>
                <w:sz w:val="14"/>
                <w:szCs w:val="14"/>
              </w:rPr>
            </w:pPr>
            <w:r w:rsidRPr="00883202">
              <w:rPr>
                <w:rFonts w:cs="Arial"/>
                <w:sz w:val="14"/>
                <w:szCs w:val="14"/>
              </w:rPr>
              <w:t>**</w:t>
            </w:r>
            <w:r w:rsidRPr="00883202">
              <w:rPr>
                <w:rFonts w:cs="Arial"/>
                <w:spacing w:val="-2"/>
                <w:sz w:val="14"/>
                <w:szCs w:val="14"/>
              </w:rPr>
              <w:t xml:space="preserve">Zahrnuje i finanční sektor. Saldo důvěry i bariéry růstu jsou sezónně očištěny a vyjadřují stav </w:t>
            </w:r>
            <w:r>
              <w:rPr>
                <w:rFonts w:cs="Arial"/>
                <w:spacing w:val="-2"/>
                <w:sz w:val="14"/>
                <w:szCs w:val="14"/>
              </w:rPr>
              <w:t xml:space="preserve">v prvním (bariéry růstu), resp. </w:t>
            </w:r>
            <w:r w:rsidRPr="00883202">
              <w:rPr>
                <w:rFonts w:cs="Arial"/>
                <w:spacing w:val="-2"/>
                <w:sz w:val="14"/>
                <w:szCs w:val="14"/>
              </w:rPr>
              <w:t>ve druhém měsíci daného čtvrtletí</w:t>
            </w:r>
            <w:r>
              <w:rPr>
                <w:rFonts w:cs="Arial"/>
                <w:spacing w:val="-2"/>
                <w:sz w:val="14"/>
                <w:szCs w:val="14"/>
              </w:rPr>
              <w:t xml:space="preserve"> (saldo důvěry)</w:t>
            </w:r>
            <w:r w:rsidRPr="00883202">
              <w:rPr>
                <w:rFonts w:cs="Arial"/>
                <w:spacing w:val="-2"/>
                <w:sz w:val="14"/>
                <w:szCs w:val="14"/>
              </w:rPr>
              <w:t>.</w:t>
            </w:r>
            <w:r>
              <w:rPr>
                <w:rFonts w:cs="Arial"/>
                <w:spacing w:val="-2"/>
                <w:sz w:val="14"/>
                <w:szCs w:val="14"/>
              </w:rPr>
              <w:t xml:space="preserve"> </w:t>
            </w:r>
            <w:r>
              <w:rPr>
                <w:rFonts w:cs="Arial"/>
                <w:sz w:val="14"/>
                <w:szCs w:val="14"/>
              </w:rPr>
              <w:t>Podniky mohly uvést více hlavních bariér současně.</w:t>
            </w:r>
          </w:p>
          <w:p w14:paraId="657CAE32" w14:textId="3E5238AD" w:rsidR="00B96D74" w:rsidRPr="00417064" w:rsidRDefault="00B96D74" w:rsidP="0091476D">
            <w:pPr>
              <w:rPr>
                <w:rFonts w:cs="Arial"/>
                <w:sz w:val="14"/>
                <w:szCs w:val="14"/>
              </w:rPr>
            </w:pPr>
            <w:r w:rsidRPr="00883202">
              <w:rPr>
                <w:rFonts w:cs="Arial"/>
                <w:sz w:val="14"/>
                <w:szCs w:val="14"/>
              </w:rPr>
              <w:t>Zdroj: ČSÚ</w:t>
            </w:r>
          </w:p>
        </w:tc>
      </w:tr>
      <w:tr w:rsidR="00B96D74" w:rsidRPr="004D53D9" w14:paraId="0672DF48" w14:textId="77777777" w:rsidTr="0091476D">
        <w:trPr>
          <w:trHeight w:val="145"/>
        </w:trPr>
        <w:tc>
          <w:tcPr>
            <w:tcW w:w="1780" w:type="dxa"/>
            <w:shd w:val="clear" w:color="auto" w:fill="auto"/>
            <w:tcMar>
              <w:left w:w="0" w:type="dxa"/>
            </w:tcMar>
          </w:tcPr>
          <w:p w14:paraId="088A381C" w14:textId="77777777" w:rsidR="00B96D74" w:rsidRDefault="00B96D74" w:rsidP="0091476D">
            <w:pPr>
              <w:pStyle w:val="Marginlie"/>
            </w:pPr>
            <w:r>
              <w:t>Poptávka po poštovních a kurýrních činnostech, informačních činnostech či telekomunikačních službách významně vzrostla.</w:t>
            </w:r>
          </w:p>
        </w:tc>
        <w:tc>
          <w:tcPr>
            <w:tcW w:w="214" w:type="dxa"/>
            <w:shd w:val="clear" w:color="auto" w:fill="auto"/>
            <w:tcMar>
              <w:left w:w="0" w:type="dxa"/>
            </w:tcMar>
          </w:tcPr>
          <w:p w14:paraId="39974524"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7B444E0A" w14:textId="77777777" w:rsidR="00B96D74" w:rsidRPr="004D53D9" w:rsidRDefault="00B96D74" w:rsidP="0091476D">
            <w:pPr>
              <w:rPr>
                <w:spacing w:val="-4"/>
                <w:szCs w:val="20"/>
              </w:rPr>
            </w:pPr>
            <w:r>
              <w:rPr>
                <w:spacing w:val="-4"/>
                <w:szCs w:val="20"/>
              </w:rPr>
              <w:t>Role některých oblastí služeb, které nabízely řešení v prostředí omezeného sociálního kontaktu, naopak loni sílila. V telekomunikacích tržby vzrostly o 4,8 % (nejvíce po roce 2007). Svižně rostly i i</w:t>
            </w:r>
            <w:r w:rsidRPr="001C533C">
              <w:rPr>
                <w:spacing w:val="-4"/>
                <w:szCs w:val="20"/>
              </w:rPr>
              <w:t>nformační činnosti</w:t>
            </w:r>
            <w:r>
              <w:rPr>
                <w:spacing w:val="-4"/>
                <w:szCs w:val="20"/>
              </w:rPr>
              <w:t xml:space="preserve"> (5,5 %), zahrnující např. zpracování dat, webové portály či </w:t>
            </w:r>
            <w:proofErr w:type="spellStart"/>
            <w:r>
              <w:rPr>
                <w:spacing w:val="-4"/>
                <w:szCs w:val="20"/>
              </w:rPr>
              <w:t>hosting</w:t>
            </w:r>
            <w:proofErr w:type="spellEnd"/>
            <w:r>
              <w:rPr>
                <w:spacing w:val="-4"/>
                <w:szCs w:val="20"/>
              </w:rPr>
              <w:t>. Třetím rokem v řadě rostla poptávka po tvorbě</w:t>
            </w:r>
            <w:r w:rsidRPr="007643A6">
              <w:rPr>
                <w:spacing w:val="-4"/>
                <w:szCs w:val="20"/>
              </w:rPr>
              <w:t xml:space="preserve"> programů a</w:t>
            </w:r>
            <w:r>
              <w:rPr>
                <w:spacing w:val="-4"/>
                <w:szCs w:val="20"/>
              </w:rPr>
              <w:t> </w:t>
            </w:r>
            <w:r w:rsidRPr="007643A6">
              <w:rPr>
                <w:spacing w:val="-4"/>
                <w:szCs w:val="20"/>
              </w:rPr>
              <w:t>vysílání</w:t>
            </w:r>
            <w:r>
              <w:rPr>
                <w:spacing w:val="-4"/>
                <w:szCs w:val="20"/>
              </w:rPr>
              <w:t>. Boom zažívaly p</w:t>
            </w:r>
            <w:r w:rsidRPr="007643A6">
              <w:rPr>
                <w:spacing w:val="-4"/>
                <w:szCs w:val="20"/>
              </w:rPr>
              <w:t>oštovní a</w:t>
            </w:r>
            <w:r>
              <w:rPr>
                <w:spacing w:val="-4"/>
                <w:szCs w:val="20"/>
              </w:rPr>
              <w:t> </w:t>
            </w:r>
            <w:r w:rsidRPr="007643A6">
              <w:rPr>
                <w:spacing w:val="-4"/>
                <w:szCs w:val="20"/>
              </w:rPr>
              <w:t>kurýrní činnosti</w:t>
            </w:r>
            <w:r>
              <w:rPr>
                <w:spacing w:val="-4"/>
                <w:szCs w:val="20"/>
              </w:rPr>
              <w:t>, kde tržby rostly dvojciferným tempem druhým rokem v řadě</w:t>
            </w:r>
            <w:r>
              <w:rPr>
                <w:rStyle w:val="Znakapoznpodarou"/>
                <w:spacing w:val="-4"/>
                <w:szCs w:val="20"/>
              </w:rPr>
              <w:footnoteReference w:id="40"/>
            </w:r>
            <w:r>
              <w:rPr>
                <w:spacing w:val="-4"/>
                <w:szCs w:val="20"/>
              </w:rPr>
              <w:t>. Vedle toho lze nalézt i některé oblasti služeb, na něž neměly vládní restrikce významný dopad a jejichž tempo tržeb se ve srovnání s rokem 2019 podstatně neměnilo (</w:t>
            </w:r>
            <w:r w:rsidRPr="00BA4AE9">
              <w:rPr>
                <w:spacing w:val="-5"/>
                <w:szCs w:val="20"/>
              </w:rPr>
              <w:t>činnosti v oblasti nemovitostí, právní a</w:t>
            </w:r>
            <w:r>
              <w:rPr>
                <w:spacing w:val="-5"/>
                <w:szCs w:val="20"/>
              </w:rPr>
              <w:t> </w:t>
            </w:r>
            <w:r w:rsidRPr="00BA4AE9">
              <w:rPr>
                <w:spacing w:val="-5"/>
                <w:szCs w:val="20"/>
              </w:rPr>
              <w:t>účetnické činnosti či bezpečnostní a</w:t>
            </w:r>
            <w:r>
              <w:rPr>
                <w:spacing w:val="-5"/>
                <w:szCs w:val="20"/>
              </w:rPr>
              <w:t> </w:t>
            </w:r>
            <w:r w:rsidRPr="00BA4AE9">
              <w:rPr>
                <w:spacing w:val="-5"/>
                <w:szCs w:val="20"/>
              </w:rPr>
              <w:t>pátrací činnosti).</w:t>
            </w:r>
          </w:p>
        </w:tc>
      </w:tr>
      <w:tr w:rsidR="00B96D74" w:rsidRPr="00C14B9E" w14:paraId="14544D1C" w14:textId="77777777" w:rsidTr="0091476D">
        <w:trPr>
          <w:trHeight w:val="145"/>
        </w:trPr>
        <w:tc>
          <w:tcPr>
            <w:tcW w:w="1780" w:type="dxa"/>
            <w:shd w:val="clear" w:color="auto" w:fill="auto"/>
            <w:tcMar>
              <w:left w:w="0" w:type="dxa"/>
            </w:tcMar>
          </w:tcPr>
          <w:p w14:paraId="7FEC7431" w14:textId="77777777" w:rsidR="00B96D74" w:rsidRPr="00C854B0" w:rsidRDefault="00B96D74" w:rsidP="0091476D">
            <w:pPr>
              <w:pStyle w:val="Marginlie"/>
              <w:rPr>
                <w:spacing w:val="-4"/>
              </w:rPr>
            </w:pPr>
            <w:r w:rsidRPr="00C854B0">
              <w:rPr>
                <w:spacing w:val="-4"/>
              </w:rPr>
              <w:t>Maloobchodní tržby meziročně klesly poprvé za posledních sedm let.</w:t>
            </w:r>
          </w:p>
        </w:tc>
        <w:tc>
          <w:tcPr>
            <w:tcW w:w="214" w:type="dxa"/>
            <w:shd w:val="clear" w:color="auto" w:fill="auto"/>
            <w:tcMar>
              <w:left w:w="0" w:type="dxa"/>
            </w:tcMar>
          </w:tcPr>
          <w:p w14:paraId="2D326DFE"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02B27C39" w14:textId="77777777" w:rsidR="00B96D74" w:rsidRPr="00C14B9E" w:rsidRDefault="00B96D74" w:rsidP="0091476D">
            <w:pPr>
              <w:rPr>
                <w:spacing w:val="-4"/>
                <w:szCs w:val="20"/>
              </w:rPr>
            </w:pPr>
            <w:r w:rsidRPr="00C14B9E">
              <w:rPr>
                <w:rFonts w:cs="Arial"/>
                <w:spacing w:val="-4"/>
                <w:szCs w:val="20"/>
              </w:rPr>
              <w:t>Maloobchodní tržby</w:t>
            </w:r>
            <w:r w:rsidRPr="00C14B9E">
              <w:rPr>
                <w:rStyle w:val="Znakapoznpodarou"/>
                <w:spacing w:val="-4"/>
              </w:rPr>
              <w:footnoteReference w:id="41"/>
            </w:r>
            <w:r w:rsidRPr="00C14B9E">
              <w:rPr>
                <w:rFonts w:cs="Arial"/>
                <w:spacing w:val="-4"/>
                <w:szCs w:val="20"/>
              </w:rPr>
              <w:t xml:space="preserve"> byly loni zásadně ovlivněny jarní a</w:t>
            </w:r>
            <w:r>
              <w:rPr>
                <w:rFonts w:cs="Arial"/>
                <w:spacing w:val="-4"/>
                <w:szCs w:val="20"/>
              </w:rPr>
              <w:t> </w:t>
            </w:r>
            <w:r w:rsidRPr="00C14B9E">
              <w:rPr>
                <w:rFonts w:cs="Arial"/>
                <w:spacing w:val="-4"/>
                <w:szCs w:val="20"/>
              </w:rPr>
              <w:t xml:space="preserve">podzimní vlnou </w:t>
            </w:r>
            <w:proofErr w:type="spellStart"/>
            <w:r w:rsidRPr="00C14B9E">
              <w:rPr>
                <w:rFonts w:cs="Arial"/>
                <w:spacing w:val="-4"/>
                <w:szCs w:val="20"/>
              </w:rPr>
              <w:t>proti</w:t>
            </w:r>
            <w:r>
              <w:rPr>
                <w:rFonts w:cs="Arial"/>
                <w:spacing w:val="-4"/>
                <w:szCs w:val="20"/>
              </w:rPr>
              <w:t>pandemick</w:t>
            </w:r>
            <w:r w:rsidRPr="00C14B9E">
              <w:rPr>
                <w:rFonts w:cs="Arial"/>
                <w:spacing w:val="-4"/>
                <w:szCs w:val="20"/>
              </w:rPr>
              <w:t>ých</w:t>
            </w:r>
            <w:proofErr w:type="spellEnd"/>
            <w:r w:rsidRPr="00C14B9E">
              <w:rPr>
                <w:rFonts w:cs="Arial"/>
                <w:spacing w:val="-4"/>
                <w:szCs w:val="20"/>
              </w:rPr>
              <w:t xml:space="preserve"> opatření. V březnu </w:t>
            </w:r>
            <w:r>
              <w:rPr>
                <w:rFonts w:cs="Arial"/>
                <w:spacing w:val="-4"/>
                <w:szCs w:val="20"/>
              </w:rPr>
              <w:t>meziměsíčně propadly</w:t>
            </w:r>
            <w:r w:rsidRPr="00C14B9E">
              <w:rPr>
                <w:rFonts w:cs="Arial"/>
                <w:spacing w:val="-4"/>
                <w:szCs w:val="20"/>
              </w:rPr>
              <w:t xml:space="preserve"> o</w:t>
            </w:r>
            <w:r>
              <w:rPr>
                <w:rFonts w:cs="Arial"/>
                <w:spacing w:val="-4"/>
                <w:szCs w:val="20"/>
              </w:rPr>
              <w:t> </w:t>
            </w:r>
            <w:r w:rsidRPr="00C14B9E">
              <w:rPr>
                <w:rFonts w:cs="Arial"/>
                <w:spacing w:val="-4"/>
                <w:szCs w:val="20"/>
              </w:rPr>
              <w:t>11,8</w:t>
            </w:r>
            <w:r>
              <w:rPr>
                <w:rFonts w:cs="Arial"/>
                <w:spacing w:val="-4"/>
                <w:szCs w:val="20"/>
              </w:rPr>
              <w:t> %</w:t>
            </w:r>
            <w:r w:rsidRPr="00C14B9E">
              <w:rPr>
                <w:rFonts w:cs="Arial"/>
                <w:spacing w:val="-4"/>
                <w:szCs w:val="20"/>
              </w:rPr>
              <w:t>, v listopadu o</w:t>
            </w:r>
            <w:r w:rsidRPr="00C14B9E">
              <w:rPr>
                <w:spacing w:val="-4"/>
                <w:szCs w:val="20"/>
              </w:rPr>
              <w:t> </w:t>
            </w:r>
            <w:r>
              <w:rPr>
                <w:rFonts w:cs="Arial"/>
                <w:spacing w:val="-4"/>
                <w:szCs w:val="20"/>
              </w:rPr>
              <w:t>5,6</w:t>
            </w:r>
            <w:r>
              <w:rPr>
                <w:spacing w:val="-4"/>
                <w:szCs w:val="20"/>
              </w:rPr>
              <w:t> </w:t>
            </w:r>
            <w:r w:rsidRPr="00C14B9E">
              <w:rPr>
                <w:rFonts w:cs="Arial"/>
                <w:spacing w:val="-4"/>
                <w:szCs w:val="20"/>
              </w:rPr>
              <w:t>%. Za celý rok 2020 se snížily o</w:t>
            </w:r>
            <w:r>
              <w:rPr>
                <w:rFonts w:cs="Arial"/>
                <w:spacing w:val="-4"/>
                <w:szCs w:val="20"/>
              </w:rPr>
              <w:t xml:space="preserve"> 0,9 %, a docílily tak nejslabšího tempa po roce 2012. Proti hlubšímu poklesu tržeb působila dobrá kondice pracovního trhu, vyznačující se dosud utlumenou nezaměstnaností i pokračujícím reálným růstem průměrných mezd (jenž zrychlil na konci roku). Na druhé straně saldo důvěry spotřebitelů, které citlivě reagovalo na vládní restrikce, </w:t>
            </w:r>
            <w:r>
              <w:rPr>
                <w:rFonts w:cs="Arial"/>
                <w:spacing w:val="-4"/>
                <w:szCs w:val="20"/>
              </w:rPr>
              <w:lastRenderedPageBreak/>
              <w:t>setrvávalo v negativním pásmu. Obavy domácností z růstu cen i nezaměstnanosti zůstávaly vysoké. Maloobchod byl tlumen i nižší spotřebou ze strany nerezidentů.</w:t>
            </w:r>
          </w:p>
        </w:tc>
      </w:tr>
      <w:tr w:rsidR="00B96D74" w:rsidRPr="00C14B9E" w14:paraId="7507D129" w14:textId="77777777" w:rsidTr="0091476D">
        <w:trPr>
          <w:trHeight w:val="145"/>
        </w:trPr>
        <w:tc>
          <w:tcPr>
            <w:tcW w:w="1780" w:type="dxa"/>
            <w:shd w:val="clear" w:color="auto" w:fill="auto"/>
            <w:tcMar>
              <w:left w:w="0" w:type="dxa"/>
            </w:tcMar>
          </w:tcPr>
          <w:p w14:paraId="011ED9B5" w14:textId="77777777" w:rsidR="00B96D74" w:rsidRPr="00C854B0" w:rsidRDefault="00B96D74" w:rsidP="0091476D">
            <w:pPr>
              <w:pStyle w:val="Marginlie"/>
              <w:rPr>
                <w:spacing w:val="-4"/>
              </w:rPr>
            </w:pPr>
            <w:r w:rsidRPr="00C854B0">
              <w:rPr>
                <w:spacing w:val="-4"/>
              </w:rPr>
              <w:lastRenderedPageBreak/>
              <w:t xml:space="preserve">Za poklesem maloobchodu stál zejména propad poptávky po </w:t>
            </w:r>
            <w:r>
              <w:rPr>
                <w:spacing w:val="-4"/>
              </w:rPr>
              <w:t>pohonných hmotách</w:t>
            </w:r>
            <w:r w:rsidRPr="00C854B0">
              <w:rPr>
                <w:spacing w:val="-4"/>
              </w:rPr>
              <w:t>.</w:t>
            </w:r>
          </w:p>
          <w:p w14:paraId="1792B785" w14:textId="77777777" w:rsidR="00B96D74" w:rsidRPr="00C854B0" w:rsidRDefault="00B96D74" w:rsidP="0091476D">
            <w:pPr>
              <w:pStyle w:val="Marginlie"/>
              <w:rPr>
                <w:spacing w:val="-4"/>
              </w:rPr>
            </w:pPr>
          </w:p>
          <w:p w14:paraId="729716B9" w14:textId="77777777" w:rsidR="00B96D74" w:rsidRPr="00C854B0" w:rsidRDefault="00B96D74" w:rsidP="0091476D">
            <w:pPr>
              <w:pStyle w:val="Marginlie"/>
              <w:rPr>
                <w:spacing w:val="-4"/>
              </w:rPr>
            </w:pPr>
            <w:r w:rsidRPr="00C854B0">
              <w:rPr>
                <w:spacing w:val="-4"/>
              </w:rPr>
              <w:t>Segment nepotravinářského zboží rostl jen díky internetovému a</w:t>
            </w:r>
            <w:r>
              <w:rPr>
                <w:spacing w:val="-4"/>
              </w:rPr>
              <w:t> </w:t>
            </w:r>
            <w:r w:rsidRPr="00C854B0">
              <w:rPr>
                <w:spacing w:val="-4"/>
              </w:rPr>
              <w:t>zásilkovému prodeji.</w:t>
            </w:r>
          </w:p>
        </w:tc>
        <w:tc>
          <w:tcPr>
            <w:tcW w:w="214" w:type="dxa"/>
            <w:shd w:val="clear" w:color="auto" w:fill="auto"/>
            <w:tcMar>
              <w:left w:w="0" w:type="dxa"/>
            </w:tcMar>
          </w:tcPr>
          <w:p w14:paraId="294F9F66"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6EA2C260" w14:textId="77777777" w:rsidR="00B96D74" w:rsidRPr="00C14B9E" w:rsidRDefault="00B96D74" w:rsidP="0091476D">
            <w:pPr>
              <w:rPr>
                <w:rFonts w:cs="Arial"/>
                <w:spacing w:val="-4"/>
                <w:szCs w:val="20"/>
              </w:rPr>
            </w:pPr>
            <w:r>
              <w:rPr>
                <w:rFonts w:cs="Arial"/>
                <w:spacing w:val="-4"/>
                <w:szCs w:val="20"/>
              </w:rPr>
              <w:t xml:space="preserve">Za poklesem maloobchodu stál loni především propad tržeb za pohonné hmoty (o 9,0 %). Projevilo se i mírné snížení tržeb za prodej </w:t>
            </w:r>
            <w:proofErr w:type="gramStart"/>
            <w:r>
              <w:rPr>
                <w:rFonts w:cs="Arial"/>
                <w:spacing w:val="-4"/>
                <w:szCs w:val="20"/>
              </w:rPr>
              <w:t>potravin (</w:t>
            </w:r>
            <w:r w:rsidRPr="00F47F7F">
              <w:rPr>
                <w:spacing w:val="-5"/>
              </w:rPr>
              <w:t>–</w:t>
            </w:r>
            <w:r>
              <w:rPr>
                <w:rFonts w:cs="Arial"/>
                <w:spacing w:val="-4"/>
                <w:szCs w:val="20"/>
              </w:rPr>
              <w:t>0,3</w:t>
            </w:r>
            <w:proofErr w:type="gramEnd"/>
            <w:r>
              <w:rPr>
                <w:rFonts w:cs="Arial"/>
                <w:spacing w:val="-4"/>
                <w:szCs w:val="20"/>
              </w:rPr>
              <w:t> %), jež bylo způsobeno výhradně specializovanými (zpravidla malými) prodejnami. Růst tržeb za nepotravinářské zboží loni pokračoval jen díky dynamickému rozvoji internetového a zásilkového prodeje (+27,3 %), i když šlo o nejslabší růst za poslední dekádu (+0,5 %). Část specializovaných prodejen ale postihl dvojciferný propad tržeb (u oděvů, obuvi a koženého zboží či u výrobků</w:t>
            </w:r>
            <w:r w:rsidRPr="00831CFC">
              <w:rPr>
                <w:rFonts w:cs="Arial"/>
                <w:spacing w:val="-4"/>
                <w:szCs w:val="20"/>
              </w:rPr>
              <w:t xml:space="preserve"> pro kulturu a</w:t>
            </w:r>
            <w:r>
              <w:rPr>
                <w:rFonts w:cs="Arial"/>
                <w:spacing w:val="-4"/>
                <w:szCs w:val="20"/>
              </w:rPr>
              <w:t> rekreaci). Mírný růst přetrval u prodejen s farmaceutickým a zdravotnickým zbožím (+3,5 %</w:t>
            </w:r>
            <w:r w:rsidRPr="002C6494">
              <w:rPr>
                <w:rFonts w:cs="Arial"/>
                <w:spacing w:val="-6"/>
                <w:szCs w:val="20"/>
              </w:rPr>
              <w:t>), s počítačovým a</w:t>
            </w:r>
            <w:r>
              <w:rPr>
                <w:rFonts w:cs="Arial"/>
                <w:spacing w:val="-6"/>
                <w:szCs w:val="20"/>
              </w:rPr>
              <w:t> </w:t>
            </w:r>
            <w:r w:rsidRPr="002C6494">
              <w:rPr>
                <w:rFonts w:cs="Arial"/>
                <w:spacing w:val="-6"/>
                <w:szCs w:val="20"/>
              </w:rPr>
              <w:t>komunikačním zařízením (+2,7</w:t>
            </w:r>
            <w:r>
              <w:rPr>
                <w:rFonts w:cs="Arial"/>
                <w:spacing w:val="-6"/>
                <w:szCs w:val="20"/>
              </w:rPr>
              <w:t> %</w:t>
            </w:r>
            <w:r w:rsidRPr="002C6494">
              <w:rPr>
                <w:rFonts w:cs="Arial"/>
                <w:spacing w:val="-6"/>
                <w:szCs w:val="20"/>
              </w:rPr>
              <w:t>) či s</w:t>
            </w:r>
            <w:r>
              <w:rPr>
                <w:rFonts w:cs="Arial"/>
                <w:spacing w:val="-6"/>
                <w:szCs w:val="20"/>
              </w:rPr>
              <w:t> </w:t>
            </w:r>
            <w:r w:rsidRPr="002C6494">
              <w:rPr>
                <w:rFonts w:cs="Arial"/>
                <w:spacing w:val="-6"/>
                <w:szCs w:val="20"/>
              </w:rPr>
              <w:t>výrobky pro domácnost (+1,2</w:t>
            </w:r>
            <w:r>
              <w:rPr>
                <w:rFonts w:cs="Arial"/>
                <w:spacing w:val="-6"/>
                <w:szCs w:val="20"/>
              </w:rPr>
              <w:t> %</w:t>
            </w:r>
            <w:r w:rsidRPr="002C6494">
              <w:rPr>
                <w:rFonts w:cs="Arial"/>
                <w:spacing w:val="-6"/>
                <w:szCs w:val="20"/>
              </w:rPr>
              <w:t>).</w:t>
            </w:r>
          </w:p>
        </w:tc>
      </w:tr>
      <w:tr w:rsidR="00B96D74" w14:paraId="32937E3F" w14:textId="77777777" w:rsidTr="0091476D">
        <w:trPr>
          <w:trHeight w:val="145"/>
        </w:trPr>
        <w:tc>
          <w:tcPr>
            <w:tcW w:w="1780" w:type="dxa"/>
            <w:shd w:val="clear" w:color="auto" w:fill="auto"/>
            <w:tcMar>
              <w:left w:w="0" w:type="dxa"/>
            </w:tcMar>
          </w:tcPr>
          <w:p w14:paraId="47F00E80" w14:textId="77777777" w:rsidR="00B96D74" w:rsidRPr="00C854B0" w:rsidRDefault="00B96D74" w:rsidP="0091476D">
            <w:pPr>
              <w:pStyle w:val="Marginlie"/>
              <w:rPr>
                <w:spacing w:val="-4"/>
              </w:rPr>
            </w:pPr>
            <w:r>
              <w:rPr>
                <w:spacing w:val="-4"/>
              </w:rPr>
              <w:t>Tržby za obchod a opravy motorových vozidel rekordně propadly.</w:t>
            </w:r>
          </w:p>
        </w:tc>
        <w:tc>
          <w:tcPr>
            <w:tcW w:w="214" w:type="dxa"/>
            <w:shd w:val="clear" w:color="auto" w:fill="auto"/>
            <w:tcMar>
              <w:left w:w="0" w:type="dxa"/>
            </w:tcMar>
          </w:tcPr>
          <w:p w14:paraId="5F692109" w14:textId="77777777" w:rsidR="00B96D74" w:rsidRPr="00B43216" w:rsidRDefault="00B96D74" w:rsidP="0091476D">
            <w:pPr>
              <w:pStyle w:val="Textpoznpodarou"/>
              <w:jc w:val="both"/>
              <w:rPr>
                <w:spacing w:val="-4"/>
              </w:rPr>
            </w:pPr>
          </w:p>
        </w:tc>
        <w:tc>
          <w:tcPr>
            <w:tcW w:w="7670" w:type="dxa"/>
            <w:shd w:val="clear" w:color="auto" w:fill="auto"/>
            <w:tcMar>
              <w:left w:w="0" w:type="dxa"/>
            </w:tcMar>
          </w:tcPr>
          <w:p w14:paraId="5F253C9F" w14:textId="77777777" w:rsidR="00B96D74" w:rsidRDefault="00B96D74" w:rsidP="0091476D">
            <w:pPr>
              <w:rPr>
                <w:rFonts w:cs="Arial"/>
                <w:spacing w:val="-4"/>
                <w:szCs w:val="20"/>
              </w:rPr>
            </w:pPr>
            <w:r>
              <w:rPr>
                <w:rFonts w:cs="Arial"/>
                <w:spacing w:val="-4"/>
                <w:szCs w:val="20"/>
              </w:rPr>
              <w:t xml:space="preserve">V motoristickém segmentu obchodu loni tržby propadly o 15,2 % </w:t>
            </w:r>
            <w:r w:rsidRPr="00F47F7F">
              <w:rPr>
                <w:spacing w:val="-5"/>
              </w:rPr>
              <w:t>–</w:t>
            </w:r>
            <w:r>
              <w:rPr>
                <w:rFonts w:cs="Arial"/>
                <w:spacing w:val="-4"/>
                <w:szCs w:val="20"/>
              </w:rPr>
              <w:t xml:space="preserve"> skoro o polovinu více než v roce 2009. Souviselo to s přetrvávajícím útlumem soukromých investic v ekonomice.</w:t>
            </w:r>
          </w:p>
        </w:tc>
      </w:tr>
    </w:tbl>
    <w:p w14:paraId="44EB2EB6" w14:textId="256145A6" w:rsidR="00B96D74" w:rsidRPr="00B96D74" w:rsidRDefault="00B96D74" w:rsidP="00E13995">
      <w:pPr>
        <w:pStyle w:val="Nadpis11"/>
        <w:rPr>
          <w:sz w:val="10"/>
          <w:szCs w:val="10"/>
        </w:rPr>
      </w:pPr>
      <w:r>
        <w:rPr>
          <w:sz w:val="10"/>
          <w:szCs w:val="10"/>
        </w:rPr>
        <w:br w:type="page"/>
      </w:r>
    </w:p>
    <w:p w14:paraId="7754CF8D" w14:textId="77777777" w:rsidR="003E08A4" w:rsidRPr="009110F7" w:rsidRDefault="003E08A4" w:rsidP="003E08A4">
      <w:pPr>
        <w:pStyle w:val="Nadpis11"/>
      </w:pPr>
      <w:bookmarkStart w:id="13" w:name="_Toc58605374"/>
      <w:bookmarkStart w:id="14" w:name="_Toc66954405"/>
      <w:r>
        <w:lastRenderedPageBreak/>
        <w:t>4</w:t>
      </w:r>
      <w:r w:rsidRPr="009110F7">
        <w:t>.</w:t>
      </w:r>
      <w:r>
        <w:t> </w:t>
      </w:r>
      <w:r w:rsidRPr="009110F7">
        <w:t>Vnější vztahy</w:t>
      </w:r>
      <w:bookmarkEnd w:id="13"/>
      <w:bookmarkEnd w:id="14"/>
    </w:p>
    <w:tbl>
      <w:tblPr>
        <w:tblW w:w="9639" w:type="dxa"/>
        <w:tblInd w:w="-15" w:type="dxa"/>
        <w:tblCellMar>
          <w:left w:w="0" w:type="dxa"/>
          <w:right w:w="0" w:type="dxa"/>
        </w:tblCellMar>
        <w:tblLook w:val="00A0" w:firstRow="1" w:lastRow="0" w:firstColumn="1" w:lastColumn="0" w:noHBand="0" w:noVBand="0"/>
      </w:tblPr>
      <w:tblGrid>
        <w:gridCol w:w="1762"/>
        <w:gridCol w:w="223"/>
        <w:gridCol w:w="7654"/>
      </w:tblGrid>
      <w:tr w:rsidR="003E08A4" w:rsidRPr="009110F7" w14:paraId="4B798086" w14:textId="77777777" w:rsidTr="00275758">
        <w:trPr>
          <w:trHeight w:val="145"/>
        </w:trPr>
        <w:tc>
          <w:tcPr>
            <w:tcW w:w="1762" w:type="dxa"/>
            <w:shd w:val="clear" w:color="auto" w:fill="auto"/>
            <w:tcMar>
              <w:left w:w="0" w:type="dxa"/>
            </w:tcMar>
          </w:tcPr>
          <w:p w14:paraId="0BAB418C" w14:textId="77777777" w:rsidR="003E08A4" w:rsidRDefault="003E08A4" w:rsidP="00275758">
            <w:pPr>
              <w:pStyle w:val="Marginlie"/>
            </w:pPr>
            <w:r>
              <w:t>V loňském roce došlo k poklesu hodnoty exportu zboží. Většina z tohoto propadu připadla na 2. čtvrtletí.</w:t>
            </w:r>
          </w:p>
        </w:tc>
        <w:tc>
          <w:tcPr>
            <w:tcW w:w="223" w:type="dxa"/>
            <w:shd w:val="clear" w:color="auto" w:fill="auto"/>
            <w:tcMar>
              <w:left w:w="0" w:type="dxa"/>
            </w:tcMar>
          </w:tcPr>
          <w:p w14:paraId="43FE4BEF" w14:textId="77777777" w:rsidR="003E08A4" w:rsidRDefault="003E08A4" w:rsidP="00275758">
            <w:pPr>
              <w:pStyle w:val="Textpoznpodarou"/>
              <w:jc w:val="both"/>
              <w:rPr>
                <w:spacing w:val="-4"/>
              </w:rPr>
            </w:pPr>
          </w:p>
        </w:tc>
        <w:tc>
          <w:tcPr>
            <w:tcW w:w="7654" w:type="dxa"/>
            <w:shd w:val="clear" w:color="auto" w:fill="auto"/>
            <w:tcMar>
              <w:left w:w="0" w:type="dxa"/>
            </w:tcMar>
          </w:tcPr>
          <w:p w14:paraId="0DB3F2E2" w14:textId="77777777" w:rsidR="003E08A4" w:rsidRPr="00AF6F98" w:rsidRDefault="003E08A4" w:rsidP="00275758">
            <w:pPr>
              <w:spacing w:after="200"/>
              <w:rPr>
                <w:spacing w:val="-4"/>
              </w:rPr>
            </w:pPr>
            <w:r>
              <w:rPr>
                <w:spacing w:val="-4"/>
              </w:rPr>
              <w:t>Zahraniční obchod v roce 2020 prošel značně turbulentním vývojem. Celková hodnota vývozu zboží loni dosáhla 3 528,8 mld. korun a meziročně se propadla o 163,0 </w:t>
            </w:r>
            <w:proofErr w:type="gramStart"/>
            <w:r>
              <w:rPr>
                <w:spacing w:val="-4"/>
              </w:rPr>
              <w:t>mld.</w:t>
            </w:r>
            <w:r>
              <w:rPr>
                <w:spacing w:val="-4"/>
              </w:rPr>
              <w:br/>
              <w:t>(–4,4</w:t>
            </w:r>
            <w:proofErr w:type="gramEnd"/>
            <w:r>
              <w:rPr>
                <w:spacing w:val="-4"/>
              </w:rPr>
              <w:t> %). Byla to nejmenší hodnota od roku 2017. Hlavní část ztrát se odehrála ve 2. čtvrtletí roku, kdy byly obě strany zahraničního obchodu ovlivněny omezením výroby ve velkých domácích i zahraničních podnicích i uzavřením hranic. Export se ale meziročně propadal i v 1. a 3. </w:t>
            </w:r>
            <w:proofErr w:type="gramStart"/>
            <w:r>
              <w:rPr>
                <w:spacing w:val="-4"/>
              </w:rPr>
              <w:t>kvartálu (–4,1</w:t>
            </w:r>
            <w:proofErr w:type="gramEnd"/>
            <w:r>
              <w:rPr>
                <w:spacing w:val="-4"/>
              </w:rPr>
              <w:t> %, –22,4 % a –0,9 % v 1. až 3. čtvrtletí). Ve druhé polovině roku se vývozci snažili ztráty alespoň částečně kompenzovat, ale meziročního navýšení dosáhli až ve 4. čtvrtletí. V závěrečném kvartálu roku 2020 tak hodnota exportu zboží dosáhla 1 013,6 mld. korun a meziročně se zvýšila o 96,5 mld. (10,5 %), což je nejvíce od 3. čtvrtletí 2014 (tehdy šlo o velký vliv kurzových změn). Meziročnímu srovnání zčásti pomohla slabší základna konce roku 2019, zároveň ale loni poprvé hodnota vývozu za jediné čtvrtletí překonala bilion korun.</w:t>
            </w:r>
          </w:p>
        </w:tc>
      </w:tr>
      <w:tr w:rsidR="003E08A4" w:rsidRPr="009110F7" w14:paraId="713244E1" w14:textId="77777777" w:rsidTr="00275758">
        <w:trPr>
          <w:trHeight w:val="145"/>
        </w:trPr>
        <w:tc>
          <w:tcPr>
            <w:tcW w:w="1762" w:type="dxa"/>
            <w:shd w:val="clear" w:color="auto" w:fill="auto"/>
            <w:tcMar>
              <w:left w:w="0" w:type="dxa"/>
            </w:tcMar>
          </w:tcPr>
          <w:p w14:paraId="0F4465E8" w14:textId="77777777" w:rsidR="003E08A4" w:rsidRDefault="003E08A4" w:rsidP="00275758">
            <w:pPr>
              <w:pStyle w:val="Marginlie"/>
            </w:pPr>
            <w:r>
              <w:t>Propadal se zejména vývoz motorových vozidel. Ztráty utrpěly i další významné exportní obory.</w:t>
            </w:r>
          </w:p>
        </w:tc>
        <w:tc>
          <w:tcPr>
            <w:tcW w:w="223" w:type="dxa"/>
            <w:shd w:val="clear" w:color="auto" w:fill="auto"/>
            <w:tcMar>
              <w:left w:w="0" w:type="dxa"/>
            </w:tcMar>
          </w:tcPr>
          <w:p w14:paraId="4E0624DC" w14:textId="77777777" w:rsidR="003E08A4" w:rsidRDefault="003E08A4" w:rsidP="00275758">
            <w:pPr>
              <w:pStyle w:val="Textpoznpodarou"/>
              <w:jc w:val="both"/>
              <w:rPr>
                <w:spacing w:val="-4"/>
              </w:rPr>
            </w:pPr>
          </w:p>
        </w:tc>
        <w:tc>
          <w:tcPr>
            <w:tcW w:w="7654" w:type="dxa"/>
            <w:shd w:val="clear" w:color="auto" w:fill="auto"/>
            <w:tcMar>
              <w:left w:w="0" w:type="dxa"/>
            </w:tcMar>
          </w:tcPr>
          <w:p w14:paraId="5CC0F2DF" w14:textId="73FB1458" w:rsidR="003E08A4" w:rsidRPr="00AF6F98" w:rsidRDefault="003E08A4" w:rsidP="00275758">
            <w:pPr>
              <w:spacing w:after="200"/>
              <w:rPr>
                <w:spacing w:val="-4"/>
              </w:rPr>
            </w:pPr>
            <w:r>
              <w:rPr>
                <w:spacing w:val="-4"/>
              </w:rPr>
              <w:t xml:space="preserve">Propad exportu ve 2. čtvrtletí nejvíce zasáhl klíčové artikly českého vývozu, tedy motorová vozidla a přidružené subdodavatele. Zároveň se tyto obory velmi rychle snažily ztráty dohnat, takže naopak nejvíce přispívaly k růstu vývozu v druhé polovině roku. Jarní situace nejvíce postihla vývoz motorových vozidel, který se za celý rok 2020 propadl o 100,2 mld. </w:t>
            </w:r>
            <w:proofErr w:type="gramStart"/>
            <w:r>
              <w:rPr>
                <w:spacing w:val="-4"/>
              </w:rPr>
              <w:t>korun (</w:t>
            </w:r>
            <w:r w:rsidR="00E00B88">
              <w:rPr>
                <w:spacing w:val="-4"/>
              </w:rPr>
              <w:t>–</w:t>
            </w:r>
            <w:r>
              <w:rPr>
                <w:spacing w:val="-4"/>
              </w:rPr>
              <w:t>9,8</w:t>
            </w:r>
            <w:proofErr w:type="gramEnd"/>
            <w:r>
              <w:rPr>
                <w:spacing w:val="-4"/>
              </w:rPr>
              <w:t> %) na 920,0 mld., což je nejméně od roku 2015. Silně se loni snížil i vývoz strojů a </w:t>
            </w:r>
            <w:proofErr w:type="gramStart"/>
            <w:r>
              <w:rPr>
                <w:spacing w:val="-4"/>
              </w:rPr>
              <w:t>zařízení (–30,9</w:t>
            </w:r>
            <w:proofErr w:type="gramEnd"/>
            <w:r>
              <w:rPr>
                <w:spacing w:val="-4"/>
              </w:rPr>
              <w:t xml:space="preserve"> mld. korun, –7,5 %). Mírnější byl pokles u kovodělných </w:t>
            </w:r>
            <w:proofErr w:type="gramStart"/>
            <w:r>
              <w:rPr>
                <w:spacing w:val="-4"/>
              </w:rPr>
              <w:t>výrobků</w:t>
            </w:r>
            <w:r>
              <w:rPr>
                <w:spacing w:val="-4"/>
              </w:rPr>
              <w:br/>
              <w:t>(–11,6</w:t>
            </w:r>
            <w:proofErr w:type="gramEnd"/>
            <w:r>
              <w:rPr>
                <w:spacing w:val="-4"/>
              </w:rPr>
              <w:t xml:space="preserve"> mld. korun, –5,1 %), pryžových a plastových výrobků (–7,0 mld., –3,6 %) a elektrických zařízení (–6,9 mld., –2,2 %). Dalším faktorem, který ovlivnil obě strany zahraničního obchodu, byl pokles cen surovin. Ten se ukázal na exportu základních </w:t>
            </w:r>
            <w:proofErr w:type="gramStart"/>
            <w:r>
              <w:rPr>
                <w:spacing w:val="-4"/>
              </w:rPr>
              <w:t>kovů (–12,2</w:t>
            </w:r>
            <w:proofErr w:type="gramEnd"/>
            <w:r>
              <w:rPr>
                <w:spacing w:val="-4"/>
              </w:rPr>
              <w:t> mld. korun, –8,9 %), ale zejména u koksu a rafinovaných ropných produktů</w:t>
            </w:r>
            <w:r>
              <w:rPr>
                <w:spacing w:val="-4"/>
              </w:rPr>
              <w:br/>
              <w:t>(–14,2 mld., –35,6 %). Navýšení exportu loni proběhlo u počítačů, elektronických a optických přístrojů (21,2 mld. korun, 5,5 %). Tento segment se v posledních čtyřech letech velmi dynamicky rozvíjel a výjimkou byl jen meziroční pokles v období od 3. čtvrtletí 2019 do 2. čtvrtletí 2020. Vývoz potravinářských výrobků se zvýšil o 7,5 mld. korun (6,6 %), zčásti i kvůli nárůstu cen. O 3,7 mld. korun se zvýšil export oděvů (12,3 %) a solidní byly přírůstky u ostatních výrobků zpracovatelského průmyslu (3,4 mld., 4,1 %), nábytku (2,8 mld., 10,0 %) a základních farmaceutických výrobků (2,2 mld., 4,3 %).</w:t>
            </w:r>
          </w:p>
        </w:tc>
      </w:tr>
      <w:tr w:rsidR="003E08A4" w:rsidRPr="009110F7" w14:paraId="101D9B2A" w14:textId="77777777" w:rsidTr="00275758">
        <w:trPr>
          <w:trHeight w:val="170"/>
        </w:trPr>
        <w:tc>
          <w:tcPr>
            <w:tcW w:w="1762" w:type="dxa"/>
            <w:shd w:val="clear" w:color="auto" w:fill="auto"/>
            <w:tcMar>
              <w:left w:w="0" w:type="dxa"/>
            </w:tcMar>
          </w:tcPr>
          <w:p w14:paraId="30894CD9" w14:textId="77777777" w:rsidR="003E08A4" w:rsidRDefault="003E08A4" w:rsidP="00275758">
            <w:pPr>
              <w:pStyle w:val="Marginlie"/>
            </w:pPr>
            <w:r>
              <w:t>Ke konci roku ale došlo k výraznému oživení, které mělo alespoň částečně kompenzovat ztráty z jara.</w:t>
            </w:r>
          </w:p>
        </w:tc>
        <w:tc>
          <w:tcPr>
            <w:tcW w:w="223" w:type="dxa"/>
            <w:shd w:val="clear" w:color="auto" w:fill="auto"/>
            <w:tcMar>
              <w:left w:w="0" w:type="dxa"/>
            </w:tcMar>
          </w:tcPr>
          <w:p w14:paraId="1E55E3E5" w14:textId="77777777" w:rsidR="003E08A4" w:rsidRDefault="003E08A4" w:rsidP="00275758">
            <w:pPr>
              <w:pStyle w:val="Textpoznpodarou"/>
              <w:jc w:val="both"/>
              <w:rPr>
                <w:spacing w:val="-4"/>
              </w:rPr>
            </w:pPr>
          </w:p>
        </w:tc>
        <w:tc>
          <w:tcPr>
            <w:tcW w:w="7654" w:type="dxa"/>
            <w:shd w:val="clear" w:color="auto" w:fill="auto"/>
            <w:tcMar>
              <w:left w:w="0" w:type="dxa"/>
            </w:tcMar>
          </w:tcPr>
          <w:p w14:paraId="60149178" w14:textId="02487287" w:rsidR="003E08A4" w:rsidRPr="00AF6F98" w:rsidRDefault="003E08A4" w:rsidP="00275758">
            <w:pPr>
              <w:spacing w:after="200"/>
              <w:rPr>
                <w:spacing w:val="-4"/>
              </w:rPr>
            </w:pPr>
            <w:r>
              <w:rPr>
                <w:spacing w:val="-4"/>
              </w:rPr>
              <w:t xml:space="preserve">V samotném 4. čtvrtletí 2020 nejvíce meziročně rostl export motorových vozidel (39,6 mld. korun, 15,9 %). Přírůstek posílil u počítačů, elektronických a optických přístrojů (14,0 mld. korun, 13,2 %) i elektrických zařízení (10,6 mld., 13,6 %). Po sérii poklesů ve 4. čtvrtletí meziročně narostl export také u pryžových a plastových výrobků (5,9 mld. korun, 12,8 %), chemických látek a přípravků (5,9 mld., 14,4 %), kovodělných výrobků (4,2 mld., 7,6 %), strojů a zařízení (3,5 mld., 3,4 %) a základních kovů (2,6 mld., 8,8 %). Na konci roku výrazně posílil vývoz papíru a výrobků z něj (1,2 mld. korun, 8,2 %) a základních farmaceutických výrobků (1,2 mld., 9,3 %). Zejména cenový pokles stál za pokračujícím propadem exportu u koksu a rafinovaných ropných </w:t>
            </w:r>
            <w:proofErr w:type="gramStart"/>
            <w:r>
              <w:rPr>
                <w:spacing w:val="-4"/>
              </w:rPr>
              <w:t>výrobků (–3,7</w:t>
            </w:r>
            <w:proofErr w:type="gramEnd"/>
            <w:r>
              <w:rPr>
                <w:spacing w:val="-4"/>
              </w:rPr>
              <w:t xml:space="preserve"> mld. korun, –35,2 %) a elektřiny, plynu, páry a klimatizovaného vzduchu (–2,0 mld., </w:t>
            </w:r>
            <w:r w:rsidR="00E00B88">
              <w:rPr>
                <w:spacing w:val="-4"/>
              </w:rPr>
              <w:t>–</w:t>
            </w:r>
            <w:r>
              <w:rPr>
                <w:spacing w:val="-4"/>
              </w:rPr>
              <w:t>24,6 %).</w:t>
            </w:r>
          </w:p>
        </w:tc>
      </w:tr>
      <w:tr w:rsidR="003E08A4" w:rsidRPr="009110F7" w14:paraId="209C1417" w14:textId="77777777" w:rsidTr="00275758">
        <w:trPr>
          <w:trHeight w:val="170"/>
        </w:trPr>
        <w:tc>
          <w:tcPr>
            <w:tcW w:w="1762" w:type="dxa"/>
            <w:shd w:val="clear" w:color="auto" w:fill="auto"/>
            <w:tcMar>
              <w:left w:w="0" w:type="dxa"/>
            </w:tcMar>
          </w:tcPr>
          <w:p w14:paraId="5AD64351" w14:textId="77777777" w:rsidR="003E08A4" w:rsidRDefault="003E08A4" w:rsidP="00275758">
            <w:pPr>
              <w:pStyle w:val="Marginlie"/>
            </w:pPr>
            <w:r>
              <w:t>Loni klesl vývoz do EU i mimo ni.</w:t>
            </w:r>
          </w:p>
        </w:tc>
        <w:tc>
          <w:tcPr>
            <w:tcW w:w="223" w:type="dxa"/>
            <w:shd w:val="clear" w:color="auto" w:fill="auto"/>
            <w:tcMar>
              <w:left w:w="0" w:type="dxa"/>
            </w:tcMar>
          </w:tcPr>
          <w:p w14:paraId="68E168F1" w14:textId="77777777" w:rsidR="003E08A4" w:rsidRDefault="003E08A4" w:rsidP="00275758">
            <w:pPr>
              <w:pStyle w:val="Textpoznpodarou"/>
              <w:jc w:val="both"/>
              <w:rPr>
                <w:spacing w:val="-4"/>
              </w:rPr>
            </w:pPr>
          </w:p>
        </w:tc>
        <w:tc>
          <w:tcPr>
            <w:tcW w:w="7654" w:type="dxa"/>
            <w:shd w:val="clear" w:color="auto" w:fill="auto"/>
            <w:tcMar>
              <w:left w:w="0" w:type="dxa"/>
            </w:tcMar>
          </w:tcPr>
          <w:p w14:paraId="2A83E2AF" w14:textId="7D2F8E14" w:rsidR="003E08A4" w:rsidRPr="00AF6F98" w:rsidRDefault="003E08A4" w:rsidP="00275758">
            <w:pPr>
              <w:spacing w:after="200"/>
              <w:rPr>
                <w:spacing w:val="-4"/>
              </w:rPr>
            </w:pPr>
            <w:r>
              <w:rPr>
                <w:spacing w:val="-4"/>
              </w:rPr>
              <w:t xml:space="preserve">Silný pokles loni zaznamenal vývoz do </w:t>
            </w:r>
            <w:proofErr w:type="gramStart"/>
            <w:r>
              <w:rPr>
                <w:spacing w:val="-4"/>
              </w:rPr>
              <w:t>EU (–119,4</w:t>
            </w:r>
            <w:proofErr w:type="gramEnd"/>
            <w:r>
              <w:rPr>
                <w:spacing w:val="-4"/>
              </w:rPr>
              <w:t> mld. korun, –4,1 %) i mimo ni</w:t>
            </w:r>
            <w:r>
              <w:rPr>
                <w:spacing w:val="-4"/>
              </w:rPr>
              <w:br/>
              <w:t xml:space="preserve">(–41,7 mld., –5,5 %). Nejvíce se snížila hodnota vývozu do </w:t>
            </w:r>
            <w:proofErr w:type="gramStart"/>
            <w:r>
              <w:rPr>
                <w:spacing w:val="-4"/>
              </w:rPr>
              <w:t>Německa (–31,6</w:t>
            </w:r>
            <w:proofErr w:type="gramEnd"/>
            <w:r>
              <w:rPr>
                <w:spacing w:val="-4"/>
              </w:rPr>
              <w:t> mld. korun,</w:t>
            </w:r>
            <w:r>
              <w:rPr>
                <w:spacing w:val="-4"/>
              </w:rPr>
              <w:br/>
              <w:t xml:space="preserve">–2,8 %), Španělska (–34,9 mld., –28,1 %), Velké Británie (–18,1 mld., –11,7 %) a Francie (–18,8 mld., –10,0 %). Výrazně poklesl vývoz také k ostatním sousedům Česka – do Rakouska o 11,8 mld. </w:t>
            </w:r>
            <w:proofErr w:type="gramStart"/>
            <w:r>
              <w:rPr>
                <w:spacing w:val="-4"/>
              </w:rPr>
              <w:t>korun (–7,6</w:t>
            </w:r>
            <w:proofErr w:type="gramEnd"/>
            <w:r>
              <w:rPr>
                <w:spacing w:val="-4"/>
              </w:rPr>
              <w:t> %), na Slovensko o 8,4 mld. (–2,5 %) a do Polska o 3,6 mld. (–1,5 %). Naopak se loni zvýšila hodnota exportu do Turecka (9,8 mld. korun, 29,6 %), Nizozemska (3,6 mld., 2,9 %) a Korej</w:t>
            </w:r>
            <w:r w:rsidR="00E00B88">
              <w:rPr>
                <w:spacing w:val="-4"/>
              </w:rPr>
              <w:t>ské republiky</w:t>
            </w:r>
            <w:r>
              <w:rPr>
                <w:spacing w:val="-4"/>
              </w:rPr>
              <w:t xml:space="preserve"> (1,4 mld., 14,4 %). Ve 4. čtvrtletí silně rostl vývoz do Evropské unie (91,3 mld. korun, 12,7 %), mírněji mimo ni (5,8 mld., 2,9 %). Největší přírůstek byl zaznamenán u vývozu do Německa (43,3 mld. </w:t>
            </w:r>
            <w:r>
              <w:rPr>
                <w:spacing w:val="-4"/>
              </w:rPr>
              <w:lastRenderedPageBreak/>
              <w:t>korun, 15,8 %), do Itálie (8,4 mld., 27,4 %), na Slovensko (8,2 mld., 9,6 %), do Francie (7,2 mld., 15,6 %) a do Polska (6,3 mld., 10,6 %).</w:t>
            </w:r>
          </w:p>
        </w:tc>
      </w:tr>
      <w:tr w:rsidR="003E08A4" w:rsidRPr="009110F7" w14:paraId="27FEAD85" w14:textId="77777777" w:rsidTr="00275758">
        <w:trPr>
          <w:trHeight w:val="145"/>
        </w:trPr>
        <w:tc>
          <w:tcPr>
            <w:tcW w:w="1762" w:type="dxa"/>
            <w:shd w:val="clear" w:color="auto" w:fill="auto"/>
            <w:tcMar>
              <w:left w:w="0" w:type="dxa"/>
            </w:tcMar>
          </w:tcPr>
          <w:p w14:paraId="1EBB78E5" w14:textId="77777777" w:rsidR="003E08A4" w:rsidRDefault="003E08A4" w:rsidP="00275758">
            <w:pPr>
              <w:pStyle w:val="Marginlie"/>
            </w:pPr>
            <w:r>
              <w:lastRenderedPageBreak/>
              <w:t xml:space="preserve">Dovoz se propadl více než vývoz. Přímo k tomu přispěla situace okolo </w:t>
            </w:r>
            <w:proofErr w:type="spellStart"/>
            <w:r>
              <w:t>koronaviru</w:t>
            </w:r>
            <w:proofErr w:type="spellEnd"/>
            <w:r>
              <w:t>, ale rovněž snížení cen některých surovin.</w:t>
            </w:r>
          </w:p>
        </w:tc>
        <w:tc>
          <w:tcPr>
            <w:tcW w:w="223" w:type="dxa"/>
            <w:shd w:val="clear" w:color="auto" w:fill="auto"/>
            <w:tcMar>
              <w:left w:w="0" w:type="dxa"/>
            </w:tcMar>
          </w:tcPr>
          <w:p w14:paraId="1919A80F" w14:textId="77777777" w:rsidR="003E08A4" w:rsidRDefault="003E08A4" w:rsidP="00275758">
            <w:pPr>
              <w:pStyle w:val="Textpoznpodarou"/>
              <w:jc w:val="both"/>
              <w:rPr>
                <w:spacing w:val="-4"/>
              </w:rPr>
            </w:pPr>
          </w:p>
        </w:tc>
        <w:tc>
          <w:tcPr>
            <w:tcW w:w="7654" w:type="dxa"/>
            <w:shd w:val="clear" w:color="auto" w:fill="auto"/>
            <w:tcMar>
              <w:left w:w="0" w:type="dxa"/>
            </w:tcMar>
          </w:tcPr>
          <w:p w14:paraId="08510A24" w14:textId="270C18E5" w:rsidR="003E08A4" w:rsidRPr="00AF6F98" w:rsidRDefault="003E08A4" w:rsidP="00275758">
            <w:pPr>
              <w:rPr>
                <w:spacing w:val="-4"/>
              </w:rPr>
            </w:pPr>
            <w:r>
              <w:rPr>
                <w:spacing w:val="-4"/>
              </w:rPr>
              <w:t xml:space="preserve">Také dovoz zboží se loni propadl, a to o 201,8 mld. </w:t>
            </w:r>
            <w:proofErr w:type="gramStart"/>
            <w:r>
              <w:rPr>
                <w:spacing w:val="-4"/>
              </w:rPr>
              <w:t>korun (–5,7</w:t>
            </w:r>
            <w:proofErr w:type="gramEnd"/>
            <w:r>
              <w:rPr>
                <w:spacing w:val="-4"/>
              </w:rPr>
              <w:t xml:space="preserve"> %) na 3 344,3 mld. Dovoz se ve druhé polovině roku nepřibližoval předkrizové úrovni tak rychle jako vývoz (meziroční propady </w:t>
            </w:r>
            <w:proofErr w:type="gramStart"/>
            <w:r>
              <w:rPr>
                <w:spacing w:val="-4"/>
              </w:rPr>
              <w:t>dosáhly</w:t>
            </w:r>
            <w:proofErr w:type="gramEnd"/>
            <w:r>
              <w:rPr>
                <w:spacing w:val="-4"/>
              </w:rPr>
              <w:t xml:space="preserve"> –</w:t>
            </w:r>
            <w:proofErr w:type="gramStart"/>
            <w:r>
              <w:rPr>
                <w:spacing w:val="-4"/>
              </w:rPr>
              <w:t>3,</w:t>
            </w:r>
            <w:r w:rsidR="00E00B88">
              <w:rPr>
                <w:spacing w:val="-4"/>
              </w:rPr>
              <w:t>2</w:t>
            </w:r>
            <w:proofErr w:type="gramEnd"/>
            <w:r>
              <w:rPr>
                <w:spacing w:val="-4"/>
              </w:rPr>
              <w:t xml:space="preserve"> %, –18,5 % a –4,4 % v 1. až 3. čtvrtletí). Ve 4. kvartálu už import zboží meziročně vzrostl o 29,0 mld. korun (3,2 %) na 933,2 mld. Pokles dovozu byl loni ovlivněn ze dvou směrů. Jednak se snížila domácí poptávka – zčásti ta od výrobců, kteří dovezené komponenty dále zpracovávají. Nejistota také narušila investiční aktivitu. To je vidět na loňském propadu dovozu motorových vozidel (do oddílu patří i díly a subdodavatelské práce) o 74,7 mld. </w:t>
            </w:r>
            <w:proofErr w:type="gramStart"/>
            <w:r>
              <w:rPr>
                <w:spacing w:val="-4"/>
              </w:rPr>
              <w:t>korun (–13,4</w:t>
            </w:r>
            <w:proofErr w:type="gramEnd"/>
            <w:r>
              <w:rPr>
                <w:spacing w:val="-4"/>
              </w:rPr>
              <w:t xml:space="preserve"> %) a rovněž strojů a zařízení o 30,6 mld. (–8,7 %). Klesl i import kovodělných </w:t>
            </w:r>
            <w:proofErr w:type="gramStart"/>
            <w:r>
              <w:rPr>
                <w:spacing w:val="-4"/>
              </w:rPr>
              <w:t>výrobků (–13,4</w:t>
            </w:r>
            <w:proofErr w:type="gramEnd"/>
            <w:r>
              <w:rPr>
                <w:spacing w:val="-4"/>
              </w:rPr>
              <w:t xml:space="preserve"> mld. korun, –7,7 %), ostatních dopravních prostředků (–10,7 mld., –25,4 %) a pryžových a plastových výrobků (–4,4 mld., –2,4 %). Druhým důležitým faktorem byl propad cen některých surovin, hlavně ropy. Hodnota dovozu ropy a zemního plynu klesla o 56,2 mld. </w:t>
            </w:r>
            <w:proofErr w:type="gramStart"/>
            <w:r>
              <w:rPr>
                <w:spacing w:val="-4"/>
              </w:rPr>
              <w:t>korun (–43,2</w:t>
            </w:r>
            <w:proofErr w:type="gramEnd"/>
            <w:r>
              <w:rPr>
                <w:spacing w:val="-4"/>
              </w:rPr>
              <w:t> %), základních kovů o 35,1 mld. (–13,4 %), koksu a rafinovaných ropných výrobků</w:t>
            </w:r>
            <w:r>
              <w:rPr>
                <w:rStyle w:val="Znakapoznpodarou"/>
                <w:spacing w:val="-4"/>
              </w:rPr>
              <w:footnoteReference w:id="42"/>
            </w:r>
            <w:r>
              <w:rPr>
                <w:spacing w:val="-4"/>
              </w:rPr>
              <w:t xml:space="preserve"> o 15,2 mld. (–24,8 %) a s poklesem cen ropy souviselo i snížení hodnoty dovozu chemických látek a přípravků</w:t>
            </w:r>
            <w:r>
              <w:rPr>
                <w:spacing w:val="-4"/>
              </w:rPr>
              <w:br/>
              <w:t xml:space="preserve">(–8,8 mld., –3,1 %). Největší zvýšení importu bylo loni zaznamenáno u počítačů, elektronických a optických přístrojů (41,6 mld. korun, 10,0 %), elektrických zařízení (12,8 mld., 4,7 %), základních farmaceutických výrobků (8,1 mld., 7,7 %) a textilií (5,6 mld., 10,8 %). Ve 4. čtvrtletí meziroční přírůstek dovozu nejvíce podpořila elektrická zařízení (14,7 mld. korun, 21,2 %), počítače, elektronické a optické přístroje (11,1 mld., 8,8 %) a motorová vozidla (8,6 mld., 6,1 %). Naopak dále trval propad importu ropy a zemního </w:t>
            </w:r>
            <w:proofErr w:type="gramStart"/>
            <w:r>
              <w:rPr>
                <w:spacing w:val="-4"/>
              </w:rPr>
              <w:t>plynu (–14,2</w:t>
            </w:r>
            <w:proofErr w:type="gramEnd"/>
            <w:r>
              <w:rPr>
                <w:spacing w:val="-4"/>
              </w:rPr>
              <w:t> mld. korun, –42,5 %), koksu a rafinovaných ropných výrobků (–5,2 mld.,</w:t>
            </w:r>
            <w:r>
              <w:rPr>
                <w:spacing w:val="-4"/>
              </w:rPr>
              <w:br/>
              <w:t>–33,1 %) a ostatních dopravních prostředků (–2,9 mld., –28,7 %).</w:t>
            </w:r>
          </w:p>
        </w:tc>
      </w:tr>
      <w:tr w:rsidR="003E08A4" w:rsidRPr="009110F7" w14:paraId="2BCA3C4B" w14:textId="77777777" w:rsidTr="00275758">
        <w:trPr>
          <w:trHeight w:val="145"/>
        </w:trPr>
        <w:tc>
          <w:tcPr>
            <w:tcW w:w="1762" w:type="dxa"/>
            <w:shd w:val="clear" w:color="auto" w:fill="auto"/>
            <w:tcMar>
              <w:left w:w="0" w:type="dxa"/>
            </w:tcMar>
          </w:tcPr>
          <w:p w14:paraId="705381C2" w14:textId="77777777" w:rsidR="003E08A4" w:rsidRDefault="003E08A4" w:rsidP="00275758">
            <w:pPr>
              <w:pStyle w:val="Marginlie"/>
            </w:pPr>
            <w:r>
              <w:t>Výrazně se propadl import z Německa.</w:t>
            </w:r>
          </w:p>
        </w:tc>
        <w:tc>
          <w:tcPr>
            <w:tcW w:w="223" w:type="dxa"/>
            <w:shd w:val="clear" w:color="auto" w:fill="auto"/>
            <w:tcMar>
              <w:left w:w="0" w:type="dxa"/>
            </w:tcMar>
          </w:tcPr>
          <w:p w14:paraId="4EA5E364" w14:textId="77777777" w:rsidR="003E08A4" w:rsidRDefault="003E08A4" w:rsidP="00275758">
            <w:pPr>
              <w:pStyle w:val="Textpoznpodarou"/>
              <w:jc w:val="both"/>
              <w:rPr>
                <w:spacing w:val="-4"/>
              </w:rPr>
            </w:pPr>
          </w:p>
        </w:tc>
        <w:tc>
          <w:tcPr>
            <w:tcW w:w="7654" w:type="dxa"/>
            <w:shd w:val="clear" w:color="auto" w:fill="auto"/>
            <w:tcMar>
              <w:left w:w="0" w:type="dxa"/>
            </w:tcMar>
          </w:tcPr>
          <w:p w14:paraId="4D114D2B" w14:textId="77777777" w:rsidR="003E08A4" w:rsidRDefault="003E08A4" w:rsidP="00275758">
            <w:pPr>
              <w:rPr>
                <w:spacing w:val="-4"/>
              </w:rPr>
            </w:pPr>
            <w:r>
              <w:rPr>
                <w:spacing w:val="-4"/>
              </w:rPr>
              <w:t>Loni výrazněji klesal dovoz z EU než ze zemí mimo ni. Velmi hluboký propad zaznamenal import z </w:t>
            </w:r>
            <w:proofErr w:type="gramStart"/>
            <w:r>
              <w:rPr>
                <w:spacing w:val="-4"/>
              </w:rPr>
              <w:t>Německa (–96,2</w:t>
            </w:r>
            <w:proofErr w:type="gramEnd"/>
            <w:r>
              <w:rPr>
                <w:spacing w:val="-4"/>
              </w:rPr>
              <w:t> mld. korun, –10,5 %), propad cen ropy a zemního plynu stál za poklesem dovozu z Ruska o 47,8 mld. (–41,5 %) a značně se snížil také import ze Slovenska (–14,8 mld., –8,5 %), Francie (–11,7 mld., –9,9 %) a Itálie (–10,5 mld., –6,6 %). Naopak nejvyšší od roku 2010 byl přírůstek hodnoty dovozu z Číny (46,2 mld. korun, 11,9 %). Ve 4. čtvrtletí 2020 nejvíce narůstal dovoz z Číny (13,9 mld. korun, 12,4 %), Maďarska (7,0 mld., 31,6 %) a Polska (5,1 mld., 6,8 %). Naopak se stále propadal import z </w:t>
            </w:r>
            <w:proofErr w:type="gramStart"/>
            <w:r>
              <w:rPr>
                <w:spacing w:val="-4"/>
              </w:rPr>
              <w:t>Ruska (–11,7</w:t>
            </w:r>
            <w:proofErr w:type="gramEnd"/>
            <w:r>
              <w:rPr>
                <w:spacing w:val="-4"/>
              </w:rPr>
              <w:t> mld. korun, –38,2 %) a dál klesal i dovoz z Německa (–3,0 mld., –1,3 %) a Rakouska (–1,1 mld., –3,9 %).</w:t>
            </w:r>
          </w:p>
        </w:tc>
      </w:tr>
      <w:tr w:rsidR="003E08A4" w:rsidRPr="009110F7" w14:paraId="4945F9E3" w14:textId="77777777" w:rsidTr="00275758">
        <w:trPr>
          <w:trHeight w:val="145"/>
        </w:trPr>
        <w:tc>
          <w:tcPr>
            <w:tcW w:w="1762" w:type="dxa"/>
            <w:shd w:val="clear" w:color="auto" w:fill="auto"/>
            <w:tcMar>
              <w:left w:w="0" w:type="dxa"/>
            </w:tcMar>
          </w:tcPr>
          <w:p w14:paraId="0877E2A4" w14:textId="77777777" w:rsidR="003E08A4" w:rsidRDefault="003E08A4" w:rsidP="00275758">
            <w:pPr>
              <w:pStyle w:val="Marginlie"/>
            </w:pPr>
            <w:r>
              <w:t>Přebytek zahraničního obchodu se zbožím se loni zvýšil.</w:t>
            </w:r>
          </w:p>
        </w:tc>
        <w:tc>
          <w:tcPr>
            <w:tcW w:w="223" w:type="dxa"/>
            <w:shd w:val="clear" w:color="auto" w:fill="auto"/>
            <w:tcMar>
              <w:left w:w="0" w:type="dxa"/>
            </w:tcMar>
          </w:tcPr>
          <w:p w14:paraId="7A3E5570" w14:textId="77777777" w:rsidR="003E08A4" w:rsidRDefault="003E08A4" w:rsidP="00275758">
            <w:pPr>
              <w:pStyle w:val="Textpoznpodarou"/>
              <w:jc w:val="both"/>
              <w:rPr>
                <w:spacing w:val="-4"/>
              </w:rPr>
            </w:pPr>
          </w:p>
        </w:tc>
        <w:tc>
          <w:tcPr>
            <w:tcW w:w="7654" w:type="dxa"/>
            <w:shd w:val="clear" w:color="auto" w:fill="auto"/>
            <w:tcMar>
              <w:left w:w="0" w:type="dxa"/>
            </w:tcMar>
          </w:tcPr>
          <w:p w14:paraId="44609BCE" w14:textId="77777777" w:rsidR="003E08A4" w:rsidRPr="00AF6F98" w:rsidRDefault="003E08A4" w:rsidP="00275758">
            <w:pPr>
              <w:rPr>
                <w:spacing w:val="-4"/>
              </w:rPr>
            </w:pPr>
            <w:r>
              <w:rPr>
                <w:spacing w:val="-4"/>
              </w:rPr>
              <w:t>Výrazné zaostávání dynamiky dovozu za vývozem loni napomohlo bilanci zahraničního obchodu se zbožím. Celkový přebytek vyšplhal na 184,5 mld. korun, což je meziročně o 38,8 mld. více. Meziročního zlepšení salda bylo přitom dosaženo výhradně ve 2. pololetí. Už v 1. čtvrtletí se přebytek zhoršil oproti stejnému období předchozího roku (dosáhl 37,9 mld.) a propad zahraničního obchodu ve 2. čtvrtletí vedl ke snížení přebytku o 47,7 mld. na 9,3 mld. Obnova zahraničního obchodu ale byla poměrně rychlá a ve 3. čtvrtletí už byl přebytek na více než dvojnásobku předchozího roku (56,9 mld.). Ve 4. čtvrtletí přebytek zahraničního obchodu dosáhl 80,4 mld. korun a meziročně se zlepšil o 67,5 mld. Zaznamenané saldo i jeho zlepšení byly nejvyšší za celou dostupnou časovou řadu.</w:t>
            </w:r>
          </w:p>
        </w:tc>
      </w:tr>
      <w:tr w:rsidR="003E08A4" w:rsidRPr="009110F7" w14:paraId="601C620A" w14:textId="77777777" w:rsidTr="00275758">
        <w:trPr>
          <w:trHeight w:val="145"/>
        </w:trPr>
        <w:tc>
          <w:tcPr>
            <w:tcW w:w="1762" w:type="dxa"/>
            <w:shd w:val="clear" w:color="auto" w:fill="auto"/>
            <w:tcMar>
              <w:left w:w="0" w:type="dxa"/>
            </w:tcMar>
          </w:tcPr>
          <w:p w14:paraId="1C906151" w14:textId="77777777" w:rsidR="003E08A4" w:rsidRDefault="003E08A4" w:rsidP="00275758">
            <w:pPr>
              <w:pStyle w:val="Marginlie"/>
            </w:pPr>
            <w:r>
              <w:t>Zlepšení způsobilo zejména zmírnění deficitu obchodu s ropou a zemním plynem a základními kovy.</w:t>
            </w:r>
          </w:p>
        </w:tc>
        <w:tc>
          <w:tcPr>
            <w:tcW w:w="223" w:type="dxa"/>
            <w:shd w:val="clear" w:color="auto" w:fill="auto"/>
            <w:tcMar>
              <w:left w:w="0" w:type="dxa"/>
            </w:tcMar>
          </w:tcPr>
          <w:p w14:paraId="69F230D2" w14:textId="77777777" w:rsidR="003E08A4" w:rsidRDefault="003E08A4" w:rsidP="00275758">
            <w:pPr>
              <w:pStyle w:val="Textpoznpodarou"/>
              <w:jc w:val="both"/>
              <w:rPr>
                <w:spacing w:val="-4"/>
              </w:rPr>
            </w:pPr>
          </w:p>
        </w:tc>
        <w:tc>
          <w:tcPr>
            <w:tcW w:w="7654" w:type="dxa"/>
            <w:shd w:val="clear" w:color="auto" w:fill="auto"/>
            <w:tcMar>
              <w:left w:w="0" w:type="dxa"/>
            </w:tcMar>
          </w:tcPr>
          <w:p w14:paraId="0B47E4AC" w14:textId="71986747" w:rsidR="003E08A4" w:rsidRDefault="003E08A4" w:rsidP="00275758">
            <w:pPr>
              <w:rPr>
                <w:spacing w:val="-4"/>
              </w:rPr>
            </w:pPr>
            <w:r>
              <w:rPr>
                <w:spacing w:val="-4"/>
              </w:rPr>
              <w:t>Ke zlepšení bilance obchodu se zbožím loni nejvíce přispělo zmírnění deficitu obchodu s ropou a zemním plynem o 55,7 mld. korun a dále se základními kovy o 22,9 mld. V obou případech mělo vliv již zmíněné snížení cen těchto surovin. Zlepšilo se také saldo u ostatních dopravních prostředků (+6,1 mld.) a </w:t>
            </w:r>
            <w:r w:rsidR="00E00B88">
              <w:rPr>
                <w:spacing w:val="-4"/>
              </w:rPr>
              <w:t xml:space="preserve">záporné saldo u </w:t>
            </w:r>
            <w:r>
              <w:rPr>
                <w:spacing w:val="-4"/>
              </w:rPr>
              <w:t xml:space="preserve">chemických látek a přípravků (+6,0 mld.). Ačkoli během druhé poloviny roku důležité exportní obory dělaly </w:t>
            </w:r>
            <w:r>
              <w:rPr>
                <w:spacing w:val="-4"/>
              </w:rPr>
              <w:lastRenderedPageBreak/>
              <w:t>všechno pro to, aby dohnaly ztráty, výsledný meziroční propad přebytku u motorových vozidel loni dosáhl 25,4 mld. korun, u počítačů, elektronických a optických přístrojů 20,3 mld. a v případě elektrických zařízení 19,7 mld. Bilanci zhoršoval i obchod s </w:t>
            </w:r>
            <w:proofErr w:type="gramStart"/>
            <w:r>
              <w:rPr>
                <w:spacing w:val="-4"/>
              </w:rPr>
              <w:t>textiliemi (–7,2</w:t>
            </w:r>
            <w:proofErr w:type="gramEnd"/>
            <w:r>
              <w:rPr>
                <w:spacing w:val="-4"/>
              </w:rPr>
              <w:t xml:space="preserve"> mld. korun) a se základními farmaceutickými výrobky (–5,9 mld.). V samotném 4. čtvrtletí se rekordně zlepšil přebytek obchodu s motorovými vozidly (+31,0 mld. korun) a deficit obchodu s ropou a zemním plynem se zmírnil o 13,9 mld. Mírně se zlepšila také bilance obchodu s kovodělnými výrobky (+4,6 mld. korun), se stroji a zařízeními (+3,2 mld.), potravinářskými výrobky (+2,9 mld.), počítači, elektronickými a optickými přístroji (+2,9 mld.) a ostatními dopravními prostředky (+2,9 mld.). Výraznější zhoršení bilance bylo zaznamenáno u elektrických </w:t>
            </w:r>
            <w:proofErr w:type="gramStart"/>
            <w:r>
              <w:rPr>
                <w:spacing w:val="-4"/>
              </w:rPr>
              <w:t>zařízení (–4,2</w:t>
            </w:r>
            <w:proofErr w:type="gramEnd"/>
            <w:r>
              <w:rPr>
                <w:spacing w:val="-4"/>
              </w:rPr>
              <w:t> mld. korun).</w:t>
            </w:r>
          </w:p>
        </w:tc>
      </w:tr>
      <w:tr w:rsidR="003E08A4" w:rsidRPr="009110F7" w14:paraId="34EF656D" w14:textId="77777777" w:rsidTr="00275758">
        <w:trPr>
          <w:trHeight w:val="145"/>
        </w:trPr>
        <w:tc>
          <w:tcPr>
            <w:tcW w:w="1762" w:type="dxa"/>
            <w:shd w:val="clear" w:color="auto" w:fill="auto"/>
            <w:tcMar>
              <w:left w:w="0" w:type="dxa"/>
            </w:tcMar>
          </w:tcPr>
          <w:p w14:paraId="3BEA0561" w14:textId="77777777" w:rsidR="003E08A4" w:rsidRDefault="003E08A4" w:rsidP="00275758">
            <w:pPr>
              <w:pStyle w:val="Marginlie"/>
            </w:pPr>
            <w:r>
              <w:lastRenderedPageBreak/>
              <w:t>Z teritoriálního hlediska se nejvíce zlepšila bilance zahraničního obchodu s Německem a Ruskem.</w:t>
            </w:r>
          </w:p>
        </w:tc>
        <w:tc>
          <w:tcPr>
            <w:tcW w:w="223" w:type="dxa"/>
            <w:shd w:val="clear" w:color="auto" w:fill="auto"/>
            <w:tcMar>
              <w:left w:w="0" w:type="dxa"/>
            </w:tcMar>
          </w:tcPr>
          <w:p w14:paraId="1BDD3BB9" w14:textId="77777777" w:rsidR="003E08A4" w:rsidRDefault="003E08A4" w:rsidP="00275758">
            <w:pPr>
              <w:pStyle w:val="Textpoznpodarou"/>
              <w:jc w:val="both"/>
              <w:rPr>
                <w:spacing w:val="-4"/>
              </w:rPr>
            </w:pPr>
          </w:p>
        </w:tc>
        <w:tc>
          <w:tcPr>
            <w:tcW w:w="7654" w:type="dxa"/>
            <w:shd w:val="clear" w:color="auto" w:fill="auto"/>
            <w:tcMar>
              <w:left w:w="0" w:type="dxa"/>
            </w:tcMar>
          </w:tcPr>
          <w:p w14:paraId="1148E7C0" w14:textId="3DC74BAA" w:rsidR="003E08A4" w:rsidRDefault="003E08A4" w:rsidP="00275758">
            <w:pPr>
              <w:rPr>
                <w:spacing w:val="-4"/>
              </w:rPr>
            </w:pPr>
            <w:r>
              <w:rPr>
                <w:spacing w:val="-4"/>
              </w:rPr>
              <w:t>Ke zlepšení bilance zahraničního obchodu loni nejvíce přispěl obchod s Německem (+64,7 mld. korun), dále s Ruskem (+47,0 mld., poprvé bylo s Ruskem dosaženo přebytku) a také s Tureckem (+10,2 mld.). Zmírnil se také deficit s Itálií (+7,2 mld. korun), zlepšil se přebytek se Slovenskem (+6,4 mld.) a také s</w:t>
            </w:r>
            <w:r w:rsidR="00E00B88">
              <w:rPr>
                <w:spacing w:val="-4"/>
              </w:rPr>
              <w:t> </w:t>
            </w:r>
            <w:r>
              <w:rPr>
                <w:spacing w:val="-4"/>
              </w:rPr>
              <w:t>Kore</w:t>
            </w:r>
            <w:r w:rsidR="00E00B88">
              <w:rPr>
                <w:spacing w:val="-4"/>
              </w:rPr>
              <w:t>jsk</w:t>
            </w:r>
            <w:r>
              <w:rPr>
                <w:spacing w:val="-4"/>
              </w:rPr>
              <w:t>ou</w:t>
            </w:r>
            <w:r w:rsidR="00E00B88">
              <w:rPr>
                <w:spacing w:val="-4"/>
              </w:rPr>
              <w:t xml:space="preserve"> republikou</w:t>
            </w:r>
            <w:r>
              <w:rPr>
                <w:spacing w:val="-4"/>
              </w:rPr>
              <w:t xml:space="preserve"> (+5,4 mld.). Naopak ve směru zhoršení bilance výrazně působil obchod s </w:t>
            </w:r>
            <w:proofErr w:type="gramStart"/>
            <w:r>
              <w:rPr>
                <w:spacing w:val="-4"/>
              </w:rPr>
              <w:t>Čínou (–46,0</w:t>
            </w:r>
            <w:proofErr w:type="gramEnd"/>
            <w:r>
              <w:rPr>
                <w:spacing w:val="-4"/>
              </w:rPr>
              <w:t> mld. korun), se Španělskem</w:t>
            </w:r>
            <w:r>
              <w:rPr>
                <w:spacing w:val="-4"/>
              </w:rPr>
              <w:br/>
              <w:t>(–33,0 mld.), s Velkou Británií (–16,4 mld.) a s Maďarskem (–9,5 mld.). V závěru roku došlo k masivnímu zvýšení přebytku s Německem (+46,2 mld. korun) a rovněž k dalšímu zlepšení bilance s Ruskem (+12,4 mld.), se Slovenskem (+8,1 mld.), Itálií (+7,9 mld.) a Francií (+7,0 mld.). Nejvíce se ve 4. čtvrtletí zhoršila bilance obchodu s </w:t>
            </w:r>
            <w:proofErr w:type="gramStart"/>
            <w:r>
              <w:rPr>
                <w:spacing w:val="-4"/>
              </w:rPr>
              <w:t>Čínou (–12,5</w:t>
            </w:r>
            <w:proofErr w:type="gramEnd"/>
            <w:r>
              <w:rPr>
                <w:spacing w:val="-4"/>
              </w:rPr>
              <w:t> mld. korun), Maďarskem (–5,1 mld.), Kore</w:t>
            </w:r>
            <w:r w:rsidR="00E00B88">
              <w:rPr>
                <w:spacing w:val="-4"/>
              </w:rPr>
              <w:t>jskou republikou</w:t>
            </w:r>
            <w:r>
              <w:rPr>
                <w:spacing w:val="-4"/>
              </w:rPr>
              <w:t xml:space="preserve"> (–3,5 mld.) a Japonskem (–3,1 mld.).</w:t>
            </w:r>
          </w:p>
        </w:tc>
      </w:tr>
      <w:tr w:rsidR="003E08A4" w:rsidRPr="009110F7" w14:paraId="2765EDF5" w14:textId="77777777" w:rsidTr="00275758">
        <w:trPr>
          <w:trHeight w:val="106"/>
        </w:trPr>
        <w:tc>
          <w:tcPr>
            <w:tcW w:w="1762" w:type="dxa"/>
            <w:vMerge w:val="restart"/>
            <w:shd w:val="clear" w:color="auto" w:fill="auto"/>
            <w:tcMar>
              <w:left w:w="0" w:type="dxa"/>
            </w:tcMar>
          </w:tcPr>
          <w:p w14:paraId="5F12D4AC" w14:textId="77777777" w:rsidR="003E08A4" w:rsidRDefault="003E08A4" w:rsidP="00275758">
            <w:pPr>
              <w:pStyle w:val="Marginlie"/>
            </w:pPr>
          </w:p>
        </w:tc>
        <w:tc>
          <w:tcPr>
            <w:tcW w:w="223" w:type="dxa"/>
            <w:vMerge w:val="restart"/>
            <w:shd w:val="clear" w:color="auto" w:fill="auto"/>
            <w:tcMar>
              <w:left w:w="0" w:type="dxa"/>
            </w:tcMar>
          </w:tcPr>
          <w:p w14:paraId="7075AEA9" w14:textId="77777777" w:rsidR="003E08A4" w:rsidRDefault="003E08A4" w:rsidP="00275758">
            <w:pPr>
              <w:pStyle w:val="Textpoznpodarou"/>
              <w:jc w:val="both"/>
              <w:rPr>
                <w:spacing w:val="-4"/>
              </w:rPr>
            </w:pPr>
          </w:p>
        </w:tc>
        <w:tc>
          <w:tcPr>
            <w:tcW w:w="7654" w:type="dxa"/>
            <w:shd w:val="clear" w:color="auto" w:fill="auto"/>
            <w:tcMar>
              <w:left w:w="0" w:type="dxa"/>
            </w:tcMar>
          </w:tcPr>
          <w:p w14:paraId="6DBA83FA" w14:textId="77777777" w:rsidR="003E08A4" w:rsidRPr="00D75AC1" w:rsidRDefault="003E08A4" w:rsidP="00275758">
            <w:pPr>
              <w:spacing w:after="0"/>
              <w:rPr>
                <w:spacing w:val="-4"/>
                <w:szCs w:val="20"/>
              </w:rPr>
            </w:pPr>
            <w:r w:rsidRPr="00D75AC1">
              <w:rPr>
                <w:rFonts w:cs="Arial"/>
                <w:b/>
                <w:bCs/>
                <w:color w:val="000000"/>
                <w:szCs w:val="20"/>
              </w:rPr>
              <w:t>Graf č.</w:t>
            </w:r>
            <w:r>
              <w:rPr>
                <w:rFonts w:cs="Arial"/>
                <w:b/>
                <w:bCs/>
                <w:color w:val="000000"/>
                <w:szCs w:val="20"/>
              </w:rPr>
              <w:t xml:space="preserve"> 8 </w:t>
            </w:r>
            <w:r w:rsidRPr="00D75AC1">
              <w:rPr>
                <w:rFonts w:cs="Arial"/>
                <w:b/>
                <w:bCs/>
                <w:color w:val="000000"/>
                <w:szCs w:val="20"/>
              </w:rPr>
              <w:t xml:space="preserve"> </w:t>
            </w:r>
            <w:r w:rsidRPr="00D75AC1">
              <w:rPr>
                <w:b/>
                <w:spacing w:val="-4"/>
                <w:szCs w:val="20"/>
              </w:rPr>
              <w:t xml:space="preserve">Bilance zahraničního obchodu </w:t>
            </w:r>
            <w:r>
              <w:rPr>
                <w:b/>
                <w:spacing w:val="-4"/>
                <w:szCs w:val="20"/>
              </w:rPr>
              <w:t xml:space="preserve">se zbožím </w:t>
            </w:r>
            <w:r w:rsidRPr="00D75AC1">
              <w:rPr>
                <w:b/>
                <w:spacing w:val="-4"/>
                <w:szCs w:val="20"/>
              </w:rPr>
              <w:t xml:space="preserve">ve statistice zahraničního obchodu </w:t>
            </w:r>
            <w:r w:rsidRPr="00D75AC1">
              <w:rPr>
                <w:spacing w:val="-4"/>
                <w:szCs w:val="20"/>
              </w:rPr>
              <w:t xml:space="preserve">(kumulace </w:t>
            </w:r>
            <w:r>
              <w:rPr>
                <w:spacing w:val="-4"/>
                <w:szCs w:val="20"/>
              </w:rPr>
              <w:t>celého roku</w:t>
            </w:r>
            <w:r w:rsidRPr="00D75AC1">
              <w:rPr>
                <w:spacing w:val="-4"/>
                <w:szCs w:val="20"/>
              </w:rPr>
              <w:t>, v mld.</w:t>
            </w:r>
            <w:r>
              <w:rPr>
                <w:spacing w:val="-4"/>
                <w:szCs w:val="20"/>
              </w:rPr>
              <w:t xml:space="preserve"> </w:t>
            </w:r>
            <w:r w:rsidRPr="00D75AC1">
              <w:rPr>
                <w:spacing w:val="-4"/>
                <w:szCs w:val="20"/>
              </w:rPr>
              <w:t>korun, vybrané oddíly klasifikace CPA)</w:t>
            </w:r>
          </w:p>
        </w:tc>
      </w:tr>
      <w:tr w:rsidR="003E08A4" w:rsidRPr="009110F7" w14:paraId="1C6E69DF" w14:textId="77777777" w:rsidTr="00275758">
        <w:tblPrEx>
          <w:tblCellMar>
            <w:left w:w="70" w:type="dxa"/>
            <w:right w:w="70" w:type="dxa"/>
          </w:tblCellMar>
        </w:tblPrEx>
        <w:trPr>
          <w:trHeight w:val="106"/>
        </w:trPr>
        <w:tc>
          <w:tcPr>
            <w:tcW w:w="1762" w:type="dxa"/>
            <w:vMerge/>
            <w:shd w:val="clear" w:color="auto" w:fill="auto"/>
          </w:tcPr>
          <w:p w14:paraId="0C668548" w14:textId="77777777" w:rsidR="003E08A4" w:rsidRDefault="003E08A4" w:rsidP="00275758">
            <w:pPr>
              <w:pStyle w:val="Marginlie"/>
            </w:pPr>
          </w:p>
        </w:tc>
        <w:tc>
          <w:tcPr>
            <w:tcW w:w="223" w:type="dxa"/>
            <w:vMerge/>
            <w:shd w:val="clear" w:color="auto" w:fill="auto"/>
          </w:tcPr>
          <w:p w14:paraId="5413D440" w14:textId="77777777" w:rsidR="003E08A4" w:rsidRDefault="003E08A4" w:rsidP="00275758">
            <w:pPr>
              <w:pStyle w:val="Textpoznpodarou"/>
              <w:jc w:val="both"/>
              <w:rPr>
                <w:spacing w:val="-4"/>
              </w:rPr>
            </w:pPr>
          </w:p>
        </w:tc>
        <w:tc>
          <w:tcPr>
            <w:tcW w:w="7654" w:type="dxa"/>
            <w:shd w:val="clear" w:color="auto" w:fill="auto"/>
          </w:tcPr>
          <w:p w14:paraId="17C284D4" w14:textId="77777777" w:rsidR="003E08A4" w:rsidRPr="00AF6F98" w:rsidRDefault="003E08A4" w:rsidP="00275758">
            <w:pPr>
              <w:spacing w:after="0"/>
              <w:rPr>
                <w:spacing w:val="-4"/>
              </w:rPr>
            </w:pPr>
            <w:r>
              <w:rPr>
                <w:noProof/>
              </w:rPr>
              <w:drawing>
                <wp:inline distT="0" distB="0" distL="0" distR="0" wp14:anchorId="776EF509" wp14:editId="76BB573F">
                  <wp:extent cx="4715023" cy="3426200"/>
                  <wp:effectExtent l="0" t="0" r="0" b="3175"/>
                  <wp:docPr id="33" name="Graf 33">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E08A4" w:rsidRPr="009110F7" w14:paraId="7AE421A6" w14:textId="77777777" w:rsidTr="00275758">
        <w:trPr>
          <w:trHeight w:val="106"/>
        </w:trPr>
        <w:tc>
          <w:tcPr>
            <w:tcW w:w="1762" w:type="dxa"/>
            <w:vMerge/>
            <w:shd w:val="clear" w:color="auto" w:fill="auto"/>
            <w:tcMar>
              <w:left w:w="0" w:type="dxa"/>
            </w:tcMar>
          </w:tcPr>
          <w:p w14:paraId="52E053F9" w14:textId="77777777" w:rsidR="003E08A4" w:rsidRDefault="003E08A4" w:rsidP="00275758">
            <w:pPr>
              <w:pStyle w:val="Marginlie"/>
            </w:pPr>
          </w:p>
        </w:tc>
        <w:tc>
          <w:tcPr>
            <w:tcW w:w="223" w:type="dxa"/>
            <w:vMerge/>
            <w:shd w:val="clear" w:color="auto" w:fill="auto"/>
            <w:tcMar>
              <w:left w:w="0" w:type="dxa"/>
            </w:tcMar>
          </w:tcPr>
          <w:p w14:paraId="030247A2" w14:textId="77777777" w:rsidR="003E08A4" w:rsidRDefault="003E08A4" w:rsidP="00275758">
            <w:pPr>
              <w:pStyle w:val="Textpoznpodarou"/>
              <w:jc w:val="both"/>
              <w:rPr>
                <w:spacing w:val="-4"/>
              </w:rPr>
            </w:pPr>
          </w:p>
        </w:tc>
        <w:tc>
          <w:tcPr>
            <w:tcW w:w="7654" w:type="dxa"/>
            <w:shd w:val="clear" w:color="auto" w:fill="auto"/>
            <w:tcMar>
              <w:left w:w="0" w:type="dxa"/>
            </w:tcMar>
          </w:tcPr>
          <w:p w14:paraId="0982D2F8" w14:textId="77777777" w:rsidR="003E08A4" w:rsidRPr="00AF6F98" w:rsidRDefault="003E08A4" w:rsidP="00275758">
            <w:pPr>
              <w:spacing w:after="0"/>
              <w:rPr>
                <w:spacing w:val="-4"/>
              </w:rPr>
            </w:pPr>
            <w:r>
              <w:rPr>
                <w:sz w:val="14"/>
                <w:szCs w:val="14"/>
              </w:rPr>
              <w:t>Zdroj: ČSÚ</w:t>
            </w:r>
          </w:p>
        </w:tc>
      </w:tr>
    </w:tbl>
    <w:p w14:paraId="1CEBDEEC" w14:textId="77777777" w:rsidR="003E08A4" w:rsidRPr="00C41D54" w:rsidRDefault="003E08A4" w:rsidP="003E08A4">
      <w:pPr>
        <w:pStyle w:val="Nadpis11"/>
        <w:rPr>
          <w:b w:val="0"/>
          <w:sz w:val="2"/>
          <w:szCs w:val="2"/>
          <w:highlight w:val="yellow"/>
        </w:rPr>
      </w:pPr>
    </w:p>
    <w:p w14:paraId="1FD3D795" w14:textId="77777777" w:rsidR="003E08A4" w:rsidRPr="00E42054" w:rsidRDefault="003E08A4" w:rsidP="003E08A4">
      <w:pPr>
        <w:pStyle w:val="Nadpis11"/>
        <w:spacing w:after="0"/>
        <w:rPr>
          <w:b w:val="0"/>
          <w:sz w:val="2"/>
          <w:szCs w:val="2"/>
        </w:rPr>
      </w:pPr>
    </w:p>
    <w:p w14:paraId="1D022C6C" w14:textId="77777777" w:rsidR="003E08A4" w:rsidRPr="00E42054" w:rsidRDefault="003E08A4" w:rsidP="003E08A4">
      <w:pPr>
        <w:pStyle w:val="Nadpis11"/>
        <w:spacing w:after="0"/>
        <w:rPr>
          <w:b w:val="0"/>
          <w:sz w:val="2"/>
          <w:szCs w:val="2"/>
        </w:rPr>
      </w:pPr>
    </w:p>
    <w:p w14:paraId="09D30ACF" w14:textId="77777777" w:rsidR="00CC0AEA" w:rsidRPr="00C41D54" w:rsidRDefault="00CC0AEA" w:rsidP="00CC0AEA">
      <w:pPr>
        <w:pStyle w:val="Nadpis11"/>
        <w:rPr>
          <w:b w:val="0"/>
          <w:sz w:val="2"/>
          <w:szCs w:val="2"/>
          <w:highlight w:val="yellow"/>
        </w:rPr>
      </w:pPr>
    </w:p>
    <w:p w14:paraId="00525D14" w14:textId="77777777" w:rsidR="00CC0AEA" w:rsidRPr="00E42054" w:rsidRDefault="00CC0AEA" w:rsidP="00CC0AEA">
      <w:pPr>
        <w:pStyle w:val="Nadpis11"/>
        <w:spacing w:after="0"/>
        <w:rPr>
          <w:b w:val="0"/>
          <w:sz w:val="2"/>
          <w:szCs w:val="2"/>
        </w:rPr>
      </w:pPr>
    </w:p>
    <w:p w14:paraId="233D8434" w14:textId="77777777" w:rsidR="003E08A4" w:rsidRDefault="003E08A4">
      <w:pPr>
        <w:spacing w:after="0" w:line="240" w:lineRule="auto"/>
        <w:jc w:val="left"/>
        <w:rPr>
          <w:rFonts w:eastAsia="MS Gothic"/>
          <w:b/>
          <w:bCs/>
          <w:color w:val="71818C"/>
          <w:sz w:val="32"/>
          <w:szCs w:val="28"/>
        </w:rPr>
      </w:pPr>
      <w:bookmarkStart w:id="15" w:name="_Toc37403644"/>
      <w:bookmarkStart w:id="16" w:name="_Toc19090678"/>
      <w:bookmarkStart w:id="17" w:name="_Toc26539342"/>
      <w:bookmarkStart w:id="18" w:name="_Toc532558287"/>
      <w:bookmarkEnd w:id="9"/>
      <w:bookmarkEnd w:id="10"/>
      <w:bookmarkEnd w:id="11"/>
      <w:r>
        <w:br w:type="page"/>
      </w:r>
    </w:p>
    <w:p w14:paraId="7F7F8520" w14:textId="77777777" w:rsidR="003E08A4" w:rsidRDefault="003E08A4" w:rsidP="003E08A4">
      <w:pPr>
        <w:pStyle w:val="Nadpis11"/>
      </w:pPr>
      <w:bookmarkStart w:id="19" w:name="_Toc58605375"/>
      <w:bookmarkStart w:id="20" w:name="_Toc66954406"/>
      <w:bookmarkEnd w:id="15"/>
      <w:bookmarkEnd w:id="16"/>
      <w:bookmarkEnd w:id="17"/>
      <w:r>
        <w:lastRenderedPageBreak/>
        <w:t>5. Ceny</w:t>
      </w:r>
      <w:bookmarkEnd w:id="19"/>
      <w:bookmarkEnd w:id="20"/>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3E08A4" w14:paraId="4EE7CBA2" w14:textId="77777777" w:rsidTr="00275758">
        <w:trPr>
          <w:trHeight w:val="145"/>
        </w:trPr>
        <w:tc>
          <w:tcPr>
            <w:tcW w:w="1805" w:type="dxa"/>
            <w:hideMark/>
          </w:tcPr>
          <w:p w14:paraId="5A230F90" w14:textId="77777777" w:rsidR="003E08A4" w:rsidRDefault="003E08A4" w:rsidP="00275758">
            <w:pPr>
              <w:pStyle w:val="Marginlie"/>
              <w:rPr>
                <w:spacing w:val="0"/>
                <w:lang w:eastAsia="en-US"/>
              </w:rPr>
            </w:pPr>
            <w:r>
              <w:rPr>
                <w:spacing w:val="0"/>
                <w:lang w:eastAsia="en-US"/>
              </w:rPr>
              <w:t>Celková cenová hladina loni velmi silně rostla.</w:t>
            </w:r>
          </w:p>
        </w:tc>
        <w:tc>
          <w:tcPr>
            <w:tcW w:w="224" w:type="dxa"/>
          </w:tcPr>
          <w:p w14:paraId="0E18F9BB" w14:textId="77777777" w:rsidR="003E08A4" w:rsidRDefault="003E08A4" w:rsidP="00275758">
            <w:pPr>
              <w:pStyle w:val="Textpoznpodarou1"/>
              <w:jc w:val="both"/>
              <w:rPr>
                <w:lang w:eastAsia="en-US"/>
              </w:rPr>
            </w:pPr>
          </w:p>
        </w:tc>
        <w:tc>
          <w:tcPr>
            <w:tcW w:w="7610" w:type="dxa"/>
          </w:tcPr>
          <w:p w14:paraId="6F313C6B" w14:textId="77777777" w:rsidR="003E08A4" w:rsidRDefault="003E08A4" w:rsidP="00275758">
            <w:pPr>
              <w:rPr>
                <w:szCs w:val="20"/>
                <w:lang w:eastAsia="en-US"/>
              </w:rPr>
            </w:pPr>
            <w:r>
              <w:rPr>
                <w:szCs w:val="20"/>
                <w:lang w:eastAsia="en-US"/>
              </w:rPr>
              <w:t>Podle deflátoru hrubého domácího produktu vzrostla loni celková cenová hladina o 4,1 %, což je nejvíce od roku 2001. Vysoký byl růst cen spotřeby (3,4 %) i kapitálových statků (2,5 %). Nárůst cenové hladiny podpořily i kladné směnné relace (101,6 %). V samotném 4. čtvrtletí meziročně vzrostla celková cenová hladina o 4,2 %. Ceny spotřebních statků se navýšily o 3,1 %, zejména kvůli spotřebě vládních institucí (5,6 %). Růst cen spotřebních statků domácností zpomalil na 1,8 %. Kapitálové statky ve 4. čtvrtletí zdražily o 2,8 %. Směnné relace dosáhly 102,0 %, z toho směnné relace obchodu se zbožím činily 102,3 % a se službami 99,9 %.</w:t>
            </w:r>
          </w:p>
        </w:tc>
      </w:tr>
      <w:tr w:rsidR="003E08A4" w14:paraId="065637EC" w14:textId="77777777" w:rsidTr="00275758">
        <w:trPr>
          <w:trHeight w:val="145"/>
        </w:trPr>
        <w:tc>
          <w:tcPr>
            <w:tcW w:w="1805" w:type="dxa"/>
            <w:hideMark/>
          </w:tcPr>
          <w:p w14:paraId="2D7BDBF2" w14:textId="77777777" w:rsidR="003E08A4" w:rsidRDefault="003E08A4" w:rsidP="00275758">
            <w:pPr>
              <w:pStyle w:val="Marginlie"/>
              <w:rPr>
                <w:spacing w:val="0"/>
                <w:lang w:eastAsia="en-US"/>
              </w:rPr>
            </w:pPr>
            <w:r>
              <w:rPr>
                <w:spacing w:val="0"/>
                <w:lang w:eastAsia="en-US"/>
              </w:rPr>
              <w:t>Celkový nárůst spotřebitelských cen loni činil 3,2 %. Ve 4. čtvrtletí meziroční dynamika výrazně zpomalila.</w:t>
            </w:r>
          </w:p>
        </w:tc>
        <w:tc>
          <w:tcPr>
            <w:tcW w:w="224" w:type="dxa"/>
          </w:tcPr>
          <w:p w14:paraId="03B1A171" w14:textId="77777777" w:rsidR="003E08A4" w:rsidRDefault="003E08A4" w:rsidP="00275758">
            <w:pPr>
              <w:pStyle w:val="Textpoznpodarou1"/>
              <w:jc w:val="both"/>
              <w:rPr>
                <w:highlight w:val="yellow"/>
                <w:lang w:eastAsia="en-US"/>
              </w:rPr>
            </w:pPr>
          </w:p>
        </w:tc>
        <w:tc>
          <w:tcPr>
            <w:tcW w:w="7610" w:type="dxa"/>
          </w:tcPr>
          <w:p w14:paraId="508B2D50" w14:textId="77777777" w:rsidR="003E08A4" w:rsidRDefault="003E08A4" w:rsidP="00275758">
            <w:pPr>
              <w:rPr>
                <w:lang w:eastAsia="en-US"/>
              </w:rPr>
            </w:pPr>
            <w:r>
              <w:rPr>
                <w:lang w:eastAsia="en-US"/>
              </w:rPr>
              <w:t>Růst indexu spotřebitelských cen ve 4. čtvrtletí 2020 výrazně zpomalil. Oproti 3. čtvrtletí se spotřebitelské ceny snížily o 0,4 %, což je první pokles od 4. čtvrtletí 2015. Na mezičtvrtletním poklesu se podílelo zejména zastavení prudkých nárůstů cen alkoholických nápojů a tabáku. Snížily se také ceny potravin a nealkoholických nápojů, bydlení a energií a rekreace a kultury. Zároveň zpomalila mezičtvrtletní dynamika u cen dopravy a stravování a ubytování. Meziroční přírůstek spotřebitelských cen ve 4.</w:t>
            </w:r>
            <w:r>
              <w:t> </w:t>
            </w:r>
            <w:r>
              <w:rPr>
                <w:lang w:eastAsia="en-US"/>
              </w:rPr>
              <w:t>kvartálu výrazně zpomalil na 2,6 %, nejnižší hodnotu od 4. čtvrtletí 2018. Zpomalení celkové meziroční dynamiky také nejvíce ovlivnil vývoj cen potravin a nealkoholických nápojů a bydlení a energií. Průměrná inflace v roce 2020 dosáhla 3,2 % a byla nejvyšší od roku 2012. Cenový růst loni nejvíce podpořily potraviny a nealkoholické nápoje, alkoholické nápoje a tabák a bydlení a energie.</w:t>
            </w:r>
          </w:p>
        </w:tc>
      </w:tr>
      <w:tr w:rsidR="003E08A4" w14:paraId="57915FC5" w14:textId="77777777" w:rsidTr="00275758">
        <w:trPr>
          <w:trHeight w:val="145"/>
        </w:trPr>
        <w:tc>
          <w:tcPr>
            <w:tcW w:w="1805" w:type="dxa"/>
            <w:hideMark/>
          </w:tcPr>
          <w:p w14:paraId="34AC14C1" w14:textId="77777777" w:rsidR="003E08A4" w:rsidRDefault="003E08A4" w:rsidP="00275758">
            <w:pPr>
              <w:pStyle w:val="Marginlie"/>
              <w:rPr>
                <w:spacing w:val="0"/>
                <w:lang w:eastAsia="en-US"/>
              </w:rPr>
            </w:pPr>
            <w:r>
              <w:rPr>
                <w:spacing w:val="0"/>
                <w:lang w:eastAsia="en-US"/>
              </w:rPr>
              <w:t>Hlavním tahounem cenového růstu loni byly potraviny a nealkoholické nápoje. Jejich vliv ke konci roku výrazně oslabil.</w:t>
            </w:r>
          </w:p>
        </w:tc>
        <w:tc>
          <w:tcPr>
            <w:tcW w:w="224" w:type="dxa"/>
          </w:tcPr>
          <w:p w14:paraId="48A4F68C" w14:textId="77777777" w:rsidR="003E08A4" w:rsidRDefault="003E08A4" w:rsidP="00275758">
            <w:pPr>
              <w:pStyle w:val="Textpoznpodarou1"/>
              <w:jc w:val="both"/>
              <w:rPr>
                <w:highlight w:val="yellow"/>
                <w:lang w:eastAsia="en-US"/>
              </w:rPr>
            </w:pPr>
          </w:p>
        </w:tc>
        <w:tc>
          <w:tcPr>
            <w:tcW w:w="7610" w:type="dxa"/>
          </w:tcPr>
          <w:p w14:paraId="7B9328CE" w14:textId="77777777" w:rsidR="003E08A4" w:rsidRDefault="003E08A4" w:rsidP="00275758">
            <w:pPr>
              <w:rPr>
                <w:lang w:eastAsia="en-US"/>
              </w:rPr>
            </w:pPr>
            <w:r>
              <w:rPr>
                <w:lang w:eastAsia="en-US"/>
              </w:rPr>
              <w:t>Potraviny a nealkoholické nápoje byly po většinu roku jednou z hlavních hybných sil meziročního růstu spotřebitelských cen. V 1. pololetí potraviny a nealkoholické nápoje zdražovaly mimořádně vysokým tempem (meziročně o 6,1 % a 6,5 % v 1. a ve 2. čtvrtletí). Důvodem byly zejména ceny masa, které ovlivnil nedostatek vepřového na světových trzích. Ten souvisel s rozšířením afrického moru prasat. Ve 3. čtvrtletí meziroční přírůstek cen potravin a nealkoholických nápojů výrazně zpomalil (4,0 %) a podobně pokračoval vývoj ve 4. čtvrtletí (1,7 %). Prudké zpomalení ovlivnily zejména ceny masa (meziroční přírůstek 2,0 % ve 4. čtvrtletí) a ovoce (9,1 %). Mírný byl růst cen pekárenských výrobků a obilovin (1,0 %). Meziročně klesly ceny mléka, sýrů a </w:t>
            </w:r>
            <w:proofErr w:type="gramStart"/>
            <w:r>
              <w:rPr>
                <w:lang w:eastAsia="en-US"/>
              </w:rPr>
              <w:t>vajec (–1,3</w:t>
            </w:r>
            <w:proofErr w:type="gramEnd"/>
            <w:r>
              <w:rPr>
                <w:lang w:eastAsia="en-US"/>
              </w:rPr>
              <w:t> %). Za celý rok 2020 se ceny potravin a nealkoholických nápojů zvýšily o 4,5 %.</w:t>
            </w:r>
          </w:p>
        </w:tc>
      </w:tr>
      <w:tr w:rsidR="003E08A4" w14:paraId="786B3937" w14:textId="77777777" w:rsidTr="00275758">
        <w:trPr>
          <w:trHeight w:val="145"/>
        </w:trPr>
        <w:tc>
          <w:tcPr>
            <w:tcW w:w="1805" w:type="dxa"/>
          </w:tcPr>
          <w:p w14:paraId="7F13E8FF" w14:textId="77777777" w:rsidR="003E08A4" w:rsidRDefault="003E08A4" w:rsidP="00275758">
            <w:pPr>
              <w:pStyle w:val="Marginlie"/>
              <w:rPr>
                <w:spacing w:val="0"/>
                <w:lang w:eastAsia="en-US"/>
              </w:rPr>
            </w:pPr>
            <w:r>
              <w:rPr>
                <w:spacing w:val="0"/>
                <w:lang w:eastAsia="en-US"/>
              </w:rPr>
              <w:t>Růst cen bydlení a energií také v průběhu roku slábl.</w:t>
            </w:r>
          </w:p>
        </w:tc>
        <w:tc>
          <w:tcPr>
            <w:tcW w:w="224" w:type="dxa"/>
          </w:tcPr>
          <w:p w14:paraId="39DE7613" w14:textId="77777777" w:rsidR="003E08A4" w:rsidRDefault="003E08A4" w:rsidP="00275758">
            <w:pPr>
              <w:pStyle w:val="Textpoznpodarou1"/>
              <w:jc w:val="both"/>
              <w:rPr>
                <w:highlight w:val="yellow"/>
                <w:lang w:eastAsia="en-US"/>
              </w:rPr>
            </w:pPr>
          </w:p>
        </w:tc>
        <w:tc>
          <w:tcPr>
            <w:tcW w:w="7610" w:type="dxa"/>
          </w:tcPr>
          <w:p w14:paraId="26647F0F" w14:textId="77777777" w:rsidR="003E08A4" w:rsidRDefault="003E08A4" w:rsidP="00275758">
            <w:pPr>
              <w:rPr>
                <w:lang w:eastAsia="en-US"/>
              </w:rPr>
            </w:pPr>
            <w:r>
              <w:rPr>
                <w:lang w:eastAsia="en-US"/>
              </w:rPr>
              <w:t>Ceny bydlení, vody, energií a paliv se zejména v roce 2019 prudce zvyšovaly (5,3 %), protože zároveň rostly ceny nájemného, nákladů vlastnického bydlení i ceny elektřiny. Loni se meziroční dynamika cen bydlení a energií v průběhu roku mírnila (meziroční přírůstky 4,2 %, 3,2 %, 2,7 % a 1,4 % v jednotlivých čtvrtletích). Postupně se snižovaly přírůstky cen nájemného (na počátku roku 4,3 %, ve 4. čtvrtletí 2,0 %), ale také imputovaného nájemného, které zachycuje náklady vlastnického bydlení (z 3,7 % v 1. čtvrtletí na 1,5 % ve 4. kvartálu). Růst cen elektrické a tepelné energie, plynu a ostatních paliv byl v 1. až 3. čtvrtletí poměrně silný (4,7 %, 3,7 % a 3,5 %), ale prudce se snížil ve 4. čtvrtletí (0,4 %). Oproti roku 2019 se ceny bydlení a energií zvýšily o 2,9 %. Ceny nájemného vzrostly o 3,1 %, imputovaného nájemného o 2,4 % a energií o 3,1 %. Poměrně výrazný v průběhu roku zůstával meziroční růst cen běžné údržby a drobných oprav (3,2 %) a ostatních služeb souvisejících s bydlením (4,3 %).</w:t>
            </w:r>
          </w:p>
        </w:tc>
      </w:tr>
      <w:tr w:rsidR="003E08A4" w14:paraId="11E638E0" w14:textId="77777777" w:rsidTr="00275758">
        <w:trPr>
          <w:trHeight w:val="145"/>
        </w:trPr>
        <w:tc>
          <w:tcPr>
            <w:tcW w:w="1805" w:type="dxa"/>
          </w:tcPr>
          <w:p w14:paraId="447ED9DB" w14:textId="77777777" w:rsidR="003E08A4" w:rsidRDefault="003E08A4" w:rsidP="00275758">
            <w:pPr>
              <w:pStyle w:val="Marginlie"/>
              <w:rPr>
                <w:spacing w:val="0"/>
                <w:lang w:eastAsia="en-US"/>
              </w:rPr>
            </w:pPr>
            <w:r>
              <w:rPr>
                <w:spacing w:val="0"/>
                <w:lang w:eastAsia="en-US"/>
              </w:rPr>
              <w:t>Naopak ceny alkoholu a tabáku ve 4. čtvrtletí nejvíce přispívaly k meziročnímu nárůstu spotřebitelských cen.</w:t>
            </w:r>
          </w:p>
        </w:tc>
        <w:tc>
          <w:tcPr>
            <w:tcW w:w="224" w:type="dxa"/>
          </w:tcPr>
          <w:p w14:paraId="51788F88" w14:textId="77777777" w:rsidR="003E08A4" w:rsidRDefault="003E08A4" w:rsidP="00275758">
            <w:pPr>
              <w:pStyle w:val="Textpoznpodarou1"/>
              <w:jc w:val="both"/>
              <w:rPr>
                <w:highlight w:val="yellow"/>
                <w:lang w:eastAsia="en-US"/>
              </w:rPr>
            </w:pPr>
          </w:p>
        </w:tc>
        <w:tc>
          <w:tcPr>
            <w:tcW w:w="7610" w:type="dxa"/>
          </w:tcPr>
          <w:p w14:paraId="1927409B" w14:textId="77777777" w:rsidR="003E08A4" w:rsidRDefault="003E08A4" w:rsidP="00275758">
            <w:pPr>
              <w:rPr>
                <w:lang w:eastAsia="en-US"/>
              </w:rPr>
            </w:pPr>
            <w:r>
              <w:rPr>
                <w:lang w:eastAsia="en-US"/>
              </w:rPr>
              <w:t xml:space="preserve">U dynamiky cen alkoholu a tabáku se hned z počátku roku projevil nárůst spotřební daně (zrychlení meziročního nárůstu cen o 3,5 %), především u alkoholu. Vlivem předzásobení se ale zvýšení daně u tabáku projevilo až ve 2. čtvrtletí a ceny v oddílu dostaly další impulz (6,6 %). V průběhu 2. pololetí došlo k dalšímu posílení dynamiky cen alkoholu a tabáku na 10,3 % ve 3. čtvrtletí a 9,9 % ve 4. čtvrtletí. Posilovala přitom zejména meziroční dynamika u tabáku (2,6 %, 7,5 %, 14,0 % a 15,1 % v jednotlivých </w:t>
            </w:r>
            <w:r>
              <w:rPr>
                <w:lang w:eastAsia="en-US"/>
              </w:rPr>
              <w:lastRenderedPageBreak/>
              <w:t>čtvrtletích). Za celý rok 2020 vzrostly ceny alkoholu a tabáku o 7,6 % (nejvíc od roku 2008), z toho ceny alkoholických nápojů o 4,8 % a tabáku o 9,8 %.</w:t>
            </w:r>
          </w:p>
        </w:tc>
      </w:tr>
      <w:tr w:rsidR="003E08A4" w14:paraId="24481169" w14:textId="77777777" w:rsidTr="00275758">
        <w:trPr>
          <w:trHeight w:val="170"/>
        </w:trPr>
        <w:tc>
          <w:tcPr>
            <w:tcW w:w="1805" w:type="dxa"/>
            <w:vMerge w:val="restart"/>
          </w:tcPr>
          <w:p w14:paraId="4820B68D" w14:textId="77777777" w:rsidR="003E08A4" w:rsidRDefault="003E08A4" w:rsidP="00275758">
            <w:pPr>
              <w:pStyle w:val="Marginlie"/>
              <w:rPr>
                <w:spacing w:val="0"/>
                <w:lang w:eastAsia="en-US"/>
              </w:rPr>
            </w:pPr>
          </w:p>
        </w:tc>
        <w:tc>
          <w:tcPr>
            <w:tcW w:w="224" w:type="dxa"/>
            <w:vMerge w:val="restart"/>
          </w:tcPr>
          <w:p w14:paraId="2A081C83" w14:textId="77777777" w:rsidR="003E08A4" w:rsidRDefault="003E08A4" w:rsidP="00275758">
            <w:pPr>
              <w:pStyle w:val="Textpoznpodarou1"/>
              <w:jc w:val="both"/>
              <w:rPr>
                <w:highlight w:val="yellow"/>
                <w:lang w:eastAsia="en-US"/>
              </w:rPr>
            </w:pPr>
          </w:p>
        </w:tc>
        <w:tc>
          <w:tcPr>
            <w:tcW w:w="7610" w:type="dxa"/>
            <w:hideMark/>
          </w:tcPr>
          <w:p w14:paraId="143A868A" w14:textId="77777777" w:rsidR="003E08A4" w:rsidRPr="00D721B4" w:rsidRDefault="003E08A4" w:rsidP="00275758">
            <w:pPr>
              <w:spacing w:after="0"/>
              <w:rPr>
                <w:b/>
                <w:spacing w:val="-2"/>
                <w:szCs w:val="20"/>
                <w:lang w:eastAsia="en-US"/>
              </w:rPr>
            </w:pPr>
            <w:r w:rsidRPr="00D721B4">
              <w:rPr>
                <w:rFonts w:cs="Arial"/>
                <w:b/>
                <w:bCs/>
                <w:color w:val="000000"/>
                <w:spacing w:val="-2"/>
                <w:szCs w:val="20"/>
                <w:lang w:eastAsia="en-US"/>
              </w:rPr>
              <w:t>Graf č. 9  Ceny ve vybraných oddílech indexu spotřebitelských cen</w:t>
            </w:r>
            <w:r w:rsidRPr="00D721B4">
              <w:rPr>
                <w:rFonts w:cs="Arial"/>
                <w:b/>
                <w:color w:val="000000"/>
                <w:spacing w:val="-2"/>
                <w:szCs w:val="20"/>
                <w:lang w:eastAsia="en-US"/>
              </w:rPr>
              <w:t xml:space="preserve"> </w:t>
            </w:r>
            <w:r w:rsidRPr="00D721B4">
              <w:rPr>
                <w:rFonts w:cs="Arial"/>
                <w:color w:val="000000"/>
                <w:spacing w:val="-2"/>
                <w:szCs w:val="20"/>
                <w:lang w:eastAsia="en-US"/>
              </w:rPr>
              <w:t>(meziročně v %)</w:t>
            </w:r>
          </w:p>
        </w:tc>
      </w:tr>
      <w:tr w:rsidR="003E08A4" w14:paraId="3E07E1C9" w14:textId="77777777" w:rsidTr="00275758">
        <w:tblPrEx>
          <w:tblCellMar>
            <w:left w:w="70" w:type="dxa"/>
            <w:right w:w="70" w:type="dxa"/>
          </w:tblCellMar>
        </w:tblPrEx>
        <w:trPr>
          <w:trHeight w:val="170"/>
        </w:trPr>
        <w:tc>
          <w:tcPr>
            <w:tcW w:w="1805" w:type="dxa"/>
            <w:vMerge/>
            <w:vAlign w:val="center"/>
            <w:hideMark/>
          </w:tcPr>
          <w:p w14:paraId="7BD0A23D" w14:textId="77777777" w:rsidR="003E08A4" w:rsidRDefault="003E08A4" w:rsidP="00275758">
            <w:pPr>
              <w:spacing w:after="0" w:line="240" w:lineRule="auto"/>
              <w:jc w:val="left"/>
              <w:rPr>
                <w:sz w:val="16"/>
                <w:szCs w:val="16"/>
                <w:lang w:eastAsia="en-US"/>
              </w:rPr>
            </w:pPr>
          </w:p>
        </w:tc>
        <w:tc>
          <w:tcPr>
            <w:tcW w:w="224" w:type="dxa"/>
            <w:vMerge/>
            <w:vAlign w:val="center"/>
            <w:hideMark/>
          </w:tcPr>
          <w:p w14:paraId="0DECE7BD" w14:textId="77777777" w:rsidR="003E08A4" w:rsidRDefault="003E08A4" w:rsidP="00275758">
            <w:pPr>
              <w:spacing w:after="0" w:line="240" w:lineRule="auto"/>
              <w:jc w:val="left"/>
              <w:rPr>
                <w:rFonts w:eastAsia="Calibri"/>
                <w:szCs w:val="20"/>
                <w:highlight w:val="yellow"/>
                <w:lang w:eastAsia="en-US"/>
              </w:rPr>
            </w:pPr>
          </w:p>
        </w:tc>
        <w:tc>
          <w:tcPr>
            <w:tcW w:w="7610" w:type="dxa"/>
            <w:hideMark/>
          </w:tcPr>
          <w:p w14:paraId="5482EE96" w14:textId="77777777" w:rsidR="003E08A4" w:rsidRDefault="003E08A4" w:rsidP="00275758">
            <w:pPr>
              <w:spacing w:after="0"/>
              <w:rPr>
                <w:lang w:eastAsia="en-US"/>
              </w:rPr>
            </w:pPr>
            <w:r>
              <w:rPr>
                <w:noProof/>
              </w:rPr>
              <w:drawing>
                <wp:inline distT="0" distB="0" distL="0" distR="0" wp14:anchorId="5E490200" wp14:editId="31DEA6DF">
                  <wp:extent cx="4737600" cy="3438900"/>
                  <wp:effectExtent l="0" t="0" r="6350" b="0"/>
                  <wp:docPr id="34" name="Graf 34">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E08A4" w14:paraId="6EE00396" w14:textId="77777777" w:rsidTr="00275758">
        <w:trPr>
          <w:trHeight w:val="170"/>
        </w:trPr>
        <w:tc>
          <w:tcPr>
            <w:tcW w:w="0" w:type="auto"/>
            <w:vMerge/>
            <w:vAlign w:val="center"/>
            <w:hideMark/>
          </w:tcPr>
          <w:p w14:paraId="4F6DA812" w14:textId="77777777" w:rsidR="003E08A4" w:rsidRDefault="003E08A4" w:rsidP="00275758">
            <w:pPr>
              <w:spacing w:after="0" w:line="240" w:lineRule="auto"/>
              <w:jc w:val="left"/>
              <w:rPr>
                <w:sz w:val="16"/>
                <w:szCs w:val="16"/>
                <w:lang w:eastAsia="en-US"/>
              </w:rPr>
            </w:pPr>
          </w:p>
        </w:tc>
        <w:tc>
          <w:tcPr>
            <w:tcW w:w="0" w:type="auto"/>
            <w:vMerge/>
            <w:vAlign w:val="center"/>
            <w:hideMark/>
          </w:tcPr>
          <w:p w14:paraId="3CD5A264" w14:textId="77777777" w:rsidR="003E08A4" w:rsidRDefault="003E08A4" w:rsidP="00275758">
            <w:pPr>
              <w:spacing w:after="0" w:line="240" w:lineRule="auto"/>
              <w:jc w:val="left"/>
              <w:rPr>
                <w:rFonts w:eastAsia="Calibri"/>
                <w:szCs w:val="20"/>
                <w:highlight w:val="yellow"/>
                <w:lang w:eastAsia="en-US"/>
              </w:rPr>
            </w:pPr>
          </w:p>
        </w:tc>
        <w:tc>
          <w:tcPr>
            <w:tcW w:w="7610" w:type="dxa"/>
            <w:hideMark/>
          </w:tcPr>
          <w:p w14:paraId="6AC3A6B9" w14:textId="77777777" w:rsidR="003E08A4" w:rsidRDefault="003E08A4" w:rsidP="00275758">
            <w:pPr>
              <w:rPr>
                <w:sz w:val="14"/>
                <w:szCs w:val="14"/>
                <w:lang w:eastAsia="en-US"/>
              </w:rPr>
            </w:pPr>
            <w:r>
              <w:rPr>
                <w:sz w:val="14"/>
                <w:szCs w:val="14"/>
                <w:lang w:eastAsia="en-US"/>
              </w:rPr>
              <w:t>Zdroj: ČSÚ</w:t>
            </w:r>
          </w:p>
        </w:tc>
      </w:tr>
      <w:tr w:rsidR="003E08A4" w14:paraId="5E111C7E" w14:textId="77777777" w:rsidTr="00275758">
        <w:trPr>
          <w:trHeight w:val="145"/>
        </w:trPr>
        <w:tc>
          <w:tcPr>
            <w:tcW w:w="1805" w:type="dxa"/>
          </w:tcPr>
          <w:p w14:paraId="22F67F6A" w14:textId="77777777" w:rsidR="003E08A4" w:rsidRDefault="003E08A4" w:rsidP="00275758">
            <w:pPr>
              <w:pStyle w:val="Marginlie"/>
              <w:rPr>
                <w:spacing w:val="0"/>
                <w:lang w:eastAsia="en-US"/>
              </w:rPr>
            </w:pPr>
            <w:r>
              <w:rPr>
                <w:spacing w:val="0"/>
                <w:lang w:eastAsia="en-US"/>
              </w:rPr>
              <w:t>Na ceny dopravy působil propad cen ropy, ale také zdražení dopravních prostředků.</w:t>
            </w:r>
          </w:p>
        </w:tc>
        <w:tc>
          <w:tcPr>
            <w:tcW w:w="224" w:type="dxa"/>
          </w:tcPr>
          <w:p w14:paraId="6582CAF7" w14:textId="77777777" w:rsidR="003E08A4" w:rsidRDefault="003E08A4" w:rsidP="00275758">
            <w:pPr>
              <w:pStyle w:val="Textpoznpodarou1"/>
              <w:jc w:val="both"/>
              <w:rPr>
                <w:lang w:eastAsia="en-US"/>
              </w:rPr>
            </w:pPr>
          </w:p>
        </w:tc>
        <w:tc>
          <w:tcPr>
            <w:tcW w:w="7610" w:type="dxa"/>
          </w:tcPr>
          <w:p w14:paraId="65B14E2E" w14:textId="77777777" w:rsidR="003E08A4" w:rsidRDefault="003E08A4" w:rsidP="00275758">
            <w:pPr>
              <w:rPr>
                <w:lang w:eastAsia="en-US"/>
              </w:rPr>
            </w:pPr>
            <w:r>
              <w:rPr>
                <w:lang w:eastAsia="en-US"/>
              </w:rPr>
              <w:t>Oddíl doprava v průběhu loňského roku zaznamenal cenové turbulence související nejdříve s rekordním jarním propadem cen ropy a následně se zdražením motorových vozidel</w:t>
            </w:r>
            <w:r>
              <w:rPr>
                <w:rStyle w:val="Znakapoznpodarou"/>
                <w:lang w:eastAsia="en-US"/>
              </w:rPr>
              <w:footnoteReference w:id="43"/>
            </w:r>
            <w:r>
              <w:rPr>
                <w:lang w:eastAsia="en-US"/>
              </w:rPr>
              <w:t xml:space="preserve">. Oba vlivy působily proti sobě, takže výsledný pokles cen dopravy v roce 2020 byl jen </w:t>
            </w:r>
            <w:proofErr w:type="gramStart"/>
            <w:r>
              <w:rPr>
                <w:lang w:eastAsia="en-US"/>
              </w:rPr>
              <w:t>mírný (–0,4</w:t>
            </w:r>
            <w:proofErr w:type="gramEnd"/>
            <w:r>
              <w:rPr>
                <w:lang w:eastAsia="en-US"/>
              </w:rPr>
              <w:t xml:space="preserve"> %). Z toho ale ceny dopravních prostředků vzrostly o 4,6 % a naopak ceny jejich provozu se propadly o 5,7 %. V samotném 4. čtvrtletí ceny dopravy mírně meziročně rostly (0,6 %), ceny dopravních prostředků se zvýšily o 8,3 % a ceny provozu dopravních prostředků setrvaly v hlubokém </w:t>
            </w:r>
            <w:proofErr w:type="gramStart"/>
            <w:r>
              <w:rPr>
                <w:lang w:eastAsia="en-US"/>
              </w:rPr>
              <w:t>propadu (–6,7</w:t>
            </w:r>
            <w:proofErr w:type="gramEnd"/>
            <w:r>
              <w:rPr>
                <w:lang w:eastAsia="en-US"/>
              </w:rPr>
              <w:t> %).</w:t>
            </w:r>
          </w:p>
        </w:tc>
      </w:tr>
      <w:tr w:rsidR="003E08A4" w14:paraId="1A43FDED" w14:textId="77777777" w:rsidTr="00275758">
        <w:trPr>
          <w:trHeight w:val="145"/>
        </w:trPr>
        <w:tc>
          <w:tcPr>
            <w:tcW w:w="1805" w:type="dxa"/>
          </w:tcPr>
          <w:p w14:paraId="517EE92F" w14:textId="77777777" w:rsidR="003E08A4" w:rsidRDefault="003E08A4" w:rsidP="00275758">
            <w:pPr>
              <w:pStyle w:val="Marginlie"/>
              <w:rPr>
                <w:spacing w:val="0"/>
                <w:lang w:eastAsia="en-US"/>
              </w:rPr>
            </w:pPr>
            <w:r>
              <w:rPr>
                <w:spacing w:val="0"/>
                <w:lang w:eastAsia="en-US"/>
              </w:rPr>
              <w:t>Zatímco ceny stravování si loni držely silný meziroční růst, dynamika cen ubytování oslabila.</w:t>
            </w:r>
          </w:p>
        </w:tc>
        <w:tc>
          <w:tcPr>
            <w:tcW w:w="224" w:type="dxa"/>
          </w:tcPr>
          <w:p w14:paraId="0CC4A0FF" w14:textId="77777777" w:rsidR="003E08A4" w:rsidRDefault="003E08A4" w:rsidP="00275758">
            <w:pPr>
              <w:pStyle w:val="Textpoznpodarou1"/>
              <w:jc w:val="both"/>
              <w:rPr>
                <w:lang w:eastAsia="en-US"/>
              </w:rPr>
            </w:pPr>
          </w:p>
        </w:tc>
        <w:tc>
          <w:tcPr>
            <w:tcW w:w="7610" w:type="dxa"/>
          </w:tcPr>
          <w:p w14:paraId="6E60FFD8" w14:textId="77777777" w:rsidR="003E08A4" w:rsidRDefault="003E08A4" w:rsidP="00275758">
            <w:pPr>
              <w:rPr>
                <w:lang w:eastAsia="en-US"/>
              </w:rPr>
            </w:pPr>
            <w:r>
              <w:rPr>
                <w:lang w:eastAsia="en-US"/>
              </w:rPr>
              <w:t>Poměrně významně k růstu spotřebitelských cen po celý rok přispívalo také stravování a ubytování. Meziroční přírůstky se zde po většinu roku držely okolo 5 % a oslabily až v jeho závěru (4,3 % ve 4. čtvrtletí). Za celý rok 2020 se ceny zvýšily o 4,9 %. Výrazné navyšování přitom probíhalo u cen stravování (meziroční růst neklesl pod 5,0 %), zatímco růst cen ubytovacích služeb výrazně zpomalil ze 4,9 % v 1. kvartálu na 0,1 % ve 4.</w:t>
            </w:r>
            <w:r>
              <w:t> </w:t>
            </w:r>
            <w:r>
              <w:rPr>
                <w:lang w:eastAsia="en-US"/>
              </w:rPr>
              <w:t>čtvrtletí. Ceny odívání a obuvi v roce 2020 vzrostly o 3,7 % (z toho o 3,4 % ve 4. čtvrtletí). Přírůstek cen bytového vybavení a zařízení domácností loni činil 2,9 % (2,8 % ve 4. čtvrtletí). Ceny rekreace a kultury se loni zvýšily o 2,2 % (2,5 % ve 4. čtvrtletí). Jediná součást spotřebního koše, kde ceny loni klesly, byly pošty a </w:t>
            </w:r>
            <w:proofErr w:type="gramStart"/>
            <w:r>
              <w:rPr>
                <w:lang w:eastAsia="en-US"/>
              </w:rPr>
              <w:t>telekomunikace (–3,6</w:t>
            </w:r>
            <w:proofErr w:type="gramEnd"/>
            <w:r>
              <w:rPr>
                <w:lang w:eastAsia="en-US"/>
              </w:rPr>
              <w:t> %). Pokles je zde ale dlouhodobým trendem. Naposledy se ceny pošt a telekomunikací zvýšily v roce 2006.</w:t>
            </w:r>
          </w:p>
        </w:tc>
      </w:tr>
      <w:tr w:rsidR="003E08A4" w14:paraId="51E81FDF" w14:textId="77777777" w:rsidTr="00275758">
        <w:trPr>
          <w:trHeight w:val="145"/>
        </w:trPr>
        <w:tc>
          <w:tcPr>
            <w:tcW w:w="1805" w:type="dxa"/>
            <w:hideMark/>
          </w:tcPr>
          <w:p w14:paraId="3D713BB3" w14:textId="77777777" w:rsidR="003E08A4" w:rsidRDefault="003E08A4" w:rsidP="00275758">
            <w:pPr>
              <w:pStyle w:val="Marginlie"/>
              <w:rPr>
                <w:spacing w:val="0"/>
                <w:lang w:eastAsia="en-US"/>
              </w:rPr>
            </w:pPr>
            <w:r>
              <w:rPr>
                <w:spacing w:val="0"/>
                <w:lang w:eastAsia="en-US"/>
              </w:rPr>
              <w:t>Spotřebitelské ceny v EU loni vzrostly nejméně od roku 2016.</w:t>
            </w:r>
          </w:p>
        </w:tc>
        <w:tc>
          <w:tcPr>
            <w:tcW w:w="224" w:type="dxa"/>
          </w:tcPr>
          <w:p w14:paraId="3C0C0A42" w14:textId="77777777" w:rsidR="003E08A4" w:rsidRDefault="003E08A4" w:rsidP="00275758">
            <w:pPr>
              <w:pStyle w:val="Textpoznpodarou1"/>
              <w:jc w:val="both"/>
              <w:rPr>
                <w:lang w:eastAsia="en-US"/>
              </w:rPr>
            </w:pPr>
          </w:p>
        </w:tc>
        <w:tc>
          <w:tcPr>
            <w:tcW w:w="7610" w:type="dxa"/>
          </w:tcPr>
          <w:p w14:paraId="34F263B6" w14:textId="77777777" w:rsidR="003E08A4" w:rsidRDefault="003E08A4" w:rsidP="00275758">
            <w:pPr>
              <w:rPr>
                <w:lang w:eastAsia="en-US"/>
              </w:rPr>
            </w:pPr>
            <w:r>
              <w:rPr>
                <w:lang w:eastAsia="en-US"/>
              </w:rPr>
              <w:t>Spotřebitelské ceny v Evropské unii se loni zvýšily o 0,7 %</w:t>
            </w:r>
            <w:r>
              <w:rPr>
                <w:rStyle w:val="Znakapoznpodarou"/>
                <w:lang w:eastAsia="en-US"/>
              </w:rPr>
              <w:footnoteReference w:id="44"/>
            </w:r>
            <w:r>
              <w:rPr>
                <w:lang w:eastAsia="en-US"/>
              </w:rPr>
              <w:t xml:space="preserve">, což je nejméně od roku 2016, a v průběhu roku jejich dynamika postupně zpomalovala. Dynamiku cen tlačil dolů pokles cen </w:t>
            </w:r>
            <w:proofErr w:type="gramStart"/>
            <w:r>
              <w:rPr>
                <w:lang w:eastAsia="en-US"/>
              </w:rPr>
              <w:t>dopravy (–2,2</w:t>
            </w:r>
            <w:proofErr w:type="gramEnd"/>
            <w:r>
              <w:rPr>
                <w:lang w:eastAsia="en-US"/>
              </w:rPr>
              <w:t xml:space="preserve"> %), způsobený meziročním propadem cen ropy, ale rovněž zastavení růstu cen bydlení a energií (–0,1 %), které v předchozích letech </w:t>
            </w:r>
            <w:r>
              <w:rPr>
                <w:lang w:eastAsia="en-US"/>
              </w:rPr>
              <w:lastRenderedPageBreak/>
              <w:t>ovlivňovalo prudké zdražování elektřiny. Silný zůstal přírůstek cen potravin a nealkoholických nápojů (2,5 %) a alkoholických nápojů a tabáku (3,9 %). Nejvíce se spotřebitelské ceny loni navýšily v Polsku (3,7 %), Maďarsku (3,4 %) a Česku (3,3 %). Spotřebitelské ceny klesly celkem v osmi zemích, nejvíce v </w:t>
            </w:r>
            <w:proofErr w:type="gramStart"/>
            <w:r>
              <w:rPr>
                <w:lang w:eastAsia="en-US"/>
              </w:rPr>
              <w:t>Řecku (–1,3</w:t>
            </w:r>
            <w:proofErr w:type="gramEnd"/>
            <w:r>
              <w:rPr>
                <w:lang w:eastAsia="en-US"/>
              </w:rPr>
              <w:t> %), na Kypru</w:t>
            </w:r>
            <w:r>
              <w:rPr>
                <w:lang w:eastAsia="en-US"/>
              </w:rPr>
              <w:br/>
              <w:t>(–1,1 %) a v Estonsku (–0,6 %). V samotném 4. čtvrtletí spotřebitelské ceny v EU vzrostly o 0,2 %. Průměru EU se značně vymykaly země střední Evropy, zejména Polsko (3,6 %), Maďarsko (2,9 %) a Česko (2,7 %). Ve dvanácti zemích ceny klesly, nejvýrazněji v </w:t>
            </w:r>
            <w:proofErr w:type="gramStart"/>
            <w:r>
              <w:rPr>
                <w:lang w:eastAsia="en-US"/>
              </w:rPr>
              <w:t>Řecku (–2,2</w:t>
            </w:r>
            <w:proofErr w:type="gramEnd"/>
            <w:r>
              <w:rPr>
                <w:lang w:eastAsia="en-US"/>
              </w:rPr>
              <w:t> %), Estonsku (–1,3 %) a Irsku a na Kypru (shodně –1,1 %).</w:t>
            </w:r>
          </w:p>
        </w:tc>
      </w:tr>
      <w:tr w:rsidR="003E08A4" w14:paraId="45EFBCA1" w14:textId="77777777" w:rsidTr="00275758">
        <w:trPr>
          <w:trHeight w:val="145"/>
        </w:trPr>
        <w:tc>
          <w:tcPr>
            <w:tcW w:w="1805" w:type="dxa"/>
            <w:hideMark/>
          </w:tcPr>
          <w:p w14:paraId="511B9749" w14:textId="77777777" w:rsidR="003E08A4" w:rsidRDefault="003E08A4" w:rsidP="00275758">
            <w:pPr>
              <w:pStyle w:val="Marginlie"/>
              <w:rPr>
                <w:spacing w:val="0"/>
                <w:lang w:eastAsia="en-US"/>
              </w:rPr>
            </w:pPr>
            <w:r>
              <w:rPr>
                <w:spacing w:val="0"/>
                <w:lang w:eastAsia="en-US"/>
              </w:rPr>
              <w:lastRenderedPageBreak/>
              <w:t>Růst cen bytů mimo Prahu dál zrychluje.</w:t>
            </w:r>
          </w:p>
        </w:tc>
        <w:tc>
          <w:tcPr>
            <w:tcW w:w="224" w:type="dxa"/>
          </w:tcPr>
          <w:p w14:paraId="2A87AD3A" w14:textId="77777777" w:rsidR="003E08A4" w:rsidRDefault="003E08A4" w:rsidP="00275758">
            <w:pPr>
              <w:pStyle w:val="Textpoznpodarou1"/>
              <w:jc w:val="both"/>
              <w:rPr>
                <w:lang w:eastAsia="en-US"/>
              </w:rPr>
            </w:pPr>
          </w:p>
        </w:tc>
        <w:tc>
          <w:tcPr>
            <w:tcW w:w="7610" w:type="dxa"/>
          </w:tcPr>
          <w:p w14:paraId="320D5E84" w14:textId="77777777" w:rsidR="003E08A4" w:rsidRDefault="003E08A4" w:rsidP="00275758">
            <w:pPr>
              <w:rPr>
                <w:lang w:eastAsia="en-US"/>
              </w:rPr>
            </w:pPr>
            <w:r>
              <w:rPr>
                <w:lang w:eastAsia="en-US"/>
              </w:rPr>
              <w:t>Meziroční dynamika nabídkových cen bytů ve 4. čtvrtletí po delší době zpomalila. Celkově se nabídkové ceny bytů v ČR meziročně zvýšily o 7,6 %. Zpomalení tempa se přitom týkalo pouze cen bytů v Praze (5,2 %), ve zbytku Česka přírůstek nabídkových cen zrychlil na 11,0 %. Možným důvodem je přetlak poptávky, která se přesunula do okolí Prahy, ale také pokračující prudký růst cen v ostatních velkých městech, která se také potýkají s pomalou výstavbou. Růst cen se i u nich přelévá do okolí. Realizované ceny starších bytů ve 4. čtvrtletí meziročně vzrostly o 12,6 %, což je nejvíce od 3. čtvrtletí 2017. Opět byly hlavním tahounem růstu ceny bytů mimo Prahu (13,6 %), ale mírně zrychlil i přírůstek realizovaných cen starších bytů v Praze. Na vysoké úrovni se nadále držel meziroční růst realizovaných cen nových bytů v Praze, který ve 4. čtvrtletí dosáhl 9,2 %.</w:t>
            </w:r>
          </w:p>
        </w:tc>
      </w:tr>
      <w:tr w:rsidR="003E08A4" w14:paraId="3DBBBE73" w14:textId="77777777" w:rsidTr="00275758">
        <w:trPr>
          <w:trHeight w:val="170"/>
        </w:trPr>
        <w:tc>
          <w:tcPr>
            <w:tcW w:w="1805" w:type="dxa"/>
            <w:vMerge w:val="restart"/>
          </w:tcPr>
          <w:p w14:paraId="19243BB1" w14:textId="77777777" w:rsidR="003E08A4" w:rsidRDefault="003E08A4" w:rsidP="00275758">
            <w:pPr>
              <w:pStyle w:val="Marginlie"/>
              <w:rPr>
                <w:spacing w:val="0"/>
                <w:lang w:eastAsia="en-US"/>
              </w:rPr>
            </w:pPr>
          </w:p>
        </w:tc>
        <w:tc>
          <w:tcPr>
            <w:tcW w:w="224" w:type="dxa"/>
            <w:vMerge w:val="restart"/>
          </w:tcPr>
          <w:p w14:paraId="1E12A88E" w14:textId="77777777" w:rsidR="003E08A4" w:rsidRDefault="003E08A4" w:rsidP="00275758">
            <w:pPr>
              <w:pStyle w:val="Textpoznpodarou1"/>
              <w:jc w:val="both"/>
              <w:rPr>
                <w:lang w:eastAsia="en-US"/>
              </w:rPr>
            </w:pPr>
          </w:p>
        </w:tc>
        <w:tc>
          <w:tcPr>
            <w:tcW w:w="7610" w:type="dxa"/>
            <w:hideMark/>
          </w:tcPr>
          <w:p w14:paraId="4CD90C5A" w14:textId="77777777" w:rsidR="003E08A4" w:rsidRPr="00D721B4" w:rsidRDefault="003E08A4" w:rsidP="00275758">
            <w:pPr>
              <w:spacing w:after="0"/>
              <w:rPr>
                <w:szCs w:val="20"/>
                <w:lang w:eastAsia="en-US"/>
              </w:rPr>
            </w:pPr>
            <w:r w:rsidRPr="00D721B4">
              <w:rPr>
                <w:b/>
                <w:szCs w:val="20"/>
                <w:lang w:eastAsia="en-US"/>
              </w:rPr>
              <w:t xml:space="preserve">Graf č. 10  Ceny nemovitostí </w:t>
            </w:r>
            <w:r w:rsidRPr="00D721B4">
              <w:rPr>
                <w:szCs w:val="20"/>
                <w:lang w:eastAsia="en-US"/>
              </w:rPr>
              <w:t>(meziroční změna, v %)</w:t>
            </w:r>
          </w:p>
        </w:tc>
      </w:tr>
      <w:tr w:rsidR="003E08A4" w14:paraId="16EBF338" w14:textId="77777777" w:rsidTr="00275758">
        <w:tblPrEx>
          <w:tblCellMar>
            <w:left w:w="70" w:type="dxa"/>
            <w:right w:w="70" w:type="dxa"/>
          </w:tblCellMar>
        </w:tblPrEx>
        <w:trPr>
          <w:trHeight w:val="170"/>
        </w:trPr>
        <w:tc>
          <w:tcPr>
            <w:tcW w:w="1805" w:type="dxa"/>
            <w:vMerge/>
            <w:vAlign w:val="center"/>
            <w:hideMark/>
          </w:tcPr>
          <w:p w14:paraId="66860EE0" w14:textId="77777777" w:rsidR="003E08A4" w:rsidRDefault="003E08A4" w:rsidP="00275758">
            <w:pPr>
              <w:spacing w:after="0" w:line="240" w:lineRule="auto"/>
              <w:jc w:val="left"/>
              <w:rPr>
                <w:sz w:val="16"/>
                <w:szCs w:val="16"/>
                <w:lang w:eastAsia="en-US"/>
              </w:rPr>
            </w:pPr>
          </w:p>
        </w:tc>
        <w:tc>
          <w:tcPr>
            <w:tcW w:w="224" w:type="dxa"/>
            <w:vMerge/>
            <w:vAlign w:val="center"/>
            <w:hideMark/>
          </w:tcPr>
          <w:p w14:paraId="3FF5A40E" w14:textId="77777777" w:rsidR="003E08A4" w:rsidRDefault="003E08A4" w:rsidP="00275758">
            <w:pPr>
              <w:spacing w:after="0" w:line="240" w:lineRule="auto"/>
              <w:jc w:val="left"/>
              <w:rPr>
                <w:rFonts w:eastAsia="Calibri"/>
                <w:szCs w:val="20"/>
                <w:lang w:eastAsia="en-US"/>
              </w:rPr>
            </w:pPr>
          </w:p>
        </w:tc>
        <w:tc>
          <w:tcPr>
            <w:tcW w:w="7610" w:type="dxa"/>
            <w:hideMark/>
          </w:tcPr>
          <w:p w14:paraId="4DA39084" w14:textId="77777777" w:rsidR="003E08A4" w:rsidRDefault="003E08A4" w:rsidP="00275758">
            <w:pPr>
              <w:spacing w:after="0"/>
              <w:rPr>
                <w:lang w:eastAsia="en-US"/>
              </w:rPr>
            </w:pPr>
            <w:r>
              <w:rPr>
                <w:noProof/>
              </w:rPr>
              <w:drawing>
                <wp:inline distT="0" distB="0" distL="0" distR="0" wp14:anchorId="45B48FEE" wp14:editId="3B026BE9">
                  <wp:extent cx="4737600" cy="3438900"/>
                  <wp:effectExtent l="0" t="0" r="6350" b="0"/>
                  <wp:docPr id="36" name="Graf 3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E08A4" w14:paraId="6A0D5E70" w14:textId="77777777" w:rsidTr="00275758">
        <w:trPr>
          <w:trHeight w:val="170"/>
        </w:trPr>
        <w:tc>
          <w:tcPr>
            <w:tcW w:w="0" w:type="auto"/>
            <w:vMerge/>
            <w:vAlign w:val="center"/>
            <w:hideMark/>
          </w:tcPr>
          <w:p w14:paraId="74DE67F5" w14:textId="77777777" w:rsidR="003E08A4" w:rsidRDefault="003E08A4" w:rsidP="00275758">
            <w:pPr>
              <w:spacing w:after="0" w:line="240" w:lineRule="auto"/>
              <w:jc w:val="left"/>
              <w:rPr>
                <w:sz w:val="16"/>
                <w:szCs w:val="16"/>
                <w:lang w:eastAsia="en-US"/>
              </w:rPr>
            </w:pPr>
          </w:p>
        </w:tc>
        <w:tc>
          <w:tcPr>
            <w:tcW w:w="0" w:type="auto"/>
            <w:vMerge/>
            <w:vAlign w:val="center"/>
            <w:hideMark/>
          </w:tcPr>
          <w:p w14:paraId="13472030" w14:textId="77777777" w:rsidR="003E08A4" w:rsidRDefault="003E08A4" w:rsidP="00275758">
            <w:pPr>
              <w:spacing w:after="0" w:line="240" w:lineRule="auto"/>
              <w:jc w:val="left"/>
              <w:rPr>
                <w:rFonts w:eastAsia="Calibri"/>
                <w:szCs w:val="20"/>
                <w:lang w:eastAsia="en-US"/>
              </w:rPr>
            </w:pPr>
          </w:p>
        </w:tc>
        <w:tc>
          <w:tcPr>
            <w:tcW w:w="7610" w:type="dxa"/>
            <w:hideMark/>
          </w:tcPr>
          <w:p w14:paraId="2AAA806B" w14:textId="77777777" w:rsidR="003E08A4" w:rsidRDefault="003E08A4" w:rsidP="00275758">
            <w:pPr>
              <w:rPr>
                <w:lang w:eastAsia="en-US"/>
              </w:rPr>
            </w:pPr>
            <w:r>
              <w:rPr>
                <w:sz w:val="14"/>
                <w:szCs w:val="14"/>
                <w:lang w:eastAsia="en-US"/>
              </w:rPr>
              <w:t>Zdroj: ČSÚ</w:t>
            </w:r>
          </w:p>
        </w:tc>
      </w:tr>
      <w:tr w:rsidR="003E08A4" w14:paraId="5FE92B40" w14:textId="77777777" w:rsidTr="00275758">
        <w:trPr>
          <w:trHeight w:val="145"/>
        </w:trPr>
        <w:tc>
          <w:tcPr>
            <w:tcW w:w="1805" w:type="dxa"/>
          </w:tcPr>
          <w:p w14:paraId="1DECD92A" w14:textId="77777777" w:rsidR="003E08A4" w:rsidRDefault="003E08A4" w:rsidP="00275758">
            <w:pPr>
              <w:pStyle w:val="Marginlie"/>
              <w:rPr>
                <w:spacing w:val="0"/>
                <w:lang w:eastAsia="en-US"/>
              </w:rPr>
            </w:pPr>
            <w:r>
              <w:rPr>
                <w:spacing w:val="0"/>
                <w:lang w:eastAsia="en-US"/>
              </w:rPr>
              <w:t>Na ceny průmyslových výrobců loni rovněž působil meziroční propad cen ropy.</w:t>
            </w:r>
          </w:p>
        </w:tc>
        <w:tc>
          <w:tcPr>
            <w:tcW w:w="224" w:type="dxa"/>
          </w:tcPr>
          <w:p w14:paraId="2253D802" w14:textId="77777777" w:rsidR="003E08A4" w:rsidRDefault="003E08A4" w:rsidP="00275758">
            <w:pPr>
              <w:pStyle w:val="Textpoznpodarou1"/>
              <w:jc w:val="both"/>
              <w:rPr>
                <w:lang w:eastAsia="en-US"/>
              </w:rPr>
            </w:pPr>
          </w:p>
        </w:tc>
        <w:tc>
          <w:tcPr>
            <w:tcW w:w="7610" w:type="dxa"/>
          </w:tcPr>
          <w:p w14:paraId="05927D9A" w14:textId="77777777" w:rsidR="003E08A4" w:rsidRDefault="003E08A4" w:rsidP="00275758">
            <w:pPr>
              <w:rPr>
                <w:lang w:eastAsia="en-US"/>
              </w:rPr>
            </w:pPr>
            <w:r>
              <w:rPr>
                <w:lang w:eastAsia="en-US"/>
              </w:rPr>
              <w:t>Meziroční dynamiku cen průmyslových výrobců po většinu roku ovlivňoval pokles cen ropy. Za celý rok 2020 se cenová úroveň téměř nezměnila (0,1 %) a stejný meziroční vývoj měly ceny průmyslových výrobců také ve 4. čtvrtletí. Ceny výrobků a služeb zpracovatelského průmyslu, které tvoří většinu z celkového indexu, v loňském roce klesly o 1,4 %. Za většinou z tohoto poklesu přitom stály ceny koksu a rafinovaných ropných produktů</w:t>
            </w:r>
            <w:r>
              <w:rPr>
                <w:rStyle w:val="Znakapoznpodarou"/>
                <w:lang w:eastAsia="en-US"/>
              </w:rPr>
              <w:footnoteReference w:id="45"/>
            </w:r>
            <w:r>
              <w:rPr>
                <w:lang w:eastAsia="en-US"/>
              </w:rPr>
              <w:t>. S vývojem cen ropy souvisí i loňský pokles cen chemických látek a </w:t>
            </w:r>
            <w:proofErr w:type="gramStart"/>
            <w:r>
              <w:rPr>
                <w:lang w:eastAsia="en-US"/>
              </w:rPr>
              <w:t>výrobků (–8,3</w:t>
            </w:r>
            <w:proofErr w:type="gramEnd"/>
            <w:r>
              <w:rPr>
                <w:lang w:eastAsia="en-US"/>
              </w:rPr>
              <w:t xml:space="preserve"> %). Snižovaly se rovněž ceny obecných kovů a kovodělných </w:t>
            </w:r>
            <w:proofErr w:type="gramStart"/>
            <w:r>
              <w:rPr>
                <w:lang w:eastAsia="en-US"/>
              </w:rPr>
              <w:t>výrobků</w:t>
            </w:r>
            <w:r>
              <w:rPr>
                <w:lang w:eastAsia="en-US"/>
              </w:rPr>
              <w:br/>
              <w:t>(–1,6</w:t>
            </w:r>
            <w:proofErr w:type="gramEnd"/>
            <w:r>
              <w:rPr>
                <w:lang w:eastAsia="en-US"/>
              </w:rPr>
              <w:t xml:space="preserve"> %). Ve směru zvyšování cen průmyslových výrobců působily zejména nábytek </w:t>
            </w:r>
            <w:r>
              <w:rPr>
                <w:lang w:eastAsia="en-US"/>
              </w:rPr>
              <w:lastRenderedPageBreak/>
              <w:t>a ostatní výrobky zpracovatelského průmyslu (4,5 %, především opravy, údržba a instalace strojů a zařízení), dopravní prostředky (2,2 %) a potravinářské výrobky, nápoje a tabák (2,1 %). V samotném 4. čtvrtletí se ceny výrobků a služeb zpracovatelského průmyslu meziročně snížily o 1,2 %, opět především kvůli vývoji cen koksu a rafinovaných ropných výrobků. Výrazněji ve 4. čtvrtletí působily ve směru poklesu jen ceny chemických látek a </w:t>
            </w:r>
            <w:proofErr w:type="gramStart"/>
            <w:r>
              <w:rPr>
                <w:lang w:eastAsia="en-US"/>
              </w:rPr>
              <w:t>výrobků (–7,3</w:t>
            </w:r>
            <w:proofErr w:type="gramEnd"/>
            <w:r>
              <w:rPr>
                <w:lang w:eastAsia="en-US"/>
              </w:rPr>
              <w:t> %). K růstu cen průmyslových výrobců nejvíce přispívaly ceny dopravních prostředků (meziroční nárůst o 3,3 %) a nábytek a ostatní výrobky zpracovatelského průmyslu (4,2 %).</w:t>
            </w:r>
          </w:p>
        </w:tc>
      </w:tr>
      <w:tr w:rsidR="003E08A4" w14:paraId="5A563E68" w14:textId="77777777" w:rsidTr="00275758">
        <w:trPr>
          <w:trHeight w:val="145"/>
        </w:trPr>
        <w:tc>
          <w:tcPr>
            <w:tcW w:w="1805" w:type="dxa"/>
          </w:tcPr>
          <w:p w14:paraId="0F2D19D5" w14:textId="77777777" w:rsidR="003E08A4" w:rsidRDefault="003E08A4" w:rsidP="00275758">
            <w:pPr>
              <w:pStyle w:val="Marginlie"/>
              <w:rPr>
                <w:spacing w:val="0"/>
                <w:lang w:eastAsia="en-US"/>
              </w:rPr>
            </w:pPr>
            <w:r>
              <w:rPr>
                <w:spacing w:val="0"/>
                <w:lang w:eastAsia="en-US"/>
              </w:rPr>
              <w:lastRenderedPageBreak/>
              <w:t>Meziročně klesaly ceny těžby a dobývání.</w:t>
            </w:r>
          </w:p>
        </w:tc>
        <w:tc>
          <w:tcPr>
            <w:tcW w:w="224" w:type="dxa"/>
          </w:tcPr>
          <w:p w14:paraId="5044C337" w14:textId="77777777" w:rsidR="003E08A4" w:rsidRDefault="003E08A4" w:rsidP="00275758">
            <w:pPr>
              <w:pStyle w:val="Textpoznpodarou1"/>
              <w:jc w:val="both"/>
              <w:rPr>
                <w:lang w:eastAsia="en-US"/>
              </w:rPr>
            </w:pPr>
          </w:p>
        </w:tc>
        <w:tc>
          <w:tcPr>
            <w:tcW w:w="7610" w:type="dxa"/>
          </w:tcPr>
          <w:p w14:paraId="7901EFB7" w14:textId="77777777" w:rsidR="003E08A4" w:rsidRDefault="003E08A4" w:rsidP="00275758">
            <w:pPr>
              <w:rPr>
                <w:lang w:eastAsia="en-US"/>
              </w:rPr>
            </w:pPr>
            <w:r>
              <w:rPr>
                <w:lang w:eastAsia="en-US"/>
              </w:rPr>
              <w:t xml:space="preserve">Ceny těžby a dobývání se v roce 2020 snížily celkově o 2,8 % a také u nich se projevil propad cen ropy. Hluboce se totiž propadly ceny těžby ropy a zemního </w:t>
            </w:r>
            <w:proofErr w:type="gramStart"/>
            <w:r>
              <w:rPr>
                <w:lang w:eastAsia="en-US"/>
              </w:rPr>
              <w:t>plynu (–24,2</w:t>
            </w:r>
            <w:proofErr w:type="gramEnd"/>
            <w:r>
              <w:rPr>
                <w:lang w:eastAsia="en-US"/>
              </w:rPr>
              <w:t> %), výrazný pokles byl zaznamenán také u těžby uhlí (–5,0 %). Naopak ceny ostatní těžby a dobývání nerostných surovin vzrostly o 4,9 % (jde z velké části o stavební materiály). V samotném 4. čtvrtletí se meziroční pokles cen těžby a dobývání zmírnil na 2,0 %. Loni pokračoval velmi silný meziroční růst cen elektřiny (celkem o 7,7 %), který ale v průběhu roku mírně zvolňoval. I tak ale meziroční přírůstek ve 4. čtvrtletí činil velmi výrazných 6,1 %. Ceny zásobování vodou a služeb souvisejících s odpadními vodami se loni zvýšily o 6,1 %, z toho ve 4. čtvrtletí meziročně vzrostly o 6,4 %.</w:t>
            </w:r>
          </w:p>
        </w:tc>
      </w:tr>
      <w:tr w:rsidR="003E08A4" w14:paraId="5FA808B3" w14:textId="77777777" w:rsidTr="00275758">
        <w:trPr>
          <w:trHeight w:val="170"/>
        </w:trPr>
        <w:tc>
          <w:tcPr>
            <w:tcW w:w="1805" w:type="dxa"/>
            <w:vMerge w:val="restart"/>
          </w:tcPr>
          <w:p w14:paraId="39A51098" w14:textId="77777777" w:rsidR="003E08A4" w:rsidRDefault="003E08A4" w:rsidP="00275758">
            <w:pPr>
              <w:pStyle w:val="Marginlie"/>
              <w:rPr>
                <w:spacing w:val="0"/>
                <w:lang w:eastAsia="en-US"/>
              </w:rPr>
            </w:pPr>
          </w:p>
        </w:tc>
        <w:tc>
          <w:tcPr>
            <w:tcW w:w="224" w:type="dxa"/>
            <w:vMerge w:val="restart"/>
          </w:tcPr>
          <w:p w14:paraId="0C7A77E1" w14:textId="77777777" w:rsidR="003E08A4" w:rsidRDefault="003E08A4" w:rsidP="00275758">
            <w:pPr>
              <w:pStyle w:val="Textpoznpodarou1"/>
              <w:jc w:val="both"/>
              <w:rPr>
                <w:highlight w:val="yellow"/>
                <w:lang w:eastAsia="en-US"/>
              </w:rPr>
            </w:pPr>
          </w:p>
        </w:tc>
        <w:tc>
          <w:tcPr>
            <w:tcW w:w="7610" w:type="dxa"/>
            <w:hideMark/>
          </w:tcPr>
          <w:p w14:paraId="5155B25A" w14:textId="77777777" w:rsidR="003E08A4" w:rsidRPr="00D721B4" w:rsidRDefault="003E08A4" w:rsidP="00275758">
            <w:pPr>
              <w:spacing w:after="0"/>
              <w:rPr>
                <w:b/>
                <w:szCs w:val="20"/>
                <w:lang w:eastAsia="en-US"/>
              </w:rPr>
            </w:pPr>
            <w:r w:rsidRPr="00D721B4">
              <w:rPr>
                <w:b/>
                <w:szCs w:val="20"/>
                <w:lang w:eastAsia="en-US"/>
              </w:rPr>
              <w:t xml:space="preserve">Graf č. 11  Ceny hlavních skupin průmyslových výrobců </w:t>
            </w:r>
            <w:r w:rsidRPr="00D721B4">
              <w:rPr>
                <w:szCs w:val="20"/>
                <w:lang w:eastAsia="en-US"/>
              </w:rPr>
              <w:t>(meziroční změna, v %, podle klasifikace CPA)</w:t>
            </w:r>
          </w:p>
        </w:tc>
      </w:tr>
      <w:tr w:rsidR="003E08A4" w14:paraId="50CF90C4" w14:textId="77777777" w:rsidTr="00275758">
        <w:tblPrEx>
          <w:tblCellMar>
            <w:left w:w="70" w:type="dxa"/>
            <w:right w:w="70" w:type="dxa"/>
          </w:tblCellMar>
        </w:tblPrEx>
        <w:trPr>
          <w:trHeight w:val="170"/>
        </w:trPr>
        <w:tc>
          <w:tcPr>
            <w:tcW w:w="1805" w:type="dxa"/>
            <w:vMerge/>
            <w:vAlign w:val="center"/>
            <w:hideMark/>
          </w:tcPr>
          <w:p w14:paraId="4C62AB58" w14:textId="77777777" w:rsidR="003E08A4" w:rsidRDefault="003E08A4" w:rsidP="00275758">
            <w:pPr>
              <w:spacing w:after="0" w:line="240" w:lineRule="auto"/>
              <w:jc w:val="left"/>
              <w:rPr>
                <w:sz w:val="16"/>
                <w:szCs w:val="16"/>
                <w:lang w:eastAsia="en-US"/>
              </w:rPr>
            </w:pPr>
          </w:p>
        </w:tc>
        <w:tc>
          <w:tcPr>
            <w:tcW w:w="224" w:type="dxa"/>
            <w:vMerge/>
            <w:vAlign w:val="center"/>
            <w:hideMark/>
          </w:tcPr>
          <w:p w14:paraId="00543387" w14:textId="77777777" w:rsidR="003E08A4" w:rsidRDefault="003E08A4" w:rsidP="00275758">
            <w:pPr>
              <w:spacing w:after="0" w:line="240" w:lineRule="auto"/>
              <w:jc w:val="left"/>
              <w:rPr>
                <w:rFonts w:eastAsia="Calibri"/>
                <w:szCs w:val="20"/>
                <w:highlight w:val="yellow"/>
                <w:lang w:eastAsia="en-US"/>
              </w:rPr>
            </w:pPr>
          </w:p>
        </w:tc>
        <w:tc>
          <w:tcPr>
            <w:tcW w:w="7610" w:type="dxa"/>
            <w:hideMark/>
          </w:tcPr>
          <w:p w14:paraId="39496C61" w14:textId="77777777" w:rsidR="003E08A4" w:rsidRDefault="003E08A4" w:rsidP="00275758">
            <w:pPr>
              <w:spacing w:after="0"/>
              <w:rPr>
                <w:lang w:eastAsia="en-US"/>
              </w:rPr>
            </w:pPr>
            <w:r>
              <w:rPr>
                <w:noProof/>
              </w:rPr>
              <w:drawing>
                <wp:inline distT="0" distB="0" distL="0" distR="0" wp14:anchorId="66F2AA4D" wp14:editId="067C31F4">
                  <wp:extent cx="4737600" cy="3432550"/>
                  <wp:effectExtent l="0" t="0" r="6350" b="0"/>
                  <wp:docPr id="37" name="Graf 37">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E08A4" w14:paraId="7691B17A" w14:textId="77777777" w:rsidTr="00275758">
        <w:trPr>
          <w:trHeight w:val="170"/>
        </w:trPr>
        <w:tc>
          <w:tcPr>
            <w:tcW w:w="0" w:type="auto"/>
            <w:vMerge/>
            <w:vAlign w:val="center"/>
            <w:hideMark/>
          </w:tcPr>
          <w:p w14:paraId="45F19B06" w14:textId="77777777" w:rsidR="003E08A4" w:rsidRDefault="003E08A4" w:rsidP="00275758">
            <w:pPr>
              <w:spacing w:after="0" w:line="240" w:lineRule="auto"/>
              <w:jc w:val="left"/>
              <w:rPr>
                <w:sz w:val="16"/>
                <w:szCs w:val="16"/>
                <w:lang w:eastAsia="en-US"/>
              </w:rPr>
            </w:pPr>
          </w:p>
        </w:tc>
        <w:tc>
          <w:tcPr>
            <w:tcW w:w="0" w:type="auto"/>
            <w:vMerge/>
            <w:vAlign w:val="center"/>
            <w:hideMark/>
          </w:tcPr>
          <w:p w14:paraId="60D51DA1" w14:textId="77777777" w:rsidR="003E08A4" w:rsidRDefault="003E08A4" w:rsidP="00275758">
            <w:pPr>
              <w:spacing w:after="0" w:line="240" w:lineRule="auto"/>
              <w:jc w:val="left"/>
              <w:rPr>
                <w:rFonts w:eastAsia="Calibri"/>
                <w:szCs w:val="20"/>
                <w:highlight w:val="yellow"/>
                <w:lang w:eastAsia="en-US"/>
              </w:rPr>
            </w:pPr>
          </w:p>
        </w:tc>
        <w:tc>
          <w:tcPr>
            <w:tcW w:w="7610" w:type="dxa"/>
            <w:hideMark/>
          </w:tcPr>
          <w:p w14:paraId="6ADE8B44" w14:textId="77777777" w:rsidR="003E08A4" w:rsidRDefault="003E08A4" w:rsidP="00275758">
            <w:pPr>
              <w:rPr>
                <w:lang w:eastAsia="en-US"/>
              </w:rPr>
            </w:pPr>
            <w:r>
              <w:rPr>
                <w:sz w:val="14"/>
                <w:szCs w:val="14"/>
                <w:lang w:eastAsia="en-US"/>
              </w:rPr>
              <w:t>Zdroj: ČSÚ</w:t>
            </w:r>
          </w:p>
        </w:tc>
      </w:tr>
      <w:tr w:rsidR="003E08A4" w14:paraId="358357BF" w14:textId="77777777" w:rsidTr="00275758">
        <w:trPr>
          <w:trHeight w:val="145"/>
        </w:trPr>
        <w:tc>
          <w:tcPr>
            <w:tcW w:w="1805" w:type="dxa"/>
            <w:hideMark/>
          </w:tcPr>
          <w:p w14:paraId="4E52863D" w14:textId="77777777" w:rsidR="003E08A4" w:rsidRDefault="003E08A4" w:rsidP="00275758">
            <w:pPr>
              <w:pStyle w:val="Marginlie"/>
              <w:rPr>
                <w:spacing w:val="0"/>
                <w:lang w:eastAsia="en-US"/>
              </w:rPr>
            </w:pPr>
            <w:r>
              <w:rPr>
                <w:spacing w:val="0"/>
                <w:lang w:eastAsia="en-US"/>
              </w:rPr>
              <w:t>Ceny průmyslových výrobců v celé EU ovlivnil propad cen ropy.</w:t>
            </w:r>
          </w:p>
        </w:tc>
        <w:tc>
          <w:tcPr>
            <w:tcW w:w="224" w:type="dxa"/>
          </w:tcPr>
          <w:p w14:paraId="4EF4A1CF" w14:textId="77777777" w:rsidR="003E08A4" w:rsidRDefault="003E08A4" w:rsidP="00275758">
            <w:pPr>
              <w:pStyle w:val="Textpoznpodarou1"/>
              <w:jc w:val="both"/>
              <w:rPr>
                <w:lang w:eastAsia="en-US"/>
              </w:rPr>
            </w:pPr>
          </w:p>
        </w:tc>
        <w:tc>
          <w:tcPr>
            <w:tcW w:w="7610" w:type="dxa"/>
          </w:tcPr>
          <w:p w14:paraId="19F05F43" w14:textId="77777777" w:rsidR="003E08A4" w:rsidRDefault="003E08A4" w:rsidP="00275758">
            <w:pPr>
              <w:rPr>
                <w:lang w:eastAsia="en-US"/>
              </w:rPr>
            </w:pPr>
            <w:r>
              <w:rPr>
                <w:lang w:eastAsia="en-US"/>
              </w:rPr>
              <w:t>Ceny průmyslových výrobců v EU loni klesly o 2,4 %. Hlavní podíl na tom měl propad cen ropy, který ovlivnil ceny těžby a </w:t>
            </w:r>
            <w:proofErr w:type="gramStart"/>
            <w:r>
              <w:rPr>
                <w:lang w:eastAsia="en-US"/>
              </w:rPr>
              <w:t>dobývání (–8,7</w:t>
            </w:r>
            <w:proofErr w:type="gramEnd"/>
            <w:r>
              <w:rPr>
                <w:lang w:eastAsia="en-US"/>
              </w:rPr>
              <w:t xml:space="preserve"> %), ale rovněž ceny ve zpracovatelském průmyslu (–1,6 %). Klesaly i ceny elektřiny, plynu, páry a klimatizovaného </w:t>
            </w:r>
            <w:proofErr w:type="gramStart"/>
            <w:r>
              <w:rPr>
                <w:lang w:eastAsia="en-US"/>
              </w:rPr>
              <w:t>vzduchu (–5,9</w:t>
            </w:r>
            <w:proofErr w:type="gramEnd"/>
            <w:r>
              <w:rPr>
                <w:lang w:eastAsia="en-US"/>
              </w:rPr>
              <w:t xml:space="preserve"> %). Ceny průmyslových výrobců loni klesly ve většině zemí EU. Největší propad zaznamenaly </w:t>
            </w:r>
            <w:proofErr w:type="gramStart"/>
            <w:r>
              <w:rPr>
                <w:lang w:eastAsia="en-US"/>
              </w:rPr>
              <w:t>Irsko (–7,5</w:t>
            </w:r>
            <w:proofErr w:type="gramEnd"/>
            <w:r>
              <w:rPr>
                <w:lang w:eastAsia="en-US"/>
              </w:rPr>
              <w:t> %), Litva (–6,6 %) a Dánsko</w:t>
            </w:r>
            <w:r>
              <w:rPr>
                <w:lang w:eastAsia="en-US"/>
              </w:rPr>
              <w:br/>
              <w:t>(–4,7 %). Ceny nejvíce rostly na Maltě (1,6 %), Slovensku a v Maďarsku (shodně 0,8 %). V samotném 4. čtvrtletí ceny výrobců v EU meziročně klesly o 1,6 %. Efekt propadu cen ropy vyprchával jen pomalu, takže pokles ve většině zemí EU nadále trval. Největší snížení proběhlo v </w:t>
            </w:r>
            <w:proofErr w:type="gramStart"/>
            <w:r>
              <w:rPr>
                <w:lang w:eastAsia="en-US"/>
              </w:rPr>
              <w:t>Litvě (–6,7</w:t>
            </w:r>
            <w:proofErr w:type="gramEnd"/>
            <w:r>
              <w:rPr>
                <w:lang w:eastAsia="en-US"/>
              </w:rPr>
              <w:t xml:space="preserve"> %), na Kypru (–5,9 %) a v Řecku (–5,5 %). </w:t>
            </w:r>
            <w:r>
              <w:rPr>
                <w:lang w:eastAsia="en-US"/>
              </w:rPr>
              <w:lastRenderedPageBreak/>
              <w:t>Ceny se ve 4. čtvrtletí nejvíce zvyšovaly na Maltě (1,7 %), v Maďarsku (1,5 %) a Irsku (1,2 %).</w:t>
            </w:r>
          </w:p>
        </w:tc>
      </w:tr>
      <w:tr w:rsidR="003E08A4" w14:paraId="2671BF3E" w14:textId="77777777" w:rsidTr="00275758">
        <w:trPr>
          <w:trHeight w:val="145"/>
        </w:trPr>
        <w:tc>
          <w:tcPr>
            <w:tcW w:w="1805" w:type="dxa"/>
          </w:tcPr>
          <w:p w14:paraId="0AC9FC07" w14:textId="77777777" w:rsidR="003E08A4" w:rsidRDefault="003E08A4" w:rsidP="00275758">
            <w:pPr>
              <w:pStyle w:val="Marginlie"/>
              <w:rPr>
                <w:spacing w:val="0"/>
                <w:lang w:eastAsia="en-US"/>
              </w:rPr>
            </w:pPr>
            <w:r>
              <w:rPr>
                <w:spacing w:val="0"/>
                <w:lang w:eastAsia="en-US"/>
              </w:rPr>
              <w:lastRenderedPageBreak/>
              <w:t>Meziroční růst cen tržních služeb loni mírně oslabil.</w:t>
            </w:r>
          </w:p>
        </w:tc>
        <w:tc>
          <w:tcPr>
            <w:tcW w:w="224" w:type="dxa"/>
          </w:tcPr>
          <w:p w14:paraId="01D65085" w14:textId="77777777" w:rsidR="003E08A4" w:rsidRDefault="003E08A4" w:rsidP="00275758">
            <w:pPr>
              <w:pStyle w:val="Textpoznpodarou1"/>
              <w:jc w:val="both"/>
              <w:rPr>
                <w:lang w:eastAsia="en-US"/>
              </w:rPr>
            </w:pPr>
          </w:p>
        </w:tc>
        <w:tc>
          <w:tcPr>
            <w:tcW w:w="7610" w:type="dxa"/>
          </w:tcPr>
          <w:p w14:paraId="15DBA5BB" w14:textId="77777777" w:rsidR="003E08A4" w:rsidRDefault="003E08A4" w:rsidP="00275758">
            <w:pPr>
              <w:rPr>
                <w:lang w:eastAsia="en-US"/>
              </w:rPr>
            </w:pPr>
            <w:r>
              <w:rPr>
                <w:lang w:eastAsia="en-US"/>
              </w:rPr>
              <w:t xml:space="preserve">Loni dynamika cen tržních služeb mírně oslabila oproti roku 2019, kdy výrazný růst souvisel s tlakem na trhu práce a růstem mezd. Celkově se v roce 2020 ceny tržních služeb zvýšily o 2,1 %. Nejvíce k růstu cen přispělo skladování a podpůrné služby v dopravě (nárůst o 5,2 %) a služby v oblasti programování a poradenství (3,6 %). Významný byl také vliv cen služeb v oblasti nemovitostí (2,9 %). Oproti roku 2019 oslabil, ale zůstal výrazný přírůstek cen služeb v oblasti zaměstnání (5,1 %), které jsou z velké míry navázány na dynamiku mezd. Loni poprvé od roku 2014 klesly ceny reklamních služeb a průzkumu </w:t>
            </w:r>
            <w:proofErr w:type="gramStart"/>
            <w:r>
              <w:rPr>
                <w:lang w:eastAsia="en-US"/>
              </w:rPr>
              <w:t>trhu (–0,3</w:t>
            </w:r>
            <w:proofErr w:type="gramEnd"/>
            <w:r>
              <w:rPr>
                <w:lang w:eastAsia="en-US"/>
              </w:rPr>
              <w:t> %) a drobné snížení bylo zaznamenáno také u cen telekomunikačních služeb (–0,1 %).</w:t>
            </w:r>
          </w:p>
        </w:tc>
      </w:tr>
      <w:tr w:rsidR="003E08A4" w14:paraId="3F847BFE" w14:textId="77777777" w:rsidTr="00275758">
        <w:trPr>
          <w:trHeight w:val="145"/>
        </w:trPr>
        <w:tc>
          <w:tcPr>
            <w:tcW w:w="1805" w:type="dxa"/>
          </w:tcPr>
          <w:p w14:paraId="74C282DD" w14:textId="77777777" w:rsidR="003E08A4" w:rsidRDefault="003E08A4" w:rsidP="00275758">
            <w:pPr>
              <w:pStyle w:val="Marginlie"/>
              <w:rPr>
                <w:spacing w:val="0"/>
                <w:lang w:eastAsia="en-US"/>
              </w:rPr>
            </w:pPr>
            <w:r>
              <w:rPr>
                <w:spacing w:val="0"/>
                <w:lang w:eastAsia="en-US"/>
              </w:rPr>
              <w:t>U některých služeb se projevila aktuální ekonomická situace.</w:t>
            </w:r>
          </w:p>
        </w:tc>
        <w:tc>
          <w:tcPr>
            <w:tcW w:w="224" w:type="dxa"/>
          </w:tcPr>
          <w:p w14:paraId="65235437" w14:textId="77777777" w:rsidR="003E08A4" w:rsidRDefault="003E08A4" w:rsidP="00275758">
            <w:pPr>
              <w:pStyle w:val="Textpoznpodarou1"/>
              <w:jc w:val="both"/>
              <w:rPr>
                <w:lang w:eastAsia="en-US"/>
              </w:rPr>
            </w:pPr>
          </w:p>
        </w:tc>
        <w:tc>
          <w:tcPr>
            <w:tcW w:w="7610" w:type="dxa"/>
          </w:tcPr>
          <w:p w14:paraId="1762AC9B" w14:textId="77777777" w:rsidR="003E08A4" w:rsidRDefault="003E08A4" w:rsidP="00275758">
            <w:pPr>
              <w:rPr>
                <w:lang w:eastAsia="en-US"/>
              </w:rPr>
            </w:pPr>
            <w:r>
              <w:rPr>
                <w:lang w:eastAsia="en-US"/>
              </w:rPr>
              <w:t>Meziroční přírůstek cen tržních služeb byl nejvyšší v 1. čtvrtletí (2,5 %), po mírném oslabení se po zbytek roku růst držel na stabilní úrovni (2,1 %, 2,0 % a 2,0 % ve 2. až 4. čtvrtletí). Struktura růstu se příliš nelišila od čísel za celý rok. Ve 4. čtvrtletí k cenovému růstu nejvíce přispívalo skladování a podpůrné služby v dopravě (meziroční přírůstek 4,9 %), služby v oblasti programování a související poradenství (3,6 %) a služby v oblasti nemovitostí (3,3 %). Současná ekonomická situace se pravděpodobně odrazila ve výrazném zrychlení růstu cen za služby vedení podniků a poradenství v oblasti řízení (7,9 %) a naopak ve zpomalení u služeb v oblasti zaměstnání (1,3 %). Ceny reklamních služeb a průzkumu trhu ve 4. čtvrtletí meziročně klesly o 1,9 %.</w:t>
            </w:r>
          </w:p>
        </w:tc>
      </w:tr>
      <w:tr w:rsidR="003E08A4" w14:paraId="024AF98A" w14:textId="77777777" w:rsidTr="00275758">
        <w:trPr>
          <w:trHeight w:val="145"/>
        </w:trPr>
        <w:tc>
          <w:tcPr>
            <w:tcW w:w="1805" w:type="dxa"/>
            <w:hideMark/>
          </w:tcPr>
          <w:p w14:paraId="58959644" w14:textId="77777777" w:rsidR="003E08A4" w:rsidRDefault="003E08A4" w:rsidP="00275758">
            <w:pPr>
              <w:pStyle w:val="Marginlie"/>
              <w:rPr>
                <w:spacing w:val="0"/>
                <w:lang w:eastAsia="en-US"/>
              </w:rPr>
            </w:pPr>
            <w:r>
              <w:rPr>
                <w:spacing w:val="0"/>
                <w:lang w:eastAsia="en-US"/>
              </w:rPr>
              <w:t>Ceny zemědělské výroby loni klesly. Během roku se ale propad zmírňoval.</w:t>
            </w:r>
          </w:p>
        </w:tc>
        <w:tc>
          <w:tcPr>
            <w:tcW w:w="224" w:type="dxa"/>
          </w:tcPr>
          <w:p w14:paraId="7DB2841E" w14:textId="77777777" w:rsidR="003E08A4" w:rsidRDefault="003E08A4" w:rsidP="00275758">
            <w:pPr>
              <w:pStyle w:val="Textpoznpodarou1"/>
              <w:jc w:val="both"/>
              <w:rPr>
                <w:lang w:eastAsia="en-US"/>
              </w:rPr>
            </w:pPr>
          </w:p>
        </w:tc>
        <w:tc>
          <w:tcPr>
            <w:tcW w:w="7610" w:type="dxa"/>
          </w:tcPr>
          <w:p w14:paraId="448375CC" w14:textId="77777777" w:rsidR="003E08A4" w:rsidRDefault="003E08A4" w:rsidP="00275758">
            <w:pPr>
              <w:rPr>
                <w:spacing w:val="-2"/>
                <w:lang w:eastAsia="en-US"/>
              </w:rPr>
            </w:pPr>
            <w:r>
              <w:rPr>
                <w:spacing w:val="-2"/>
                <w:lang w:eastAsia="en-US"/>
              </w:rPr>
              <w:t xml:space="preserve">Ceny zemědělské výroby v roce 2020 klesly o 3,4 %. Z toho se ceny rostlinné výroby propadly o 4,0 % a živočišné výroby o 2,4 %. V rostlinné výrobě klesaly zejména ceny </w:t>
            </w:r>
            <w:proofErr w:type="gramStart"/>
            <w:r>
              <w:rPr>
                <w:spacing w:val="-2"/>
                <w:lang w:eastAsia="en-US"/>
              </w:rPr>
              <w:t>brambor (–19,8</w:t>
            </w:r>
            <w:proofErr w:type="gramEnd"/>
            <w:r>
              <w:rPr>
                <w:spacing w:val="-2"/>
                <w:lang w:eastAsia="en-US"/>
              </w:rPr>
              <w:t xml:space="preserve"> %), zeleniny a zahradnických produktů (–9,7 %), obilovin (–4,9 %), a krmných plodin (–3,4 %). Naopak rostly ceny ovoce (16,5 %). U živočišné výroby došlo k poklesu cen hospodářských zvířat o 2,1 % (z velké části ovlivněno vysokou základnou roku 2019) a živočišných výrobků o 2,7 % (ceny mléka klesly o 3,4 %, zatímco ceny vajec stouply o 4,0 %). Ve 4. čtvrtletí ceny zemědělské výroby klesly o 3,2 %. Meziroční propad cen rostlinné výroby v průběhu roku slábl a ve 4. kvartálu dosahoval jen 0,1 %. Stály za tím obiloviny (z nich především pšenice), které se z výrazného propadu na začátku roku dostaly do meziročního růstu o 3,1 % ve 4. čtvrtletí. Ceny průmyslových plodin ve 4. čtvrtletí vzrostly o 3,6 % a ovoce o 9,4 %. V závěru roku klesaly ceny krmných </w:t>
            </w:r>
            <w:proofErr w:type="gramStart"/>
            <w:r>
              <w:rPr>
                <w:spacing w:val="-2"/>
                <w:lang w:eastAsia="en-US"/>
              </w:rPr>
              <w:t>plodin</w:t>
            </w:r>
            <w:r>
              <w:rPr>
                <w:spacing w:val="-2"/>
                <w:lang w:eastAsia="en-US"/>
              </w:rPr>
              <w:br/>
              <w:t>(–9,9</w:t>
            </w:r>
            <w:proofErr w:type="gramEnd"/>
            <w:r>
              <w:rPr>
                <w:spacing w:val="-2"/>
                <w:lang w:eastAsia="en-US"/>
              </w:rPr>
              <w:t> %), zeleniny a zahradnických produktů (–7,2 %) a brambor (–25,3 %). Ceny živočišné výroby ve 4. čtvrtletí meziročně klesly o 8,0 %. Z toho propad cen hospodářských zvířat dosáhl 13,9 %, především pod vlivem vývoje cen prasat a </w:t>
            </w:r>
            <w:proofErr w:type="gramStart"/>
            <w:r>
              <w:rPr>
                <w:spacing w:val="-2"/>
                <w:lang w:eastAsia="en-US"/>
              </w:rPr>
              <w:t>selat</w:t>
            </w:r>
            <w:r>
              <w:rPr>
                <w:spacing w:val="-2"/>
                <w:lang w:eastAsia="en-US"/>
              </w:rPr>
              <w:br/>
              <w:t>(–25,0</w:t>
            </w:r>
            <w:proofErr w:type="gramEnd"/>
            <w:r>
              <w:rPr>
                <w:spacing w:val="-2"/>
                <w:lang w:eastAsia="en-US"/>
              </w:rPr>
              <w:t> %). Ceny mléka ve 4. čtvrtletí meziročně klesly o 2,8 % a ceny vajec o 1,5 %.</w:t>
            </w:r>
          </w:p>
        </w:tc>
      </w:tr>
      <w:tr w:rsidR="003E08A4" w14:paraId="61B5545F" w14:textId="77777777" w:rsidTr="00275758">
        <w:trPr>
          <w:trHeight w:val="145"/>
        </w:trPr>
        <w:tc>
          <w:tcPr>
            <w:tcW w:w="1805" w:type="dxa"/>
          </w:tcPr>
          <w:p w14:paraId="1153E23A" w14:textId="77777777" w:rsidR="003E08A4" w:rsidRDefault="003E08A4" w:rsidP="00275758">
            <w:pPr>
              <w:pStyle w:val="Marginlie"/>
              <w:rPr>
                <w:spacing w:val="0"/>
                <w:lang w:eastAsia="en-US"/>
              </w:rPr>
            </w:pPr>
            <w:r>
              <w:rPr>
                <w:spacing w:val="0"/>
                <w:lang w:eastAsia="en-US"/>
              </w:rPr>
              <w:t>Ceny vývozu loni vzrostly. Podíl na tom mělo i oslabení kurzu koruny.</w:t>
            </w:r>
          </w:p>
        </w:tc>
        <w:tc>
          <w:tcPr>
            <w:tcW w:w="224" w:type="dxa"/>
          </w:tcPr>
          <w:p w14:paraId="5A1A7C4D" w14:textId="77777777" w:rsidR="003E08A4" w:rsidRDefault="003E08A4" w:rsidP="00275758">
            <w:pPr>
              <w:pStyle w:val="Textpoznpodarou1"/>
              <w:jc w:val="both"/>
              <w:rPr>
                <w:lang w:eastAsia="en-US"/>
              </w:rPr>
            </w:pPr>
          </w:p>
        </w:tc>
        <w:tc>
          <w:tcPr>
            <w:tcW w:w="7610" w:type="dxa"/>
          </w:tcPr>
          <w:p w14:paraId="451F6D6A" w14:textId="755E84B4" w:rsidR="003E08A4" w:rsidRDefault="003E08A4" w:rsidP="0061672A">
            <w:pPr>
              <w:rPr>
                <w:lang w:eastAsia="en-US"/>
              </w:rPr>
            </w:pPr>
            <w:r>
              <w:rPr>
                <w:lang w:eastAsia="en-US"/>
              </w:rPr>
              <w:t>Vývoj cen zahraničního obchodu byl silně ovlivněn oslabením koruny vůči euru, což výrazně tlumilo tlaky na pokles cen. Ceny vývozu se tak v roce 2020 zvýšily o 1,1 %. Ve směru nárůstu cen působily potraviny a živá zvířata (nárůst o 3,5 %), nápoje a tabák (5,4 %), stroje a dopravní prostředky (2,8 %) a průmyslové spotřební zboží (2,9 %). Výrazně se propadly ceny vývozu minerálních paliv a </w:t>
            </w:r>
            <w:proofErr w:type="gramStart"/>
            <w:r>
              <w:rPr>
                <w:lang w:eastAsia="en-US"/>
              </w:rPr>
              <w:t>maziv (–15,8</w:t>
            </w:r>
            <w:proofErr w:type="gramEnd"/>
            <w:r>
              <w:rPr>
                <w:lang w:eastAsia="en-US"/>
              </w:rPr>
              <w:t> %) a ostatních surovin</w:t>
            </w:r>
            <w:r>
              <w:rPr>
                <w:rStyle w:val="Znakapoznpodarou"/>
                <w:lang w:eastAsia="en-US"/>
              </w:rPr>
              <w:footnoteReference w:id="46"/>
            </w:r>
            <w:r>
              <w:rPr>
                <w:lang w:eastAsia="en-US"/>
              </w:rPr>
              <w:t xml:space="preserve"> (–6,4 %), ale klesly také ceny chemikálií (–2,6 %) a polotovarů</w:t>
            </w:r>
            <w:r>
              <w:rPr>
                <w:rStyle w:val="Znakapoznpodarou"/>
              </w:rPr>
              <w:footnoteReference w:id="47"/>
            </w:r>
            <w:r>
              <w:rPr>
                <w:lang w:eastAsia="en-US"/>
              </w:rPr>
              <w:t xml:space="preserve"> (–0,5 %). V samotném 4. čtvrtletí meziroční růst cen vývozu posílil na 2,5 %, především pod vlivem z</w:t>
            </w:r>
            <w:r w:rsidR="0061672A">
              <w:rPr>
                <w:lang w:eastAsia="en-US"/>
              </w:rPr>
              <w:t>výšení</w:t>
            </w:r>
            <w:r>
              <w:rPr>
                <w:lang w:eastAsia="en-US"/>
              </w:rPr>
              <w:t xml:space="preserve"> přírůstku cen potravin a živých zvířat (4,2 %), strojů a dopravních prostředků (3,9 %) a průmyslového spotřebního zboží (2,8 %). Z meziročního poklesu do solidního růstu se dostaly ceny ostatních surovin (3,6 %) i polotovarů (1,4 %). Mírně </w:t>
            </w:r>
            <w:r>
              <w:rPr>
                <w:lang w:eastAsia="en-US"/>
              </w:rPr>
              <w:lastRenderedPageBreak/>
              <w:t xml:space="preserve">posílil již tak silný růst cen nápojů a tabáku (5,6 %). Ceny minerálních paliv setrvaly v hlubokém </w:t>
            </w:r>
            <w:proofErr w:type="gramStart"/>
            <w:r>
              <w:rPr>
                <w:lang w:eastAsia="en-US"/>
              </w:rPr>
              <w:t>propadu (–10,2</w:t>
            </w:r>
            <w:proofErr w:type="gramEnd"/>
            <w:r>
              <w:rPr>
                <w:lang w:eastAsia="en-US"/>
              </w:rPr>
              <w:t> %).</w:t>
            </w:r>
          </w:p>
        </w:tc>
      </w:tr>
      <w:tr w:rsidR="003E08A4" w14:paraId="342ADB90" w14:textId="77777777" w:rsidTr="00275758">
        <w:trPr>
          <w:trHeight w:val="145"/>
        </w:trPr>
        <w:tc>
          <w:tcPr>
            <w:tcW w:w="1805" w:type="dxa"/>
          </w:tcPr>
          <w:p w14:paraId="0472AAB0" w14:textId="18402A61" w:rsidR="003E08A4" w:rsidRDefault="003E08A4" w:rsidP="0061672A">
            <w:pPr>
              <w:pStyle w:val="Marginlie"/>
              <w:rPr>
                <w:spacing w:val="0"/>
                <w:lang w:eastAsia="en-US"/>
              </w:rPr>
            </w:pPr>
            <w:r>
              <w:rPr>
                <w:spacing w:val="0"/>
                <w:lang w:eastAsia="en-US"/>
              </w:rPr>
              <w:lastRenderedPageBreak/>
              <w:t>Ceny dovozu loni klesly, zejména pod vlivem cen minerálních paliv.</w:t>
            </w:r>
          </w:p>
        </w:tc>
        <w:tc>
          <w:tcPr>
            <w:tcW w:w="224" w:type="dxa"/>
          </w:tcPr>
          <w:p w14:paraId="3E0AE42D" w14:textId="77777777" w:rsidR="003E08A4" w:rsidRDefault="003E08A4" w:rsidP="00275758">
            <w:pPr>
              <w:pStyle w:val="Textpoznpodarou1"/>
              <w:jc w:val="both"/>
              <w:rPr>
                <w:lang w:eastAsia="en-US"/>
              </w:rPr>
            </w:pPr>
          </w:p>
        </w:tc>
        <w:tc>
          <w:tcPr>
            <w:tcW w:w="7610" w:type="dxa"/>
          </w:tcPr>
          <w:p w14:paraId="42E05BB4" w14:textId="63198D8A" w:rsidR="003E08A4" w:rsidRDefault="003E08A4" w:rsidP="0061672A">
            <w:pPr>
              <w:rPr>
                <w:lang w:eastAsia="en-US"/>
              </w:rPr>
            </w:pPr>
            <w:r>
              <w:rPr>
                <w:lang w:eastAsia="en-US"/>
              </w:rPr>
              <w:t xml:space="preserve">Ceny dovozu v roce 2020 klesly o 1,1 %. </w:t>
            </w:r>
            <w:r w:rsidR="0061672A">
              <w:rPr>
                <w:lang w:eastAsia="en-US"/>
              </w:rPr>
              <w:t xml:space="preserve">Výrazně se </w:t>
            </w:r>
            <w:r>
              <w:rPr>
                <w:lang w:eastAsia="en-US"/>
              </w:rPr>
              <w:t>totiž</w:t>
            </w:r>
            <w:r w:rsidR="0061672A">
              <w:rPr>
                <w:lang w:eastAsia="en-US"/>
              </w:rPr>
              <w:t xml:space="preserve"> propadly</w:t>
            </w:r>
            <w:r>
              <w:rPr>
                <w:lang w:eastAsia="en-US"/>
              </w:rPr>
              <w:t xml:space="preserve"> ceny minerálních </w:t>
            </w:r>
            <w:proofErr w:type="gramStart"/>
            <w:r>
              <w:rPr>
                <w:lang w:eastAsia="en-US"/>
              </w:rPr>
              <w:t>paliv</w:t>
            </w:r>
            <w:r w:rsidR="0061672A">
              <w:rPr>
                <w:lang w:eastAsia="en-US"/>
              </w:rPr>
              <w:t xml:space="preserve"> </w:t>
            </w:r>
            <w:r>
              <w:rPr>
                <w:lang w:eastAsia="en-US"/>
              </w:rPr>
              <w:t>(–24,6</w:t>
            </w:r>
            <w:proofErr w:type="gramEnd"/>
            <w:r>
              <w:rPr>
                <w:lang w:eastAsia="en-US"/>
              </w:rPr>
              <w:t> %)</w:t>
            </w:r>
            <w:r w:rsidR="0061672A">
              <w:rPr>
                <w:lang w:eastAsia="en-US"/>
              </w:rPr>
              <w:t>. S</w:t>
            </w:r>
            <w:r>
              <w:rPr>
                <w:lang w:eastAsia="en-US"/>
              </w:rPr>
              <w:t xml:space="preserve">nížily se i ceny ostatních </w:t>
            </w:r>
            <w:proofErr w:type="gramStart"/>
            <w:r>
              <w:rPr>
                <w:lang w:eastAsia="en-US"/>
              </w:rPr>
              <w:t>surovin (–3,5</w:t>
            </w:r>
            <w:proofErr w:type="gramEnd"/>
            <w:r>
              <w:rPr>
                <w:lang w:eastAsia="en-US"/>
              </w:rPr>
              <w:t> %). Pokles byl zaznamenán také u </w:t>
            </w:r>
            <w:proofErr w:type="gramStart"/>
            <w:r>
              <w:rPr>
                <w:lang w:eastAsia="en-US"/>
              </w:rPr>
              <w:t>chemikálií (–2,4</w:t>
            </w:r>
            <w:proofErr w:type="gramEnd"/>
            <w:r>
              <w:rPr>
                <w:lang w:eastAsia="en-US"/>
              </w:rPr>
              <w:t xml:space="preserve"> %), nápojů a tabáku (–1,1 %) a polotovarů (–0,9 %). Podobně jako u vývozu i ceny dovezených potravin silně rostly (3,6 %), zvýšily se i ceny strojů a dopravních prostředků (2,2 %) a průmyslového spotřebního zboží (1,8 %). Ve 4. čtvrtletí se ceny dovozu meziročně snížily o 0,3 %. Dál se propadaly ceny minerálních </w:t>
            </w:r>
            <w:proofErr w:type="gramStart"/>
            <w:r>
              <w:rPr>
                <w:lang w:eastAsia="en-US"/>
              </w:rPr>
              <w:t>paliv (–18,8</w:t>
            </w:r>
            <w:proofErr w:type="gramEnd"/>
            <w:r>
              <w:rPr>
                <w:lang w:eastAsia="en-US"/>
              </w:rPr>
              <w:t> %) a do poklesu se dostaly i potraviny a živá zvířata (–1,3 %). Naopak po delším období poklesů začaly meziročně růst ceny nápojů a tabáku (2,5 %). Ceny importu polotovarů vzrostly o 1,3 %, strojů a dopravních prostředků o 1,6 % a průmyslového spotřebního zboží o 2,1 %.</w:t>
            </w:r>
          </w:p>
        </w:tc>
      </w:tr>
      <w:tr w:rsidR="003E08A4" w14:paraId="1751DE07" w14:textId="77777777" w:rsidTr="00275758">
        <w:trPr>
          <w:trHeight w:val="145"/>
        </w:trPr>
        <w:tc>
          <w:tcPr>
            <w:tcW w:w="1805" w:type="dxa"/>
          </w:tcPr>
          <w:p w14:paraId="6B35EE9D" w14:textId="77777777" w:rsidR="003E08A4" w:rsidRDefault="003E08A4" w:rsidP="00275758">
            <w:pPr>
              <w:pStyle w:val="Marginlie"/>
              <w:rPr>
                <w:spacing w:val="0"/>
                <w:lang w:eastAsia="en-US"/>
              </w:rPr>
            </w:pPr>
            <w:r>
              <w:rPr>
                <w:spacing w:val="0"/>
                <w:lang w:eastAsia="en-US"/>
              </w:rPr>
              <w:t>Výrazný rozdíl mezi vývojem cen vývozu a dovozu vedl ke kladným směnným relacím.</w:t>
            </w:r>
          </w:p>
        </w:tc>
        <w:tc>
          <w:tcPr>
            <w:tcW w:w="224" w:type="dxa"/>
          </w:tcPr>
          <w:p w14:paraId="0F0FEBEF" w14:textId="77777777" w:rsidR="003E08A4" w:rsidRDefault="003E08A4" w:rsidP="00275758">
            <w:pPr>
              <w:pStyle w:val="Textpoznpodarou1"/>
              <w:jc w:val="both"/>
              <w:rPr>
                <w:lang w:eastAsia="en-US"/>
              </w:rPr>
            </w:pPr>
          </w:p>
        </w:tc>
        <w:tc>
          <w:tcPr>
            <w:tcW w:w="7610" w:type="dxa"/>
          </w:tcPr>
          <w:p w14:paraId="70DADCB4" w14:textId="77777777" w:rsidR="003E08A4" w:rsidRDefault="003E08A4" w:rsidP="00275758">
            <w:pPr>
              <w:rPr>
                <w:lang w:eastAsia="en-US"/>
              </w:rPr>
            </w:pPr>
            <w:r>
              <w:rPr>
                <w:lang w:eastAsia="en-US"/>
              </w:rPr>
              <w:t>Směnné relace zahraničního obchodu se zbožím loni dosáhly 102,2 %. Kladné byly směnné relace obchodu s minerálními palivy (111,7 %), nápoji a tabákem (106,6 %), průmyslovým spotřebním zbožím (101,1 %). Mírně pozitivní byly i relace obchodu se stroji a dopravními prostředky (100,6 %) a polotovary (100,4 %). Negativní byly loni směnné relace s ostatními surovinami (97,0 %) a mírně negativní byly i relace s chemikáliemi (99,8 %) a potravinami (99,9 %). V samotném 4. čtvrtletí směnné relace zahraničního obchodu dosáhly 102,8 %, zejména kvůli obchodu s minerálními palivy (110,6 %), potravinami (105,6 %), ostatními surovinami (103,2 %), nápoji a tabákem (103,0 %) a stroji a dopravními prostředky (102,3 %). Negativní byly směnné relace s chemikáliemi (98,0 %).</w:t>
            </w:r>
          </w:p>
        </w:tc>
      </w:tr>
    </w:tbl>
    <w:p w14:paraId="3ABF771A" w14:textId="77777777" w:rsidR="003E08A4" w:rsidRDefault="003E08A4" w:rsidP="003E08A4">
      <w:pPr>
        <w:spacing w:after="0" w:line="240" w:lineRule="auto"/>
        <w:jc w:val="left"/>
        <w:rPr>
          <w:b/>
          <w:sz w:val="2"/>
          <w:szCs w:val="2"/>
          <w:highlight w:val="yellow"/>
        </w:rPr>
      </w:pPr>
    </w:p>
    <w:p w14:paraId="14635A3A" w14:textId="77777777" w:rsidR="00A96422" w:rsidRDefault="00A96422" w:rsidP="00A96422">
      <w:pPr>
        <w:pStyle w:val="Nadpis11"/>
        <w:sectPr w:rsidR="00A96422" w:rsidSect="00A03B10">
          <w:headerReference w:type="even" r:id="rId20"/>
          <w:headerReference w:type="default" r:id="rId21"/>
          <w:footerReference w:type="even" r:id="rId22"/>
          <w:footerReference w:type="default" r:id="rId23"/>
          <w:pgSz w:w="11906" w:h="16838" w:code="9"/>
          <w:pgMar w:top="1134" w:right="1134" w:bottom="1418" w:left="1134" w:header="680" w:footer="737" w:gutter="0"/>
          <w:cols w:space="708"/>
          <w:docGrid w:linePitch="360"/>
        </w:sectPr>
      </w:pPr>
    </w:p>
    <w:p w14:paraId="76580F4F" w14:textId="77777777" w:rsidR="00B2450C" w:rsidRDefault="00B2450C" w:rsidP="00B2450C">
      <w:pPr>
        <w:pStyle w:val="Nadpis11"/>
        <w:spacing w:after="120"/>
      </w:pPr>
      <w:bookmarkStart w:id="21" w:name="_Toc50712130"/>
      <w:bookmarkStart w:id="22" w:name="_Toc58605377"/>
      <w:bookmarkStart w:id="23" w:name="_Toc26865023"/>
      <w:bookmarkStart w:id="24" w:name="_Toc66954407"/>
      <w:bookmarkEnd w:id="18"/>
      <w:r w:rsidRPr="00B43216">
        <w:lastRenderedPageBreak/>
        <w:t>6. Trh práce</w:t>
      </w:r>
      <w:bookmarkEnd w:id="21"/>
      <w:bookmarkEnd w:id="24"/>
    </w:p>
    <w:tbl>
      <w:tblPr>
        <w:tblW w:w="9664" w:type="dxa"/>
        <w:tblInd w:w="-25" w:type="dxa"/>
        <w:tblCellMar>
          <w:left w:w="0" w:type="dxa"/>
          <w:right w:w="0" w:type="dxa"/>
        </w:tblCellMar>
        <w:tblLook w:val="00A0" w:firstRow="1" w:lastRow="0" w:firstColumn="1" w:lastColumn="0" w:noHBand="0" w:noVBand="0"/>
      </w:tblPr>
      <w:tblGrid>
        <w:gridCol w:w="1792"/>
        <w:gridCol w:w="216"/>
        <w:gridCol w:w="7656"/>
      </w:tblGrid>
      <w:tr w:rsidR="00E97F14" w:rsidRPr="006237E6" w14:paraId="188F8CB5" w14:textId="77777777" w:rsidTr="0091476D">
        <w:trPr>
          <w:trHeight w:val="155"/>
        </w:trPr>
        <w:tc>
          <w:tcPr>
            <w:tcW w:w="1792" w:type="dxa"/>
            <w:shd w:val="clear" w:color="auto" w:fill="auto"/>
            <w:tcMar>
              <w:left w:w="0" w:type="dxa"/>
            </w:tcMar>
          </w:tcPr>
          <w:p w14:paraId="0EF4FEC4" w14:textId="77777777" w:rsidR="00E97F14" w:rsidRDefault="00E97F14" w:rsidP="0091476D">
            <w:pPr>
              <w:pStyle w:val="Marginlie"/>
              <w:spacing w:after="120"/>
              <w:rPr>
                <w:spacing w:val="-4"/>
              </w:rPr>
            </w:pPr>
            <w:r>
              <w:rPr>
                <w:spacing w:val="-4"/>
              </w:rPr>
              <w:t xml:space="preserve">Počet pracujících se loni snížil nejvíce od roku 2009. Dopady jarní vlny </w:t>
            </w:r>
            <w:proofErr w:type="spellStart"/>
            <w:r>
              <w:rPr>
                <w:spacing w:val="-4"/>
              </w:rPr>
              <w:t>protipandemických</w:t>
            </w:r>
            <w:proofErr w:type="spellEnd"/>
            <w:r>
              <w:rPr>
                <w:spacing w:val="-4"/>
              </w:rPr>
              <w:t xml:space="preserve"> opatření byly výraznější než u restrikcí zaváděných v poslední části roku.</w:t>
            </w:r>
          </w:p>
        </w:tc>
        <w:tc>
          <w:tcPr>
            <w:tcW w:w="216" w:type="dxa"/>
            <w:shd w:val="clear" w:color="auto" w:fill="auto"/>
            <w:tcMar>
              <w:left w:w="0" w:type="dxa"/>
            </w:tcMar>
          </w:tcPr>
          <w:p w14:paraId="67DE4BB7" w14:textId="77777777" w:rsidR="00E97F14" w:rsidRPr="003B1401" w:rsidRDefault="00E97F14" w:rsidP="0091476D">
            <w:pPr>
              <w:pStyle w:val="Textpoznpodarou"/>
              <w:spacing w:after="120"/>
              <w:jc w:val="both"/>
              <w:rPr>
                <w:spacing w:val="-4"/>
              </w:rPr>
            </w:pPr>
          </w:p>
        </w:tc>
        <w:tc>
          <w:tcPr>
            <w:tcW w:w="7656" w:type="dxa"/>
            <w:shd w:val="clear" w:color="auto" w:fill="auto"/>
            <w:tcMar>
              <w:left w:w="0" w:type="dxa"/>
            </w:tcMar>
          </w:tcPr>
          <w:p w14:paraId="560BAA42" w14:textId="77777777" w:rsidR="00E97F14" w:rsidRPr="00CB1808" w:rsidRDefault="00E97F14" w:rsidP="0091476D">
            <w:pPr>
              <w:spacing w:after="220"/>
              <w:rPr>
                <w:rFonts w:cs="Arial"/>
                <w:bCs/>
                <w:color w:val="000000"/>
                <w:spacing w:val="-4"/>
                <w:szCs w:val="20"/>
              </w:rPr>
            </w:pPr>
            <w:r w:rsidRPr="00CB1808">
              <w:rPr>
                <w:rFonts w:cs="Arial"/>
                <w:bCs/>
                <w:color w:val="000000"/>
                <w:spacing w:val="-4"/>
                <w:szCs w:val="20"/>
              </w:rPr>
              <w:t>Celková zaměstnanost</w:t>
            </w:r>
            <w:r w:rsidRPr="00CB1808">
              <w:rPr>
                <w:spacing w:val="-4"/>
                <w:vertAlign w:val="superscript"/>
              </w:rPr>
              <w:footnoteReference w:id="48"/>
            </w:r>
            <w:r w:rsidRPr="00CB1808">
              <w:rPr>
                <w:rFonts w:cs="Arial"/>
                <w:bCs/>
                <w:color w:val="000000"/>
                <w:spacing w:val="-4"/>
                <w:szCs w:val="20"/>
              </w:rPr>
              <w:t xml:space="preserve"> se vloni meziročně snížila o 1,5 %</w:t>
            </w:r>
            <w:r w:rsidRPr="00CB1808">
              <w:rPr>
                <w:rStyle w:val="Znakapoznpodarou"/>
                <w:bCs/>
                <w:color w:val="000000"/>
                <w:spacing w:val="-4"/>
                <w:szCs w:val="20"/>
              </w:rPr>
              <w:footnoteReference w:id="49"/>
            </w:r>
            <w:r w:rsidRPr="00CB1808">
              <w:rPr>
                <w:rFonts w:cs="Arial"/>
                <w:bCs/>
                <w:color w:val="000000"/>
                <w:spacing w:val="-4"/>
                <w:szCs w:val="20"/>
              </w:rPr>
              <w:t xml:space="preserve">. Hlubší pokles postihl tuzemskou ekonomiku za poslední dvě dekády pouze v roce </w:t>
            </w:r>
            <w:proofErr w:type="gramStart"/>
            <w:r w:rsidRPr="00CB1808">
              <w:rPr>
                <w:rFonts w:cs="Arial"/>
                <w:bCs/>
                <w:color w:val="000000"/>
                <w:spacing w:val="-4"/>
                <w:szCs w:val="20"/>
              </w:rPr>
              <w:t>2009 (–1,8</w:t>
            </w:r>
            <w:proofErr w:type="gramEnd"/>
            <w:r w:rsidRPr="00CB1808">
              <w:rPr>
                <w:rFonts w:cs="Arial"/>
                <w:bCs/>
                <w:color w:val="000000"/>
                <w:spacing w:val="-4"/>
                <w:szCs w:val="20"/>
              </w:rPr>
              <w:t xml:space="preserve"> %). Tento výsledek odrážel dopady jarní i podzimní vlny </w:t>
            </w:r>
            <w:proofErr w:type="spellStart"/>
            <w:r w:rsidRPr="00CB1808">
              <w:rPr>
                <w:rFonts w:cs="Arial"/>
                <w:bCs/>
                <w:color w:val="000000"/>
                <w:spacing w:val="-4"/>
                <w:szCs w:val="20"/>
              </w:rPr>
              <w:t>protipandemických</w:t>
            </w:r>
            <w:proofErr w:type="spellEnd"/>
            <w:r w:rsidRPr="00CB1808">
              <w:rPr>
                <w:rFonts w:cs="Arial"/>
                <w:bCs/>
                <w:color w:val="000000"/>
                <w:spacing w:val="-4"/>
                <w:szCs w:val="20"/>
              </w:rPr>
              <w:t xml:space="preserve"> opatření, při nichž došlo k uzavření podniků i celých odvětví. Během 2. čtvrtletí 2020 se tak počet pracujících propadl o 1,5 %, což představovalo nejhlubší </w:t>
            </w:r>
            <w:proofErr w:type="spellStart"/>
            <w:r w:rsidRPr="00CB1808">
              <w:rPr>
                <w:rFonts w:cs="Arial"/>
                <w:bCs/>
                <w:color w:val="000000"/>
                <w:spacing w:val="-4"/>
                <w:szCs w:val="20"/>
              </w:rPr>
              <w:t>mezikvartální</w:t>
            </w:r>
            <w:proofErr w:type="spellEnd"/>
            <w:r w:rsidRPr="00CB1808">
              <w:rPr>
                <w:rFonts w:cs="Arial"/>
                <w:bCs/>
                <w:color w:val="000000"/>
                <w:spacing w:val="-4"/>
                <w:szCs w:val="20"/>
              </w:rPr>
              <w:t xml:space="preserve"> útlum v dostupné řadě (počínaje rokem 1995). V následujícím čtvrtletí došlo vlivem uvolnění většiny restrikcí ke stabilizaci (+0,2 %). Opětovné zhoršení nastalo v poslední části roku. Hloubka </w:t>
            </w:r>
            <w:proofErr w:type="spellStart"/>
            <w:r w:rsidRPr="00CB1808">
              <w:rPr>
                <w:rFonts w:cs="Arial"/>
                <w:bCs/>
                <w:color w:val="000000"/>
                <w:spacing w:val="-4"/>
                <w:szCs w:val="20"/>
              </w:rPr>
              <w:t>mezikvartálního</w:t>
            </w:r>
            <w:proofErr w:type="spellEnd"/>
            <w:r w:rsidRPr="00CB1808">
              <w:rPr>
                <w:rFonts w:cs="Arial"/>
                <w:bCs/>
                <w:color w:val="000000"/>
                <w:spacing w:val="-4"/>
                <w:szCs w:val="20"/>
              </w:rPr>
              <w:t xml:space="preserve"> poklesu zde ale byla ve srovnání s jarním obdobím </w:t>
            </w:r>
            <w:proofErr w:type="gramStart"/>
            <w:r w:rsidRPr="00CB1808">
              <w:rPr>
                <w:rFonts w:cs="Arial"/>
                <w:bCs/>
                <w:color w:val="000000"/>
                <w:spacing w:val="-4"/>
                <w:szCs w:val="20"/>
              </w:rPr>
              <w:t>mírnější (–0,5</w:t>
            </w:r>
            <w:proofErr w:type="gramEnd"/>
            <w:r w:rsidRPr="00CB1808">
              <w:rPr>
                <w:rFonts w:cs="Arial"/>
                <w:bCs/>
                <w:color w:val="000000"/>
                <w:spacing w:val="-4"/>
                <w:szCs w:val="20"/>
              </w:rPr>
              <w:t> %), mimo jiné proto, že plynulost výroby ve zpracovatelském průmyslu již nebyla významně narušena.</w:t>
            </w:r>
          </w:p>
        </w:tc>
      </w:tr>
      <w:tr w:rsidR="00E97F14" w:rsidRPr="006237E6" w14:paraId="332DCC05" w14:textId="77777777" w:rsidTr="0091476D">
        <w:trPr>
          <w:trHeight w:val="155"/>
        </w:trPr>
        <w:tc>
          <w:tcPr>
            <w:tcW w:w="1792" w:type="dxa"/>
            <w:shd w:val="clear" w:color="auto" w:fill="auto"/>
            <w:tcMar>
              <w:left w:w="0" w:type="dxa"/>
            </w:tcMar>
          </w:tcPr>
          <w:p w14:paraId="5615B05A" w14:textId="77777777" w:rsidR="00E97F14" w:rsidRDefault="00E97F14" w:rsidP="0091476D">
            <w:pPr>
              <w:pStyle w:val="Marginlie"/>
              <w:spacing w:after="120"/>
              <w:rPr>
                <w:spacing w:val="-4"/>
              </w:rPr>
            </w:pPr>
            <w:r>
              <w:rPr>
                <w:spacing w:val="-4"/>
              </w:rPr>
              <w:t>Pokles zaměstnanosti byl loni nejvíce tažen zpracovatelským průmyslem a odvětvími s vazbou na cestovní ruch.</w:t>
            </w:r>
          </w:p>
          <w:p w14:paraId="191B5A2B" w14:textId="77777777" w:rsidR="00E97F14" w:rsidRDefault="00E97F14" w:rsidP="0091476D">
            <w:pPr>
              <w:pStyle w:val="Marginlie"/>
              <w:spacing w:after="120"/>
              <w:rPr>
                <w:spacing w:val="-4"/>
              </w:rPr>
            </w:pPr>
          </w:p>
          <w:p w14:paraId="495EE58F" w14:textId="77777777" w:rsidR="00E97F14" w:rsidRDefault="00E97F14" w:rsidP="0091476D">
            <w:pPr>
              <w:pStyle w:val="Marginlie"/>
              <w:spacing w:after="120"/>
              <w:rPr>
                <w:spacing w:val="-4"/>
              </w:rPr>
            </w:pPr>
          </w:p>
          <w:p w14:paraId="11D5B967" w14:textId="30CFB39F" w:rsidR="00E97F14" w:rsidRDefault="00E97F14" w:rsidP="0091476D">
            <w:pPr>
              <w:pStyle w:val="Marginlie"/>
              <w:spacing w:after="120"/>
              <w:rPr>
                <w:spacing w:val="-4"/>
              </w:rPr>
            </w:pPr>
          </w:p>
          <w:p w14:paraId="762F5752" w14:textId="295B03EE" w:rsidR="00E97F14" w:rsidRDefault="00E97F14" w:rsidP="0091476D">
            <w:pPr>
              <w:pStyle w:val="Marginlie"/>
              <w:spacing w:after="120"/>
              <w:rPr>
                <w:spacing w:val="-4"/>
              </w:rPr>
            </w:pPr>
          </w:p>
          <w:p w14:paraId="1135E418" w14:textId="77777777" w:rsidR="00E97F14" w:rsidRDefault="00E97F14" w:rsidP="0091476D">
            <w:pPr>
              <w:pStyle w:val="Marginlie"/>
              <w:spacing w:after="120"/>
              <w:rPr>
                <w:spacing w:val="-4"/>
              </w:rPr>
            </w:pPr>
            <w:r>
              <w:rPr>
                <w:spacing w:val="-4"/>
              </w:rPr>
              <w:t>Pokračoval naopak rozvoj v oblasti ICT a veřejných služeb. Nové pracovníky získávalo i stavebnictví.</w:t>
            </w:r>
          </w:p>
        </w:tc>
        <w:tc>
          <w:tcPr>
            <w:tcW w:w="216" w:type="dxa"/>
            <w:shd w:val="clear" w:color="auto" w:fill="auto"/>
            <w:tcMar>
              <w:left w:w="0" w:type="dxa"/>
            </w:tcMar>
          </w:tcPr>
          <w:p w14:paraId="5B7C3792" w14:textId="77777777" w:rsidR="00E97F14" w:rsidRPr="003B1401" w:rsidRDefault="00E97F14" w:rsidP="0091476D">
            <w:pPr>
              <w:pStyle w:val="Textpoznpodarou"/>
              <w:spacing w:after="120"/>
              <w:jc w:val="both"/>
              <w:rPr>
                <w:spacing w:val="-4"/>
              </w:rPr>
            </w:pPr>
          </w:p>
        </w:tc>
        <w:tc>
          <w:tcPr>
            <w:tcW w:w="7656" w:type="dxa"/>
            <w:shd w:val="clear" w:color="auto" w:fill="auto"/>
            <w:tcMar>
              <w:left w:w="0" w:type="dxa"/>
            </w:tcMar>
          </w:tcPr>
          <w:p w14:paraId="476CC77C" w14:textId="77777777" w:rsidR="00E97F14" w:rsidRPr="00CB1808" w:rsidRDefault="00E97F14" w:rsidP="0091476D">
            <w:pPr>
              <w:spacing w:after="220"/>
              <w:rPr>
                <w:rFonts w:cs="Arial"/>
                <w:bCs/>
                <w:color w:val="000000"/>
                <w:spacing w:val="-5"/>
                <w:szCs w:val="20"/>
              </w:rPr>
            </w:pPr>
            <w:r w:rsidRPr="00CB1808">
              <w:rPr>
                <w:rFonts w:cs="Arial"/>
                <w:bCs/>
                <w:color w:val="000000"/>
                <w:spacing w:val="-5"/>
                <w:szCs w:val="20"/>
              </w:rPr>
              <w:t>Vývoj zaměstnanosti na odvětvové úrovni byl po celý loňský rok značně diferencovaný. K poklesu počtu všech pracujících přispěl takřka z poloviny zpracovatelský průmysl, v němž za celý rok 2020 ubylo 3,3 % zaměstnaných. Citelné redukce zaměstnanosti zde nebyli ušetřeni ani výrobci motorových vozidel i jejich nejbližší subdodavatelé</w:t>
            </w:r>
            <w:r w:rsidRPr="00CB1808">
              <w:rPr>
                <w:rStyle w:val="Znakapoznpodarou"/>
                <w:bCs/>
                <w:color w:val="000000"/>
                <w:spacing w:val="-5"/>
                <w:szCs w:val="20"/>
              </w:rPr>
              <w:footnoteReference w:id="50"/>
            </w:r>
            <w:r w:rsidRPr="00CB1808">
              <w:rPr>
                <w:rFonts w:cs="Arial"/>
                <w:bCs/>
                <w:color w:val="000000"/>
                <w:spacing w:val="-5"/>
                <w:szCs w:val="20"/>
              </w:rPr>
              <w:t>. Ve 4. čtvrtletí se ale hospodářská situace v průmyslu zlepšila a růst zakázek vedl k tomu, že meziroční pokles zaměstnanosti se již neprohluboval. Na segment obchodu, dopravy, ubytování a pohostinství dopadla podzimní vlna vládních restriktivních opatření naopak intenzivně. Zaměstnanost zde propadla o rovných 5 % a ve 4. čtvrtletí již přispívala k úbytku pracovních míst v ekonomice více než celý průmysl. Silně zasaženo bylo i odvětví profesní, vědecké, technické, administrativní a podpůrné činnosti, v němž loni ubylo 4,6 % pracovníků – nejvíce v éře samostatné ČR. S tím kontrastoval vývoj v dlouhodobě se rozvíjejících informačních a komunikačních činnostech, jejichž význam byl vlivem opatření k omezení osobních kontaktů (práce z domova, distanční vzdělávání) dále posílen. Loňský růst zaměstnanosti zde oproti silným tempům z posledních čtyř let (4 až 5 %) příliš neochabl. Z dlouhodobějších trendů loni nevybočily ani veřejné služby. K vyšší zaměstnanosti zde přispívalo hlavně vzdělávání, v menší míře i zdravotní a sociální péče. Z odvětví mimo sektor služeb přibývalo loni pracovníků také ve stavebnictví (+1,5 %, nejvíce v poslední dekádě).</w:t>
            </w:r>
          </w:p>
        </w:tc>
      </w:tr>
      <w:tr w:rsidR="00E97F14" w:rsidRPr="006237E6" w14:paraId="262B94FF" w14:textId="77777777" w:rsidTr="0091476D">
        <w:trPr>
          <w:trHeight w:val="155"/>
        </w:trPr>
        <w:tc>
          <w:tcPr>
            <w:tcW w:w="1792" w:type="dxa"/>
            <w:shd w:val="clear" w:color="auto" w:fill="auto"/>
            <w:tcMar>
              <w:left w:w="0" w:type="dxa"/>
            </w:tcMar>
          </w:tcPr>
          <w:p w14:paraId="7EF8ABD6" w14:textId="77777777" w:rsidR="00E97F14" w:rsidRDefault="00E97F14" w:rsidP="0091476D">
            <w:pPr>
              <w:pStyle w:val="Marginlie"/>
              <w:spacing w:after="120"/>
              <w:rPr>
                <w:spacing w:val="-4"/>
              </w:rPr>
            </w:pPr>
            <w:r>
              <w:rPr>
                <w:spacing w:val="-4"/>
              </w:rPr>
              <w:t>Zaměstnanců ubylo loni relativně více než podnikajících osob.</w:t>
            </w:r>
          </w:p>
          <w:p w14:paraId="24E530A6" w14:textId="77777777" w:rsidR="00E97F14" w:rsidRDefault="00E97F14" w:rsidP="0091476D">
            <w:pPr>
              <w:pStyle w:val="Marginlie"/>
              <w:spacing w:after="120"/>
              <w:rPr>
                <w:spacing w:val="-4"/>
              </w:rPr>
            </w:pPr>
          </w:p>
          <w:p w14:paraId="0788062F" w14:textId="77777777" w:rsidR="00E97F14" w:rsidRDefault="00E97F14" w:rsidP="0091476D">
            <w:pPr>
              <w:pStyle w:val="Marginlie"/>
              <w:spacing w:after="120"/>
              <w:rPr>
                <w:spacing w:val="-4"/>
              </w:rPr>
            </w:pPr>
            <w:r>
              <w:rPr>
                <w:spacing w:val="-4"/>
              </w:rPr>
              <w:t>Podnikatelé odpracovali loni meziročně o 10 % hodin méně, zaměstnanci o 5 %.</w:t>
            </w:r>
          </w:p>
        </w:tc>
        <w:tc>
          <w:tcPr>
            <w:tcW w:w="216" w:type="dxa"/>
            <w:shd w:val="clear" w:color="auto" w:fill="auto"/>
            <w:tcMar>
              <w:left w:w="0" w:type="dxa"/>
            </w:tcMar>
          </w:tcPr>
          <w:p w14:paraId="0861DD32" w14:textId="77777777" w:rsidR="00E97F14" w:rsidRPr="003B1401" w:rsidRDefault="00E97F14" w:rsidP="0091476D">
            <w:pPr>
              <w:pStyle w:val="Textpoznpodarou"/>
              <w:spacing w:after="120"/>
              <w:jc w:val="both"/>
              <w:rPr>
                <w:spacing w:val="-4"/>
              </w:rPr>
            </w:pPr>
          </w:p>
        </w:tc>
        <w:tc>
          <w:tcPr>
            <w:tcW w:w="7656" w:type="dxa"/>
            <w:shd w:val="clear" w:color="auto" w:fill="auto"/>
            <w:tcMar>
              <w:left w:w="0" w:type="dxa"/>
            </w:tcMar>
          </w:tcPr>
          <w:p w14:paraId="2D6F6968" w14:textId="77777777" w:rsidR="00E97F14" w:rsidRPr="00CB1808" w:rsidRDefault="00E97F14" w:rsidP="0091476D">
            <w:pPr>
              <w:spacing w:after="220"/>
              <w:rPr>
                <w:rFonts w:cs="Arial"/>
                <w:bCs/>
                <w:color w:val="000000"/>
                <w:spacing w:val="-4"/>
                <w:szCs w:val="20"/>
              </w:rPr>
            </w:pPr>
            <w:r w:rsidRPr="00CB1808">
              <w:rPr>
                <w:rFonts w:cs="Arial"/>
                <w:bCs/>
                <w:color w:val="000000"/>
                <w:spacing w:val="-4"/>
                <w:szCs w:val="20"/>
              </w:rPr>
              <w:t xml:space="preserve">Za rok 2020 se snížil jak počet </w:t>
            </w:r>
            <w:proofErr w:type="gramStart"/>
            <w:r w:rsidRPr="00CB1808">
              <w:rPr>
                <w:rFonts w:cs="Arial"/>
                <w:bCs/>
                <w:color w:val="000000"/>
                <w:spacing w:val="-4"/>
                <w:szCs w:val="20"/>
              </w:rPr>
              <w:t>zaměstnanců (–1,5</w:t>
            </w:r>
            <w:proofErr w:type="gramEnd"/>
            <w:r w:rsidRPr="00CB1808">
              <w:rPr>
                <w:rFonts w:cs="Arial"/>
                <w:bCs/>
                <w:color w:val="000000"/>
                <w:spacing w:val="-4"/>
                <w:szCs w:val="20"/>
              </w:rPr>
              <w:t> %), tak i podnikajících osob (–1,2 %)</w:t>
            </w:r>
            <w:r w:rsidRPr="00CB1808">
              <w:rPr>
                <w:rStyle w:val="Znakapoznpodarou"/>
                <w:bCs/>
                <w:color w:val="000000"/>
                <w:spacing w:val="-4"/>
                <w:szCs w:val="20"/>
              </w:rPr>
              <w:footnoteReference w:id="51"/>
            </w:r>
            <w:r w:rsidRPr="00CB1808">
              <w:rPr>
                <w:rFonts w:cs="Arial"/>
                <w:bCs/>
                <w:color w:val="000000"/>
                <w:spacing w:val="-4"/>
                <w:szCs w:val="20"/>
              </w:rPr>
              <w:t xml:space="preserve">. Nepříznivý vývoj </w:t>
            </w:r>
            <w:proofErr w:type="spellStart"/>
            <w:r w:rsidRPr="00CB1808">
              <w:rPr>
                <w:rFonts w:cs="Arial"/>
                <w:bCs/>
                <w:color w:val="000000"/>
                <w:spacing w:val="-4"/>
                <w:szCs w:val="20"/>
              </w:rPr>
              <w:t>sebezaměstnaných</w:t>
            </w:r>
            <w:proofErr w:type="spellEnd"/>
            <w:r w:rsidRPr="00CB1808">
              <w:rPr>
                <w:rFonts w:cs="Arial"/>
                <w:bCs/>
                <w:color w:val="000000"/>
                <w:spacing w:val="-4"/>
                <w:szCs w:val="20"/>
              </w:rPr>
              <w:t xml:space="preserve"> ve zpracovatelském průmyslu či v oblastech vázaných na cestovní ruch byl zčásti kompenzován vyšší podnikatelskou aktivitou ve stavebnictví či v oblasti ICT. Skutečnost, že stavy podnikatelů citelněji neklesly, neznamená, že tento segment trhu práce nebyl výrazně zasažen </w:t>
            </w:r>
            <w:proofErr w:type="spellStart"/>
            <w:r w:rsidRPr="00CB1808">
              <w:rPr>
                <w:rFonts w:cs="Arial"/>
                <w:bCs/>
                <w:color w:val="000000"/>
                <w:spacing w:val="-4"/>
                <w:szCs w:val="20"/>
              </w:rPr>
              <w:t>protipandemickými</w:t>
            </w:r>
            <w:proofErr w:type="spellEnd"/>
            <w:r w:rsidRPr="00CB1808">
              <w:rPr>
                <w:rFonts w:cs="Arial"/>
                <w:bCs/>
                <w:color w:val="000000"/>
                <w:spacing w:val="-4"/>
                <w:szCs w:val="20"/>
              </w:rPr>
              <w:t xml:space="preserve"> opatřeními. </w:t>
            </w:r>
            <w:r w:rsidRPr="00CB1808">
              <w:rPr>
                <w:spacing w:val="-4"/>
              </w:rPr>
              <w:t>Průměrný týdenní počet skutečně odpracovaných hodin u</w:t>
            </w:r>
            <w:r w:rsidRPr="00CB1808">
              <w:rPr>
                <w:rFonts w:cs="Arial"/>
                <w:bCs/>
                <w:color w:val="000000"/>
                <w:spacing w:val="-4"/>
                <w:szCs w:val="20"/>
              </w:rPr>
              <w:t> </w:t>
            </w:r>
            <w:r w:rsidRPr="00CB1808">
              <w:rPr>
                <w:spacing w:val="-4"/>
              </w:rPr>
              <w:t xml:space="preserve">podnikatelů </w:t>
            </w:r>
            <w:r w:rsidRPr="00CB1808">
              <w:rPr>
                <w:rFonts w:cs="Arial"/>
                <w:bCs/>
                <w:color w:val="000000"/>
                <w:spacing w:val="-4"/>
                <w:szCs w:val="20"/>
              </w:rPr>
              <w:t xml:space="preserve">(v hlavním zaměstnání) </w:t>
            </w:r>
            <w:r w:rsidRPr="00CB1808">
              <w:rPr>
                <w:spacing w:val="-4"/>
              </w:rPr>
              <w:t>během jarní i</w:t>
            </w:r>
            <w:r w:rsidRPr="00CB1808">
              <w:rPr>
                <w:rFonts w:cs="Arial"/>
                <w:bCs/>
                <w:color w:val="000000"/>
                <w:spacing w:val="-4"/>
                <w:szCs w:val="20"/>
              </w:rPr>
              <w:t> </w:t>
            </w:r>
            <w:r w:rsidRPr="00CB1808">
              <w:rPr>
                <w:spacing w:val="-4"/>
              </w:rPr>
              <w:t>podzimní vlny propadl meziročně o</w:t>
            </w:r>
            <w:r w:rsidRPr="00CB1808">
              <w:rPr>
                <w:rFonts w:cs="Arial"/>
                <w:bCs/>
                <w:color w:val="000000"/>
                <w:spacing w:val="-4"/>
                <w:szCs w:val="20"/>
              </w:rPr>
              <w:t> </w:t>
            </w:r>
            <w:r w:rsidRPr="00CB1808">
              <w:rPr>
                <w:spacing w:val="-4"/>
              </w:rPr>
              <w:t>více než 10 %, v samotném dubnu dokonce o</w:t>
            </w:r>
            <w:r w:rsidRPr="00CB1808">
              <w:rPr>
                <w:rFonts w:cs="Arial"/>
                <w:bCs/>
                <w:color w:val="000000"/>
                <w:spacing w:val="-4"/>
                <w:szCs w:val="20"/>
              </w:rPr>
              <w:t> </w:t>
            </w:r>
            <w:r w:rsidRPr="00CB1808">
              <w:rPr>
                <w:spacing w:val="-4"/>
              </w:rPr>
              <w:t>31 %. Za celý rok činil pokles podnikateli</w:t>
            </w:r>
            <w:r w:rsidRPr="00CB1808">
              <w:rPr>
                <w:rFonts w:cs="Arial"/>
                <w:bCs/>
                <w:color w:val="000000"/>
                <w:spacing w:val="-4"/>
                <w:szCs w:val="20"/>
              </w:rPr>
              <w:t xml:space="preserve"> </w:t>
            </w:r>
            <w:r w:rsidRPr="00CB1808">
              <w:rPr>
                <w:spacing w:val="-4"/>
              </w:rPr>
              <w:t>odpracovaných hodin 10 % </w:t>
            </w:r>
            <w:r w:rsidRPr="00CB1808">
              <w:rPr>
                <w:rFonts w:cs="Arial"/>
                <w:bCs/>
                <w:color w:val="000000"/>
                <w:spacing w:val="-4"/>
                <w:szCs w:val="20"/>
              </w:rPr>
              <w:t>–</w:t>
            </w:r>
            <w:r w:rsidRPr="00CB1808">
              <w:rPr>
                <w:spacing w:val="-4"/>
              </w:rPr>
              <w:t xml:space="preserve"> dvakrát tolik jako u zaměstnanců</w:t>
            </w:r>
            <w:r w:rsidRPr="00CB1808">
              <w:rPr>
                <w:rStyle w:val="Znakapoznpodarou"/>
                <w:spacing w:val="-4"/>
              </w:rPr>
              <w:footnoteReference w:id="52"/>
            </w:r>
            <w:r w:rsidRPr="00CB1808">
              <w:rPr>
                <w:spacing w:val="-4"/>
              </w:rPr>
              <w:t xml:space="preserve">. </w:t>
            </w:r>
            <w:r>
              <w:rPr>
                <w:spacing w:val="-4"/>
              </w:rPr>
              <w:t>Počet</w:t>
            </w:r>
            <w:r w:rsidRPr="00CB1808">
              <w:rPr>
                <w:spacing w:val="-4"/>
              </w:rPr>
              <w:t xml:space="preserve"> odpracovaných hodin v celé </w:t>
            </w:r>
            <w:r>
              <w:rPr>
                <w:spacing w:val="-4"/>
              </w:rPr>
              <w:t>ekonomice</w:t>
            </w:r>
            <w:r w:rsidRPr="00CB1808">
              <w:rPr>
                <w:spacing w:val="-4"/>
              </w:rPr>
              <w:t xml:space="preserve"> loni </w:t>
            </w:r>
            <w:r>
              <w:rPr>
                <w:spacing w:val="-4"/>
              </w:rPr>
              <w:t>propadl o rekordních 6</w:t>
            </w:r>
            <w:r w:rsidRPr="00CB1808">
              <w:rPr>
                <w:rFonts w:cs="Arial"/>
                <w:bCs/>
                <w:color w:val="000000"/>
                <w:spacing w:val="-4"/>
                <w:szCs w:val="20"/>
              </w:rPr>
              <w:t> </w:t>
            </w:r>
            <w:r>
              <w:rPr>
                <w:spacing w:val="-4"/>
              </w:rPr>
              <w:t>%. Jednalo se takřka o</w:t>
            </w:r>
            <w:r w:rsidRPr="00CB1808">
              <w:rPr>
                <w:spacing w:val="-4"/>
              </w:rPr>
              <w:t xml:space="preserve"> třikrát hlubší </w:t>
            </w:r>
            <w:r>
              <w:rPr>
                <w:spacing w:val="-4"/>
              </w:rPr>
              <w:t xml:space="preserve">pokles </w:t>
            </w:r>
            <w:r w:rsidRPr="00CB1808">
              <w:rPr>
                <w:spacing w:val="-4"/>
              </w:rPr>
              <w:t>než v kri</w:t>
            </w:r>
            <w:r>
              <w:rPr>
                <w:spacing w:val="-4"/>
              </w:rPr>
              <w:t>zovém roce 2009</w:t>
            </w:r>
            <w:r w:rsidRPr="00CB1808">
              <w:rPr>
                <w:spacing w:val="-4"/>
              </w:rPr>
              <w:t>.</w:t>
            </w:r>
          </w:p>
        </w:tc>
      </w:tr>
      <w:tr w:rsidR="00E97F14" w:rsidRPr="006237E6" w14:paraId="3F3E9218" w14:textId="77777777" w:rsidTr="0091476D">
        <w:trPr>
          <w:trHeight w:val="155"/>
        </w:trPr>
        <w:tc>
          <w:tcPr>
            <w:tcW w:w="1792" w:type="dxa"/>
            <w:shd w:val="clear" w:color="auto" w:fill="auto"/>
            <w:tcMar>
              <w:left w:w="0" w:type="dxa"/>
            </w:tcMar>
          </w:tcPr>
          <w:p w14:paraId="70FFC8C9" w14:textId="77777777" w:rsidR="00E97F14" w:rsidRDefault="00E97F14" w:rsidP="0091476D">
            <w:pPr>
              <w:pStyle w:val="Marginlie"/>
              <w:spacing w:after="120"/>
              <w:rPr>
                <w:spacing w:val="-4"/>
              </w:rPr>
            </w:pPr>
            <w:r>
              <w:rPr>
                <w:spacing w:val="-4"/>
              </w:rPr>
              <w:t>Negativní očekávání zaměstnanosti se během 4. čtvrtletí prohloubila ve službách. V průmyslu naopak pesimismus rychle opadal.</w:t>
            </w:r>
          </w:p>
        </w:tc>
        <w:tc>
          <w:tcPr>
            <w:tcW w:w="216" w:type="dxa"/>
            <w:shd w:val="clear" w:color="auto" w:fill="auto"/>
            <w:tcMar>
              <w:left w:w="0" w:type="dxa"/>
            </w:tcMar>
          </w:tcPr>
          <w:p w14:paraId="1FC6B22B" w14:textId="77777777" w:rsidR="00E97F14" w:rsidRPr="003B1401" w:rsidRDefault="00E97F14" w:rsidP="0091476D">
            <w:pPr>
              <w:pStyle w:val="Textpoznpodarou"/>
              <w:spacing w:after="120"/>
              <w:jc w:val="both"/>
              <w:rPr>
                <w:spacing w:val="-4"/>
              </w:rPr>
            </w:pPr>
          </w:p>
        </w:tc>
        <w:tc>
          <w:tcPr>
            <w:tcW w:w="7656" w:type="dxa"/>
            <w:shd w:val="clear" w:color="auto" w:fill="auto"/>
            <w:tcMar>
              <w:left w:w="0" w:type="dxa"/>
            </w:tcMar>
          </w:tcPr>
          <w:p w14:paraId="24ADEBDF" w14:textId="77777777" w:rsidR="00E97F14" w:rsidRPr="00CB1808" w:rsidRDefault="00E97F14" w:rsidP="0091476D">
            <w:pPr>
              <w:spacing w:after="220"/>
              <w:rPr>
                <w:rFonts w:cs="Arial"/>
                <w:bCs/>
                <w:color w:val="000000"/>
                <w:spacing w:val="-4"/>
                <w:szCs w:val="20"/>
              </w:rPr>
            </w:pPr>
            <w:r w:rsidRPr="00CB1808">
              <w:rPr>
                <w:rFonts w:cs="Arial"/>
                <w:bCs/>
                <w:color w:val="000000"/>
                <w:spacing w:val="-4"/>
                <w:szCs w:val="20"/>
              </w:rPr>
              <w:t xml:space="preserve">Krátkodobá očekávání podniků v oblasti zaměstnanosti se po letním oživení během posledního loňského čtvrtletí ve většině hlavních odvětví zhoršila (zejména ve vybraných službách). Přesto u nich byla stále příznivější než za vrcholu jarní krize. Odlišná situace panovala v průmyslu, kterého se podzimní řízený útlum aktivit přímo nedotkl a výhledy v oblasti zaměstnanosti se zde při souběžném růstu nových průmyslových zakázek ve 4. čtvrtletí zlepšovaly. Podle konjunkturálního průzkumu z ledna 2021 očekávala </w:t>
            </w:r>
            <w:r w:rsidRPr="00CB1808">
              <w:rPr>
                <w:rFonts w:cs="Arial"/>
                <w:bCs/>
                <w:color w:val="000000"/>
                <w:spacing w:val="-4"/>
                <w:szCs w:val="20"/>
              </w:rPr>
              <w:lastRenderedPageBreak/>
              <w:t>v následujících třech měsících snižování stavu zaměstnanců</w:t>
            </w:r>
            <w:r w:rsidRPr="00CB1808">
              <w:rPr>
                <w:rStyle w:val="Znakapoznpodarou"/>
                <w:bCs/>
                <w:color w:val="000000"/>
                <w:spacing w:val="-4"/>
                <w:szCs w:val="20"/>
              </w:rPr>
              <w:footnoteReference w:id="53"/>
            </w:r>
            <w:r w:rsidRPr="00CB1808">
              <w:rPr>
                <w:rFonts w:cs="Arial"/>
                <w:bCs/>
                <w:color w:val="000000"/>
                <w:spacing w:val="-4"/>
                <w:szCs w:val="20"/>
              </w:rPr>
              <w:t xml:space="preserve"> třetina podniků ve vybraných službách</w:t>
            </w:r>
            <w:r w:rsidRPr="00CB1808">
              <w:rPr>
                <w:rStyle w:val="Znakapoznpodarou"/>
                <w:bCs/>
                <w:color w:val="000000"/>
                <w:spacing w:val="-4"/>
                <w:szCs w:val="20"/>
              </w:rPr>
              <w:footnoteReference w:id="54"/>
            </w:r>
            <w:r w:rsidRPr="00CB1808">
              <w:rPr>
                <w:rFonts w:cs="Arial"/>
                <w:bCs/>
                <w:color w:val="000000"/>
                <w:spacing w:val="-4"/>
                <w:szCs w:val="20"/>
              </w:rPr>
              <w:t>. Ve stavebnictví šlo jen o osminu podniků, obdobně jako v obchodu i průmyslu – v nich dokonce mírně převažoval podíl firem očekávajících posílení zaměstnanosti.</w:t>
            </w:r>
          </w:p>
        </w:tc>
      </w:tr>
      <w:tr w:rsidR="00E97F14" w:rsidRPr="009F2A8A" w14:paraId="2BBD6739" w14:textId="77777777" w:rsidTr="0091476D">
        <w:trPr>
          <w:trHeight w:val="155"/>
        </w:trPr>
        <w:tc>
          <w:tcPr>
            <w:tcW w:w="1792" w:type="dxa"/>
            <w:vMerge w:val="restart"/>
            <w:shd w:val="clear" w:color="auto" w:fill="auto"/>
            <w:tcMar>
              <w:left w:w="0" w:type="dxa"/>
            </w:tcMar>
          </w:tcPr>
          <w:p w14:paraId="5E777284" w14:textId="77777777" w:rsidR="00E97F14" w:rsidRPr="00B43216" w:rsidRDefault="00E97F14" w:rsidP="0091476D">
            <w:pPr>
              <w:pStyle w:val="Marginlie"/>
              <w:spacing w:after="120"/>
              <w:rPr>
                <w:spacing w:val="-4"/>
              </w:rPr>
            </w:pPr>
          </w:p>
        </w:tc>
        <w:tc>
          <w:tcPr>
            <w:tcW w:w="216" w:type="dxa"/>
            <w:vMerge w:val="restart"/>
            <w:shd w:val="clear" w:color="auto" w:fill="auto"/>
            <w:tcMar>
              <w:left w:w="0" w:type="dxa"/>
            </w:tcMar>
          </w:tcPr>
          <w:p w14:paraId="27711CF4"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39707ECE" w14:textId="77777777" w:rsidR="00E97F14" w:rsidRPr="00CA5850" w:rsidRDefault="00E97F14" w:rsidP="0091476D">
            <w:pPr>
              <w:spacing w:after="0"/>
              <w:rPr>
                <w:spacing w:val="-2"/>
              </w:rPr>
            </w:pPr>
            <w:r w:rsidRPr="0068569E">
              <w:rPr>
                <w:rFonts w:cs="Arial"/>
                <w:b/>
                <w:bCs/>
                <w:color w:val="000000"/>
                <w:szCs w:val="20"/>
              </w:rPr>
              <w:t>Graf č. 13</w:t>
            </w:r>
            <w:r w:rsidRPr="0068569E">
              <w:rPr>
                <w:rFonts w:cs="Arial"/>
                <w:b/>
                <w:bCs/>
                <w:color w:val="000000"/>
                <w:sz w:val="18"/>
                <w:szCs w:val="18"/>
              </w:rPr>
              <w:t xml:space="preserve">  </w:t>
            </w:r>
            <w:r w:rsidRPr="0068569E">
              <w:rPr>
                <w:b/>
                <w:bCs/>
                <w:lang w:eastAsia="en-US"/>
              </w:rPr>
              <w:t xml:space="preserve">Celková zaměstnanost </w:t>
            </w:r>
            <w:r w:rsidRPr="0068569E">
              <w:rPr>
                <w:lang w:eastAsia="en-US"/>
              </w:rPr>
              <w:t>(</w:t>
            </w:r>
            <w:r w:rsidRPr="0068569E">
              <w:rPr>
                <w:spacing w:val="-2"/>
              </w:rPr>
              <w:t>meziročně v</w:t>
            </w:r>
            <w:r>
              <w:rPr>
                <w:spacing w:val="-2"/>
              </w:rPr>
              <w:t> %</w:t>
            </w:r>
            <w:r w:rsidRPr="0068569E">
              <w:rPr>
                <w:spacing w:val="-2"/>
              </w:rPr>
              <w:t>)</w:t>
            </w:r>
            <w:r w:rsidRPr="0068569E">
              <w:rPr>
                <w:b/>
                <w:bCs/>
                <w:spacing w:val="-2"/>
              </w:rPr>
              <w:t xml:space="preserve">, </w:t>
            </w:r>
            <w:r>
              <w:rPr>
                <w:b/>
                <w:bCs/>
                <w:spacing w:val="-2"/>
              </w:rPr>
              <w:t xml:space="preserve">příspěvky </w:t>
            </w:r>
            <w:r w:rsidRPr="0068569E">
              <w:rPr>
                <w:b/>
                <w:bCs/>
                <w:spacing w:val="-2"/>
              </w:rPr>
              <w:t xml:space="preserve">odvětví k meziroční změně zaměstnanosti </w:t>
            </w:r>
            <w:r w:rsidRPr="0068569E">
              <w:rPr>
                <w:spacing w:val="-2"/>
              </w:rPr>
              <w:t>(v</w:t>
            </w:r>
            <w:r>
              <w:rPr>
                <w:spacing w:val="-2"/>
              </w:rPr>
              <w:t> p. b.</w:t>
            </w:r>
            <w:r w:rsidRPr="0068569E">
              <w:rPr>
                <w:spacing w:val="-2"/>
              </w:rPr>
              <w:t>)</w:t>
            </w:r>
            <w:r w:rsidRPr="0068569E">
              <w:rPr>
                <w:b/>
                <w:bCs/>
                <w:spacing w:val="-2"/>
              </w:rPr>
              <w:t xml:space="preserve"> a očekávání vývoje zaměst</w:t>
            </w:r>
            <w:r>
              <w:rPr>
                <w:b/>
                <w:bCs/>
                <w:spacing w:val="-2"/>
              </w:rPr>
              <w:t>nanosti</w:t>
            </w:r>
            <w:r w:rsidRPr="0068569E">
              <w:rPr>
                <w:b/>
                <w:bCs/>
                <w:spacing w:val="-2"/>
              </w:rPr>
              <w:t xml:space="preserve"> </w:t>
            </w:r>
            <w:r w:rsidRPr="0068569E">
              <w:rPr>
                <w:spacing w:val="-2"/>
              </w:rPr>
              <w:t>(saldo v</w:t>
            </w:r>
            <w:r>
              <w:rPr>
                <w:spacing w:val="-2"/>
              </w:rPr>
              <w:t> p. b.)</w:t>
            </w:r>
          </w:p>
        </w:tc>
      </w:tr>
      <w:tr w:rsidR="00E97F14" w:rsidRPr="00B43216" w14:paraId="5D790270" w14:textId="77777777" w:rsidTr="0091476D">
        <w:tblPrEx>
          <w:tblCellMar>
            <w:left w:w="70" w:type="dxa"/>
            <w:right w:w="70" w:type="dxa"/>
          </w:tblCellMar>
        </w:tblPrEx>
        <w:trPr>
          <w:trHeight w:val="155"/>
        </w:trPr>
        <w:tc>
          <w:tcPr>
            <w:tcW w:w="1792" w:type="dxa"/>
            <w:vMerge/>
            <w:shd w:val="clear" w:color="auto" w:fill="auto"/>
          </w:tcPr>
          <w:p w14:paraId="1C2DCD00" w14:textId="77777777" w:rsidR="00E97F14" w:rsidRPr="00B43216" w:rsidRDefault="00E97F14" w:rsidP="0091476D">
            <w:pPr>
              <w:pStyle w:val="Marginlie"/>
              <w:spacing w:after="120"/>
              <w:rPr>
                <w:spacing w:val="-4"/>
              </w:rPr>
            </w:pPr>
          </w:p>
        </w:tc>
        <w:tc>
          <w:tcPr>
            <w:tcW w:w="216" w:type="dxa"/>
            <w:vMerge/>
            <w:shd w:val="clear" w:color="auto" w:fill="auto"/>
          </w:tcPr>
          <w:p w14:paraId="241E43EE" w14:textId="77777777" w:rsidR="00E97F14" w:rsidRPr="00B43216" w:rsidRDefault="00E97F14" w:rsidP="0091476D">
            <w:pPr>
              <w:pStyle w:val="Textpoznpodarou"/>
              <w:spacing w:after="120"/>
              <w:jc w:val="both"/>
              <w:rPr>
                <w:spacing w:val="-4"/>
              </w:rPr>
            </w:pPr>
          </w:p>
        </w:tc>
        <w:tc>
          <w:tcPr>
            <w:tcW w:w="7656" w:type="dxa"/>
            <w:shd w:val="clear" w:color="auto" w:fill="auto"/>
          </w:tcPr>
          <w:p w14:paraId="3820CD84" w14:textId="77777777" w:rsidR="00E97F14" w:rsidRPr="00B43216" w:rsidRDefault="00E97F14" w:rsidP="0091476D">
            <w:pPr>
              <w:spacing w:after="0" w:line="240" w:lineRule="auto"/>
              <w:rPr>
                <w:spacing w:val="-4"/>
              </w:rPr>
            </w:pPr>
            <w:r>
              <w:rPr>
                <w:noProof/>
              </w:rPr>
              <w:drawing>
                <wp:inline distT="0" distB="0" distL="0" distR="0" wp14:anchorId="55E1B627" wp14:editId="4F15CC6A">
                  <wp:extent cx="4741545" cy="3665551"/>
                  <wp:effectExtent l="0" t="0" r="190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E97F14" w:rsidRPr="00485ED5" w14:paraId="208AA3E0" w14:textId="77777777" w:rsidTr="0091476D">
        <w:trPr>
          <w:trHeight w:val="671"/>
        </w:trPr>
        <w:tc>
          <w:tcPr>
            <w:tcW w:w="1792" w:type="dxa"/>
            <w:vMerge/>
            <w:shd w:val="clear" w:color="auto" w:fill="auto"/>
            <w:tcMar>
              <w:left w:w="0" w:type="dxa"/>
            </w:tcMar>
          </w:tcPr>
          <w:p w14:paraId="065F7974" w14:textId="77777777" w:rsidR="00E97F14" w:rsidRPr="00B43216" w:rsidRDefault="00E97F14" w:rsidP="0091476D">
            <w:pPr>
              <w:pStyle w:val="Marginlie"/>
              <w:spacing w:after="120"/>
              <w:rPr>
                <w:spacing w:val="-4"/>
              </w:rPr>
            </w:pPr>
          </w:p>
        </w:tc>
        <w:tc>
          <w:tcPr>
            <w:tcW w:w="216" w:type="dxa"/>
            <w:vMerge/>
            <w:shd w:val="clear" w:color="auto" w:fill="auto"/>
            <w:tcMar>
              <w:left w:w="0" w:type="dxa"/>
            </w:tcMar>
          </w:tcPr>
          <w:p w14:paraId="17C306CC"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2FE887AB" w14:textId="77777777" w:rsidR="00E97F14" w:rsidRDefault="00E97F14" w:rsidP="0091476D">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06A97082" w14:textId="77777777" w:rsidR="00E97F14" w:rsidRDefault="00E97F14" w:rsidP="0091476D">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 xml:space="preserve">očekávání vyjadřuje rozdíl v p. b. </w:t>
            </w:r>
            <w:proofErr w:type="gramStart"/>
            <w:r>
              <w:rPr>
                <w:rFonts w:cs="Arial"/>
                <w:color w:val="0D0D0D" w:themeColor="text1" w:themeTint="F2"/>
                <w:sz w:val="14"/>
                <w:szCs w:val="14"/>
              </w:rPr>
              <w:t>mezi</w:t>
            </w:r>
            <w:proofErr w:type="gramEnd"/>
            <w:r>
              <w:rPr>
                <w:rFonts w:cs="Arial"/>
                <w:color w:val="0D0D0D" w:themeColor="text1" w:themeTint="F2"/>
                <w:sz w:val="14"/>
                <w:szCs w:val="14"/>
              </w:rPr>
              <w:t xml:space="preserve"> kategoriemi růst versus pokles zaměstnanosti v nejbližších třech měsících. Údaje jsou sezónně očištěny a vztahují se k druhému měsíci daného čtvrtletí.</w:t>
            </w:r>
          </w:p>
          <w:p w14:paraId="2D4DE659" w14:textId="77777777" w:rsidR="00E97F14" w:rsidRPr="00485ED5" w:rsidRDefault="00E97F14" w:rsidP="0091476D">
            <w:pPr>
              <w:spacing w:after="200" w:line="240" w:lineRule="auto"/>
              <w:rPr>
                <w:rFonts w:cs="Arial"/>
                <w:color w:val="0D0D0D" w:themeColor="text1" w:themeTint="F2"/>
                <w:spacing w:val="-2"/>
                <w:sz w:val="14"/>
                <w:szCs w:val="14"/>
              </w:rPr>
            </w:pPr>
            <w:r w:rsidRPr="00862F17">
              <w:rPr>
                <w:rFonts w:cs="Arial"/>
                <w:sz w:val="14"/>
                <w:szCs w:val="14"/>
              </w:rPr>
              <w:t>Zdroj: ČSÚ (národní účty</w:t>
            </w:r>
            <w:r>
              <w:rPr>
                <w:rFonts w:cs="Arial"/>
                <w:sz w:val="14"/>
                <w:szCs w:val="14"/>
              </w:rPr>
              <w:t>, konjunkturální průzkumy)</w:t>
            </w:r>
          </w:p>
        </w:tc>
      </w:tr>
      <w:tr w:rsidR="00E97F14" w:rsidRPr="00B43216" w14:paraId="6916111A" w14:textId="77777777" w:rsidTr="0091476D">
        <w:trPr>
          <w:trHeight w:val="145"/>
        </w:trPr>
        <w:tc>
          <w:tcPr>
            <w:tcW w:w="1792" w:type="dxa"/>
            <w:shd w:val="clear" w:color="auto" w:fill="auto"/>
            <w:tcMar>
              <w:left w:w="0" w:type="dxa"/>
            </w:tcMar>
          </w:tcPr>
          <w:p w14:paraId="01BD7D0E" w14:textId="77777777" w:rsidR="00E97F14" w:rsidRPr="00724D5D" w:rsidRDefault="00E97F14" w:rsidP="0091476D">
            <w:pPr>
              <w:pStyle w:val="Marginlie"/>
              <w:spacing w:after="120"/>
              <w:rPr>
                <w:spacing w:val="-5"/>
              </w:rPr>
            </w:pPr>
            <w:r w:rsidRPr="00F335E5">
              <w:rPr>
                <w:spacing w:val="-5"/>
              </w:rPr>
              <w:t>Míra nezaměstnanosti vzrostla během roku 2020 jen mírně. Rychleji přibývalo nezaměstnaných žen, zhoršovala se i</w:t>
            </w:r>
            <w:r>
              <w:rPr>
                <w:spacing w:val="-5"/>
              </w:rPr>
              <w:t> </w:t>
            </w:r>
            <w:r w:rsidRPr="00F335E5">
              <w:rPr>
                <w:spacing w:val="-5"/>
              </w:rPr>
              <w:t>pozice mladých na pracovním trhu.</w:t>
            </w:r>
          </w:p>
        </w:tc>
        <w:tc>
          <w:tcPr>
            <w:tcW w:w="216" w:type="dxa"/>
            <w:shd w:val="clear" w:color="auto" w:fill="auto"/>
            <w:tcMar>
              <w:left w:w="0" w:type="dxa"/>
            </w:tcMar>
          </w:tcPr>
          <w:p w14:paraId="5D7329CC"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26175B4B" w14:textId="77777777" w:rsidR="00E97F14" w:rsidRPr="00CB1808" w:rsidRDefault="00E97F14" w:rsidP="0091476D">
            <w:pPr>
              <w:spacing w:after="0"/>
              <w:rPr>
                <w:rFonts w:cs="Arial"/>
                <w:bCs/>
                <w:color w:val="000000"/>
                <w:spacing w:val="-4"/>
                <w:szCs w:val="20"/>
              </w:rPr>
            </w:pPr>
            <w:r w:rsidRPr="00CB1808">
              <w:rPr>
                <w:color w:val="0D0D0D" w:themeColor="text1" w:themeTint="F2"/>
                <w:spacing w:val="-4"/>
              </w:rPr>
              <w:t>Obecná míra nezaměstnanosti</w:t>
            </w:r>
            <w:r w:rsidRPr="00CB1808">
              <w:rPr>
                <w:rStyle w:val="Znakapoznpodarou"/>
                <w:color w:val="0D0D0D" w:themeColor="text1" w:themeTint="F2"/>
                <w:spacing w:val="-4"/>
              </w:rPr>
              <w:footnoteReference w:id="55"/>
            </w:r>
            <w:r w:rsidRPr="00CB1808">
              <w:rPr>
                <w:color w:val="0D0D0D" w:themeColor="text1" w:themeTint="F2"/>
                <w:spacing w:val="-4"/>
              </w:rPr>
              <w:t xml:space="preserve">, která se ještě po celé 1. čtvrtletí 2020 nacházela v těsné blízkosti svého historického minima, po většinu loňského roku rostla jen mírně. V prosinci činila u mužů 2,8 %, u žen 3,8 %, meziročně o 1,0 p. b., resp. 1,4 p. b. </w:t>
            </w:r>
            <w:proofErr w:type="gramStart"/>
            <w:r w:rsidRPr="00CB1808">
              <w:rPr>
                <w:color w:val="0D0D0D" w:themeColor="text1" w:themeTint="F2"/>
                <w:spacing w:val="-4"/>
              </w:rPr>
              <w:t>více</w:t>
            </w:r>
            <w:proofErr w:type="gramEnd"/>
            <w:r w:rsidRPr="00CB1808">
              <w:rPr>
                <w:rStyle w:val="Znakapoznpodarou"/>
                <w:color w:val="0D0D0D" w:themeColor="text1" w:themeTint="F2"/>
                <w:spacing w:val="-4"/>
              </w:rPr>
              <w:footnoteReference w:id="56"/>
            </w:r>
            <w:r w:rsidRPr="00CB1808">
              <w:rPr>
                <w:color w:val="0D0D0D" w:themeColor="text1" w:themeTint="F2"/>
                <w:spacing w:val="-4"/>
              </w:rPr>
              <w:t>. Rozdíl v dynamice mezi pohlavími byl patrný především v posledním čtvrtletí. Větší ztráty pracovních míst, zejména v oblastech souvisejících s cestovním ruchem a volnočasovými aktivitami, obecně oslabily také pozici mladých na pracovním trhu. Míra nezaměstnanosti osob do 25 let stoupla na konci loňského roku na 10,5 % (z toho u žen na 12,7 %). To představovalo více než dvojnásobek úrovně předchozího roku a zároveň maximum od října 2016. Podíl mladých na celkovém počtu nezaměstnaných ovšem výrazně nevzrostl</w:t>
            </w:r>
            <w:r w:rsidRPr="00CB1808">
              <w:rPr>
                <w:rStyle w:val="Znakapoznpodarou"/>
                <w:color w:val="0D0D0D" w:themeColor="text1" w:themeTint="F2"/>
                <w:spacing w:val="-4"/>
              </w:rPr>
              <w:footnoteReference w:id="57"/>
            </w:r>
            <w:r w:rsidRPr="00CB1808">
              <w:rPr>
                <w:color w:val="0D0D0D" w:themeColor="text1" w:themeTint="F2"/>
                <w:spacing w:val="-4"/>
              </w:rPr>
              <w:t xml:space="preserve">. To platilo i v případě dlouhodobě nezaměstnaných, kteří ve 4. čtvrtletí tvořili pouze 21,5 % všech nezaměstnaných (jedna z nejnižších hodnot od poloviny 90. let). </w:t>
            </w:r>
            <w:r w:rsidRPr="00CB1808">
              <w:rPr>
                <w:spacing w:val="-4"/>
              </w:rPr>
              <w:t>Míra nezaměstnanosti se mezi kraji meziročně nejvíce zvýšila na Karlovarsku (o 2,3 p. b., na 6,1 %), kde se p</w:t>
            </w:r>
            <w:r>
              <w:rPr>
                <w:spacing w:val="-4"/>
              </w:rPr>
              <w:t>rojevil propad cestovního ruchu</w:t>
            </w:r>
            <w:r w:rsidRPr="00CB1808">
              <w:rPr>
                <w:spacing w:val="-4"/>
              </w:rPr>
              <w:t xml:space="preserve"> i ztížené podmínky pro </w:t>
            </w:r>
            <w:proofErr w:type="spellStart"/>
            <w:r w:rsidRPr="00CB1808">
              <w:rPr>
                <w:spacing w:val="-4"/>
              </w:rPr>
              <w:t>pendlery</w:t>
            </w:r>
            <w:proofErr w:type="spellEnd"/>
            <w:r w:rsidRPr="00CB1808">
              <w:rPr>
                <w:spacing w:val="-4"/>
              </w:rPr>
              <w:t>.</w:t>
            </w:r>
            <w:r w:rsidRPr="00CB1808">
              <w:rPr>
                <w:color w:val="0D0D0D" w:themeColor="text1" w:themeTint="F2"/>
                <w:spacing w:val="-4"/>
              </w:rPr>
              <w:t xml:space="preserve"> Rozdíly mezi regiony ale zůstaly relativně malé. Méně než 2% nezaměstnanost přetrvávala v Pardubickém a Zlínském kraji, které se vyznačují </w:t>
            </w:r>
            <w:r>
              <w:rPr>
                <w:color w:val="0D0D0D" w:themeColor="text1" w:themeTint="F2"/>
                <w:spacing w:val="-4"/>
              </w:rPr>
              <w:t>i</w:t>
            </w:r>
            <w:r w:rsidRPr="00CB1808">
              <w:rPr>
                <w:color w:val="0D0D0D" w:themeColor="text1" w:themeTint="F2"/>
                <w:spacing w:val="-4"/>
              </w:rPr>
              <w:t xml:space="preserve"> nadprůměrným zastoupením průmyslu.</w:t>
            </w:r>
          </w:p>
        </w:tc>
      </w:tr>
      <w:tr w:rsidR="00E97F14" w:rsidRPr="00B43216" w14:paraId="7290B156" w14:textId="77777777" w:rsidTr="0091476D">
        <w:trPr>
          <w:trHeight w:val="145"/>
        </w:trPr>
        <w:tc>
          <w:tcPr>
            <w:tcW w:w="1792" w:type="dxa"/>
            <w:shd w:val="clear" w:color="auto" w:fill="auto"/>
            <w:tcMar>
              <w:left w:w="0" w:type="dxa"/>
            </w:tcMar>
          </w:tcPr>
          <w:p w14:paraId="0E9B0FE1" w14:textId="77777777" w:rsidR="00E97F14" w:rsidRPr="00F335E5" w:rsidRDefault="00E97F14" w:rsidP="0091476D">
            <w:pPr>
              <w:pStyle w:val="Marginlie"/>
              <w:spacing w:after="120"/>
              <w:rPr>
                <w:spacing w:val="-5"/>
              </w:rPr>
            </w:pPr>
            <w:r>
              <w:lastRenderedPageBreak/>
              <w:t>Proti vyššímu růstu nezaměstnanosti působily vládní stabilizační programy, v některých regionech také pestrá nabídka sektoru služeb či postupné oživení průmyslu.</w:t>
            </w:r>
          </w:p>
        </w:tc>
        <w:tc>
          <w:tcPr>
            <w:tcW w:w="216" w:type="dxa"/>
            <w:shd w:val="clear" w:color="auto" w:fill="auto"/>
            <w:tcMar>
              <w:left w:w="0" w:type="dxa"/>
            </w:tcMar>
          </w:tcPr>
          <w:p w14:paraId="6DBCE0C2"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02077142" w14:textId="77777777" w:rsidR="00E97F14" w:rsidRPr="004F1065" w:rsidRDefault="00E97F14" w:rsidP="0091476D">
            <w:pPr>
              <w:spacing w:after="220"/>
              <w:rPr>
                <w:color w:val="0D0D0D" w:themeColor="text1" w:themeTint="F2"/>
                <w:spacing w:val="-3"/>
              </w:rPr>
            </w:pPr>
            <w:r w:rsidRPr="004F1065">
              <w:rPr>
                <w:color w:val="0D0D0D" w:themeColor="text1" w:themeTint="F2"/>
                <w:spacing w:val="-3"/>
              </w:rPr>
              <w:t>Proti citelnějšímu růstu nezaměstnanosti působily zejména vládní stabilizační programy (Antivirus</w:t>
            </w:r>
            <w:r w:rsidRPr="004F1065">
              <w:rPr>
                <w:rStyle w:val="Znakapoznpodarou"/>
                <w:color w:val="0D0D0D" w:themeColor="text1" w:themeTint="F2"/>
                <w:spacing w:val="-3"/>
              </w:rPr>
              <w:footnoteReference w:id="58"/>
            </w:r>
            <w:r w:rsidRPr="004F1065">
              <w:rPr>
                <w:color w:val="0D0D0D" w:themeColor="text1" w:themeTint="F2"/>
                <w:spacing w:val="-3"/>
              </w:rPr>
              <w:t>, ošetřovné</w:t>
            </w:r>
            <w:r w:rsidRPr="004F1065">
              <w:rPr>
                <w:rStyle w:val="Znakapoznpodarou"/>
                <w:color w:val="0D0D0D" w:themeColor="text1" w:themeTint="F2"/>
                <w:spacing w:val="-3"/>
              </w:rPr>
              <w:footnoteReference w:id="59"/>
            </w:r>
            <w:r>
              <w:rPr>
                <w:color w:val="0D0D0D" w:themeColor="text1" w:themeTint="F2"/>
                <w:spacing w:val="-3"/>
              </w:rPr>
              <w:t>). Roli sehrálo i to, že část pracovního trhu nebyla loni nepříznivým vývojem příliš dotčena. Někteří lidé, kteří přišli o práci, tak mohli dočasně nalézt uplatnění v jiném oboru, a to zejména v regionech s pestrou nabídkou pozic ve službách (např. v</w:t>
            </w:r>
            <w:r w:rsidRPr="004F1065">
              <w:rPr>
                <w:color w:val="0D0D0D" w:themeColor="text1" w:themeTint="F2"/>
                <w:spacing w:val="-3"/>
              </w:rPr>
              <w:t> </w:t>
            </w:r>
            <w:r>
              <w:rPr>
                <w:color w:val="0D0D0D" w:themeColor="text1" w:themeTint="F2"/>
                <w:spacing w:val="-3"/>
              </w:rPr>
              <w:t xml:space="preserve">Praze). Pozitivně se mohlo projevit ale i rychlé oživení průmyslu. </w:t>
            </w:r>
            <w:r>
              <w:rPr>
                <w:spacing w:val="-6"/>
              </w:rPr>
              <w:t>S utlumeným růstem</w:t>
            </w:r>
            <w:r w:rsidRPr="004F1065">
              <w:rPr>
                <w:spacing w:val="-6"/>
              </w:rPr>
              <w:t xml:space="preserve"> reálné nezaměstnanosti</w:t>
            </w:r>
            <w:r w:rsidRPr="004F1065">
              <w:rPr>
                <w:spacing w:val="-3"/>
              </w:rPr>
              <w:t xml:space="preserve"> ostře kontrastovaly obavy domácností z růstu nezaměs</w:t>
            </w:r>
            <w:r>
              <w:rPr>
                <w:spacing w:val="-3"/>
              </w:rPr>
              <w:t>tnanosti. Ty dosáhly v průběhu 4. čtvrtletí 2020</w:t>
            </w:r>
            <w:r w:rsidRPr="004F1065">
              <w:rPr>
                <w:rStyle w:val="Znakapoznpodarou"/>
                <w:spacing w:val="-3"/>
              </w:rPr>
              <w:footnoteReference w:id="60"/>
            </w:r>
            <w:r w:rsidRPr="004F1065">
              <w:rPr>
                <w:spacing w:val="-3"/>
              </w:rPr>
              <w:t xml:space="preserve"> nejvyšší úrovně od počátku roku 2009.</w:t>
            </w:r>
          </w:p>
        </w:tc>
      </w:tr>
      <w:tr w:rsidR="00E97F14" w:rsidRPr="00B43216" w14:paraId="23DD5732" w14:textId="77777777" w:rsidTr="0091476D">
        <w:trPr>
          <w:trHeight w:val="155"/>
        </w:trPr>
        <w:tc>
          <w:tcPr>
            <w:tcW w:w="1792" w:type="dxa"/>
            <w:vMerge w:val="restart"/>
            <w:shd w:val="clear" w:color="auto" w:fill="auto"/>
            <w:tcMar>
              <w:left w:w="0" w:type="dxa"/>
            </w:tcMar>
          </w:tcPr>
          <w:p w14:paraId="33F03192" w14:textId="77777777" w:rsidR="00E97F14" w:rsidRPr="00B43216" w:rsidRDefault="00E97F14" w:rsidP="0091476D">
            <w:pPr>
              <w:pStyle w:val="Marginlie"/>
              <w:spacing w:after="120"/>
              <w:rPr>
                <w:spacing w:val="-4"/>
              </w:rPr>
            </w:pPr>
          </w:p>
        </w:tc>
        <w:tc>
          <w:tcPr>
            <w:tcW w:w="216" w:type="dxa"/>
            <w:vMerge w:val="restart"/>
            <w:shd w:val="clear" w:color="auto" w:fill="auto"/>
            <w:tcMar>
              <w:left w:w="0" w:type="dxa"/>
            </w:tcMar>
          </w:tcPr>
          <w:p w14:paraId="20AA8C3A"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49D24CE9" w14:textId="77777777" w:rsidR="00E97F14" w:rsidRPr="00646F2C" w:rsidRDefault="00E97F14" w:rsidP="0091476D">
            <w:pPr>
              <w:spacing w:after="0"/>
              <w:rPr>
                <w:b/>
                <w:spacing w:val="-4"/>
              </w:rPr>
            </w:pPr>
            <w:r w:rsidRPr="00646F2C">
              <w:rPr>
                <w:b/>
                <w:spacing w:val="-4"/>
              </w:rPr>
              <w:t xml:space="preserve">Graf č. 14  </w:t>
            </w:r>
            <w:r w:rsidRPr="00646F2C">
              <w:rPr>
                <w:rFonts w:cs="Arial"/>
                <w:b/>
                <w:spacing w:val="-4"/>
              </w:rPr>
              <w:t xml:space="preserve">Obecná míra nezaměstnanosti </w:t>
            </w:r>
            <w:r w:rsidRPr="00646F2C">
              <w:rPr>
                <w:rFonts w:cs="Arial"/>
                <w:bCs/>
                <w:spacing w:val="-4"/>
              </w:rPr>
              <w:t>(v %)</w:t>
            </w:r>
            <w:r w:rsidRPr="00646F2C">
              <w:rPr>
                <w:rFonts w:cs="Arial"/>
                <w:b/>
                <w:spacing w:val="-4"/>
              </w:rPr>
              <w:t>, podíl dlouhodobě nezaměstnaných a osob ve věku do</w:t>
            </w:r>
            <w:r>
              <w:rPr>
                <w:rFonts w:cs="Arial"/>
                <w:b/>
                <w:spacing w:val="-4"/>
              </w:rPr>
              <w:t> </w:t>
            </w:r>
            <w:r w:rsidRPr="00646F2C">
              <w:rPr>
                <w:rFonts w:cs="Arial"/>
                <w:b/>
                <w:spacing w:val="-4"/>
              </w:rPr>
              <w:t>25 a</w:t>
            </w:r>
            <w:r>
              <w:rPr>
                <w:rFonts w:cs="Arial"/>
                <w:b/>
                <w:spacing w:val="-4"/>
              </w:rPr>
              <w:t> </w:t>
            </w:r>
            <w:r w:rsidRPr="00646F2C">
              <w:rPr>
                <w:rFonts w:cs="Arial"/>
                <w:b/>
                <w:spacing w:val="-4"/>
              </w:rPr>
              <w:t>nad 50</w:t>
            </w:r>
            <w:r>
              <w:rPr>
                <w:rFonts w:cs="Arial"/>
                <w:b/>
                <w:spacing w:val="-4"/>
              </w:rPr>
              <w:t> </w:t>
            </w:r>
            <w:r w:rsidRPr="00646F2C">
              <w:rPr>
                <w:rFonts w:cs="Arial"/>
                <w:b/>
                <w:spacing w:val="-4"/>
              </w:rPr>
              <w:t xml:space="preserve">let mezi nezaměstnanými </w:t>
            </w:r>
            <w:r w:rsidRPr="00646F2C">
              <w:rPr>
                <w:rFonts w:cs="Arial"/>
                <w:bCs/>
                <w:spacing w:val="-4"/>
              </w:rPr>
              <w:t>(v %)</w:t>
            </w:r>
            <w:r w:rsidRPr="00646F2C">
              <w:rPr>
                <w:rFonts w:cs="Arial"/>
                <w:b/>
                <w:spacing w:val="-4"/>
              </w:rPr>
              <w:t xml:space="preserve">, ekonomicky neaktivní chtějící pracovat </w:t>
            </w:r>
            <w:r w:rsidRPr="00646F2C">
              <w:rPr>
                <w:rFonts w:cs="Arial"/>
                <w:bCs/>
                <w:spacing w:val="-4"/>
              </w:rPr>
              <w:t xml:space="preserve">(v tis.)* </w:t>
            </w:r>
            <w:r w:rsidRPr="00646F2C">
              <w:rPr>
                <w:rFonts w:cs="Arial"/>
                <w:b/>
                <w:bCs/>
                <w:spacing w:val="-4"/>
              </w:rPr>
              <w:t>a očekávání nezaměstnanosti u domácností</w:t>
            </w:r>
            <w:r w:rsidRPr="00646F2C">
              <w:rPr>
                <w:rFonts w:cs="Arial"/>
                <w:bCs/>
                <w:spacing w:val="-4"/>
              </w:rPr>
              <w:t xml:space="preserve"> (v %)**</w:t>
            </w:r>
          </w:p>
        </w:tc>
      </w:tr>
      <w:tr w:rsidR="00E97F14" w:rsidRPr="00B43216" w14:paraId="317C8620" w14:textId="77777777" w:rsidTr="0091476D">
        <w:tblPrEx>
          <w:tblCellMar>
            <w:left w:w="70" w:type="dxa"/>
            <w:right w:w="70" w:type="dxa"/>
          </w:tblCellMar>
        </w:tblPrEx>
        <w:trPr>
          <w:trHeight w:val="155"/>
        </w:trPr>
        <w:tc>
          <w:tcPr>
            <w:tcW w:w="1792" w:type="dxa"/>
            <w:vMerge/>
            <w:shd w:val="clear" w:color="auto" w:fill="auto"/>
          </w:tcPr>
          <w:p w14:paraId="7D66D6C0" w14:textId="77777777" w:rsidR="00E97F14" w:rsidRPr="00B43216" w:rsidRDefault="00E97F14" w:rsidP="0091476D">
            <w:pPr>
              <w:pStyle w:val="Marginlie"/>
              <w:spacing w:after="120"/>
              <w:rPr>
                <w:spacing w:val="-4"/>
              </w:rPr>
            </w:pPr>
          </w:p>
        </w:tc>
        <w:tc>
          <w:tcPr>
            <w:tcW w:w="216" w:type="dxa"/>
            <w:vMerge/>
            <w:shd w:val="clear" w:color="auto" w:fill="auto"/>
          </w:tcPr>
          <w:p w14:paraId="6D498FCA" w14:textId="77777777" w:rsidR="00E97F14" w:rsidRPr="00B43216" w:rsidRDefault="00E97F14" w:rsidP="0091476D">
            <w:pPr>
              <w:pStyle w:val="Textpoznpodarou"/>
              <w:spacing w:after="120"/>
              <w:jc w:val="both"/>
              <w:rPr>
                <w:spacing w:val="-4"/>
              </w:rPr>
            </w:pPr>
          </w:p>
        </w:tc>
        <w:tc>
          <w:tcPr>
            <w:tcW w:w="7656" w:type="dxa"/>
            <w:shd w:val="clear" w:color="auto" w:fill="auto"/>
          </w:tcPr>
          <w:p w14:paraId="3A1E24F4" w14:textId="77777777" w:rsidR="00E97F14" w:rsidRPr="00B43216" w:rsidRDefault="00E97F14" w:rsidP="0091476D">
            <w:pPr>
              <w:spacing w:after="0" w:line="240" w:lineRule="auto"/>
              <w:rPr>
                <w:spacing w:val="-4"/>
              </w:rPr>
            </w:pPr>
            <w:r>
              <w:rPr>
                <w:noProof/>
              </w:rPr>
              <w:drawing>
                <wp:inline distT="0" distB="0" distL="0" distR="0" wp14:anchorId="124FCB9D" wp14:editId="1A42F5FE">
                  <wp:extent cx="4753610" cy="3601941"/>
                  <wp:effectExtent l="0" t="0" r="889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E97F14" w:rsidRPr="00B43216" w14:paraId="2CED68A7" w14:textId="77777777" w:rsidTr="0091476D">
        <w:trPr>
          <w:trHeight w:val="671"/>
        </w:trPr>
        <w:tc>
          <w:tcPr>
            <w:tcW w:w="1792" w:type="dxa"/>
            <w:vMerge/>
            <w:shd w:val="clear" w:color="auto" w:fill="auto"/>
            <w:tcMar>
              <w:left w:w="0" w:type="dxa"/>
            </w:tcMar>
          </w:tcPr>
          <w:p w14:paraId="1132392B" w14:textId="77777777" w:rsidR="00E97F14" w:rsidRPr="00B43216" w:rsidRDefault="00E97F14" w:rsidP="0091476D">
            <w:pPr>
              <w:pStyle w:val="Marginlie"/>
              <w:rPr>
                <w:spacing w:val="-4"/>
              </w:rPr>
            </w:pPr>
          </w:p>
        </w:tc>
        <w:tc>
          <w:tcPr>
            <w:tcW w:w="216" w:type="dxa"/>
            <w:vMerge/>
            <w:shd w:val="clear" w:color="auto" w:fill="auto"/>
            <w:tcMar>
              <w:left w:w="0" w:type="dxa"/>
            </w:tcMar>
          </w:tcPr>
          <w:p w14:paraId="4EC7DB4C" w14:textId="77777777" w:rsidR="00E97F14" w:rsidRPr="00B43216" w:rsidRDefault="00E97F14" w:rsidP="0091476D">
            <w:pPr>
              <w:pStyle w:val="Textpoznpodarou"/>
              <w:jc w:val="both"/>
              <w:rPr>
                <w:spacing w:val="-4"/>
              </w:rPr>
            </w:pPr>
          </w:p>
        </w:tc>
        <w:tc>
          <w:tcPr>
            <w:tcW w:w="7656" w:type="dxa"/>
            <w:shd w:val="clear" w:color="auto" w:fill="auto"/>
            <w:tcMar>
              <w:left w:w="0" w:type="dxa"/>
            </w:tcMar>
          </w:tcPr>
          <w:p w14:paraId="6434C0AF" w14:textId="77777777" w:rsidR="00E97F14" w:rsidRPr="004E68B1" w:rsidRDefault="00E97F14" w:rsidP="0091476D">
            <w:pPr>
              <w:spacing w:after="0" w:line="240" w:lineRule="auto"/>
              <w:rPr>
                <w:rFonts w:cs="Arial"/>
                <w:color w:val="0D0D0D" w:themeColor="text1" w:themeTint="F2"/>
                <w:spacing w:val="-2"/>
                <w:sz w:val="14"/>
                <w:szCs w:val="14"/>
              </w:rPr>
            </w:pPr>
            <w:r w:rsidRPr="004E68B1">
              <w:rPr>
                <w:rFonts w:cs="Arial"/>
                <w:color w:val="0D0D0D" w:themeColor="text1" w:themeTint="F2"/>
                <w:spacing w:val="-2"/>
                <w:sz w:val="14"/>
                <w:szCs w:val="14"/>
              </w:rPr>
              <w:t>Pozn.: Údaje o míře nezaměstnanosti jsou po sezónním očištění, ostatní ukazatele nikoliv.</w:t>
            </w:r>
          </w:p>
          <w:p w14:paraId="56D0DDC1" w14:textId="77777777" w:rsidR="00E97F14" w:rsidRDefault="00E97F14" w:rsidP="0091476D">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25D80956" w14:textId="77777777" w:rsidR="00E97F14" w:rsidRDefault="00E97F14" w:rsidP="0091476D">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Údaje se vztahují k prostřednímu měsíci daného čtvrtletí.</w:t>
            </w:r>
          </w:p>
          <w:p w14:paraId="6BEAE202" w14:textId="77777777" w:rsidR="00E97F14" w:rsidRPr="00485ED5" w:rsidRDefault="00E97F14" w:rsidP="0091476D">
            <w:pPr>
              <w:spacing w:after="200"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w:t>
            </w:r>
          </w:p>
        </w:tc>
      </w:tr>
      <w:tr w:rsidR="00E97F14" w:rsidRPr="00191C35" w14:paraId="165B12E6" w14:textId="77777777" w:rsidTr="0091476D">
        <w:trPr>
          <w:trHeight w:val="145"/>
        </w:trPr>
        <w:tc>
          <w:tcPr>
            <w:tcW w:w="1792" w:type="dxa"/>
            <w:shd w:val="clear" w:color="auto" w:fill="auto"/>
            <w:tcMar>
              <w:left w:w="0" w:type="dxa"/>
            </w:tcMar>
          </w:tcPr>
          <w:p w14:paraId="2AD4A74F" w14:textId="77777777" w:rsidR="00E97F14" w:rsidRDefault="00E97F14" w:rsidP="0091476D">
            <w:pPr>
              <w:pStyle w:val="Marginlie"/>
              <w:spacing w:after="120"/>
            </w:pPr>
            <w:r>
              <w:t>Počet volných pracovních míst od dubna 2020 meziročně mírně klesal. Nejvíce ubývalo míst pro vyučené. Nabídka pozic pro zahraniční pracovníky však zůstávala vysoká.</w:t>
            </w:r>
          </w:p>
        </w:tc>
        <w:tc>
          <w:tcPr>
            <w:tcW w:w="216" w:type="dxa"/>
            <w:shd w:val="clear" w:color="auto" w:fill="auto"/>
            <w:tcMar>
              <w:left w:w="0" w:type="dxa"/>
            </w:tcMar>
          </w:tcPr>
          <w:p w14:paraId="3B2356F8"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55CC36B1" w14:textId="77777777" w:rsidR="00E97F14" w:rsidRPr="00CE4EB9" w:rsidRDefault="00E97F14" w:rsidP="0091476D">
            <w:pPr>
              <w:spacing w:after="0"/>
              <w:rPr>
                <w:color w:val="0D0D0D" w:themeColor="text1" w:themeTint="F2"/>
                <w:spacing w:val="-5"/>
              </w:rPr>
            </w:pPr>
            <w:r w:rsidRPr="00CE4EB9">
              <w:rPr>
                <w:color w:val="0D0D0D" w:themeColor="text1" w:themeTint="F2"/>
                <w:spacing w:val="-5"/>
              </w:rPr>
              <w:t>Na konci roku 2020 nabízely úřady práce v ČR 319</w:t>
            </w:r>
            <w:r>
              <w:rPr>
                <w:color w:val="0D0D0D" w:themeColor="text1" w:themeTint="F2"/>
                <w:spacing w:val="-5"/>
              </w:rPr>
              <w:t> tis</w:t>
            </w:r>
            <w:r w:rsidRPr="00CE4EB9">
              <w:rPr>
                <w:color w:val="0D0D0D" w:themeColor="text1" w:themeTint="F2"/>
                <w:spacing w:val="-5"/>
              </w:rPr>
              <w:t>. volných míst. To bylo méně než v prosinci 2018 i</w:t>
            </w:r>
            <w:r>
              <w:rPr>
                <w:color w:val="0D0D0D" w:themeColor="text1" w:themeTint="F2"/>
                <w:spacing w:val="-5"/>
              </w:rPr>
              <w:t> </w:t>
            </w:r>
            <w:r w:rsidRPr="00CE4EB9">
              <w:rPr>
                <w:color w:val="0D0D0D" w:themeColor="text1" w:themeTint="F2"/>
                <w:spacing w:val="-5"/>
              </w:rPr>
              <w:t>2019. Počet míst meziročně mírně klesal již od dubna 2020, k nejsilnější redukci došlo v září a</w:t>
            </w:r>
            <w:r>
              <w:rPr>
                <w:color w:val="0D0D0D" w:themeColor="text1" w:themeTint="F2"/>
                <w:spacing w:val="-5"/>
              </w:rPr>
              <w:t> </w:t>
            </w:r>
            <w:r w:rsidRPr="00CE4EB9">
              <w:rPr>
                <w:color w:val="0D0D0D" w:themeColor="text1" w:themeTint="F2"/>
                <w:spacing w:val="-5"/>
              </w:rPr>
              <w:t>říjnu (o</w:t>
            </w:r>
            <w:r>
              <w:rPr>
                <w:color w:val="0D0D0D" w:themeColor="text1" w:themeTint="F2"/>
                <w:spacing w:val="-5"/>
              </w:rPr>
              <w:t> </w:t>
            </w:r>
            <w:r w:rsidRPr="00CE4EB9">
              <w:rPr>
                <w:color w:val="0D0D0D" w:themeColor="text1" w:themeTint="F2"/>
                <w:spacing w:val="-5"/>
              </w:rPr>
              <w:t>bezmála 30</w:t>
            </w:r>
            <w:r>
              <w:rPr>
                <w:color w:val="0D0D0D" w:themeColor="text1" w:themeTint="F2"/>
                <w:spacing w:val="-5"/>
              </w:rPr>
              <w:t> tis</w:t>
            </w:r>
            <w:r w:rsidRPr="00CE4EB9">
              <w:rPr>
                <w:color w:val="0D0D0D" w:themeColor="text1" w:themeTint="F2"/>
                <w:spacing w:val="-5"/>
              </w:rPr>
              <w:t>.). Za celý loňský rok ubylo z pohledu vzdělanostních požadavků nejvíce míst pro vyučené (o</w:t>
            </w:r>
            <w:r>
              <w:rPr>
                <w:color w:val="0D0D0D" w:themeColor="text1" w:themeTint="F2"/>
                <w:spacing w:val="-5"/>
              </w:rPr>
              <w:t> </w:t>
            </w:r>
            <w:r w:rsidRPr="00CE4EB9">
              <w:rPr>
                <w:color w:val="0D0D0D" w:themeColor="text1" w:themeTint="F2"/>
                <w:spacing w:val="-5"/>
              </w:rPr>
              <w:t>25</w:t>
            </w:r>
            <w:r>
              <w:rPr>
                <w:color w:val="0D0D0D" w:themeColor="text1" w:themeTint="F2"/>
                <w:spacing w:val="-5"/>
              </w:rPr>
              <w:t> %</w:t>
            </w:r>
            <w:r w:rsidRPr="00CE4EB9">
              <w:rPr>
                <w:color w:val="0D0D0D" w:themeColor="text1" w:themeTint="F2"/>
                <w:spacing w:val="-5"/>
              </w:rPr>
              <w:t>), naopak u</w:t>
            </w:r>
            <w:r>
              <w:rPr>
                <w:color w:val="0D0D0D" w:themeColor="text1" w:themeTint="F2"/>
                <w:spacing w:val="-5"/>
              </w:rPr>
              <w:t> </w:t>
            </w:r>
            <w:r w:rsidRPr="00CE4EB9">
              <w:rPr>
                <w:color w:val="0D0D0D" w:themeColor="text1" w:themeTint="F2"/>
                <w:spacing w:val="-5"/>
              </w:rPr>
              <w:t xml:space="preserve">míst s maximálně základním vzděláním došlo jen </w:t>
            </w:r>
            <w:r>
              <w:rPr>
                <w:color w:val="0D0D0D" w:themeColor="text1" w:themeTint="F2"/>
                <w:spacing w:val="-5"/>
              </w:rPr>
              <w:t>k malému poklesu</w:t>
            </w:r>
            <w:r w:rsidRPr="00CE4EB9">
              <w:rPr>
                <w:color w:val="0D0D0D" w:themeColor="text1" w:themeTint="F2"/>
                <w:spacing w:val="-5"/>
              </w:rPr>
              <w:t xml:space="preserve"> (o</w:t>
            </w:r>
            <w:r>
              <w:rPr>
                <w:color w:val="0D0D0D" w:themeColor="text1" w:themeTint="F2"/>
                <w:spacing w:val="-5"/>
              </w:rPr>
              <w:t> </w:t>
            </w:r>
            <w:r w:rsidRPr="00CE4EB9">
              <w:rPr>
                <w:color w:val="0D0D0D" w:themeColor="text1" w:themeTint="F2"/>
                <w:spacing w:val="-5"/>
              </w:rPr>
              <w:t>3</w:t>
            </w:r>
            <w:r>
              <w:rPr>
                <w:color w:val="0D0D0D" w:themeColor="text1" w:themeTint="F2"/>
                <w:spacing w:val="-5"/>
              </w:rPr>
              <w:t> %</w:t>
            </w:r>
            <w:r w:rsidRPr="00CE4EB9">
              <w:rPr>
                <w:color w:val="0D0D0D" w:themeColor="text1" w:themeTint="F2"/>
                <w:spacing w:val="-5"/>
              </w:rPr>
              <w:t>, na 238</w:t>
            </w:r>
            <w:r>
              <w:rPr>
                <w:color w:val="0D0D0D" w:themeColor="text1" w:themeTint="F2"/>
                <w:spacing w:val="-5"/>
              </w:rPr>
              <w:t> tis</w:t>
            </w:r>
            <w:r w:rsidRPr="00CE4EB9">
              <w:rPr>
                <w:color w:val="0D0D0D" w:themeColor="text1" w:themeTint="F2"/>
                <w:spacing w:val="-5"/>
              </w:rPr>
              <w:t>.)</w:t>
            </w:r>
            <w:r w:rsidRPr="00CE4EB9">
              <w:rPr>
                <w:rStyle w:val="Znakapoznpodarou"/>
                <w:color w:val="0D0D0D" w:themeColor="text1" w:themeTint="F2"/>
                <w:spacing w:val="-5"/>
              </w:rPr>
              <w:footnoteReference w:id="61"/>
            </w:r>
            <w:r w:rsidRPr="00CE4EB9">
              <w:rPr>
                <w:color w:val="0D0D0D" w:themeColor="text1" w:themeTint="F2"/>
                <w:spacing w:val="-5"/>
              </w:rPr>
              <w:t>. Z</w:t>
            </w:r>
            <w:r>
              <w:rPr>
                <w:color w:val="0D0D0D" w:themeColor="text1" w:themeTint="F2"/>
                <w:spacing w:val="-5"/>
              </w:rPr>
              <w:t> </w:t>
            </w:r>
            <w:r w:rsidRPr="00CE4EB9">
              <w:rPr>
                <w:color w:val="0D0D0D" w:themeColor="text1" w:themeTint="F2"/>
                <w:spacing w:val="-5"/>
              </w:rPr>
              <w:t>hlavních skupin zaměstnání výrazně klesla nabídka míst pro pracovníky ve službách a</w:t>
            </w:r>
            <w:r>
              <w:rPr>
                <w:color w:val="0D0D0D" w:themeColor="text1" w:themeTint="F2"/>
                <w:spacing w:val="-5"/>
              </w:rPr>
              <w:t> </w:t>
            </w:r>
            <w:r w:rsidRPr="00CE4EB9">
              <w:rPr>
                <w:color w:val="0D0D0D" w:themeColor="text1" w:themeTint="F2"/>
                <w:spacing w:val="-5"/>
              </w:rPr>
              <w:t>prodeji (o 11 %) a</w:t>
            </w:r>
            <w:r>
              <w:rPr>
                <w:color w:val="0D0D0D" w:themeColor="text1" w:themeTint="F2"/>
                <w:spacing w:val="-5"/>
              </w:rPr>
              <w:t> </w:t>
            </w:r>
            <w:r w:rsidRPr="00CE4EB9">
              <w:rPr>
                <w:color w:val="0D0D0D" w:themeColor="text1" w:themeTint="F2"/>
                <w:spacing w:val="-5"/>
              </w:rPr>
              <w:t xml:space="preserve">obsluhy strojů </w:t>
            </w:r>
            <w:r>
              <w:rPr>
                <w:color w:val="0D0D0D" w:themeColor="text1" w:themeTint="F2"/>
                <w:spacing w:val="-5"/>
              </w:rPr>
              <w:t>a </w:t>
            </w:r>
            <w:r w:rsidRPr="00CE4EB9">
              <w:rPr>
                <w:color w:val="0D0D0D" w:themeColor="text1" w:themeTint="F2"/>
                <w:spacing w:val="-5"/>
              </w:rPr>
              <w:t>zařízení (</w:t>
            </w:r>
            <w:r>
              <w:rPr>
                <w:color w:val="0D0D0D" w:themeColor="text1" w:themeTint="F2"/>
                <w:spacing w:val="-5"/>
              </w:rPr>
              <w:t>také o </w:t>
            </w:r>
            <w:r w:rsidRPr="00CE4EB9">
              <w:rPr>
                <w:color w:val="0D0D0D" w:themeColor="text1" w:themeTint="F2"/>
                <w:spacing w:val="-5"/>
              </w:rPr>
              <w:t xml:space="preserve">11 %). </w:t>
            </w:r>
            <w:r w:rsidRPr="00CE4EB9">
              <w:rPr>
                <w:spacing w:val="-5"/>
              </w:rPr>
              <w:t>Pokles počtu míst byl v zásadě plošný, přibyly pozice jen pro kvalifikované pracovníky v zemědělství a</w:t>
            </w:r>
            <w:r w:rsidRPr="00CE4EB9">
              <w:rPr>
                <w:color w:val="0D0D0D" w:themeColor="text1" w:themeTint="F2"/>
                <w:spacing w:val="-5"/>
              </w:rPr>
              <w:t> </w:t>
            </w:r>
            <w:r w:rsidRPr="00CE4EB9">
              <w:rPr>
                <w:spacing w:val="-5"/>
              </w:rPr>
              <w:t xml:space="preserve">lesnictví. </w:t>
            </w:r>
            <w:r w:rsidRPr="00CE4EB9">
              <w:rPr>
                <w:color w:val="0D0D0D" w:themeColor="text1" w:themeTint="F2"/>
                <w:spacing w:val="-5"/>
              </w:rPr>
              <w:t>Celkových míst bylo stále více než registrovanýc</w:t>
            </w:r>
            <w:r>
              <w:rPr>
                <w:color w:val="0D0D0D" w:themeColor="text1" w:themeTint="F2"/>
                <w:spacing w:val="-5"/>
              </w:rPr>
              <w:t>h uchazečů o práci (292 tis.). U </w:t>
            </w:r>
            <w:r w:rsidRPr="00CE4EB9">
              <w:rPr>
                <w:color w:val="0D0D0D" w:themeColor="text1" w:themeTint="F2"/>
                <w:spacing w:val="-5"/>
              </w:rPr>
              <w:t xml:space="preserve">osob s vyšším než základním vzděláním </w:t>
            </w:r>
            <w:r>
              <w:rPr>
                <w:color w:val="0D0D0D" w:themeColor="text1" w:themeTint="F2"/>
                <w:spacing w:val="-5"/>
              </w:rPr>
              <w:t>ale</w:t>
            </w:r>
            <w:r w:rsidRPr="00CE4EB9">
              <w:rPr>
                <w:color w:val="0D0D0D" w:themeColor="text1" w:themeTint="F2"/>
                <w:spacing w:val="-5"/>
              </w:rPr>
              <w:t xml:space="preserve"> připadalo na jedno odpovídající místo</w:t>
            </w:r>
            <w:r>
              <w:rPr>
                <w:color w:val="0D0D0D" w:themeColor="text1" w:themeTint="F2"/>
                <w:spacing w:val="-5"/>
              </w:rPr>
              <w:t xml:space="preserve"> již </w:t>
            </w:r>
            <w:r w:rsidRPr="00CE4EB9">
              <w:rPr>
                <w:color w:val="0D0D0D" w:themeColor="text1" w:themeTint="F2"/>
                <w:spacing w:val="-5"/>
              </w:rPr>
              <w:t>2,6</w:t>
            </w:r>
            <w:r>
              <w:rPr>
                <w:color w:val="0D0D0D" w:themeColor="text1" w:themeTint="F2"/>
                <w:spacing w:val="-5"/>
              </w:rPr>
              <w:t> </w:t>
            </w:r>
            <w:r w:rsidRPr="00CE4EB9">
              <w:rPr>
                <w:color w:val="0D0D0D" w:themeColor="text1" w:themeTint="F2"/>
                <w:spacing w:val="-5"/>
              </w:rPr>
              <w:t>uchazeče, nejvíce za poslední čtyři roky.</w:t>
            </w:r>
          </w:p>
        </w:tc>
      </w:tr>
      <w:tr w:rsidR="00E97F14" w:rsidRPr="00191C35" w14:paraId="5F674F4C" w14:textId="77777777" w:rsidTr="0091476D">
        <w:trPr>
          <w:trHeight w:val="145"/>
        </w:trPr>
        <w:tc>
          <w:tcPr>
            <w:tcW w:w="1792" w:type="dxa"/>
            <w:shd w:val="clear" w:color="auto" w:fill="auto"/>
            <w:tcMar>
              <w:left w:w="0" w:type="dxa"/>
            </w:tcMar>
          </w:tcPr>
          <w:p w14:paraId="3EF0B8ED" w14:textId="77777777" w:rsidR="00E97F14" w:rsidRPr="007B75BC" w:rsidRDefault="00E97F14" w:rsidP="0091476D">
            <w:pPr>
              <w:pStyle w:val="Marginlie"/>
              <w:spacing w:after="120"/>
              <w:rPr>
                <w:spacing w:val="0"/>
              </w:rPr>
            </w:pPr>
            <w:r w:rsidRPr="007B75BC">
              <w:rPr>
                <w:spacing w:val="0"/>
              </w:rPr>
              <w:lastRenderedPageBreak/>
              <w:t xml:space="preserve">Ekonomicky neaktivních loni přibylo nejvíce od roku 2008. </w:t>
            </w:r>
            <w:r>
              <w:rPr>
                <w:spacing w:val="0"/>
              </w:rPr>
              <w:t>Nárůst</w:t>
            </w:r>
            <w:r w:rsidRPr="007B75BC">
              <w:rPr>
                <w:spacing w:val="0"/>
              </w:rPr>
              <w:t xml:space="preserve"> se projevoval hlavně v obou krajních věkových spektrech produktivního věku.</w:t>
            </w:r>
          </w:p>
        </w:tc>
        <w:tc>
          <w:tcPr>
            <w:tcW w:w="216" w:type="dxa"/>
            <w:shd w:val="clear" w:color="auto" w:fill="auto"/>
            <w:tcMar>
              <w:left w:w="0" w:type="dxa"/>
            </w:tcMar>
          </w:tcPr>
          <w:p w14:paraId="33F33EDB"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15BF1A79" w14:textId="77777777" w:rsidR="00E97F14" w:rsidRPr="007B75BC" w:rsidRDefault="00E97F14" w:rsidP="0091476D">
            <w:pPr>
              <w:spacing w:after="220"/>
              <w:rPr>
                <w:rFonts w:cs="Arial"/>
                <w:bCs/>
                <w:color w:val="0D0D0D" w:themeColor="text1" w:themeTint="F2"/>
                <w:szCs w:val="20"/>
              </w:rPr>
            </w:pPr>
            <w:r w:rsidRPr="00241E62">
              <w:rPr>
                <w:rFonts w:cs="Arial"/>
                <w:bCs/>
                <w:color w:val="000000"/>
                <w:szCs w:val="20"/>
              </w:rPr>
              <w:t xml:space="preserve">Změny na trhu práce </w:t>
            </w:r>
            <w:r>
              <w:rPr>
                <w:rFonts w:cs="Arial"/>
                <w:bCs/>
                <w:color w:val="000000"/>
                <w:szCs w:val="20"/>
              </w:rPr>
              <w:t xml:space="preserve">v roce 2020 </w:t>
            </w:r>
            <w:r w:rsidRPr="00241E62">
              <w:rPr>
                <w:rFonts w:cs="Arial"/>
                <w:bCs/>
                <w:color w:val="000000"/>
                <w:szCs w:val="20"/>
              </w:rPr>
              <w:t>se spíše</w:t>
            </w:r>
            <w:r>
              <w:rPr>
                <w:rFonts w:cs="Arial"/>
                <w:bCs/>
                <w:color w:val="000000"/>
                <w:szCs w:val="20"/>
              </w:rPr>
              <w:t xml:space="preserve"> než v nezaměstnanosti odrazily v posílení počtu </w:t>
            </w:r>
            <w:r w:rsidRPr="00713B84">
              <w:rPr>
                <w:rFonts w:cs="Arial"/>
                <w:bCs/>
                <w:color w:val="0D0D0D" w:themeColor="text1" w:themeTint="F2"/>
                <w:szCs w:val="20"/>
              </w:rPr>
              <w:t>ekonomicky neaktivních</w:t>
            </w:r>
            <w:r>
              <w:rPr>
                <w:rFonts w:cs="Arial"/>
                <w:bCs/>
                <w:color w:val="0D0D0D" w:themeColor="text1" w:themeTint="F2"/>
                <w:szCs w:val="20"/>
              </w:rPr>
              <w:t xml:space="preserve">. </w:t>
            </w:r>
            <w:r w:rsidRPr="00655F97">
              <w:t>Těch přibylo loni nejvíce za poslední dekádu</w:t>
            </w:r>
            <w:r>
              <w:t xml:space="preserve"> (+1,8 %)</w:t>
            </w:r>
            <w:r>
              <w:rPr>
                <w:rStyle w:val="Znakapoznpodarou"/>
              </w:rPr>
              <w:footnoteReference w:id="62"/>
            </w:r>
            <w:r w:rsidRPr="00655F97">
              <w:t>.</w:t>
            </w:r>
            <w:r>
              <w:t xml:space="preserve"> Růst v samotném 4. čtvrtletí se </w:t>
            </w:r>
            <w:r w:rsidRPr="0091472F">
              <w:t>projevil hlavně u</w:t>
            </w:r>
            <w:r>
              <w:t> </w:t>
            </w:r>
            <w:r w:rsidRPr="0091472F">
              <w:t>osob do 30</w:t>
            </w:r>
            <w:r>
              <w:t> </w:t>
            </w:r>
            <w:r w:rsidRPr="0091472F">
              <w:t>let (i</w:t>
            </w:r>
            <w:r>
              <w:t> </w:t>
            </w:r>
            <w:r w:rsidRPr="0091472F">
              <w:t>vlivem omezení nabídky termínovaných a</w:t>
            </w:r>
            <w:r>
              <w:t> </w:t>
            </w:r>
            <w:r w:rsidRPr="0091472F">
              <w:t>zkrácených pracovních úvazků), zčásti také u</w:t>
            </w:r>
            <w:r>
              <w:t> </w:t>
            </w:r>
            <w:r w:rsidRPr="0091472F">
              <w:t>lidí nad 60</w:t>
            </w:r>
            <w:r>
              <w:t> </w:t>
            </w:r>
            <w:r w:rsidRPr="0091472F">
              <w:t xml:space="preserve">let (zejména mužů). </w:t>
            </w:r>
            <w:r>
              <w:rPr>
                <w:rFonts w:cs="Arial"/>
                <w:bCs/>
                <w:color w:val="000000"/>
                <w:szCs w:val="20"/>
              </w:rPr>
              <w:t xml:space="preserve">Nelze vyloučit, že část těchto osob se z pracovního trhu stáhla jen dočasně. </w:t>
            </w:r>
            <w:r w:rsidRPr="0091472F">
              <w:t>Počet neaktivních nehledajících práci, ale chtějících pracovat, přestal loni poprvé po čtyřech letech meziroč</w:t>
            </w:r>
            <w:r>
              <w:t xml:space="preserve">ně klesat. Ve 4. čtvrtletí </w:t>
            </w:r>
            <w:r w:rsidRPr="0091472F">
              <w:t>tvořila tato skupina bezmála 100</w:t>
            </w:r>
            <w:r>
              <w:t> tis</w:t>
            </w:r>
            <w:r w:rsidRPr="0091472F">
              <w:t>. osob. Většina z nich ale nebyla schopna okamžitě do práce nastoupit.</w:t>
            </w:r>
          </w:p>
        </w:tc>
      </w:tr>
      <w:tr w:rsidR="00E97F14" w:rsidRPr="00191C35" w14:paraId="56BB9F10" w14:textId="77777777" w:rsidTr="0091476D">
        <w:trPr>
          <w:trHeight w:val="145"/>
        </w:trPr>
        <w:tc>
          <w:tcPr>
            <w:tcW w:w="1792" w:type="dxa"/>
            <w:shd w:val="clear" w:color="auto" w:fill="auto"/>
            <w:tcMar>
              <w:left w:w="0" w:type="dxa"/>
            </w:tcMar>
          </w:tcPr>
          <w:p w14:paraId="195A116B" w14:textId="77777777" w:rsidR="00E97F14" w:rsidRPr="007B75BC" w:rsidRDefault="00E97F14" w:rsidP="0091476D">
            <w:pPr>
              <w:pStyle w:val="Marginlie"/>
              <w:spacing w:after="120"/>
              <w:rPr>
                <w:spacing w:val="0"/>
              </w:rPr>
            </w:pPr>
            <w:r>
              <w:rPr>
                <w:spacing w:val="0"/>
              </w:rPr>
              <w:t>Mzdový vývoj byl loni ovlivněn jak dlouhodobými vlivy, tak i</w:t>
            </w:r>
            <w:r>
              <w:t> </w:t>
            </w:r>
            <w:r>
              <w:rPr>
                <w:spacing w:val="0"/>
              </w:rPr>
              <w:t xml:space="preserve">mimořádnými </w:t>
            </w:r>
            <w:proofErr w:type="spellStart"/>
            <w:r>
              <w:rPr>
                <w:spacing w:val="0"/>
              </w:rPr>
              <w:t>protipandemickými</w:t>
            </w:r>
            <w:proofErr w:type="spellEnd"/>
            <w:r>
              <w:rPr>
                <w:spacing w:val="0"/>
              </w:rPr>
              <w:t xml:space="preserve"> opatřeními.</w:t>
            </w:r>
          </w:p>
        </w:tc>
        <w:tc>
          <w:tcPr>
            <w:tcW w:w="216" w:type="dxa"/>
            <w:shd w:val="clear" w:color="auto" w:fill="auto"/>
            <w:tcMar>
              <w:left w:w="0" w:type="dxa"/>
            </w:tcMar>
          </w:tcPr>
          <w:p w14:paraId="2F5B048C"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51CA3E0F" w14:textId="77777777" w:rsidR="00E97F14" w:rsidRPr="005751E2" w:rsidRDefault="00E97F14" w:rsidP="0091476D">
            <w:pPr>
              <w:spacing w:after="220"/>
              <w:rPr>
                <w:rFonts w:cs="Arial"/>
                <w:bCs/>
                <w:color w:val="000000"/>
                <w:spacing w:val="-3"/>
                <w:szCs w:val="20"/>
              </w:rPr>
            </w:pPr>
            <w:r w:rsidRPr="005751E2">
              <w:rPr>
                <w:rFonts w:cs="Arial"/>
                <w:bCs/>
                <w:color w:val="000000"/>
                <w:spacing w:val="-3"/>
                <w:szCs w:val="20"/>
              </w:rPr>
              <w:t xml:space="preserve">Zatímco </w:t>
            </w:r>
            <w:r>
              <w:rPr>
                <w:rFonts w:cs="Arial"/>
                <w:bCs/>
                <w:color w:val="000000"/>
                <w:spacing w:val="-3"/>
                <w:szCs w:val="20"/>
              </w:rPr>
              <w:t>u </w:t>
            </w:r>
            <w:r w:rsidRPr="005751E2">
              <w:rPr>
                <w:rFonts w:cs="Arial"/>
                <w:bCs/>
                <w:color w:val="000000"/>
                <w:spacing w:val="-3"/>
                <w:szCs w:val="20"/>
              </w:rPr>
              <w:t>zaměstnanosti i</w:t>
            </w:r>
            <w:r>
              <w:rPr>
                <w:rFonts w:cs="Arial"/>
                <w:bCs/>
                <w:color w:val="000000"/>
                <w:spacing w:val="-3"/>
                <w:szCs w:val="20"/>
              </w:rPr>
              <w:t> </w:t>
            </w:r>
            <w:r w:rsidRPr="005751E2">
              <w:rPr>
                <w:rFonts w:cs="Arial"/>
                <w:bCs/>
                <w:color w:val="000000"/>
                <w:spacing w:val="-3"/>
                <w:szCs w:val="20"/>
              </w:rPr>
              <w:t>nezaměstnanosti byl loň</w:t>
            </w:r>
            <w:r>
              <w:rPr>
                <w:rFonts w:cs="Arial"/>
                <w:bCs/>
                <w:color w:val="000000"/>
                <w:spacing w:val="-3"/>
                <w:szCs w:val="20"/>
              </w:rPr>
              <w:t>ský rok</w:t>
            </w:r>
            <w:r w:rsidRPr="005751E2">
              <w:rPr>
                <w:rFonts w:cs="Arial"/>
                <w:bCs/>
                <w:color w:val="000000"/>
                <w:spacing w:val="-3"/>
                <w:szCs w:val="20"/>
              </w:rPr>
              <w:t xml:space="preserve"> ve znamení postupných mírnějších změn, vývoj ve mzdové oblasti</w:t>
            </w:r>
            <w:r>
              <w:rPr>
                <w:rFonts w:cs="Arial"/>
                <w:bCs/>
                <w:color w:val="000000"/>
                <w:spacing w:val="-3"/>
                <w:szCs w:val="20"/>
              </w:rPr>
              <w:t xml:space="preserve"> měl</w:t>
            </w:r>
            <w:r w:rsidRPr="005751E2">
              <w:rPr>
                <w:rFonts w:cs="Arial"/>
                <w:bCs/>
                <w:color w:val="000000"/>
                <w:spacing w:val="-3"/>
                <w:szCs w:val="20"/>
              </w:rPr>
              <w:t xml:space="preserve"> turbulentní</w:t>
            </w:r>
            <w:r>
              <w:rPr>
                <w:rFonts w:cs="Arial"/>
                <w:bCs/>
                <w:color w:val="000000"/>
                <w:spacing w:val="-3"/>
                <w:szCs w:val="20"/>
              </w:rPr>
              <w:t xml:space="preserve"> charakter</w:t>
            </w:r>
            <w:r w:rsidRPr="005751E2">
              <w:rPr>
                <w:rFonts w:cs="Arial"/>
                <w:bCs/>
                <w:color w:val="000000"/>
                <w:spacing w:val="-3"/>
                <w:szCs w:val="20"/>
              </w:rPr>
              <w:t xml:space="preserve">. </w:t>
            </w:r>
            <w:r w:rsidRPr="005751E2">
              <w:rPr>
                <w:spacing w:val="-3"/>
              </w:rPr>
              <w:t xml:space="preserve">Z důvodu karanténních opatření i dlouhodobějšího poklesu poptávky došlo </w:t>
            </w:r>
            <w:r w:rsidRPr="005751E2">
              <w:rPr>
                <w:rFonts w:cs="Arial"/>
                <w:bCs/>
                <w:spacing w:val="-3"/>
              </w:rPr>
              <w:t>v mnohých odvětvích k</w:t>
            </w:r>
            <w:r>
              <w:rPr>
                <w:rFonts w:cs="Arial"/>
                <w:bCs/>
                <w:spacing w:val="-3"/>
              </w:rPr>
              <w:t> omezení či úplnému uzavření provozoven, což se negativně odrazilo v odpracované době</w:t>
            </w:r>
            <w:r w:rsidRPr="005751E2">
              <w:rPr>
                <w:rFonts w:cs="Arial"/>
                <w:bCs/>
                <w:spacing w:val="-3"/>
              </w:rPr>
              <w:t>. Objem vyplacených mezd byl ovlivněn i</w:t>
            </w:r>
            <w:r>
              <w:rPr>
                <w:rFonts w:cs="Arial"/>
                <w:bCs/>
                <w:spacing w:val="-3"/>
              </w:rPr>
              <w:t> </w:t>
            </w:r>
            <w:r w:rsidRPr="005751E2">
              <w:rPr>
                <w:rFonts w:cs="Arial"/>
                <w:bCs/>
                <w:spacing w:val="-3"/>
              </w:rPr>
              <w:t>vládními záchrannými programy</w:t>
            </w:r>
            <w:r w:rsidRPr="005751E2">
              <w:rPr>
                <w:rStyle w:val="Znakapoznpodarou"/>
                <w:color w:val="0D0D0D" w:themeColor="text1" w:themeTint="F2"/>
                <w:spacing w:val="-3"/>
              </w:rPr>
              <w:footnoteReference w:id="63"/>
            </w:r>
            <w:r w:rsidRPr="005751E2">
              <w:rPr>
                <w:rFonts w:cs="Arial"/>
                <w:bCs/>
                <w:spacing w:val="-3"/>
              </w:rPr>
              <w:t>. Vedle toho mzdový vývoj odrážel i</w:t>
            </w:r>
            <w:r>
              <w:rPr>
                <w:rFonts w:cs="Arial"/>
                <w:bCs/>
                <w:spacing w:val="-3"/>
              </w:rPr>
              <w:t> </w:t>
            </w:r>
            <w:r w:rsidRPr="005751E2">
              <w:rPr>
                <w:rFonts w:cs="Arial"/>
                <w:bCs/>
                <w:spacing w:val="-3"/>
              </w:rPr>
              <w:t xml:space="preserve">vliv dlouhodobě působících faktorů, např. </w:t>
            </w:r>
            <w:r>
              <w:rPr>
                <w:spacing w:val="-3"/>
              </w:rPr>
              <w:t>navyšová</w:t>
            </w:r>
            <w:r w:rsidRPr="005751E2">
              <w:rPr>
                <w:spacing w:val="-3"/>
              </w:rPr>
              <w:t xml:space="preserve">ní minimální mzdy či </w:t>
            </w:r>
            <w:r>
              <w:rPr>
                <w:spacing w:val="-3"/>
              </w:rPr>
              <w:t>rigidity</w:t>
            </w:r>
            <w:r w:rsidRPr="005751E2">
              <w:rPr>
                <w:spacing w:val="-3"/>
              </w:rPr>
              <w:t xml:space="preserve"> trhu práce (uzavírání dlouhodobějších vnitropodnikových dohod o růstu mezd či tarifní systém </w:t>
            </w:r>
            <w:r>
              <w:rPr>
                <w:spacing w:val="-3"/>
              </w:rPr>
              <w:t xml:space="preserve">odměňování </w:t>
            </w:r>
            <w:r w:rsidRPr="005751E2">
              <w:rPr>
                <w:spacing w:val="-3"/>
              </w:rPr>
              <w:t>v rozpočtové sféře).</w:t>
            </w:r>
          </w:p>
        </w:tc>
      </w:tr>
      <w:tr w:rsidR="00E97F14" w:rsidRPr="00191C35" w14:paraId="56FB59D2" w14:textId="77777777" w:rsidTr="0091476D">
        <w:trPr>
          <w:trHeight w:val="145"/>
        </w:trPr>
        <w:tc>
          <w:tcPr>
            <w:tcW w:w="1792" w:type="dxa"/>
            <w:shd w:val="clear" w:color="auto" w:fill="auto"/>
            <w:tcMar>
              <w:left w:w="0" w:type="dxa"/>
            </w:tcMar>
          </w:tcPr>
          <w:p w14:paraId="76D20BF1" w14:textId="77777777" w:rsidR="00E97F14" w:rsidRPr="007B75BC" w:rsidRDefault="00E97F14" w:rsidP="0091476D">
            <w:pPr>
              <w:pStyle w:val="Marginlie"/>
              <w:spacing w:after="120"/>
              <w:rPr>
                <w:spacing w:val="0"/>
              </w:rPr>
            </w:pPr>
            <w:r>
              <w:rPr>
                <w:spacing w:val="0"/>
              </w:rPr>
              <w:t>Dopady restriktivních opatření na mzdový vývoj byly ve 4. čtvrtletí zastíněny výplatou odměn ve zdravotnictví i</w:t>
            </w:r>
            <w:r>
              <w:t> </w:t>
            </w:r>
            <w:r>
              <w:rPr>
                <w:spacing w:val="0"/>
              </w:rPr>
              <w:t>pokračujícím oživením v</w:t>
            </w:r>
            <w:r>
              <w:t> </w:t>
            </w:r>
            <w:r>
              <w:rPr>
                <w:spacing w:val="0"/>
              </w:rPr>
              <w:t>průmyslu.</w:t>
            </w:r>
          </w:p>
        </w:tc>
        <w:tc>
          <w:tcPr>
            <w:tcW w:w="216" w:type="dxa"/>
            <w:shd w:val="clear" w:color="auto" w:fill="auto"/>
            <w:tcMar>
              <w:left w:w="0" w:type="dxa"/>
            </w:tcMar>
          </w:tcPr>
          <w:p w14:paraId="7321024D"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54623796" w14:textId="77777777" w:rsidR="00E97F14" w:rsidRPr="00241E62" w:rsidRDefault="00E97F14" w:rsidP="0091476D">
            <w:pPr>
              <w:spacing w:after="220"/>
              <w:rPr>
                <w:rFonts w:cs="Arial"/>
                <w:bCs/>
                <w:color w:val="000000"/>
                <w:szCs w:val="20"/>
              </w:rPr>
            </w:pPr>
            <w:r>
              <w:rPr>
                <w:rFonts w:cs="Arial"/>
                <w:bCs/>
                <w:color w:val="000000"/>
                <w:szCs w:val="20"/>
              </w:rPr>
              <w:t xml:space="preserve">Zatímco ve 2. čtvrtletí 2020 vzrostla průměrná mzda v ekonomice meziročně o pouhých 0,7 % (a oproti předchozímu čtvrtletí poklesla o bezprecedentní 3,1 %), ve 4. čtvrtletí tempo zrychlilo na 6,5 %. Takto rozdílné výsledky vznikly v obdobích roku, kdy byly </w:t>
            </w:r>
            <w:r w:rsidRPr="008C1423">
              <w:rPr>
                <w:rFonts w:cs="Arial"/>
                <w:bCs/>
                <w:color w:val="000000"/>
                <w:szCs w:val="20"/>
              </w:rPr>
              <w:t xml:space="preserve">výkony podniků nejsilněji poznamenány dopady vládních restriktivních opatření. </w:t>
            </w:r>
            <w:r w:rsidRPr="008C1423">
              <w:rPr>
                <w:rFonts w:cs="Arial"/>
                <w:bCs/>
              </w:rPr>
              <w:t>Restrikce ve 4.</w:t>
            </w:r>
            <w:r>
              <w:rPr>
                <w:rFonts w:cs="Arial"/>
                <w:bCs/>
              </w:rPr>
              <w:t> čtvrtlet</w:t>
            </w:r>
            <w:r w:rsidRPr="008C1423">
              <w:rPr>
                <w:rFonts w:cs="Arial"/>
                <w:bCs/>
              </w:rPr>
              <w:t>í měly ovšem na mzdy v celé ekonomice slabší dopad než na jaře, neboť vedle výplaty mimořádných odměn ve zdravotnictví se projevilo i</w:t>
            </w:r>
            <w:r>
              <w:rPr>
                <w:rFonts w:cs="Arial"/>
                <w:bCs/>
              </w:rPr>
              <w:t> </w:t>
            </w:r>
            <w:r w:rsidRPr="008C1423">
              <w:rPr>
                <w:rFonts w:cs="Arial"/>
                <w:bCs/>
              </w:rPr>
              <w:t>pokračující oživení v</w:t>
            </w:r>
            <w:r>
              <w:rPr>
                <w:rFonts w:cs="Arial"/>
                <w:bCs/>
              </w:rPr>
              <w:t xml:space="preserve">e váhově dominantním odvětví </w:t>
            </w:r>
            <w:r w:rsidRPr="008C1423">
              <w:rPr>
                <w:rFonts w:cs="Arial"/>
                <w:bCs/>
              </w:rPr>
              <w:t>průmyslu</w:t>
            </w:r>
            <w:r>
              <w:rPr>
                <w:rFonts w:cs="Arial"/>
                <w:bCs/>
              </w:rPr>
              <w:t>.</w:t>
            </w:r>
            <w:r>
              <w:rPr>
                <w:color w:val="0D0D0D" w:themeColor="text1" w:themeTint="F2"/>
                <w:spacing w:val="-4"/>
              </w:rPr>
              <w:t xml:space="preserve"> Za celý rok 2020 dosáhla p</w:t>
            </w:r>
            <w:r w:rsidRPr="00E40B71">
              <w:rPr>
                <w:color w:val="0D0D0D" w:themeColor="text1" w:themeTint="F2"/>
                <w:spacing w:val="-4"/>
              </w:rPr>
              <w:t>růměrná hrubá měsíční nominální mzda zaměstnanc</w:t>
            </w:r>
            <w:r>
              <w:rPr>
                <w:color w:val="0D0D0D" w:themeColor="text1" w:themeTint="F2"/>
                <w:spacing w:val="-4"/>
              </w:rPr>
              <w:t xml:space="preserve">e v ekonomice 35,6 tis. korun. Meziročně tak vzrostla o 4,4 %, nejméně za poslední čtyři roky. </w:t>
            </w:r>
            <w:r w:rsidRPr="00295A8F">
              <w:rPr>
                <w:spacing w:val="-4"/>
                <w:szCs w:val="20"/>
              </w:rPr>
              <w:t xml:space="preserve">Výrazně nerovnoměrný dopad </w:t>
            </w:r>
            <w:proofErr w:type="spellStart"/>
            <w:r w:rsidRPr="00295A8F">
              <w:rPr>
                <w:spacing w:val="-4"/>
                <w:szCs w:val="20"/>
              </w:rPr>
              <w:t>protipandemických</w:t>
            </w:r>
            <w:proofErr w:type="spellEnd"/>
            <w:r w:rsidRPr="00295A8F">
              <w:rPr>
                <w:spacing w:val="-4"/>
                <w:szCs w:val="20"/>
              </w:rPr>
              <w:t xml:space="preserve"> opatření i odlišná pružnost různých segmentů pracovního trhu (např. vazba objemu výdělků na počet odpracovan</w:t>
            </w:r>
            <w:r>
              <w:rPr>
                <w:spacing w:val="-4"/>
                <w:szCs w:val="20"/>
              </w:rPr>
              <w:t>ých hodin) se vloni promítly do značně diferencovaného</w:t>
            </w:r>
            <w:r w:rsidRPr="00295A8F">
              <w:rPr>
                <w:spacing w:val="-4"/>
                <w:szCs w:val="20"/>
              </w:rPr>
              <w:t xml:space="preserve"> vývoj</w:t>
            </w:r>
            <w:r>
              <w:rPr>
                <w:spacing w:val="-4"/>
                <w:szCs w:val="20"/>
              </w:rPr>
              <w:t>e</w:t>
            </w:r>
            <w:r w:rsidRPr="00295A8F">
              <w:rPr>
                <w:spacing w:val="-4"/>
                <w:szCs w:val="20"/>
              </w:rPr>
              <w:t xml:space="preserve"> mezd na úrovni jednotlivých odvětví.</w:t>
            </w:r>
          </w:p>
        </w:tc>
      </w:tr>
      <w:tr w:rsidR="00E97F14" w:rsidRPr="00191C35" w14:paraId="5E213B5A" w14:textId="77777777" w:rsidTr="0091476D">
        <w:trPr>
          <w:trHeight w:val="145"/>
        </w:trPr>
        <w:tc>
          <w:tcPr>
            <w:tcW w:w="1792" w:type="dxa"/>
            <w:shd w:val="clear" w:color="auto" w:fill="auto"/>
            <w:tcMar>
              <w:left w:w="0" w:type="dxa"/>
            </w:tcMar>
          </w:tcPr>
          <w:p w14:paraId="03B1AF73" w14:textId="77777777" w:rsidR="00E97F14" w:rsidRDefault="00E97F14" w:rsidP="0091476D">
            <w:pPr>
              <w:pStyle w:val="Marginlie"/>
              <w:spacing w:after="120"/>
            </w:pPr>
            <w:r>
              <w:t>V ubytování, stravování a pohostinství průměrná mzda klesla a počet zaměstnanců se propadl.</w:t>
            </w:r>
          </w:p>
          <w:p w14:paraId="52A4804E" w14:textId="77777777" w:rsidR="00E97F14" w:rsidRDefault="00E97F14" w:rsidP="0091476D">
            <w:pPr>
              <w:pStyle w:val="Marginlie"/>
              <w:spacing w:after="120"/>
            </w:pPr>
          </w:p>
          <w:p w14:paraId="0BDB0CA7" w14:textId="77777777" w:rsidR="00E97F14" w:rsidRDefault="00E97F14" w:rsidP="0091476D">
            <w:pPr>
              <w:pStyle w:val="Marginlie"/>
              <w:spacing w:after="120"/>
            </w:pPr>
          </w:p>
          <w:p w14:paraId="6D810DC0" w14:textId="77777777" w:rsidR="00E97F14" w:rsidRDefault="00E97F14" w:rsidP="0091476D">
            <w:pPr>
              <w:pStyle w:val="Marginlie"/>
              <w:spacing w:after="120"/>
            </w:pPr>
            <w:r>
              <w:t>V obchodu, zpracovatelském průmyslu či dopravě a skladování se mzdy zvyšovaly nejméně od roku 2013.</w:t>
            </w:r>
          </w:p>
        </w:tc>
        <w:tc>
          <w:tcPr>
            <w:tcW w:w="216" w:type="dxa"/>
            <w:shd w:val="clear" w:color="auto" w:fill="auto"/>
            <w:tcMar>
              <w:left w:w="0" w:type="dxa"/>
            </w:tcMar>
          </w:tcPr>
          <w:p w14:paraId="0AF9699A"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1D54ED53" w14:textId="77777777" w:rsidR="00E97F14" w:rsidRPr="00466166" w:rsidRDefault="00E97F14" w:rsidP="0091476D">
            <w:pPr>
              <w:spacing w:after="220"/>
              <w:rPr>
                <w:color w:val="0D0D0D" w:themeColor="text1" w:themeTint="F2"/>
                <w:spacing w:val="-4"/>
              </w:rPr>
            </w:pPr>
            <w:r>
              <w:rPr>
                <w:spacing w:val="-4"/>
                <w:szCs w:val="20"/>
              </w:rPr>
              <w:t xml:space="preserve">V nejcitelněji </w:t>
            </w:r>
            <w:r w:rsidRPr="00070E74">
              <w:rPr>
                <w:spacing w:val="-4"/>
                <w:szCs w:val="20"/>
              </w:rPr>
              <w:t xml:space="preserve">zasaženém </w:t>
            </w:r>
            <w:r w:rsidRPr="00070E74">
              <w:rPr>
                <w:bCs/>
              </w:rPr>
              <w:t>ubytování, stravování a</w:t>
            </w:r>
            <w:r>
              <w:rPr>
                <w:bCs/>
              </w:rPr>
              <w:t> </w:t>
            </w:r>
            <w:r w:rsidRPr="00070E74">
              <w:rPr>
                <w:bCs/>
              </w:rPr>
              <w:t>pohostinství</w:t>
            </w:r>
            <w:r>
              <w:rPr>
                <w:bCs/>
              </w:rPr>
              <w:t xml:space="preserve"> se průměrná mzda snížila o 2,1 % (nejvíce ve srovnatelné 20leté časové řadě) a její měsíční výše klesla pod 20 tis. korun. Obtíže tohoto odvětví nejlépe dokumentuje fakt, že během loňska ztratilo více než šestinu všech zaměstnaneckých míst. Omezení volnočasových aktivit se negativně promítlo také ve mzdách pracovníků </w:t>
            </w:r>
            <w:r>
              <w:rPr>
                <w:bCs/>
                <w:spacing w:val="-4"/>
              </w:rPr>
              <w:t xml:space="preserve">v kulturních, zábavních a rekreačních činnostech (+1,6 %). </w:t>
            </w:r>
            <w:r>
              <w:rPr>
                <w:bCs/>
              </w:rPr>
              <w:t>Jen slabý růst průměrných výdělků zažil loni i zpracovatelský průmysl (1,4 %). Jeho pozice se ale ve druhé polovině roku zlepšovala</w:t>
            </w:r>
            <w:r>
              <w:rPr>
                <w:rStyle w:val="Znakapoznpodarou"/>
                <w:bCs/>
              </w:rPr>
              <w:footnoteReference w:id="64"/>
            </w:r>
            <w:r>
              <w:rPr>
                <w:bCs/>
              </w:rPr>
              <w:t>. K obdobnému oživení nedošlo v dopravě a skladování, kde za celý rok mzdy vzrostly o 1,6 %. To se týkalo i obchodu, i zde mzdy posílily nejméně za posledních sedm let (+1,7 %). Lépe na tom bylo stavebnictví (+3,1 %), kde současně nedocházelo k významnějším úbytkům počtu zaměstnanců. Podprůměrně rostly vloni, shodně jako v předešlých čtyřech letech, výdělky v profesních, vědeckých a technických činnostech (+3,3 %). I</w:t>
            </w:r>
            <w:r>
              <w:rPr>
                <w:color w:val="0D0D0D" w:themeColor="text1" w:themeTint="F2"/>
                <w:spacing w:val="-4"/>
              </w:rPr>
              <w:t> </w:t>
            </w:r>
            <w:r>
              <w:rPr>
                <w:bCs/>
              </w:rPr>
              <w:t>tak zde ovšem, na rozdíl od všech výše zmíněných odvětví, mzdová úroveň hladinu celé ekonomiky stále převyšovala (42,1 tis. korun).</w:t>
            </w:r>
          </w:p>
        </w:tc>
      </w:tr>
      <w:tr w:rsidR="00E97F14" w:rsidRPr="00191C35" w14:paraId="0014027A" w14:textId="77777777" w:rsidTr="0091476D">
        <w:trPr>
          <w:trHeight w:val="145"/>
        </w:trPr>
        <w:tc>
          <w:tcPr>
            <w:tcW w:w="1792" w:type="dxa"/>
            <w:shd w:val="clear" w:color="auto" w:fill="auto"/>
            <w:tcMar>
              <w:left w:w="0" w:type="dxa"/>
            </w:tcMar>
          </w:tcPr>
          <w:p w14:paraId="3BEEE05C" w14:textId="77777777" w:rsidR="00E97F14" w:rsidRDefault="00E97F14" w:rsidP="0091476D">
            <w:pPr>
              <w:pStyle w:val="Marginlie"/>
              <w:spacing w:after="120"/>
            </w:pPr>
            <w:r>
              <w:t xml:space="preserve">Mzdový růst byl po celý rok tažen silnou platovou </w:t>
            </w:r>
            <w:r>
              <w:lastRenderedPageBreak/>
              <w:t>dynamikou ve většině odvětví veřejných služeb.</w:t>
            </w:r>
          </w:p>
          <w:p w14:paraId="5621FC24" w14:textId="77777777" w:rsidR="00E97F14" w:rsidRDefault="00E97F14" w:rsidP="0091476D">
            <w:pPr>
              <w:pStyle w:val="Marginlie"/>
              <w:spacing w:after="120"/>
            </w:pPr>
          </w:p>
          <w:p w14:paraId="70D2DF4C" w14:textId="77777777" w:rsidR="00E97F14" w:rsidRDefault="00E97F14" w:rsidP="0091476D">
            <w:pPr>
              <w:pStyle w:val="Marginlie"/>
              <w:spacing w:after="120"/>
            </w:pPr>
          </w:p>
          <w:p w14:paraId="64CD47DD" w14:textId="77777777" w:rsidR="00E97F14" w:rsidRDefault="00E97F14" w:rsidP="0091476D">
            <w:pPr>
              <w:pStyle w:val="Marginlie"/>
              <w:spacing w:after="120"/>
            </w:pPr>
          </w:p>
          <w:p w14:paraId="324AE0CC" w14:textId="77777777" w:rsidR="00E97F14" w:rsidRDefault="00E97F14" w:rsidP="0091476D">
            <w:pPr>
              <w:pStyle w:val="Marginlie"/>
              <w:spacing w:after="120"/>
            </w:pPr>
          </w:p>
          <w:p w14:paraId="7D9EC115" w14:textId="77777777" w:rsidR="00E97F14" w:rsidRDefault="00E97F14" w:rsidP="0091476D">
            <w:pPr>
              <w:pStyle w:val="Marginlie"/>
              <w:spacing w:after="120"/>
            </w:pPr>
          </w:p>
          <w:p w14:paraId="4E622DB3" w14:textId="77777777" w:rsidR="00E97F14" w:rsidRDefault="00E97F14" w:rsidP="0091476D">
            <w:pPr>
              <w:pStyle w:val="Marginlie"/>
              <w:spacing w:after="120"/>
            </w:pPr>
            <w:r>
              <w:t>Svižný růst výdělků přetrvával v energetice a v oblasti ICT.</w:t>
            </w:r>
          </w:p>
        </w:tc>
        <w:tc>
          <w:tcPr>
            <w:tcW w:w="216" w:type="dxa"/>
            <w:shd w:val="clear" w:color="auto" w:fill="auto"/>
            <w:tcMar>
              <w:left w:w="0" w:type="dxa"/>
            </w:tcMar>
          </w:tcPr>
          <w:p w14:paraId="27801B99"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78AF81D0" w14:textId="77777777" w:rsidR="00E97F14" w:rsidRPr="008F67B1" w:rsidRDefault="00E97F14" w:rsidP="0091476D">
            <w:pPr>
              <w:spacing w:after="220"/>
              <w:rPr>
                <w:bCs/>
                <w:spacing w:val="-4"/>
              </w:rPr>
            </w:pPr>
            <w:r w:rsidRPr="00E77B65">
              <w:rPr>
                <w:spacing w:val="-4"/>
              </w:rPr>
              <w:t>Těžiště mzdového růstu spočívalo po celý rok 2020 v odvětvích veřejných služeb. Ve zdravotní a</w:t>
            </w:r>
            <w:r>
              <w:rPr>
                <w:spacing w:val="-4"/>
              </w:rPr>
              <w:t> </w:t>
            </w:r>
            <w:r w:rsidRPr="00E77B65">
              <w:rPr>
                <w:spacing w:val="-4"/>
              </w:rPr>
              <w:t>sociální péči vzrostly výdělky průměrně o</w:t>
            </w:r>
            <w:r>
              <w:rPr>
                <w:spacing w:val="-4"/>
              </w:rPr>
              <w:t> </w:t>
            </w:r>
            <w:r w:rsidRPr="00E77B65">
              <w:rPr>
                <w:spacing w:val="-4"/>
              </w:rPr>
              <w:t>13,8</w:t>
            </w:r>
            <w:r>
              <w:rPr>
                <w:spacing w:val="-4"/>
              </w:rPr>
              <w:t> %</w:t>
            </w:r>
            <w:r w:rsidRPr="00E77B65">
              <w:rPr>
                <w:spacing w:val="-4"/>
              </w:rPr>
              <w:t xml:space="preserve"> (ve 4.</w:t>
            </w:r>
            <w:r>
              <w:rPr>
                <w:spacing w:val="-4"/>
              </w:rPr>
              <w:t> čtvrtlet</w:t>
            </w:r>
            <w:r w:rsidRPr="00E77B65">
              <w:rPr>
                <w:spacing w:val="-4"/>
              </w:rPr>
              <w:t>í o</w:t>
            </w:r>
            <w:r w:rsidRPr="00E77B65">
              <w:rPr>
                <w:spacing w:val="-4"/>
                <w:szCs w:val="20"/>
              </w:rPr>
              <w:t> </w:t>
            </w:r>
            <w:r w:rsidRPr="00E77B65">
              <w:rPr>
                <w:spacing w:val="-4"/>
              </w:rPr>
              <w:t xml:space="preserve">rekordních </w:t>
            </w:r>
            <w:r w:rsidRPr="00E77B65">
              <w:rPr>
                <w:spacing w:val="-4"/>
              </w:rPr>
              <w:lastRenderedPageBreak/>
              <w:t>31</w:t>
            </w:r>
            <w:r w:rsidRPr="00E77B65">
              <w:rPr>
                <w:spacing w:val="-4"/>
                <w:szCs w:val="20"/>
              </w:rPr>
              <w:t> </w:t>
            </w:r>
            <w:r w:rsidRPr="00E77B65">
              <w:rPr>
                <w:spacing w:val="-4"/>
              </w:rPr>
              <w:t>%</w:t>
            </w:r>
            <w:r w:rsidRPr="00E77B65">
              <w:rPr>
                <w:rStyle w:val="Znakapoznpodarou"/>
                <w:spacing w:val="-4"/>
              </w:rPr>
              <w:footnoteReference w:id="65"/>
            </w:r>
            <w:r>
              <w:rPr>
                <w:spacing w:val="-4"/>
              </w:rPr>
              <w:t>)</w:t>
            </w:r>
            <w:r w:rsidRPr="00E77B65">
              <w:rPr>
                <w:spacing w:val="-4"/>
              </w:rPr>
              <w:t xml:space="preserve">. </w:t>
            </w:r>
            <w:r w:rsidRPr="00E77B65">
              <w:rPr>
                <w:bCs/>
                <w:spacing w:val="-4"/>
              </w:rPr>
              <w:t>Vlivem navýšení platových tabulek zaznamenalo svižný růst i</w:t>
            </w:r>
            <w:r>
              <w:rPr>
                <w:bCs/>
                <w:spacing w:val="-4"/>
              </w:rPr>
              <w:t> </w:t>
            </w:r>
            <w:r w:rsidRPr="00E77B65">
              <w:rPr>
                <w:bCs/>
                <w:spacing w:val="-4"/>
              </w:rPr>
              <w:t>vzdělávání (+7,8</w:t>
            </w:r>
            <w:r>
              <w:rPr>
                <w:bCs/>
                <w:spacing w:val="-4"/>
              </w:rPr>
              <w:t> %</w:t>
            </w:r>
            <w:r w:rsidRPr="00E77B65">
              <w:rPr>
                <w:bCs/>
                <w:spacing w:val="-4"/>
              </w:rPr>
              <w:t>).</w:t>
            </w:r>
            <w:r>
              <w:rPr>
                <w:bCs/>
                <w:spacing w:val="-4"/>
              </w:rPr>
              <w:t xml:space="preserve"> </w:t>
            </w:r>
            <w:r w:rsidRPr="006B4E3D">
              <w:rPr>
                <w:bCs/>
                <w:spacing w:val="-4"/>
              </w:rPr>
              <w:t>Z odvě</w:t>
            </w:r>
            <w:r>
              <w:rPr>
                <w:bCs/>
                <w:spacing w:val="-4"/>
              </w:rPr>
              <w:t xml:space="preserve">tví mimo veřejné služby </w:t>
            </w:r>
            <w:r w:rsidRPr="006B4E3D">
              <w:rPr>
                <w:bCs/>
                <w:spacing w:val="-4"/>
              </w:rPr>
              <w:t xml:space="preserve">rostly mzdy </w:t>
            </w:r>
            <w:r>
              <w:rPr>
                <w:bCs/>
                <w:spacing w:val="-4"/>
              </w:rPr>
              <w:t xml:space="preserve">nejvíce </w:t>
            </w:r>
            <w:r w:rsidRPr="006B4E3D">
              <w:rPr>
                <w:bCs/>
                <w:spacing w:val="-4"/>
              </w:rPr>
              <w:t>v administrativních a</w:t>
            </w:r>
            <w:r>
              <w:rPr>
                <w:bCs/>
                <w:spacing w:val="-4"/>
              </w:rPr>
              <w:t> </w:t>
            </w:r>
            <w:r w:rsidRPr="006B4E3D">
              <w:rPr>
                <w:bCs/>
                <w:spacing w:val="-4"/>
              </w:rPr>
              <w:t>podpůrných činnostech (+9,</w:t>
            </w:r>
            <w:r>
              <w:rPr>
                <w:bCs/>
                <w:spacing w:val="-4"/>
              </w:rPr>
              <w:t>5 %), což</w:t>
            </w:r>
            <w:r w:rsidRPr="006B4E3D">
              <w:rPr>
                <w:bCs/>
                <w:spacing w:val="-4"/>
              </w:rPr>
              <w:t xml:space="preserve"> souviselo s velkým úbytkem zejména nízkopříjmových pracovníků v rámci agentur práce. Změna skladby zaměstnanců se patrně promítl</w:t>
            </w:r>
            <w:r>
              <w:rPr>
                <w:bCs/>
                <w:spacing w:val="-4"/>
              </w:rPr>
              <w:t>a</w:t>
            </w:r>
            <w:r w:rsidRPr="006B4E3D">
              <w:rPr>
                <w:bCs/>
                <w:spacing w:val="-4"/>
              </w:rPr>
              <w:t xml:space="preserve"> do průměrných mezd </w:t>
            </w:r>
            <w:r>
              <w:rPr>
                <w:bCs/>
                <w:spacing w:val="-4"/>
              </w:rPr>
              <w:t>i v dalším „</w:t>
            </w:r>
            <w:proofErr w:type="spellStart"/>
            <w:r>
              <w:rPr>
                <w:bCs/>
                <w:spacing w:val="-4"/>
              </w:rPr>
              <w:t>nízkovýdělkovém</w:t>
            </w:r>
            <w:proofErr w:type="spellEnd"/>
            <w:r>
              <w:rPr>
                <w:bCs/>
                <w:spacing w:val="-4"/>
              </w:rPr>
              <w:t xml:space="preserve">“ odvětví – </w:t>
            </w:r>
            <w:r w:rsidRPr="006B4E3D">
              <w:rPr>
                <w:bCs/>
                <w:spacing w:val="-4"/>
              </w:rPr>
              <w:t>činnostech v oblasti nemovitostí. Dlouhodobě rostoucí význam informačních a</w:t>
            </w:r>
            <w:r>
              <w:rPr>
                <w:bCs/>
                <w:spacing w:val="-4"/>
              </w:rPr>
              <w:t> </w:t>
            </w:r>
            <w:r w:rsidRPr="006B4E3D">
              <w:rPr>
                <w:bCs/>
                <w:spacing w:val="-4"/>
              </w:rPr>
              <w:t>komunikačních činností, dále posílený v pandemi</w:t>
            </w:r>
            <w:r>
              <w:rPr>
                <w:bCs/>
                <w:spacing w:val="-4"/>
              </w:rPr>
              <w:t>ckém období</w:t>
            </w:r>
            <w:r>
              <w:rPr>
                <w:rStyle w:val="Znakapoznpodarou"/>
                <w:bCs/>
                <w:spacing w:val="-4"/>
              </w:rPr>
              <w:footnoteReference w:id="66"/>
            </w:r>
            <w:r>
              <w:rPr>
                <w:bCs/>
                <w:spacing w:val="-4"/>
              </w:rPr>
              <w:t>, se odrazil i ve mzdách (+5,6 %</w:t>
            </w:r>
            <w:r w:rsidRPr="006B4E3D">
              <w:rPr>
                <w:bCs/>
                <w:spacing w:val="-4"/>
              </w:rPr>
              <w:t xml:space="preserve">). Úroveň průměrné mzdy zde </w:t>
            </w:r>
            <w:r>
              <w:rPr>
                <w:bCs/>
                <w:spacing w:val="-4"/>
              </w:rPr>
              <w:t>byla mezi odvětvími nejvyšší (62,1 tis</w:t>
            </w:r>
            <w:r w:rsidRPr="006B4E3D">
              <w:rPr>
                <w:bCs/>
                <w:spacing w:val="-4"/>
              </w:rPr>
              <w:t>.</w:t>
            </w:r>
            <w:r>
              <w:rPr>
                <w:bCs/>
                <w:spacing w:val="-4"/>
              </w:rPr>
              <w:t xml:space="preserve"> korun). Vzdálila se tak </w:t>
            </w:r>
            <w:r w:rsidRPr="006B4E3D">
              <w:rPr>
                <w:bCs/>
                <w:spacing w:val="-4"/>
              </w:rPr>
              <w:t>pe</w:t>
            </w:r>
            <w:r>
              <w:rPr>
                <w:bCs/>
                <w:spacing w:val="-4"/>
              </w:rPr>
              <w:t>něžnictví a pojišťovnictví (59,4 tis</w:t>
            </w:r>
            <w:r w:rsidRPr="006B4E3D">
              <w:rPr>
                <w:bCs/>
                <w:spacing w:val="-4"/>
              </w:rPr>
              <w:t>.</w:t>
            </w:r>
            <w:r>
              <w:rPr>
                <w:bCs/>
                <w:spacing w:val="-4"/>
              </w:rPr>
              <w:t xml:space="preserve"> korun), kde se výše mezd příliš nezměnila (+0,6</w:t>
            </w:r>
            <w:r w:rsidRPr="006B4E3D">
              <w:rPr>
                <w:bCs/>
                <w:spacing w:val="-4"/>
              </w:rPr>
              <w:t xml:space="preserve"> %). </w:t>
            </w:r>
            <w:r>
              <w:rPr>
                <w:bCs/>
                <w:spacing w:val="-4"/>
              </w:rPr>
              <w:t>Vysokou mzdovou úrovní se vyznačuje i</w:t>
            </w:r>
            <w:r w:rsidRPr="006B4E3D">
              <w:rPr>
                <w:bCs/>
                <w:spacing w:val="-4"/>
              </w:rPr>
              <w:t> </w:t>
            </w:r>
            <w:r>
              <w:rPr>
                <w:bCs/>
                <w:spacing w:val="-4"/>
              </w:rPr>
              <w:t>energetika (52,2 tis. korun). Její růst se loni pohyboval v intencích let 2018 i 2019 (okolo 6</w:t>
            </w:r>
            <w:r w:rsidRPr="006B4E3D">
              <w:rPr>
                <w:bCs/>
                <w:spacing w:val="-4"/>
              </w:rPr>
              <w:t> </w:t>
            </w:r>
            <w:r>
              <w:rPr>
                <w:bCs/>
                <w:spacing w:val="-4"/>
              </w:rPr>
              <w:t>%), a to navzdory tomu, že výkony tohoto odvětví byly poznamenány jarním zmrazením ekonomiky.</w:t>
            </w:r>
          </w:p>
        </w:tc>
      </w:tr>
      <w:tr w:rsidR="00E97F14" w:rsidRPr="00191C35" w14:paraId="7347D854" w14:textId="77777777" w:rsidTr="0091476D">
        <w:trPr>
          <w:trHeight w:val="168"/>
        </w:trPr>
        <w:tc>
          <w:tcPr>
            <w:tcW w:w="1792" w:type="dxa"/>
            <w:vMerge w:val="restart"/>
            <w:shd w:val="clear" w:color="auto" w:fill="auto"/>
            <w:tcMar>
              <w:left w:w="0" w:type="dxa"/>
            </w:tcMar>
          </w:tcPr>
          <w:p w14:paraId="1AAFA3D1" w14:textId="77777777" w:rsidR="00E97F14" w:rsidRDefault="00E97F14" w:rsidP="0091476D">
            <w:pPr>
              <w:pStyle w:val="Marginlie"/>
              <w:spacing w:after="120"/>
              <w:rPr>
                <w:spacing w:val="0"/>
              </w:rPr>
            </w:pPr>
          </w:p>
        </w:tc>
        <w:tc>
          <w:tcPr>
            <w:tcW w:w="216" w:type="dxa"/>
            <w:vMerge w:val="restart"/>
            <w:shd w:val="clear" w:color="auto" w:fill="auto"/>
            <w:tcMar>
              <w:left w:w="0" w:type="dxa"/>
            </w:tcMar>
          </w:tcPr>
          <w:p w14:paraId="5F2C43D2"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4032ADF1" w14:textId="77777777" w:rsidR="00E97F14" w:rsidRPr="00093B9E" w:rsidRDefault="00E97F14" w:rsidP="0091476D">
            <w:pPr>
              <w:spacing w:after="0"/>
              <w:rPr>
                <w:bCs/>
              </w:rPr>
            </w:pPr>
            <w:r w:rsidRPr="003E01D3">
              <w:rPr>
                <w:b/>
                <w:spacing w:val="-4"/>
              </w:rPr>
              <w:t>Graf č. 15  Průměrná nominální</w:t>
            </w:r>
            <w:r>
              <w:rPr>
                <w:b/>
                <w:spacing w:val="-4"/>
              </w:rPr>
              <w:t xml:space="preserve"> a </w:t>
            </w:r>
            <w:r w:rsidRPr="003E01D3">
              <w:rPr>
                <w:b/>
                <w:spacing w:val="-4"/>
              </w:rPr>
              <w:t>reálná mzda a</w:t>
            </w:r>
            <w:r>
              <w:rPr>
                <w:b/>
                <w:spacing w:val="-4"/>
              </w:rPr>
              <w:t> </w:t>
            </w:r>
            <w:r w:rsidRPr="003E01D3">
              <w:rPr>
                <w:b/>
                <w:spacing w:val="-4"/>
              </w:rPr>
              <w:t>mzdový medián</w:t>
            </w:r>
            <w:r>
              <w:rPr>
                <w:spacing w:val="-4"/>
              </w:rPr>
              <w:t xml:space="preserve"> </w:t>
            </w:r>
            <w:r w:rsidRPr="003E01D3">
              <w:rPr>
                <w:spacing w:val="-4"/>
              </w:rPr>
              <w:t>(meziročně, v %)</w:t>
            </w:r>
          </w:p>
        </w:tc>
      </w:tr>
      <w:tr w:rsidR="00E97F14" w:rsidRPr="00191C35" w14:paraId="7FE6D999" w14:textId="77777777" w:rsidTr="0091476D">
        <w:trPr>
          <w:trHeight w:val="166"/>
        </w:trPr>
        <w:tc>
          <w:tcPr>
            <w:tcW w:w="1792" w:type="dxa"/>
            <w:vMerge/>
            <w:shd w:val="clear" w:color="auto" w:fill="auto"/>
            <w:tcMar>
              <w:left w:w="0" w:type="dxa"/>
            </w:tcMar>
          </w:tcPr>
          <w:p w14:paraId="2643104B" w14:textId="77777777" w:rsidR="00E97F14" w:rsidRDefault="00E97F14" w:rsidP="0091476D">
            <w:pPr>
              <w:pStyle w:val="Marginlie"/>
              <w:spacing w:after="120"/>
              <w:rPr>
                <w:spacing w:val="0"/>
              </w:rPr>
            </w:pPr>
          </w:p>
        </w:tc>
        <w:tc>
          <w:tcPr>
            <w:tcW w:w="216" w:type="dxa"/>
            <w:vMerge/>
            <w:shd w:val="clear" w:color="auto" w:fill="auto"/>
            <w:tcMar>
              <w:left w:w="0" w:type="dxa"/>
            </w:tcMar>
          </w:tcPr>
          <w:p w14:paraId="75D4D7CC"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0167A30D" w14:textId="77777777" w:rsidR="00E97F14" w:rsidRPr="00093B9E" w:rsidRDefault="00E97F14" w:rsidP="0091476D">
            <w:pPr>
              <w:spacing w:after="0"/>
              <w:rPr>
                <w:bCs/>
              </w:rPr>
            </w:pPr>
            <w:r>
              <w:rPr>
                <w:noProof/>
              </w:rPr>
              <w:drawing>
                <wp:inline distT="0" distB="0" distL="0" distR="0" wp14:anchorId="15E3CE58" wp14:editId="5F6FBADE">
                  <wp:extent cx="4737100" cy="3510951"/>
                  <wp:effectExtent l="0" t="0" r="635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E97F14" w:rsidRPr="00191C35" w14:paraId="04EDE4F1" w14:textId="77777777" w:rsidTr="0091476D">
        <w:trPr>
          <w:trHeight w:val="166"/>
        </w:trPr>
        <w:tc>
          <w:tcPr>
            <w:tcW w:w="1792" w:type="dxa"/>
            <w:vMerge/>
            <w:shd w:val="clear" w:color="auto" w:fill="auto"/>
            <w:tcMar>
              <w:left w:w="0" w:type="dxa"/>
            </w:tcMar>
          </w:tcPr>
          <w:p w14:paraId="5636C568" w14:textId="77777777" w:rsidR="00E97F14" w:rsidRDefault="00E97F14" w:rsidP="0091476D">
            <w:pPr>
              <w:pStyle w:val="Marginlie"/>
              <w:spacing w:after="120"/>
              <w:rPr>
                <w:spacing w:val="0"/>
              </w:rPr>
            </w:pPr>
          </w:p>
        </w:tc>
        <w:tc>
          <w:tcPr>
            <w:tcW w:w="216" w:type="dxa"/>
            <w:vMerge/>
            <w:shd w:val="clear" w:color="auto" w:fill="auto"/>
            <w:tcMar>
              <w:left w:w="0" w:type="dxa"/>
            </w:tcMar>
          </w:tcPr>
          <w:p w14:paraId="0E4011B5"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4AF407F2" w14:textId="77777777" w:rsidR="00E97F14" w:rsidRDefault="00E97F14" w:rsidP="0091476D">
            <w:pPr>
              <w:spacing w:after="0"/>
              <w:rPr>
                <w:spacing w:val="-4"/>
                <w:sz w:val="14"/>
                <w:szCs w:val="14"/>
              </w:rPr>
            </w:pPr>
            <w:r w:rsidRPr="003E01D3">
              <w:rPr>
                <w:spacing w:val="-4"/>
                <w:sz w:val="14"/>
                <w:szCs w:val="14"/>
              </w:rPr>
              <w:t>*</w:t>
            </w:r>
            <w:r>
              <w:rPr>
                <w:spacing w:val="-4"/>
                <w:sz w:val="14"/>
                <w:szCs w:val="14"/>
              </w:rPr>
              <w:t>Zahrnuje odvětví: Veřejná správa, obrana, soc.</w:t>
            </w:r>
            <w:r w:rsidRPr="003E01D3">
              <w:rPr>
                <w:spacing w:val="-4"/>
                <w:sz w:val="14"/>
                <w:szCs w:val="14"/>
              </w:rPr>
              <w:t xml:space="preserve"> zabezpečení; Vzdělávání; Zdravotní a </w:t>
            </w:r>
            <w:r>
              <w:rPr>
                <w:spacing w:val="-4"/>
                <w:sz w:val="14"/>
                <w:szCs w:val="14"/>
              </w:rPr>
              <w:t>soc.</w:t>
            </w:r>
            <w:r w:rsidRPr="003E01D3">
              <w:rPr>
                <w:spacing w:val="-4"/>
                <w:sz w:val="14"/>
                <w:szCs w:val="14"/>
              </w:rPr>
              <w:t xml:space="preserve"> péče</w:t>
            </w:r>
            <w:r>
              <w:rPr>
                <w:spacing w:val="-4"/>
                <w:sz w:val="14"/>
                <w:szCs w:val="14"/>
              </w:rPr>
              <w:t>.</w:t>
            </w:r>
          </w:p>
          <w:p w14:paraId="0EE1BBCA" w14:textId="77777777" w:rsidR="00E97F14" w:rsidRPr="00093B9E" w:rsidRDefault="00E97F14" w:rsidP="0091476D">
            <w:pPr>
              <w:rPr>
                <w:bCs/>
              </w:rPr>
            </w:pPr>
            <w:r>
              <w:rPr>
                <w:spacing w:val="-4"/>
                <w:sz w:val="14"/>
                <w:szCs w:val="14"/>
              </w:rPr>
              <w:t>Z</w:t>
            </w:r>
            <w:r w:rsidRPr="003E01D3">
              <w:rPr>
                <w:spacing w:val="-4"/>
                <w:sz w:val="14"/>
                <w:szCs w:val="14"/>
              </w:rPr>
              <w:t>droj: ČSÚ</w:t>
            </w:r>
          </w:p>
        </w:tc>
      </w:tr>
      <w:tr w:rsidR="00E97F14" w:rsidRPr="00191C35" w14:paraId="4CA033BE" w14:textId="77777777" w:rsidTr="0091476D">
        <w:trPr>
          <w:trHeight w:val="145"/>
        </w:trPr>
        <w:tc>
          <w:tcPr>
            <w:tcW w:w="1792" w:type="dxa"/>
            <w:shd w:val="clear" w:color="auto" w:fill="auto"/>
            <w:tcMar>
              <w:left w:w="0" w:type="dxa"/>
            </w:tcMar>
          </w:tcPr>
          <w:p w14:paraId="35AA6AFD" w14:textId="64AC0DB6" w:rsidR="00E97F14" w:rsidRDefault="00E97F14" w:rsidP="0091476D">
            <w:pPr>
              <w:pStyle w:val="Marginlie"/>
              <w:spacing w:after="120"/>
              <w:rPr>
                <w:spacing w:val="0"/>
              </w:rPr>
            </w:pPr>
            <w:r>
              <w:rPr>
                <w:spacing w:val="0"/>
              </w:rPr>
              <w:t>Mzdový medián rostl loni rychleji u žen než u mužů.</w:t>
            </w:r>
          </w:p>
          <w:p w14:paraId="3796DFC7" w14:textId="77777777" w:rsidR="00275062" w:rsidRDefault="00275062" w:rsidP="0091476D">
            <w:pPr>
              <w:pStyle w:val="Marginlie"/>
              <w:spacing w:after="120"/>
              <w:rPr>
                <w:spacing w:val="0"/>
              </w:rPr>
            </w:pPr>
          </w:p>
          <w:p w14:paraId="65D74DEA" w14:textId="77777777" w:rsidR="00E97F14" w:rsidRDefault="00E97F14" w:rsidP="0091476D">
            <w:pPr>
              <w:pStyle w:val="Marginlie"/>
              <w:spacing w:after="120"/>
              <w:rPr>
                <w:spacing w:val="0"/>
              </w:rPr>
            </w:pPr>
          </w:p>
          <w:p w14:paraId="0FD4FA54" w14:textId="77777777" w:rsidR="00E97F14" w:rsidRPr="007B75BC" w:rsidRDefault="00E97F14" w:rsidP="0091476D">
            <w:pPr>
              <w:pStyle w:val="Marginlie"/>
              <w:spacing w:after="120"/>
              <w:rPr>
                <w:spacing w:val="0"/>
              </w:rPr>
            </w:pPr>
            <w:r>
              <w:rPr>
                <w:spacing w:val="0"/>
              </w:rPr>
              <w:t>Mzdové diference se ve 2. i 4. čtvrtletí zvyšovaly.</w:t>
            </w:r>
          </w:p>
        </w:tc>
        <w:tc>
          <w:tcPr>
            <w:tcW w:w="216" w:type="dxa"/>
            <w:shd w:val="clear" w:color="auto" w:fill="auto"/>
            <w:tcMar>
              <w:left w:w="0" w:type="dxa"/>
            </w:tcMar>
          </w:tcPr>
          <w:p w14:paraId="789426B4"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669DBE73" w14:textId="77777777" w:rsidR="00E97F14" w:rsidRPr="005D4BC2" w:rsidRDefault="00E97F14" w:rsidP="0091476D">
            <w:pPr>
              <w:spacing w:after="220"/>
              <w:rPr>
                <w:spacing w:val="-2"/>
              </w:rPr>
            </w:pPr>
            <w:r w:rsidRPr="005D4BC2">
              <w:rPr>
                <w:bCs/>
                <w:spacing w:val="-2"/>
              </w:rPr>
              <w:t xml:space="preserve">Medián mezd ve 4. čtvrtletí dosáhl u mužů 35,1 tis. korun, u žen 30,3 tis. korun. Podobně jako po celý loňský rok posilovaly relativně více výdělky žen. To souviselo se svižným platovým růstem ve veřejných službách. Roli mohlo sehrát i to, že o práci loni přicházely častěji ženy (ty jsou obecně více zastoupeny mezi pracovníky s nízkou mzdovou úrovní). </w:t>
            </w:r>
            <w:r w:rsidRPr="005D4BC2">
              <w:rPr>
                <w:spacing w:val="-2"/>
              </w:rPr>
              <w:t xml:space="preserve">Čtyři pětiny všech zaměstnanců pobíraly ve 4. čtvrtletí mzdu mezi 16,4 tis. korun a 63,8 tis. korun. Výdělky nízkopříjmových pracovníků podobně jako ve 2. čtvrtletí postiženém </w:t>
            </w:r>
            <w:proofErr w:type="spellStart"/>
            <w:r w:rsidRPr="005D4BC2">
              <w:rPr>
                <w:spacing w:val="-2"/>
              </w:rPr>
              <w:t>protipandemickými</w:t>
            </w:r>
            <w:proofErr w:type="spellEnd"/>
            <w:r w:rsidRPr="005D4BC2">
              <w:rPr>
                <w:spacing w:val="-2"/>
              </w:rPr>
              <w:t xml:space="preserve"> opatřeními rostly pomaleji než těch </w:t>
            </w:r>
            <w:proofErr w:type="spellStart"/>
            <w:r w:rsidRPr="005D4BC2">
              <w:rPr>
                <w:spacing w:val="-2"/>
              </w:rPr>
              <w:t>vysokopříjmových</w:t>
            </w:r>
            <w:proofErr w:type="spellEnd"/>
            <w:r w:rsidRPr="005D4BC2">
              <w:rPr>
                <w:spacing w:val="-2"/>
              </w:rPr>
              <w:t>. Mzdové rozdíly se tak zvyšovaly. Naopak ve zbytku roku se mzdové rozpětí zužovalo.</w:t>
            </w:r>
          </w:p>
        </w:tc>
      </w:tr>
      <w:tr w:rsidR="00E97F14" w:rsidRPr="00191C35" w14:paraId="03365183" w14:textId="77777777" w:rsidTr="0091476D">
        <w:trPr>
          <w:trHeight w:val="145"/>
        </w:trPr>
        <w:tc>
          <w:tcPr>
            <w:tcW w:w="1792" w:type="dxa"/>
            <w:shd w:val="clear" w:color="auto" w:fill="auto"/>
            <w:tcMar>
              <w:left w:w="0" w:type="dxa"/>
            </w:tcMar>
          </w:tcPr>
          <w:p w14:paraId="38EDE46E" w14:textId="07303D4B" w:rsidR="00E97F14" w:rsidRDefault="00275062" w:rsidP="0091476D">
            <w:pPr>
              <w:pStyle w:val="Marginlie"/>
              <w:spacing w:after="120"/>
            </w:pPr>
            <w:r>
              <w:t>Reálný růst průměrných</w:t>
            </w:r>
            <w:r w:rsidR="00E97F14">
              <w:t xml:space="preserve"> mezd loni oslabil na sedmileté minimum.</w:t>
            </w:r>
          </w:p>
        </w:tc>
        <w:tc>
          <w:tcPr>
            <w:tcW w:w="216" w:type="dxa"/>
            <w:shd w:val="clear" w:color="auto" w:fill="auto"/>
            <w:tcMar>
              <w:left w:w="0" w:type="dxa"/>
            </w:tcMar>
          </w:tcPr>
          <w:p w14:paraId="196112BA" w14:textId="77777777" w:rsidR="00E97F14" w:rsidRPr="00B43216" w:rsidRDefault="00E97F14" w:rsidP="0091476D">
            <w:pPr>
              <w:pStyle w:val="Textpoznpodarou"/>
              <w:spacing w:after="120"/>
              <w:jc w:val="both"/>
              <w:rPr>
                <w:spacing w:val="-4"/>
              </w:rPr>
            </w:pPr>
          </w:p>
        </w:tc>
        <w:tc>
          <w:tcPr>
            <w:tcW w:w="7656" w:type="dxa"/>
            <w:shd w:val="clear" w:color="auto" w:fill="auto"/>
            <w:tcMar>
              <w:left w:w="0" w:type="dxa"/>
            </w:tcMar>
          </w:tcPr>
          <w:p w14:paraId="3C1816FA" w14:textId="4AEC16BE" w:rsidR="00E97F14" w:rsidRPr="005D4BC2" w:rsidRDefault="00E97F14" w:rsidP="0091476D">
            <w:pPr>
              <w:spacing w:after="0"/>
              <w:rPr>
                <w:spacing w:val="-4"/>
              </w:rPr>
            </w:pPr>
            <w:r w:rsidRPr="005D4BC2">
              <w:rPr>
                <w:spacing w:val="-4"/>
              </w:rPr>
              <w:t xml:space="preserve">Reálný meziroční růst průměrných mezd se po dočasném poklesu ve 2. čtvrtletí (prvním po roce 2013) ve druhé polovině loňského roku obnovil. Pomohlo k tomu i významnější zvolnění tempa růstu spotřebitelských cen v posledních měsících roku. I tak skončil celoroční růst </w:t>
            </w:r>
            <w:r w:rsidRPr="005D4BC2">
              <w:rPr>
                <w:rFonts w:cs="Arial"/>
                <w:bCs/>
                <w:spacing w:val="-4"/>
              </w:rPr>
              <w:t>koupěschopnosti</w:t>
            </w:r>
            <w:r w:rsidR="00275062">
              <w:rPr>
                <w:rFonts w:cs="Arial"/>
                <w:bCs/>
                <w:spacing w:val="-4"/>
              </w:rPr>
              <w:t xml:space="preserve"> průměrných</w:t>
            </w:r>
            <w:r w:rsidRPr="005D4BC2">
              <w:rPr>
                <w:rFonts w:cs="Arial"/>
                <w:bCs/>
                <w:spacing w:val="-4"/>
              </w:rPr>
              <w:t xml:space="preserve"> zaměstnaneckých výdělků na sedmiletém minimu (+1,2 %).</w:t>
            </w:r>
          </w:p>
        </w:tc>
      </w:tr>
    </w:tbl>
    <w:p w14:paraId="0F1D76A1" w14:textId="68C09F14" w:rsidR="00B2450C" w:rsidRDefault="00B2450C" w:rsidP="00B2450C">
      <w:pPr>
        <w:spacing w:after="120"/>
        <w:jc w:val="left"/>
        <w:rPr>
          <w:b/>
          <w:color w:val="0D0D0D" w:themeColor="text1" w:themeTint="F2"/>
          <w:sz w:val="2"/>
          <w:szCs w:val="2"/>
        </w:rPr>
      </w:pPr>
    </w:p>
    <w:p w14:paraId="40A3A40C" w14:textId="77777777" w:rsidR="00B2450C" w:rsidRDefault="00B2450C">
      <w:pPr>
        <w:spacing w:after="0" w:line="240" w:lineRule="auto"/>
        <w:jc w:val="left"/>
        <w:rPr>
          <w:b/>
          <w:color w:val="0D0D0D" w:themeColor="text1" w:themeTint="F2"/>
          <w:sz w:val="2"/>
          <w:szCs w:val="2"/>
        </w:rPr>
      </w:pPr>
      <w:r>
        <w:rPr>
          <w:b/>
          <w:color w:val="0D0D0D" w:themeColor="text1" w:themeTint="F2"/>
          <w:sz w:val="2"/>
          <w:szCs w:val="2"/>
        </w:rPr>
        <w:br w:type="page"/>
      </w:r>
    </w:p>
    <w:p w14:paraId="0326F2E3" w14:textId="77777777" w:rsidR="009B1324" w:rsidRDefault="009B1324" w:rsidP="009B1324">
      <w:pPr>
        <w:pStyle w:val="Nadpis11"/>
      </w:pPr>
      <w:bookmarkStart w:id="25" w:name="_Toc66954408"/>
      <w:r>
        <w:lastRenderedPageBreak/>
        <w:t>7. Měnové podmínky</w:t>
      </w:r>
      <w:bookmarkEnd w:id="22"/>
      <w:bookmarkEnd w:id="25"/>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9B1324" w14:paraId="4735024B" w14:textId="77777777" w:rsidTr="00275758">
        <w:trPr>
          <w:trHeight w:val="145"/>
        </w:trPr>
        <w:tc>
          <w:tcPr>
            <w:tcW w:w="1802" w:type="dxa"/>
          </w:tcPr>
          <w:p w14:paraId="08409369" w14:textId="77777777" w:rsidR="009B1324" w:rsidRDefault="009B1324" w:rsidP="00275758">
            <w:pPr>
              <w:pStyle w:val="Marginlie"/>
              <w:rPr>
                <w:lang w:eastAsia="en-US"/>
              </w:rPr>
            </w:pPr>
            <w:r>
              <w:rPr>
                <w:lang w:eastAsia="en-US"/>
              </w:rPr>
              <w:t xml:space="preserve">V roce 2020 došlo k opětovnému snižování </w:t>
            </w:r>
            <w:proofErr w:type="spellStart"/>
            <w:r>
              <w:rPr>
                <w:lang w:eastAsia="en-US"/>
              </w:rPr>
              <w:t>měnověpolitických</w:t>
            </w:r>
            <w:proofErr w:type="spellEnd"/>
            <w:r>
              <w:rPr>
                <w:lang w:eastAsia="en-US"/>
              </w:rPr>
              <w:t xml:space="preserve"> sazeb.</w:t>
            </w:r>
          </w:p>
        </w:tc>
        <w:tc>
          <w:tcPr>
            <w:tcW w:w="229" w:type="dxa"/>
          </w:tcPr>
          <w:p w14:paraId="3063C551" w14:textId="77777777" w:rsidR="009B1324" w:rsidRDefault="009B1324" w:rsidP="00275758">
            <w:pPr>
              <w:pStyle w:val="Textpoznpodarou"/>
              <w:jc w:val="both"/>
              <w:rPr>
                <w:spacing w:val="-4"/>
                <w:lang w:eastAsia="en-US"/>
              </w:rPr>
            </w:pPr>
          </w:p>
        </w:tc>
        <w:tc>
          <w:tcPr>
            <w:tcW w:w="7610" w:type="dxa"/>
            <w:hideMark/>
          </w:tcPr>
          <w:p w14:paraId="7E95784C" w14:textId="77777777" w:rsidR="009B1324" w:rsidRDefault="009B1324" w:rsidP="00275758">
            <w:pPr>
              <w:rPr>
                <w:spacing w:val="-2"/>
                <w:lang w:eastAsia="en-US"/>
              </w:rPr>
            </w:pPr>
            <w:r>
              <w:rPr>
                <w:spacing w:val="-2"/>
                <w:lang w:eastAsia="en-US"/>
              </w:rPr>
              <w:t xml:space="preserve">Ekonomický vývoj v roce 2020 byl značně turbulentní, což se projevilo i na vývoji hlavních </w:t>
            </w:r>
            <w:proofErr w:type="spellStart"/>
            <w:r>
              <w:rPr>
                <w:spacing w:val="-2"/>
                <w:lang w:eastAsia="en-US"/>
              </w:rPr>
              <w:t>měnověpolitických</w:t>
            </w:r>
            <w:proofErr w:type="spellEnd"/>
            <w:r>
              <w:rPr>
                <w:spacing w:val="-2"/>
                <w:lang w:eastAsia="en-US"/>
              </w:rPr>
              <w:t xml:space="preserve"> sazeb. Z počátku roku ještě došlo k navýšení sazeb v reakci na rostoucí inflační tlaky v ekonomice (maximum činilo 2,25 pro dvoutýdenní </w:t>
            </w:r>
            <w:proofErr w:type="spellStart"/>
            <w:r>
              <w:rPr>
                <w:spacing w:val="-2"/>
                <w:lang w:eastAsia="en-US"/>
              </w:rPr>
              <w:t>repo</w:t>
            </w:r>
            <w:proofErr w:type="spellEnd"/>
            <w:r>
              <w:rPr>
                <w:spacing w:val="-2"/>
                <w:lang w:eastAsia="en-US"/>
              </w:rPr>
              <w:t xml:space="preserve"> sazbu)</w:t>
            </w:r>
            <w:r>
              <w:rPr>
                <w:rStyle w:val="Znakapoznpodarou"/>
                <w:spacing w:val="-2"/>
                <w:lang w:eastAsia="en-US"/>
              </w:rPr>
              <w:footnoteReference w:id="67"/>
            </w:r>
            <w:r>
              <w:rPr>
                <w:spacing w:val="-2"/>
                <w:lang w:eastAsia="en-US"/>
              </w:rPr>
              <w:t xml:space="preserve">. Příchod krize ale vedl k rychlému uvolnění měnové politiky – v březnu byla </w:t>
            </w:r>
            <w:proofErr w:type="spellStart"/>
            <w:r>
              <w:rPr>
                <w:spacing w:val="-2"/>
                <w:lang w:eastAsia="en-US"/>
              </w:rPr>
              <w:t>repo</w:t>
            </w:r>
            <w:proofErr w:type="spellEnd"/>
            <w:r>
              <w:rPr>
                <w:spacing w:val="-2"/>
                <w:lang w:eastAsia="en-US"/>
              </w:rPr>
              <w:t xml:space="preserve"> sazba snížena na 1,00 % a v květnu na 0,25 %. Na této úrovni </w:t>
            </w:r>
            <w:proofErr w:type="spellStart"/>
            <w:r>
              <w:rPr>
                <w:spacing w:val="-2"/>
                <w:lang w:eastAsia="en-US"/>
              </w:rPr>
              <w:t>repo</w:t>
            </w:r>
            <w:proofErr w:type="spellEnd"/>
            <w:r>
              <w:rPr>
                <w:spacing w:val="-2"/>
                <w:lang w:eastAsia="en-US"/>
              </w:rPr>
              <w:t xml:space="preserve"> sazba setrvala nezměněna až do konce roku. Diskontní sazba přitom byla nastavena na 0,05 % a lombardní sazba na 1,0 %. Ekonomická situace značně ovlivnila i vývoj směnného kurzu. Koruna v průběhu března prudce oslabila vůči euru i dolaru. V případě dolarového kurzu trend směřoval k opětovnému posílení a na konci roku už byl kurz koruny vůči dolaru meziročně silnější (ke konci roku kurz dosáhl 21,39 CZK/USD). Mírná korekce se odehrála i v případě kurzu vůči euru, od 13. března 2020 ale kurz neklesl pod úroveň 26 CZK/EUR. Výsledkem byly tlaky na růst cen zboží obchodovaného v eurech.</w:t>
            </w:r>
          </w:p>
        </w:tc>
      </w:tr>
      <w:tr w:rsidR="009B1324" w14:paraId="74E58107" w14:textId="77777777" w:rsidTr="00275758">
        <w:trPr>
          <w:trHeight w:val="145"/>
        </w:trPr>
        <w:tc>
          <w:tcPr>
            <w:tcW w:w="1802" w:type="dxa"/>
            <w:hideMark/>
          </w:tcPr>
          <w:p w14:paraId="57A5D116" w14:textId="77777777" w:rsidR="009B1324" w:rsidRDefault="009B1324" w:rsidP="00275758">
            <w:pPr>
              <w:pStyle w:val="Marginlie"/>
              <w:rPr>
                <w:lang w:eastAsia="en-US"/>
              </w:rPr>
            </w:pPr>
            <w:r>
              <w:rPr>
                <w:lang w:eastAsia="en-US"/>
              </w:rPr>
              <w:t>Ke konci roku vzrostly výnosy vládních dluhopisů.</w:t>
            </w:r>
          </w:p>
        </w:tc>
        <w:tc>
          <w:tcPr>
            <w:tcW w:w="229" w:type="dxa"/>
          </w:tcPr>
          <w:p w14:paraId="0F530AAB" w14:textId="77777777" w:rsidR="009B1324" w:rsidRDefault="009B1324" w:rsidP="00275758">
            <w:pPr>
              <w:pStyle w:val="Textpoznpodarou"/>
              <w:jc w:val="both"/>
              <w:rPr>
                <w:spacing w:val="-4"/>
                <w:lang w:eastAsia="en-US"/>
              </w:rPr>
            </w:pPr>
          </w:p>
        </w:tc>
        <w:tc>
          <w:tcPr>
            <w:tcW w:w="7610" w:type="dxa"/>
          </w:tcPr>
          <w:p w14:paraId="7FCCF525" w14:textId="77777777" w:rsidR="009B1324" w:rsidRDefault="009B1324" w:rsidP="00275758">
            <w:pPr>
              <w:rPr>
                <w:spacing w:val="-1"/>
                <w:lang w:eastAsia="en-US"/>
              </w:rPr>
            </w:pPr>
            <w:r>
              <w:rPr>
                <w:spacing w:val="-1"/>
                <w:lang w:eastAsia="en-US"/>
              </w:rPr>
              <w:t xml:space="preserve">Mezibankovní úroková sazba PRIBOR je těsně navázána na </w:t>
            </w:r>
            <w:proofErr w:type="spellStart"/>
            <w:r>
              <w:rPr>
                <w:spacing w:val="-1"/>
                <w:lang w:eastAsia="en-US"/>
              </w:rPr>
              <w:t>měnověpolitické</w:t>
            </w:r>
            <w:proofErr w:type="spellEnd"/>
            <w:r>
              <w:rPr>
                <w:spacing w:val="-1"/>
                <w:lang w:eastAsia="en-US"/>
              </w:rPr>
              <w:t xml:space="preserve"> sazby, a tak se od června prakticky nezměnila. Ke konci roku 2020 činila tříměsíční sazba PRIBOR 0,36 % (na konci roku 2019 to bylo 2,17 %). V průběhu roku se poměrně výrazně měnily výnosy na domácích vládních dluhopisech. V lednu činila úroková sazba na krátkodobých dluhopisech 1,55 %, na těch se střednědobou splatností 1,51 % a u dlouhodobých to bylo 1,62 %. V průběhu roku pak sazby u všech splatností klesaly a dna dosáhly v říjnu (0 %, 0,54 % a 0,94 % u jednotlivých splatností). V závěru roku pak sazby poměrně rychle rostly. K 31. 12. 2020 činil průměrný výnos krátkodobých dluhopisů 0,16 %, střednědobých 0,8 % a dlouhodobých 1,26 %.</w:t>
            </w:r>
          </w:p>
        </w:tc>
      </w:tr>
      <w:tr w:rsidR="009B1324" w14:paraId="35568841" w14:textId="77777777" w:rsidTr="00275758">
        <w:trPr>
          <w:trHeight w:val="145"/>
        </w:trPr>
        <w:tc>
          <w:tcPr>
            <w:tcW w:w="1802" w:type="dxa"/>
            <w:hideMark/>
          </w:tcPr>
          <w:p w14:paraId="2393DBA9" w14:textId="77777777" w:rsidR="009B1324" w:rsidRDefault="009B1324" w:rsidP="00275758">
            <w:pPr>
              <w:pStyle w:val="Marginlie"/>
              <w:rPr>
                <w:lang w:eastAsia="en-US"/>
              </w:rPr>
            </w:pPr>
            <w:r>
              <w:rPr>
                <w:lang w:eastAsia="en-US"/>
              </w:rPr>
              <w:t>Výrazně klesly úrokové sazby na termínovaných vkladech.</w:t>
            </w:r>
          </w:p>
        </w:tc>
        <w:tc>
          <w:tcPr>
            <w:tcW w:w="229" w:type="dxa"/>
          </w:tcPr>
          <w:p w14:paraId="7A5EAE72" w14:textId="77777777" w:rsidR="009B1324" w:rsidRDefault="009B1324" w:rsidP="00275758">
            <w:pPr>
              <w:pStyle w:val="Textpoznpodarou"/>
              <w:jc w:val="both"/>
              <w:rPr>
                <w:spacing w:val="-4"/>
                <w:lang w:eastAsia="en-US"/>
              </w:rPr>
            </w:pPr>
          </w:p>
        </w:tc>
        <w:tc>
          <w:tcPr>
            <w:tcW w:w="7610" w:type="dxa"/>
          </w:tcPr>
          <w:p w14:paraId="1D573344" w14:textId="77777777" w:rsidR="009B1324" w:rsidRDefault="009B1324" w:rsidP="00275758">
            <w:pPr>
              <w:rPr>
                <w:spacing w:val="-3"/>
                <w:lang w:eastAsia="en-US"/>
              </w:rPr>
            </w:pPr>
            <w:r>
              <w:rPr>
                <w:spacing w:val="-3"/>
                <w:lang w:eastAsia="en-US"/>
              </w:rPr>
              <w:t xml:space="preserve">Pokles se nevyhnul ani některým klientským úrokovým sazbám, zejména těm na termínovaných vkladech. U vkladů na běžných účtech domácností sazby prakticky neměly kam klesat (od začátku roku 2016 jsou pod 0,1 % a ke konci prosince 2020 byly průměrně na 0,02 %). Na druhé straně úrokové sazby na vkladech s dohodnutou splatností během let 2018 a 2019 rostly. V loňském roce tak v reakci na pokles hlavních ekonomických sazeb mohly být velmi rychle upraveny (ke konci března 2020 byl průměrný úrok na vkladech s dohodnutou splatností 1,43 %, na konci června už to bylo 0,6 %). Na konci roku průměrné úročení těchto vkladů činilo 0,59 %. Nejvíce klesaly sazby u vkladů se splatností do 1 roku – banky pravděpodobně předpokládaly, že v dohledné době úroveň úrokových sazeb půjde nahoru. Nefinanční podniky mohly jen krátce využívat nárůstu sazeb na běžných účtech – během loňska se opět propadly téměř na nulu. Zároveň nefinančním podnikům výrazně kleslo i úročení na vkladech s dohodnutou splatností – ještě výrazněji než domácnostem (ke konci prosince průměrné úročení dosáhlo 0,16 %, meziročně o 1,36 p. b. </w:t>
            </w:r>
            <w:proofErr w:type="gramStart"/>
            <w:r>
              <w:rPr>
                <w:spacing w:val="-3"/>
                <w:lang w:eastAsia="en-US"/>
              </w:rPr>
              <w:t>méně</w:t>
            </w:r>
            <w:proofErr w:type="gramEnd"/>
            <w:r>
              <w:rPr>
                <w:spacing w:val="-3"/>
                <w:lang w:eastAsia="en-US"/>
              </w:rPr>
              <w:t>). Změna sazeb jasně ovlivnila vývoj objemu termínovaných vkladů – ty od 2. čtvrtletí meziročně klesaly. Zajímavý je i pohled na vklady domácností – od 2. čtvrtletí je vidět výrazné zvýšení růstu jejich objemu v souladu se zvýšenou mírou úspor, která souvisí s omezením možnosti spotřeby uvalením restrikcí na provoz maloobchodu a služeb.</w:t>
            </w:r>
          </w:p>
        </w:tc>
      </w:tr>
      <w:tr w:rsidR="009B1324" w14:paraId="4987BC6C" w14:textId="77777777" w:rsidTr="00275758">
        <w:trPr>
          <w:trHeight w:val="145"/>
        </w:trPr>
        <w:tc>
          <w:tcPr>
            <w:tcW w:w="1802" w:type="dxa"/>
          </w:tcPr>
          <w:p w14:paraId="53B5E334" w14:textId="77777777" w:rsidR="009B1324" w:rsidRDefault="009B1324" w:rsidP="00275758">
            <w:pPr>
              <w:pStyle w:val="Marginlie"/>
              <w:rPr>
                <w:lang w:eastAsia="en-US"/>
              </w:rPr>
            </w:pPr>
            <w:r>
              <w:rPr>
                <w:lang w:eastAsia="en-US"/>
              </w:rPr>
              <w:t>Dále zlevňovalo úvěrové financování pro domácnosti.</w:t>
            </w:r>
          </w:p>
        </w:tc>
        <w:tc>
          <w:tcPr>
            <w:tcW w:w="229" w:type="dxa"/>
          </w:tcPr>
          <w:p w14:paraId="03DA2793" w14:textId="77777777" w:rsidR="009B1324" w:rsidRDefault="009B1324" w:rsidP="00275758">
            <w:pPr>
              <w:pStyle w:val="Textpoznpodarou"/>
              <w:jc w:val="both"/>
              <w:rPr>
                <w:spacing w:val="-4"/>
                <w:lang w:eastAsia="en-US"/>
              </w:rPr>
            </w:pPr>
          </w:p>
        </w:tc>
        <w:tc>
          <w:tcPr>
            <w:tcW w:w="7610" w:type="dxa"/>
          </w:tcPr>
          <w:p w14:paraId="632CD22C" w14:textId="77777777" w:rsidR="009B1324" w:rsidRDefault="009B1324" w:rsidP="00275758">
            <w:pPr>
              <w:rPr>
                <w:lang w:eastAsia="en-US"/>
              </w:rPr>
            </w:pPr>
            <w:r>
              <w:rPr>
                <w:lang w:eastAsia="en-US"/>
              </w:rPr>
              <w:t xml:space="preserve">Mírný pokles byl v průběhu roku vidět i na úrokových sazbách úvěrů pro domácnosti. Pokles úročení úvěrů na spotřebu je dlouhodobý a rok 2020 na tento trend navázal. Ke konci prosince průměrná sazba činila 7,69 %, což je meziročně o 0,59 p. b. </w:t>
            </w:r>
            <w:proofErr w:type="gramStart"/>
            <w:r>
              <w:rPr>
                <w:lang w:eastAsia="en-US"/>
              </w:rPr>
              <w:t>méně</w:t>
            </w:r>
            <w:proofErr w:type="gramEnd"/>
            <w:r>
              <w:rPr>
                <w:lang w:eastAsia="en-US"/>
              </w:rPr>
              <w:t xml:space="preserve">. Úročení úvěrů na bydlení loni také klesalo. Ke konci roku průměrně činilo 2,1 %, což je meziročně o 0,39 p. b. </w:t>
            </w:r>
            <w:proofErr w:type="gramStart"/>
            <w:r>
              <w:rPr>
                <w:lang w:eastAsia="en-US"/>
              </w:rPr>
              <w:t>méně</w:t>
            </w:r>
            <w:proofErr w:type="gramEnd"/>
            <w:r>
              <w:rPr>
                <w:lang w:eastAsia="en-US"/>
              </w:rPr>
              <w:t xml:space="preserve">. Dynamika spotřebních úvěrů od 2. čtvrtletí dle očekávání výrazně zpomalovala. Kombinace omezené spotřeby i značné nejistoty domácností srazila na konci roku meziroční přírůstek objemu úvěrů na spotřebu na 2,6 %. Naopak </w:t>
            </w:r>
            <w:r>
              <w:rPr>
                <w:lang w:eastAsia="en-US"/>
              </w:rPr>
              <w:lastRenderedPageBreak/>
              <w:t>poměrně vysoké zůstalo meziroční tempo růstu objemu úvěrů na bydlení (v průběhu roku nekleslo pod 7,5 % a ve 2. pololetí zrychlilo nad 8 %). Zadlužení domácností ve výsledku rostlo podobným tempem jako v předchozích letech (k 31. prosinci bylo meziročně vyšší o 6,1 %). Zadlužení na spotřebu bylo ke konci roku meziročně nižší o 0,1 % a zadlužení na bydlení vyšší o 8,0 %.</w:t>
            </w:r>
          </w:p>
        </w:tc>
      </w:tr>
      <w:tr w:rsidR="009B1324" w14:paraId="25A025DC" w14:textId="77777777" w:rsidTr="00275758">
        <w:trPr>
          <w:trHeight w:val="145"/>
        </w:trPr>
        <w:tc>
          <w:tcPr>
            <w:tcW w:w="1802" w:type="dxa"/>
          </w:tcPr>
          <w:p w14:paraId="77545E49" w14:textId="77777777" w:rsidR="009B1324" w:rsidRDefault="009B1324" w:rsidP="00275758">
            <w:pPr>
              <w:pStyle w:val="Marginlie"/>
              <w:rPr>
                <w:lang w:eastAsia="en-US"/>
              </w:rPr>
            </w:pPr>
            <w:r>
              <w:rPr>
                <w:lang w:eastAsia="en-US"/>
              </w:rPr>
              <w:lastRenderedPageBreak/>
              <w:t>V mnoha odvětvích úvěrová dynamika značně přibrzdila.</w:t>
            </w:r>
          </w:p>
        </w:tc>
        <w:tc>
          <w:tcPr>
            <w:tcW w:w="229" w:type="dxa"/>
          </w:tcPr>
          <w:p w14:paraId="7AB21BAA" w14:textId="77777777" w:rsidR="009B1324" w:rsidRDefault="009B1324" w:rsidP="00275758">
            <w:pPr>
              <w:pStyle w:val="Textpoznpodarou"/>
              <w:jc w:val="both"/>
              <w:rPr>
                <w:spacing w:val="-4"/>
                <w:lang w:eastAsia="en-US"/>
              </w:rPr>
            </w:pPr>
          </w:p>
        </w:tc>
        <w:tc>
          <w:tcPr>
            <w:tcW w:w="7610" w:type="dxa"/>
          </w:tcPr>
          <w:p w14:paraId="1DDC406C" w14:textId="77777777" w:rsidR="009B1324" w:rsidRDefault="009B1324" w:rsidP="00275758">
            <w:pPr>
              <w:rPr>
                <w:lang w:eastAsia="en-US"/>
              </w:rPr>
            </w:pPr>
            <w:r>
              <w:rPr>
                <w:lang w:eastAsia="en-US"/>
              </w:rPr>
              <w:t>Průměrná úroková sazba úvěrů pro nefinanční podniky v průběhu roku klesala a dna dosáhla ve 3. čtvrtletí. V závěru roku se ale prudce zvýšila. Tento vývoj ovlivnila hlavně kategorie úvěrů nad 30 mil. korun. Zde úročení kleslo až na 1,15 % ve 3. čtvrtletí, ale do konce prosince stouplo na 1,72 %. Podobnou dynamiku měly i úvěry mezi 7,5 a 30 miliony (do konce září zde úroková sazba klesla na 2,3 %, ale opět vzrostla na 2,54 %). Naopak úročení úvěrů do 7,5 mil. korun v průběhu celého roku klesalo. Ke konci prosince 2020 činilo 3,26 % a meziročně se snížilo o 0,85 p. b. Celkový objem úvěrů a pohledávek nefinančních podniků ke konci roku 2020 dosáhl 1 123,0 mld. korun a meziročně se zvýšil o 2,3 %. Zatímco objem úvěrů a pohledávek v korunách od 2. čtvrtletí meziročně klesal, opět výrazně zrychlil růst objemu půjček v cizích měnách, především půjček krátkodobých</w:t>
            </w:r>
            <w:r>
              <w:rPr>
                <w:rStyle w:val="Znakapoznpodarou"/>
                <w:lang w:eastAsia="en-US"/>
              </w:rPr>
              <w:footnoteReference w:id="68"/>
            </w:r>
            <w:r>
              <w:rPr>
                <w:lang w:eastAsia="en-US"/>
              </w:rPr>
              <w:t xml:space="preserve"> a dlouhodobých. Ke konci roku 2020 byl meziročně nižší objem poskytnutých úvěrů zejména v odvětvích výroba a rozvod elektřiny, plynu, tepla, vzduchu, </w:t>
            </w:r>
            <w:proofErr w:type="gramStart"/>
            <w:r>
              <w:rPr>
                <w:lang w:eastAsia="en-US"/>
              </w:rPr>
              <w:t>vody (–20,8</w:t>
            </w:r>
            <w:proofErr w:type="gramEnd"/>
            <w:r>
              <w:rPr>
                <w:lang w:eastAsia="en-US"/>
              </w:rPr>
              <w:t> %), v kulturních, zábavních, rekreačních a ostatních činnostech (–13,8 %), velkoobchod a maloobchod, opravy a údržba motorových vozidel (–4,5 %) a informační a komunikační činnosti (–4,3 %). Po celý rok výrazně zpomaloval růst půjček zpracovatelskému průmyslu (na konci prosince byl objem meziročně o 0,9 % vyšší). Posílení tempa naopak probíhalo u dopravy a skladování a ubytování (až na 11,0 % ke konci roku) a stravování a pohostinství (19,7 %).</w:t>
            </w:r>
          </w:p>
        </w:tc>
      </w:tr>
      <w:tr w:rsidR="009B1324" w14:paraId="1E2B34C9" w14:textId="77777777" w:rsidTr="00275758">
        <w:trPr>
          <w:trHeight w:val="304"/>
        </w:trPr>
        <w:tc>
          <w:tcPr>
            <w:tcW w:w="1802" w:type="dxa"/>
            <w:vMerge w:val="restart"/>
          </w:tcPr>
          <w:p w14:paraId="0BD92C5C" w14:textId="77777777" w:rsidR="009B1324" w:rsidRDefault="009B1324" w:rsidP="00275758">
            <w:pPr>
              <w:pStyle w:val="Marginlie"/>
              <w:rPr>
                <w:lang w:eastAsia="en-US"/>
              </w:rPr>
            </w:pPr>
          </w:p>
        </w:tc>
        <w:tc>
          <w:tcPr>
            <w:tcW w:w="229" w:type="dxa"/>
            <w:vMerge w:val="restart"/>
          </w:tcPr>
          <w:p w14:paraId="25878B2F" w14:textId="77777777" w:rsidR="009B1324" w:rsidRDefault="009B1324" w:rsidP="00275758">
            <w:pPr>
              <w:pStyle w:val="Textpoznpodarou"/>
              <w:jc w:val="both"/>
              <w:rPr>
                <w:spacing w:val="-4"/>
                <w:lang w:eastAsia="en-US"/>
              </w:rPr>
            </w:pPr>
          </w:p>
        </w:tc>
        <w:tc>
          <w:tcPr>
            <w:tcW w:w="7610" w:type="dxa"/>
            <w:hideMark/>
          </w:tcPr>
          <w:p w14:paraId="5BF341AB" w14:textId="69F2242C" w:rsidR="009B1324" w:rsidRPr="00D721B4" w:rsidRDefault="00B026FE" w:rsidP="00275758">
            <w:pPr>
              <w:spacing w:after="0"/>
              <w:rPr>
                <w:szCs w:val="20"/>
                <w:lang w:eastAsia="en-US"/>
              </w:rPr>
            </w:pPr>
            <w:r w:rsidRPr="00D721B4">
              <w:rPr>
                <w:rFonts w:cs="Arial"/>
                <w:b/>
                <w:bCs/>
                <w:color w:val="000000"/>
                <w:szCs w:val="20"/>
                <w:lang w:eastAsia="en-US"/>
              </w:rPr>
              <w:t>Graf č. 16</w:t>
            </w:r>
            <w:r w:rsidR="009B1324" w:rsidRPr="00D721B4">
              <w:rPr>
                <w:rFonts w:cs="Arial"/>
                <w:b/>
                <w:bCs/>
                <w:color w:val="000000"/>
                <w:szCs w:val="20"/>
                <w:lang w:eastAsia="en-US"/>
              </w:rPr>
              <w:t xml:space="preserve">  </w:t>
            </w:r>
            <w:r w:rsidR="009B1324" w:rsidRPr="00D721B4">
              <w:rPr>
                <w:b/>
                <w:spacing w:val="-4"/>
                <w:szCs w:val="20"/>
                <w:lang w:eastAsia="en-US"/>
              </w:rPr>
              <w:t xml:space="preserve">Tržní úrokové sazby </w:t>
            </w:r>
            <w:r w:rsidR="009B1324" w:rsidRPr="00D721B4">
              <w:rPr>
                <w:bCs/>
                <w:spacing w:val="-4"/>
                <w:szCs w:val="20"/>
                <w:lang w:eastAsia="en-US"/>
              </w:rPr>
              <w:t>(v %)</w:t>
            </w:r>
          </w:p>
        </w:tc>
      </w:tr>
      <w:tr w:rsidR="009B1324" w14:paraId="4F90BC44" w14:textId="77777777" w:rsidTr="00275758">
        <w:tblPrEx>
          <w:tblCellMar>
            <w:left w:w="70" w:type="dxa"/>
            <w:right w:w="70" w:type="dxa"/>
          </w:tblCellMar>
        </w:tblPrEx>
        <w:trPr>
          <w:trHeight w:val="170"/>
        </w:trPr>
        <w:tc>
          <w:tcPr>
            <w:tcW w:w="1802" w:type="dxa"/>
            <w:vMerge/>
            <w:vAlign w:val="center"/>
            <w:hideMark/>
          </w:tcPr>
          <w:p w14:paraId="7A94B990" w14:textId="77777777" w:rsidR="009B1324" w:rsidRDefault="009B1324" w:rsidP="00275758">
            <w:pPr>
              <w:spacing w:after="0" w:line="240" w:lineRule="auto"/>
              <w:jc w:val="left"/>
              <w:rPr>
                <w:spacing w:val="-2"/>
                <w:sz w:val="16"/>
                <w:szCs w:val="16"/>
                <w:lang w:eastAsia="en-US"/>
              </w:rPr>
            </w:pPr>
          </w:p>
        </w:tc>
        <w:tc>
          <w:tcPr>
            <w:tcW w:w="229" w:type="dxa"/>
            <w:vMerge/>
            <w:vAlign w:val="center"/>
            <w:hideMark/>
          </w:tcPr>
          <w:p w14:paraId="369FD282" w14:textId="77777777" w:rsidR="009B1324" w:rsidRDefault="009B1324" w:rsidP="00275758">
            <w:pPr>
              <w:spacing w:after="0" w:line="240" w:lineRule="auto"/>
              <w:jc w:val="left"/>
              <w:rPr>
                <w:rFonts w:eastAsia="Calibri"/>
                <w:spacing w:val="-4"/>
                <w:szCs w:val="20"/>
                <w:lang w:eastAsia="en-US"/>
              </w:rPr>
            </w:pPr>
          </w:p>
        </w:tc>
        <w:tc>
          <w:tcPr>
            <w:tcW w:w="7610" w:type="dxa"/>
            <w:hideMark/>
          </w:tcPr>
          <w:p w14:paraId="2C5B8F2F" w14:textId="77777777" w:rsidR="009B1324" w:rsidRDefault="009B1324" w:rsidP="00275758">
            <w:pPr>
              <w:spacing w:after="0"/>
              <w:rPr>
                <w:sz w:val="14"/>
                <w:szCs w:val="14"/>
                <w:lang w:eastAsia="en-US"/>
              </w:rPr>
            </w:pPr>
            <w:r>
              <w:rPr>
                <w:noProof/>
              </w:rPr>
              <w:drawing>
                <wp:inline distT="0" distB="0" distL="0" distR="0" wp14:anchorId="7E5CBCD6" wp14:editId="46C54F42">
                  <wp:extent cx="4737600" cy="3432550"/>
                  <wp:effectExtent l="0" t="0" r="6350" b="0"/>
                  <wp:docPr id="42" name="Graf 42">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9B1324" w14:paraId="30DD4BA7" w14:textId="77777777" w:rsidTr="00275758">
        <w:trPr>
          <w:trHeight w:val="170"/>
        </w:trPr>
        <w:tc>
          <w:tcPr>
            <w:tcW w:w="0" w:type="auto"/>
            <w:vMerge/>
            <w:vAlign w:val="center"/>
            <w:hideMark/>
          </w:tcPr>
          <w:p w14:paraId="7E934D66" w14:textId="77777777" w:rsidR="009B1324" w:rsidRDefault="009B1324" w:rsidP="00275758">
            <w:pPr>
              <w:spacing w:after="0" w:line="240" w:lineRule="auto"/>
              <w:jc w:val="left"/>
              <w:rPr>
                <w:spacing w:val="-2"/>
                <w:sz w:val="16"/>
                <w:szCs w:val="16"/>
                <w:lang w:eastAsia="en-US"/>
              </w:rPr>
            </w:pPr>
          </w:p>
        </w:tc>
        <w:tc>
          <w:tcPr>
            <w:tcW w:w="0" w:type="auto"/>
            <w:vMerge/>
            <w:vAlign w:val="center"/>
            <w:hideMark/>
          </w:tcPr>
          <w:p w14:paraId="740D33F1" w14:textId="77777777" w:rsidR="009B1324" w:rsidRDefault="009B1324" w:rsidP="00275758">
            <w:pPr>
              <w:spacing w:after="0" w:line="240" w:lineRule="auto"/>
              <w:jc w:val="left"/>
              <w:rPr>
                <w:rFonts w:eastAsia="Calibri"/>
                <w:spacing w:val="-4"/>
                <w:szCs w:val="20"/>
                <w:lang w:eastAsia="en-US"/>
              </w:rPr>
            </w:pPr>
          </w:p>
        </w:tc>
        <w:tc>
          <w:tcPr>
            <w:tcW w:w="7610" w:type="dxa"/>
            <w:hideMark/>
          </w:tcPr>
          <w:p w14:paraId="398EA85A" w14:textId="77777777" w:rsidR="009B1324" w:rsidRDefault="009B1324" w:rsidP="00275758">
            <w:pPr>
              <w:spacing w:after="0"/>
              <w:rPr>
                <w:sz w:val="14"/>
                <w:szCs w:val="14"/>
                <w:lang w:eastAsia="en-US"/>
              </w:rPr>
            </w:pPr>
            <w:r>
              <w:rPr>
                <w:sz w:val="14"/>
                <w:szCs w:val="14"/>
                <w:lang w:eastAsia="en-US"/>
              </w:rPr>
              <w:t>Zdroj: ČNB</w:t>
            </w:r>
          </w:p>
        </w:tc>
      </w:tr>
    </w:tbl>
    <w:p w14:paraId="34AC2008" w14:textId="77777777" w:rsidR="009B1324" w:rsidRDefault="009B1324" w:rsidP="009B1324">
      <w:pPr>
        <w:pStyle w:val="Nadpis11"/>
        <w:rPr>
          <w:b w:val="0"/>
          <w:sz w:val="2"/>
          <w:szCs w:val="2"/>
          <w:highlight w:val="yellow"/>
        </w:rPr>
      </w:pPr>
    </w:p>
    <w:p w14:paraId="4A55AEFE" w14:textId="77777777" w:rsidR="009B1324" w:rsidRDefault="009B1324" w:rsidP="009B1324">
      <w:pPr>
        <w:spacing w:after="0" w:line="240" w:lineRule="auto"/>
        <w:jc w:val="left"/>
        <w:rPr>
          <w:b/>
          <w:sz w:val="2"/>
          <w:szCs w:val="2"/>
          <w:highlight w:val="yellow"/>
        </w:rPr>
      </w:pPr>
    </w:p>
    <w:p w14:paraId="5427292E" w14:textId="77777777" w:rsidR="009B1324" w:rsidRPr="00E42054" w:rsidRDefault="009B1324" w:rsidP="009B1324">
      <w:pPr>
        <w:pStyle w:val="Nadpis11"/>
        <w:spacing w:after="0"/>
        <w:rPr>
          <w:b w:val="0"/>
          <w:sz w:val="2"/>
          <w:szCs w:val="2"/>
        </w:rPr>
      </w:pPr>
    </w:p>
    <w:p w14:paraId="7D639A8E" w14:textId="77777777" w:rsidR="009B1324" w:rsidRDefault="009B1324" w:rsidP="009B1324">
      <w:pPr>
        <w:pStyle w:val="Nadpis11"/>
        <w:rPr>
          <w:b w:val="0"/>
          <w:sz w:val="2"/>
          <w:szCs w:val="2"/>
          <w:highlight w:val="yellow"/>
        </w:rPr>
      </w:pPr>
    </w:p>
    <w:p w14:paraId="712D3969" w14:textId="77777777" w:rsidR="009B1324" w:rsidRDefault="009B1324" w:rsidP="009B1324">
      <w:pPr>
        <w:spacing w:after="0" w:line="240" w:lineRule="auto"/>
        <w:jc w:val="left"/>
        <w:rPr>
          <w:b/>
          <w:sz w:val="2"/>
          <w:szCs w:val="2"/>
          <w:highlight w:val="yellow"/>
        </w:rPr>
      </w:pPr>
    </w:p>
    <w:p w14:paraId="6F006CD9" w14:textId="77777777" w:rsidR="009B1324" w:rsidRPr="00E42054" w:rsidRDefault="009B1324" w:rsidP="009B1324">
      <w:pPr>
        <w:spacing w:after="0" w:line="240" w:lineRule="auto"/>
        <w:jc w:val="left"/>
        <w:rPr>
          <w:b/>
          <w:sz w:val="2"/>
          <w:szCs w:val="2"/>
        </w:rPr>
      </w:pPr>
    </w:p>
    <w:p w14:paraId="20B44BAB" w14:textId="77777777" w:rsidR="00267C51" w:rsidRDefault="00267C51" w:rsidP="00267C51">
      <w:pPr>
        <w:pStyle w:val="Nadpis11"/>
      </w:pPr>
      <w:bookmarkStart w:id="26" w:name="_Toc50712132"/>
      <w:bookmarkStart w:id="27" w:name="_Toc66954409"/>
      <w:bookmarkEnd w:id="23"/>
      <w:r w:rsidRPr="00787441">
        <w:rPr>
          <w:szCs w:val="32"/>
        </w:rPr>
        <w:lastRenderedPageBreak/>
        <w:t>8</w:t>
      </w:r>
      <w:r>
        <w:t>. </w:t>
      </w:r>
      <w:r w:rsidRPr="009110F7">
        <w:t>Státní rozpočet</w:t>
      </w:r>
      <w:bookmarkEnd w:id="27"/>
    </w:p>
    <w:tbl>
      <w:tblPr>
        <w:tblW w:w="9669" w:type="dxa"/>
        <w:tblInd w:w="-20" w:type="dxa"/>
        <w:tblCellMar>
          <w:left w:w="0" w:type="dxa"/>
          <w:right w:w="0" w:type="dxa"/>
        </w:tblCellMar>
        <w:tblLook w:val="00A0" w:firstRow="1" w:lastRow="0" w:firstColumn="1" w:lastColumn="0" w:noHBand="0" w:noVBand="0"/>
      </w:tblPr>
      <w:tblGrid>
        <w:gridCol w:w="1732"/>
        <w:gridCol w:w="217"/>
        <w:gridCol w:w="7720"/>
      </w:tblGrid>
      <w:tr w:rsidR="00267C51" w:rsidRPr="003C07E6" w14:paraId="3B13443D" w14:textId="77777777" w:rsidTr="00D932B8">
        <w:trPr>
          <w:trHeight w:val="145"/>
        </w:trPr>
        <w:tc>
          <w:tcPr>
            <w:tcW w:w="1732" w:type="dxa"/>
            <w:shd w:val="clear" w:color="auto" w:fill="auto"/>
            <w:tcMar>
              <w:left w:w="0" w:type="dxa"/>
            </w:tcMar>
          </w:tcPr>
          <w:p w14:paraId="3FC793F2" w14:textId="77777777" w:rsidR="00267C51" w:rsidRDefault="00267C51" w:rsidP="00D932B8">
            <w:pPr>
              <w:pStyle w:val="Marginlie"/>
            </w:pPr>
            <w:r>
              <w:t>Výše loňského deficitu státního rozpočtu i jeho meziroční prohloubení byly v historii samostatné ČR rekordní.</w:t>
            </w:r>
          </w:p>
        </w:tc>
        <w:tc>
          <w:tcPr>
            <w:tcW w:w="217" w:type="dxa"/>
            <w:shd w:val="clear" w:color="auto" w:fill="auto"/>
            <w:tcMar>
              <w:left w:w="0" w:type="dxa"/>
            </w:tcMar>
          </w:tcPr>
          <w:p w14:paraId="668386ED" w14:textId="77777777" w:rsidR="00267C51" w:rsidRDefault="00267C51" w:rsidP="00D932B8">
            <w:pPr>
              <w:pStyle w:val="Textpoznpodarou"/>
              <w:jc w:val="both"/>
              <w:rPr>
                <w:spacing w:val="-4"/>
              </w:rPr>
            </w:pPr>
          </w:p>
        </w:tc>
        <w:tc>
          <w:tcPr>
            <w:tcW w:w="7720" w:type="dxa"/>
            <w:shd w:val="clear" w:color="auto" w:fill="auto"/>
            <w:tcMar>
              <w:left w:w="0" w:type="dxa"/>
            </w:tcMar>
          </w:tcPr>
          <w:p w14:paraId="5EDC0E08" w14:textId="77777777" w:rsidR="00267C51" w:rsidRPr="00347DD9" w:rsidRDefault="00267C51" w:rsidP="00267C51">
            <w:pPr>
              <w:rPr>
                <w:spacing w:val="-4"/>
              </w:rPr>
            </w:pPr>
            <w:r>
              <w:rPr>
                <w:spacing w:val="-4"/>
              </w:rPr>
              <w:t xml:space="preserve">V roce 2020 skončilo hospodaření státního rozpočtu </w:t>
            </w:r>
            <w:r w:rsidRPr="00347DD9">
              <w:rPr>
                <w:spacing w:val="-4"/>
              </w:rPr>
              <w:t>(SR)</w:t>
            </w:r>
            <w:r w:rsidRPr="00347DD9">
              <w:rPr>
                <w:rStyle w:val="Znakapoznpodarou"/>
                <w:spacing w:val="-4"/>
              </w:rPr>
              <w:footnoteReference w:id="69"/>
            </w:r>
            <w:r>
              <w:rPr>
                <w:spacing w:val="-4"/>
              </w:rPr>
              <w:t xml:space="preserve"> se schodkem ve výši 367,4 mld. korun, jenž byl meziročně o bezmála 340 mld. hlubší. Jeho hodnota i meziroční navýšení neměly v historii samostatné ČR obdobu. Přestože deficitu bylo dosaženo ve všech loňských měsících, na jeho celkové výši se rozhodující měrou podílela </w:t>
            </w:r>
            <w:proofErr w:type="spellStart"/>
            <w:r>
              <w:rPr>
                <w:spacing w:val="-4"/>
              </w:rPr>
              <w:t>protipandemická</w:t>
            </w:r>
            <w:proofErr w:type="spellEnd"/>
            <w:r>
              <w:rPr>
                <w:spacing w:val="-4"/>
              </w:rPr>
              <w:t xml:space="preserve"> opatření, která během jarní i podzimní vlny</w:t>
            </w:r>
            <w:r>
              <w:rPr>
                <w:rStyle w:val="Znakapoznpodarou"/>
                <w:spacing w:val="-4"/>
              </w:rPr>
              <w:footnoteReference w:id="70"/>
            </w:r>
            <w:r>
              <w:rPr>
                <w:spacing w:val="-4"/>
              </w:rPr>
              <w:t xml:space="preserve"> zásadně omezila ekonomickou aktivitu zejména v oblasti tržních služeb. To spolu s úlevami </w:t>
            </w:r>
            <w:r w:rsidRPr="00EA32C7">
              <w:rPr>
                <w:spacing w:val="-4"/>
              </w:rPr>
              <w:t>podnikatelským subjektům</w:t>
            </w:r>
            <w:r>
              <w:rPr>
                <w:spacing w:val="-4"/>
              </w:rPr>
              <w:t xml:space="preserve"> vyústilo ve významný pokles daňového inkasa. Zároveň vyvstala akutní potřeba posílení výdajových transferů na podporu zasažených odvětví i samotných pracovníků, ale také na kompenzaci zvýšených nároků zejména v oblasti zdravotní péče.</w:t>
            </w:r>
          </w:p>
        </w:tc>
      </w:tr>
      <w:tr w:rsidR="00267C51" w:rsidRPr="003C07E6" w14:paraId="40269393" w14:textId="77777777" w:rsidTr="00D932B8">
        <w:trPr>
          <w:trHeight w:val="145"/>
        </w:trPr>
        <w:tc>
          <w:tcPr>
            <w:tcW w:w="1732" w:type="dxa"/>
            <w:shd w:val="clear" w:color="auto" w:fill="auto"/>
            <w:tcMar>
              <w:left w:w="0" w:type="dxa"/>
            </w:tcMar>
          </w:tcPr>
          <w:p w14:paraId="6D2DB13F" w14:textId="77777777" w:rsidR="00267C51" w:rsidRDefault="00267C51" w:rsidP="00D932B8">
            <w:pPr>
              <w:pStyle w:val="Marginlie"/>
            </w:pPr>
            <w:r>
              <w:t>Celostátní daňové inkaso se vlivem propadu ve 2. čtvrtletí za celý loňský rok snížilo o 5,7 %.</w:t>
            </w:r>
          </w:p>
        </w:tc>
        <w:tc>
          <w:tcPr>
            <w:tcW w:w="217" w:type="dxa"/>
            <w:shd w:val="clear" w:color="auto" w:fill="auto"/>
            <w:tcMar>
              <w:left w:w="0" w:type="dxa"/>
            </w:tcMar>
          </w:tcPr>
          <w:p w14:paraId="0CF5BCF8" w14:textId="77777777" w:rsidR="00267C51" w:rsidRDefault="00267C51" w:rsidP="00D932B8">
            <w:pPr>
              <w:pStyle w:val="Textpoznpodarou"/>
              <w:jc w:val="both"/>
              <w:rPr>
                <w:spacing w:val="-4"/>
              </w:rPr>
            </w:pPr>
          </w:p>
        </w:tc>
        <w:tc>
          <w:tcPr>
            <w:tcW w:w="7720" w:type="dxa"/>
            <w:shd w:val="clear" w:color="auto" w:fill="auto"/>
            <w:tcMar>
              <w:left w:w="0" w:type="dxa"/>
            </w:tcMar>
          </w:tcPr>
          <w:p w14:paraId="4A5F2BF8" w14:textId="77777777" w:rsidR="00267C51" w:rsidRPr="00782CBF" w:rsidRDefault="00267C51" w:rsidP="00267C51">
            <w:pPr>
              <w:rPr>
                <w:spacing w:val="-4"/>
              </w:rPr>
            </w:pPr>
            <w:r w:rsidRPr="00782CBF">
              <w:rPr>
                <w:spacing w:val="-4"/>
              </w:rPr>
              <w:t>Po dvou letech silného růstu se v roce 2020 celkové příjmy SR meziročně snížily o</w:t>
            </w:r>
            <w:r>
              <w:rPr>
                <w:spacing w:val="-4"/>
              </w:rPr>
              <w:t> </w:t>
            </w:r>
            <w:r w:rsidRPr="00782CBF">
              <w:rPr>
                <w:spacing w:val="-4"/>
              </w:rPr>
              <w:t>3,1</w:t>
            </w:r>
            <w:r>
              <w:rPr>
                <w:spacing w:val="-4"/>
              </w:rPr>
              <w:t> %</w:t>
            </w:r>
            <w:r w:rsidRPr="00782CBF">
              <w:rPr>
                <w:spacing w:val="-4"/>
              </w:rPr>
              <w:t>. Projevil se citelný výpadek celkových daňových příjmů (ve výši 46,5 mld. korun) i</w:t>
            </w:r>
            <w:r>
              <w:rPr>
                <w:spacing w:val="-4"/>
              </w:rPr>
              <w:t> </w:t>
            </w:r>
            <w:r w:rsidRPr="00782CBF">
              <w:rPr>
                <w:spacing w:val="-4"/>
              </w:rPr>
              <w:t xml:space="preserve">výběru pojistného na sociální </w:t>
            </w:r>
            <w:proofErr w:type="gramStart"/>
            <w:r w:rsidRPr="00782CBF">
              <w:rPr>
                <w:spacing w:val="-4"/>
              </w:rPr>
              <w:t>zabezpečení (–11,3</w:t>
            </w:r>
            <w:proofErr w:type="gramEnd"/>
            <w:r>
              <w:rPr>
                <w:spacing w:val="-4"/>
              </w:rPr>
              <w:t> mld.</w:t>
            </w:r>
            <w:r w:rsidRPr="00782CBF">
              <w:rPr>
                <w:spacing w:val="-4"/>
              </w:rPr>
              <w:t>). Souhrnné celostátní inkaso daní (bez pojistného) na úrovni všech veřejných rozpočtů loni poprvé od roku 2009 meziročně kleslo o 5,7 %</w:t>
            </w:r>
            <w:r w:rsidRPr="00782CBF">
              <w:rPr>
                <w:rStyle w:val="Znakapoznpodarou"/>
                <w:spacing w:val="-4"/>
              </w:rPr>
              <w:footnoteReference w:id="71"/>
            </w:r>
            <w:r w:rsidRPr="00782CBF">
              <w:rPr>
                <w:spacing w:val="-4"/>
              </w:rPr>
              <w:t>. Zatímco v 1. čtvrtletí 2020 toto inkaso ještě rostlo (+4,6</w:t>
            </w:r>
            <w:r>
              <w:rPr>
                <w:spacing w:val="-4"/>
              </w:rPr>
              <w:t> %</w:t>
            </w:r>
            <w:r w:rsidRPr="00782CBF">
              <w:rPr>
                <w:spacing w:val="-4"/>
              </w:rPr>
              <w:t xml:space="preserve">), ve 2. čtvrtletí nastal </w:t>
            </w:r>
            <w:proofErr w:type="gramStart"/>
            <w:r w:rsidRPr="00782CBF">
              <w:rPr>
                <w:spacing w:val="-4"/>
              </w:rPr>
              <w:t>propad (–12,6</w:t>
            </w:r>
            <w:proofErr w:type="gramEnd"/>
            <w:r w:rsidRPr="00782CBF">
              <w:rPr>
                <w:spacing w:val="-4"/>
              </w:rPr>
              <w:t> %). V následujícím kvartálu došlo k určité stabilizaci (+1,3 %), která i</w:t>
            </w:r>
            <w:r>
              <w:rPr>
                <w:spacing w:val="-4"/>
              </w:rPr>
              <w:t> </w:t>
            </w:r>
            <w:r w:rsidRPr="00782CBF">
              <w:rPr>
                <w:spacing w:val="-4"/>
              </w:rPr>
              <w:t xml:space="preserve">přes znovuzavedení </w:t>
            </w:r>
            <w:proofErr w:type="spellStart"/>
            <w:r w:rsidRPr="00782CBF">
              <w:rPr>
                <w:spacing w:val="-4"/>
              </w:rPr>
              <w:t>protipandemických</w:t>
            </w:r>
            <w:proofErr w:type="spellEnd"/>
            <w:r w:rsidRPr="00782CBF">
              <w:rPr>
                <w:spacing w:val="-4"/>
              </w:rPr>
              <w:t xml:space="preserve"> restrikcí ve zbývající části roku pokračovala (+0,3</w:t>
            </w:r>
            <w:r>
              <w:rPr>
                <w:spacing w:val="-4"/>
              </w:rPr>
              <w:t> %</w:t>
            </w:r>
            <w:r w:rsidRPr="00782CBF">
              <w:rPr>
                <w:spacing w:val="-4"/>
              </w:rPr>
              <w:t>). Příjmovou stránku SR podpořil loni, podobně jako v roce 2019, sílící příliv financí z rozpočtu EU a</w:t>
            </w:r>
            <w:r>
              <w:rPr>
                <w:spacing w:val="-4"/>
              </w:rPr>
              <w:t> </w:t>
            </w:r>
            <w:r w:rsidRPr="00782CBF">
              <w:rPr>
                <w:spacing w:val="-4"/>
              </w:rPr>
              <w:t>převod prostředků z privatizačního účtu.</w:t>
            </w:r>
          </w:p>
        </w:tc>
      </w:tr>
      <w:tr w:rsidR="00267C51" w:rsidRPr="003C07E6" w14:paraId="7A01062C" w14:textId="77777777" w:rsidTr="00D932B8">
        <w:trPr>
          <w:trHeight w:val="145"/>
        </w:trPr>
        <w:tc>
          <w:tcPr>
            <w:tcW w:w="1732" w:type="dxa"/>
            <w:shd w:val="clear" w:color="auto" w:fill="auto"/>
            <w:tcMar>
              <w:left w:w="0" w:type="dxa"/>
            </w:tcMar>
          </w:tcPr>
          <w:p w14:paraId="22F83703" w14:textId="77777777" w:rsidR="00267C51" w:rsidRDefault="00267C51" w:rsidP="00D932B8">
            <w:pPr>
              <w:pStyle w:val="Marginlie"/>
            </w:pPr>
            <w:r>
              <w:t>Celostátní inkaso korporátní daně kleslo loni o osminu, nejvíce od roku 2009.</w:t>
            </w:r>
          </w:p>
        </w:tc>
        <w:tc>
          <w:tcPr>
            <w:tcW w:w="217" w:type="dxa"/>
            <w:shd w:val="clear" w:color="auto" w:fill="auto"/>
            <w:tcMar>
              <w:left w:w="0" w:type="dxa"/>
            </w:tcMar>
          </w:tcPr>
          <w:p w14:paraId="276321F1" w14:textId="77777777" w:rsidR="00267C51" w:rsidRDefault="00267C51" w:rsidP="00D932B8">
            <w:pPr>
              <w:pStyle w:val="Textpoznpodarou"/>
              <w:jc w:val="both"/>
              <w:rPr>
                <w:spacing w:val="-4"/>
              </w:rPr>
            </w:pPr>
          </w:p>
        </w:tc>
        <w:tc>
          <w:tcPr>
            <w:tcW w:w="7720" w:type="dxa"/>
            <w:shd w:val="clear" w:color="auto" w:fill="auto"/>
            <w:tcMar>
              <w:left w:w="0" w:type="dxa"/>
            </w:tcMar>
          </w:tcPr>
          <w:p w14:paraId="2119E8B4" w14:textId="77777777" w:rsidR="00267C51" w:rsidRPr="00782CBF" w:rsidRDefault="00267C51" w:rsidP="00267C51">
            <w:pPr>
              <w:rPr>
                <w:spacing w:val="-4"/>
              </w:rPr>
            </w:pPr>
            <w:r w:rsidRPr="00782CBF">
              <w:rPr>
                <w:spacing w:val="-4"/>
              </w:rPr>
              <w:t>Na loňském poklesu celkových daňových příjmů SR se nejvíce podepsal propad výběru korporátní daně. Ten byl nižší o</w:t>
            </w:r>
            <w:r>
              <w:rPr>
                <w:spacing w:val="-4"/>
              </w:rPr>
              <w:t> </w:t>
            </w:r>
            <w:r w:rsidRPr="00782CBF">
              <w:rPr>
                <w:spacing w:val="-4"/>
              </w:rPr>
              <w:t>15,1</w:t>
            </w:r>
            <w:r>
              <w:rPr>
                <w:spacing w:val="-4"/>
              </w:rPr>
              <w:t> mld.</w:t>
            </w:r>
            <w:r w:rsidRPr="00782CBF">
              <w:rPr>
                <w:spacing w:val="-4"/>
              </w:rPr>
              <w:t xml:space="preserve"> korun (za rok 2019 rostl o</w:t>
            </w:r>
            <w:r>
              <w:rPr>
                <w:spacing w:val="-4"/>
              </w:rPr>
              <w:t> </w:t>
            </w:r>
            <w:r w:rsidRPr="00782CBF">
              <w:rPr>
                <w:spacing w:val="-4"/>
              </w:rPr>
              <w:t>6,0</w:t>
            </w:r>
            <w:r>
              <w:rPr>
                <w:spacing w:val="-4"/>
              </w:rPr>
              <w:t> mld.</w:t>
            </w:r>
            <w:r w:rsidRPr="00782CBF">
              <w:rPr>
                <w:spacing w:val="-4"/>
              </w:rPr>
              <w:t>). Projevilo se především prominutí červnové daňové zálohy i</w:t>
            </w:r>
            <w:r>
              <w:rPr>
                <w:spacing w:val="-4"/>
              </w:rPr>
              <w:t> </w:t>
            </w:r>
            <w:r w:rsidRPr="00782CBF">
              <w:rPr>
                <w:spacing w:val="-4"/>
              </w:rPr>
              <w:t>možnost individuálního nastavení záloh daně (souhrnný vliv –20,3</w:t>
            </w:r>
            <w:r>
              <w:rPr>
                <w:spacing w:val="-4"/>
              </w:rPr>
              <w:t> mld.</w:t>
            </w:r>
            <w:r w:rsidRPr="00782CBF">
              <w:rPr>
                <w:spacing w:val="-4"/>
              </w:rPr>
              <w:t>). Celostátní inkaso korporátní daně se meziročně snížilo o</w:t>
            </w:r>
            <w:r>
              <w:rPr>
                <w:spacing w:val="-4"/>
              </w:rPr>
              <w:t> </w:t>
            </w:r>
            <w:r w:rsidRPr="00782CBF">
              <w:rPr>
                <w:spacing w:val="-4"/>
              </w:rPr>
              <w:t>12,2</w:t>
            </w:r>
            <w:r>
              <w:rPr>
                <w:spacing w:val="-4"/>
              </w:rPr>
              <w:t> %</w:t>
            </w:r>
            <w:r w:rsidRPr="00782CBF">
              <w:rPr>
                <w:spacing w:val="-4"/>
              </w:rPr>
              <w:t xml:space="preserve">, tedy více než v roce </w:t>
            </w:r>
            <w:proofErr w:type="gramStart"/>
            <w:r w:rsidRPr="00782CBF">
              <w:rPr>
                <w:spacing w:val="-4"/>
              </w:rPr>
              <w:t>2013 (–5,7</w:t>
            </w:r>
            <w:proofErr w:type="gramEnd"/>
            <w:r>
              <w:rPr>
                <w:spacing w:val="-4"/>
              </w:rPr>
              <w:t> %</w:t>
            </w:r>
            <w:r w:rsidRPr="00782CBF">
              <w:rPr>
                <w:spacing w:val="-4"/>
              </w:rPr>
              <w:t>), ale současně mnohem méně než v krizovém roce 2009 (–34,5</w:t>
            </w:r>
            <w:r>
              <w:rPr>
                <w:spacing w:val="-4"/>
              </w:rPr>
              <w:t> %</w:t>
            </w:r>
            <w:r w:rsidRPr="00782CBF">
              <w:rPr>
                <w:spacing w:val="-4"/>
              </w:rPr>
              <w:t>). Pozitivní bylo, že v samotném 4.</w:t>
            </w:r>
            <w:r>
              <w:rPr>
                <w:spacing w:val="-4"/>
              </w:rPr>
              <w:t> čtvrtlet</w:t>
            </w:r>
            <w:r w:rsidRPr="00782CBF">
              <w:rPr>
                <w:spacing w:val="-4"/>
              </w:rPr>
              <w:t>í 2020 vý</w:t>
            </w:r>
            <w:r>
              <w:rPr>
                <w:spacing w:val="-4"/>
              </w:rPr>
              <w:t>běr daně meziročně vzrostl (+16</w:t>
            </w:r>
            <w:r w:rsidRPr="00782CBF">
              <w:rPr>
                <w:spacing w:val="-4"/>
              </w:rPr>
              <w:t xml:space="preserve"> %). To mohlo souviset s oživením průmyslu. Nepříznivé výsledky hospodaření podniků v odvětvích služeb nejvíce zasažených </w:t>
            </w:r>
            <w:proofErr w:type="spellStart"/>
            <w:r w:rsidRPr="00782CBF">
              <w:rPr>
                <w:spacing w:val="-4"/>
              </w:rPr>
              <w:t>protipandemickými</w:t>
            </w:r>
            <w:proofErr w:type="spellEnd"/>
            <w:r w:rsidRPr="00782CBF">
              <w:rPr>
                <w:spacing w:val="-4"/>
              </w:rPr>
              <w:t xml:space="preserve"> restrikcemi se v</w:t>
            </w:r>
            <w:r>
              <w:rPr>
                <w:spacing w:val="-4"/>
              </w:rPr>
              <w:t> </w:t>
            </w:r>
            <w:r w:rsidRPr="00782CBF">
              <w:rPr>
                <w:spacing w:val="-4"/>
              </w:rPr>
              <w:t>inkasu korporátní daně zatím zdaleka plně neprojevily</w:t>
            </w:r>
            <w:r w:rsidRPr="00782CBF">
              <w:rPr>
                <w:rStyle w:val="Znakapoznpodarou"/>
                <w:spacing w:val="-4"/>
              </w:rPr>
              <w:footnoteReference w:id="72"/>
            </w:r>
            <w:r w:rsidRPr="00782CBF">
              <w:rPr>
                <w:spacing w:val="-4"/>
              </w:rPr>
              <w:t>.</w:t>
            </w:r>
          </w:p>
        </w:tc>
      </w:tr>
      <w:tr w:rsidR="00267C51" w:rsidRPr="003C07E6" w14:paraId="61CA4A11" w14:textId="77777777" w:rsidTr="00D932B8">
        <w:trPr>
          <w:trHeight w:val="145"/>
        </w:trPr>
        <w:tc>
          <w:tcPr>
            <w:tcW w:w="1732" w:type="dxa"/>
            <w:shd w:val="clear" w:color="auto" w:fill="auto"/>
            <w:tcMar>
              <w:left w:w="0" w:type="dxa"/>
            </w:tcMar>
          </w:tcPr>
          <w:p w14:paraId="1456BC73" w14:textId="77777777" w:rsidR="00267C51" w:rsidRDefault="00267C51" w:rsidP="00D932B8">
            <w:pPr>
              <w:pStyle w:val="Marginlie"/>
            </w:pPr>
            <w:r>
              <w:t>Výběr daně z příjmu fyzických osob byl v roce 2020 zásadně ovlivněn vyplacenými kompenzačními bonusy, resp. propadem ve 2. čtvrtletí. Ve 2. polovině roku daňové inkaso mírně rostlo.</w:t>
            </w:r>
          </w:p>
        </w:tc>
        <w:tc>
          <w:tcPr>
            <w:tcW w:w="217" w:type="dxa"/>
            <w:shd w:val="clear" w:color="auto" w:fill="auto"/>
            <w:tcMar>
              <w:left w:w="0" w:type="dxa"/>
            </w:tcMar>
          </w:tcPr>
          <w:p w14:paraId="5E8841FF" w14:textId="77777777" w:rsidR="00267C51" w:rsidRDefault="00267C51" w:rsidP="00D932B8">
            <w:pPr>
              <w:pStyle w:val="Textpoznpodarou"/>
              <w:jc w:val="both"/>
              <w:rPr>
                <w:spacing w:val="-4"/>
              </w:rPr>
            </w:pPr>
          </w:p>
        </w:tc>
        <w:tc>
          <w:tcPr>
            <w:tcW w:w="7720" w:type="dxa"/>
            <w:shd w:val="clear" w:color="auto" w:fill="auto"/>
            <w:tcMar>
              <w:left w:w="0" w:type="dxa"/>
            </w:tcMar>
          </w:tcPr>
          <w:p w14:paraId="2C58B2A6" w14:textId="77777777" w:rsidR="00267C51" w:rsidRPr="00782CBF" w:rsidRDefault="00267C51" w:rsidP="00267C51">
            <w:pPr>
              <w:rPr>
                <w:spacing w:val="-4"/>
              </w:rPr>
            </w:pPr>
            <w:r w:rsidRPr="00782CBF">
              <w:rPr>
                <w:spacing w:val="-4"/>
              </w:rPr>
              <w:t>Na dani z příjmu fyzických osob (FO) placené plátci získal SR meziročně o 5,3 % (resp. 7,5 mld. korun) méně. Obdobným tempem se snižovalo i celostátní inkaso této daně, které tak kleslo poprvé za posledních jedenáct let</w:t>
            </w:r>
            <w:r w:rsidRPr="00782CBF">
              <w:rPr>
                <w:rStyle w:val="Znakapoznpodarou"/>
                <w:spacing w:val="-4"/>
              </w:rPr>
              <w:footnoteReference w:id="73"/>
            </w:r>
            <w:r w:rsidRPr="00782CBF">
              <w:rPr>
                <w:spacing w:val="-4"/>
              </w:rPr>
              <w:t>. Klíčovou roli zde sehrála přímá podpora formou vyplácení kompenzačních bonusů, zejména OSVČ (v</w:t>
            </w:r>
            <w:r>
              <w:rPr>
                <w:spacing w:val="-4"/>
              </w:rPr>
              <w:t> </w:t>
            </w:r>
            <w:r w:rsidRPr="00782CBF">
              <w:rPr>
                <w:spacing w:val="-4"/>
              </w:rPr>
              <w:t>celkové výši 16,1 mld. korun), projevil se také vyšší počet osob pečujících o dítě v období uzavření škol, pokles zaměstnanosti i nižší dynamika růstu průměrných mezd v ekonomice. Celoroční inkaso bylo zásadně ovlivněno propadem ve 2.</w:t>
            </w:r>
            <w:r>
              <w:rPr>
                <w:spacing w:val="-4"/>
              </w:rPr>
              <w:t> čtvrtlet</w:t>
            </w:r>
            <w:r w:rsidRPr="00782CBF">
              <w:rPr>
                <w:spacing w:val="-4"/>
              </w:rPr>
              <w:t>í 2020, v následujících dvou kvartálech inkaso meziročně mírně rostlo (+4</w:t>
            </w:r>
            <w:r>
              <w:rPr>
                <w:spacing w:val="-4"/>
              </w:rPr>
              <w:t> %</w:t>
            </w:r>
            <w:r w:rsidRPr="00782CBF">
              <w:rPr>
                <w:spacing w:val="-4"/>
              </w:rPr>
              <w:t>). Příjem SR z ostatních daní od </w:t>
            </w:r>
            <w:proofErr w:type="gramStart"/>
            <w:r w:rsidRPr="00782CBF">
              <w:rPr>
                <w:spacing w:val="-4"/>
              </w:rPr>
              <w:t>FO</w:t>
            </w:r>
            <w:proofErr w:type="gramEnd"/>
            <w:r w:rsidRPr="00782CBF">
              <w:rPr>
                <w:spacing w:val="-4"/>
              </w:rPr>
              <w:t xml:space="preserve"> se v roce 2020 snížil o osminu. Inkaso daně z přiznání (placené poplatníky) bylo nejnižší za poslední čtyři roky (4,6</w:t>
            </w:r>
            <w:r>
              <w:rPr>
                <w:spacing w:val="-4"/>
              </w:rPr>
              <w:t> mld.</w:t>
            </w:r>
            <w:r w:rsidRPr="00782CBF">
              <w:rPr>
                <w:spacing w:val="-4"/>
              </w:rPr>
              <w:t xml:space="preserve"> korun), hlavně vlivem prominutí části záloh daně (popřípadě jejich snížení) a</w:t>
            </w:r>
            <w:r>
              <w:rPr>
                <w:spacing w:val="-4"/>
              </w:rPr>
              <w:t> </w:t>
            </w:r>
            <w:r w:rsidRPr="00782CBF">
              <w:rPr>
                <w:spacing w:val="-4"/>
              </w:rPr>
              <w:t>také opětovným zvýšením výdajových paušálů. Naopak na příjmové dani FO vybírané srážkou získal SR meziročně o</w:t>
            </w:r>
            <w:r>
              <w:rPr>
                <w:spacing w:val="-4"/>
              </w:rPr>
              <w:t> </w:t>
            </w:r>
            <w:r w:rsidRPr="00782CBF">
              <w:rPr>
                <w:spacing w:val="-4"/>
              </w:rPr>
              <w:t>3</w:t>
            </w:r>
            <w:r>
              <w:rPr>
                <w:spacing w:val="-4"/>
              </w:rPr>
              <w:t> %</w:t>
            </w:r>
            <w:r w:rsidRPr="00782CBF">
              <w:rPr>
                <w:spacing w:val="-4"/>
              </w:rPr>
              <w:t xml:space="preserve"> více</w:t>
            </w:r>
            <w:r w:rsidRPr="00782CBF">
              <w:rPr>
                <w:rStyle w:val="Znakapoznpodarou"/>
                <w:spacing w:val="-4"/>
              </w:rPr>
              <w:footnoteReference w:id="74"/>
            </w:r>
            <w:r w:rsidRPr="00782CBF">
              <w:rPr>
                <w:spacing w:val="-4"/>
              </w:rPr>
              <w:t>. Na výši této daně měl vliv počet zkrácených pracovních úvazků (dohod o</w:t>
            </w:r>
            <w:r>
              <w:rPr>
                <w:spacing w:val="-4"/>
              </w:rPr>
              <w:t> </w:t>
            </w:r>
            <w:r w:rsidRPr="00782CBF">
              <w:rPr>
                <w:spacing w:val="-4"/>
              </w:rPr>
              <w:t>provedení práce) a</w:t>
            </w:r>
            <w:r>
              <w:rPr>
                <w:spacing w:val="-4"/>
              </w:rPr>
              <w:t> </w:t>
            </w:r>
            <w:r w:rsidRPr="00782CBF">
              <w:rPr>
                <w:spacing w:val="-4"/>
              </w:rPr>
              <w:t>také celková výše úspor domácností a</w:t>
            </w:r>
            <w:r>
              <w:rPr>
                <w:spacing w:val="-4"/>
              </w:rPr>
              <w:t> </w:t>
            </w:r>
            <w:r w:rsidRPr="00782CBF">
              <w:rPr>
                <w:spacing w:val="-4"/>
              </w:rPr>
              <w:t>změna klientských úrokových sazeb.</w:t>
            </w:r>
          </w:p>
        </w:tc>
      </w:tr>
      <w:tr w:rsidR="00267C51" w:rsidRPr="003C07E6" w14:paraId="4CAF8FCB" w14:textId="77777777" w:rsidTr="00D932B8">
        <w:trPr>
          <w:trHeight w:val="145"/>
        </w:trPr>
        <w:tc>
          <w:tcPr>
            <w:tcW w:w="1732" w:type="dxa"/>
            <w:shd w:val="clear" w:color="auto" w:fill="auto"/>
            <w:tcMar>
              <w:left w:w="0" w:type="dxa"/>
            </w:tcMar>
          </w:tcPr>
          <w:p w14:paraId="28885E1F" w14:textId="77777777" w:rsidR="00267C51" w:rsidRDefault="00267C51" w:rsidP="00D932B8">
            <w:pPr>
              <w:pStyle w:val="Marginlie"/>
            </w:pPr>
            <w:r>
              <w:lastRenderedPageBreak/>
              <w:t>Celostátní inkaso DPH loni mírně kleslo, poprvé od roku 2009.</w:t>
            </w:r>
          </w:p>
          <w:p w14:paraId="128F8CFA" w14:textId="77777777" w:rsidR="00267C51" w:rsidRDefault="00267C51" w:rsidP="00D932B8">
            <w:pPr>
              <w:pStyle w:val="Marginlie"/>
            </w:pPr>
          </w:p>
          <w:p w14:paraId="282011C3" w14:textId="77777777" w:rsidR="00267C51" w:rsidRDefault="00267C51" w:rsidP="00D932B8">
            <w:pPr>
              <w:pStyle w:val="Marginlie"/>
            </w:pPr>
          </w:p>
          <w:p w14:paraId="71562F7E" w14:textId="77777777" w:rsidR="00267C51" w:rsidRDefault="00267C51" w:rsidP="00D932B8">
            <w:pPr>
              <w:pStyle w:val="Marginlie"/>
            </w:pPr>
          </w:p>
          <w:p w14:paraId="1268E3D2" w14:textId="77777777" w:rsidR="00267C51" w:rsidRDefault="00267C51" w:rsidP="00D932B8">
            <w:pPr>
              <w:pStyle w:val="Marginlie"/>
            </w:pPr>
          </w:p>
          <w:p w14:paraId="5CF8AA42" w14:textId="77777777" w:rsidR="00267C51" w:rsidRDefault="00267C51" w:rsidP="00D932B8">
            <w:pPr>
              <w:pStyle w:val="Marginlie"/>
            </w:pPr>
          </w:p>
          <w:p w14:paraId="4AA87DF1" w14:textId="77777777" w:rsidR="00267C51" w:rsidRDefault="00267C51" w:rsidP="00D932B8">
            <w:pPr>
              <w:pStyle w:val="Marginlie"/>
            </w:pPr>
          </w:p>
          <w:p w14:paraId="3CF469D5" w14:textId="77777777" w:rsidR="00267C51" w:rsidRDefault="00267C51" w:rsidP="00D932B8">
            <w:pPr>
              <w:pStyle w:val="Marginlie"/>
            </w:pPr>
          </w:p>
          <w:p w14:paraId="078CDDB5" w14:textId="77777777" w:rsidR="00267C51" w:rsidRDefault="00267C51" w:rsidP="00D932B8">
            <w:pPr>
              <w:pStyle w:val="Marginlie"/>
            </w:pPr>
            <w:r>
              <w:t>Za poklesem inkasa spotřební daně stály nižší přepravní výkony, útlum turistického ruchu i opakované uzavírky pohostinských zařízení.</w:t>
            </w:r>
          </w:p>
          <w:p w14:paraId="42222D9D" w14:textId="77777777" w:rsidR="00267C51" w:rsidRDefault="00267C51" w:rsidP="00D932B8">
            <w:pPr>
              <w:pStyle w:val="Marginlie"/>
            </w:pPr>
          </w:p>
        </w:tc>
        <w:tc>
          <w:tcPr>
            <w:tcW w:w="217" w:type="dxa"/>
            <w:shd w:val="clear" w:color="auto" w:fill="auto"/>
            <w:tcMar>
              <w:left w:w="0" w:type="dxa"/>
            </w:tcMar>
          </w:tcPr>
          <w:p w14:paraId="343CB71A" w14:textId="77777777" w:rsidR="00267C51" w:rsidRDefault="00267C51" w:rsidP="00D932B8">
            <w:pPr>
              <w:pStyle w:val="Textpoznpodarou"/>
              <w:jc w:val="both"/>
              <w:rPr>
                <w:spacing w:val="-4"/>
              </w:rPr>
            </w:pPr>
          </w:p>
        </w:tc>
        <w:tc>
          <w:tcPr>
            <w:tcW w:w="7720" w:type="dxa"/>
            <w:shd w:val="clear" w:color="auto" w:fill="auto"/>
            <w:tcMar>
              <w:left w:w="0" w:type="dxa"/>
            </w:tcMar>
          </w:tcPr>
          <w:p w14:paraId="18493CD6" w14:textId="77777777" w:rsidR="00267C51" w:rsidRPr="00F033DA" w:rsidRDefault="00267C51" w:rsidP="00E97F14">
            <w:pPr>
              <w:spacing w:after="200"/>
              <w:rPr>
                <w:spacing w:val="-5"/>
              </w:rPr>
            </w:pPr>
            <w:r w:rsidRPr="00F033DA">
              <w:rPr>
                <w:spacing w:val="-5"/>
              </w:rPr>
              <w:t>Celkové příjmy SR byly v roce 2020 negativně ovlivněny i</w:t>
            </w:r>
            <w:r>
              <w:rPr>
                <w:spacing w:val="-5"/>
              </w:rPr>
              <w:t> </w:t>
            </w:r>
            <w:r w:rsidRPr="00F033DA">
              <w:rPr>
                <w:spacing w:val="-5"/>
              </w:rPr>
              <w:t>propadem výběru majetkových daní (vlivem zrušení daně z nabytí nemovitých věcí s </w:t>
            </w:r>
            <w:proofErr w:type="gramStart"/>
            <w:r w:rsidRPr="00F033DA">
              <w:rPr>
                <w:spacing w:val="-5"/>
              </w:rPr>
              <w:t>dopadem</w:t>
            </w:r>
            <w:proofErr w:type="gramEnd"/>
            <w:r w:rsidRPr="00F033DA">
              <w:rPr>
                <w:spacing w:val="-5"/>
              </w:rPr>
              <w:t xml:space="preserve"> –</w:t>
            </w:r>
            <w:proofErr w:type="gramStart"/>
            <w:r w:rsidRPr="00F033DA">
              <w:rPr>
                <w:spacing w:val="-5"/>
              </w:rPr>
              <w:t>11</w:t>
            </w:r>
            <w:proofErr w:type="gramEnd"/>
            <w:r>
              <w:rPr>
                <w:spacing w:val="-5"/>
              </w:rPr>
              <w:t> mld.</w:t>
            </w:r>
            <w:r w:rsidRPr="00F033DA">
              <w:rPr>
                <w:spacing w:val="-5"/>
              </w:rPr>
              <w:t xml:space="preserve"> korun). Naopak vliv </w:t>
            </w:r>
            <w:r w:rsidRPr="00F033DA">
              <w:rPr>
                <w:color w:val="0D0D0D" w:themeColor="text1" w:themeTint="F2"/>
                <w:spacing w:val="-5"/>
              </w:rPr>
              <w:t xml:space="preserve">nepřímých daní </w:t>
            </w:r>
            <w:r w:rsidRPr="00F033DA">
              <w:rPr>
                <w:spacing w:val="-5"/>
              </w:rPr>
              <w:t>byl loni menší. Z váhově dominantní daně – DPH – plynulo do SR meziročně o 1,2 % (resp. o 3,5 mld. korun) méně. K</w:t>
            </w:r>
            <w:r>
              <w:rPr>
                <w:spacing w:val="-5"/>
              </w:rPr>
              <w:t> </w:t>
            </w:r>
            <w:r w:rsidRPr="00F033DA">
              <w:rPr>
                <w:spacing w:val="-5"/>
              </w:rPr>
              <w:t>celoročnímu poklesu výběru daně (na úrovni všech veřejných rozpočtů) došlo naposledy v roce 2009. Loňské inkaso bylo kromě omezení provozoven ovlivněno i</w:t>
            </w:r>
            <w:r>
              <w:rPr>
                <w:spacing w:val="-5"/>
              </w:rPr>
              <w:t> </w:t>
            </w:r>
            <w:r w:rsidRPr="00F033DA">
              <w:rPr>
                <w:spacing w:val="-5"/>
              </w:rPr>
              <w:t>snížením sazeb daně u</w:t>
            </w:r>
            <w:r>
              <w:rPr>
                <w:spacing w:val="-5"/>
              </w:rPr>
              <w:t> </w:t>
            </w:r>
            <w:r w:rsidRPr="00F033DA">
              <w:rPr>
                <w:spacing w:val="-5"/>
              </w:rPr>
              <w:t>některých služeb (např. ve stravování). Maloobchodní tržby v běžných cenách oproti roku 2019 nepatrně rostly (+0,3</w:t>
            </w:r>
            <w:r>
              <w:rPr>
                <w:spacing w:val="-5"/>
              </w:rPr>
              <w:t> %</w:t>
            </w:r>
            <w:r w:rsidRPr="00F033DA">
              <w:rPr>
                <w:spacing w:val="-5"/>
              </w:rPr>
              <w:t xml:space="preserve">). Celkové loňské inkaso SR </w:t>
            </w:r>
            <w:r w:rsidRPr="00F033DA">
              <w:rPr>
                <w:color w:val="0D0D0D" w:themeColor="text1" w:themeTint="F2"/>
                <w:spacing w:val="-5"/>
              </w:rPr>
              <w:t>ze spotřebních daní se snížilo o 2,5 % (resp. o 4 mld. korun), a</w:t>
            </w:r>
            <w:r>
              <w:rPr>
                <w:color w:val="0D0D0D" w:themeColor="text1" w:themeTint="F2"/>
                <w:spacing w:val="-5"/>
              </w:rPr>
              <w:t> </w:t>
            </w:r>
            <w:r w:rsidRPr="00F033DA">
              <w:rPr>
                <w:color w:val="0D0D0D" w:themeColor="text1" w:themeTint="F2"/>
                <w:spacing w:val="-5"/>
              </w:rPr>
              <w:t>to vinou meziročního výpadku ve 2. i</w:t>
            </w:r>
            <w:r>
              <w:rPr>
                <w:color w:val="0D0D0D" w:themeColor="text1" w:themeTint="F2"/>
                <w:spacing w:val="-5"/>
              </w:rPr>
              <w:t> </w:t>
            </w:r>
            <w:r w:rsidRPr="00F033DA">
              <w:rPr>
                <w:color w:val="0D0D0D" w:themeColor="text1" w:themeTint="F2"/>
                <w:spacing w:val="-5"/>
              </w:rPr>
              <w:t>4.</w:t>
            </w:r>
            <w:r>
              <w:rPr>
                <w:color w:val="0D0D0D" w:themeColor="text1" w:themeTint="F2"/>
                <w:spacing w:val="-5"/>
              </w:rPr>
              <w:t> čtvrtlet</w:t>
            </w:r>
            <w:r w:rsidRPr="00F033DA">
              <w:rPr>
                <w:color w:val="0D0D0D" w:themeColor="text1" w:themeTint="F2"/>
                <w:spacing w:val="-5"/>
              </w:rPr>
              <w:t>í (o</w:t>
            </w:r>
            <w:r>
              <w:rPr>
                <w:color w:val="0D0D0D" w:themeColor="text1" w:themeTint="F2"/>
                <w:spacing w:val="-5"/>
              </w:rPr>
              <w:t> </w:t>
            </w:r>
            <w:r w:rsidRPr="00F033DA">
              <w:rPr>
                <w:color w:val="0D0D0D" w:themeColor="text1" w:themeTint="F2"/>
                <w:spacing w:val="-5"/>
              </w:rPr>
              <w:t>18,3</w:t>
            </w:r>
            <w:r>
              <w:rPr>
                <w:color w:val="0D0D0D" w:themeColor="text1" w:themeTint="F2"/>
                <w:spacing w:val="-5"/>
              </w:rPr>
              <w:t> %</w:t>
            </w:r>
            <w:r w:rsidRPr="00F033DA">
              <w:rPr>
                <w:color w:val="0D0D0D" w:themeColor="text1" w:themeTint="F2"/>
                <w:spacing w:val="-5"/>
              </w:rPr>
              <w:t>, resp. 3,2</w:t>
            </w:r>
            <w:r>
              <w:rPr>
                <w:color w:val="0D0D0D" w:themeColor="text1" w:themeTint="F2"/>
                <w:spacing w:val="-5"/>
              </w:rPr>
              <w:t> %</w:t>
            </w:r>
            <w:r w:rsidRPr="00F033DA">
              <w:rPr>
                <w:color w:val="0D0D0D" w:themeColor="text1" w:themeTint="F2"/>
                <w:spacing w:val="-5"/>
              </w:rPr>
              <w:t>).</w:t>
            </w:r>
            <w:r w:rsidRPr="00F033DA">
              <w:rPr>
                <w:spacing w:val="-5"/>
              </w:rPr>
              <w:t xml:space="preserve"> Citelná redukce přepravních výkonů (včetně tranzitní dopravy) se za celý rok 2020 odrazila v</w:t>
            </w:r>
            <w:r>
              <w:rPr>
                <w:spacing w:val="-5"/>
              </w:rPr>
              <w:t> </w:t>
            </w:r>
            <w:r w:rsidRPr="00F033DA">
              <w:rPr>
                <w:spacing w:val="-5"/>
              </w:rPr>
              <w:t>8,2% propadu inkasa daně z minerálních olejů. K poklesu výběru této daně došlo poprvé od roku 2013. Vloni klesl i</w:t>
            </w:r>
            <w:r>
              <w:rPr>
                <w:spacing w:val="-5"/>
              </w:rPr>
              <w:t> </w:t>
            </w:r>
            <w:r w:rsidRPr="00F033DA">
              <w:rPr>
                <w:spacing w:val="-5"/>
              </w:rPr>
              <w:t>výběr daně z </w:t>
            </w:r>
            <w:proofErr w:type="gramStart"/>
            <w:r w:rsidRPr="00F033DA">
              <w:rPr>
                <w:spacing w:val="-5"/>
              </w:rPr>
              <w:t>lihu (–5,7</w:t>
            </w:r>
            <w:proofErr w:type="gramEnd"/>
            <w:r>
              <w:rPr>
                <w:spacing w:val="-5"/>
              </w:rPr>
              <w:t> %</w:t>
            </w:r>
            <w:r w:rsidRPr="00F033DA">
              <w:rPr>
                <w:spacing w:val="-5"/>
              </w:rPr>
              <w:t>), a</w:t>
            </w:r>
            <w:r>
              <w:rPr>
                <w:spacing w:val="-5"/>
              </w:rPr>
              <w:t> </w:t>
            </w:r>
            <w:r w:rsidRPr="00F033DA">
              <w:rPr>
                <w:spacing w:val="-5"/>
              </w:rPr>
              <w:t>to navzdory zvýšení daňové sazby. Jako klíčová se totiž ukázala opakovaná uzavření pohostinských zařízení umocněná utlumeným příjezdovým cestovním ruchem po převažující část roku. Podobné faktory působily loni i</w:t>
            </w:r>
            <w:r>
              <w:rPr>
                <w:spacing w:val="-5"/>
              </w:rPr>
              <w:t> </w:t>
            </w:r>
            <w:r w:rsidRPr="00F033DA">
              <w:rPr>
                <w:spacing w:val="-5"/>
              </w:rPr>
              <w:t>na výběr daně z tabákových výrobků, který sice rostl (+6,4</w:t>
            </w:r>
            <w:r>
              <w:rPr>
                <w:spacing w:val="-5"/>
              </w:rPr>
              <w:t> %</w:t>
            </w:r>
            <w:r w:rsidRPr="00F033DA">
              <w:rPr>
                <w:spacing w:val="-5"/>
              </w:rPr>
              <w:t>), ale i</w:t>
            </w:r>
            <w:r>
              <w:rPr>
                <w:spacing w:val="-5"/>
              </w:rPr>
              <w:t> </w:t>
            </w:r>
            <w:r w:rsidRPr="00F033DA">
              <w:rPr>
                <w:spacing w:val="-5"/>
              </w:rPr>
              <w:t>tak původní rozpočtová očekávání nenaplnil.</w:t>
            </w:r>
          </w:p>
        </w:tc>
      </w:tr>
      <w:tr w:rsidR="00267C51" w:rsidRPr="00F704D2" w14:paraId="6427697B" w14:textId="77777777" w:rsidTr="00D932B8">
        <w:trPr>
          <w:trHeight w:val="170"/>
        </w:trPr>
        <w:tc>
          <w:tcPr>
            <w:tcW w:w="1732" w:type="dxa"/>
            <w:vMerge w:val="restart"/>
            <w:shd w:val="clear" w:color="auto" w:fill="auto"/>
            <w:tcMar>
              <w:left w:w="0" w:type="dxa"/>
            </w:tcMar>
          </w:tcPr>
          <w:p w14:paraId="062C457A" w14:textId="77777777" w:rsidR="00267C51" w:rsidRDefault="00267C51" w:rsidP="00D932B8">
            <w:pPr>
              <w:pStyle w:val="Marginlie"/>
            </w:pPr>
          </w:p>
        </w:tc>
        <w:tc>
          <w:tcPr>
            <w:tcW w:w="217" w:type="dxa"/>
            <w:vMerge w:val="restart"/>
            <w:shd w:val="clear" w:color="auto" w:fill="auto"/>
            <w:tcMar>
              <w:left w:w="0" w:type="dxa"/>
            </w:tcMar>
          </w:tcPr>
          <w:p w14:paraId="6B720DEB" w14:textId="77777777" w:rsidR="00267C51" w:rsidRDefault="00267C51" w:rsidP="00D932B8">
            <w:pPr>
              <w:pStyle w:val="Textpoznpodarou"/>
              <w:jc w:val="both"/>
              <w:rPr>
                <w:spacing w:val="-4"/>
              </w:rPr>
            </w:pPr>
          </w:p>
        </w:tc>
        <w:tc>
          <w:tcPr>
            <w:tcW w:w="7720" w:type="dxa"/>
            <w:shd w:val="clear" w:color="auto" w:fill="auto"/>
            <w:tcMar>
              <w:left w:w="0" w:type="dxa"/>
            </w:tcMar>
          </w:tcPr>
          <w:p w14:paraId="118CDDD8" w14:textId="75882A47" w:rsidR="00267C51" w:rsidRPr="00B80CE9" w:rsidRDefault="00B026FE" w:rsidP="00D932B8">
            <w:pPr>
              <w:spacing w:after="0" w:line="240" w:lineRule="auto"/>
              <w:rPr>
                <w:rFonts w:cs="Arial"/>
                <w:bCs/>
              </w:rPr>
            </w:pPr>
            <w:r>
              <w:rPr>
                <w:rFonts w:cs="Arial"/>
                <w:b/>
                <w:bCs/>
                <w:color w:val="000000"/>
                <w:szCs w:val="20"/>
              </w:rPr>
              <w:t>Graf č. 17</w:t>
            </w:r>
            <w:r w:rsidR="00267C51" w:rsidRPr="00B80CE9">
              <w:rPr>
                <w:rFonts w:cs="Arial"/>
                <w:b/>
                <w:bCs/>
                <w:color w:val="000000"/>
                <w:sz w:val="18"/>
                <w:szCs w:val="18"/>
              </w:rPr>
              <w:t xml:space="preserve">  </w:t>
            </w:r>
            <w:r w:rsidR="00267C51">
              <w:rPr>
                <w:rFonts w:cs="Arial"/>
                <w:b/>
                <w:bCs/>
              </w:rPr>
              <w:t>Celostátní inkaso</w:t>
            </w:r>
            <w:r w:rsidR="00267C51" w:rsidRPr="00B80CE9">
              <w:rPr>
                <w:rFonts w:cs="Arial"/>
                <w:b/>
                <w:bCs/>
              </w:rPr>
              <w:t xml:space="preserve"> vybraných daňových příjmů </w:t>
            </w:r>
            <w:r w:rsidR="00267C51" w:rsidRPr="00B80CE9">
              <w:rPr>
                <w:rFonts w:cs="Arial"/>
                <w:bCs/>
              </w:rPr>
              <w:t>(</w:t>
            </w:r>
            <w:r w:rsidR="00267C51" w:rsidRPr="00B80CE9">
              <w:t>meziročně</w:t>
            </w:r>
            <w:r w:rsidR="00267C51" w:rsidRPr="00B80CE9">
              <w:rPr>
                <w:bCs/>
              </w:rPr>
              <w:t xml:space="preserve"> v %)</w:t>
            </w:r>
            <w:r w:rsidR="00267C51" w:rsidRPr="00B80CE9">
              <w:rPr>
                <w:bCs/>
              </w:rPr>
              <w:br/>
            </w:r>
            <w:r w:rsidR="00267C51" w:rsidRPr="00B80CE9">
              <w:rPr>
                <w:rFonts w:cs="Arial"/>
                <w:b/>
                <w:bCs/>
              </w:rPr>
              <w:t>a saldo státního rozpočtu</w:t>
            </w:r>
            <w:r w:rsidR="00267C51" w:rsidRPr="00B80CE9">
              <w:t xml:space="preserve"> </w:t>
            </w:r>
            <w:r w:rsidR="00267C51">
              <w:rPr>
                <w:rFonts w:cs="Arial"/>
                <w:bCs/>
              </w:rPr>
              <w:t>(v mld. korun, pravá osa</w:t>
            </w:r>
            <w:r w:rsidR="00267C51" w:rsidRPr="00B80CE9">
              <w:rPr>
                <w:rFonts w:cs="Arial"/>
                <w:bCs/>
              </w:rPr>
              <w:t>)</w:t>
            </w:r>
          </w:p>
        </w:tc>
      </w:tr>
      <w:tr w:rsidR="00267C51" w14:paraId="473021DA" w14:textId="77777777" w:rsidTr="00D932B8">
        <w:tblPrEx>
          <w:tblCellMar>
            <w:left w:w="70" w:type="dxa"/>
            <w:right w:w="70" w:type="dxa"/>
          </w:tblCellMar>
        </w:tblPrEx>
        <w:trPr>
          <w:trHeight w:val="170"/>
        </w:trPr>
        <w:tc>
          <w:tcPr>
            <w:tcW w:w="1732" w:type="dxa"/>
            <w:vMerge/>
            <w:shd w:val="clear" w:color="auto" w:fill="auto"/>
          </w:tcPr>
          <w:p w14:paraId="57066E7F" w14:textId="77777777" w:rsidR="00267C51" w:rsidRDefault="00267C51" w:rsidP="00D932B8">
            <w:pPr>
              <w:pStyle w:val="Marginlie"/>
            </w:pPr>
          </w:p>
        </w:tc>
        <w:tc>
          <w:tcPr>
            <w:tcW w:w="217" w:type="dxa"/>
            <w:vMerge/>
            <w:shd w:val="clear" w:color="auto" w:fill="auto"/>
          </w:tcPr>
          <w:p w14:paraId="2CC9DDAC" w14:textId="77777777" w:rsidR="00267C51" w:rsidRDefault="00267C51" w:rsidP="00D932B8">
            <w:pPr>
              <w:pStyle w:val="Textpoznpodarou"/>
              <w:jc w:val="both"/>
              <w:rPr>
                <w:spacing w:val="-4"/>
              </w:rPr>
            </w:pPr>
          </w:p>
        </w:tc>
        <w:tc>
          <w:tcPr>
            <w:tcW w:w="7720" w:type="dxa"/>
            <w:shd w:val="clear" w:color="auto" w:fill="auto"/>
          </w:tcPr>
          <w:p w14:paraId="5749D9AA" w14:textId="77777777" w:rsidR="00267C51" w:rsidRPr="0067514E" w:rsidRDefault="00267C51" w:rsidP="00E97F14">
            <w:pPr>
              <w:spacing w:after="0" w:line="240" w:lineRule="auto"/>
              <w:rPr>
                <w:spacing w:val="-6"/>
              </w:rPr>
            </w:pPr>
            <w:r>
              <w:rPr>
                <w:noProof/>
              </w:rPr>
              <w:drawing>
                <wp:inline distT="0" distB="0" distL="0" distR="0" wp14:anchorId="47E50677" wp14:editId="4D8D8893">
                  <wp:extent cx="4741545" cy="3163936"/>
                  <wp:effectExtent l="0" t="0" r="190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267C51" w:rsidRPr="007B3A78" w14:paraId="020F4B67" w14:textId="77777777" w:rsidTr="00D932B8">
        <w:trPr>
          <w:trHeight w:val="170"/>
        </w:trPr>
        <w:tc>
          <w:tcPr>
            <w:tcW w:w="1732" w:type="dxa"/>
            <w:vMerge/>
            <w:shd w:val="clear" w:color="auto" w:fill="auto"/>
            <w:tcMar>
              <w:left w:w="0" w:type="dxa"/>
            </w:tcMar>
          </w:tcPr>
          <w:p w14:paraId="1C8F92E5" w14:textId="77777777" w:rsidR="00267C51" w:rsidRDefault="00267C51" w:rsidP="00D932B8">
            <w:pPr>
              <w:pStyle w:val="Marginlie"/>
            </w:pPr>
          </w:p>
        </w:tc>
        <w:tc>
          <w:tcPr>
            <w:tcW w:w="217" w:type="dxa"/>
            <w:vMerge/>
            <w:shd w:val="clear" w:color="auto" w:fill="auto"/>
            <w:tcMar>
              <w:left w:w="0" w:type="dxa"/>
            </w:tcMar>
          </w:tcPr>
          <w:p w14:paraId="4B0327D8" w14:textId="77777777" w:rsidR="00267C51" w:rsidRDefault="00267C51" w:rsidP="00D932B8">
            <w:pPr>
              <w:pStyle w:val="Textpoznpodarou"/>
              <w:jc w:val="both"/>
              <w:rPr>
                <w:spacing w:val="-4"/>
              </w:rPr>
            </w:pPr>
          </w:p>
        </w:tc>
        <w:tc>
          <w:tcPr>
            <w:tcW w:w="7720" w:type="dxa"/>
            <w:shd w:val="clear" w:color="auto" w:fill="auto"/>
            <w:tcMar>
              <w:left w:w="0" w:type="dxa"/>
            </w:tcMar>
          </w:tcPr>
          <w:p w14:paraId="531C5C57" w14:textId="77777777" w:rsidR="00267C51" w:rsidRPr="00E52D45" w:rsidRDefault="00267C51" w:rsidP="00267C51">
            <w:pPr>
              <w:spacing w:line="240" w:lineRule="auto"/>
              <w:jc w:val="left"/>
              <w:rPr>
                <w:spacing w:val="-2"/>
                <w:sz w:val="14"/>
                <w:szCs w:val="14"/>
              </w:rPr>
            </w:pPr>
            <w:r w:rsidRPr="00E52D45">
              <w:rPr>
                <w:spacing w:val="-2"/>
                <w:sz w:val="14"/>
                <w:szCs w:val="14"/>
              </w:rPr>
              <w:t>*Saldo očištěné o prostředky na programy a projekty z rozpočtu EU (vč</w:t>
            </w:r>
            <w:r>
              <w:rPr>
                <w:spacing w:val="-2"/>
                <w:sz w:val="14"/>
                <w:szCs w:val="14"/>
              </w:rPr>
              <w:t xml:space="preserve">etně </w:t>
            </w:r>
            <w:r w:rsidRPr="00E52D45">
              <w:rPr>
                <w:spacing w:val="-2"/>
                <w:sz w:val="14"/>
                <w:szCs w:val="14"/>
              </w:rPr>
              <w:t xml:space="preserve">finančních mechanismů), které byly předfinancovány ze SR a následně jsou propláceny z rozpočtů EU a FM. </w:t>
            </w:r>
            <w:r>
              <w:rPr>
                <w:spacing w:val="-2"/>
                <w:sz w:val="14"/>
                <w:szCs w:val="14"/>
              </w:rPr>
              <w:t xml:space="preserve">                                                                  </w:t>
            </w:r>
            <w:r w:rsidRPr="00E52D45">
              <w:rPr>
                <w:spacing w:val="-2"/>
                <w:sz w:val="14"/>
                <w:szCs w:val="14"/>
              </w:rPr>
              <w:t>Zdroj: MF ČR</w:t>
            </w:r>
          </w:p>
        </w:tc>
      </w:tr>
      <w:tr w:rsidR="00267C51" w:rsidRPr="008266F0" w14:paraId="7363DA49" w14:textId="77777777" w:rsidTr="00D932B8">
        <w:trPr>
          <w:trHeight w:val="145"/>
        </w:trPr>
        <w:tc>
          <w:tcPr>
            <w:tcW w:w="1732" w:type="dxa"/>
            <w:shd w:val="clear" w:color="auto" w:fill="auto"/>
            <w:tcMar>
              <w:left w:w="0" w:type="dxa"/>
            </w:tcMar>
          </w:tcPr>
          <w:p w14:paraId="1FCC6112" w14:textId="77777777" w:rsidR="00267C51" w:rsidRDefault="00267C51" w:rsidP="00D932B8">
            <w:pPr>
              <w:pStyle w:val="Marginlie"/>
            </w:pPr>
            <w:r>
              <w:t>Tempo růstu výdajů SR loni akcelerovalo na rekordních 18,8 %.</w:t>
            </w:r>
          </w:p>
          <w:p w14:paraId="7EB4C149" w14:textId="77777777" w:rsidR="00267C51" w:rsidRDefault="00267C51" w:rsidP="00D932B8">
            <w:pPr>
              <w:pStyle w:val="Marginlie"/>
            </w:pPr>
          </w:p>
          <w:p w14:paraId="776804E1" w14:textId="77777777" w:rsidR="00267C51" w:rsidRDefault="00267C51" w:rsidP="00D932B8">
            <w:pPr>
              <w:pStyle w:val="Marginlie"/>
            </w:pPr>
          </w:p>
          <w:p w14:paraId="6C901336" w14:textId="77777777" w:rsidR="00267C51" w:rsidRDefault="00267C51" w:rsidP="00D932B8">
            <w:pPr>
              <w:pStyle w:val="Marginlie"/>
            </w:pPr>
          </w:p>
          <w:p w14:paraId="6E3DF8F9" w14:textId="77777777" w:rsidR="00267C51" w:rsidRDefault="00267C51" w:rsidP="00D932B8">
            <w:pPr>
              <w:pStyle w:val="Marginlie"/>
            </w:pPr>
            <w:r>
              <w:t>Více než polovina meziročního přírůstku běžných výdajů úzce souvisela s </w:t>
            </w:r>
            <w:proofErr w:type="spellStart"/>
            <w:r>
              <w:t>protipandemickými</w:t>
            </w:r>
            <w:proofErr w:type="spellEnd"/>
            <w:r>
              <w:t xml:space="preserve"> opatřeními.</w:t>
            </w:r>
          </w:p>
          <w:p w14:paraId="5A855A1F" w14:textId="77777777" w:rsidR="00267C51" w:rsidRDefault="00267C51" w:rsidP="00D932B8">
            <w:pPr>
              <w:pStyle w:val="Marginlie"/>
            </w:pPr>
            <w:r>
              <w:lastRenderedPageBreak/>
              <w:t>Svižně rostly i výdaje na platy, zejména v základním a středním školství. Projevilo se i jejich mimořádné posílení ve zdravotnictví.</w:t>
            </w:r>
          </w:p>
          <w:p w14:paraId="48DF463B" w14:textId="77777777" w:rsidR="00267C51" w:rsidRDefault="00267C51" w:rsidP="00D932B8">
            <w:pPr>
              <w:pStyle w:val="Marginlie"/>
            </w:pPr>
          </w:p>
        </w:tc>
        <w:tc>
          <w:tcPr>
            <w:tcW w:w="217" w:type="dxa"/>
            <w:shd w:val="clear" w:color="auto" w:fill="auto"/>
            <w:tcMar>
              <w:left w:w="0" w:type="dxa"/>
            </w:tcMar>
          </w:tcPr>
          <w:p w14:paraId="38961FA6" w14:textId="77777777" w:rsidR="00267C51" w:rsidRDefault="00267C51" w:rsidP="00D932B8">
            <w:pPr>
              <w:pStyle w:val="Textpoznpodarou"/>
              <w:jc w:val="both"/>
              <w:rPr>
                <w:spacing w:val="-4"/>
              </w:rPr>
            </w:pPr>
          </w:p>
        </w:tc>
        <w:tc>
          <w:tcPr>
            <w:tcW w:w="7720" w:type="dxa"/>
            <w:shd w:val="clear" w:color="auto" w:fill="auto"/>
            <w:tcMar>
              <w:left w:w="0" w:type="dxa"/>
            </w:tcMar>
          </w:tcPr>
          <w:p w14:paraId="7248F174" w14:textId="77777777" w:rsidR="00267C51" w:rsidRPr="00456B08" w:rsidRDefault="00267C51" w:rsidP="00267C51">
            <w:pPr>
              <w:rPr>
                <w:spacing w:val="-5"/>
              </w:rPr>
            </w:pPr>
            <w:r w:rsidRPr="00456B08">
              <w:rPr>
                <w:spacing w:val="-5"/>
              </w:rPr>
              <w:t>Celkové výdaje SR meziročně vzrostly o 18,8 % (resp. 291 mld. korun), rekordním tempem v současném miléniu. Výdaje převýšily původní rozpočtová očekávání o</w:t>
            </w:r>
            <w:r>
              <w:rPr>
                <w:spacing w:val="-5"/>
              </w:rPr>
              <w:t> </w:t>
            </w:r>
            <w:r w:rsidRPr="00456B08">
              <w:rPr>
                <w:spacing w:val="-5"/>
              </w:rPr>
              <w:t>225</w:t>
            </w:r>
            <w:r>
              <w:rPr>
                <w:spacing w:val="-5"/>
              </w:rPr>
              <w:t> mld.</w:t>
            </w:r>
            <w:r w:rsidRPr="00456B08">
              <w:rPr>
                <w:spacing w:val="-5"/>
              </w:rPr>
              <w:t xml:space="preserve"> Tempo výdajů sílilo čtvrtým rokem v řadě. K</w:t>
            </w:r>
            <w:r>
              <w:rPr>
                <w:spacing w:val="-5"/>
              </w:rPr>
              <w:t> </w:t>
            </w:r>
            <w:r w:rsidRPr="00456B08">
              <w:rPr>
                <w:spacing w:val="-5"/>
              </w:rPr>
              <w:t>růstu loni přispěly hlavně běžné výdaje (+258 mld.). Více než polovina z jejich přírůstku šla na vrub výdajů spojených s kompenzačními opatřeními (podnikům, jednotlivcům i</w:t>
            </w:r>
            <w:r>
              <w:rPr>
                <w:spacing w:val="-5"/>
              </w:rPr>
              <w:t> </w:t>
            </w:r>
            <w:r w:rsidRPr="00456B08">
              <w:rPr>
                <w:spacing w:val="-5"/>
              </w:rPr>
              <w:t>obcím) či podporou zatíženého zdravotního i sociálního systému</w:t>
            </w:r>
            <w:r w:rsidRPr="00456B08">
              <w:rPr>
                <w:rStyle w:val="Znakapoznpodarou"/>
                <w:spacing w:val="-5"/>
              </w:rPr>
              <w:footnoteReference w:id="75"/>
            </w:r>
            <w:r w:rsidRPr="00456B08">
              <w:rPr>
                <w:spacing w:val="-5"/>
              </w:rPr>
              <w:t>. Meziroční tempo růstu běžných výdajů v průběhu roku sílilo</w:t>
            </w:r>
            <w:r>
              <w:rPr>
                <w:spacing w:val="-5"/>
              </w:rPr>
              <w:t> </w:t>
            </w:r>
            <w:r w:rsidRPr="00456B08">
              <w:rPr>
                <w:spacing w:val="-5"/>
              </w:rPr>
              <w:t xml:space="preserve">– </w:t>
            </w:r>
            <w:r>
              <w:rPr>
                <w:spacing w:val="-5"/>
              </w:rPr>
              <w:t>z 12,4 % v 1. čtvrtletí na 24,5</w:t>
            </w:r>
            <w:r>
              <w:rPr>
                <w:spacing w:val="-4"/>
              </w:rPr>
              <w:t> </w:t>
            </w:r>
            <w:r w:rsidRPr="00456B08">
              <w:rPr>
                <w:spacing w:val="-5"/>
              </w:rPr>
              <w:t xml:space="preserve">% v poslední čtvrtině roku. Z běžných výdajů za celý rok 2020 </w:t>
            </w:r>
            <w:r>
              <w:rPr>
                <w:spacing w:val="-5"/>
              </w:rPr>
              <w:t>nejvíce vzrostl</w:t>
            </w:r>
            <w:r w:rsidRPr="00456B08">
              <w:rPr>
                <w:spacing w:val="-5"/>
              </w:rPr>
              <w:t xml:space="preserve">y </w:t>
            </w:r>
            <w:r w:rsidRPr="00456B08">
              <w:rPr>
                <w:color w:val="0D0D0D" w:themeColor="text1" w:themeTint="F2"/>
                <w:spacing w:val="-5"/>
              </w:rPr>
              <w:t>neinvestiční transfery podnikatelským subjektům (+</w:t>
            </w:r>
            <w:r w:rsidRPr="00456B08">
              <w:rPr>
                <w:spacing w:val="-5"/>
              </w:rPr>
              <w:t>84 %, resp. 49</w:t>
            </w:r>
            <w:r>
              <w:rPr>
                <w:spacing w:val="-5"/>
              </w:rPr>
              <w:t> mld.</w:t>
            </w:r>
            <w:r w:rsidRPr="00456B08">
              <w:rPr>
                <w:spacing w:val="-5"/>
              </w:rPr>
              <w:t xml:space="preserve"> korun), v nichž se soustřeďovala významná část </w:t>
            </w:r>
            <w:proofErr w:type="spellStart"/>
            <w:r w:rsidRPr="00456B08">
              <w:rPr>
                <w:spacing w:val="-5"/>
              </w:rPr>
              <w:t>protipandemických</w:t>
            </w:r>
            <w:proofErr w:type="spellEnd"/>
            <w:r w:rsidRPr="00456B08">
              <w:rPr>
                <w:spacing w:val="-5"/>
              </w:rPr>
              <w:t xml:space="preserve"> podpůrných opatření (náhrada části mezd zaměstnanců v rámci programu Antivirus, podpora firem v nejvíce zasažených odvětvích, mimořádný mzdový růst v soukromých nemocnicích). Vzrostly i</w:t>
            </w:r>
            <w:r>
              <w:rPr>
                <w:spacing w:val="-5"/>
              </w:rPr>
              <w:t> </w:t>
            </w:r>
            <w:r w:rsidRPr="00456B08">
              <w:rPr>
                <w:spacing w:val="-5"/>
              </w:rPr>
              <w:t xml:space="preserve">běžné transfery územním rozpočtům </w:t>
            </w:r>
            <w:r w:rsidRPr="00456B08">
              <w:rPr>
                <w:spacing w:val="-5"/>
              </w:rPr>
              <w:lastRenderedPageBreak/>
              <w:t>(+40</w:t>
            </w:r>
            <w:r>
              <w:rPr>
                <w:spacing w:val="-5"/>
              </w:rPr>
              <w:t> mld.</w:t>
            </w:r>
            <w:r w:rsidRPr="00456B08">
              <w:rPr>
                <w:spacing w:val="-5"/>
              </w:rPr>
              <w:t>)</w:t>
            </w:r>
            <w:r>
              <w:rPr>
                <w:spacing w:val="-5"/>
              </w:rPr>
              <w:t>,</w:t>
            </w:r>
            <w:r w:rsidRPr="00456B08">
              <w:rPr>
                <w:spacing w:val="-5"/>
              </w:rPr>
              <w:t xml:space="preserve"> primárně díky plánovanému navýšení výdajů na platy pracovníků základního a středního školství a</w:t>
            </w:r>
            <w:r>
              <w:rPr>
                <w:spacing w:val="-5"/>
              </w:rPr>
              <w:t> </w:t>
            </w:r>
            <w:r w:rsidRPr="00456B08">
              <w:rPr>
                <w:spacing w:val="-5"/>
              </w:rPr>
              <w:t>též v oblasti sociální péče. Projevil</w:t>
            </w:r>
            <w:r>
              <w:rPr>
                <w:spacing w:val="-5"/>
              </w:rPr>
              <w:t>o</w:t>
            </w:r>
            <w:r w:rsidRPr="00456B08">
              <w:rPr>
                <w:spacing w:val="-5"/>
              </w:rPr>
              <w:t xml:space="preserve"> se ale i</w:t>
            </w:r>
            <w:r>
              <w:rPr>
                <w:spacing w:val="-5"/>
              </w:rPr>
              <w:t xml:space="preserve"> poskytování </w:t>
            </w:r>
            <w:r w:rsidRPr="00456B08">
              <w:rPr>
                <w:spacing w:val="-5"/>
              </w:rPr>
              <w:t>mimořád</w:t>
            </w:r>
            <w:r>
              <w:rPr>
                <w:spacing w:val="-5"/>
              </w:rPr>
              <w:t>ného příspěv</w:t>
            </w:r>
            <w:r w:rsidRPr="00456B08">
              <w:rPr>
                <w:spacing w:val="-5"/>
              </w:rPr>
              <w:t>k</w:t>
            </w:r>
            <w:r>
              <w:rPr>
                <w:spacing w:val="-5"/>
              </w:rPr>
              <w:t>u</w:t>
            </w:r>
            <w:r w:rsidRPr="00456B08">
              <w:rPr>
                <w:spacing w:val="-5"/>
              </w:rPr>
              <w:t xml:space="preserve"> obcím na zmírnění dopadů poklesu daňových příjmů. Do fondů</w:t>
            </w:r>
            <w:r>
              <w:rPr>
                <w:spacing w:val="-5"/>
              </w:rPr>
              <w:t xml:space="preserve"> sociálního a</w:t>
            </w:r>
            <w:r w:rsidRPr="00456B08">
              <w:rPr>
                <w:spacing w:val="-5"/>
              </w:rPr>
              <w:t> veřejného zdravotního pojištění putovalo meziročně o</w:t>
            </w:r>
            <w:r>
              <w:rPr>
                <w:spacing w:val="-5"/>
              </w:rPr>
              <w:t> </w:t>
            </w:r>
            <w:r w:rsidRPr="00456B08">
              <w:rPr>
                <w:spacing w:val="-5"/>
              </w:rPr>
              <w:t>25</w:t>
            </w:r>
            <w:r>
              <w:rPr>
                <w:spacing w:val="-5"/>
              </w:rPr>
              <w:t> mld.</w:t>
            </w:r>
            <w:r w:rsidRPr="00456B08">
              <w:rPr>
                <w:spacing w:val="-5"/>
              </w:rPr>
              <w:t xml:space="preserve"> více, zejména zásluhou navýšení plateb za tzv. státní pojištěnce. Shodně o</w:t>
            </w:r>
            <w:r>
              <w:rPr>
                <w:spacing w:val="-5"/>
              </w:rPr>
              <w:t> </w:t>
            </w:r>
            <w:r w:rsidRPr="00456B08">
              <w:rPr>
                <w:spacing w:val="-5"/>
              </w:rPr>
              <w:t>15</w:t>
            </w:r>
            <w:r>
              <w:rPr>
                <w:spacing w:val="-5"/>
              </w:rPr>
              <w:t> mld.</w:t>
            </w:r>
            <w:r w:rsidRPr="00456B08">
              <w:rPr>
                <w:spacing w:val="-5"/>
              </w:rPr>
              <w:t xml:space="preserve"> posílily běžné výdaje na státní fondy (především do dopravní infrastruktury a</w:t>
            </w:r>
            <w:r>
              <w:rPr>
                <w:spacing w:val="-5"/>
              </w:rPr>
              <w:t> </w:t>
            </w:r>
            <w:r w:rsidRPr="00456B08">
              <w:rPr>
                <w:spacing w:val="-5"/>
              </w:rPr>
              <w:t>zemědělství) i</w:t>
            </w:r>
            <w:r>
              <w:rPr>
                <w:spacing w:val="-5"/>
              </w:rPr>
              <w:t> </w:t>
            </w:r>
            <w:r w:rsidRPr="00456B08">
              <w:rPr>
                <w:spacing w:val="-5"/>
              </w:rPr>
              <w:t xml:space="preserve">na příspěvkové organizace (oddlužení </w:t>
            </w:r>
            <w:r>
              <w:rPr>
                <w:spacing w:val="-5"/>
              </w:rPr>
              <w:t>vybraných nemocnic a také mimořádné navýšení</w:t>
            </w:r>
            <w:r w:rsidRPr="00456B08">
              <w:rPr>
                <w:spacing w:val="-5"/>
              </w:rPr>
              <w:t xml:space="preserve"> mzdových výdajů v lůžkové nemocniční péči). S </w:t>
            </w:r>
            <w:proofErr w:type="spellStart"/>
            <w:r w:rsidRPr="00456B08">
              <w:rPr>
                <w:spacing w:val="-5"/>
              </w:rPr>
              <w:t>protipandemickými</w:t>
            </w:r>
            <w:proofErr w:type="spellEnd"/>
            <w:r w:rsidRPr="00456B08">
              <w:rPr>
                <w:spacing w:val="-5"/>
              </w:rPr>
              <w:t xml:space="preserve"> opatřeními souvisely i</w:t>
            </w:r>
            <w:r>
              <w:rPr>
                <w:spacing w:val="-5"/>
              </w:rPr>
              <w:t> </w:t>
            </w:r>
            <w:r w:rsidRPr="00456B08">
              <w:rPr>
                <w:spacing w:val="-5"/>
              </w:rPr>
              <w:t>vyšší výdaje na neinvestiční nákupy</w:t>
            </w:r>
            <w:r w:rsidRPr="00456B08">
              <w:rPr>
                <w:rStyle w:val="Znakapoznpodarou"/>
                <w:spacing w:val="-5"/>
              </w:rPr>
              <w:footnoteReference w:id="76"/>
            </w:r>
            <w:r w:rsidRPr="00456B08">
              <w:rPr>
                <w:spacing w:val="-5"/>
              </w:rPr>
              <w:t xml:space="preserve"> (+11</w:t>
            </w:r>
            <w:r>
              <w:rPr>
                <w:spacing w:val="-5"/>
              </w:rPr>
              <w:t> mld.</w:t>
            </w:r>
            <w:r w:rsidRPr="00456B08">
              <w:rPr>
                <w:spacing w:val="-5"/>
              </w:rPr>
              <w:t>), primárně na pořízení ochranných pomůcek. Vyšší výdaje na platy v organizačních složkách státu (+6</w:t>
            </w:r>
            <w:r>
              <w:rPr>
                <w:spacing w:val="-5"/>
              </w:rPr>
              <w:t> mld.</w:t>
            </w:r>
            <w:r w:rsidRPr="00456B08">
              <w:rPr>
                <w:spacing w:val="-5"/>
              </w:rPr>
              <w:t xml:space="preserve">) zčásti souvisely </w:t>
            </w:r>
            <w:r>
              <w:rPr>
                <w:spacing w:val="-5"/>
              </w:rPr>
              <w:t>s </w:t>
            </w:r>
            <w:r w:rsidRPr="00456B08">
              <w:rPr>
                <w:spacing w:val="-5"/>
              </w:rPr>
              <w:t>vyššími pracovními výkony ve vybraných oblastech (policie, armáda, hygienické stanice). Více</w:t>
            </w:r>
            <w:r>
              <w:rPr>
                <w:spacing w:val="-5"/>
              </w:rPr>
              <w:t xml:space="preserve"> než o pětinu vzrostly odv</w:t>
            </w:r>
            <w:r w:rsidRPr="00456B08">
              <w:rPr>
                <w:spacing w:val="-5"/>
              </w:rPr>
              <w:t>ody vlastních zdrojů SR do rozpočtu EU (na 54</w:t>
            </w:r>
            <w:r>
              <w:rPr>
                <w:spacing w:val="-5"/>
              </w:rPr>
              <w:t> mld.</w:t>
            </w:r>
            <w:r w:rsidRPr="00456B08">
              <w:rPr>
                <w:spacing w:val="-5"/>
              </w:rPr>
              <w:t xml:space="preserve"> korun).</w:t>
            </w:r>
          </w:p>
        </w:tc>
      </w:tr>
      <w:tr w:rsidR="00267C51" w:rsidRPr="008266F0" w14:paraId="6F20FF62" w14:textId="77777777" w:rsidTr="00D932B8">
        <w:trPr>
          <w:trHeight w:val="145"/>
        </w:trPr>
        <w:tc>
          <w:tcPr>
            <w:tcW w:w="1732" w:type="dxa"/>
            <w:shd w:val="clear" w:color="auto" w:fill="auto"/>
            <w:tcMar>
              <w:left w:w="0" w:type="dxa"/>
            </w:tcMar>
          </w:tcPr>
          <w:p w14:paraId="58BA1921" w14:textId="77777777" w:rsidR="00267C51" w:rsidRDefault="00267C51" w:rsidP="00D932B8">
            <w:pPr>
              <w:pStyle w:val="Marginlie"/>
            </w:pPr>
            <w:r>
              <w:lastRenderedPageBreak/>
              <w:t>Tempo růstu výdajů na sociální dávky posílilo. Jejich podíl na všech výdajích SR ale klesl čtvrtým rokem v řadě.</w:t>
            </w:r>
          </w:p>
          <w:p w14:paraId="7662F581" w14:textId="77777777" w:rsidR="00267C51" w:rsidRDefault="00267C51" w:rsidP="00D932B8">
            <w:pPr>
              <w:pStyle w:val="Marginlie"/>
            </w:pPr>
          </w:p>
          <w:p w14:paraId="4D7152FE" w14:textId="77777777" w:rsidR="00267C51" w:rsidRDefault="00267C51" w:rsidP="00D932B8">
            <w:pPr>
              <w:pStyle w:val="Marginlie"/>
            </w:pPr>
          </w:p>
          <w:p w14:paraId="0F89C14E" w14:textId="77777777" w:rsidR="00267C51" w:rsidRDefault="00267C51" w:rsidP="00D932B8">
            <w:pPr>
              <w:pStyle w:val="Marginlie"/>
            </w:pPr>
          </w:p>
          <w:p w14:paraId="32C97772" w14:textId="77777777" w:rsidR="00267C51" w:rsidRDefault="00267C51" w:rsidP="00D932B8">
            <w:pPr>
              <w:pStyle w:val="Marginlie"/>
            </w:pPr>
          </w:p>
          <w:p w14:paraId="75F82D66" w14:textId="77777777" w:rsidR="00267C51" w:rsidRDefault="00267C51" w:rsidP="00D932B8">
            <w:pPr>
              <w:pStyle w:val="Marginlie"/>
            </w:pPr>
            <w:r>
              <w:t>Výdaje na důchody akcelerovaly, příjmy důchodového pojištění naopak klesly, poprvé od roku 2009.</w:t>
            </w:r>
          </w:p>
        </w:tc>
        <w:tc>
          <w:tcPr>
            <w:tcW w:w="217" w:type="dxa"/>
            <w:shd w:val="clear" w:color="auto" w:fill="auto"/>
            <w:tcMar>
              <w:left w:w="0" w:type="dxa"/>
            </w:tcMar>
          </w:tcPr>
          <w:p w14:paraId="4CF28BDA" w14:textId="77777777" w:rsidR="00267C51" w:rsidRDefault="00267C51" w:rsidP="00D932B8">
            <w:pPr>
              <w:pStyle w:val="Textpoznpodarou"/>
              <w:jc w:val="both"/>
              <w:rPr>
                <w:spacing w:val="-4"/>
              </w:rPr>
            </w:pPr>
          </w:p>
        </w:tc>
        <w:tc>
          <w:tcPr>
            <w:tcW w:w="7720" w:type="dxa"/>
            <w:shd w:val="clear" w:color="auto" w:fill="auto"/>
            <w:tcMar>
              <w:left w:w="0" w:type="dxa"/>
            </w:tcMar>
          </w:tcPr>
          <w:p w14:paraId="0FEC1652" w14:textId="77777777" w:rsidR="00267C51" w:rsidRPr="00F273DB" w:rsidRDefault="00267C51" w:rsidP="00267C51">
            <w:pPr>
              <w:rPr>
                <w:spacing w:val="-5"/>
                <w:highlight w:val="yellow"/>
              </w:rPr>
            </w:pPr>
            <w:r w:rsidRPr="00F273DB">
              <w:rPr>
                <w:spacing w:val="-5"/>
              </w:rPr>
              <w:t xml:space="preserve">K růstu běžných výdajů SR loni významně přispěly </w:t>
            </w:r>
            <w:r w:rsidRPr="00F273DB">
              <w:rPr>
                <w:color w:val="0D0D0D" w:themeColor="text1" w:themeTint="F2"/>
                <w:spacing w:val="-5"/>
              </w:rPr>
              <w:t>sociální dávky</w:t>
            </w:r>
            <w:r w:rsidRPr="00F273DB">
              <w:rPr>
                <w:spacing w:val="-5"/>
              </w:rPr>
              <w:t xml:space="preserve">, jejichž objem byl meziročně o 14,2 % (resp. 85,2 mld. korun) vyšší. Byť šlo o rekordní tempo v současném miléniu, podíl sociálních dávek na všech výdajích SR klesal čtvrtým rokem v řadě (na 37,3 %). Zatímco v 1. až 3. čtvrtletí 2020 byl jejich růst tažen nedůchodovými dávkami, v celoročním úhrnu se projevila dominantní role výdajů na důchody. Stalo se tak díky jednorázovému příspěvku (vyplacenému k důchodům v prosinci) ve výši 15 mld. korun. Výdaje na důchody tak při zohlednění pravidelné valorizace loni vzrostly o 10,2 %, nejvíce za posledních čtrnáct let. Počet příjemců důchodů se oproti konci roku 2019 snížil o 0,6 %, zčásti patrně vinou zvýšené úmrtnosti. I </w:t>
            </w:r>
            <w:r w:rsidRPr="00F273DB">
              <w:rPr>
                <w:rFonts w:cs="Arial"/>
                <w:color w:val="0D0D0D" w:themeColor="text1" w:themeTint="F2"/>
                <w:spacing w:val="-5"/>
              </w:rPr>
              <w:t xml:space="preserve">příjmy důchodového pojištění se loni snížily (o 2,1 %) – poprvé od roku 2009, kdy pokles činil dokonce 3,0 %. Zásadní roli </w:t>
            </w:r>
            <w:r>
              <w:rPr>
                <w:rFonts w:cs="Arial"/>
                <w:color w:val="0D0D0D" w:themeColor="text1" w:themeTint="F2"/>
                <w:spacing w:val="-5"/>
              </w:rPr>
              <w:t xml:space="preserve">zde </w:t>
            </w:r>
            <w:r w:rsidRPr="00F273DB">
              <w:rPr>
                <w:rFonts w:cs="Arial"/>
                <w:color w:val="0D0D0D" w:themeColor="text1" w:themeTint="F2"/>
                <w:spacing w:val="-5"/>
              </w:rPr>
              <w:t>sehrála opatření na podporu drobných podnikatelů i zaměstnavatelů</w:t>
            </w:r>
            <w:r w:rsidRPr="00F273DB">
              <w:rPr>
                <w:rStyle w:val="Znakapoznpodarou"/>
                <w:color w:val="0D0D0D" w:themeColor="text1" w:themeTint="F2"/>
                <w:spacing w:val="-5"/>
              </w:rPr>
              <w:footnoteReference w:id="77"/>
            </w:r>
            <w:r w:rsidRPr="00F273DB">
              <w:rPr>
                <w:rFonts w:cs="Arial"/>
                <w:color w:val="0D0D0D" w:themeColor="text1" w:themeTint="F2"/>
                <w:spacing w:val="-5"/>
              </w:rPr>
              <w:t>. Projevila se rovněž zhoršená situace na trhu práce (snížení zaměstnanosti, zvolnění růstu průměrných mezd). Saldo důchodového účtu</w:t>
            </w:r>
            <w:r w:rsidRPr="00F273DB">
              <w:rPr>
                <w:rStyle w:val="Znakapoznpodarou"/>
                <w:color w:val="0D0D0D" w:themeColor="text1" w:themeTint="F2"/>
                <w:spacing w:val="-5"/>
              </w:rPr>
              <w:footnoteReference w:id="78"/>
            </w:r>
            <w:r w:rsidRPr="00F273DB">
              <w:rPr>
                <w:rFonts w:cs="Arial"/>
                <w:color w:val="0D0D0D" w:themeColor="text1" w:themeTint="F2"/>
                <w:spacing w:val="-5"/>
              </w:rPr>
              <w:t xml:space="preserve"> se tak po třech přebytkových letech vrátilo k deficitu (35,9 mld. korun), nejvyššímu za posledních šest let.</w:t>
            </w:r>
          </w:p>
        </w:tc>
      </w:tr>
      <w:tr w:rsidR="00267C51" w:rsidRPr="008266F0" w14:paraId="64AE7C66" w14:textId="77777777" w:rsidTr="00D932B8">
        <w:trPr>
          <w:trHeight w:val="145"/>
        </w:trPr>
        <w:tc>
          <w:tcPr>
            <w:tcW w:w="1732" w:type="dxa"/>
            <w:shd w:val="clear" w:color="auto" w:fill="auto"/>
            <w:tcMar>
              <w:left w:w="0" w:type="dxa"/>
            </w:tcMar>
          </w:tcPr>
          <w:p w14:paraId="5FF24A43" w14:textId="77777777" w:rsidR="00267C51" w:rsidRPr="00B63DED" w:rsidRDefault="00267C51" w:rsidP="00D932B8">
            <w:pPr>
              <w:pStyle w:val="Marginlie"/>
              <w:rPr>
                <w:spacing w:val="0"/>
              </w:rPr>
            </w:pPr>
            <w:r>
              <w:rPr>
                <w:spacing w:val="0"/>
              </w:rPr>
              <w:t>K růstu ostatních sociálních dávek přispěla nejvíce výplata ošetřovného, růst nemocnosti a navýšení rodičovského příspěvku.</w:t>
            </w:r>
          </w:p>
        </w:tc>
        <w:tc>
          <w:tcPr>
            <w:tcW w:w="217" w:type="dxa"/>
            <w:shd w:val="clear" w:color="auto" w:fill="auto"/>
            <w:tcMar>
              <w:left w:w="0" w:type="dxa"/>
            </w:tcMar>
          </w:tcPr>
          <w:p w14:paraId="6D17C953" w14:textId="77777777" w:rsidR="00267C51" w:rsidRDefault="00267C51" w:rsidP="00D932B8">
            <w:pPr>
              <w:pStyle w:val="Textpoznpodarou"/>
              <w:jc w:val="both"/>
              <w:rPr>
                <w:spacing w:val="-4"/>
              </w:rPr>
            </w:pPr>
          </w:p>
        </w:tc>
        <w:tc>
          <w:tcPr>
            <w:tcW w:w="7720" w:type="dxa"/>
            <w:shd w:val="clear" w:color="auto" w:fill="auto"/>
            <w:tcMar>
              <w:left w:w="0" w:type="dxa"/>
            </w:tcMar>
          </w:tcPr>
          <w:p w14:paraId="44935EF3" w14:textId="77777777" w:rsidR="00267C51" w:rsidRPr="00251B78" w:rsidRDefault="00267C51" w:rsidP="00267C51">
            <w:pPr>
              <w:rPr>
                <w:spacing w:val="-4"/>
              </w:rPr>
            </w:pPr>
            <w:r>
              <w:rPr>
                <w:spacing w:val="-4"/>
              </w:rPr>
              <w:t xml:space="preserve">SR vydal loni oproti roku 2019 více i na prakticky všech ostatních významnějších druzích sociálních dávek. Dávky nemocenského pojištění akcelerovaly (+42 %, resp. 55,4 mld. korun), primárně vlivem výplaty </w:t>
            </w:r>
            <w:r w:rsidRPr="00251B78">
              <w:rPr>
                <w:spacing w:val="-4"/>
              </w:rPr>
              <w:t>ošetřovného poskytovaného z důvodu uzavření škol a jiných zařízení</w:t>
            </w:r>
            <w:r>
              <w:rPr>
                <w:spacing w:val="-4"/>
              </w:rPr>
              <w:t xml:space="preserve">. Projevil se ale také </w:t>
            </w:r>
            <w:r w:rsidRPr="00251B78">
              <w:rPr>
                <w:spacing w:val="-4"/>
              </w:rPr>
              <w:t>nárůst celkové nemocnosti</w:t>
            </w:r>
            <w:r w:rsidRPr="00251B78">
              <w:rPr>
                <w:rStyle w:val="Znakapoznpodarou"/>
                <w:spacing w:val="-4"/>
              </w:rPr>
              <w:footnoteReference w:id="79"/>
            </w:r>
            <w:r>
              <w:rPr>
                <w:spacing w:val="-4"/>
              </w:rPr>
              <w:t xml:space="preserve"> i </w:t>
            </w:r>
            <w:r w:rsidRPr="00251B78">
              <w:rPr>
                <w:spacing w:val="-4"/>
              </w:rPr>
              <w:t>vyšší počet proplacených dnů vlivem zr</w:t>
            </w:r>
            <w:r>
              <w:rPr>
                <w:spacing w:val="-4"/>
              </w:rPr>
              <w:t>ušení karenční doby. Vzrostly</w:t>
            </w:r>
            <w:r w:rsidRPr="00251B78">
              <w:rPr>
                <w:spacing w:val="-4"/>
              </w:rPr>
              <w:t xml:space="preserve"> </w:t>
            </w:r>
            <w:r>
              <w:rPr>
                <w:spacing w:val="-4"/>
              </w:rPr>
              <w:t xml:space="preserve">i objemově významné </w:t>
            </w:r>
            <w:r w:rsidRPr="00251B78">
              <w:rPr>
                <w:spacing w:val="-4"/>
              </w:rPr>
              <w:t>výdaje n</w:t>
            </w:r>
            <w:r>
              <w:rPr>
                <w:spacing w:val="-4"/>
              </w:rPr>
              <w:t xml:space="preserve">a státní sociální podporu (+36,5 %), </w:t>
            </w:r>
            <w:r w:rsidRPr="00251B78">
              <w:rPr>
                <w:spacing w:val="-4"/>
              </w:rPr>
              <w:t>takřka výhradně vlivem zákonného navýšení rodičovského příspěvku, neboť čerpání příjmově testovaných dávek (přídavky na děti, příspěvek na bydlení) dále kleslo</w:t>
            </w:r>
            <w:r>
              <w:rPr>
                <w:spacing w:val="-4"/>
              </w:rPr>
              <w:t>. O desetinu posílily loni i dlouhodobě rostoucí dávky sociální péče, poprvé od roku 2014 i vlivem vyššího objemu vyplacených dávek hmotné nouze (+8,6 %). Na podpory v nezaměstnanosti vydal stát více již druhým rokem v řadě (v úhrnu o 2,4 mld. korun).</w:t>
            </w:r>
          </w:p>
        </w:tc>
      </w:tr>
      <w:tr w:rsidR="00267C51" w:rsidRPr="008266F0" w14:paraId="1070EB04" w14:textId="77777777" w:rsidTr="00D932B8">
        <w:trPr>
          <w:trHeight w:val="145"/>
        </w:trPr>
        <w:tc>
          <w:tcPr>
            <w:tcW w:w="1732" w:type="dxa"/>
            <w:shd w:val="clear" w:color="auto" w:fill="auto"/>
            <w:tcMar>
              <w:left w:w="0" w:type="dxa"/>
            </w:tcMar>
          </w:tcPr>
          <w:p w14:paraId="14E73305" w14:textId="77777777" w:rsidR="00267C51" w:rsidRDefault="00267C51" w:rsidP="00D932B8">
            <w:pPr>
              <w:pStyle w:val="Marginlie"/>
            </w:pPr>
            <w:r>
              <w:t>Podíl investic na všech výdajích SR svižně rostl třetím rokem v řadě. Stále více se prosazovalo financování z národních zdrojů.</w:t>
            </w:r>
          </w:p>
          <w:p w14:paraId="049CF1C1" w14:textId="77777777" w:rsidR="00267C51" w:rsidRDefault="00267C51" w:rsidP="00D932B8">
            <w:pPr>
              <w:pStyle w:val="Marginlie"/>
            </w:pPr>
            <w:r>
              <w:t>Čistá pozice ČR vůči rozpočtu EU loni vzrostla na 86 mld. korun.</w:t>
            </w:r>
          </w:p>
          <w:p w14:paraId="13F32FAA" w14:textId="77777777" w:rsidR="00267C51" w:rsidRDefault="00267C51" w:rsidP="00D932B8">
            <w:pPr>
              <w:pStyle w:val="Marginlie"/>
            </w:pPr>
          </w:p>
        </w:tc>
        <w:tc>
          <w:tcPr>
            <w:tcW w:w="217" w:type="dxa"/>
            <w:shd w:val="clear" w:color="auto" w:fill="auto"/>
            <w:tcMar>
              <w:left w:w="0" w:type="dxa"/>
            </w:tcMar>
          </w:tcPr>
          <w:p w14:paraId="73784939" w14:textId="77777777" w:rsidR="00267C51" w:rsidRDefault="00267C51" w:rsidP="00D932B8">
            <w:pPr>
              <w:pStyle w:val="Textpoznpodarou"/>
              <w:jc w:val="both"/>
              <w:rPr>
                <w:spacing w:val="-4"/>
              </w:rPr>
            </w:pPr>
          </w:p>
        </w:tc>
        <w:tc>
          <w:tcPr>
            <w:tcW w:w="7720" w:type="dxa"/>
            <w:shd w:val="clear" w:color="auto" w:fill="auto"/>
            <w:tcMar>
              <w:left w:w="0" w:type="dxa"/>
            </w:tcMar>
          </w:tcPr>
          <w:p w14:paraId="689DFFF3" w14:textId="77777777" w:rsidR="00267C51" w:rsidRPr="00DE20C9" w:rsidRDefault="00267C51" w:rsidP="00E97F14">
            <w:pPr>
              <w:spacing w:after="0"/>
              <w:rPr>
                <w:spacing w:val="-5"/>
              </w:rPr>
            </w:pPr>
            <w:r w:rsidRPr="00DE20C9">
              <w:rPr>
                <w:spacing w:val="-5"/>
              </w:rPr>
              <w:t>Kapitálové vý</w:t>
            </w:r>
            <w:r>
              <w:rPr>
                <w:spacing w:val="-5"/>
              </w:rPr>
              <w:t>daje SR vzrostly meziročně skoro</w:t>
            </w:r>
            <w:r w:rsidRPr="00DE20C9">
              <w:rPr>
                <w:spacing w:val="-5"/>
              </w:rPr>
              <w:t xml:space="preserve"> o</w:t>
            </w:r>
            <w:r>
              <w:rPr>
                <w:spacing w:val="-5"/>
              </w:rPr>
              <w:t> </w:t>
            </w:r>
            <w:r w:rsidRPr="00DE20C9">
              <w:rPr>
                <w:spacing w:val="-5"/>
              </w:rPr>
              <w:t>čtvrtinu. Dosáhly 172,7</w:t>
            </w:r>
            <w:r>
              <w:rPr>
                <w:spacing w:val="-5"/>
              </w:rPr>
              <w:t> mld.</w:t>
            </w:r>
            <w:r w:rsidRPr="00DE20C9">
              <w:rPr>
                <w:spacing w:val="-5"/>
              </w:rPr>
              <w:t xml:space="preserve"> korun a </w:t>
            </w:r>
            <w:r>
              <w:rPr>
                <w:spacing w:val="-5"/>
              </w:rPr>
              <w:t>téměř</w:t>
            </w:r>
            <w:r w:rsidRPr="00DE20C9">
              <w:rPr>
                <w:spacing w:val="-5"/>
              </w:rPr>
              <w:t xml:space="preserve"> dorovnaly rekordní výši z roku 2015, kdy vrcholilo čerpání na konci programového období EU. K loňskému růstu přispělo bezmála ze tří čtvrtin posílení investic z národních zdrojů (na 101</w:t>
            </w:r>
            <w:r>
              <w:rPr>
                <w:spacing w:val="-5"/>
              </w:rPr>
              <w:t> mld.</w:t>
            </w:r>
            <w:r w:rsidRPr="00DE20C9">
              <w:rPr>
                <w:spacing w:val="-5"/>
              </w:rPr>
              <w:t xml:space="preserve"> korun). Klíčovou roli měl růst výdajů do oblasti dopravní infrastruktury (+18</w:t>
            </w:r>
            <w:r>
              <w:rPr>
                <w:spacing w:val="-5"/>
              </w:rPr>
              <w:t> mld.</w:t>
            </w:r>
            <w:r w:rsidRPr="00DE20C9">
              <w:rPr>
                <w:spacing w:val="-5"/>
              </w:rPr>
              <w:t>). Podíl investic na všech výdajích SR se zvyšoval třetím rokem v řadě a činil 9,4 %. To souvisí i</w:t>
            </w:r>
            <w:r>
              <w:rPr>
                <w:spacing w:val="-5"/>
              </w:rPr>
              <w:t> </w:t>
            </w:r>
            <w:r w:rsidRPr="00DE20C9">
              <w:rPr>
                <w:spacing w:val="-5"/>
              </w:rPr>
              <w:t>s</w:t>
            </w:r>
            <w:r>
              <w:rPr>
                <w:spacing w:val="-5"/>
              </w:rPr>
              <w:t> </w:t>
            </w:r>
            <w:r w:rsidRPr="00DE20C9">
              <w:rPr>
                <w:spacing w:val="-5"/>
              </w:rPr>
              <w:t>blížícím se koncem čerpání „evropských“ investic v současném programovém období. Celkové příjmy SR z rozpočtu EU dosáhly loni 145,9</w:t>
            </w:r>
            <w:r>
              <w:rPr>
                <w:spacing w:val="-5"/>
              </w:rPr>
              <w:t> mld.</w:t>
            </w:r>
            <w:r w:rsidRPr="00DE20C9">
              <w:rPr>
                <w:spacing w:val="-5"/>
              </w:rPr>
              <w:t xml:space="preserve"> korun a</w:t>
            </w:r>
            <w:r>
              <w:rPr>
                <w:spacing w:val="-5"/>
              </w:rPr>
              <w:t> </w:t>
            </w:r>
            <w:r w:rsidRPr="00DE20C9">
              <w:rPr>
                <w:spacing w:val="-5"/>
              </w:rPr>
              <w:t>meziročně posílily o</w:t>
            </w:r>
            <w:r>
              <w:rPr>
                <w:spacing w:val="-5"/>
              </w:rPr>
              <w:t> </w:t>
            </w:r>
            <w:r w:rsidRPr="00DE20C9">
              <w:rPr>
                <w:spacing w:val="-5"/>
              </w:rPr>
              <w:t>pětinu. Stála za tím vyšší alokace do strukturálních fondů (+13 mld.) a</w:t>
            </w:r>
            <w:r>
              <w:rPr>
                <w:spacing w:val="-5"/>
              </w:rPr>
              <w:t> </w:t>
            </w:r>
            <w:r w:rsidRPr="00DE20C9">
              <w:rPr>
                <w:spacing w:val="-5"/>
              </w:rPr>
              <w:t>též do fondu soudržnosti (+10</w:t>
            </w:r>
            <w:r>
              <w:rPr>
                <w:spacing w:val="-5"/>
              </w:rPr>
              <w:t> mld.</w:t>
            </w:r>
            <w:r w:rsidRPr="00DE20C9">
              <w:rPr>
                <w:spacing w:val="-5"/>
              </w:rPr>
              <w:t>). I</w:t>
            </w:r>
            <w:r>
              <w:rPr>
                <w:spacing w:val="-5"/>
              </w:rPr>
              <w:t> </w:t>
            </w:r>
            <w:r w:rsidRPr="00DE20C9">
              <w:rPr>
                <w:spacing w:val="-5"/>
              </w:rPr>
              <w:t>přes významné navýšení plateb do unijního ro</w:t>
            </w:r>
            <w:r>
              <w:rPr>
                <w:spacing w:val="-5"/>
              </w:rPr>
              <w:t>zpočtu celkové kladné saldo ČR s</w:t>
            </w:r>
            <w:r w:rsidRPr="00DE20C9">
              <w:rPr>
                <w:spacing w:val="-5"/>
              </w:rPr>
              <w:t> </w:t>
            </w:r>
            <w:r>
              <w:rPr>
                <w:spacing w:val="-5"/>
              </w:rPr>
              <w:t>rozpočtem</w:t>
            </w:r>
            <w:r w:rsidRPr="00DE20C9">
              <w:rPr>
                <w:spacing w:val="-5"/>
              </w:rPr>
              <w:t xml:space="preserve"> EU vzrostlo na 85,7</w:t>
            </w:r>
            <w:r>
              <w:rPr>
                <w:spacing w:val="-5"/>
              </w:rPr>
              <w:t> mld.</w:t>
            </w:r>
            <w:r w:rsidRPr="00DE20C9">
              <w:rPr>
                <w:spacing w:val="-5"/>
              </w:rPr>
              <w:t xml:space="preserve"> korun</w:t>
            </w:r>
            <w:r>
              <w:rPr>
                <w:spacing w:val="-5"/>
              </w:rPr>
              <w:t>,</w:t>
            </w:r>
            <w:r w:rsidRPr="00DE20C9">
              <w:rPr>
                <w:spacing w:val="-5"/>
              </w:rPr>
              <w:t xml:space="preserve"> tedy na nejvyšší hodnotu za poslední čtyři roky.</w:t>
            </w:r>
          </w:p>
        </w:tc>
      </w:tr>
      <w:tr w:rsidR="00267C51" w:rsidRPr="00F704D2" w14:paraId="14E9CF61" w14:textId="77777777" w:rsidTr="00D932B8">
        <w:trPr>
          <w:trHeight w:val="170"/>
        </w:trPr>
        <w:tc>
          <w:tcPr>
            <w:tcW w:w="1732" w:type="dxa"/>
            <w:vMerge w:val="restart"/>
            <w:shd w:val="clear" w:color="auto" w:fill="auto"/>
            <w:tcMar>
              <w:left w:w="0" w:type="dxa"/>
            </w:tcMar>
          </w:tcPr>
          <w:p w14:paraId="56F4B4D8" w14:textId="77777777" w:rsidR="00267C51" w:rsidRDefault="00267C51" w:rsidP="00D932B8">
            <w:pPr>
              <w:pStyle w:val="Marginlie"/>
            </w:pPr>
          </w:p>
        </w:tc>
        <w:tc>
          <w:tcPr>
            <w:tcW w:w="217" w:type="dxa"/>
            <w:vMerge w:val="restart"/>
            <w:shd w:val="clear" w:color="auto" w:fill="auto"/>
            <w:tcMar>
              <w:left w:w="0" w:type="dxa"/>
            </w:tcMar>
          </w:tcPr>
          <w:p w14:paraId="04CAABBF" w14:textId="77777777" w:rsidR="00267C51" w:rsidRDefault="00267C51" w:rsidP="00D932B8">
            <w:pPr>
              <w:pStyle w:val="Textpoznpodarou"/>
              <w:jc w:val="both"/>
              <w:rPr>
                <w:spacing w:val="-4"/>
              </w:rPr>
            </w:pPr>
          </w:p>
        </w:tc>
        <w:tc>
          <w:tcPr>
            <w:tcW w:w="7720" w:type="dxa"/>
            <w:shd w:val="clear" w:color="auto" w:fill="auto"/>
            <w:tcMar>
              <w:left w:w="0" w:type="dxa"/>
            </w:tcMar>
          </w:tcPr>
          <w:p w14:paraId="6E2B79BA" w14:textId="77EBE17B" w:rsidR="00267C51" w:rsidRPr="00D232BB" w:rsidRDefault="00B026FE" w:rsidP="00D932B8">
            <w:pPr>
              <w:spacing w:after="20" w:line="240" w:lineRule="auto"/>
              <w:jc w:val="left"/>
              <w:rPr>
                <w:rFonts w:cs="Arial"/>
                <w:bCs/>
              </w:rPr>
            </w:pPr>
            <w:r>
              <w:rPr>
                <w:b/>
              </w:rPr>
              <w:t>Graf č. 18</w:t>
            </w:r>
            <w:r w:rsidR="00267C51" w:rsidRPr="00D232BB">
              <w:rPr>
                <w:b/>
              </w:rPr>
              <w:t xml:space="preserve">  </w:t>
            </w:r>
            <w:r w:rsidR="00267C51">
              <w:rPr>
                <w:rFonts w:cs="Arial"/>
                <w:b/>
                <w:bCs/>
              </w:rPr>
              <w:t>Vybrané výdaje státního rozpočtu</w:t>
            </w:r>
            <w:r w:rsidR="00267C51" w:rsidRPr="00D232BB">
              <w:rPr>
                <w:rFonts w:cs="Arial"/>
                <w:bCs/>
              </w:rPr>
              <w:t xml:space="preserve"> (v mld. korun)</w:t>
            </w:r>
          </w:p>
        </w:tc>
      </w:tr>
      <w:tr w:rsidR="00267C51" w14:paraId="79A66C0E" w14:textId="77777777" w:rsidTr="00D932B8">
        <w:tblPrEx>
          <w:tblCellMar>
            <w:left w:w="70" w:type="dxa"/>
            <w:right w:w="70" w:type="dxa"/>
          </w:tblCellMar>
        </w:tblPrEx>
        <w:trPr>
          <w:trHeight w:val="170"/>
        </w:trPr>
        <w:tc>
          <w:tcPr>
            <w:tcW w:w="1732" w:type="dxa"/>
            <w:vMerge/>
            <w:shd w:val="clear" w:color="auto" w:fill="auto"/>
          </w:tcPr>
          <w:p w14:paraId="68C58AFC" w14:textId="77777777" w:rsidR="00267C51" w:rsidRDefault="00267C51" w:rsidP="00D932B8">
            <w:pPr>
              <w:pStyle w:val="Marginlie"/>
            </w:pPr>
          </w:p>
        </w:tc>
        <w:tc>
          <w:tcPr>
            <w:tcW w:w="217" w:type="dxa"/>
            <w:vMerge/>
            <w:shd w:val="clear" w:color="auto" w:fill="auto"/>
          </w:tcPr>
          <w:p w14:paraId="7D71E213" w14:textId="77777777" w:rsidR="00267C51" w:rsidRDefault="00267C51" w:rsidP="00D932B8">
            <w:pPr>
              <w:pStyle w:val="Textpoznpodarou"/>
              <w:jc w:val="both"/>
              <w:rPr>
                <w:spacing w:val="-4"/>
              </w:rPr>
            </w:pPr>
          </w:p>
        </w:tc>
        <w:tc>
          <w:tcPr>
            <w:tcW w:w="7720" w:type="dxa"/>
            <w:shd w:val="clear" w:color="auto" w:fill="auto"/>
          </w:tcPr>
          <w:p w14:paraId="14FAEEC3" w14:textId="77777777" w:rsidR="00267C51" w:rsidRPr="0067514E" w:rsidRDefault="00267C51" w:rsidP="00D932B8">
            <w:pPr>
              <w:spacing w:after="0"/>
              <w:rPr>
                <w:spacing w:val="-6"/>
              </w:rPr>
            </w:pPr>
            <w:r>
              <w:rPr>
                <w:noProof/>
              </w:rPr>
              <w:drawing>
                <wp:inline distT="0" distB="0" distL="0" distR="0" wp14:anchorId="059CCB25" wp14:editId="6B2A0841">
                  <wp:extent cx="4762500" cy="3419475"/>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267C51" w:rsidRPr="00343AC1" w14:paraId="7146915A" w14:textId="77777777" w:rsidTr="00D932B8">
        <w:trPr>
          <w:trHeight w:val="170"/>
        </w:trPr>
        <w:tc>
          <w:tcPr>
            <w:tcW w:w="1732" w:type="dxa"/>
            <w:vMerge/>
            <w:shd w:val="clear" w:color="auto" w:fill="auto"/>
            <w:tcMar>
              <w:left w:w="0" w:type="dxa"/>
            </w:tcMar>
          </w:tcPr>
          <w:p w14:paraId="008C3E4A" w14:textId="77777777" w:rsidR="00267C51" w:rsidRDefault="00267C51" w:rsidP="00D932B8">
            <w:pPr>
              <w:pStyle w:val="Marginlie"/>
            </w:pPr>
          </w:p>
        </w:tc>
        <w:tc>
          <w:tcPr>
            <w:tcW w:w="217" w:type="dxa"/>
            <w:vMerge/>
            <w:shd w:val="clear" w:color="auto" w:fill="auto"/>
            <w:tcMar>
              <w:left w:w="0" w:type="dxa"/>
            </w:tcMar>
          </w:tcPr>
          <w:p w14:paraId="1F3E5143" w14:textId="77777777" w:rsidR="00267C51" w:rsidRDefault="00267C51" w:rsidP="00D932B8">
            <w:pPr>
              <w:pStyle w:val="Textpoznpodarou"/>
              <w:jc w:val="both"/>
              <w:rPr>
                <w:spacing w:val="-4"/>
              </w:rPr>
            </w:pPr>
          </w:p>
        </w:tc>
        <w:tc>
          <w:tcPr>
            <w:tcW w:w="7720" w:type="dxa"/>
            <w:shd w:val="clear" w:color="auto" w:fill="auto"/>
            <w:tcMar>
              <w:left w:w="0" w:type="dxa"/>
            </w:tcMar>
          </w:tcPr>
          <w:p w14:paraId="34C0298B" w14:textId="77777777" w:rsidR="00267C51" w:rsidRPr="008F2BE2" w:rsidRDefault="00267C51" w:rsidP="00D932B8">
            <w:pPr>
              <w:pStyle w:val="Textpoznpodarou"/>
              <w:rPr>
                <w:spacing w:val="-4"/>
                <w:sz w:val="14"/>
                <w:szCs w:val="14"/>
              </w:rPr>
            </w:pPr>
            <w:r w:rsidRPr="008F2BE2">
              <w:rPr>
                <w:spacing w:val="-4"/>
                <w:sz w:val="14"/>
                <w:szCs w:val="14"/>
              </w:rPr>
              <w:t>*Pokrývají výdaje na platy v organizačních složkách státu. Nezahrnují například mzdové výdaje na regionální školství.</w:t>
            </w:r>
          </w:p>
          <w:p w14:paraId="4B06934C" w14:textId="77777777" w:rsidR="00267C51" w:rsidRPr="008F2BE2" w:rsidRDefault="00267C51" w:rsidP="00D932B8">
            <w:pPr>
              <w:pStyle w:val="Textpoznpodarou"/>
              <w:rPr>
                <w:spacing w:val="-4"/>
                <w:sz w:val="14"/>
                <w:szCs w:val="14"/>
              </w:rPr>
            </w:pPr>
            <w:r w:rsidRPr="008F2BE2">
              <w:rPr>
                <w:spacing w:val="-4"/>
                <w:sz w:val="14"/>
                <w:szCs w:val="14"/>
              </w:rPr>
              <w:t>**Zahrnuje i dávky pěstounské péče.</w:t>
            </w:r>
          </w:p>
          <w:p w14:paraId="564DABFA" w14:textId="77777777" w:rsidR="00267C51" w:rsidRPr="008F2BE2" w:rsidRDefault="00267C51" w:rsidP="00D932B8">
            <w:pPr>
              <w:pStyle w:val="Textpoznpodarou"/>
              <w:rPr>
                <w:spacing w:val="-4"/>
                <w:sz w:val="14"/>
                <w:szCs w:val="14"/>
              </w:rPr>
            </w:pPr>
            <w:r w:rsidRPr="008F2BE2">
              <w:rPr>
                <w:spacing w:val="-4"/>
                <w:sz w:val="14"/>
                <w:szCs w:val="14"/>
              </w:rPr>
              <w:t>***Zahrnují dávky pomoci v hmotné nouzi, dávky osobám se zdravotním postižením, příspěvek na péči dle zákona o soc. službách.</w:t>
            </w:r>
          </w:p>
          <w:p w14:paraId="7CCB8469" w14:textId="77777777" w:rsidR="00267C51" w:rsidRPr="008F2BE2" w:rsidRDefault="00267C51" w:rsidP="00D932B8">
            <w:pPr>
              <w:pStyle w:val="Textpoznpodarou"/>
              <w:rPr>
                <w:spacing w:val="-4"/>
                <w:sz w:val="14"/>
                <w:szCs w:val="14"/>
              </w:rPr>
            </w:pPr>
            <w:r w:rsidRPr="008F2BE2">
              <w:rPr>
                <w:spacing w:val="-4"/>
                <w:sz w:val="14"/>
                <w:szCs w:val="14"/>
              </w:rPr>
              <w:t>****Obsahují zejména výdaje na nákup služeb, materiálu, energií či ostatních služeb (například výdaje na opravy a udržování).</w:t>
            </w:r>
          </w:p>
          <w:p w14:paraId="26A3B43F" w14:textId="77777777" w:rsidR="00267C51" w:rsidRPr="008F2BE2" w:rsidRDefault="00267C51" w:rsidP="00E97F14">
            <w:pPr>
              <w:pStyle w:val="Textpoznpodarou"/>
              <w:spacing w:after="220"/>
              <w:rPr>
                <w:spacing w:val="-4"/>
                <w:sz w:val="14"/>
                <w:szCs w:val="14"/>
              </w:rPr>
            </w:pPr>
            <w:r w:rsidRPr="008F2BE2">
              <w:rPr>
                <w:spacing w:val="-4"/>
                <w:sz w:val="14"/>
                <w:szCs w:val="14"/>
              </w:rPr>
              <w:t xml:space="preserve">*****Odpovídá saldu </w:t>
            </w:r>
            <w:r w:rsidRPr="000F45E7">
              <w:rPr>
                <w:spacing w:val="-4"/>
                <w:sz w:val="14"/>
                <w:szCs w:val="14"/>
              </w:rPr>
              <w:t xml:space="preserve">rozpočtové kapitoly Státní dluh. </w:t>
            </w:r>
            <w:r w:rsidRPr="000F45E7">
              <w:rPr>
                <w:color w:val="0D0D0D" w:themeColor="text1" w:themeTint="F2"/>
                <w:spacing w:val="-2"/>
                <w:sz w:val="14"/>
                <w:szCs w:val="14"/>
              </w:rPr>
              <w:t>Je tvořen čistými úrokovými výdaji a též poplatky.</w:t>
            </w:r>
            <w:r w:rsidRPr="000F45E7">
              <w:rPr>
                <w:spacing w:val="-4"/>
                <w:sz w:val="14"/>
                <w:szCs w:val="14"/>
              </w:rPr>
              <w:t xml:space="preserve">             Zdroj: MF ČR, MPSV</w:t>
            </w:r>
          </w:p>
        </w:tc>
      </w:tr>
      <w:tr w:rsidR="00267C51" w:rsidRPr="00343AC1" w14:paraId="5B9816F8" w14:textId="77777777" w:rsidTr="00D932B8">
        <w:trPr>
          <w:trHeight w:val="170"/>
        </w:trPr>
        <w:tc>
          <w:tcPr>
            <w:tcW w:w="1732" w:type="dxa"/>
            <w:shd w:val="clear" w:color="auto" w:fill="auto"/>
            <w:tcMar>
              <w:left w:w="0" w:type="dxa"/>
            </w:tcMar>
          </w:tcPr>
          <w:p w14:paraId="3B4319F0" w14:textId="77777777" w:rsidR="00267C51" w:rsidRDefault="00267C51" w:rsidP="00267C51">
            <w:pPr>
              <w:pStyle w:val="Marginlie"/>
              <w:spacing w:after="240"/>
            </w:pPr>
            <w:r>
              <w:t>Státní dluh vzrostl loni o čtvrtinu, tedy více než v letech 2009 i 2010.</w:t>
            </w:r>
          </w:p>
          <w:p w14:paraId="1846E9ED" w14:textId="77777777" w:rsidR="00267C51" w:rsidRDefault="00267C51" w:rsidP="00267C51">
            <w:pPr>
              <w:pStyle w:val="Marginlie"/>
              <w:spacing w:after="240"/>
            </w:pPr>
          </w:p>
          <w:p w14:paraId="7388E57D" w14:textId="77777777" w:rsidR="00267C51" w:rsidRDefault="00267C51" w:rsidP="00267C51">
            <w:pPr>
              <w:pStyle w:val="Marginlie"/>
              <w:spacing w:after="240"/>
            </w:pPr>
          </w:p>
          <w:p w14:paraId="3ECB872A" w14:textId="77777777" w:rsidR="00267C51" w:rsidRDefault="00267C51" w:rsidP="00267C51">
            <w:pPr>
              <w:pStyle w:val="Marginlie"/>
              <w:spacing w:after="240"/>
            </w:pPr>
            <w:r>
              <w:t>Úrokové výdaje na státní dluh v posledních letech stagnovaly.</w:t>
            </w:r>
          </w:p>
        </w:tc>
        <w:tc>
          <w:tcPr>
            <w:tcW w:w="217" w:type="dxa"/>
            <w:shd w:val="clear" w:color="auto" w:fill="auto"/>
            <w:tcMar>
              <w:left w:w="0" w:type="dxa"/>
            </w:tcMar>
          </w:tcPr>
          <w:p w14:paraId="210D2C5A" w14:textId="77777777" w:rsidR="00267C51" w:rsidRDefault="00267C51" w:rsidP="00267C51">
            <w:pPr>
              <w:pStyle w:val="Textpoznpodarou"/>
              <w:spacing w:after="240"/>
              <w:jc w:val="both"/>
              <w:rPr>
                <w:spacing w:val="-4"/>
              </w:rPr>
            </w:pPr>
          </w:p>
        </w:tc>
        <w:tc>
          <w:tcPr>
            <w:tcW w:w="7720" w:type="dxa"/>
            <w:shd w:val="clear" w:color="auto" w:fill="auto"/>
            <w:tcMar>
              <w:left w:w="0" w:type="dxa"/>
            </w:tcMar>
          </w:tcPr>
          <w:p w14:paraId="116B4739" w14:textId="77777777" w:rsidR="00267C51" w:rsidRPr="000D151F" w:rsidRDefault="00267C51" w:rsidP="00E97F14">
            <w:pPr>
              <w:spacing w:after="220"/>
              <w:rPr>
                <w:spacing w:val="-4"/>
              </w:rPr>
            </w:pPr>
            <w:r w:rsidRPr="000D151F">
              <w:rPr>
                <w:spacing w:val="-4"/>
              </w:rPr>
              <w:t>Silně rostoucí potřeba financování související s nutností pokr</w:t>
            </w:r>
            <w:r>
              <w:rPr>
                <w:spacing w:val="-4"/>
              </w:rPr>
              <w:t>ýt</w:t>
            </w:r>
            <w:r w:rsidRPr="000D151F">
              <w:rPr>
                <w:spacing w:val="-4"/>
              </w:rPr>
              <w:t xml:space="preserve"> krizov</w:t>
            </w:r>
            <w:r>
              <w:rPr>
                <w:spacing w:val="-4"/>
              </w:rPr>
              <w:t>ý</w:t>
            </w:r>
            <w:r w:rsidRPr="000D151F">
              <w:rPr>
                <w:spacing w:val="-4"/>
              </w:rPr>
              <w:t xml:space="preserve"> schod</w:t>
            </w:r>
            <w:r>
              <w:rPr>
                <w:spacing w:val="-4"/>
              </w:rPr>
              <w:t>e</w:t>
            </w:r>
            <w:r w:rsidRPr="000D151F">
              <w:rPr>
                <w:spacing w:val="-4"/>
              </w:rPr>
              <w:t>k SR vyústila v akceleraci výše státního dluhu. Ta činila na konci loňského roku 2</w:t>
            </w:r>
            <w:r>
              <w:rPr>
                <w:spacing w:val="-4"/>
              </w:rPr>
              <w:t> </w:t>
            </w:r>
            <w:r w:rsidRPr="000D151F">
              <w:rPr>
                <w:spacing w:val="-4"/>
              </w:rPr>
              <w:t>050</w:t>
            </w:r>
            <w:r>
              <w:rPr>
                <w:spacing w:val="-4"/>
              </w:rPr>
              <w:t> mld.</w:t>
            </w:r>
            <w:r w:rsidRPr="000D151F">
              <w:rPr>
                <w:spacing w:val="-4"/>
              </w:rPr>
              <w:t xml:space="preserve"> korun, meziročně narostla o</w:t>
            </w:r>
            <w:r>
              <w:rPr>
                <w:spacing w:val="-4"/>
              </w:rPr>
              <w:t> </w:t>
            </w:r>
            <w:r w:rsidRPr="000D151F">
              <w:rPr>
                <w:spacing w:val="-4"/>
              </w:rPr>
              <w:t>čtvrtinu</w:t>
            </w:r>
            <w:r w:rsidRPr="000D151F">
              <w:rPr>
                <w:rStyle w:val="Znakapoznpodarou"/>
                <w:spacing w:val="-4"/>
              </w:rPr>
              <w:footnoteReference w:id="80"/>
            </w:r>
            <w:r w:rsidRPr="000D151F">
              <w:rPr>
                <w:spacing w:val="-4"/>
              </w:rPr>
              <w:t xml:space="preserve">. </w:t>
            </w:r>
            <w:r>
              <w:rPr>
                <w:spacing w:val="-4"/>
              </w:rPr>
              <w:t>Klíčovými dluhovými nástroji byly</w:t>
            </w:r>
            <w:r w:rsidRPr="000D151F">
              <w:rPr>
                <w:spacing w:val="-4"/>
              </w:rPr>
              <w:t xml:space="preserve"> tradičně emise středně</w:t>
            </w:r>
            <w:r>
              <w:rPr>
                <w:spacing w:val="-4"/>
              </w:rPr>
              <w:t>-</w:t>
            </w:r>
            <w:r w:rsidRPr="000D151F">
              <w:rPr>
                <w:spacing w:val="-4"/>
              </w:rPr>
              <w:t xml:space="preserve"> a</w:t>
            </w:r>
            <w:r>
              <w:rPr>
                <w:spacing w:val="-4"/>
              </w:rPr>
              <w:t> </w:t>
            </w:r>
            <w:r w:rsidRPr="000D151F">
              <w:rPr>
                <w:spacing w:val="-4"/>
              </w:rPr>
              <w:t>dlouhodobých státních</w:t>
            </w:r>
            <w:r>
              <w:rPr>
                <w:spacing w:val="-4"/>
              </w:rPr>
              <w:t xml:space="preserve"> dluhopisů, jež loni dosáhly</w:t>
            </w:r>
            <w:r w:rsidRPr="000D151F">
              <w:rPr>
                <w:spacing w:val="-4"/>
              </w:rPr>
              <w:t xml:space="preserve"> rekordních 600</w:t>
            </w:r>
            <w:r>
              <w:rPr>
                <w:spacing w:val="-4"/>
              </w:rPr>
              <w:t> mld.</w:t>
            </w:r>
            <w:r w:rsidRPr="000D151F">
              <w:rPr>
                <w:spacing w:val="-4"/>
              </w:rPr>
              <w:t xml:space="preserve"> korun. Více než tři čtvrtiny z této emise připadal</w:t>
            </w:r>
            <w:r>
              <w:rPr>
                <w:spacing w:val="-4"/>
              </w:rPr>
              <w:t>y</w:t>
            </w:r>
            <w:r w:rsidRPr="000D151F">
              <w:rPr>
                <w:spacing w:val="-4"/>
              </w:rPr>
              <w:t xml:space="preserve"> </w:t>
            </w:r>
            <w:r>
              <w:rPr>
                <w:spacing w:val="-4"/>
              </w:rPr>
              <w:t xml:space="preserve">jen na 1. pololetí 2020. </w:t>
            </w:r>
            <w:proofErr w:type="gramStart"/>
            <w:r>
              <w:rPr>
                <w:spacing w:val="-4"/>
              </w:rPr>
              <w:t>D</w:t>
            </w:r>
            <w:r w:rsidRPr="000D151F">
              <w:rPr>
                <w:spacing w:val="-4"/>
              </w:rPr>
              <w:t>luhopisy poptávaly</w:t>
            </w:r>
            <w:proofErr w:type="gramEnd"/>
            <w:r w:rsidRPr="000D151F">
              <w:rPr>
                <w:spacing w:val="-4"/>
              </w:rPr>
              <w:t xml:space="preserve"> zejména tuzemské finanční instituce, které tak na konci roku držely již téměř dvě třetiny z celkových domácích státních dluhopisů. Na nerezidenty připadalo 31</w:t>
            </w:r>
            <w:r>
              <w:rPr>
                <w:spacing w:val="-4"/>
              </w:rPr>
              <w:t> %</w:t>
            </w:r>
            <w:r w:rsidRPr="000D151F">
              <w:rPr>
                <w:spacing w:val="-4"/>
              </w:rPr>
              <w:t>, nejméně za poslední čtyři roky. Výpůjční potřeba státu byla loni takřka výhradně soustředěna na domácí trh. Korunová hodnota vnějšího dluhu se tak již sedmým rokem v řadě snížila (loni o</w:t>
            </w:r>
            <w:r>
              <w:rPr>
                <w:spacing w:val="-4"/>
              </w:rPr>
              <w:t> </w:t>
            </w:r>
            <w:r w:rsidRPr="000D151F">
              <w:rPr>
                <w:spacing w:val="-4"/>
              </w:rPr>
              <w:t>6</w:t>
            </w:r>
            <w:r>
              <w:rPr>
                <w:spacing w:val="-4"/>
              </w:rPr>
              <w:t> %</w:t>
            </w:r>
            <w:r w:rsidRPr="000D151F">
              <w:rPr>
                <w:spacing w:val="-4"/>
              </w:rPr>
              <w:t>). Vnější</w:t>
            </w:r>
            <w:r w:rsidRPr="000D151F">
              <w:rPr>
                <w:rFonts w:cs="Arial"/>
                <w:color w:val="0D0D0D" w:themeColor="text1" w:themeTint="F2"/>
                <w:spacing w:val="-4"/>
              </w:rPr>
              <w:t xml:space="preserve"> dluh tvořil na konci 4.</w:t>
            </w:r>
            <w:r>
              <w:rPr>
                <w:rFonts w:cs="Arial"/>
                <w:color w:val="0D0D0D" w:themeColor="text1" w:themeTint="F2"/>
                <w:spacing w:val="-4"/>
              </w:rPr>
              <w:t> čtvrtlet</w:t>
            </w:r>
            <w:r w:rsidRPr="000D151F">
              <w:rPr>
                <w:rFonts w:cs="Arial"/>
                <w:color w:val="0D0D0D" w:themeColor="text1" w:themeTint="F2"/>
                <w:spacing w:val="-4"/>
              </w:rPr>
              <w:t>í 2020 jen 8,2 %</w:t>
            </w:r>
            <w:r>
              <w:rPr>
                <w:rFonts w:cs="Arial"/>
                <w:color w:val="0D0D0D" w:themeColor="text1" w:themeTint="F2"/>
                <w:spacing w:val="-4"/>
              </w:rPr>
              <w:t xml:space="preserve"> souhrnného</w:t>
            </w:r>
            <w:r w:rsidRPr="000D151F">
              <w:rPr>
                <w:rFonts w:cs="Arial"/>
                <w:color w:val="0D0D0D" w:themeColor="text1" w:themeTint="F2"/>
                <w:spacing w:val="-4"/>
              </w:rPr>
              <w:t xml:space="preserve"> státního dluhu. Čisté výdaje SR na obsluhu státního dluhu činily loni 40,1</w:t>
            </w:r>
            <w:r w:rsidRPr="000D151F">
              <w:rPr>
                <w:spacing w:val="-4"/>
              </w:rPr>
              <w:t> </w:t>
            </w:r>
            <w:r>
              <w:rPr>
                <w:rFonts w:cs="Arial"/>
                <w:color w:val="0D0D0D" w:themeColor="text1" w:themeTint="F2"/>
                <w:spacing w:val="-4"/>
              </w:rPr>
              <w:t>mld. korun a meziročně stagnovaly</w:t>
            </w:r>
            <w:r w:rsidRPr="000D151F">
              <w:rPr>
                <w:rFonts w:cs="Arial"/>
                <w:color w:val="0D0D0D" w:themeColor="text1" w:themeTint="F2"/>
                <w:spacing w:val="-4"/>
              </w:rPr>
              <w:t xml:space="preserve"> </w:t>
            </w:r>
            <w:r>
              <w:rPr>
                <w:rFonts w:cs="Arial"/>
                <w:color w:val="0D0D0D" w:themeColor="text1" w:themeTint="F2"/>
                <w:spacing w:val="-4"/>
              </w:rPr>
              <w:t>(již počtvrté</w:t>
            </w:r>
            <w:r w:rsidRPr="000D151F">
              <w:rPr>
                <w:rFonts w:cs="Arial"/>
                <w:color w:val="0D0D0D" w:themeColor="text1" w:themeTint="F2"/>
                <w:spacing w:val="-4"/>
              </w:rPr>
              <w:t xml:space="preserve"> v</w:t>
            </w:r>
            <w:r>
              <w:rPr>
                <w:rFonts w:cs="Arial"/>
                <w:color w:val="0D0D0D" w:themeColor="text1" w:themeTint="F2"/>
                <w:spacing w:val="-4"/>
              </w:rPr>
              <w:t> </w:t>
            </w:r>
            <w:r w:rsidRPr="000D151F">
              <w:rPr>
                <w:rFonts w:cs="Arial"/>
                <w:color w:val="0D0D0D" w:themeColor="text1" w:themeTint="F2"/>
                <w:spacing w:val="-4"/>
              </w:rPr>
              <w:t>řadě</w:t>
            </w:r>
            <w:r>
              <w:rPr>
                <w:rFonts w:cs="Arial"/>
                <w:color w:val="0D0D0D" w:themeColor="text1" w:themeTint="F2"/>
                <w:spacing w:val="-4"/>
              </w:rPr>
              <w:t>)</w:t>
            </w:r>
            <w:r w:rsidRPr="000D151F">
              <w:rPr>
                <w:rFonts w:cs="Arial"/>
                <w:color w:val="0D0D0D" w:themeColor="text1" w:themeTint="F2"/>
                <w:spacing w:val="-4"/>
              </w:rPr>
              <w:t>.</w:t>
            </w:r>
            <w:r>
              <w:rPr>
                <w:rFonts w:cs="Arial"/>
                <w:color w:val="0D0D0D" w:themeColor="text1" w:themeTint="F2"/>
                <w:spacing w:val="-4"/>
              </w:rPr>
              <w:t xml:space="preserve"> Projevil se pokles výnosů dluhopisů i vliv snížení úrokových sazeb ze strany ČNB.</w:t>
            </w:r>
          </w:p>
        </w:tc>
      </w:tr>
      <w:tr w:rsidR="00267C51" w:rsidRPr="00343AC1" w14:paraId="1EB62A5A" w14:textId="77777777" w:rsidTr="00D932B8">
        <w:trPr>
          <w:trHeight w:val="170"/>
        </w:trPr>
        <w:tc>
          <w:tcPr>
            <w:tcW w:w="1732" w:type="dxa"/>
            <w:shd w:val="clear" w:color="auto" w:fill="auto"/>
            <w:tcMar>
              <w:left w:w="0" w:type="dxa"/>
            </w:tcMar>
          </w:tcPr>
          <w:p w14:paraId="74937A30" w14:textId="60E849D6" w:rsidR="00267C51" w:rsidRDefault="00267C51" w:rsidP="00267C51">
            <w:pPr>
              <w:pStyle w:val="Marginlie"/>
              <w:spacing w:after="240"/>
            </w:pPr>
            <w:r>
              <w:t>Deficit hospodaření ústředních vládních institucí se citelně prohloubil. Místní vládní instituce i zdravotní pojišťovny si udržely přebytek.</w:t>
            </w:r>
          </w:p>
          <w:p w14:paraId="58C38A88" w14:textId="77777777" w:rsidR="00267C51" w:rsidRDefault="00267C51" w:rsidP="00267C51">
            <w:pPr>
              <w:pStyle w:val="Marginlie"/>
              <w:spacing w:after="240"/>
            </w:pPr>
            <w:r>
              <w:t>Schodek hospodaření i nárůst míry zadlužení v ČR patřily v rámci zemí EU k mírnějším.</w:t>
            </w:r>
          </w:p>
        </w:tc>
        <w:tc>
          <w:tcPr>
            <w:tcW w:w="217" w:type="dxa"/>
            <w:shd w:val="clear" w:color="auto" w:fill="auto"/>
            <w:tcMar>
              <w:left w:w="0" w:type="dxa"/>
            </w:tcMar>
          </w:tcPr>
          <w:p w14:paraId="60A6706D" w14:textId="77777777" w:rsidR="00267C51" w:rsidRDefault="00267C51" w:rsidP="00267C51">
            <w:pPr>
              <w:pStyle w:val="Textpoznpodarou"/>
              <w:spacing w:after="240"/>
              <w:jc w:val="both"/>
              <w:rPr>
                <w:spacing w:val="-4"/>
              </w:rPr>
            </w:pPr>
          </w:p>
        </w:tc>
        <w:tc>
          <w:tcPr>
            <w:tcW w:w="7720" w:type="dxa"/>
            <w:shd w:val="clear" w:color="auto" w:fill="auto"/>
            <w:tcMar>
              <w:left w:w="0" w:type="dxa"/>
            </w:tcMar>
          </w:tcPr>
          <w:p w14:paraId="6C33EA73" w14:textId="77777777" w:rsidR="00267C51" w:rsidRPr="000F45E7" w:rsidRDefault="00267C51" w:rsidP="00E97F14">
            <w:pPr>
              <w:pStyle w:val="Textpoznpodarou"/>
              <w:spacing w:line="276" w:lineRule="auto"/>
              <w:jc w:val="both"/>
              <w:rPr>
                <w:rFonts w:cs="Arial"/>
                <w:color w:val="0D0D0D" w:themeColor="text1" w:themeTint="F2"/>
                <w:spacing w:val="-6"/>
              </w:rPr>
            </w:pPr>
            <w:r w:rsidRPr="000F45E7">
              <w:rPr>
                <w:rFonts w:cs="Arial"/>
                <w:color w:val="0D0D0D" w:themeColor="text1" w:themeTint="F2"/>
                <w:spacing w:val="-6"/>
              </w:rPr>
              <w:t>Sektor vládních institucí (VI) v ČR hospodařil v 1</w:t>
            </w:r>
            <w:r>
              <w:rPr>
                <w:rFonts w:cs="Arial"/>
                <w:color w:val="0D0D0D" w:themeColor="text1" w:themeTint="F2"/>
                <w:spacing w:val="-6"/>
              </w:rPr>
              <w:t>. </w:t>
            </w:r>
            <w:r w:rsidRPr="000F45E7">
              <w:rPr>
                <w:rFonts w:cs="Arial"/>
                <w:color w:val="0D0D0D" w:themeColor="text1" w:themeTint="F2"/>
                <w:spacing w:val="-6"/>
              </w:rPr>
              <w:t>až 3.</w:t>
            </w:r>
            <w:r>
              <w:rPr>
                <w:rFonts w:cs="Arial"/>
                <w:color w:val="0D0D0D" w:themeColor="text1" w:themeTint="F2"/>
                <w:spacing w:val="-6"/>
              </w:rPr>
              <w:t> čtvrtlet</w:t>
            </w:r>
            <w:r w:rsidRPr="000F45E7">
              <w:rPr>
                <w:rFonts w:cs="Arial"/>
                <w:color w:val="0D0D0D" w:themeColor="text1" w:themeTint="F2"/>
                <w:spacing w:val="-6"/>
              </w:rPr>
              <w:t>í 2020 se schodkem 195</w:t>
            </w:r>
            <w:r>
              <w:rPr>
                <w:rFonts w:cs="Arial"/>
                <w:color w:val="0D0D0D" w:themeColor="text1" w:themeTint="F2"/>
                <w:spacing w:val="-6"/>
              </w:rPr>
              <w:t> mld.</w:t>
            </w:r>
            <w:r w:rsidRPr="000F45E7">
              <w:rPr>
                <w:rFonts w:cs="Arial"/>
                <w:color w:val="0D0D0D" w:themeColor="text1" w:themeTint="F2"/>
                <w:spacing w:val="-6"/>
              </w:rPr>
              <w:t xml:space="preserve"> korun. </w:t>
            </w:r>
            <w:r>
              <w:rPr>
                <w:rFonts w:cs="Arial"/>
                <w:color w:val="0D0D0D" w:themeColor="text1" w:themeTint="F2"/>
                <w:spacing w:val="-6"/>
              </w:rPr>
              <w:t>P</w:t>
            </w:r>
            <w:r w:rsidRPr="000F45E7">
              <w:rPr>
                <w:rFonts w:cs="Arial"/>
                <w:color w:val="0D0D0D" w:themeColor="text1" w:themeTint="F2"/>
                <w:spacing w:val="-6"/>
              </w:rPr>
              <w:t>říjmy</w:t>
            </w:r>
            <w:r>
              <w:rPr>
                <w:rFonts w:cs="Arial"/>
                <w:color w:val="0D0D0D" w:themeColor="text1" w:themeTint="F2"/>
                <w:spacing w:val="-6"/>
              </w:rPr>
              <w:t xml:space="preserve"> VI </w:t>
            </w:r>
            <w:r w:rsidRPr="000F45E7">
              <w:rPr>
                <w:rFonts w:cs="Arial"/>
                <w:color w:val="0D0D0D" w:themeColor="text1" w:themeTint="F2"/>
                <w:spacing w:val="-6"/>
              </w:rPr>
              <w:t>meziročně klesly o</w:t>
            </w:r>
            <w:r>
              <w:rPr>
                <w:rFonts w:cs="Arial"/>
                <w:color w:val="0D0D0D" w:themeColor="text1" w:themeTint="F2"/>
                <w:spacing w:val="-6"/>
              </w:rPr>
              <w:t> </w:t>
            </w:r>
            <w:r w:rsidRPr="000F45E7">
              <w:rPr>
                <w:rFonts w:cs="Arial"/>
                <w:color w:val="0D0D0D" w:themeColor="text1" w:themeTint="F2"/>
                <w:spacing w:val="-6"/>
              </w:rPr>
              <w:t>2,8</w:t>
            </w:r>
            <w:r>
              <w:rPr>
                <w:rFonts w:cs="Arial"/>
                <w:color w:val="0D0D0D" w:themeColor="text1" w:themeTint="F2"/>
                <w:spacing w:val="-6"/>
              </w:rPr>
              <w:t> %</w:t>
            </w:r>
            <w:r w:rsidRPr="000F45E7">
              <w:rPr>
                <w:rFonts w:cs="Arial"/>
                <w:color w:val="0D0D0D" w:themeColor="text1" w:themeTint="F2"/>
                <w:spacing w:val="-6"/>
              </w:rPr>
              <w:t>, růst výdajů vystoupal na 10,7</w:t>
            </w:r>
            <w:r>
              <w:rPr>
                <w:rFonts w:cs="Arial"/>
                <w:color w:val="0D0D0D" w:themeColor="text1" w:themeTint="F2"/>
                <w:spacing w:val="-6"/>
              </w:rPr>
              <w:t> %</w:t>
            </w:r>
            <w:r w:rsidRPr="000F45E7">
              <w:rPr>
                <w:rFonts w:cs="Arial"/>
                <w:color w:val="0D0D0D" w:themeColor="text1" w:themeTint="F2"/>
                <w:spacing w:val="-6"/>
              </w:rPr>
              <w:t xml:space="preserve"> (v</w:t>
            </w:r>
            <w:r>
              <w:rPr>
                <w:rFonts w:cs="Arial"/>
                <w:color w:val="0D0D0D" w:themeColor="text1" w:themeTint="F2"/>
                <w:spacing w:val="-6"/>
              </w:rPr>
              <w:t> </w:t>
            </w:r>
            <w:r w:rsidRPr="000F45E7">
              <w:rPr>
                <w:rFonts w:cs="Arial"/>
                <w:color w:val="0D0D0D" w:themeColor="text1" w:themeTint="F2"/>
                <w:spacing w:val="-6"/>
              </w:rPr>
              <w:t>obou případech šlo o</w:t>
            </w:r>
            <w:r>
              <w:rPr>
                <w:rFonts w:cs="Arial"/>
                <w:color w:val="0D0D0D" w:themeColor="text1" w:themeTint="F2"/>
                <w:spacing w:val="-6"/>
              </w:rPr>
              <w:t> </w:t>
            </w:r>
            <w:r w:rsidRPr="000F45E7">
              <w:rPr>
                <w:rFonts w:cs="Arial"/>
                <w:color w:val="0D0D0D" w:themeColor="text1" w:themeTint="F2"/>
                <w:spacing w:val="-6"/>
              </w:rPr>
              <w:t xml:space="preserve">rekordní tempa </w:t>
            </w:r>
            <w:r>
              <w:rPr>
                <w:rFonts w:cs="Arial"/>
                <w:color w:val="0D0D0D" w:themeColor="text1" w:themeTint="F2"/>
                <w:spacing w:val="-6"/>
              </w:rPr>
              <w:t>za poslední dekádu</w:t>
            </w:r>
            <w:r w:rsidRPr="000F45E7">
              <w:rPr>
                <w:rFonts w:cs="Arial"/>
                <w:color w:val="0D0D0D" w:themeColor="text1" w:themeTint="F2"/>
                <w:spacing w:val="-6"/>
              </w:rPr>
              <w:t xml:space="preserve">). Saldo hospodaření se meziročně zhoršilo ve všech </w:t>
            </w:r>
            <w:proofErr w:type="spellStart"/>
            <w:r w:rsidRPr="000F45E7">
              <w:rPr>
                <w:rFonts w:cs="Arial"/>
                <w:color w:val="0D0D0D" w:themeColor="text1" w:themeTint="F2"/>
                <w:spacing w:val="-6"/>
              </w:rPr>
              <w:t>subsektorech</w:t>
            </w:r>
            <w:proofErr w:type="spellEnd"/>
            <w:r>
              <w:rPr>
                <w:rFonts w:cs="Arial"/>
                <w:color w:val="0D0D0D" w:themeColor="text1" w:themeTint="F2"/>
                <w:spacing w:val="-6"/>
              </w:rPr>
              <w:t> </w:t>
            </w:r>
            <w:r w:rsidRPr="000F45E7">
              <w:rPr>
                <w:rFonts w:cs="Arial"/>
                <w:color w:val="0D0D0D" w:themeColor="text1" w:themeTint="F2"/>
                <w:spacing w:val="-6"/>
              </w:rPr>
              <w:t>VI, nejvíce však u</w:t>
            </w:r>
            <w:r>
              <w:rPr>
                <w:rFonts w:cs="Arial"/>
                <w:color w:val="0D0D0D" w:themeColor="text1" w:themeTint="F2"/>
                <w:spacing w:val="-6"/>
              </w:rPr>
              <w:t> </w:t>
            </w:r>
            <w:r w:rsidRPr="000F45E7">
              <w:rPr>
                <w:rFonts w:cs="Arial"/>
                <w:color w:val="0D0D0D" w:themeColor="text1" w:themeTint="F2"/>
                <w:spacing w:val="-6"/>
              </w:rPr>
              <w:t>ústředních</w:t>
            </w:r>
            <w:r>
              <w:rPr>
                <w:rFonts w:cs="Arial"/>
                <w:color w:val="0D0D0D" w:themeColor="text1" w:themeTint="F2"/>
                <w:spacing w:val="-6"/>
              </w:rPr>
              <w:t> </w:t>
            </w:r>
            <w:r w:rsidRPr="000F45E7">
              <w:rPr>
                <w:rFonts w:cs="Arial"/>
                <w:color w:val="0D0D0D" w:themeColor="text1" w:themeTint="F2"/>
                <w:spacing w:val="-6"/>
              </w:rPr>
              <w:t xml:space="preserve">VI, jež nesly drtivou většinu nákladů spojených </w:t>
            </w:r>
            <w:r>
              <w:rPr>
                <w:rFonts w:cs="Arial"/>
                <w:color w:val="0D0D0D" w:themeColor="text1" w:themeTint="F2"/>
                <w:spacing w:val="-6"/>
              </w:rPr>
              <w:t>s </w:t>
            </w:r>
            <w:proofErr w:type="spellStart"/>
            <w:r w:rsidRPr="000F45E7">
              <w:rPr>
                <w:rFonts w:cs="Arial"/>
                <w:color w:val="0D0D0D" w:themeColor="text1" w:themeTint="F2"/>
                <w:spacing w:val="-6"/>
              </w:rPr>
              <w:t>protipandemickými</w:t>
            </w:r>
            <w:proofErr w:type="spellEnd"/>
            <w:r w:rsidRPr="000F45E7">
              <w:rPr>
                <w:rFonts w:cs="Arial"/>
                <w:color w:val="0D0D0D" w:themeColor="text1" w:themeTint="F2"/>
                <w:spacing w:val="-6"/>
              </w:rPr>
              <w:t xml:space="preserve"> opatření</w:t>
            </w:r>
            <w:r>
              <w:rPr>
                <w:rFonts w:cs="Arial"/>
                <w:color w:val="0D0D0D" w:themeColor="text1" w:themeTint="F2"/>
                <w:spacing w:val="-6"/>
              </w:rPr>
              <w:t xml:space="preserve">mi. Zdravotní pojišťovny </w:t>
            </w:r>
            <w:r w:rsidRPr="000F45E7">
              <w:rPr>
                <w:rFonts w:cs="Arial"/>
                <w:color w:val="0D0D0D" w:themeColor="text1" w:themeTint="F2"/>
                <w:spacing w:val="-6"/>
              </w:rPr>
              <w:t>i</w:t>
            </w:r>
            <w:r>
              <w:rPr>
                <w:spacing w:val="-6"/>
              </w:rPr>
              <w:t xml:space="preserve"> </w:t>
            </w:r>
            <w:r w:rsidRPr="000F45E7">
              <w:rPr>
                <w:rFonts w:cs="Arial"/>
                <w:color w:val="0D0D0D" w:themeColor="text1" w:themeTint="F2"/>
                <w:spacing w:val="-6"/>
              </w:rPr>
              <w:t>místní</w:t>
            </w:r>
            <w:r>
              <w:rPr>
                <w:rFonts w:cs="Arial"/>
                <w:color w:val="0D0D0D" w:themeColor="text1" w:themeTint="F2"/>
                <w:spacing w:val="-6"/>
              </w:rPr>
              <w:t> </w:t>
            </w:r>
            <w:r w:rsidRPr="000F45E7">
              <w:rPr>
                <w:rFonts w:cs="Arial"/>
                <w:color w:val="0D0D0D" w:themeColor="text1" w:themeTint="F2"/>
                <w:spacing w:val="-6"/>
              </w:rPr>
              <w:t xml:space="preserve">VI přebytkové hospodaření udržely, zčásti díky nižší investiční aktivitě. Sezónně očištěné saldo hospodaření sektoru VI propadlo za tři čtvrtletí </w:t>
            </w:r>
            <w:proofErr w:type="gramStart"/>
            <w:r w:rsidRPr="000F45E7">
              <w:rPr>
                <w:rFonts w:cs="Arial"/>
                <w:color w:val="0D0D0D" w:themeColor="text1" w:themeTint="F2"/>
                <w:spacing w:val="-6"/>
              </w:rPr>
              <w:t>na</w:t>
            </w:r>
            <w:proofErr w:type="gramEnd"/>
            <w:r w:rsidRPr="000F45E7">
              <w:rPr>
                <w:rFonts w:cs="Arial"/>
                <w:color w:val="0D0D0D" w:themeColor="text1" w:themeTint="F2"/>
                <w:spacing w:val="-6"/>
              </w:rPr>
              <w:t xml:space="preserve"> </w:t>
            </w:r>
            <w:r w:rsidRPr="000F45E7">
              <w:rPr>
                <w:spacing w:val="-6"/>
              </w:rPr>
              <w:t>–</w:t>
            </w:r>
            <w:proofErr w:type="gramStart"/>
            <w:r w:rsidRPr="000F45E7">
              <w:rPr>
                <w:rFonts w:cs="Arial"/>
                <w:color w:val="0D0D0D" w:themeColor="text1" w:themeTint="F2"/>
                <w:spacing w:val="-6"/>
              </w:rPr>
              <w:t>4,5</w:t>
            </w:r>
            <w:proofErr w:type="gramEnd"/>
            <w:r>
              <w:rPr>
                <w:rFonts w:cs="Arial"/>
                <w:color w:val="0D0D0D" w:themeColor="text1" w:themeTint="F2"/>
                <w:spacing w:val="-6"/>
              </w:rPr>
              <w:t> %</w:t>
            </w:r>
            <w:r w:rsidRPr="000F45E7">
              <w:rPr>
                <w:rFonts w:cs="Arial"/>
                <w:color w:val="0D0D0D" w:themeColor="text1" w:themeTint="F2"/>
                <w:spacing w:val="-6"/>
              </w:rPr>
              <w:t xml:space="preserve"> HDP. Zaznamenalo tak první</w:t>
            </w:r>
            <w:r>
              <w:rPr>
                <w:rFonts w:cs="Arial"/>
                <w:color w:val="0D0D0D" w:themeColor="text1" w:themeTint="F2"/>
                <w:spacing w:val="-6"/>
              </w:rPr>
              <w:t xml:space="preserve"> deficit po pěti letech a zároveň </w:t>
            </w:r>
            <w:r w:rsidRPr="000F45E7">
              <w:rPr>
                <w:rFonts w:cs="Arial"/>
                <w:color w:val="0D0D0D" w:themeColor="text1" w:themeTint="F2"/>
                <w:spacing w:val="-6"/>
              </w:rPr>
              <w:t xml:space="preserve">nejhorší výsledek od roku </w:t>
            </w:r>
            <w:proofErr w:type="gramStart"/>
            <w:r w:rsidRPr="000F45E7">
              <w:rPr>
                <w:rFonts w:cs="Arial"/>
                <w:color w:val="0D0D0D" w:themeColor="text1" w:themeTint="F2"/>
                <w:spacing w:val="-6"/>
              </w:rPr>
              <w:t>2009 (</w:t>
            </w:r>
            <w:r w:rsidRPr="000F45E7">
              <w:rPr>
                <w:spacing w:val="-6"/>
              </w:rPr>
              <w:t>–</w:t>
            </w:r>
            <w:r w:rsidRPr="000F45E7">
              <w:rPr>
                <w:rFonts w:cs="Arial"/>
                <w:color w:val="0D0D0D" w:themeColor="text1" w:themeTint="F2"/>
                <w:spacing w:val="-6"/>
              </w:rPr>
              <w:t>5,5</w:t>
            </w:r>
            <w:proofErr w:type="gramEnd"/>
            <w:r>
              <w:rPr>
                <w:rFonts w:cs="Arial"/>
                <w:color w:val="0D0D0D" w:themeColor="text1" w:themeTint="F2"/>
                <w:spacing w:val="-6"/>
              </w:rPr>
              <w:t> %</w:t>
            </w:r>
            <w:r w:rsidRPr="000F45E7">
              <w:rPr>
                <w:rFonts w:cs="Arial"/>
                <w:color w:val="0D0D0D" w:themeColor="text1" w:themeTint="F2"/>
                <w:spacing w:val="-6"/>
              </w:rPr>
              <w:t xml:space="preserve">). </w:t>
            </w:r>
            <w:r>
              <w:rPr>
                <w:rFonts w:cs="Arial"/>
                <w:color w:val="0D0D0D" w:themeColor="text1" w:themeTint="F2"/>
                <w:spacing w:val="-6"/>
              </w:rPr>
              <w:t>Šlo ovšem stále o lepší hodnotu</w:t>
            </w:r>
            <w:r w:rsidRPr="000F45E7">
              <w:rPr>
                <w:rFonts w:cs="Arial"/>
                <w:color w:val="0D0D0D" w:themeColor="text1" w:themeTint="F2"/>
                <w:spacing w:val="-6"/>
              </w:rPr>
              <w:t xml:space="preserve"> než v </w:t>
            </w:r>
            <w:proofErr w:type="gramStart"/>
            <w:r w:rsidRPr="000F45E7">
              <w:rPr>
                <w:rFonts w:cs="Arial"/>
                <w:color w:val="0D0D0D" w:themeColor="text1" w:themeTint="F2"/>
                <w:spacing w:val="-6"/>
              </w:rPr>
              <w:t>EU (</w:t>
            </w:r>
            <w:r w:rsidRPr="000F45E7">
              <w:rPr>
                <w:spacing w:val="-6"/>
              </w:rPr>
              <w:t>–</w:t>
            </w:r>
            <w:r w:rsidRPr="000F45E7">
              <w:rPr>
                <w:rFonts w:cs="Arial"/>
                <w:color w:val="0D0D0D" w:themeColor="text1" w:themeTint="F2"/>
                <w:spacing w:val="-6"/>
              </w:rPr>
              <w:t>6,6</w:t>
            </w:r>
            <w:proofErr w:type="gramEnd"/>
            <w:r>
              <w:rPr>
                <w:rFonts w:cs="Arial"/>
                <w:color w:val="0D0D0D" w:themeColor="text1" w:themeTint="F2"/>
                <w:spacing w:val="-6"/>
              </w:rPr>
              <w:t> %</w:t>
            </w:r>
            <w:r w:rsidRPr="000F45E7">
              <w:rPr>
                <w:rFonts w:cs="Arial"/>
                <w:color w:val="0D0D0D" w:themeColor="text1" w:themeTint="F2"/>
                <w:spacing w:val="-6"/>
              </w:rPr>
              <w:t xml:space="preserve">) či </w:t>
            </w:r>
            <w:r>
              <w:rPr>
                <w:rFonts w:cs="Arial"/>
                <w:color w:val="0D0D0D" w:themeColor="text1" w:themeTint="F2"/>
                <w:spacing w:val="-6"/>
              </w:rPr>
              <w:t xml:space="preserve">ve </w:t>
            </w:r>
            <w:r w:rsidRPr="000F45E7">
              <w:rPr>
                <w:rFonts w:cs="Arial"/>
                <w:color w:val="0D0D0D" w:themeColor="text1" w:themeTint="F2"/>
                <w:spacing w:val="-6"/>
              </w:rPr>
              <w:t xml:space="preserve">všech středoevropských státech (např. Německo </w:t>
            </w:r>
            <w:r w:rsidRPr="000F45E7">
              <w:rPr>
                <w:spacing w:val="-6"/>
              </w:rPr>
              <w:t>–</w:t>
            </w:r>
            <w:r w:rsidRPr="000F45E7">
              <w:rPr>
                <w:rFonts w:cs="Arial"/>
                <w:color w:val="0D0D0D" w:themeColor="text1" w:themeTint="F2"/>
                <w:spacing w:val="-6"/>
              </w:rPr>
              <w:t>4,6</w:t>
            </w:r>
            <w:r>
              <w:rPr>
                <w:rFonts w:cs="Arial"/>
                <w:color w:val="0D0D0D" w:themeColor="text1" w:themeTint="F2"/>
                <w:spacing w:val="-6"/>
              </w:rPr>
              <w:t> %</w:t>
            </w:r>
            <w:r w:rsidRPr="000F45E7">
              <w:rPr>
                <w:rFonts w:cs="Arial"/>
                <w:color w:val="0D0D0D" w:themeColor="text1" w:themeTint="F2"/>
                <w:spacing w:val="-6"/>
              </w:rPr>
              <w:t xml:space="preserve">, Polsko </w:t>
            </w:r>
            <w:r w:rsidRPr="000F45E7">
              <w:rPr>
                <w:spacing w:val="-6"/>
              </w:rPr>
              <w:t>–</w:t>
            </w:r>
            <w:r w:rsidRPr="000F45E7">
              <w:rPr>
                <w:rFonts w:cs="Arial"/>
                <w:color w:val="0D0D0D" w:themeColor="text1" w:themeTint="F2"/>
                <w:spacing w:val="-6"/>
              </w:rPr>
              <w:t>8,5</w:t>
            </w:r>
            <w:r>
              <w:rPr>
                <w:rFonts w:cs="Arial"/>
                <w:color w:val="0D0D0D" w:themeColor="text1" w:themeTint="F2"/>
                <w:spacing w:val="-6"/>
              </w:rPr>
              <w:t> %</w:t>
            </w:r>
            <w:r w:rsidRPr="000F45E7">
              <w:rPr>
                <w:rFonts w:cs="Arial"/>
                <w:color w:val="0D0D0D" w:themeColor="text1" w:themeTint="F2"/>
                <w:spacing w:val="-6"/>
              </w:rPr>
              <w:t>). Takto hluboké deficitní hospodaření se muselo odrazit v dluhové akceleraci. Míra zadlužení v EU překonala během loň</w:t>
            </w:r>
            <w:r>
              <w:rPr>
                <w:rFonts w:cs="Arial"/>
                <w:color w:val="0D0D0D" w:themeColor="text1" w:themeTint="F2"/>
                <w:spacing w:val="-6"/>
              </w:rPr>
              <w:t xml:space="preserve">ska rekordní úroveň z roku 2014, </w:t>
            </w:r>
            <w:r w:rsidRPr="000F45E7">
              <w:rPr>
                <w:rFonts w:cs="Arial"/>
                <w:color w:val="0D0D0D" w:themeColor="text1" w:themeTint="F2"/>
                <w:spacing w:val="-6"/>
              </w:rPr>
              <w:t>na konci 3.</w:t>
            </w:r>
            <w:r>
              <w:rPr>
                <w:rFonts w:cs="Arial"/>
                <w:color w:val="0D0D0D" w:themeColor="text1" w:themeTint="F2"/>
                <w:spacing w:val="-6"/>
              </w:rPr>
              <w:t> čtvrtlet</w:t>
            </w:r>
            <w:r w:rsidRPr="000F45E7">
              <w:rPr>
                <w:rFonts w:cs="Arial"/>
                <w:color w:val="0D0D0D" w:themeColor="text1" w:themeTint="F2"/>
                <w:spacing w:val="-6"/>
              </w:rPr>
              <w:t xml:space="preserve">í 2020 </w:t>
            </w:r>
            <w:r>
              <w:rPr>
                <w:rFonts w:cs="Arial"/>
                <w:color w:val="0D0D0D" w:themeColor="text1" w:themeTint="F2"/>
                <w:spacing w:val="-6"/>
              </w:rPr>
              <w:t xml:space="preserve">se </w:t>
            </w:r>
            <w:r w:rsidRPr="000F45E7">
              <w:rPr>
                <w:rFonts w:cs="Arial"/>
                <w:color w:val="0D0D0D" w:themeColor="text1" w:themeTint="F2"/>
                <w:spacing w:val="-6"/>
              </w:rPr>
              <w:t>tě</w:t>
            </w:r>
            <w:r>
              <w:rPr>
                <w:rFonts w:cs="Arial"/>
                <w:color w:val="0D0D0D" w:themeColor="text1" w:themeTint="F2"/>
                <w:spacing w:val="-6"/>
              </w:rPr>
              <w:t>s</w:t>
            </w:r>
            <w:r w:rsidRPr="000F45E7">
              <w:rPr>
                <w:rFonts w:cs="Arial"/>
                <w:color w:val="0D0D0D" w:themeColor="text1" w:themeTint="F2"/>
                <w:spacing w:val="-6"/>
              </w:rPr>
              <w:t>ně přiblížila 90</w:t>
            </w:r>
            <w:r>
              <w:rPr>
                <w:rFonts w:cs="Arial"/>
                <w:color w:val="0D0D0D" w:themeColor="text1" w:themeTint="F2"/>
                <w:spacing w:val="-6"/>
              </w:rPr>
              <w:t> %</w:t>
            </w:r>
            <w:r w:rsidRPr="000F45E7">
              <w:rPr>
                <w:rFonts w:cs="Arial"/>
                <w:color w:val="0D0D0D" w:themeColor="text1" w:themeTint="F2"/>
                <w:spacing w:val="-6"/>
              </w:rPr>
              <w:t xml:space="preserve"> HDP. Meziročně vzrostla ve všech zemích Unie – více než o</w:t>
            </w:r>
            <w:r>
              <w:rPr>
                <w:rFonts w:cs="Arial"/>
                <w:color w:val="0D0D0D" w:themeColor="text1" w:themeTint="F2"/>
                <w:spacing w:val="-6"/>
              </w:rPr>
              <w:t> </w:t>
            </w:r>
            <w:r w:rsidRPr="000F45E7">
              <w:rPr>
                <w:rFonts w:cs="Arial"/>
                <w:color w:val="0D0D0D" w:themeColor="text1" w:themeTint="F2"/>
                <w:spacing w:val="-6"/>
              </w:rPr>
              <w:t>15</w:t>
            </w:r>
            <w:r>
              <w:rPr>
                <w:rFonts w:cs="Arial"/>
                <w:color w:val="0D0D0D" w:themeColor="text1" w:themeTint="F2"/>
                <w:spacing w:val="-6"/>
              </w:rPr>
              <w:t> p. b.</w:t>
            </w:r>
            <w:r w:rsidRPr="000F45E7">
              <w:rPr>
                <w:rFonts w:cs="Arial"/>
                <w:color w:val="0D0D0D" w:themeColor="text1" w:themeTint="F2"/>
                <w:spacing w:val="-6"/>
              </w:rPr>
              <w:t xml:space="preserve"> </w:t>
            </w:r>
            <w:proofErr w:type="gramStart"/>
            <w:r>
              <w:rPr>
                <w:rFonts w:cs="Arial"/>
                <w:color w:val="0D0D0D" w:themeColor="text1" w:themeTint="F2"/>
                <w:spacing w:val="-6"/>
              </w:rPr>
              <w:t>na</w:t>
            </w:r>
            <w:proofErr w:type="gramEnd"/>
            <w:r>
              <w:rPr>
                <w:rFonts w:cs="Arial"/>
                <w:color w:val="0D0D0D" w:themeColor="text1" w:themeTint="F2"/>
                <w:spacing w:val="-6"/>
              </w:rPr>
              <w:t xml:space="preserve"> </w:t>
            </w:r>
            <w:r w:rsidRPr="000F45E7">
              <w:rPr>
                <w:rFonts w:cs="Arial"/>
                <w:color w:val="0D0D0D" w:themeColor="text1" w:themeTint="F2"/>
                <w:spacing w:val="-6"/>
              </w:rPr>
              <w:t xml:space="preserve">Kypru, </w:t>
            </w:r>
            <w:r>
              <w:rPr>
                <w:rFonts w:cs="Arial"/>
                <w:color w:val="0D0D0D" w:themeColor="text1" w:themeTint="F2"/>
                <w:spacing w:val="-6"/>
              </w:rPr>
              <w:t>v </w:t>
            </w:r>
            <w:r w:rsidRPr="000F45E7">
              <w:rPr>
                <w:rFonts w:cs="Arial"/>
                <w:color w:val="0D0D0D" w:themeColor="text1" w:themeTint="F2"/>
                <w:spacing w:val="-6"/>
              </w:rPr>
              <w:t>Itálii, Řecku, Španělsku a</w:t>
            </w:r>
            <w:r>
              <w:rPr>
                <w:rFonts w:cs="Arial"/>
                <w:color w:val="0D0D0D" w:themeColor="text1" w:themeTint="F2"/>
                <w:spacing w:val="-6"/>
              </w:rPr>
              <w:t> Francii. Nárůst v Česku</w:t>
            </w:r>
            <w:r w:rsidRPr="000F45E7">
              <w:rPr>
                <w:rFonts w:cs="Arial"/>
                <w:color w:val="0D0D0D" w:themeColor="text1" w:themeTint="F2"/>
                <w:spacing w:val="-6"/>
              </w:rPr>
              <w:t xml:space="preserve"> (+6,9</w:t>
            </w:r>
            <w:r>
              <w:rPr>
                <w:rFonts w:cs="Arial"/>
                <w:color w:val="0D0D0D" w:themeColor="text1" w:themeTint="F2"/>
                <w:spacing w:val="-6"/>
              </w:rPr>
              <w:t> p. b.</w:t>
            </w:r>
            <w:r w:rsidRPr="000F45E7">
              <w:rPr>
                <w:rFonts w:cs="Arial"/>
                <w:color w:val="0D0D0D" w:themeColor="text1" w:themeTint="F2"/>
                <w:spacing w:val="-6"/>
              </w:rPr>
              <w:t>, na 38,4</w:t>
            </w:r>
            <w:r>
              <w:rPr>
                <w:rFonts w:cs="Arial"/>
                <w:color w:val="0D0D0D" w:themeColor="text1" w:themeTint="F2"/>
                <w:spacing w:val="-6"/>
              </w:rPr>
              <w:t> %</w:t>
            </w:r>
            <w:r w:rsidRPr="000F45E7">
              <w:rPr>
                <w:rFonts w:cs="Arial"/>
                <w:color w:val="0D0D0D" w:themeColor="text1" w:themeTint="F2"/>
                <w:spacing w:val="-6"/>
              </w:rPr>
              <w:t xml:space="preserve"> HDP) byl slabší než v celé EU (+10,6</w:t>
            </w:r>
            <w:r>
              <w:rPr>
                <w:rFonts w:cs="Arial"/>
                <w:color w:val="0D0D0D" w:themeColor="text1" w:themeTint="F2"/>
                <w:spacing w:val="-6"/>
              </w:rPr>
              <w:t> p. b.</w:t>
            </w:r>
            <w:r w:rsidRPr="000F45E7">
              <w:rPr>
                <w:rFonts w:cs="Arial"/>
                <w:color w:val="0D0D0D" w:themeColor="text1" w:themeTint="F2"/>
                <w:spacing w:val="-6"/>
              </w:rPr>
              <w:t>). I</w:t>
            </w:r>
            <w:r>
              <w:rPr>
                <w:rFonts w:cs="Arial"/>
                <w:color w:val="0D0D0D" w:themeColor="text1" w:themeTint="F2"/>
                <w:spacing w:val="-6"/>
              </w:rPr>
              <w:t> </w:t>
            </w:r>
            <w:r w:rsidRPr="000F45E7">
              <w:rPr>
                <w:rFonts w:cs="Arial"/>
                <w:color w:val="0D0D0D" w:themeColor="text1" w:themeTint="F2"/>
                <w:spacing w:val="-6"/>
              </w:rPr>
              <w:t>díky tomu patřila ČR stále do čtveřice nejméně</w:t>
            </w:r>
            <w:r>
              <w:rPr>
                <w:rFonts w:cs="Arial"/>
                <w:color w:val="0D0D0D" w:themeColor="text1" w:themeTint="F2"/>
                <w:spacing w:val="-6"/>
              </w:rPr>
              <w:t xml:space="preserve"> zadlužených ekonomik</w:t>
            </w:r>
            <w:r w:rsidRPr="000F45E7">
              <w:rPr>
                <w:rFonts w:cs="Arial"/>
                <w:color w:val="0D0D0D" w:themeColor="text1" w:themeTint="F2"/>
                <w:spacing w:val="-6"/>
              </w:rPr>
              <w:t xml:space="preserve"> EU.</w:t>
            </w:r>
          </w:p>
        </w:tc>
      </w:tr>
      <w:bookmarkEnd w:id="26"/>
    </w:tbl>
    <w:p w14:paraId="3E974863" w14:textId="2EEF6166" w:rsidR="000663F0" w:rsidRPr="00E42054" w:rsidRDefault="000663F0" w:rsidP="00E97F14">
      <w:pPr>
        <w:pStyle w:val="Nadpis11"/>
        <w:spacing w:after="0"/>
        <w:rPr>
          <w:b w:val="0"/>
          <w:sz w:val="2"/>
          <w:szCs w:val="2"/>
        </w:rPr>
      </w:pPr>
    </w:p>
    <w:sectPr w:rsidR="000663F0" w:rsidRPr="00E42054" w:rsidSect="00A03B10">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D51C5" w14:textId="77777777" w:rsidR="0091476D" w:rsidRDefault="0091476D" w:rsidP="00E71A58">
      <w:r>
        <w:separator/>
      </w:r>
    </w:p>
  </w:endnote>
  <w:endnote w:type="continuationSeparator" w:id="0">
    <w:p w14:paraId="7E79BE89" w14:textId="77777777" w:rsidR="0091476D" w:rsidRDefault="0091476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48A8E371" w:rsidR="0091476D" w:rsidRPr="00932443" w:rsidRDefault="0091476D"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264992">
      <w:rPr>
        <w:szCs w:val="16"/>
      </w:rPr>
      <w:t>20</w:t>
    </w:r>
    <w:r w:rsidRPr="00932443">
      <w:rPr>
        <w:szCs w:val="16"/>
      </w:rPr>
      <w:fldChar w:fldCharType="end"/>
    </w:r>
    <w:r w:rsidRPr="00932443">
      <w:rPr>
        <w:szCs w:val="16"/>
      </w:rPr>
      <w:tab/>
    </w:r>
    <w:r>
      <w:rPr>
        <w:szCs w:val="16"/>
      </w:rPr>
      <w:t>rok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77DC76C7" w:rsidR="0091476D" w:rsidRPr="00932443" w:rsidRDefault="0091476D" w:rsidP="00FA6CB6">
    <w:pPr>
      <w:pStyle w:val="Zpat"/>
      <w:rPr>
        <w:szCs w:val="16"/>
      </w:rPr>
    </w:pPr>
    <w:r w:rsidRPr="00FA6CB6">
      <w:rPr>
        <w:szCs w:val="16"/>
      </w:rPr>
      <w:tab/>
    </w:r>
    <w:r>
      <w:rPr>
        <w:szCs w:val="16"/>
      </w:rPr>
      <w:t xml:space="preserve">rok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264992">
      <w:rPr>
        <w:rStyle w:val="ZpatChar"/>
        <w:szCs w:val="16"/>
      </w:rPr>
      <w:t>21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E61E" w14:textId="77777777" w:rsidR="0091476D" w:rsidRDefault="0091476D" w:rsidP="00A21B4D">
      <w:pPr>
        <w:spacing w:after="0"/>
      </w:pPr>
      <w:r>
        <w:separator/>
      </w:r>
    </w:p>
  </w:footnote>
  <w:footnote w:type="continuationSeparator" w:id="0">
    <w:p w14:paraId="14D7D261" w14:textId="77777777" w:rsidR="0091476D" w:rsidRDefault="0091476D" w:rsidP="00E71A58">
      <w:r>
        <w:continuationSeparator/>
      </w:r>
    </w:p>
  </w:footnote>
  <w:footnote w:id="1">
    <w:p w14:paraId="10FA5F28" w14:textId="77777777" w:rsidR="0091476D" w:rsidRPr="00957140" w:rsidRDefault="0091476D" w:rsidP="00121609">
      <w:pPr>
        <w:pStyle w:val="Textpoznpodarou"/>
        <w:rPr>
          <w:spacing w:val="-2"/>
          <w:sz w:val="16"/>
          <w:szCs w:val="16"/>
        </w:rPr>
      </w:pPr>
      <w:r w:rsidRPr="00957140">
        <w:rPr>
          <w:rStyle w:val="Znakapoznpodarou"/>
          <w:spacing w:val="-2"/>
          <w:sz w:val="16"/>
          <w:szCs w:val="16"/>
        </w:rPr>
        <w:footnoteRef/>
      </w:r>
      <w:r w:rsidRPr="00957140">
        <w:rPr>
          <w:spacing w:val="-2"/>
          <w:sz w:val="16"/>
          <w:szCs w:val="16"/>
        </w:rPr>
        <w:t xml:space="preserve"> Data o HDP, hrubé přidané hodnotě a jejich složkách jsou vyjádřena ve stálých cenách a v očištění o sezónní a kalendářní vlivy.</w:t>
      </w:r>
    </w:p>
  </w:footnote>
  <w:footnote w:id="2">
    <w:p w14:paraId="70213561" w14:textId="77777777" w:rsidR="0091476D" w:rsidRPr="00957140" w:rsidRDefault="0091476D" w:rsidP="00121609">
      <w:pPr>
        <w:pStyle w:val="Textpoznpodarou"/>
        <w:rPr>
          <w:sz w:val="16"/>
          <w:szCs w:val="16"/>
        </w:rPr>
      </w:pPr>
      <w:r w:rsidRPr="00957140">
        <w:rPr>
          <w:rStyle w:val="Znakapoznpodarou"/>
          <w:sz w:val="16"/>
          <w:szCs w:val="16"/>
        </w:rPr>
        <w:footnoteRef/>
      </w:r>
      <w:r w:rsidRPr="00957140">
        <w:rPr>
          <w:sz w:val="16"/>
          <w:szCs w:val="16"/>
        </w:rPr>
        <w:t xml:space="preserve"> Podle metodiky čtvrtletních národních účtů (vývoz a dovoz v ocenění FOB/FOB).</w:t>
      </w:r>
    </w:p>
  </w:footnote>
  <w:footnote w:id="3">
    <w:p w14:paraId="4509BEC0" w14:textId="77777777" w:rsidR="0091476D" w:rsidRPr="00957140" w:rsidRDefault="0091476D" w:rsidP="00121609">
      <w:pPr>
        <w:pStyle w:val="Textpoznpodarou"/>
        <w:jc w:val="both"/>
        <w:rPr>
          <w:sz w:val="16"/>
          <w:szCs w:val="16"/>
        </w:rPr>
      </w:pPr>
      <w:r w:rsidRPr="00957140">
        <w:rPr>
          <w:rStyle w:val="Znakapoznpodarou"/>
          <w:spacing w:val="-2"/>
          <w:sz w:val="16"/>
          <w:szCs w:val="16"/>
        </w:rPr>
        <w:footnoteRef/>
      </w:r>
      <w:r w:rsidRPr="00957140">
        <w:rPr>
          <w:spacing w:val="-2"/>
          <w:sz w:val="16"/>
          <w:szCs w:val="16"/>
        </w:rPr>
        <w:t xml:space="preserve"> Údaje o zaměstnanosti jsou uvedeny v pojetí národních účtů a očištěny o sezónní vlivy.</w:t>
      </w:r>
    </w:p>
  </w:footnote>
  <w:footnote w:id="4">
    <w:p w14:paraId="550F69BA" w14:textId="77777777" w:rsidR="0091476D" w:rsidRPr="000348AF" w:rsidRDefault="0091476D" w:rsidP="00251496">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w:t>
      </w:r>
      <w:proofErr w:type="gramStart"/>
      <w:r w:rsidRPr="000348AF">
        <w:rPr>
          <w:sz w:val="16"/>
          <w:szCs w:val="16"/>
        </w:rPr>
        <w:t>platné k 2. 3. 2021</w:t>
      </w:r>
      <w:proofErr w:type="gramEnd"/>
      <w:r w:rsidRPr="000348AF">
        <w:rPr>
          <w:sz w:val="16"/>
          <w:szCs w:val="16"/>
        </w:rPr>
        <w:t>.</w:t>
      </w:r>
    </w:p>
  </w:footnote>
  <w:footnote w:id="5">
    <w:p w14:paraId="4B57F4AA" w14:textId="77777777" w:rsidR="0091476D" w:rsidRPr="000348AF" w:rsidRDefault="0091476D" w:rsidP="00251496">
      <w:pPr>
        <w:pStyle w:val="Textpoznpodarou"/>
        <w:rPr>
          <w:sz w:val="16"/>
          <w:szCs w:val="16"/>
        </w:rPr>
      </w:pPr>
      <w:r w:rsidRPr="000348AF">
        <w:rPr>
          <w:rStyle w:val="Znakapoznpodarou"/>
          <w:sz w:val="16"/>
          <w:szCs w:val="16"/>
        </w:rPr>
        <w:footnoteRef/>
      </w:r>
      <w:r w:rsidRPr="000348AF">
        <w:rPr>
          <w:sz w:val="16"/>
          <w:szCs w:val="16"/>
        </w:rPr>
        <w:t xml:space="preserve"> Nedostupná data za Bulharsko, Irsko, Maltu, Portugalsko a Řecko. </w:t>
      </w:r>
    </w:p>
  </w:footnote>
  <w:footnote w:id="6">
    <w:p w14:paraId="0851ED69" w14:textId="77777777" w:rsidR="0091476D" w:rsidRPr="000348AF" w:rsidRDefault="0091476D" w:rsidP="00251496">
      <w:pPr>
        <w:pStyle w:val="Textpoznpodarou"/>
        <w:rPr>
          <w:sz w:val="16"/>
          <w:szCs w:val="16"/>
        </w:rPr>
      </w:pPr>
      <w:r w:rsidRPr="000348AF">
        <w:rPr>
          <w:rStyle w:val="Znakapoznpodarou"/>
          <w:sz w:val="16"/>
          <w:szCs w:val="16"/>
        </w:rPr>
        <w:footnoteRef/>
      </w:r>
      <w:r w:rsidRPr="000348AF">
        <w:rPr>
          <w:sz w:val="16"/>
          <w:szCs w:val="16"/>
        </w:rPr>
        <w:t xml:space="preserve"> Ačkoli výsledek nebyl v době vydání dostupný, meziroční přírůstek si ve 4. čtvrtletí pravděpodobně udrželo také Irsko. Zde ve 3. čtvrtletí HDP </w:t>
      </w:r>
      <w:proofErr w:type="spellStart"/>
      <w:r w:rsidRPr="000348AF">
        <w:rPr>
          <w:sz w:val="16"/>
          <w:szCs w:val="16"/>
        </w:rPr>
        <w:t>mezičtvrtletně</w:t>
      </w:r>
      <w:proofErr w:type="spellEnd"/>
      <w:r w:rsidRPr="000348AF">
        <w:rPr>
          <w:sz w:val="16"/>
          <w:szCs w:val="16"/>
        </w:rPr>
        <w:t xml:space="preserve"> vzrostl o 11,1 % a meziročně o 8,1 %.</w:t>
      </w:r>
    </w:p>
  </w:footnote>
  <w:footnote w:id="7">
    <w:p w14:paraId="4A0D8BD8" w14:textId="77777777" w:rsidR="0091476D" w:rsidRDefault="0091476D" w:rsidP="00251496">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8">
    <w:p w14:paraId="04BAA7E0" w14:textId="77777777" w:rsidR="0091476D" w:rsidRPr="005F75B1" w:rsidRDefault="0091476D" w:rsidP="00251496">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9">
    <w:p w14:paraId="07C6FE04" w14:textId="77777777" w:rsidR="0091476D" w:rsidRPr="00771972" w:rsidRDefault="0091476D" w:rsidP="00251496">
      <w:pPr>
        <w:pStyle w:val="Textpoznpodarou"/>
        <w:rPr>
          <w:sz w:val="16"/>
          <w:szCs w:val="16"/>
        </w:rPr>
      </w:pPr>
      <w:r w:rsidRPr="00771972">
        <w:rPr>
          <w:rStyle w:val="Znakapoznpodarou"/>
          <w:sz w:val="16"/>
          <w:szCs w:val="16"/>
        </w:rPr>
        <w:footnoteRef/>
      </w:r>
      <w:r w:rsidRPr="00771972">
        <w:rPr>
          <w:sz w:val="16"/>
          <w:szCs w:val="16"/>
        </w:rPr>
        <w:t xml:space="preserve"> Veřejná správa a</w:t>
      </w:r>
      <w:r>
        <w:rPr>
          <w:sz w:val="16"/>
          <w:szCs w:val="16"/>
        </w:rPr>
        <w:t> </w:t>
      </w:r>
      <w:r w:rsidRPr="00771972">
        <w:rPr>
          <w:sz w:val="16"/>
          <w:szCs w:val="16"/>
        </w:rPr>
        <w:t>obrana, vzdělávání, zdravotní a</w:t>
      </w:r>
      <w:r>
        <w:rPr>
          <w:sz w:val="16"/>
          <w:szCs w:val="16"/>
        </w:rPr>
        <w:t> </w:t>
      </w:r>
      <w:r w:rsidRPr="00771972">
        <w:rPr>
          <w:sz w:val="16"/>
          <w:szCs w:val="16"/>
        </w:rPr>
        <w:t>sociální péče.</w:t>
      </w:r>
    </w:p>
  </w:footnote>
  <w:footnote w:id="10">
    <w:p w14:paraId="780B976C" w14:textId="77777777" w:rsidR="0091476D" w:rsidRPr="009C6EA8" w:rsidRDefault="0091476D" w:rsidP="00251496">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11">
    <w:p w14:paraId="6FBCFE5F" w14:textId="77777777" w:rsidR="0091476D" w:rsidRPr="00954992" w:rsidRDefault="0091476D" w:rsidP="00251496">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 a</w:t>
      </w:r>
      <w:r>
        <w:rPr>
          <w:sz w:val="16"/>
          <w:szCs w:val="16"/>
        </w:rPr>
        <w:t> </w:t>
      </w:r>
      <w:r w:rsidRPr="00954992">
        <w:rPr>
          <w:sz w:val="16"/>
          <w:szCs w:val="16"/>
        </w:rPr>
        <w:t>bez sezónního očištění.</w:t>
      </w:r>
    </w:p>
  </w:footnote>
  <w:footnote w:id="12">
    <w:p w14:paraId="40777155" w14:textId="77777777" w:rsidR="0091476D" w:rsidRPr="0021552C" w:rsidRDefault="0091476D" w:rsidP="00251496">
      <w:pPr>
        <w:pStyle w:val="Textpoznpodarou"/>
        <w:rPr>
          <w:sz w:val="16"/>
          <w:szCs w:val="16"/>
        </w:rPr>
      </w:pPr>
      <w:r w:rsidRPr="0021552C">
        <w:rPr>
          <w:rStyle w:val="Znakapoznpodarou"/>
          <w:sz w:val="16"/>
          <w:szCs w:val="16"/>
        </w:rPr>
        <w:footnoteRef/>
      </w:r>
      <w:r w:rsidRPr="0021552C">
        <w:rPr>
          <w:sz w:val="16"/>
          <w:szCs w:val="16"/>
        </w:rPr>
        <w:t xml:space="preserve"> </w:t>
      </w:r>
      <w:r>
        <w:rPr>
          <w:rFonts w:cs="Arial"/>
          <w:sz w:val="16"/>
          <w:szCs w:val="16"/>
        </w:rPr>
        <w:t>D</w:t>
      </w:r>
      <w:r w:rsidRPr="0021552C">
        <w:rPr>
          <w:rFonts w:cs="Arial"/>
          <w:sz w:val="16"/>
          <w:szCs w:val="16"/>
        </w:rPr>
        <w:t>ata o</w:t>
      </w:r>
      <w:r>
        <w:rPr>
          <w:rFonts w:cs="Arial"/>
          <w:sz w:val="16"/>
          <w:szCs w:val="16"/>
        </w:rPr>
        <w:t> </w:t>
      </w:r>
      <w:r w:rsidRPr="0021552C">
        <w:rPr>
          <w:rFonts w:cs="Arial"/>
          <w:sz w:val="16"/>
          <w:szCs w:val="16"/>
        </w:rPr>
        <w:t xml:space="preserve">věcném členění tvorby </w:t>
      </w:r>
      <w:r>
        <w:rPr>
          <w:rFonts w:cs="Arial"/>
          <w:sz w:val="16"/>
          <w:szCs w:val="16"/>
        </w:rPr>
        <w:t>hrubého fixního kapitálu</w:t>
      </w:r>
      <w:r w:rsidRPr="0021552C">
        <w:rPr>
          <w:rFonts w:cs="Arial"/>
          <w:sz w:val="16"/>
          <w:szCs w:val="16"/>
        </w:rPr>
        <w:t xml:space="preserve"> nejsou sezónně očištěna</w:t>
      </w:r>
      <w:r>
        <w:rPr>
          <w:rFonts w:cs="Arial"/>
          <w:sz w:val="16"/>
          <w:szCs w:val="16"/>
        </w:rPr>
        <w:t>.</w:t>
      </w:r>
    </w:p>
  </w:footnote>
  <w:footnote w:id="13">
    <w:p w14:paraId="4143963B" w14:textId="77777777" w:rsidR="0091476D" w:rsidRPr="00167B30" w:rsidRDefault="0091476D" w:rsidP="00251496">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w:t>
      </w:r>
    </w:p>
  </w:footnote>
  <w:footnote w:id="14">
    <w:p w14:paraId="56ADAA58" w14:textId="77777777" w:rsidR="0091476D" w:rsidRPr="00FB58F4" w:rsidRDefault="0091476D" w:rsidP="00B96D74">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Údaje o</w:t>
      </w:r>
      <w:r>
        <w:rPr>
          <w:rFonts w:cs="Arial"/>
          <w:color w:val="0D0D0D" w:themeColor="text1" w:themeTint="F2"/>
          <w:spacing w:val="-2"/>
          <w:sz w:val="16"/>
          <w:szCs w:val="16"/>
        </w:rPr>
        <w:t> </w:t>
      </w:r>
      <w:r w:rsidRPr="00FB58F4">
        <w:rPr>
          <w:rFonts w:cs="Arial"/>
          <w:color w:val="0D0D0D" w:themeColor="text1" w:themeTint="F2"/>
          <w:spacing w:val="-2"/>
          <w:sz w:val="16"/>
          <w:szCs w:val="16"/>
        </w:rPr>
        <w:t>HPH jsou vyjádřeny ve stálých cenách a</w:t>
      </w:r>
      <w:r>
        <w:rPr>
          <w:rFonts w:cs="Arial"/>
          <w:color w:val="0D0D0D" w:themeColor="text1" w:themeTint="F2"/>
          <w:spacing w:val="-2"/>
          <w:sz w:val="16"/>
          <w:szCs w:val="16"/>
        </w:rPr>
        <w:t> </w:t>
      </w:r>
      <w:r w:rsidRPr="00FB58F4">
        <w:rPr>
          <w:rFonts w:cs="Arial"/>
          <w:color w:val="0D0D0D" w:themeColor="text1" w:themeTint="F2"/>
          <w:spacing w:val="-2"/>
          <w:sz w:val="16"/>
          <w:szCs w:val="16"/>
        </w:rPr>
        <w:t>v očištění o</w:t>
      </w:r>
      <w:r>
        <w:rPr>
          <w:rFonts w:cs="Arial"/>
          <w:color w:val="0D0D0D" w:themeColor="text1" w:themeTint="F2"/>
          <w:spacing w:val="-2"/>
          <w:sz w:val="16"/>
          <w:szCs w:val="16"/>
        </w:rPr>
        <w:t> </w:t>
      </w:r>
      <w:r w:rsidRPr="00FB58F4">
        <w:rPr>
          <w:rFonts w:cs="Arial"/>
          <w:color w:val="0D0D0D" w:themeColor="text1" w:themeTint="F2"/>
          <w:spacing w:val="-2"/>
          <w:sz w:val="16"/>
          <w:szCs w:val="16"/>
        </w:rPr>
        <w:t>sezónní a</w:t>
      </w:r>
      <w:r>
        <w:rPr>
          <w:rFonts w:cs="Arial"/>
          <w:color w:val="0D0D0D" w:themeColor="text1" w:themeTint="F2"/>
          <w:spacing w:val="-2"/>
          <w:sz w:val="16"/>
          <w:szCs w:val="16"/>
        </w:rPr>
        <w:t> </w:t>
      </w:r>
      <w:r w:rsidRPr="00FB58F4">
        <w:rPr>
          <w:rFonts w:cs="Arial"/>
          <w:color w:val="0D0D0D" w:themeColor="text1" w:themeTint="F2"/>
          <w:spacing w:val="-2"/>
          <w:sz w:val="16"/>
          <w:szCs w:val="16"/>
        </w:rPr>
        <w:t>kalendářní vlivy.</w:t>
      </w:r>
    </w:p>
  </w:footnote>
  <w:footnote w:id="15">
    <w:p w14:paraId="5F6CE761" w14:textId="77777777" w:rsidR="0091476D" w:rsidRPr="000C1BFE" w:rsidRDefault="0091476D" w:rsidP="00B96D74">
      <w:pPr>
        <w:pStyle w:val="Textpoznpodarou"/>
        <w:rPr>
          <w:spacing w:val="-3"/>
          <w:sz w:val="16"/>
          <w:szCs w:val="16"/>
        </w:rPr>
      </w:pPr>
      <w:r w:rsidRPr="000C1BFE">
        <w:rPr>
          <w:rStyle w:val="Znakapoznpodarou"/>
          <w:spacing w:val="-3"/>
          <w:sz w:val="16"/>
          <w:szCs w:val="16"/>
        </w:rPr>
        <w:footnoteRef/>
      </w:r>
      <w:r w:rsidRPr="000C1BFE">
        <w:rPr>
          <w:spacing w:val="-3"/>
          <w:sz w:val="16"/>
          <w:szCs w:val="16"/>
        </w:rPr>
        <w:t xml:space="preserve"> Negativní dopad zde mělo nejen jarní i</w:t>
      </w:r>
      <w:r>
        <w:rPr>
          <w:spacing w:val="-3"/>
          <w:sz w:val="16"/>
          <w:szCs w:val="16"/>
        </w:rPr>
        <w:t> </w:t>
      </w:r>
      <w:r w:rsidRPr="000C1BFE">
        <w:rPr>
          <w:spacing w:val="-3"/>
          <w:sz w:val="16"/>
          <w:szCs w:val="16"/>
        </w:rPr>
        <w:t>podzimní uzavření významné části maloobchodních prodejen, ale i</w:t>
      </w:r>
      <w:r>
        <w:rPr>
          <w:spacing w:val="-3"/>
          <w:sz w:val="16"/>
          <w:szCs w:val="16"/>
        </w:rPr>
        <w:t> </w:t>
      </w:r>
      <w:r w:rsidRPr="000C1BFE">
        <w:rPr>
          <w:spacing w:val="-3"/>
          <w:sz w:val="16"/>
          <w:szCs w:val="16"/>
        </w:rPr>
        <w:t xml:space="preserve">přetrvávající hluboký útlum v příjezdovém cestovním ruchu. </w:t>
      </w:r>
      <w:r w:rsidRPr="000C1BFE">
        <w:rPr>
          <w:rFonts w:cs="Arial"/>
          <w:color w:val="0D0D0D" w:themeColor="text1" w:themeTint="F2"/>
          <w:spacing w:val="-3"/>
          <w:sz w:val="16"/>
          <w:szCs w:val="16"/>
        </w:rPr>
        <w:t>Výdaje na konečnou spotřebu klesly loni u nerezidentů v ČR meziročně o 51</w:t>
      </w:r>
      <w:r>
        <w:rPr>
          <w:rFonts w:cs="Arial"/>
          <w:color w:val="0D0D0D" w:themeColor="text1" w:themeTint="F2"/>
          <w:spacing w:val="-3"/>
          <w:sz w:val="16"/>
          <w:szCs w:val="16"/>
        </w:rPr>
        <w:t> %</w:t>
      </w:r>
      <w:r w:rsidRPr="000C1BFE">
        <w:rPr>
          <w:rFonts w:cs="Arial"/>
          <w:color w:val="0D0D0D" w:themeColor="text1" w:themeTint="F2"/>
          <w:spacing w:val="-3"/>
          <w:sz w:val="16"/>
          <w:szCs w:val="16"/>
        </w:rPr>
        <w:t>, z toho ve 2</w:t>
      </w:r>
      <w:r>
        <w:rPr>
          <w:rFonts w:cs="Arial"/>
          <w:color w:val="0D0D0D" w:themeColor="text1" w:themeTint="F2"/>
          <w:spacing w:val="-3"/>
          <w:sz w:val="16"/>
          <w:szCs w:val="16"/>
        </w:rPr>
        <w:t>. </w:t>
      </w:r>
      <w:r w:rsidRPr="000C1BFE">
        <w:rPr>
          <w:rFonts w:cs="Arial"/>
          <w:color w:val="0D0D0D" w:themeColor="text1" w:themeTint="F2"/>
          <w:spacing w:val="-3"/>
          <w:sz w:val="16"/>
          <w:szCs w:val="16"/>
        </w:rPr>
        <w:t>až 4. čtvrtletí dokonce o nebývalých 64 %. Nerezidenti se na celkových výdajích na konečnou spotřebu domácností v ČR dlouhodobě podílejí zhruba 6 %.</w:t>
      </w:r>
    </w:p>
  </w:footnote>
  <w:footnote w:id="16">
    <w:p w14:paraId="6FF56647" w14:textId="77777777" w:rsidR="0091476D" w:rsidRPr="003B5B59" w:rsidRDefault="0091476D" w:rsidP="00B96D74">
      <w:pPr>
        <w:pStyle w:val="Textpoznpodarou"/>
        <w:rPr>
          <w:sz w:val="16"/>
          <w:szCs w:val="16"/>
        </w:rPr>
      </w:pPr>
      <w:r w:rsidRPr="003B5B59">
        <w:rPr>
          <w:rStyle w:val="Znakapoznpodarou"/>
          <w:sz w:val="16"/>
          <w:szCs w:val="16"/>
        </w:rPr>
        <w:footnoteRef/>
      </w:r>
      <w:r w:rsidRPr="003B5B59">
        <w:rPr>
          <w:sz w:val="16"/>
          <w:szCs w:val="16"/>
        </w:rPr>
        <w:t xml:space="preserve"> Zahrnuje kulturní, zábavní a</w:t>
      </w:r>
      <w:r>
        <w:rPr>
          <w:sz w:val="16"/>
          <w:szCs w:val="16"/>
        </w:rPr>
        <w:t> </w:t>
      </w:r>
      <w:r w:rsidRPr="003B5B59">
        <w:rPr>
          <w:sz w:val="16"/>
          <w:szCs w:val="16"/>
        </w:rPr>
        <w:t>rekreační činnosti a</w:t>
      </w:r>
      <w:r>
        <w:rPr>
          <w:sz w:val="16"/>
          <w:szCs w:val="16"/>
        </w:rPr>
        <w:t> </w:t>
      </w:r>
      <w:r w:rsidRPr="003B5B59">
        <w:rPr>
          <w:sz w:val="16"/>
          <w:szCs w:val="16"/>
        </w:rPr>
        <w:t xml:space="preserve">dále zejména poskytování osobních služeb (např. kadeřnictví, kosmetické služby, </w:t>
      </w:r>
      <w:r>
        <w:rPr>
          <w:rFonts w:cs="Arial"/>
          <w:color w:val="0D0D0D" w:themeColor="text1" w:themeTint="F2"/>
          <w:spacing w:val="-2"/>
          <w:sz w:val="16"/>
          <w:szCs w:val="16"/>
        </w:rPr>
        <w:t xml:space="preserve">čisticí služby či </w:t>
      </w:r>
      <w:r w:rsidRPr="003B5B59">
        <w:rPr>
          <w:sz w:val="16"/>
          <w:szCs w:val="16"/>
        </w:rPr>
        <w:t>opravy výrobků pro osobní potřebu a převážně pro</w:t>
      </w:r>
      <w:r>
        <w:rPr>
          <w:sz w:val="16"/>
          <w:szCs w:val="16"/>
        </w:rPr>
        <w:t xml:space="preserve"> </w:t>
      </w:r>
      <w:r w:rsidRPr="003B5B59">
        <w:rPr>
          <w:sz w:val="16"/>
          <w:szCs w:val="16"/>
        </w:rPr>
        <w:t>domácnost).</w:t>
      </w:r>
    </w:p>
  </w:footnote>
  <w:footnote w:id="17">
    <w:p w14:paraId="34619D2B" w14:textId="77777777" w:rsidR="0091476D" w:rsidRPr="00712ECB" w:rsidRDefault="0091476D" w:rsidP="00B96D74">
      <w:pPr>
        <w:pStyle w:val="Textpoznpodarou"/>
        <w:rPr>
          <w:sz w:val="16"/>
          <w:szCs w:val="16"/>
        </w:rPr>
      </w:pPr>
      <w:r w:rsidRPr="00712ECB">
        <w:rPr>
          <w:rStyle w:val="Znakapoznpodarou"/>
          <w:sz w:val="16"/>
          <w:szCs w:val="16"/>
        </w:rPr>
        <w:footnoteRef/>
      </w:r>
      <w:r w:rsidRPr="00712ECB">
        <w:rPr>
          <w:sz w:val="16"/>
          <w:szCs w:val="16"/>
        </w:rPr>
        <w:t xml:space="preserve"> V celém uskupení Veřejná správa a</w:t>
      </w:r>
      <w:r>
        <w:rPr>
          <w:sz w:val="16"/>
          <w:szCs w:val="16"/>
        </w:rPr>
        <w:t> </w:t>
      </w:r>
      <w:r w:rsidRPr="00712ECB">
        <w:rPr>
          <w:sz w:val="16"/>
          <w:szCs w:val="16"/>
        </w:rPr>
        <w:t>obrana, vzdělávání, zdravotní a</w:t>
      </w:r>
      <w:r>
        <w:rPr>
          <w:sz w:val="16"/>
          <w:szCs w:val="16"/>
        </w:rPr>
        <w:t> </w:t>
      </w:r>
      <w:r w:rsidRPr="00712ECB">
        <w:rPr>
          <w:sz w:val="16"/>
          <w:szCs w:val="16"/>
        </w:rPr>
        <w:t>sociální péče vzrostla loni ve 2.</w:t>
      </w:r>
      <w:r>
        <w:rPr>
          <w:sz w:val="16"/>
          <w:szCs w:val="16"/>
        </w:rPr>
        <w:t> pololet</w:t>
      </w:r>
      <w:r w:rsidRPr="00712ECB">
        <w:rPr>
          <w:sz w:val="16"/>
          <w:szCs w:val="16"/>
        </w:rPr>
        <w:t>í odpracovaná doba meziročně o</w:t>
      </w:r>
      <w:r>
        <w:rPr>
          <w:sz w:val="16"/>
          <w:szCs w:val="16"/>
        </w:rPr>
        <w:t> </w:t>
      </w:r>
      <w:r w:rsidRPr="00712ECB">
        <w:rPr>
          <w:sz w:val="16"/>
          <w:szCs w:val="16"/>
        </w:rPr>
        <w:t>0,9</w:t>
      </w:r>
      <w:r>
        <w:rPr>
          <w:sz w:val="16"/>
          <w:szCs w:val="16"/>
        </w:rPr>
        <w:t> %</w:t>
      </w:r>
      <w:r w:rsidRPr="00712ECB">
        <w:rPr>
          <w:sz w:val="16"/>
          <w:szCs w:val="16"/>
        </w:rPr>
        <w:t xml:space="preserve">. </w:t>
      </w:r>
      <w:r>
        <w:rPr>
          <w:sz w:val="16"/>
          <w:szCs w:val="16"/>
        </w:rPr>
        <w:t>Nejvyšší</w:t>
      </w:r>
      <w:r w:rsidRPr="00712ECB">
        <w:rPr>
          <w:sz w:val="16"/>
          <w:szCs w:val="16"/>
        </w:rPr>
        <w:t xml:space="preserve"> růst </w:t>
      </w:r>
      <w:r>
        <w:rPr>
          <w:sz w:val="16"/>
          <w:szCs w:val="16"/>
        </w:rPr>
        <w:t xml:space="preserve">z hlavních odvětví </w:t>
      </w:r>
      <w:r w:rsidRPr="00712ECB">
        <w:rPr>
          <w:sz w:val="16"/>
          <w:szCs w:val="16"/>
        </w:rPr>
        <w:t>zaznamenaly informační a</w:t>
      </w:r>
      <w:r>
        <w:rPr>
          <w:sz w:val="16"/>
          <w:szCs w:val="16"/>
        </w:rPr>
        <w:t> </w:t>
      </w:r>
      <w:r w:rsidRPr="00712ECB">
        <w:rPr>
          <w:sz w:val="16"/>
          <w:szCs w:val="16"/>
        </w:rPr>
        <w:t>komunikační činnosti (+3,6</w:t>
      </w:r>
      <w:r>
        <w:rPr>
          <w:sz w:val="16"/>
          <w:szCs w:val="16"/>
        </w:rPr>
        <w:t> %</w:t>
      </w:r>
      <w:r w:rsidRPr="00712ECB">
        <w:rPr>
          <w:sz w:val="16"/>
          <w:szCs w:val="16"/>
        </w:rPr>
        <w:t>).</w:t>
      </w:r>
    </w:p>
  </w:footnote>
  <w:footnote w:id="18">
    <w:p w14:paraId="1FD73957" w14:textId="77777777" w:rsidR="0091476D" w:rsidRPr="00980B7A" w:rsidRDefault="0091476D" w:rsidP="00B96D74">
      <w:pPr>
        <w:pStyle w:val="Textpoznpodarou"/>
        <w:rPr>
          <w:sz w:val="16"/>
          <w:szCs w:val="16"/>
        </w:rPr>
      </w:pPr>
      <w:r w:rsidRPr="00980B7A">
        <w:rPr>
          <w:rStyle w:val="Znakapoznpodarou"/>
          <w:sz w:val="16"/>
          <w:szCs w:val="16"/>
        </w:rPr>
        <w:footnoteRef/>
      </w:r>
      <w:r w:rsidRPr="00980B7A">
        <w:rPr>
          <w:sz w:val="16"/>
          <w:szCs w:val="16"/>
        </w:rPr>
        <w:t xml:space="preserve"> Relativně slabší růst </w:t>
      </w:r>
      <w:r>
        <w:rPr>
          <w:sz w:val="16"/>
          <w:szCs w:val="16"/>
        </w:rPr>
        <w:t>mohl</w:t>
      </w:r>
      <w:r w:rsidRPr="00980B7A">
        <w:rPr>
          <w:sz w:val="16"/>
          <w:szCs w:val="16"/>
        </w:rPr>
        <w:t xml:space="preserve"> souviset s hlubokým loňským útlumem filmového a</w:t>
      </w:r>
      <w:r>
        <w:rPr>
          <w:sz w:val="16"/>
          <w:szCs w:val="16"/>
        </w:rPr>
        <w:t> </w:t>
      </w:r>
      <w:r w:rsidRPr="00980B7A">
        <w:rPr>
          <w:sz w:val="16"/>
          <w:szCs w:val="16"/>
        </w:rPr>
        <w:t>hudebního průmyslu</w:t>
      </w:r>
      <w:r>
        <w:rPr>
          <w:sz w:val="16"/>
          <w:szCs w:val="16"/>
        </w:rPr>
        <w:t>, v menší míře i s vývojem v dílčím odvětví vydavatelských činností.</w:t>
      </w:r>
    </w:p>
  </w:footnote>
  <w:footnote w:id="19">
    <w:p w14:paraId="1EBF735B" w14:textId="77777777" w:rsidR="0091476D" w:rsidRPr="00CE71E4" w:rsidRDefault="0091476D" w:rsidP="00B96D74">
      <w:pPr>
        <w:pStyle w:val="Textpoznpodarou"/>
        <w:rPr>
          <w:spacing w:val="-2"/>
          <w:sz w:val="16"/>
          <w:szCs w:val="16"/>
        </w:rPr>
      </w:pPr>
      <w:r w:rsidRPr="00C141D9">
        <w:rPr>
          <w:rStyle w:val="Znakapoznpodarou"/>
          <w:spacing w:val="-2"/>
          <w:sz w:val="16"/>
          <w:szCs w:val="16"/>
        </w:rPr>
        <w:footnoteRef/>
      </w:r>
      <w:r w:rsidRPr="00C141D9">
        <w:rPr>
          <w:spacing w:val="-2"/>
          <w:sz w:val="16"/>
          <w:szCs w:val="16"/>
        </w:rPr>
        <w:t xml:space="preserve"> </w:t>
      </w:r>
      <w:r w:rsidRPr="00CE71E4">
        <w:rPr>
          <w:spacing w:val="-2"/>
          <w:sz w:val="16"/>
          <w:szCs w:val="16"/>
        </w:rPr>
        <w:t>Dle předběžných údajů k 15</w:t>
      </w:r>
      <w:r>
        <w:rPr>
          <w:spacing w:val="-2"/>
          <w:sz w:val="16"/>
          <w:szCs w:val="16"/>
        </w:rPr>
        <w:t>. </w:t>
      </w:r>
      <w:r w:rsidRPr="00CE71E4">
        <w:rPr>
          <w:spacing w:val="-2"/>
          <w:sz w:val="16"/>
          <w:szCs w:val="16"/>
        </w:rPr>
        <w:t xml:space="preserve">září 2020 je odhadována celková </w:t>
      </w:r>
      <w:r>
        <w:rPr>
          <w:spacing w:val="-2"/>
          <w:sz w:val="16"/>
          <w:szCs w:val="16"/>
        </w:rPr>
        <w:t>loňská</w:t>
      </w:r>
      <w:r w:rsidRPr="00CE71E4">
        <w:rPr>
          <w:spacing w:val="-2"/>
          <w:sz w:val="16"/>
          <w:szCs w:val="16"/>
        </w:rPr>
        <w:t xml:space="preserve"> sklizeň ve výši 7,98</w:t>
      </w:r>
      <w:r>
        <w:rPr>
          <w:spacing w:val="-2"/>
          <w:sz w:val="16"/>
          <w:szCs w:val="16"/>
        </w:rPr>
        <w:t> mil.</w:t>
      </w:r>
      <w:r w:rsidRPr="00CE71E4">
        <w:rPr>
          <w:spacing w:val="-2"/>
          <w:sz w:val="16"/>
          <w:szCs w:val="16"/>
        </w:rPr>
        <w:t xml:space="preserve"> tun. Ta je nejsilnější za poslední čtyři roky a</w:t>
      </w:r>
      <w:r>
        <w:rPr>
          <w:spacing w:val="-2"/>
          <w:sz w:val="16"/>
          <w:szCs w:val="16"/>
        </w:rPr>
        <w:t> </w:t>
      </w:r>
      <w:r w:rsidRPr="00CE71E4">
        <w:rPr>
          <w:spacing w:val="-2"/>
          <w:sz w:val="16"/>
          <w:szCs w:val="16"/>
        </w:rPr>
        <w:t>proti desetiletému průměru je vyšší o</w:t>
      </w:r>
      <w:r>
        <w:rPr>
          <w:spacing w:val="-2"/>
          <w:sz w:val="16"/>
          <w:szCs w:val="16"/>
        </w:rPr>
        <w:t> </w:t>
      </w:r>
      <w:r w:rsidRPr="00CE71E4">
        <w:rPr>
          <w:spacing w:val="-2"/>
          <w:sz w:val="16"/>
          <w:szCs w:val="16"/>
        </w:rPr>
        <w:t>4,0</w:t>
      </w:r>
      <w:r>
        <w:rPr>
          <w:spacing w:val="-2"/>
          <w:sz w:val="16"/>
          <w:szCs w:val="16"/>
        </w:rPr>
        <w:t> %</w:t>
      </w:r>
      <w:r w:rsidRPr="00CE71E4">
        <w:rPr>
          <w:spacing w:val="-2"/>
          <w:sz w:val="16"/>
          <w:szCs w:val="16"/>
        </w:rPr>
        <w:t>. Meziročně se sklidilo také více vína, luskovin, brambor, zeleniny, řepky a</w:t>
      </w:r>
      <w:r>
        <w:rPr>
          <w:spacing w:val="-2"/>
          <w:sz w:val="16"/>
          <w:szCs w:val="16"/>
        </w:rPr>
        <w:t> </w:t>
      </w:r>
      <w:r w:rsidRPr="00CE71E4">
        <w:rPr>
          <w:spacing w:val="-2"/>
          <w:sz w:val="16"/>
          <w:szCs w:val="16"/>
        </w:rPr>
        <w:t>kukuřice na zeleno a</w:t>
      </w:r>
      <w:r>
        <w:rPr>
          <w:spacing w:val="-2"/>
          <w:sz w:val="16"/>
          <w:szCs w:val="16"/>
        </w:rPr>
        <w:t> </w:t>
      </w:r>
      <w:r w:rsidRPr="00CE71E4">
        <w:rPr>
          <w:spacing w:val="-2"/>
          <w:sz w:val="16"/>
          <w:szCs w:val="16"/>
        </w:rPr>
        <w:t>siláž. Nižší byla úroda chmele a</w:t>
      </w:r>
      <w:r>
        <w:rPr>
          <w:spacing w:val="-2"/>
          <w:sz w:val="16"/>
          <w:szCs w:val="16"/>
        </w:rPr>
        <w:t> </w:t>
      </w:r>
      <w:r w:rsidRPr="00CE71E4">
        <w:rPr>
          <w:spacing w:val="-2"/>
          <w:sz w:val="16"/>
          <w:szCs w:val="16"/>
        </w:rPr>
        <w:t>cukrové řepy. Z předběžných výsledků souhrnného zemědělského účtu vyplývá, že v roce 2020 vzrostla reálně produkce zemědělského odvětví o</w:t>
      </w:r>
      <w:r>
        <w:rPr>
          <w:spacing w:val="-2"/>
          <w:sz w:val="16"/>
          <w:szCs w:val="16"/>
        </w:rPr>
        <w:t> </w:t>
      </w:r>
      <w:r w:rsidRPr="00CE71E4">
        <w:rPr>
          <w:spacing w:val="-2"/>
          <w:sz w:val="16"/>
          <w:szCs w:val="16"/>
        </w:rPr>
        <w:t>rovná 4</w:t>
      </w:r>
      <w:r>
        <w:rPr>
          <w:spacing w:val="-2"/>
          <w:sz w:val="16"/>
          <w:szCs w:val="16"/>
        </w:rPr>
        <w:t> %</w:t>
      </w:r>
      <w:r w:rsidRPr="00CE71E4">
        <w:rPr>
          <w:spacing w:val="-2"/>
          <w:sz w:val="16"/>
          <w:szCs w:val="16"/>
        </w:rPr>
        <w:t>. Nejvíce k tomu přispěla vyšší rostlinná produkce (+6,0</w:t>
      </w:r>
      <w:r>
        <w:rPr>
          <w:spacing w:val="-2"/>
          <w:sz w:val="16"/>
          <w:szCs w:val="16"/>
        </w:rPr>
        <w:t> %</w:t>
      </w:r>
      <w:r w:rsidRPr="00CE71E4">
        <w:rPr>
          <w:spacing w:val="-2"/>
          <w:sz w:val="16"/>
          <w:szCs w:val="16"/>
        </w:rPr>
        <w:t>), podpořená zejména příznivým vývojem u</w:t>
      </w:r>
      <w:r>
        <w:rPr>
          <w:spacing w:val="-2"/>
          <w:sz w:val="16"/>
          <w:szCs w:val="16"/>
        </w:rPr>
        <w:t> </w:t>
      </w:r>
      <w:r w:rsidRPr="00CE71E4">
        <w:rPr>
          <w:spacing w:val="-2"/>
          <w:sz w:val="16"/>
          <w:szCs w:val="16"/>
        </w:rPr>
        <w:t>pícnin, řepky a</w:t>
      </w:r>
      <w:r>
        <w:rPr>
          <w:spacing w:val="-2"/>
          <w:sz w:val="16"/>
          <w:szCs w:val="16"/>
        </w:rPr>
        <w:t> </w:t>
      </w:r>
      <w:r w:rsidRPr="00CE71E4">
        <w:rPr>
          <w:spacing w:val="-2"/>
          <w:sz w:val="16"/>
          <w:szCs w:val="16"/>
        </w:rPr>
        <w:t>kukuřice na zrno. Příznivě působila i</w:t>
      </w:r>
      <w:r>
        <w:rPr>
          <w:spacing w:val="-2"/>
          <w:sz w:val="16"/>
          <w:szCs w:val="16"/>
        </w:rPr>
        <w:t> </w:t>
      </w:r>
      <w:r w:rsidRPr="00CE71E4">
        <w:rPr>
          <w:spacing w:val="-2"/>
          <w:sz w:val="16"/>
          <w:szCs w:val="16"/>
        </w:rPr>
        <w:t>vyšší živočišná produkce (+1,7</w:t>
      </w:r>
      <w:r>
        <w:rPr>
          <w:spacing w:val="-2"/>
          <w:sz w:val="16"/>
          <w:szCs w:val="16"/>
        </w:rPr>
        <w:t> </w:t>
      </w:r>
      <w:r w:rsidRPr="00CE71E4">
        <w:rPr>
          <w:spacing w:val="-2"/>
          <w:sz w:val="16"/>
          <w:szCs w:val="16"/>
        </w:rPr>
        <w:t>%), sycená z drtivé většiny vyšší hodnotou produkce mléka, s odstupem pak i</w:t>
      </w:r>
      <w:r>
        <w:rPr>
          <w:spacing w:val="-2"/>
          <w:sz w:val="16"/>
          <w:szCs w:val="16"/>
        </w:rPr>
        <w:t> </w:t>
      </w:r>
      <w:r w:rsidRPr="00CE71E4">
        <w:rPr>
          <w:spacing w:val="-2"/>
          <w:sz w:val="16"/>
          <w:szCs w:val="16"/>
        </w:rPr>
        <w:t>prasat.</w:t>
      </w:r>
    </w:p>
  </w:footnote>
  <w:footnote w:id="20">
    <w:p w14:paraId="31B93F1A" w14:textId="77777777" w:rsidR="0091476D" w:rsidRPr="00621DCC" w:rsidRDefault="0091476D" w:rsidP="00B96D74">
      <w:pPr>
        <w:pStyle w:val="Textpoznpodarou"/>
        <w:rPr>
          <w:sz w:val="16"/>
          <w:szCs w:val="16"/>
        </w:rPr>
      </w:pPr>
      <w:r w:rsidRPr="00621DCC">
        <w:rPr>
          <w:rStyle w:val="Znakapoznpodarou"/>
          <w:sz w:val="16"/>
          <w:szCs w:val="16"/>
        </w:rPr>
        <w:footnoteRef/>
      </w:r>
      <w:r w:rsidRPr="00621DCC">
        <w:rPr>
          <w:sz w:val="16"/>
          <w:szCs w:val="16"/>
        </w:rPr>
        <w:t xml:space="preserve"> Za mírnějším poklesem HPH v</w:t>
      </w:r>
      <w:r>
        <w:rPr>
          <w:sz w:val="16"/>
          <w:szCs w:val="16"/>
        </w:rPr>
        <w:t> </w:t>
      </w:r>
      <w:r w:rsidRPr="00621DCC">
        <w:rPr>
          <w:sz w:val="16"/>
          <w:szCs w:val="16"/>
        </w:rPr>
        <w:t>ČR</w:t>
      </w:r>
      <w:r>
        <w:rPr>
          <w:sz w:val="16"/>
          <w:szCs w:val="16"/>
        </w:rPr>
        <w:t xml:space="preserve"> stál příznivější vývoj ve veřejných službách a v odvětví zemědělství, lesnictví a rybářství. Rovněž propad výkonu v odvětví ostatních služeb (sekce R až T) byl v tuzemsku </w:t>
      </w:r>
      <w:proofErr w:type="gramStart"/>
      <w:r>
        <w:rPr>
          <w:sz w:val="16"/>
          <w:szCs w:val="16"/>
        </w:rPr>
        <w:t>slab</w:t>
      </w:r>
      <w:r w:rsidRPr="00621DCC">
        <w:rPr>
          <w:sz w:val="16"/>
          <w:szCs w:val="16"/>
        </w:rPr>
        <w:t>ší (</w:t>
      </w:r>
      <w:r w:rsidRPr="00621DCC">
        <w:rPr>
          <w:spacing w:val="-4"/>
          <w:sz w:val="16"/>
          <w:szCs w:val="16"/>
        </w:rPr>
        <w:t>–12</w:t>
      </w:r>
      <w:proofErr w:type="gramEnd"/>
      <w:r>
        <w:rPr>
          <w:spacing w:val="-4"/>
          <w:sz w:val="16"/>
          <w:szCs w:val="16"/>
        </w:rPr>
        <w:t> %</w:t>
      </w:r>
      <w:r w:rsidRPr="00621DCC">
        <w:rPr>
          <w:spacing w:val="-4"/>
          <w:sz w:val="16"/>
          <w:szCs w:val="16"/>
        </w:rPr>
        <w:t xml:space="preserve">) </w:t>
      </w:r>
      <w:r w:rsidRPr="00621DCC">
        <w:rPr>
          <w:sz w:val="16"/>
          <w:szCs w:val="16"/>
        </w:rPr>
        <w:t>než</w:t>
      </w:r>
      <w:r>
        <w:rPr>
          <w:sz w:val="16"/>
          <w:szCs w:val="16"/>
        </w:rPr>
        <w:t xml:space="preserve"> v EU (</w:t>
      </w:r>
      <w:r w:rsidRPr="00621DCC">
        <w:rPr>
          <w:spacing w:val="-4"/>
          <w:sz w:val="16"/>
          <w:szCs w:val="16"/>
        </w:rPr>
        <w:t>–</w:t>
      </w:r>
      <w:r>
        <w:rPr>
          <w:spacing w:val="-4"/>
          <w:sz w:val="16"/>
          <w:szCs w:val="16"/>
        </w:rPr>
        <w:t>18 %</w:t>
      </w:r>
      <w:r w:rsidRPr="00621DCC">
        <w:rPr>
          <w:spacing w:val="-4"/>
          <w:sz w:val="16"/>
          <w:szCs w:val="16"/>
        </w:rPr>
        <w:t>)</w:t>
      </w:r>
      <w:r>
        <w:rPr>
          <w:spacing w:val="-4"/>
          <w:sz w:val="16"/>
          <w:szCs w:val="16"/>
        </w:rPr>
        <w:t>.</w:t>
      </w:r>
    </w:p>
  </w:footnote>
  <w:footnote w:id="21">
    <w:p w14:paraId="2AB6A881" w14:textId="77777777" w:rsidR="0091476D" w:rsidRPr="00CE71E4" w:rsidRDefault="0091476D" w:rsidP="00B96D74">
      <w:pPr>
        <w:pStyle w:val="Textpoznpodarou"/>
        <w:rPr>
          <w:spacing w:val="-2"/>
          <w:sz w:val="16"/>
          <w:szCs w:val="16"/>
        </w:rPr>
      </w:pPr>
      <w:r w:rsidRPr="00CE71E4">
        <w:rPr>
          <w:rStyle w:val="Znakapoznpodarou"/>
          <w:spacing w:val="-2"/>
          <w:sz w:val="16"/>
          <w:szCs w:val="16"/>
        </w:rPr>
        <w:footnoteRef/>
      </w:r>
      <w:r w:rsidRPr="00CE71E4">
        <w:rPr>
          <w:spacing w:val="-2"/>
          <w:sz w:val="16"/>
          <w:szCs w:val="16"/>
        </w:rPr>
        <w:t xml:space="preserve"> Průmyslová produkce v březnu 2020 meziměsíčně klesla o</w:t>
      </w:r>
      <w:r>
        <w:rPr>
          <w:spacing w:val="-2"/>
          <w:sz w:val="16"/>
          <w:szCs w:val="16"/>
        </w:rPr>
        <w:t> </w:t>
      </w:r>
      <w:r w:rsidRPr="00CE71E4">
        <w:rPr>
          <w:spacing w:val="-2"/>
          <w:sz w:val="16"/>
          <w:szCs w:val="16"/>
        </w:rPr>
        <w:t>11,3</w:t>
      </w:r>
      <w:r>
        <w:rPr>
          <w:spacing w:val="-2"/>
          <w:sz w:val="16"/>
          <w:szCs w:val="16"/>
        </w:rPr>
        <w:t> %</w:t>
      </w:r>
      <w:r w:rsidRPr="00CE71E4">
        <w:rPr>
          <w:spacing w:val="-2"/>
          <w:sz w:val="16"/>
          <w:szCs w:val="16"/>
        </w:rPr>
        <w:t>, v </w:t>
      </w:r>
      <w:r>
        <w:rPr>
          <w:spacing w:val="-2"/>
          <w:sz w:val="16"/>
          <w:szCs w:val="16"/>
        </w:rPr>
        <w:t>dubnu se propad prohlou</w:t>
      </w:r>
      <w:r w:rsidRPr="00CE71E4">
        <w:rPr>
          <w:spacing w:val="-2"/>
          <w:sz w:val="16"/>
          <w:szCs w:val="16"/>
        </w:rPr>
        <w:t>bil na rekordních 24,1</w:t>
      </w:r>
      <w:r>
        <w:rPr>
          <w:spacing w:val="-2"/>
          <w:sz w:val="16"/>
          <w:szCs w:val="16"/>
        </w:rPr>
        <w:t> %</w:t>
      </w:r>
      <w:r w:rsidRPr="00CE71E4">
        <w:rPr>
          <w:spacing w:val="-2"/>
          <w:sz w:val="16"/>
          <w:szCs w:val="16"/>
        </w:rPr>
        <w:t>.</w:t>
      </w:r>
    </w:p>
  </w:footnote>
  <w:footnote w:id="22">
    <w:p w14:paraId="3C6B3175" w14:textId="77777777" w:rsidR="0091476D" w:rsidRPr="00CE71E4" w:rsidRDefault="0091476D" w:rsidP="00B96D74">
      <w:pPr>
        <w:pStyle w:val="Textpoznpodarou"/>
        <w:jc w:val="both"/>
        <w:rPr>
          <w:rFonts w:cs="Arial"/>
          <w:color w:val="0D0D0D" w:themeColor="text1" w:themeTint="F2"/>
          <w:spacing w:val="-2"/>
          <w:sz w:val="16"/>
          <w:szCs w:val="16"/>
        </w:rPr>
      </w:pPr>
      <w:r w:rsidRPr="00CE71E4">
        <w:rPr>
          <w:rStyle w:val="Znakapoznpodarou"/>
          <w:rFonts w:cs="Arial"/>
          <w:color w:val="0D0D0D" w:themeColor="text1" w:themeTint="F2"/>
          <w:spacing w:val="-2"/>
          <w:sz w:val="16"/>
          <w:szCs w:val="16"/>
        </w:rPr>
        <w:footnoteRef/>
      </w:r>
      <w:r w:rsidRPr="00CE71E4">
        <w:rPr>
          <w:rFonts w:cs="Arial"/>
          <w:color w:val="0D0D0D" w:themeColor="text1" w:themeTint="F2"/>
          <w:spacing w:val="-2"/>
          <w:sz w:val="16"/>
          <w:szCs w:val="16"/>
        </w:rPr>
        <w:t xml:space="preserve"> Zahrnuje odvětví těžby a dobývání, zpracovatelského průmyslu a také energetiky (zde pojímané jako odvětví výroby a rozvodu elektřiny, plynu, tepla a klimatizovaného vzduchu). Všechna meziroční tempa produkce (na úrovni odvětvových sekcí i oddílů) jsou očištěna o kalendářní vlivy, mezičtvrtletní i meziměsíční tempa pak také o vliv sezónnosti.</w:t>
      </w:r>
    </w:p>
  </w:footnote>
  <w:footnote w:id="23">
    <w:p w14:paraId="7755321D" w14:textId="77777777" w:rsidR="0091476D" w:rsidRPr="005D3416" w:rsidRDefault="0091476D" w:rsidP="00B96D74">
      <w:pPr>
        <w:pStyle w:val="Textpoznpodarou"/>
        <w:rPr>
          <w:sz w:val="16"/>
          <w:szCs w:val="16"/>
        </w:rPr>
      </w:pPr>
      <w:r w:rsidRPr="00CE71E4">
        <w:rPr>
          <w:rStyle w:val="Znakapoznpodarou"/>
          <w:spacing w:val="-2"/>
          <w:sz w:val="16"/>
          <w:szCs w:val="16"/>
        </w:rPr>
        <w:footnoteRef/>
      </w:r>
      <w:r w:rsidRPr="00CE71E4">
        <w:rPr>
          <w:spacing w:val="-2"/>
          <w:sz w:val="16"/>
          <w:szCs w:val="16"/>
        </w:rPr>
        <w:t xml:space="preserve"> </w:t>
      </w:r>
      <w:r>
        <w:rPr>
          <w:spacing w:val="-2"/>
          <w:sz w:val="16"/>
          <w:szCs w:val="16"/>
        </w:rPr>
        <w:t>Toto maximum</w:t>
      </w:r>
      <w:r w:rsidRPr="00CE71E4">
        <w:rPr>
          <w:spacing w:val="-2"/>
          <w:sz w:val="16"/>
          <w:szCs w:val="16"/>
        </w:rPr>
        <w:t xml:space="preserve"> se vlivem cyklického útlumu, kterým tuzemský </w:t>
      </w:r>
      <w:r>
        <w:rPr>
          <w:spacing w:val="-2"/>
          <w:sz w:val="16"/>
          <w:szCs w:val="16"/>
        </w:rPr>
        <w:t xml:space="preserve">průmysl </w:t>
      </w:r>
      <w:r w:rsidRPr="00CE71E4">
        <w:rPr>
          <w:spacing w:val="-2"/>
          <w:sz w:val="16"/>
          <w:szCs w:val="16"/>
        </w:rPr>
        <w:t xml:space="preserve">procházel již během </w:t>
      </w:r>
      <w:r>
        <w:rPr>
          <w:spacing w:val="-2"/>
          <w:sz w:val="16"/>
          <w:szCs w:val="16"/>
        </w:rPr>
        <w:t>předchozího</w:t>
      </w:r>
      <w:r w:rsidRPr="00CE71E4">
        <w:rPr>
          <w:spacing w:val="-2"/>
          <w:sz w:val="16"/>
          <w:szCs w:val="16"/>
        </w:rPr>
        <w:t xml:space="preserve"> roku, nacházelo v květnu 2019. Ve srovnání s</w:t>
      </w:r>
      <w:r>
        <w:rPr>
          <w:spacing w:val="-2"/>
          <w:sz w:val="16"/>
          <w:szCs w:val="16"/>
        </w:rPr>
        <w:t> </w:t>
      </w:r>
      <w:r w:rsidRPr="00CE71E4">
        <w:rPr>
          <w:spacing w:val="-2"/>
          <w:sz w:val="16"/>
          <w:szCs w:val="16"/>
        </w:rPr>
        <w:t>touto úrovn</w:t>
      </w:r>
      <w:r>
        <w:rPr>
          <w:spacing w:val="-2"/>
          <w:sz w:val="16"/>
          <w:szCs w:val="16"/>
        </w:rPr>
        <w:t>í</w:t>
      </w:r>
      <w:r w:rsidRPr="00CE71E4">
        <w:rPr>
          <w:spacing w:val="-2"/>
          <w:sz w:val="16"/>
          <w:szCs w:val="16"/>
        </w:rPr>
        <w:t xml:space="preserve"> byla produkce v prosinci 2020 o</w:t>
      </w:r>
      <w:r>
        <w:rPr>
          <w:spacing w:val="-2"/>
          <w:sz w:val="16"/>
          <w:szCs w:val="16"/>
        </w:rPr>
        <w:t> </w:t>
      </w:r>
      <w:r w:rsidRPr="00CE71E4">
        <w:rPr>
          <w:spacing w:val="-2"/>
          <w:sz w:val="16"/>
          <w:szCs w:val="16"/>
        </w:rPr>
        <w:t>3,2</w:t>
      </w:r>
      <w:r>
        <w:rPr>
          <w:spacing w:val="-2"/>
          <w:sz w:val="16"/>
          <w:szCs w:val="16"/>
        </w:rPr>
        <w:t> %</w:t>
      </w:r>
      <w:r w:rsidRPr="00CE71E4">
        <w:rPr>
          <w:spacing w:val="-2"/>
          <w:sz w:val="16"/>
          <w:szCs w:val="16"/>
        </w:rPr>
        <w:t xml:space="preserve"> nižší.</w:t>
      </w:r>
    </w:p>
  </w:footnote>
  <w:footnote w:id="24">
    <w:p w14:paraId="1A706FDC" w14:textId="77777777" w:rsidR="0091476D" w:rsidRPr="00CE71E4" w:rsidRDefault="0091476D" w:rsidP="00B96D74">
      <w:pPr>
        <w:pStyle w:val="Textpoznpodarou"/>
        <w:rPr>
          <w:spacing w:val="-4"/>
        </w:rPr>
      </w:pPr>
      <w:r w:rsidRPr="00CE71E4">
        <w:rPr>
          <w:rStyle w:val="Znakapoznpodarou"/>
          <w:spacing w:val="-4"/>
          <w:sz w:val="16"/>
          <w:szCs w:val="16"/>
        </w:rPr>
        <w:footnoteRef/>
      </w:r>
      <w:r w:rsidRPr="00CE71E4">
        <w:rPr>
          <w:spacing w:val="-4"/>
          <w:sz w:val="16"/>
          <w:szCs w:val="16"/>
        </w:rPr>
        <w:t xml:space="preserve"> Za globální finanční i</w:t>
      </w:r>
      <w:r>
        <w:rPr>
          <w:spacing w:val="-4"/>
          <w:sz w:val="16"/>
          <w:szCs w:val="16"/>
        </w:rPr>
        <w:t> </w:t>
      </w:r>
      <w:r w:rsidRPr="00CE71E4">
        <w:rPr>
          <w:spacing w:val="-4"/>
          <w:sz w:val="16"/>
          <w:szCs w:val="16"/>
        </w:rPr>
        <w:t>hospodářské krize v</w:t>
      </w:r>
      <w:r>
        <w:rPr>
          <w:spacing w:val="-4"/>
          <w:sz w:val="16"/>
          <w:szCs w:val="16"/>
        </w:rPr>
        <w:t> </w:t>
      </w:r>
      <w:r w:rsidRPr="00CE71E4">
        <w:rPr>
          <w:spacing w:val="-4"/>
          <w:sz w:val="16"/>
          <w:szCs w:val="16"/>
        </w:rPr>
        <w:t>roce 2009 klesla ovšem produkce tuzemského průmyslu skoro dvojnásobným tempem (o</w:t>
      </w:r>
      <w:r>
        <w:rPr>
          <w:spacing w:val="-4"/>
          <w:sz w:val="16"/>
          <w:szCs w:val="16"/>
        </w:rPr>
        <w:t> </w:t>
      </w:r>
      <w:r w:rsidRPr="00CE71E4">
        <w:rPr>
          <w:spacing w:val="-4"/>
          <w:sz w:val="16"/>
          <w:szCs w:val="16"/>
        </w:rPr>
        <w:t>13,0</w:t>
      </w:r>
      <w:r>
        <w:rPr>
          <w:spacing w:val="-4"/>
          <w:sz w:val="16"/>
          <w:szCs w:val="16"/>
        </w:rPr>
        <w:t> %</w:t>
      </w:r>
      <w:r w:rsidRPr="00CE71E4">
        <w:rPr>
          <w:spacing w:val="-4"/>
          <w:sz w:val="16"/>
          <w:szCs w:val="16"/>
        </w:rPr>
        <w:t>).</w:t>
      </w:r>
    </w:p>
  </w:footnote>
  <w:footnote w:id="25">
    <w:p w14:paraId="667FFEFF" w14:textId="77777777" w:rsidR="0091476D" w:rsidRPr="00CE71E4" w:rsidRDefault="0091476D" w:rsidP="00B96D74">
      <w:pPr>
        <w:pStyle w:val="Textpoznpodarou"/>
        <w:rPr>
          <w:spacing w:val="-2"/>
          <w:sz w:val="16"/>
          <w:szCs w:val="16"/>
        </w:rPr>
      </w:pPr>
      <w:r w:rsidRPr="00CE71E4">
        <w:rPr>
          <w:rStyle w:val="Znakapoznpodarou"/>
          <w:spacing w:val="-2"/>
          <w:sz w:val="16"/>
          <w:szCs w:val="16"/>
        </w:rPr>
        <w:footnoteRef/>
      </w:r>
      <w:r w:rsidRPr="00CE71E4">
        <w:rPr>
          <w:spacing w:val="-2"/>
          <w:sz w:val="16"/>
          <w:szCs w:val="16"/>
        </w:rPr>
        <w:t xml:space="preserve"> Dokládají to i</w:t>
      </w:r>
      <w:r>
        <w:rPr>
          <w:spacing w:val="-2"/>
          <w:sz w:val="16"/>
          <w:szCs w:val="16"/>
        </w:rPr>
        <w:t> </w:t>
      </w:r>
      <w:r w:rsidRPr="00CE71E4">
        <w:rPr>
          <w:spacing w:val="-2"/>
          <w:sz w:val="16"/>
          <w:szCs w:val="16"/>
        </w:rPr>
        <w:t>údaje o</w:t>
      </w:r>
      <w:r>
        <w:rPr>
          <w:spacing w:val="-2"/>
          <w:sz w:val="16"/>
          <w:szCs w:val="16"/>
        </w:rPr>
        <w:t> </w:t>
      </w:r>
      <w:r w:rsidRPr="00CE71E4">
        <w:rPr>
          <w:spacing w:val="-2"/>
          <w:sz w:val="16"/>
          <w:szCs w:val="16"/>
        </w:rPr>
        <w:t>fyzické produkci. Dle Sdružení automobilové</w:t>
      </w:r>
      <w:r>
        <w:rPr>
          <w:spacing w:val="-2"/>
          <w:sz w:val="16"/>
          <w:szCs w:val="16"/>
        </w:rPr>
        <w:t>ho průmyslu bylo během loňského</w:t>
      </w:r>
      <w:r w:rsidRPr="00CE71E4">
        <w:rPr>
          <w:spacing w:val="-2"/>
          <w:sz w:val="16"/>
          <w:szCs w:val="16"/>
        </w:rPr>
        <w:t xml:space="preserve"> dubna v ČR vyrobeno jen necelých 15</w:t>
      </w:r>
      <w:r>
        <w:rPr>
          <w:spacing w:val="-2"/>
          <w:sz w:val="16"/>
          <w:szCs w:val="16"/>
        </w:rPr>
        <w:t> tis.</w:t>
      </w:r>
      <w:r w:rsidRPr="00CE71E4">
        <w:rPr>
          <w:spacing w:val="-2"/>
          <w:sz w:val="16"/>
          <w:szCs w:val="16"/>
        </w:rPr>
        <w:t xml:space="preserve"> motorových vozid</w:t>
      </w:r>
      <w:r>
        <w:rPr>
          <w:spacing w:val="-2"/>
          <w:sz w:val="16"/>
          <w:szCs w:val="16"/>
        </w:rPr>
        <w:t>el (ve srovnání se stejným obdobím roku 2019</w:t>
      </w:r>
      <w:r w:rsidRPr="00CE71E4">
        <w:rPr>
          <w:spacing w:val="-2"/>
          <w:sz w:val="16"/>
          <w:szCs w:val="16"/>
        </w:rPr>
        <w:t xml:space="preserve"> </w:t>
      </w:r>
      <w:r>
        <w:rPr>
          <w:spacing w:val="-2"/>
          <w:sz w:val="16"/>
          <w:szCs w:val="16"/>
        </w:rPr>
        <w:t>o 113 tis. méně). Meziročně rostla výroba vozů jen první dva měsíce roku a také v říjnu a prosinci. Za celý rok činila výroba 1 160 tis. voz</w:t>
      </w:r>
      <w:r w:rsidRPr="00CE71E4">
        <w:rPr>
          <w:spacing w:val="-2"/>
          <w:sz w:val="16"/>
          <w:szCs w:val="16"/>
        </w:rPr>
        <w:t xml:space="preserve">ů, což bylo meziročně </w:t>
      </w:r>
      <w:r>
        <w:rPr>
          <w:spacing w:val="-2"/>
          <w:sz w:val="16"/>
          <w:szCs w:val="16"/>
        </w:rPr>
        <w:t>o 19 % méně (resp. o 275 tis.). Celoroční pokles postihl jak výrobu osobních vozů, tak i ostatní kategorie motorových vozidel.</w:t>
      </w:r>
    </w:p>
  </w:footnote>
  <w:footnote w:id="26">
    <w:p w14:paraId="57665FB1" w14:textId="77777777" w:rsidR="0091476D" w:rsidRPr="00225565" w:rsidRDefault="0091476D" w:rsidP="00B96D74">
      <w:pPr>
        <w:pStyle w:val="Textpoznpodarou"/>
        <w:rPr>
          <w:spacing w:val="-4"/>
          <w:sz w:val="16"/>
          <w:szCs w:val="16"/>
        </w:rPr>
      </w:pPr>
      <w:r w:rsidRPr="00225565">
        <w:rPr>
          <w:rStyle w:val="Znakapoznpodarou"/>
          <w:spacing w:val="-4"/>
          <w:sz w:val="16"/>
          <w:szCs w:val="16"/>
        </w:rPr>
        <w:footnoteRef/>
      </w:r>
      <w:r w:rsidRPr="00225565">
        <w:rPr>
          <w:spacing w:val="-4"/>
          <w:sz w:val="16"/>
          <w:szCs w:val="16"/>
        </w:rPr>
        <w:t xml:space="preserve"> Dle údajů Energetického regulačního úřadu činila loni v </w:t>
      </w:r>
      <w:r>
        <w:rPr>
          <w:spacing w:val="-4"/>
          <w:sz w:val="16"/>
          <w:szCs w:val="16"/>
        </w:rPr>
        <w:t>ČR</w:t>
      </w:r>
      <w:r w:rsidRPr="00225565">
        <w:rPr>
          <w:spacing w:val="-4"/>
          <w:sz w:val="16"/>
          <w:szCs w:val="16"/>
        </w:rPr>
        <w:t xml:space="preserve"> celková hrubá výroba elektřiny 81,4</w:t>
      </w:r>
      <w:r>
        <w:rPr>
          <w:spacing w:val="-4"/>
          <w:sz w:val="16"/>
          <w:szCs w:val="16"/>
        </w:rPr>
        <w:t> </w:t>
      </w:r>
      <w:proofErr w:type="spellStart"/>
      <w:r w:rsidRPr="00225565">
        <w:rPr>
          <w:spacing w:val="-4"/>
          <w:sz w:val="16"/>
          <w:szCs w:val="16"/>
        </w:rPr>
        <w:t>TWh</w:t>
      </w:r>
      <w:proofErr w:type="spellEnd"/>
      <w:r w:rsidRPr="00225565">
        <w:rPr>
          <w:spacing w:val="-4"/>
          <w:sz w:val="16"/>
          <w:szCs w:val="16"/>
        </w:rPr>
        <w:t xml:space="preserve"> (nejméně od rou 2002). Meziročně se snížila o</w:t>
      </w:r>
      <w:r>
        <w:rPr>
          <w:spacing w:val="-4"/>
          <w:sz w:val="16"/>
          <w:szCs w:val="16"/>
        </w:rPr>
        <w:t> </w:t>
      </w:r>
      <w:r w:rsidRPr="00225565">
        <w:rPr>
          <w:spacing w:val="-4"/>
          <w:sz w:val="16"/>
          <w:szCs w:val="16"/>
        </w:rPr>
        <w:t>6,4</w:t>
      </w:r>
      <w:r>
        <w:rPr>
          <w:spacing w:val="-4"/>
          <w:sz w:val="16"/>
          <w:szCs w:val="16"/>
        </w:rPr>
        <w:t> %</w:t>
      </w:r>
      <w:r w:rsidRPr="00225565">
        <w:rPr>
          <w:spacing w:val="-4"/>
          <w:sz w:val="16"/>
          <w:szCs w:val="16"/>
        </w:rPr>
        <w:t>. Hrubá spotřeba elektřiny klesla o</w:t>
      </w:r>
      <w:r>
        <w:rPr>
          <w:spacing w:val="-4"/>
          <w:sz w:val="16"/>
          <w:szCs w:val="16"/>
        </w:rPr>
        <w:t> </w:t>
      </w:r>
      <w:r w:rsidRPr="00225565">
        <w:rPr>
          <w:spacing w:val="-4"/>
          <w:sz w:val="16"/>
          <w:szCs w:val="16"/>
        </w:rPr>
        <w:t>3,5</w:t>
      </w:r>
      <w:r>
        <w:rPr>
          <w:spacing w:val="-4"/>
          <w:sz w:val="16"/>
          <w:szCs w:val="16"/>
        </w:rPr>
        <w:t> %</w:t>
      </w:r>
      <w:r w:rsidRPr="00225565">
        <w:rPr>
          <w:spacing w:val="-4"/>
          <w:sz w:val="16"/>
          <w:szCs w:val="16"/>
        </w:rPr>
        <w:t xml:space="preserve"> na 71,4</w:t>
      </w:r>
      <w:r>
        <w:rPr>
          <w:spacing w:val="-4"/>
          <w:sz w:val="16"/>
          <w:szCs w:val="16"/>
        </w:rPr>
        <w:t> </w:t>
      </w:r>
      <w:proofErr w:type="spellStart"/>
      <w:r w:rsidRPr="00225565">
        <w:rPr>
          <w:spacing w:val="-4"/>
          <w:sz w:val="16"/>
          <w:szCs w:val="16"/>
        </w:rPr>
        <w:t>TWh</w:t>
      </w:r>
      <w:proofErr w:type="spellEnd"/>
      <w:r w:rsidRPr="00225565">
        <w:rPr>
          <w:spacing w:val="-4"/>
          <w:sz w:val="16"/>
          <w:szCs w:val="16"/>
        </w:rPr>
        <w:t xml:space="preserve"> (pětileté minimum). </w:t>
      </w:r>
      <w:r w:rsidRPr="00756F32">
        <w:rPr>
          <w:rFonts w:eastAsia="Times New Roman" w:cs="Arial"/>
          <w:color w:val="1F1F1F"/>
          <w:spacing w:val="-4"/>
          <w:sz w:val="16"/>
          <w:szCs w:val="16"/>
        </w:rPr>
        <w:t xml:space="preserve">Podnikatelé </w:t>
      </w:r>
      <w:r w:rsidRPr="00225565">
        <w:rPr>
          <w:rFonts w:eastAsia="Times New Roman" w:cs="Arial"/>
          <w:color w:val="1F1F1F"/>
          <w:spacing w:val="-4"/>
          <w:sz w:val="16"/>
          <w:szCs w:val="16"/>
        </w:rPr>
        <w:t xml:space="preserve">spotřebovali </w:t>
      </w:r>
      <w:r w:rsidRPr="00756F32">
        <w:rPr>
          <w:rFonts w:eastAsia="Times New Roman" w:cs="Arial"/>
          <w:color w:val="1F1F1F"/>
          <w:spacing w:val="-4"/>
          <w:sz w:val="16"/>
          <w:szCs w:val="16"/>
        </w:rPr>
        <w:t>na hla</w:t>
      </w:r>
      <w:r w:rsidRPr="00225565">
        <w:rPr>
          <w:rFonts w:eastAsia="Times New Roman" w:cs="Arial"/>
          <w:color w:val="1F1F1F"/>
          <w:spacing w:val="-4"/>
          <w:sz w:val="16"/>
          <w:szCs w:val="16"/>
        </w:rPr>
        <w:t>dině nízkého napětí</w:t>
      </w:r>
      <w:r w:rsidRPr="00756F32">
        <w:rPr>
          <w:rFonts w:eastAsia="Times New Roman" w:cs="Arial"/>
          <w:color w:val="1F1F1F"/>
          <w:spacing w:val="-4"/>
          <w:sz w:val="16"/>
          <w:szCs w:val="16"/>
        </w:rPr>
        <w:t xml:space="preserve"> elektřiny meziročně o</w:t>
      </w:r>
      <w:r>
        <w:rPr>
          <w:rFonts w:eastAsia="Times New Roman" w:cs="Arial"/>
          <w:color w:val="1F1F1F"/>
          <w:spacing w:val="-4"/>
          <w:sz w:val="16"/>
          <w:szCs w:val="16"/>
        </w:rPr>
        <w:t> </w:t>
      </w:r>
      <w:r w:rsidRPr="00756F32">
        <w:rPr>
          <w:rFonts w:eastAsia="Times New Roman" w:cs="Arial"/>
          <w:color w:val="1F1F1F"/>
          <w:spacing w:val="-4"/>
          <w:sz w:val="16"/>
          <w:szCs w:val="16"/>
        </w:rPr>
        <w:t>2,9</w:t>
      </w:r>
      <w:r>
        <w:rPr>
          <w:rFonts w:eastAsia="Times New Roman" w:cs="Arial"/>
          <w:color w:val="1F1F1F"/>
          <w:spacing w:val="-4"/>
          <w:sz w:val="16"/>
          <w:szCs w:val="16"/>
        </w:rPr>
        <w:t> %</w:t>
      </w:r>
      <w:r w:rsidRPr="00756F32">
        <w:rPr>
          <w:rFonts w:eastAsia="Times New Roman" w:cs="Arial"/>
          <w:color w:val="1F1F1F"/>
          <w:spacing w:val="-4"/>
          <w:sz w:val="16"/>
          <w:szCs w:val="16"/>
        </w:rPr>
        <w:t xml:space="preserve"> méně</w:t>
      </w:r>
      <w:r w:rsidRPr="00225565">
        <w:rPr>
          <w:rFonts w:eastAsia="Times New Roman" w:cs="Arial"/>
          <w:color w:val="1F1F1F"/>
          <w:spacing w:val="-4"/>
          <w:sz w:val="16"/>
          <w:szCs w:val="16"/>
        </w:rPr>
        <w:t>, největší podniky pak o</w:t>
      </w:r>
      <w:r>
        <w:rPr>
          <w:rFonts w:eastAsia="Times New Roman" w:cs="Arial"/>
          <w:color w:val="1F1F1F"/>
          <w:spacing w:val="-4"/>
          <w:sz w:val="16"/>
          <w:szCs w:val="16"/>
        </w:rPr>
        <w:t> </w:t>
      </w:r>
      <w:r w:rsidRPr="00225565">
        <w:rPr>
          <w:rFonts w:eastAsia="Times New Roman" w:cs="Arial"/>
          <w:color w:val="1F1F1F"/>
          <w:spacing w:val="-4"/>
          <w:sz w:val="16"/>
          <w:szCs w:val="16"/>
        </w:rPr>
        <w:t>6,6</w:t>
      </w:r>
      <w:r>
        <w:rPr>
          <w:rFonts w:eastAsia="Times New Roman" w:cs="Arial"/>
          <w:color w:val="1F1F1F"/>
          <w:spacing w:val="-4"/>
          <w:sz w:val="16"/>
          <w:szCs w:val="16"/>
        </w:rPr>
        <w:t> %</w:t>
      </w:r>
      <w:r w:rsidRPr="00225565">
        <w:rPr>
          <w:rFonts w:eastAsia="Times New Roman" w:cs="Arial"/>
          <w:color w:val="1F1F1F"/>
          <w:spacing w:val="-4"/>
          <w:sz w:val="16"/>
          <w:szCs w:val="16"/>
        </w:rPr>
        <w:t xml:space="preserve"> méně. Omezení mobility obyvatel, rozšíření práce z domova i</w:t>
      </w:r>
      <w:r>
        <w:rPr>
          <w:rFonts w:eastAsia="Times New Roman" w:cs="Arial"/>
          <w:color w:val="1F1F1F"/>
          <w:spacing w:val="-4"/>
          <w:sz w:val="16"/>
          <w:szCs w:val="16"/>
        </w:rPr>
        <w:t> </w:t>
      </w:r>
      <w:r w:rsidRPr="00225565">
        <w:rPr>
          <w:rFonts w:eastAsia="Times New Roman" w:cs="Arial"/>
          <w:color w:val="1F1F1F"/>
          <w:spacing w:val="-4"/>
          <w:sz w:val="16"/>
          <w:szCs w:val="16"/>
        </w:rPr>
        <w:t xml:space="preserve">distančního </w:t>
      </w:r>
      <w:r w:rsidRPr="00225565">
        <w:rPr>
          <w:rFonts w:eastAsia="Times New Roman" w:cs="Arial"/>
          <w:color w:val="1F1F1F"/>
          <w:spacing w:val="-6"/>
          <w:sz w:val="16"/>
          <w:szCs w:val="16"/>
        </w:rPr>
        <w:t>vzdělávání vedly loni ke zrychlení růstového tempa spotřeby elektřiny v domácnostech (na +4,7</w:t>
      </w:r>
      <w:r>
        <w:rPr>
          <w:rFonts w:eastAsia="Times New Roman" w:cs="Arial"/>
          <w:color w:val="1F1F1F"/>
          <w:spacing w:val="-6"/>
          <w:sz w:val="16"/>
          <w:szCs w:val="16"/>
        </w:rPr>
        <w:t> %</w:t>
      </w:r>
      <w:r w:rsidRPr="00225565">
        <w:rPr>
          <w:rFonts w:eastAsia="Times New Roman" w:cs="Arial"/>
          <w:color w:val="1F1F1F"/>
          <w:spacing w:val="-6"/>
          <w:sz w:val="16"/>
          <w:szCs w:val="16"/>
        </w:rPr>
        <w:t>). Ty spotřeboval</w:t>
      </w:r>
      <w:r>
        <w:rPr>
          <w:rFonts w:eastAsia="Times New Roman" w:cs="Arial"/>
          <w:color w:val="1F1F1F"/>
          <w:spacing w:val="-6"/>
          <w:sz w:val="16"/>
          <w:szCs w:val="16"/>
        </w:rPr>
        <w:t>y</w:t>
      </w:r>
      <w:r w:rsidRPr="00225565">
        <w:rPr>
          <w:rFonts w:eastAsia="Times New Roman" w:cs="Arial"/>
          <w:color w:val="1F1F1F"/>
          <w:spacing w:val="-6"/>
          <w:sz w:val="16"/>
          <w:szCs w:val="16"/>
        </w:rPr>
        <w:t xml:space="preserve"> nejvíce elektřiny od roku 1996.</w:t>
      </w:r>
    </w:p>
  </w:footnote>
  <w:footnote w:id="27">
    <w:p w14:paraId="0D71E817" w14:textId="77777777" w:rsidR="0091476D" w:rsidRPr="004670E0" w:rsidRDefault="0091476D" w:rsidP="00B96D74">
      <w:pPr>
        <w:pStyle w:val="Textpoznpodarou"/>
        <w:rPr>
          <w:sz w:val="16"/>
          <w:szCs w:val="16"/>
        </w:rPr>
      </w:pPr>
      <w:r w:rsidRPr="004670E0">
        <w:rPr>
          <w:rStyle w:val="Znakapoznpodarou"/>
          <w:sz w:val="16"/>
          <w:szCs w:val="16"/>
        </w:rPr>
        <w:footnoteRef/>
      </w:r>
      <w:r w:rsidRPr="004670E0">
        <w:rPr>
          <w:sz w:val="16"/>
          <w:szCs w:val="16"/>
        </w:rPr>
        <w:t xml:space="preserve"> Ve 4.</w:t>
      </w:r>
      <w:r>
        <w:rPr>
          <w:sz w:val="16"/>
          <w:szCs w:val="16"/>
        </w:rPr>
        <w:t> čtvrtlet</w:t>
      </w:r>
      <w:r w:rsidRPr="004670E0">
        <w:rPr>
          <w:sz w:val="16"/>
          <w:szCs w:val="16"/>
        </w:rPr>
        <w:t>í 2020</w:t>
      </w:r>
      <w:r>
        <w:rPr>
          <w:sz w:val="16"/>
          <w:szCs w:val="16"/>
        </w:rPr>
        <w:t xml:space="preserve"> ale</w:t>
      </w:r>
      <w:r w:rsidRPr="004670E0">
        <w:rPr>
          <w:sz w:val="16"/>
          <w:szCs w:val="16"/>
        </w:rPr>
        <w:t xml:space="preserve"> </w:t>
      </w:r>
      <w:r>
        <w:rPr>
          <w:sz w:val="16"/>
          <w:szCs w:val="16"/>
        </w:rPr>
        <w:t>tržby podniků z průmyslové činnosti meziročně posílily o 4,2 %, a to výhradně díky vyšší zahraniční poptávce.</w:t>
      </w:r>
    </w:p>
  </w:footnote>
  <w:footnote w:id="28">
    <w:p w14:paraId="65E16536" w14:textId="77777777" w:rsidR="0091476D" w:rsidRPr="00FB58F4" w:rsidRDefault="0091476D" w:rsidP="00B96D74">
      <w:pPr>
        <w:pStyle w:val="Textpoznpodarou"/>
        <w:jc w:val="both"/>
        <w:rPr>
          <w:rFonts w:cs="Arial"/>
          <w:color w:val="0D0D0D" w:themeColor="text1" w:themeTint="F2"/>
          <w:spacing w:val="-2"/>
          <w:sz w:val="16"/>
          <w:szCs w:val="16"/>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7A20EB">
        <w:rPr>
          <w:rFonts w:cs="Arial"/>
          <w:color w:val="0D0D0D" w:themeColor="text1" w:themeTint="F2"/>
          <w:sz w:val="16"/>
          <w:szCs w:val="16"/>
        </w:rPr>
        <w:t>Zjišťování zaká</w:t>
      </w:r>
      <w:r>
        <w:rPr>
          <w:rFonts w:cs="Arial"/>
          <w:color w:val="0D0D0D" w:themeColor="text1" w:themeTint="F2"/>
          <w:sz w:val="16"/>
          <w:szCs w:val="16"/>
        </w:rPr>
        <w:t>zek probíhá pouze ve dvanácti zpracovatelských odvětvích</w:t>
      </w:r>
      <w:r w:rsidRPr="007A20EB">
        <w:rPr>
          <w:rFonts w:cs="Arial"/>
          <w:color w:val="0D0D0D" w:themeColor="text1" w:themeTint="F2"/>
          <w:sz w:val="16"/>
          <w:szCs w:val="16"/>
        </w:rPr>
        <w:t>, kter</w:t>
      </w:r>
      <w:r>
        <w:rPr>
          <w:rFonts w:cs="Arial"/>
          <w:color w:val="0D0D0D" w:themeColor="text1" w:themeTint="F2"/>
          <w:sz w:val="16"/>
          <w:szCs w:val="16"/>
        </w:rPr>
        <w:t>á</w:t>
      </w:r>
      <w:r w:rsidRPr="007A20EB">
        <w:rPr>
          <w:rFonts w:cs="Arial"/>
          <w:color w:val="0D0D0D" w:themeColor="text1" w:themeTint="F2"/>
          <w:sz w:val="16"/>
          <w:szCs w:val="16"/>
        </w:rPr>
        <w:t xml:space="preserve"> vyrábějí převážně na zakázku, s dlouhodobějším výrobním cyklem a s většími zásobami zakázek.</w:t>
      </w:r>
    </w:p>
  </w:footnote>
  <w:footnote w:id="29">
    <w:p w14:paraId="12F4C4ED" w14:textId="77777777" w:rsidR="0091476D" w:rsidRPr="00DB5DAA" w:rsidRDefault="0091476D" w:rsidP="00B96D74">
      <w:pPr>
        <w:pStyle w:val="Textpoznpodarou"/>
        <w:rPr>
          <w:sz w:val="16"/>
          <w:szCs w:val="16"/>
        </w:rPr>
      </w:pPr>
      <w:r w:rsidRPr="00DB5DAA">
        <w:rPr>
          <w:rStyle w:val="Znakapoznpodarou"/>
          <w:sz w:val="16"/>
          <w:szCs w:val="16"/>
        </w:rPr>
        <w:footnoteRef/>
      </w:r>
      <w:r w:rsidRPr="00DB5DAA">
        <w:rPr>
          <w:sz w:val="16"/>
          <w:szCs w:val="16"/>
        </w:rPr>
        <w:t xml:space="preserve"> Růst je zčásti ovlivněn nižší srovnávací základnou, neboť na konci roku 2019 se průmysl nacházel ve fázi mírného cyklického útlumu.</w:t>
      </w:r>
    </w:p>
  </w:footnote>
  <w:footnote w:id="30">
    <w:p w14:paraId="533378AF" w14:textId="77777777" w:rsidR="0091476D" w:rsidRPr="00A46E38" w:rsidRDefault="0091476D" w:rsidP="00B96D74">
      <w:pPr>
        <w:pStyle w:val="Textpoznpodarou"/>
        <w:rPr>
          <w:sz w:val="16"/>
          <w:szCs w:val="16"/>
        </w:rPr>
      </w:pPr>
      <w:r w:rsidRPr="00A46E38">
        <w:rPr>
          <w:rStyle w:val="Znakapoznpodarou"/>
          <w:sz w:val="16"/>
          <w:szCs w:val="16"/>
        </w:rPr>
        <w:footnoteRef/>
      </w:r>
      <w:r w:rsidRPr="00A46E38">
        <w:rPr>
          <w:sz w:val="16"/>
          <w:szCs w:val="16"/>
        </w:rPr>
        <w:t xml:space="preserve"> Nejvíce vytížené kapacity měl dřevozpracující průmysl (93</w:t>
      </w:r>
      <w:r>
        <w:rPr>
          <w:sz w:val="16"/>
          <w:szCs w:val="16"/>
        </w:rPr>
        <w:t> %). Blízko 90% hranice se pohybovaly automobilový, gumárenský, plastikářský, chemický a papírenský průmysl a také opravy strojů a zařízení. Úroveň hluboko pod svým dlouhodobým průměrem a vytíženost jen okolo 70 % naopak vykázala některá malá odvětví (nápojový, obuvnický, kožedělný, tiskařský i petrochemický průmysl).</w:t>
      </w:r>
    </w:p>
  </w:footnote>
  <w:footnote w:id="31">
    <w:p w14:paraId="78A9C170" w14:textId="77777777" w:rsidR="0091476D" w:rsidRPr="000A1518" w:rsidRDefault="0091476D" w:rsidP="00B96D74">
      <w:pPr>
        <w:pStyle w:val="Textpoznpodarou"/>
        <w:rPr>
          <w:sz w:val="16"/>
          <w:szCs w:val="16"/>
        </w:rPr>
      </w:pPr>
      <w:r w:rsidRPr="000A1518">
        <w:rPr>
          <w:rStyle w:val="Znakapoznpodarou"/>
          <w:sz w:val="16"/>
          <w:szCs w:val="16"/>
        </w:rPr>
        <w:footnoteRef/>
      </w:r>
      <w:r w:rsidRPr="000A1518">
        <w:rPr>
          <w:sz w:val="16"/>
          <w:szCs w:val="16"/>
        </w:rPr>
        <w:t xml:space="preserve"> P</w:t>
      </w:r>
      <w:r>
        <w:rPr>
          <w:sz w:val="16"/>
          <w:szCs w:val="16"/>
        </w:rPr>
        <w:t>odniky mohly uv</w:t>
      </w:r>
      <w:r w:rsidRPr="000A1518">
        <w:rPr>
          <w:sz w:val="16"/>
          <w:szCs w:val="16"/>
        </w:rPr>
        <w:t>ést více bariér současně.</w:t>
      </w:r>
    </w:p>
  </w:footnote>
  <w:footnote w:id="32">
    <w:p w14:paraId="236EED29" w14:textId="77777777" w:rsidR="0091476D" w:rsidRPr="00C94BE8" w:rsidRDefault="0091476D" w:rsidP="00B96D74">
      <w:pPr>
        <w:pStyle w:val="Textpoznpodarou"/>
        <w:jc w:val="both"/>
        <w:rPr>
          <w:spacing w:val="-2"/>
          <w:sz w:val="16"/>
          <w:szCs w:val="16"/>
        </w:rPr>
      </w:pPr>
      <w:r w:rsidRPr="00C94BE8">
        <w:rPr>
          <w:rStyle w:val="Znakapoznpodarou"/>
          <w:rFonts w:cs="Arial"/>
          <w:color w:val="0D0D0D" w:themeColor="text1" w:themeTint="F2"/>
          <w:spacing w:val="-2"/>
          <w:sz w:val="16"/>
          <w:szCs w:val="16"/>
        </w:rPr>
        <w:footnoteRef/>
      </w:r>
      <w:r w:rsidRPr="00C94BE8">
        <w:rPr>
          <w:rFonts w:cs="Arial"/>
          <w:color w:val="0D0D0D" w:themeColor="text1" w:themeTint="F2"/>
          <w:spacing w:val="-2"/>
          <w:sz w:val="16"/>
          <w:szCs w:val="16"/>
        </w:rPr>
        <w:t xml:space="preserve"> Všechny meziroční údaje o stavební produkci jsou očištěny o kalendářní vlivy, mezičtvrtletní i meziměsíční tempa pak také o vliv sezónnosti.</w:t>
      </w:r>
    </w:p>
  </w:footnote>
  <w:footnote w:id="33">
    <w:p w14:paraId="718D00F4" w14:textId="77777777" w:rsidR="0091476D" w:rsidRPr="00C94BE8" w:rsidRDefault="0091476D" w:rsidP="00B96D74">
      <w:pPr>
        <w:pStyle w:val="Textpoznpodarou"/>
        <w:rPr>
          <w:spacing w:val="-2"/>
          <w:sz w:val="16"/>
          <w:szCs w:val="16"/>
        </w:rPr>
      </w:pPr>
      <w:r w:rsidRPr="00C94BE8">
        <w:rPr>
          <w:rStyle w:val="Znakapoznpodarou"/>
          <w:spacing w:val="-2"/>
          <w:sz w:val="16"/>
          <w:szCs w:val="16"/>
        </w:rPr>
        <w:footnoteRef/>
      </w:r>
      <w:r w:rsidRPr="00C94BE8">
        <w:rPr>
          <w:spacing w:val="-2"/>
          <w:sz w:val="16"/>
          <w:szCs w:val="16"/>
        </w:rPr>
        <w:t xml:space="preserve"> Srovnatelný útlum byl zaznamenán i</w:t>
      </w:r>
      <w:r>
        <w:rPr>
          <w:spacing w:val="-2"/>
          <w:sz w:val="16"/>
          <w:szCs w:val="16"/>
        </w:rPr>
        <w:t> </w:t>
      </w:r>
      <w:r w:rsidRPr="00C94BE8">
        <w:rPr>
          <w:spacing w:val="-2"/>
          <w:sz w:val="16"/>
          <w:szCs w:val="16"/>
        </w:rPr>
        <w:t>v roce 2016. Tehdy ovšem stál v jeho pozadí krátkodobý výpadek veřejných infrastrukturních investic související s přechodem na nové programové období EU.</w:t>
      </w:r>
    </w:p>
  </w:footnote>
  <w:footnote w:id="34">
    <w:p w14:paraId="496A8049" w14:textId="77777777" w:rsidR="0091476D" w:rsidRPr="00C94BE8" w:rsidRDefault="0091476D" w:rsidP="00B96D74">
      <w:pPr>
        <w:pStyle w:val="Textpoznpodarou"/>
        <w:rPr>
          <w:spacing w:val="-2"/>
          <w:sz w:val="16"/>
          <w:szCs w:val="16"/>
        </w:rPr>
      </w:pPr>
      <w:r w:rsidRPr="00C94BE8">
        <w:rPr>
          <w:rStyle w:val="Znakapoznpodarou"/>
          <w:spacing w:val="-2"/>
          <w:sz w:val="16"/>
          <w:szCs w:val="16"/>
        </w:rPr>
        <w:footnoteRef/>
      </w:r>
      <w:r w:rsidRPr="00C94BE8">
        <w:rPr>
          <w:spacing w:val="-2"/>
          <w:sz w:val="16"/>
          <w:szCs w:val="16"/>
        </w:rPr>
        <w:t xml:space="preserve"> Investiční transfery </w:t>
      </w:r>
      <w:r>
        <w:rPr>
          <w:spacing w:val="-2"/>
          <w:sz w:val="16"/>
          <w:szCs w:val="16"/>
        </w:rPr>
        <w:t>S</w:t>
      </w:r>
      <w:r w:rsidRPr="00C94BE8">
        <w:rPr>
          <w:spacing w:val="-2"/>
          <w:sz w:val="16"/>
          <w:szCs w:val="16"/>
        </w:rPr>
        <w:t>tátnímu fondu dopravní infrastruktury ze státního rozpočtu byly loni meziročně o</w:t>
      </w:r>
      <w:r>
        <w:rPr>
          <w:spacing w:val="-2"/>
          <w:sz w:val="16"/>
          <w:szCs w:val="16"/>
        </w:rPr>
        <w:t> </w:t>
      </w:r>
      <w:r w:rsidRPr="00C94BE8">
        <w:rPr>
          <w:spacing w:val="-2"/>
          <w:sz w:val="16"/>
          <w:szCs w:val="16"/>
        </w:rPr>
        <w:t>41</w:t>
      </w:r>
      <w:r>
        <w:rPr>
          <w:spacing w:val="-2"/>
          <w:sz w:val="16"/>
          <w:szCs w:val="16"/>
        </w:rPr>
        <w:t> %</w:t>
      </w:r>
      <w:r w:rsidRPr="00C94BE8">
        <w:rPr>
          <w:spacing w:val="-2"/>
          <w:sz w:val="16"/>
          <w:szCs w:val="16"/>
        </w:rPr>
        <w:t xml:space="preserve"> vyšší. Zrychloval rovněž příliv prostředků ze strukturálních fondů EU (+21</w:t>
      </w:r>
      <w:r>
        <w:rPr>
          <w:spacing w:val="-2"/>
          <w:sz w:val="16"/>
          <w:szCs w:val="16"/>
        </w:rPr>
        <w:t> %</w:t>
      </w:r>
      <w:r w:rsidRPr="00C94BE8">
        <w:rPr>
          <w:spacing w:val="-2"/>
          <w:sz w:val="16"/>
          <w:szCs w:val="16"/>
        </w:rPr>
        <w:t>, na 75,8</w:t>
      </w:r>
      <w:r>
        <w:rPr>
          <w:spacing w:val="-2"/>
          <w:sz w:val="16"/>
          <w:szCs w:val="16"/>
        </w:rPr>
        <w:t> mld</w:t>
      </w:r>
      <w:r w:rsidRPr="00C94BE8">
        <w:rPr>
          <w:spacing w:val="-2"/>
          <w:sz w:val="16"/>
          <w:szCs w:val="16"/>
        </w:rPr>
        <w:t>. korun).</w:t>
      </w:r>
    </w:p>
  </w:footnote>
  <w:footnote w:id="35">
    <w:p w14:paraId="15C83CE0" w14:textId="77777777" w:rsidR="0091476D" w:rsidRPr="00C94BE8" w:rsidRDefault="0091476D" w:rsidP="00B96D74">
      <w:pPr>
        <w:pStyle w:val="Textpoznpodarou"/>
        <w:rPr>
          <w:spacing w:val="-4"/>
          <w:sz w:val="16"/>
          <w:szCs w:val="16"/>
        </w:rPr>
      </w:pPr>
      <w:r w:rsidRPr="00C94BE8">
        <w:rPr>
          <w:rStyle w:val="Znakapoznpodarou"/>
          <w:spacing w:val="-4"/>
          <w:sz w:val="16"/>
          <w:szCs w:val="16"/>
        </w:rPr>
        <w:footnoteRef/>
      </w:r>
      <w:r w:rsidRPr="00C94BE8">
        <w:rPr>
          <w:spacing w:val="-4"/>
          <w:sz w:val="16"/>
          <w:szCs w:val="16"/>
        </w:rPr>
        <w:t xml:space="preserve"> Loňský pokles se netýkal kategorie bytů vzniklých úpravou stávajících bytových domů. Těch bylo v ČR zahájeno 3</w:t>
      </w:r>
      <w:r>
        <w:rPr>
          <w:spacing w:val="-4"/>
          <w:sz w:val="16"/>
          <w:szCs w:val="16"/>
        </w:rPr>
        <w:t> </w:t>
      </w:r>
      <w:r w:rsidRPr="00C94BE8">
        <w:rPr>
          <w:spacing w:val="-4"/>
          <w:sz w:val="16"/>
          <w:szCs w:val="16"/>
        </w:rPr>
        <w:t>244, nejvíce po roce 2004. To mohlo souviset s celkově nižší administrativní náročností přípravy těchto staveb (projekční práce, součinnost se stavebními úřady).</w:t>
      </w:r>
    </w:p>
  </w:footnote>
  <w:footnote w:id="36">
    <w:p w14:paraId="3DD4145F" w14:textId="77777777" w:rsidR="0091476D" w:rsidRPr="00DE38E6" w:rsidRDefault="0091476D" w:rsidP="00B96D74">
      <w:pPr>
        <w:spacing w:after="0" w:line="240" w:lineRule="auto"/>
      </w:pPr>
      <w:r w:rsidRPr="004A26AF">
        <w:rPr>
          <w:rStyle w:val="Znakapoznpodarou"/>
          <w:color w:val="0D0D0D" w:themeColor="text1" w:themeTint="F2"/>
          <w:sz w:val="16"/>
          <w:szCs w:val="16"/>
        </w:rPr>
        <w:footnoteRef/>
      </w:r>
      <w:r>
        <w:rPr>
          <w:color w:val="0D0D0D" w:themeColor="text1" w:themeTint="F2"/>
          <w:sz w:val="16"/>
          <w:szCs w:val="16"/>
        </w:rPr>
        <w:t xml:space="preserve"> </w:t>
      </w:r>
      <w:r w:rsidRPr="004A26AF">
        <w:rPr>
          <w:color w:val="0D0D0D" w:themeColor="text1" w:themeTint="F2"/>
          <w:sz w:val="16"/>
          <w:szCs w:val="16"/>
        </w:rPr>
        <w:t>Bez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w:t>
      </w:r>
      <w:r>
        <w:rPr>
          <w:color w:val="0D0D0D" w:themeColor="text1" w:themeTint="F2"/>
          <w:sz w:val="16"/>
          <w:szCs w:val="16"/>
        </w:rPr>
        <w:t> </w:t>
      </w:r>
      <w:r w:rsidRPr="004A26AF">
        <w:rPr>
          <w:color w:val="0D0D0D" w:themeColor="text1" w:themeTint="F2"/>
          <w:sz w:val="16"/>
          <w:szCs w:val="16"/>
        </w:rPr>
        <w:t>kal</w:t>
      </w:r>
      <w:r>
        <w:rPr>
          <w:color w:val="0D0D0D" w:themeColor="text1" w:themeTint="F2"/>
          <w:sz w:val="16"/>
          <w:szCs w:val="16"/>
        </w:rPr>
        <w:t>endářní vlivy, mezičtvrtletní i meziměsíční jsou očištěny o sezónní vlivy (včetně vlivu počtu pracovních dnů)</w:t>
      </w:r>
      <w:r w:rsidRPr="004A26AF">
        <w:rPr>
          <w:color w:val="0D0D0D" w:themeColor="text1" w:themeTint="F2"/>
          <w:sz w:val="16"/>
          <w:szCs w:val="16"/>
        </w:rPr>
        <w:t>.</w:t>
      </w:r>
    </w:p>
  </w:footnote>
  <w:footnote w:id="37">
    <w:p w14:paraId="0C1E66CB" w14:textId="77777777" w:rsidR="0091476D" w:rsidRPr="009B740D" w:rsidRDefault="0091476D" w:rsidP="00B96D74">
      <w:pPr>
        <w:pStyle w:val="Textpoznpodarou"/>
        <w:rPr>
          <w:sz w:val="16"/>
          <w:szCs w:val="16"/>
        </w:rPr>
      </w:pPr>
      <w:r w:rsidRPr="009B740D">
        <w:rPr>
          <w:rStyle w:val="Znakapoznpodarou"/>
          <w:sz w:val="16"/>
          <w:szCs w:val="16"/>
        </w:rPr>
        <w:footnoteRef/>
      </w:r>
      <w:r w:rsidRPr="009B740D">
        <w:rPr>
          <w:sz w:val="16"/>
          <w:szCs w:val="16"/>
        </w:rPr>
        <w:t xml:space="preserve"> K mírnému poklesu tak došlo i</w:t>
      </w:r>
      <w:r>
        <w:rPr>
          <w:sz w:val="16"/>
          <w:szCs w:val="16"/>
        </w:rPr>
        <w:t> </w:t>
      </w:r>
      <w:r w:rsidRPr="009B740D">
        <w:rPr>
          <w:sz w:val="16"/>
          <w:szCs w:val="16"/>
        </w:rPr>
        <w:t xml:space="preserve">v prosinci, kdy byla část restrikcí krátkodobě uvolněna. </w:t>
      </w:r>
      <w:r>
        <w:rPr>
          <w:sz w:val="16"/>
          <w:szCs w:val="16"/>
        </w:rPr>
        <w:t>To se však pozitivně projevilo pouze v odvětví ubytování, stravování a pohostinství. V ostatních odvětvových sekcích služeb tržby meziměsíčně klesaly.</w:t>
      </w:r>
    </w:p>
  </w:footnote>
  <w:footnote w:id="38">
    <w:p w14:paraId="055A2AE7" w14:textId="77777777" w:rsidR="0091476D" w:rsidRPr="00ED3E51" w:rsidRDefault="0091476D" w:rsidP="00B96D74">
      <w:pPr>
        <w:pStyle w:val="Textpoznpodarou"/>
        <w:rPr>
          <w:sz w:val="16"/>
          <w:szCs w:val="16"/>
        </w:rPr>
      </w:pPr>
      <w:r w:rsidRPr="00ED3E51">
        <w:rPr>
          <w:rStyle w:val="Znakapoznpodarou"/>
          <w:sz w:val="16"/>
          <w:szCs w:val="16"/>
        </w:rPr>
        <w:footnoteRef/>
      </w:r>
      <w:r w:rsidRPr="00ED3E51">
        <w:rPr>
          <w:sz w:val="16"/>
          <w:szCs w:val="16"/>
        </w:rPr>
        <w:t xml:space="preserve"> Loňský propad těchto odvětví, jenž byl v historii samostatné ČR bezprecedentní, dokresluje i</w:t>
      </w:r>
      <w:r>
        <w:rPr>
          <w:sz w:val="16"/>
          <w:szCs w:val="16"/>
        </w:rPr>
        <w:t> </w:t>
      </w:r>
      <w:r w:rsidRPr="00ED3E51">
        <w:rPr>
          <w:sz w:val="16"/>
          <w:szCs w:val="16"/>
        </w:rPr>
        <w:t>srovnání v běžných cenách. Zatímco tržby ve stravování a</w:t>
      </w:r>
      <w:r>
        <w:rPr>
          <w:sz w:val="16"/>
          <w:szCs w:val="16"/>
        </w:rPr>
        <w:t> </w:t>
      </w:r>
      <w:r w:rsidRPr="00ED3E51">
        <w:rPr>
          <w:sz w:val="16"/>
          <w:szCs w:val="16"/>
        </w:rPr>
        <w:t>pohostinství se loni nacházely na úrovni roku 2015, tržby v letecké dopravě nedosahovaly ani tří</w:t>
      </w:r>
      <w:r>
        <w:rPr>
          <w:sz w:val="16"/>
          <w:szCs w:val="16"/>
        </w:rPr>
        <w:t> </w:t>
      </w:r>
      <w:r w:rsidRPr="00ED3E51">
        <w:rPr>
          <w:sz w:val="16"/>
          <w:szCs w:val="16"/>
        </w:rPr>
        <w:t>pětin úrovně roku 2000 (u</w:t>
      </w:r>
      <w:r>
        <w:rPr>
          <w:sz w:val="16"/>
          <w:szCs w:val="16"/>
        </w:rPr>
        <w:t> </w:t>
      </w:r>
      <w:r w:rsidRPr="00ED3E51">
        <w:rPr>
          <w:sz w:val="16"/>
          <w:szCs w:val="16"/>
        </w:rPr>
        <w:t>cestovních kanceláří byly dokonce jen na 39</w:t>
      </w:r>
      <w:r>
        <w:rPr>
          <w:sz w:val="16"/>
          <w:szCs w:val="16"/>
        </w:rPr>
        <w:t> %</w:t>
      </w:r>
      <w:r w:rsidRPr="00ED3E51">
        <w:rPr>
          <w:sz w:val="16"/>
          <w:szCs w:val="16"/>
        </w:rPr>
        <w:t xml:space="preserve"> úrovně počátku milénia).</w:t>
      </w:r>
    </w:p>
  </w:footnote>
  <w:footnote w:id="39">
    <w:p w14:paraId="6F2C9963" w14:textId="77777777" w:rsidR="0091476D" w:rsidRPr="00ED3E51" w:rsidRDefault="0091476D" w:rsidP="00B96D74">
      <w:pPr>
        <w:pStyle w:val="Textpoznpodarou"/>
        <w:rPr>
          <w:sz w:val="16"/>
          <w:szCs w:val="16"/>
        </w:rPr>
      </w:pPr>
      <w:r w:rsidRPr="00ED3E51">
        <w:rPr>
          <w:rStyle w:val="Znakapoznpodarou"/>
          <w:sz w:val="16"/>
          <w:szCs w:val="16"/>
        </w:rPr>
        <w:footnoteRef/>
      </w:r>
      <w:r w:rsidRPr="00ED3E51">
        <w:rPr>
          <w:sz w:val="16"/>
          <w:szCs w:val="16"/>
        </w:rPr>
        <w:t xml:space="preserve"> Dle údaje Unie filmových distributorů klesl počet návštěvníků kin meziročně o</w:t>
      </w:r>
      <w:r>
        <w:rPr>
          <w:sz w:val="16"/>
          <w:szCs w:val="16"/>
        </w:rPr>
        <w:t> </w:t>
      </w:r>
      <w:r w:rsidRPr="00ED3E51">
        <w:rPr>
          <w:sz w:val="16"/>
          <w:szCs w:val="16"/>
        </w:rPr>
        <w:t>65</w:t>
      </w:r>
      <w:r>
        <w:rPr>
          <w:sz w:val="16"/>
          <w:szCs w:val="16"/>
        </w:rPr>
        <w:t> %</w:t>
      </w:r>
      <w:r w:rsidRPr="00ED3E51">
        <w:rPr>
          <w:sz w:val="16"/>
          <w:szCs w:val="16"/>
        </w:rPr>
        <w:t>, na 6,4</w:t>
      </w:r>
      <w:r>
        <w:rPr>
          <w:sz w:val="16"/>
          <w:szCs w:val="16"/>
        </w:rPr>
        <w:t> mil.</w:t>
      </w:r>
      <w:r w:rsidRPr="00ED3E51">
        <w:rPr>
          <w:sz w:val="16"/>
          <w:szCs w:val="16"/>
        </w:rPr>
        <w:t xml:space="preserve"> (nejnižší počet v historii ČR). Téměř pět měsíců v roce byla kina fakticky uzavřena (povolen byl jen provoz autokin), bez </w:t>
      </w:r>
      <w:r>
        <w:rPr>
          <w:sz w:val="16"/>
          <w:szCs w:val="16"/>
        </w:rPr>
        <w:t xml:space="preserve">jakýchkoli </w:t>
      </w:r>
      <w:r w:rsidRPr="00ED3E51">
        <w:rPr>
          <w:sz w:val="16"/>
          <w:szCs w:val="16"/>
        </w:rPr>
        <w:t>omezení fungovala jen 2,5</w:t>
      </w:r>
      <w:r>
        <w:rPr>
          <w:sz w:val="16"/>
          <w:szCs w:val="16"/>
        </w:rPr>
        <w:t> </w:t>
      </w:r>
      <w:r w:rsidRPr="00ED3E51">
        <w:rPr>
          <w:sz w:val="16"/>
          <w:szCs w:val="16"/>
        </w:rPr>
        <w:t>měsíce v roce. Méně byla zasažena oblast výroby filmů, na n</w:t>
      </w:r>
      <w:r>
        <w:rPr>
          <w:sz w:val="16"/>
          <w:szCs w:val="16"/>
        </w:rPr>
        <w:t>i</w:t>
      </w:r>
      <w:r w:rsidRPr="00ED3E51">
        <w:rPr>
          <w:sz w:val="16"/>
          <w:szCs w:val="16"/>
        </w:rPr>
        <w:t>ž se vztahovaly významné restrikce pouze během jarní pandemické vlny.</w:t>
      </w:r>
    </w:p>
  </w:footnote>
  <w:footnote w:id="40">
    <w:p w14:paraId="1D055105" w14:textId="0774234B" w:rsidR="0091476D" w:rsidRPr="00ED3E51" w:rsidRDefault="0091476D" w:rsidP="00B96D74">
      <w:pPr>
        <w:pStyle w:val="Textpoznpodarou"/>
        <w:rPr>
          <w:spacing w:val="-4"/>
          <w:sz w:val="16"/>
          <w:szCs w:val="16"/>
        </w:rPr>
      </w:pPr>
      <w:r w:rsidRPr="00ED3E51">
        <w:rPr>
          <w:rStyle w:val="Znakapoznpodarou"/>
          <w:spacing w:val="-4"/>
          <w:sz w:val="16"/>
          <w:szCs w:val="16"/>
        </w:rPr>
        <w:footnoteRef/>
      </w:r>
      <w:r>
        <w:rPr>
          <w:spacing w:val="-4"/>
          <w:sz w:val="16"/>
          <w:szCs w:val="16"/>
        </w:rPr>
        <w:t xml:space="preserve"> Jejich role se loni</w:t>
      </w:r>
      <w:r w:rsidRPr="00ED3E51">
        <w:rPr>
          <w:spacing w:val="-4"/>
          <w:sz w:val="16"/>
          <w:szCs w:val="16"/>
        </w:rPr>
        <w:t xml:space="preserve"> zvýraznila i</w:t>
      </w:r>
      <w:r>
        <w:rPr>
          <w:spacing w:val="-4"/>
          <w:sz w:val="16"/>
          <w:szCs w:val="16"/>
        </w:rPr>
        <w:t> </w:t>
      </w:r>
      <w:r w:rsidRPr="00ED3E51">
        <w:rPr>
          <w:rFonts w:cs="Arial"/>
          <w:bCs/>
          <w:spacing w:val="-4"/>
          <w:sz w:val="16"/>
          <w:szCs w:val="16"/>
        </w:rPr>
        <w:t>kvůli uzavření části maloobchodu, ale také</w:t>
      </w:r>
      <w:r>
        <w:rPr>
          <w:rFonts w:cs="Arial"/>
          <w:bCs/>
          <w:spacing w:val="-4"/>
          <w:sz w:val="16"/>
          <w:szCs w:val="16"/>
        </w:rPr>
        <w:t xml:space="preserve"> omezení</w:t>
      </w:r>
      <w:r w:rsidRPr="00ED3E51">
        <w:rPr>
          <w:rFonts w:cs="Arial"/>
          <w:bCs/>
          <w:spacing w:val="-4"/>
          <w:sz w:val="16"/>
          <w:szCs w:val="16"/>
        </w:rPr>
        <w:t xml:space="preserve"> stravování a</w:t>
      </w:r>
      <w:r>
        <w:rPr>
          <w:rFonts w:cs="Arial"/>
          <w:bCs/>
          <w:spacing w:val="-4"/>
          <w:sz w:val="16"/>
          <w:szCs w:val="16"/>
        </w:rPr>
        <w:t> </w:t>
      </w:r>
      <w:r w:rsidRPr="00ED3E51">
        <w:rPr>
          <w:rFonts w:cs="Arial"/>
          <w:bCs/>
          <w:spacing w:val="-4"/>
          <w:sz w:val="16"/>
          <w:szCs w:val="16"/>
        </w:rPr>
        <w:t>p</w:t>
      </w:r>
      <w:r>
        <w:rPr>
          <w:rFonts w:cs="Arial"/>
          <w:bCs/>
          <w:spacing w:val="-4"/>
          <w:sz w:val="16"/>
          <w:szCs w:val="16"/>
        </w:rPr>
        <w:t>ohostinství (zčásti kompenzované</w:t>
      </w:r>
      <w:r w:rsidRPr="00ED3E51">
        <w:rPr>
          <w:rFonts w:cs="Arial"/>
          <w:bCs/>
          <w:spacing w:val="-4"/>
          <w:sz w:val="16"/>
          <w:szCs w:val="16"/>
        </w:rPr>
        <w:t xml:space="preserve"> dovážkou jídla).</w:t>
      </w:r>
    </w:p>
  </w:footnote>
  <w:footnote w:id="41">
    <w:p w14:paraId="7001EF93" w14:textId="77777777" w:rsidR="0091476D" w:rsidRDefault="0091476D" w:rsidP="00B96D74">
      <w:pPr>
        <w:spacing w:after="0" w:line="240" w:lineRule="auto"/>
      </w:pPr>
      <w:r w:rsidRPr="00ED3E51">
        <w:rPr>
          <w:rStyle w:val="Znakapoznpodarou"/>
          <w:color w:val="0D0D0D" w:themeColor="text1" w:themeTint="F2"/>
          <w:sz w:val="16"/>
          <w:szCs w:val="16"/>
        </w:rPr>
        <w:footnoteRef/>
      </w:r>
      <w:r w:rsidRPr="00ED3E51">
        <w:rPr>
          <w:color w:val="0D0D0D" w:themeColor="text1" w:themeTint="F2"/>
          <w:sz w:val="16"/>
          <w:szCs w:val="16"/>
        </w:rPr>
        <w:t xml:space="preserve"> Všechna meziroční tempa tržeb za maloobchod jsou uvedena ve stálých cenách a očištěna o kalendářní vlivy, mezičtvrtletní i</w:t>
      </w:r>
      <w:r w:rsidRPr="00ED3E51">
        <w:rPr>
          <w:sz w:val="16"/>
          <w:szCs w:val="16"/>
        </w:rPr>
        <w:t> </w:t>
      </w:r>
      <w:r w:rsidRPr="00ED3E51">
        <w:rPr>
          <w:color w:val="0D0D0D" w:themeColor="text1" w:themeTint="F2"/>
          <w:sz w:val="16"/>
          <w:szCs w:val="16"/>
        </w:rPr>
        <w:t>meziměsíční tempa jsou očištěna o sezónní vlivy (včetně vlivu počtu pracovních dnů). Maloobchod zahrnuje odvětví CZ-NACE 47.</w:t>
      </w:r>
    </w:p>
  </w:footnote>
  <w:footnote w:id="42">
    <w:p w14:paraId="0C0F0B32" w14:textId="77777777" w:rsidR="0091476D" w:rsidRPr="00140747" w:rsidRDefault="0091476D" w:rsidP="003E08A4">
      <w:pPr>
        <w:pStyle w:val="Textpoznpodarou"/>
        <w:rPr>
          <w:sz w:val="16"/>
          <w:szCs w:val="16"/>
        </w:rPr>
      </w:pPr>
      <w:r w:rsidRPr="00140747">
        <w:rPr>
          <w:rStyle w:val="Znakapoznpodarou"/>
          <w:sz w:val="16"/>
          <w:szCs w:val="16"/>
        </w:rPr>
        <w:footnoteRef/>
      </w:r>
      <w:r w:rsidRPr="00140747">
        <w:rPr>
          <w:sz w:val="16"/>
          <w:szCs w:val="16"/>
        </w:rPr>
        <w:t xml:space="preserve"> Zejména u</w:t>
      </w:r>
      <w:r>
        <w:rPr>
          <w:sz w:val="16"/>
          <w:szCs w:val="16"/>
        </w:rPr>
        <w:t> </w:t>
      </w:r>
      <w:r w:rsidRPr="00140747">
        <w:rPr>
          <w:sz w:val="16"/>
          <w:szCs w:val="16"/>
        </w:rPr>
        <w:t xml:space="preserve">pohonných hmot se kromě poklesu ceny </w:t>
      </w:r>
      <w:r w:rsidRPr="00140747">
        <w:rPr>
          <w:spacing w:val="-4"/>
          <w:sz w:val="16"/>
          <w:szCs w:val="16"/>
        </w:rPr>
        <w:t>zčásti projevil i</w:t>
      </w:r>
      <w:r>
        <w:rPr>
          <w:spacing w:val="-4"/>
          <w:sz w:val="16"/>
          <w:szCs w:val="16"/>
        </w:rPr>
        <w:t> </w:t>
      </w:r>
      <w:r w:rsidRPr="00140747">
        <w:rPr>
          <w:spacing w:val="-4"/>
          <w:sz w:val="16"/>
          <w:szCs w:val="16"/>
        </w:rPr>
        <w:t>nižší dovezený objem, protože restrikce omezil</w:t>
      </w:r>
      <w:r>
        <w:rPr>
          <w:spacing w:val="-4"/>
          <w:sz w:val="16"/>
          <w:szCs w:val="16"/>
        </w:rPr>
        <w:t>y</w:t>
      </w:r>
      <w:r w:rsidRPr="00140747">
        <w:rPr>
          <w:spacing w:val="-4"/>
          <w:sz w:val="16"/>
          <w:szCs w:val="16"/>
        </w:rPr>
        <w:t xml:space="preserve"> pohyb obyvatel.</w:t>
      </w:r>
    </w:p>
  </w:footnote>
  <w:footnote w:id="43">
    <w:p w14:paraId="65951948" w14:textId="77777777" w:rsidR="0091476D" w:rsidRPr="007D5764" w:rsidRDefault="0091476D" w:rsidP="003E08A4">
      <w:pPr>
        <w:pStyle w:val="Textpoznpodarou"/>
        <w:rPr>
          <w:sz w:val="16"/>
          <w:szCs w:val="16"/>
        </w:rPr>
      </w:pPr>
      <w:r w:rsidRPr="007D5764">
        <w:rPr>
          <w:rStyle w:val="Znakapoznpodarou"/>
          <w:sz w:val="16"/>
          <w:szCs w:val="16"/>
        </w:rPr>
        <w:footnoteRef/>
      </w:r>
      <w:r w:rsidRPr="007D5764">
        <w:rPr>
          <w:sz w:val="16"/>
          <w:szCs w:val="16"/>
        </w:rPr>
        <w:t xml:space="preserve"> Důvod</w:t>
      </w:r>
      <w:r>
        <w:rPr>
          <w:sz w:val="16"/>
          <w:szCs w:val="16"/>
        </w:rPr>
        <w:t>ů zdražení bylo více. Na jedné straně se jarní pozastavení výroby v automobilkách projevilo nedostatkem nových vozů, ale došlo také k narušení dovozu ojetých vozidel. Na cenotvorbě se projevilo i výrazné oslabení koruny vůči euru. Z dlouhodobějšího hlediska jsou faktorem, který vede ke zdražování, zpřísňující se emisní požadavky.</w:t>
      </w:r>
    </w:p>
  </w:footnote>
  <w:footnote w:id="44">
    <w:p w14:paraId="23F7CF7A" w14:textId="77777777" w:rsidR="0091476D" w:rsidRPr="003E5AB5" w:rsidRDefault="0091476D" w:rsidP="003E08A4">
      <w:pPr>
        <w:pStyle w:val="Textpoznpodarou"/>
        <w:rPr>
          <w:sz w:val="16"/>
          <w:szCs w:val="16"/>
        </w:rPr>
      </w:pPr>
      <w:r w:rsidRPr="003E5AB5">
        <w:rPr>
          <w:rStyle w:val="Znakapoznpodarou"/>
          <w:sz w:val="16"/>
          <w:szCs w:val="16"/>
        </w:rPr>
        <w:footnoteRef/>
      </w:r>
      <w:r w:rsidRPr="003E5AB5">
        <w:rPr>
          <w:sz w:val="16"/>
          <w:szCs w:val="16"/>
        </w:rPr>
        <w:t xml:space="preserve"> Podle harmonizovaného indexu spotřebitelských cen. Ten se může metodicky i číselně lišit od publikovaných národních výsledků.</w:t>
      </w:r>
    </w:p>
  </w:footnote>
  <w:footnote w:id="45">
    <w:p w14:paraId="74DF3982" w14:textId="77777777" w:rsidR="0091476D" w:rsidRDefault="0091476D" w:rsidP="003E08A4">
      <w:pPr>
        <w:pStyle w:val="Textpoznpodarou"/>
        <w:rPr>
          <w:sz w:val="16"/>
          <w:szCs w:val="16"/>
        </w:rPr>
      </w:pPr>
      <w:r>
        <w:rPr>
          <w:rStyle w:val="Znakapoznpodarou"/>
        </w:rPr>
        <w:footnoteRef/>
      </w:r>
      <w:r>
        <w:rPr>
          <w:sz w:val="16"/>
          <w:szCs w:val="16"/>
        </w:rPr>
        <w:t xml:space="preserve"> Individuální data.</w:t>
      </w:r>
    </w:p>
  </w:footnote>
  <w:footnote w:id="46">
    <w:p w14:paraId="32AE274A" w14:textId="77777777" w:rsidR="0091476D" w:rsidRPr="00547836" w:rsidRDefault="0091476D" w:rsidP="003E08A4">
      <w:pPr>
        <w:pStyle w:val="Textpoznpodarou"/>
        <w:rPr>
          <w:sz w:val="16"/>
          <w:szCs w:val="16"/>
        </w:rPr>
      </w:pPr>
      <w:r w:rsidRPr="00547836">
        <w:rPr>
          <w:rStyle w:val="Znakapoznpodarou"/>
          <w:sz w:val="16"/>
          <w:szCs w:val="16"/>
        </w:rPr>
        <w:footnoteRef/>
      </w:r>
      <w:r w:rsidRPr="00547836">
        <w:rPr>
          <w:sz w:val="16"/>
          <w:szCs w:val="16"/>
        </w:rPr>
        <w:t xml:space="preserve"> SITC 2 – suroviny nepoživatelné s výjimkou paliv</w:t>
      </w:r>
    </w:p>
  </w:footnote>
  <w:footnote w:id="47">
    <w:p w14:paraId="5E260D7C" w14:textId="77777777" w:rsidR="0091476D" w:rsidRPr="00547836" w:rsidRDefault="0091476D" w:rsidP="003E08A4">
      <w:pPr>
        <w:pStyle w:val="Textpoznpodarou"/>
        <w:rPr>
          <w:sz w:val="16"/>
          <w:szCs w:val="16"/>
        </w:rPr>
      </w:pPr>
      <w:r w:rsidRPr="00547836">
        <w:rPr>
          <w:rStyle w:val="Znakapoznpodarou"/>
          <w:sz w:val="16"/>
          <w:szCs w:val="16"/>
        </w:rPr>
        <w:footnoteRef/>
      </w:r>
      <w:r w:rsidRPr="00547836">
        <w:rPr>
          <w:sz w:val="16"/>
          <w:szCs w:val="16"/>
        </w:rPr>
        <w:t xml:space="preserve"> SITC 6 – tržní výrobky tříděné hlavně podle materiálu</w:t>
      </w:r>
    </w:p>
  </w:footnote>
  <w:footnote w:id="48">
    <w:p w14:paraId="5C60B9A1" w14:textId="77777777" w:rsidR="0091476D" w:rsidRPr="00E54782" w:rsidRDefault="0091476D" w:rsidP="00E97F14">
      <w:pPr>
        <w:pStyle w:val="Textpoznpodarou"/>
        <w:jc w:val="both"/>
        <w:rPr>
          <w:spacing w:val="-2"/>
          <w:sz w:val="16"/>
          <w:szCs w:val="16"/>
        </w:rPr>
      </w:pPr>
      <w:r w:rsidRPr="00E54782">
        <w:rPr>
          <w:rStyle w:val="Znakapoznpodarou"/>
          <w:spacing w:val="-2"/>
          <w:sz w:val="16"/>
          <w:szCs w:val="16"/>
        </w:rPr>
        <w:footnoteRef/>
      </w:r>
      <w:r>
        <w:rPr>
          <w:spacing w:val="-2"/>
          <w:sz w:val="16"/>
          <w:szCs w:val="16"/>
        </w:rPr>
        <w:t xml:space="preserve"> N</w:t>
      </w:r>
      <w:r w:rsidRPr="00E54782">
        <w:rPr>
          <w:spacing w:val="-2"/>
          <w:sz w:val="16"/>
          <w:szCs w:val="16"/>
        </w:rPr>
        <w:t>ení</w:t>
      </w:r>
      <w:r>
        <w:rPr>
          <w:spacing w:val="-2"/>
          <w:sz w:val="16"/>
          <w:szCs w:val="16"/>
        </w:rPr>
        <w:t>-li</w:t>
      </w:r>
      <w:r w:rsidRPr="00E54782">
        <w:rPr>
          <w:spacing w:val="-2"/>
          <w:sz w:val="16"/>
          <w:szCs w:val="16"/>
        </w:rPr>
        <w:t xml:space="preserve"> uve</w:t>
      </w:r>
      <w:r>
        <w:rPr>
          <w:spacing w:val="-2"/>
          <w:sz w:val="16"/>
          <w:szCs w:val="16"/>
        </w:rPr>
        <w:t>deno jinak, jsou</w:t>
      </w:r>
      <w:r w:rsidRPr="00E54782">
        <w:rPr>
          <w:spacing w:val="-2"/>
          <w:sz w:val="16"/>
          <w:szCs w:val="16"/>
        </w:rPr>
        <w:t xml:space="preserve"> údaje o zaměstnanosti </w:t>
      </w:r>
      <w:r>
        <w:rPr>
          <w:spacing w:val="-2"/>
          <w:sz w:val="16"/>
          <w:szCs w:val="16"/>
        </w:rPr>
        <w:t>v této kapitole vyjádřeny</w:t>
      </w:r>
      <w:r w:rsidRPr="00E54782">
        <w:rPr>
          <w:spacing w:val="-2"/>
          <w:sz w:val="16"/>
          <w:szCs w:val="16"/>
        </w:rPr>
        <w:t xml:space="preserve"> v pojetí národních účtů po očištění o sezónní vlivy.</w:t>
      </w:r>
    </w:p>
  </w:footnote>
  <w:footnote w:id="49">
    <w:p w14:paraId="05BE2D4F" w14:textId="77777777" w:rsidR="0091476D" w:rsidRPr="003E7019" w:rsidRDefault="0091476D" w:rsidP="00E97F14">
      <w:pPr>
        <w:pStyle w:val="Textpoznpodarou"/>
        <w:rPr>
          <w:sz w:val="16"/>
          <w:szCs w:val="16"/>
        </w:rPr>
      </w:pPr>
      <w:r w:rsidRPr="003E7019">
        <w:rPr>
          <w:rStyle w:val="Znakapoznpodarou"/>
          <w:sz w:val="16"/>
          <w:szCs w:val="16"/>
        </w:rPr>
        <w:footnoteRef/>
      </w:r>
      <w:r w:rsidRPr="003E7019">
        <w:rPr>
          <w:sz w:val="16"/>
          <w:szCs w:val="16"/>
        </w:rPr>
        <w:t xml:space="preserve"> </w:t>
      </w:r>
      <w:r>
        <w:rPr>
          <w:sz w:val="16"/>
          <w:szCs w:val="16"/>
        </w:rPr>
        <w:t>Obdobně</w:t>
      </w:r>
      <w:r w:rsidRPr="003E7019">
        <w:rPr>
          <w:sz w:val="16"/>
          <w:szCs w:val="16"/>
        </w:rPr>
        <w:t xml:space="preserve"> klesla loni zaměstnanost v EU. Největší</w:t>
      </w:r>
      <w:r>
        <w:rPr>
          <w:sz w:val="16"/>
          <w:szCs w:val="16"/>
        </w:rPr>
        <w:t xml:space="preserve"> propad postihl </w:t>
      </w:r>
      <w:proofErr w:type="gramStart"/>
      <w:r>
        <w:rPr>
          <w:sz w:val="16"/>
          <w:szCs w:val="16"/>
        </w:rPr>
        <w:t>Španělsko (</w:t>
      </w:r>
      <w:r w:rsidRPr="00DA147C">
        <w:rPr>
          <w:rFonts w:cs="Arial"/>
          <w:bCs/>
          <w:color w:val="000000"/>
          <w:spacing w:val="-2"/>
          <w:sz w:val="16"/>
          <w:szCs w:val="16"/>
        </w:rPr>
        <w:t>–</w:t>
      </w:r>
      <w:r w:rsidRPr="003E7019">
        <w:rPr>
          <w:sz w:val="16"/>
          <w:szCs w:val="16"/>
        </w:rPr>
        <w:t>4,2</w:t>
      </w:r>
      <w:proofErr w:type="gramEnd"/>
      <w:r>
        <w:rPr>
          <w:sz w:val="16"/>
          <w:szCs w:val="16"/>
        </w:rPr>
        <w:t> %</w:t>
      </w:r>
      <w:r w:rsidRPr="003E7019">
        <w:rPr>
          <w:sz w:val="16"/>
          <w:szCs w:val="16"/>
        </w:rPr>
        <w:t>), mezi 2</w:t>
      </w:r>
      <w:r>
        <w:rPr>
          <w:sz w:val="16"/>
          <w:szCs w:val="16"/>
        </w:rPr>
        <w:t> </w:t>
      </w:r>
      <w:r w:rsidRPr="003E7019">
        <w:rPr>
          <w:sz w:val="16"/>
          <w:szCs w:val="16"/>
        </w:rPr>
        <w:t>a</w:t>
      </w:r>
      <w:r>
        <w:rPr>
          <w:sz w:val="16"/>
          <w:szCs w:val="16"/>
        </w:rPr>
        <w:t> </w:t>
      </w:r>
      <w:r w:rsidRPr="003E7019">
        <w:rPr>
          <w:sz w:val="16"/>
          <w:szCs w:val="16"/>
        </w:rPr>
        <w:t>3</w:t>
      </w:r>
      <w:r>
        <w:rPr>
          <w:sz w:val="16"/>
          <w:szCs w:val="16"/>
        </w:rPr>
        <w:t> %</w:t>
      </w:r>
      <w:r w:rsidRPr="003E7019">
        <w:rPr>
          <w:sz w:val="16"/>
          <w:szCs w:val="16"/>
        </w:rPr>
        <w:t xml:space="preserve"> se </w:t>
      </w:r>
      <w:r>
        <w:rPr>
          <w:sz w:val="16"/>
          <w:szCs w:val="16"/>
        </w:rPr>
        <w:t xml:space="preserve">zaměstnanost </w:t>
      </w:r>
      <w:r w:rsidRPr="003E7019">
        <w:rPr>
          <w:sz w:val="16"/>
          <w:szCs w:val="16"/>
        </w:rPr>
        <w:t>snížila i</w:t>
      </w:r>
      <w:r>
        <w:rPr>
          <w:sz w:val="16"/>
          <w:szCs w:val="16"/>
        </w:rPr>
        <w:t> </w:t>
      </w:r>
      <w:r w:rsidRPr="003E7019">
        <w:rPr>
          <w:sz w:val="16"/>
          <w:szCs w:val="16"/>
        </w:rPr>
        <w:t>v Itálii,</w:t>
      </w:r>
      <w:r>
        <w:rPr>
          <w:sz w:val="16"/>
          <w:szCs w:val="16"/>
        </w:rPr>
        <w:t xml:space="preserve"> Lotyšsku, Estonsku či</w:t>
      </w:r>
      <w:r w:rsidRPr="003E7019">
        <w:rPr>
          <w:sz w:val="16"/>
          <w:szCs w:val="16"/>
        </w:rPr>
        <w:t xml:space="preserve"> Maďarsku. </w:t>
      </w:r>
      <w:r>
        <w:rPr>
          <w:sz w:val="16"/>
          <w:szCs w:val="16"/>
        </w:rPr>
        <w:t>Nadprůměrný pokles hlásily</w:t>
      </w:r>
      <w:r w:rsidRPr="003E7019">
        <w:rPr>
          <w:sz w:val="16"/>
          <w:szCs w:val="16"/>
        </w:rPr>
        <w:t xml:space="preserve"> nap</w:t>
      </w:r>
      <w:r>
        <w:rPr>
          <w:sz w:val="16"/>
          <w:szCs w:val="16"/>
        </w:rPr>
        <w:t>ř. i </w:t>
      </w:r>
      <w:proofErr w:type="gramStart"/>
      <w:r>
        <w:rPr>
          <w:sz w:val="16"/>
          <w:szCs w:val="16"/>
        </w:rPr>
        <w:t>Slovensko (</w:t>
      </w:r>
      <w:r w:rsidRPr="00DA147C">
        <w:rPr>
          <w:rFonts w:cs="Arial"/>
          <w:bCs/>
          <w:color w:val="000000"/>
          <w:spacing w:val="-2"/>
          <w:sz w:val="16"/>
          <w:szCs w:val="16"/>
        </w:rPr>
        <w:t>–</w:t>
      </w:r>
      <w:r>
        <w:rPr>
          <w:sz w:val="16"/>
          <w:szCs w:val="16"/>
        </w:rPr>
        <w:t>1,9</w:t>
      </w:r>
      <w:proofErr w:type="gramEnd"/>
      <w:r>
        <w:rPr>
          <w:sz w:val="16"/>
          <w:szCs w:val="16"/>
        </w:rPr>
        <w:t> %) a Rakousko (</w:t>
      </w:r>
      <w:r w:rsidRPr="00DA147C">
        <w:rPr>
          <w:rFonts w:cs="Arial"/>
          <w:bCs/>
          <w:color w:val="000000"/>
          <w:spacing w:val="-2"/>
          <w:sz w:val="16"/>
          <w:szCs w:val="16"/>
        </w:rPr>
        <w:t>–</w:t>
      </w:r>
      <w:r w:rsidRPr="003E7019">
        <w:rPr>
          <w:sz w:val="16"/>
          <w:szCs w:val="16"/>
        </w:rPr>
        <w:t>1,7</w:t>
      </w:r>
      <w:r>
        <w:rPr>
          <w:sz w:val="16"/>
          <w:szCs w:val="16"/>
        </w:rPr>
        <w:t> %</w:t>
      </w:r>
      <w:r w:rsidRPr="003E7019">
        <w:rPr>
          <w:sz w:val="16"/>
          <w:szCs w:val="16"/>
        </w:rPr>
        <w:t>).</w:t>
      </w:r>
      <w:r>
        <w:rPr>
          <w:sz w:val="16"/>
          <w:szCs w:val="16"/>
        </w:rPr>
        <w:t xml:space="preserve"> Pracovníků přibylo jen na Maltě (+2,6 %), v Lucembursku (+2,0 %) a nepatrně i v Polsku (+0,1 %).</w:t>
      </w:r>
    </w:p>
  </w:footnote>
  <w:footnote w:id="50">
    <w:p w14:paraId="6BDCDEAD" w14:textId="77777777" w:rsidR="0091476D" w:rsidRPr="00CB1808" w:rsidRDefault="0091476D" w:rsidP="00E97F14">
      <w:pPr>
        <w:pStyle w:val="Textpoznpodarou"/>
        <w:rPr>
          <w:spacing w:val="-2"/>
          <w:sz w:val="16"/>
          <w:szCs w:val="16"/>
        </w:rPr>
      </w:pPr>
      <w:r w:rsidRPr="00CB1808">
        <w:rPr>
          <w:rStyle w:val="Znakapoznpodarou"/>
          <w:spacing w:val="-2"/>
          <w:sz w:val="16"/>
          <w:szCs w:val="16"/>
        </w:rPr>
        <w:footnoteRef/>
      </w:r>
      <w:r w:rsidRPr="00CB1808">
        <w:rPr>
          <w:spacing w:val="-2"/>
          <w:sz w:val="16"/>
          <w:szCs w:val="16"/>
        </w:rPr>
        <w:t xml:space="preserve"> Dle podnikových statistik klesl loni evidenční počet zaměstnanců ve výrobě motorových vozidel o 3,8 % a v elektrotechnickém průmyslu o 5,7 %. Silný úbytek zasáhl i strojírenství (5,6 %). Lépe si vedly některé obory s produkty krátkodobé spotřeby (potravinářství, farmacie).</w:t>
      </w:r>
    </w:p>
  </w:footnote>
  <w:footnote w:id="51">
    <w:p w14:paraId="13578EC8" w14:textId="77777777" w:rsidR="0091476D" w:rsidRPr="00DA147C" w:rsidRDefault="0091476D" w:rsidP="00E97F14">
      <w:pPr>
        <w:pStyle w:val="Textpoznpodarou"/>
        <w:rPr>
          <w:sz w:val="16"/>
          <w:szCs w:val="16"/>
        </w:rPr>
      </w:pPr>
      <w:r w:rsidRPr="00DA147C">
        <w:rPr>
          <w:rStyle w:val="Znakapoznpodarou"/>
          <w:sz w:val="16"/>
          <w:szCs w:val="16"/>
        </w:rPr>
        <w:footnoteRef/>
      </w:r>
      <w:r w:rsidRPr="00DA147C">
        <w:rPr>
          <w:sz w:val="16"/>
          <w:szCs w:val="16"/>
        </w:rPr>
        <w:t xml:space="preserve"> </w:t>
      </w:r>
      <w:r w:rsidRPr="00DA147C">
        <w:rPr>
          <w:rFonts w:cs="Arial"/>
          <w:bCs/>
          <w:color w:val="000000"/>
          <w:spacing w:val="-4"/>
          <w:sz w:val="16"/>
          <w:szCs w:val="16"/>
        </w:rPr>
        <w:t>Z detailnějších údajů z</w:t>
      </w:r>
      <w:r>
        <w:rPr>
          <w:rFonts w:cs="Arial"/>
          <w:bCs/>
          <w:color w:val="000000"/>
          <w:spacing w:val="-4"/>
          <w:sz w:val="16"/>
          <w:szCs w:val="16"/>
        </w:rPr>
        <w:t xml:space="preserve">e </w:t>
      </w:r>
      <w:r w:rsidRPr="00DA147C">
        <w:rPr>
          <w:rFonts w:cs="Arial"/>
          <w:bCs/>
          <w:color w:val="000000"/>
          <w:spacing w:val="-4"/>
          <w:sz w:val="16"/>
          <w:szCs w:val="16"/>
        </w:rPr>
        <w:t>šetření u</w:t>
      </w:r>
      <w:r>
        <w:rPr>
          <w:rFonts w:cs="Arial"/>
          <w:bCs/>
          <w:color w:val="000000"/>
          <w:spacing w:val="-4"/>
          <w:sz w:val="16"/>
          <w:szCs w:val="16"/>
        </w:rPr>
        <w:t> </w:t>
      </w:r>
      <w:r w:rsidRPr="00DA147C">
        <w:rPr>
          <w:rFonts w:cs="Arial"/>
          <w:bCs/>
          <w:color w:val="000000"/>
          <w:spacing w:val="-4"/>
          <w:sz w:val="16"/>
          <w:szCs w:val="16"/>
        </w:rPr>
        <w:t>domácností plyne, že k poklesu došlo loni u</w:t>
      </w:r>
      <w:r>
        <w:rPr>
          <w:rFonts w:cs="Arial"/>
          <w:bCs/>
          <w:color w:val="000000"/>
          <w:spacing w:val="-4"/>
          <w:sz w:val="16"/>
          <w:szCs w:val="16"/>
        </w:rPr>
        <w:t> </w:t>
      </w:r>
      <w:r w:rsidRPr="00DA147C">
        <w:rPr>
          <w:rFonts w:cs="Arial"/>
          <w:bCs/>
          <w:color w:val="000000"/>
          <w:spacing w:val="-4"/>
          <w:sz w:val="16"/>
          <w:szCs w:val="16"/>
        </w:rPr>
        <w:t xml:space="preserve">podnikatelů se </w:t>
      </w:r>
      <w:proofErr w:type="gramStart"/>
      <w:r w:rsidRPr="00DA147C">
        <w:rPr>
          <w:rFonts w:cs="Arial"/>
          <w:bCs/>
          <w:color w:val="000000"/>
          <w:spacing w:val="-4"/>
          <w:sz w:val="16"/>
          <w:szCs w:val="16"/>
        </w:rPr>
        <w:t>zaměstnanci (</w:t>
      </w:r>
      <w:r w:rsidRPr="00DA147C">
        <w:rPr>
          <w:rFonts w:cs="Arial"/>
          <w:bCs/>
          <w:color w:val="000000"/>
          <w:spacing w:val="-2"/>
          <w:sz w:val="16"/>
          <w:szCs w:val="16"/>
        </w:rPr>
        <w:t>–</w:t>
      </w:r>
      <w:r w:rsidRPr="00DA147C">
        <w:rPr>
          <w:rFonts w:cs="Arial"/>
          <w:bCs/>
          <w:color w:val="000000"/>
          <w:spacing w:val="-4"/>
          <w:sz w:val="16"/>
          <w:szCs w:val="16"/>
        </w:rPr>
        <w:t>11</w:t>
      </w:r>
      <w:proofErr w:type="gramEnd"/>
      <w:r>
        <w:rPr>
          <w:rFonts w:cs="Arial"/>
          <w:bCs/>
          <w:color w:val="000000"/>
          <w:spacing w:val="-4"/>
          <w:sz w:val="16"/>
          <w:szCs w:val="16"/>
        </w:rPr>
        <w:t> tis</w:t>
      </w:r>
      <w:r w:rsidRPr="00DA147C">
        <w:rPr>
          <w:rFonts w:cs="Arial"/>
          <w:bCs/>
          <w:color w:val="000000"/>
          <w:spacing w:val="-4"/>
          <w:sz w:val="16"/>
          <w:szCs w:val="16"/>
        </w:rPr>
        <w:t>. osob), naopak u</w:t>
      </w:r>
      <w:r>
        <w:rPr>
          <w:rFonts w:cs="Arial"/>
          <w:bCs/>
          <w:color w:val="000000"/>
          <w:spacing w:val="-4"/>
          <w:sz w:val="16"/>
          <w:szCs w:val="16"/>
        </w:rPr>
        <w:t> </w:t>
      </w:r>
      <w:r w:rsidRPr="00DA147C">
        <w:rPr>
          <w:rFonts w:cs="Arial"/>
          <w:bCs/>
          <w:color w:val="000000"/>
          <w:spacing w:val="-4"/>
          <w:sz w:val="16"/>
          <w:szCs w:val="16"/>
        </w:rPr>
        <w:t>pracujících na vlastní účet či pomáhajících rodinných příslušníků</w:t>
      </w:r>
      <w:r>
        <w:rPr>
          <w:rFonts w:cs="Arial"/>
          <w:bCs/>
          <w:color w:val="000000"/>
          <w:spacing w:val="-4"/>
          <w:sz w:val="16"/>
          <w:szCs w:val="16"/>
        </w:rPr>
        <w:t xml:space="preserve"> </w:t>
      </w:r>
      <w:r w:rsidRPr="00DA147C">
        <w:rPr>
          <w:rFonts w:cs="Arial"/>
          <w:bCs/>
          <w:color w:val="000000"/>
          <w:spacing w:val="-4"/>
          <w:sz w:val="16"/>
          <w:szCs w:val="16"/>
        </w:rPr>
        <w:t>významnější posuny patrné nebyly.</w:t>
      </w:r>
    </w:p>
  </w:footnote>
  <w:footnote w:id="52">
    <w:p w14:paraId="210D52EB" w14:textId="77777777" w:rsidR="0091476D" w:rsidRPr="00F1471F" w:rsidRDefault="0091476D" w:rsidP="00E97F14">
      <w:pPr>
        <w:pStyle w:val="Textpoznpodarou"/>
        <w:rPr>
          <w:sz w:val="16"/>
          <w:szCs w:val="16"/>
        </w:rPr>
      </w:pPr>
      <w:r w:rsidRPr="00F1471F">
        <w:rPr>
          <w:rStyle w:val="Znakapoznpodarou"/>
          <w:sz w:val="16"/>
          <w:szCs w:val="16"/>
        </w:rPr>
        <w:footnoteRef/>
      </w:r>
      <w:r w:rsidRPr="00F1471F">
        <w:rPr>
          <w:sz w:val="16"/>
          <w:szCs w:val="16"/>
        </w:rPr>
        <w:t xml:space="preserve"> </w:t>
      </w:r>
      <w:r w:rsidRPr="00F1471F">
        <w:rPr>
          <w:spacing w:val="-2"/>
          <w:sz w:val="16"/>
          <w:szCs w:val="16"/>
        </w:rPr>
        <w:t>Zahrnuti jsou i</w:t>
      </w:r>
      <w:r>
        <w:rPr>
          <w:spacing w:val="-2"/>
          <w:sz w:val="16"/>
          <w:szCs w:val="16"/>
        </w:rPr>
        <w:t> </w:t>
      </w:r>
      <w:r w:rsidRPr="00F1471F">
        <w:rPr>
          <w:spacing w:val="-2"/>
          <w:sz w:val="16"/>
          <w:szCs w:val="16"/>
        </w:rPr>
        <w:t>členové produkčních družstev.</w:t>
      </w:r>
      <w:r>
        <w:rPr>
          <w:spacing w:val="-2"/>
          <w:sz w:val="16"/>
          <w:szCs w:val="16"/>
        </w:rPr>
        <w:t xml:space="preserve"> Údaje vycházejí z Výběrového šetření pracovních sil (VŠPS).</w:t>
      </w:r>
    </w:p>
  </w:footnote>
  <w:footnote w:id="53">
    <w:p w14:paraId="1732C70F" w14:textId="77777777" w:rsidR="0091476D" w:rsidRPr="00B7522F" w:rsidRDefault="0091476D" w:rsidP="00E97F14">
      <w:pPr>
        <w:pStyle w:val="Textpoznpodarou"/>
        <w:rPr>
          <w:sz w:val="16"/>
          <w:szCs w:val="16"/>
        </w:rPr>
      </w:pPr>
      <w:r w:rsidRPr="00B7522F">
        <w:rPr>
          <w:rStyle w:val="Znakapoznpodarou"/>
          <w:sz w:val="16"/>
          <w:szCs w:val="16"/>
        </w:rPr>
        <w:footnoteRef/>
      </w:r>
      <w:r w:rsidRPr="00B7522F">
        <w:rPr>
          <w:sz w:val="16"/>
          <w:szCs w:val="16"/>
        </w:rPr>
        <w:t xml:space="preserve"> Údaje nejsou sezónně očištěny. Sezónní vliv u</w:t>
      </w:r>
      <w:r>
        <w:rPr>
          <w:sz w:val="16"/>
          <w:szCs w:val="16"/>
        </w:rPr>
        <w:t> </w:t>
      </w:r>
      <w:r w:rsidRPr="00B7522F">
        <w:rPr>
          <w:sz w:val="16"/>
          <w:szCs w:val="16"/>
        </w:rPr>
        <w:t xml:space="preserve">zaměstnanosti je nicméně ze sledovaných </w:t>
      </w:r>
      <w:r>
        <w:rPr>
          <w:sz w:val="16"/>
          <w:szCs w:val="16"/>
        </w:rPr>
        <w:t>odvětví patrnější jen u stavebni</w:t>
      </w:r>
      <w:r w:rsidRPr="00B7522F">
        <w:rPr>
          <w:sz w:val="16"/>
          <w:szCs w:val="16"/>
        </w:rPr>
        <w:t>ctví.</w:t>
      </w:r>
    </w:p>
  </w:footnote>
  <w:footnote w:id="54">
    <w:p w14:paraId="120B3B15" w14:textId="77777777" w:rsidR="0091476D" w:rsidRPr="00FF5861" w:rsidRDefault="0091476D" w:rsidP="00E97F14">
      <w:pPr>
        <w:pStyle w:val="Textpoznpodarou"/>
        <w:rPr>
          <w:sz w:val="16"/>
          <w:szCs w:val="16"/>
        </w:rPr>
      </w:pPr>
      <w:r w:rsidRPr="00FF5861">
        <w:rPr>
          <w:rStyle w:val="Znakapoznpodarou"/>
          <w:sz w:val="16"/>
          <w:szCs w:val="16"/>
        </w:rPr>
        <w:footnoteRef/>
      </w:r>
      <w:r w:rsidRPr="00FF5861">
        <w:rPr>
          <w:sz w:val="16"/>
          <w:szCs w:val="16"/>
        </w:rPr>
        <w:t xml:space="preserve"> </w:t>
      </w:r>
      <w:r w:rsidRPr="00B34C77">
        <w:rPr>
          <w:sz w:val="16"/>
          <w:szCs w:val="16"/>
        </w:rPr>
        <w:t xml:space="preserve">Zahrnují všechna odvětví služeb bez veřejných služeb </w:t>
      </w:r>
      <w:r>
        <w:rPr>
          <w:sz w:val="16"/>
          <w:szCs w:val="16"/>
        </w:rPr>
        <w:t>a také obchodu, jenž je sledován</w:t>
      </w:r>
      <w:r w:rsidRPr="00B34C77">
        <w:rPr>
          <w:sz w:val="16"/>
          <w:szCs w:val="16"/>
        </w:rPr>
        <w:t xml:space="preserve"> jako samostatná k</w:t>
      </w:r>
      <w:r>
        <w:rPr>
          <w:sz w:val="16"/>
          <w:szCs w:val="16"/>
        </w:rPr>
        <w:t>ategorie</w:t>
      </w:r>
      <w:r w:rsidRPr="00B34C77">
        <w:rPr>
          <w:sz w:val="16"/>
          <w:szCs w:val="16"/>
        </w:rPr>
        <w:t>.</w:t>
      </w:r>
    </w:p>
  </w:footnote>
  <w:footnote w:id="55">
    <w:p w14:paraId="53E643AF" w14:textId="77777777" w:rsidR="0091476D" w:rsidRPr="004E68B1" w:rsidRDefault="0091476D" w:rsidP="00E97F14">
      <w:pPr>
        <w:pStyle w:val="Textpoznpodarou"/>
        <w:jc w:val="both"/>
        <w:rPr>
          <w:spacing w:val="-3"/>
          <w:sz w:val="16"/>
          <w:szCs w:val="16"/>
        </w:rPr>
      </w:pPr>
      <w:r w:rsidRPr="004E68B1">
        <w:rPr>
          <w:rStyle w:val="Znakapoznpodarou"/>
          <w:spacing w:val="-3"/>
          <w:sz w:val="16"/>
          <w:szCs w:val="16"/>
        </w:rPr>
        <w:footnoteRef/>
      </w:r>
      <w:r w:rsidRPr="004E68B1">
        <w:rPr>
          <w:spacing w:val="-3"/>
          <w:sz w:val="16"/>
          <w:szCs w:val="16"/>
        </w:rPr>
        <w:t xml:space="preserve"> U osob ve věku 15–64 let, hodnota po sezónním očištění. </w:t>
      </w:r>
      <w:r>
        <w:rPr>
          <w:spacing w:val="-3"/>
          <w:sz w:val="16"/>
          <w:szCs w:val="16"/>
        </w:rPr>
        <w:t>Není-li uvedeno jinak, vycházejí v</w:t>
      </w:r>
      <w:r w:rsidRPr="004E68B1">
        <w:rPr>
          <w:spacing w:val="-3"/>
          <w:sz w:val="16"/>
          <w:szCs w:val="16"/>
        </w:rPr>
        <w:t>šechny údaje o nezaměstnanosti z</w:t>
      </w:r>
      <w:r>
        <w:rPr>
          <w:spacing w:val="-3"/>
          <w:sz w:val="16"/>
          <w:szCs w:val="16"/>
        </w:rPr>
        <w:t> VŠPS.</w:t>
      </w:r>
    </w:p>
  </w:footnote>
  <w:footnote w:id="56">
    <w:p w14:paraId="43BF6D1C" w14:textId="77777777" w:rsidR="0091476D" w:rsidRPr="003F02A3" w:rsidRDefault="0091476D" w:rsidP="00E97F14">
      <w:pPr>
        <w:pStyle w:val="Textpoznpodarou"/>
        <w:rPr>
          <w:sz w:val="16"/>
          <w:szCs w:val="16"/>
        </w:rPr>
      </w:pPr>
      <w:r w:rsidRPr="003F02A3">
        <w:rPr>
          <w:rStyle w:val="Znakapoznpodarou"/>
          <w:sz w:val="16"/>
          <w:szCs w:val="16"/>
        </w:rPr>
        <w:footnoteRef/>
      </w:r>
      <w:r w:rsidRPr="003F02A3">
        <w:rPr>
          <w:sz w:val="16"/>
          <w:szCs w:val="16"/>
        </w:rPr>
        <w:t xml:space="preserve"> V EU činila na konci roku 2020 ve skupině 15</w:t>
      </w:r>
      <w:r>
        <w:rPr>
          <w:sz w:val="16"/>
          <w:szCs w:val="16"/>
        </w:rPr>
        <w:t>–</w:t>
      </w:r>
      <w:r w:rsidRPr="003F02A3">
        <w:rPr>
          <w:sz w:val="16"/>
          <w:szCs w:val="16"/>
        </w:rPr>
        <w:t>74letých míra nezaměstnanosti mužů 7,0</w:t>
      </w:r>
      <w:r>
        <w:rPr>
          <w:sz w:val="16"/>
          <w:szCs w:val="16"/>
        </w:rPr>
        <w:t> %</w:t>
      </w:r>
      <w:r w:rsidRPr="003F02A3">
        <w:rPr>
          <w:sz w:val="16"/>
          <w:szCs w:val="16"/>
        </w:rPr>
        <w:t xml:space="preserve"> a</w:t>
      </w:r>
      <w:r>
        <w:rPr>
          <w:sz w:val="16"/>
          <w:szCs w:val="16"/>
        </w:rPr>
        <w:t> </w:t>
      </w:r>
      <w:r w:rsidRPr="003F02A3">
        <w:rPr>
          <w:sz w:val="16"/>
          <w:szCs w:val="16"/>
        </w:rPr>
        <w:t>žen 7,7</w:t>
      </w:r>
      <w:r>
        <w:rPr>
          <w:sz w:val="16"/>
          <w:szCs w:val="16"/>
        </w:rPr>
        <w:t> %</w:t>
      </w:r>
      <w:r w:rsidRPr="003F02A3">
        <w:rPr>
          <w:sz w:val="16"/>
          <w:szCs w:val="16"/>
        </w:rPr>
        <w:t>.</w:t>
      </w:r>
      <w:r>
        <w:rPr>
          <w:sz w:val="16"/>
          <w:szCs w:val="16"/>
        </w:rPr>
        <w:t xml:space="preserve"> Nezaměstnanost mužů v ČR dosahovala v rámci států EU minima (již téměř sedm let), nezaměstnanost českých žen byla v Unii druhá nejnižší (po Polsku s 3,0 %). V EU (podobně jako v Česku) byly negativní dopady pandemické krize na pracovní trh tlumeny vládními intervenčními programy. Ve srovnání s koncem roku 2019 tak míra celkové nezaměstnanosti v Unii vzrostla „jen“ o 0,8 p. b., tedy méně než během let 2009 a 2012. O více než 2 p. b. </w:t>
      </w:r>
      <w:proofErr w:type="gramStart"/>
      <w:r>
        <w:rPr>
          <w:sz w:val="16"/>
          <w:szCs w:val="16"/>
        </w:rPr>
        <w:t>se</w:t>
      </w:r>
      <w:proofErr w:type="gramEnd"/>
      <w:r>
        <w:rPr>
          <w:sz w:val="16"/>
          <w:szCs w:val="16"/>
        </w:rPr>
        <w:t xml:space="preserve"> loni navýšila nezaměstnanost jen v Litvě, Estonsku, Španělsku a Švédsku.</w:t>
      </w:r>
    </w:p>
  </w:footnote>
  <w:footnote w:id="57">
    <w:p w14:paraId="21C9B187" w14:textId="77777777" w:rsidR="0091476D" w:rsidRPr="00EA1250" w:rsidRDefault="0091476D" w:rsidP="00E97F14">
      <w:pPr>
        <w:pStyle w:val="Textpoznpodarou"/>
        <w:rPr>
          <w:sz w:val="16"/>
          <w:szCs w:val="16"/>
        </w:rPr>
      </w:pPr>
      <w:r w:rsidRPr="00EA1250">
        <w:rPr>
          <w:rStyle w:val="Znakapoznpodarou"/>
          <w:sz w:val="16"/>
          <w:szCs w:val="16"/>
        </w:rPr>
        <w:footnoteRef/>
      </w:r>
      <w:r>
        <w:rPr>
          <w:sz w:val="16"/>
          <w:szCs w:val="16"/>
        </w:rPr>
        <w:t xml:space="preserve"> Absolutní p</w:t>
      </w:r>
      <w:r w:rsidRPr="00EA1250">
        <w:rPr>
          <w:sz w:val="16"/>
          <w:szCs w:val="16"/>
        </w:rPr>
        <w:t xml:space="preserve">očet nezaměstnaných ve věku do </w:t>
      </w:r>
      <w:r>
        <w:rPr>
          <w:sz w:val="16"/>
          <w:szCs w:val="16"/>
        </w:rPr>
        <w:t>25 let zůstává</w:t>
      </w:r>
      <w:r w:rsidRPr="00EA1250">
        <w:rPr>
          <w:sz w:val="16"/>
          <w:szCs w:val="16"/>
        </w:rPr>
        <w:t xml:space="preserve"> dlouhodobě nízký (v</w:t>
      </w:r>
      <w:r>
        <w:rPr>
          <w:sz w:val="16"/>
          <w:szCs w:val="16"/>
        </w:rPr>
        <w:t> </w:t>
      </w:r>
      <w:r w:rsidRPr="00EA1250">
        <w:rPr>
          <w:sz w:val="16"/>
          <w:szCs w:val="16"/>
        </w:rPr>
        <w:t>prosinci 2020 šlo o</w:t>
      </w:r>
      <w:r>
        <w:rPr>
          <w:sz w:val="16"/>
          <w:szCs w:val="16"/>
        </w:rPr>
        <w:t> </w:t>
      </w:r>
      <w:r w:rsidRPr="00EA1250">
        <w:rPr>
          <w:sz w:val="16"/>
          <w:szCs w:val="16"/>
        </w:rPr>
        <w:t>26</w:t>
      </w:r>
      <w:r>
        <w:rPr>
          <w:sz w:val="16"/>
          <w:szCs w:val="16"/>
        </w:rPr>
        <w:t> tis</w:t>
      </w:r>
      <w:r w:rsidRPr="00EA1250">
        <w:rPr>
          <w:sz w:val="16"/>
          <w:szCs w:val="16"/>
        </w:rPr>
        <w:t>. osob).</w:t>
      </w:r>
      <w:r>
        <w:rPr>
          <w:sz w:val="16"/>
          <w:szCs w:val="16"/>
        </w:rPr>
        <w:t xml:space="preserve"> Výrazná většina mladých v tomto věku tradičně setrvává v Česku (na rozdíl od mnohých států západní a severní Evropy) mezi ekonomicky neaktivními.</w:t>
      </w:r>
    </w:p>
  </w:footnote>
  <w:footnote w:id="58">
    <w:p w14:paraId="51AC402A" w14:textId="77777777" w:rsidR="0091476D" w:rsidRPr="004E0F30" w:rsidRDefault="0091476D" w:rsidP="00E97F14">
      <w:pPr>
        <w:pStyle w:val="Default"/>
        <w:rPr>
          <w:rFonts w:ascii="Arial" w:hAnsi="Arial" w:cs="Arial"/>
          <w:spacing w:val="-4"/>
          <w:sz w:val="16"/>
          <w:szCs w:val="16"/>
        </w:rPr>
      </w:pPr>
      <w:r w:rsidRPr="004E0F30">
        <w:rPr>
          <w:rStyle w:val="Znakapoznpodarou"/>
          <w:rFonts w:ascii="Arial" w:hAnsi="Arial" w:cs="Arial"/>
          <w:spacing w:val="-4"/>
          <w:sz w:val="16"/>
          <w:szCs w:val="16"/>
        </w:rPr>
        <w:footnoteRef/>
      </w:r>
      <w:r w:rsidRPr="004E0F30">
        <w:rPr>
          <w:rFonts w:ascii="Arial" w:hAnsi="Arial" w:cs="Arial"/>
          <w:spacing w:val="-4"/>
          <w:sz w:val="16"/>
          <w:szCs w:val="16"/>
        </w:rPr>
        <w:t xml:space="preserve"> V rámci programu Antivirus</w:t>
      </w:r>
      <w:r>
        <w:rPr>
          <w:rFonts w:ascii="Arial" w:hAnsi="Arial" w:cs="Arial"/>
          <w:spacing w:val="-4"/>
          <w:sz w:val="16"/>
          <w:szCs w:val="16"/>
        </w:rPr>
        <w:t> </w:t>
      </w:r>
      <w:r w:rsidRPr="004E0F30">
        <w:rPr>
          <w:rFonts w:ascii="Arial" w:hAnsi="Arial" w:cs="Arial"/>
          <w:spacing w:val="-4"/>
          <w:sz w:val="16"/>
          <w:szCs w:val="16"/>
        </w:rPr>
        <w:t>A</w:t>
      </w:r>
      <w:r>
        <w:rPr>
          <w:rFonts w:ascii="Arial" w:hAnsi="Arial" w:cs="Arial"/>
          <w:spacing w:val="-4"/>
          <w:sz w:val="16"/>
          <w:szCs w:val="16"/>
        </w:rPr>
        <w:t> </w:t>
      </w:r>
      <w:r w:rsidRPr="004E0F30">
        <w:rPr>
          <w:rFonts w:ascii="Arial" w:hAnsi="Arial" w:cs="Arial"/>
          <w:spacing w:val="-4"/>
          <w:sz w:val="16"/>
          <w:szCs w:val="16"/>
        </w:rPr>
        <w:t>+</w:t>
      </w:r>
      <w:r>
        <w:rPr>
          <w:rFonts w:ascii="Arial" w:hAnsi="Arial" w:cs="Arial"/>
          <w:spacing w:val="-4"/>
          <w:sz w:val="16"/>
          <w:szCs w:val="16"/>
        </w:rPr>
        <w:t> </w:t>
      </w:r>
      <w:r w:rsidRPr="004E0F30">
        <w:rPr>
          <w:rFonts w:ascii="Arial" w:hAnsi="Arial" w:cs="Arial"/>
          <w:spacing w:val="-4"/>
          <w:sz w:val="16"/>
          <w:szCs w:val="16"/>
        </w:rPr>
        <w:t>B</w:t>
      </w:r>
      <w:r>
        <w:rPr>
          <w:rFonts w:ascii="Arial" w:hAnsi="Arial" w:cs="Arial"/>
          <w:spacing w:val="-4"/>
          <w:sz w:val="16"/>
          <w:szCs w:val="16"/>
        </w:rPr>
        <w:t xml:space="preserve"> </w:t>
      </w:r>
      <w:r w:rsidRPr="004E0F30">
        <w:rPr>
          <w:rFonts w:ascii="Arial" w:hAnsi="Arial" w:cs="Arial"/>
          <w:spacing w:val="-4"/>
          <w:sz w:val="16"/>
          <w:szCs w:val="16"/>
        </w:rPr>
        <w:t>bylo od března do prosince 2020 vydáno z rozpočtu MPSV 28,9</w:t>
      </w:r>
      <w:r>
        <w:rPr>
          <w:rFonts w:ascii="Arial" w:hAnsi="Arial" w:cs="Arial"/>
          <w:spacing w:val="-4"/>
          <w:sz w:val="16"/>
          <w:szCs w:val="16"/>
        </w:rPr>
        <w:t> mld</w:t>
      </w:r>
      <w:r w:rsidRPr="004E0F30">
        <w:rPr>
          <w:rFonts w:ascii="Arial" w:hAnsi="Arial" w:cs="Arial"/>
          <w:spacing w:val="-4"/>
          <w:sz w:val="16"/>
          <w:szCs w:val="16"/>
        </w:rPr>
        <w:t>. korun. V úhrnu b</w:t>
      </w:r>
      <w:r>
        <w:rPr>
          <w:rFonts w:ascii="Arial" w:hAnsi="Arial" w:cs="Arial"/>
          <w:spacing w:val="-4"/>
          <w:sz w:val="16"/>
          <w:szCs w:val="16"/>
        </w:rPr>
        <w:t>ylo takto zčásti</w:t>
      </w:r>
      <w:r w:rsidRPr="004E0F30">
        <w:rPr>
          <w:rFonts w:ascii="Arial" w:hAnsi="Arial" w:cs="Arial"/>
          <w:spacing w:val="-4"/>
          <w:sz w:val="16"/>
          <w:szCs w:val="16"/>
        </w:rPr>
        <w:t xml:space="preserve"> podpořeno 953</w:t>
      </w:r>
      <w:r>
        <w:rPr>
          <w:rFonts w:ascii="Arial" w:hAnsi="Arial" w:cs="Arial"/>
          <w:spacing w:val="-4"/>
          <w:sz w:val="16"/>
          <w:szCs w:val="16"/>
        </w:rPr>
        <w:t> tis</w:t>
      </w:r>
      <w:r w:rsidRPr="004E0F30">
        <w:rPr>
          <w:rFonts w:ascii="Arial" w:hAnsi="Arial" w:cs="Arial"/>
          <w:spacing w:val="-4"/>
          <w:sz w:val="16"/>
          <w:szCs w:val="16"/>
        </w:rPr>
        <w:t>. pracovních míst. Většina firem žádala o</w:t>
      </w:r>
      <w:r>
        <w:rPr>
          <w:rFonts w:ascii="Arial" w:hAnsi="Arial" w:cs="Arial"/>
          <w:spacing w:val="-4"/>
          <w:sz w:val="16"/>
          <w:szCs w:val="16"/>
        </w:rPr>
        <w:t> </w:t>
      </w:r>
      <w:r w:rsidRPr="004E0F30">
        <w:rPr>
          <w:rFonts w:ascii="Arial" w:hAnsi="Arial" w:cs="Arial"/>
          <w:spacing w:val="-4"/>
          <w:sz w:val="16"/>
          <w:szCs w:val="16"/>
        </w:rPr>
        <w:t>příspěv</w:t>
      </w:r>
      <w:r>
        <w:rPr>
          <w:rFonts w:ascii="Arial" w:hAnsi="Arial" w:cs="Arial"/>
          <w:spacing w:val="-4"/>
          <w:sz w:val="16"/>
          <w:szCs w:val="16"/>
        </w:rPr>
        <w:t>ek na úhradu mzdových náhrad</w:t>
      </w:r>
      <w:r w:rsidRPr="004E0F30">
        <w:rPr>
          <w:rFonts w:ascii="Arial" w:hAnsi="Arial" w:cs="Arial"/>
          <w:spacing w:val="-4"/>
          <w:sz w:val="16"/>
          <w:szCs w:val="16"/>
        </w:rPr>
        <w:t xml:space="preserve"> zaměstnanců v jednotlivých měsících opakovaně. Čerpání</w:t>
      </w:r>
      <w:r>
        <w:rPr>
          <w:rFonts w:ascii="Arial" w:hAnsi="Arial" w:cs="Arial"/>
          <w:spacing w:val="-4"/>
          <w:sz w:val="16"/>
          <w:szCs w:val="16"/>
        </w:rPr>
        <w:t xml:space="preserve"> podpory během léta</w:t>
      </w:r>
      <w:r w:rsidRPr="004E0F30">
        <w:rPr>
          <w:rFonts w:ascii="Arial" w:hAnsi="Arial" w:cs="Arial"/>
          <w:spacing w:val="-4"/>
          <w:sz w:val="16"/>
          <w:szCs w:val="16"/>
        </w:rPr>
        <w:t xml:space="preserve"> sláblo (</w:t>
      </w:r>
      <w:r>
        <w:rPr>
          <w:rFonts w:ascii="Arial" w:hAnsi="Arial" w:cs="Arial"/>
          <w:spacing w:val="-4"/>
          <w:sz w:val="16"/>
          <w:szCs w:val="16"/>
        </w:rPr>
        <w:t>ve 3. čtvrtletí:</w:t>
      </w:r>
      <w:r w:rsidRPr="004E0F30">
        <w:rPr>
          <w:rFonts w:ascii="Arial" w:hAnsi="Arial" w:cs="Arial"/>
          <w:spacing w:val="-4"/>
          <w:sz w:val="16"/>
          <w:szCs w:val="16"/>
        </w:rPr>
        <w:t xml:space="preserve"> 2,7</w:t>
      </w:r>
      <w:r>
        <w:rPr>
          <w:rFonts w:ascii="Arial" w:hAnsi="Arial" w:cs="Arial"/>
          <w:spacing w:val="-4"/>
          <w:sz w:val="16"/>
          <w:szCs w:val="16"/>
        </w:rPr>
        <w:t> mld</w:t>
      </w:r>
      <w:r w:rsidRPr="004E0F30">
        <w:rPr>
          <w:rFonts w:ascii="Arial" w:hAnsi="Arial" w:cs="Arial"/>
          <w:spacing w:val="-4"/>
          <w:sz w:val="16"/>
          <w:szCs w:val="16"/>
        </w:rPr>
        <w:t>. korun</w:t>
      </w:r>
      <w:r>
        <w:rPr>
          <w:rFonts w:ascii="Arial" w:hAnsi="Arial" w:cs="Arial"/>
          <w:spacing w:val="-4"/>
          <w:sz w:val="16"/>
          <w:szCs w:val="16"/>
        </w:rPr>
        <w:t>), na konci roku ale</w:t>
      </w:r>
      <w:r w:rsidRPr="004E0F30">
        <w:rPr>
          <w:rFonts w:ascii="Arial" w:hAnsi="Arial" w:cs="Arial"/>
          <w:spacing w:val="-4"/>
          <w:sz w:val="16"/>
          <w:szCs w:val="16"/>
        </w:rPr>
        <w:t xml:space="preserve"> nabylo na významu </w:t>
      </w:r>
      <w:r w:rsidRPr="004E0F30">
        <w:rPr>
          <w:rFonts w:ascii="Arial" w:hAnsi="Arial" w:cs="Arial"/>
          <w:spacing w:val="-6"/>
          <w:sz w:val="16"/>
          <w:szCs w:val="16"/>
        </w:rPr>
        <w:t>(4.</w:t>
      </w:r>
      <w:r>
        <w:rPr>
          <w:rFonts w:ascii="Arial" w:hAnsi="Arial" w:cs="Arial"/>
          <w:spacing w:val="-6"/>
          <w:sz w:val="16"/>
          <w:szCs w:val="16"/>
        </w:rPr>
        <w:t> čtvrtlet</w:t>
      </w:r>
      <w:r w:rsidRPr="004E0F30">
        <w:rPr>
          <w:rFonts w:ascii="Arial" w:hAnsi="Arial" w:cs="Arial"/>
          <w:spacing w:val="-6"/>
          <w:sz w:val="16"/>
          <w:szCs w:val="16"/>
        </w:rPr>
        <w:t>í: 9,5</w:t>
      </w:r>
      <w:r>
        <w:rPr>
          <w:rFonts w:ascii="Arial" w:hAnsi="Arial" w:cs="Arial"/>
          <w:spacing w:val="-6"/>
          <w:sz w:val="16"/>
          <w:szCs w:val="16"/>
        </w:rPr>
        <w:t> mld</w:t>
      </w:r>
      <w:r w:rsidRPr="004E0F30">
        <w:rPr>
          <w:rFonts w:ascii="Arial" w:hAnsi="Arial" w:cs="Arial"/>
          <w:spacing w:val="-6"/>
          <w:sz w:val="16"/>
          <w:szCs w:val="16"/>
        </w:rPr>
        <w:t>. korun).</w:t>
      </w:r>
    </w:p>
  </w:footnote>
  <w:footnote w:id="59">
    <w:p w14:paraId="582666F8" w14:textId="77777777" w:rsidR="0091476D" w:rsidRPr="000A68F7" w:rsidRDefault="0091476D" w:rsidP="00E97F14">
      <w:pPr>
        <w:pStyle w:val="Textpoznpodarou"/>
        <w:jc w:val="both"/>
        <w:rPr>
          <w:spacing w:val="-2"/>
          <w:sz w:val="16"/>
          <w:szCs w:val="16"/>
        </w:rPr>
      </w:pPr>
      <w:r w:rsidRPr="000A68F7">
        <w:rPr>
          <w:rStyle w:val="Znakapoznpodarou"/>
          <w:spacing w:val="-2"/>
          <w:sz w:val="16"/>
          <w:szCs w:val="16"/>
        </w:rPr>
        <w:footnoteRef/>
      </w:r>
      <w:r>
        <w:rPr>
          <w:spacing w:val="-2"/>
          <w:sz w:val="16"/>
          <w:szCs w:val="16"/>
        </w:rPr>
        <w:t xml:space="preserve"> Č</w:t>
      </w:r>
      <w:r w:rsidRPr="000A68F7">
        <w:rPr>
          <w:spacing w:val="-2"/>
          <w:sz w:val="16"/>
          <w:szCs w:val="16"/>
        </w:rPr>
        <w:t>erpání dávek ošetřovného</w:t>
      </w:r>
      <w:r>
        <w:rPr>
          <w:spacing w:val="-2"/>
          <w:sz w:val="16"/>
          <w:szCs w:val="16"/>
        </w:rPr>
        <w:t xml:space="preserve"> za rok 2020</w:t>
      </w:r>
      <w:r w:rsidRPr="000A68F7">
        <w:rPr>
          <w:spacing w:val="-2"/>
          <w:sz w:val="16"/>
          <w:szCs w:val="16"/>
        </w:rPr>
        <w:t xml:space="preserve"> </w:t>
      </w:r>
      <w:r>
        <w:rPr>
          <w:spacing w:val="-2"/>
          <w:sz w:val="16"/>
          <w:szCs w:val="16"/>
        </w:rPr>
        <w:t>(zejména z důvodu uzavření škol) činilo 11,4 mld. korun, v předcházejícím roce jen 1,7</w:t>
      </w:r>
      <w:r w:rsidRPr="000A68F7">
        <w:rPr>
          <w:spacing w:val="-2"/>
          <w:sz w:val="16"/>
          <w:szCs w:val="16"/>
        </w:rPr>
        <w:t> mld.</w:t>
      </w:r>
    </w:p>
  </w:footnote>
  <w:footnote w:id="60">
    <w:p w14:paraId="54491E85" w14:textId="77777777" w:rsidR="0091476D" w:rsidRPr="000A68F7" w:rsidRDefault="0091476D" w:rsidP="00E97F14">
      <w:pPr>
        <w:pStyle w:val="Textpoznpodarou"/>
        <w:rPr>
          <w:spacing w:val="-2"/>
          <w:sz w:val="16"/>
          <w:szCs w:val="16"/>
        </w:rPr>
      </w:pPr>
      <w:r w:rsidRPr="000A68F7">
        <w:rPr>
          <w:rStyle w:val="Znakapoznpodarou"/>
          <w:spacing w:val="-2"/>
          <w:sz w:val="16"/>
          <w:szCs w:val="16"/>
        </w:rPr>
        <w:footnoteRef/>
      </w:r>
      <w:r w:rsidRPr="000A68F7">
        <w:rPr>
          <w:spacing w:val="-2"/>
          <w:sz w:val="16"/>
          <w:szCs w:val="16"/>
        </w:rPr>
        <w:t xml:space="preserve"> Podíl domácností očekávajících v příštích 12</w:t>
      </w:r>
      <w:r>
        <w:rPr>
          <w:spacing w:val="-2"/>
          <w:sz w:val="16"/>
          <w:szCs w:val="16"/>
        </w:rPr>
        <w:t> </w:t>
      </w:r>
      <w:r w:rsidRPr="000A68F7">
        <w:rPr>
          <w:spacing w:val="-2"/>
          <w:sz w:val="16"/>
          <w:szCs w:val="16"/>
        </w:rPr>
        <w:t>měsících</w:t>
      </w:r>
      <w:r>
        <w:rPr>
          <w:spacing w:val="-2"/>
          <w:sz w:val="16"/>
          <w:szCs w:val="16"/>
        </w:rPr>
        <w:t xml:space="preserve"> růst</w:t>
      </w:r>
      <w:r w:rsidRPr="000A68F7">
        <w:rPr>
          <w:spacing w:val="-2"/>
          <w:sz w:val="16"/>
          <w:szCs w:val="16"/>
        </w:rPr>
        <w:t xml:space="preserve"> nezaměstnanosti byl o</w:t>
      </w:r>
      <w:r>
        <w:rPr>
          <w:spacing w:val="-2"/>
          <w:sz w:val="16"/>
          <w:szCs w:val="16"/>
        </w:rPr>
        <w:t> </w:t>
      </w:r>
      <w:r w:rsidRPr="000A68F7">
        <w:rPr>
          <w:spacing w:val="-2"/>
          <w:sz w:val="16"/>
          <w:szCs w:val="16"/>
        </w:rPr>
        <w:t>60</w:t>
      </w:r>
      <w:r>
        <w:rPr>
          <w:spacing w:val="-2"/>
          <w:sz w:val="16"/>
          <w:szCs w:val="16"/>
        </w:rPr>
        <w:t> p. b.</w:t>
      </w:r>
      <w:r w:rsidRPr="000A68F7">
        <w:rPr>
          <w:spacing w:val="-2"/>
          <w:sz w:val="16"/>
          <w:szCs w:val="16"/>
        </w:rPr>
        <w:t xml:space="preserve"> </w:t>
      </w:r>
      <w:proofErr w:type="gramStart"/>
      <w:r w:rsidRPr="000A68F7">
        <w:rPr>
          <w:spacing w:val="-2"/>
          <w:sz w:val="16"/>
          <w:szCs w:val="16"/>
        </w:rPr>
        <w:t>vyšší</w:t>
      </w:r>
      <w:proofErr w:type="gramEnd"/>
      <w:r w:rsidRPr="000A68F7">
        <w:rPr>
          <w:spacing w:val="-2"/>
          <w:sz w:val="16"/>
          <w:szCs w:val="16"/>
        </w:rPr>
        <w:t xml:space="preserve"> než podíl těch, které vyhlížely snížení.</w:t>
      </w:r>
    </w:p>
  </w:footnote>
  <w:footnote w:id="61">
    <w:p w14:paraId="1424B9C6" w14:textId="77777777" w:rsidR="0091476D" w:rsidRPr="002C3DA7" w:rsidRDefault="0091476D" w:rsidP="00E97F14">
      <w:pPr>
        <w:pStyle w:val="Textpoznpodarou"/>
        <w:rPr>
          <w:sz w:val="16"/>
          <w:szCs w:val="16"/>
        </w:rPr>
      </w:pPr>
      <w:r w:rsidRPr="002C3DA7">
        <w:rPr>
          <w:rStyle w:val="Znakapoznpodarou"/>
          <w:sz w:val="16"/>
          <w:szCs w:val="16"/>
        </w:rPr>
        <w:footnoteRef/>
      </w:r>
      <w:r w:rsidRPr="002C3DA7">
        <w:rPr>
          <w:sz w:val="16"/>
          <w:szCs w:val="16"/>
        </w:rPr>
        <w:t xml:space="preserve"> Tato místa zaměstnavatelé z velké části cílí na zahraniční pracovníky. </w:t>
      </w:r>
      <w:r w:rsidRPr="00CB5B70">
        <w:rPr>
          <w:sz w:val="16"/>
          <w:szCs w:val="16"/>
        </w:rPr>
        <w:t>Počet cizinců evidovaných úřady práce v ČR po</w:t>
      </w:r>
      <w:r>
        <w:rPr>
          <w:sz w:val="16"/>
          <w:szCs w:val="16"/>
        </w:rPr>
        <w:t xml:space="preserve"> krátkém</w:t>
      </w:r>
      <w:r w:rsidRPr="00CB5B70">
        <w:rPr>
          <w:sz w:val="16"/>
          <w:szCs w:val="16"/>
        </w:rPr>
        <w:t xml:space="preserve"> poklesu v jarních měsících (</w:t>
      </w:r>
      <w:r>
        <w:rPr>
          <w:sz w:val="16"/>
          <w:szCs w:val="16"/>
        </w:rPr>
        <w:t>způsobeném i poza</w:t>
      </w:r>
      <w:r w:rsidRPr="00CB5B70">
        <w:rPr>
          <w:sz w:val="16"/>
          <w:szCs w:val="16"/>
        </w:rPr>
        <w:t xml:space="preserve">stavením vydávání </w:t>
      </w:r>
      <w:r>
        <w:rPr>
          <w:sz w:val="16"/>
          <w:szCs w:val="16"/>
        </w:rPr>
        <w:t xml:space="preserve">většiny </w:t>
      </w:r>
      <w:r w:rsidRPr="00CB5B70">
        <w:rPr>
          <w:sz w:val="16"/>
          <w:szCs w:val="16"/>
        </w:rPr>
        <w:t>pracovních povol</w:t>
      </w:r>
      <w:r>
        <w:rPr>
          <w:sz w:val="16"/>
          <w:szCs w:val="16"/>
        </w:rPr>
        <w:t>ení) ve 3. čtvrtletí 2020 opět rostl</w:t>
      </w:r>
      <w:r w:rsidRPr="00CB5B70">
        <w:rPr>
          <w:sz w:val="16"/>
          <w:szCs w:val="16"/>
        </w:rPr>
        <w:t xml:space="preserve">. </w:t>
      </w:r>
      <w:r>
        <w:rPr>
          <w:sz w:val="16"/>
          <w:szCs w:val="16"/>
        </w:rPr>
        <w:t>Na konci roku 2020 bylo celkem v evidenci 644 tis. osob s možností působení v ČR v pozici zaměstnanců (meziročně o 22 tis. více).</w:t>
      </w:r>
    </w:p>
  </w:footnote>
  <w:footnote w:id="62">
    <w:p w14:paraId="5FF79228" w14:textId="77777777" w:rsidR="0091476D" w:rsidRPr="0091472F" w:rsidRDefault="0091476D" w:rsidP="00E97F14">
      <w:pPr>
        <w:pStyle w:val="Textpoznpodarou"/>
        <w:rPr>
          <w:spacing w:val="-2"/>
          <w:sz w:val="16"/>
          <w:szCs w:val="16"/>
        </w:rPr>
      </w:pPr>
      <w:r w:rsidRPr="0091472F">
        <w:rPr>
          <w:rStyle w:val="Znakapoznpodarou"/>
          <w:spacing w:val="-2"/>
          <w:sz w:val="16"/>
          <w:szCs w:val="16"/>
        </w:rPr>
        <w:footnoteRef/>
      </w:r>
      <w:r w:rsidRPr="0091472F">
        <w:rPr>
          <w:spacing w:val="-2"/>
          <w:sz w:val="16"/>
          <w:szCs w:val="16"/>
        </w:rPr>
        <w:t xml:space="preserve"> </w:t>
      </w:r>
      <w:r w:rsidRPr="0091472F">
        <w:rPr>
          <w:rFonts w:cs="Arial"/>
          <w:bCs/>
          <w:color w:val="000000"/>
          <w:spacing w:val="-2"/>
          <w:sz w:val="16"/>
          <w:szCs w:val="16"/>
        </w:rPr>
        <w:t>Byť se počet neaktivní</w:t>
      </w:r>
      <w:r>
        <w:rPr>
          <w:rFonts w:cs="Arial"/>
          <w:bCs/>
          <w:color w:val="000000"/>
          <w:spacing w:val="-2"/>
          <w:sz w:val="16"/>
          <w:szCs w:val="16"/>
        </w:rPr>
        <w:t>ch zvyšoval i po většinu</w:t>
      </w:r>
      <w:r w:rsidRPr="0091472F">
        <w:rPr>
          <w:rFonts w:cs="Arial"/>
          <w:bCs/>
          <w:color w:val="000000"/>
          <w:spacing w:val="-2"/>
          <w:sz w:val="16"/>
          <w:szCs w:val="16"/>
        </w:rPr>
        <w:t xml:space="preserve"> roku</w:t>
      </w:r>
      <w:r>
        <w:rPr>
          <w:rFonts w:cs="Arial"/>
          <w:bCs/>
          <w:color w:val="000000"/>
          <w:spacing w:val="-2"/>
          <w:sz w:val="16"/>
          <w:szCs w:val="16"/>
        </w:rPr>
        <w:t xml:space="preserve"> 2019</w:t>
      </w:r>
      <w:r w:rsidRPr="0091472F">
        <w:rPr>
          <w:rFonts w:cs="Arial"/>
          <w:bCs/>
          <w:color w:val="000000"/>
          <w:spacing w:val="-2"/>
          <w:sz w:val="16"/>
          <w:szCs w:val="16"/>
        </w:rPr>
        <w:t xml:space="preserve">, k významnému zrychlení </w:t>
      </w:r>
      <w:r>
        <w:rPr>
          <w:rFonts w:cs="Arial"/>
          <w:bCs/>
          <w:color w:val="000000"/>
          <w:spacing w:val="-2"/>
          <w:sz w:val="16"/>
          <w:szCs w:val="16"/>
        </w:rPr>
        <w:t>meziročního tempa došlo až vloni</w:t>
      </w:r>
      <w:r w:rsidRPr="0091472F">
        <w:rPr>
          <w:rFonts w:cs="Arial"/>
          <w:bCs/>
          <w:color w:val="000000"/>
          <w:spacing w:val="-2"/>
          <w:sz w:val="16"/>
          <w:szCs w:val="16"/>
        </w:rPr>
        <w:t>. Na počátku roku</w:t>
      </w:r>
      <w:r>
        <w:rPr>
          <w:rFonts w:cs="Arial"/>
          <w:bCs/>
          <w:color w:val="000000"/>
          <w:spacing w:val="-2"/>
          <w:sz w:val="16"/>
          <w:szCs w:val="16"/>
        </w:rPr>
        <w:t xml:space="preserve"> 2020</w:t>
      </w:r>
      <w:r w:rsidRPr="0091472F">
        <w:rPr>
          <w:rFonts w:cs="Arial"/>
          <w:bCs/>
          <w:color w:val="000000"/>
          <w:spacing w:val="-2"/>
          <w:sz w:val="16"/>
          <w:szCs w:val="16"/>
        </w:rPr>
        <w:t xml:space="preserve"> činil nárůst 59 tis. osob, ve 2. čtvrtletí již 86 tis. (nejvíce v historii ČR) a</w:t>
      </w:r>
      <w:r>
        <w:rPr>
          <w:rFonts w:cs="Arial"/>
          <w:bCs/>
          <w:color w:val="000000"/>
          <w:spacing w:val="-2"/>
          <w:sz w:val="16"/>
          <w:szCs w:val="16"/>
        </w:rPr>
        <w:t> </w:t>
      </w:r>
      <w:r w:rsidRPr="0091472F">
        <w:rPr>
          <w:rFonts w:cs="Arial"/>
          <w:bCs/>
          <w:color w:val="000000"/>
          <w:spacing w:val="-2"/>
          <w:sz w:val="16"/>
          <w:szCs w:val="16"/>
        </w:rPr>
        <w:t>rovněž po zbylou část roku dosahoval přírůstek okolo 50</w:t>
      </w:r>
      <w:r>
        <w:rPr>
          <w:rFonts w:cs="Arial"/>
          <w:bCs/>
          <w:color w:val="000000"/>
          <w:spacing w:val="-2"/>
          <w:sz w:val="16"/>
          <w:szCs w:val="16"/>
        </w:rPr>
        <w:t> tis</w:t>
      </w:r>
      <w:r w:rsidRPr="0091472F">
        <w:rPr>
          <w:rFonts w:cs="Arial"/>
          <w:bCs/>
          <w:color w:val="000000"/>
          <w:spacing w:val="-2"/>
          <w:sz w:val="16"/>
          <w:szCs w:val="16"/>
        </w:rPr>
        <w:t>.</w:t>
      </w:r>
    </w:p>
  </w:footnote>
  <w:footnote w:id="63">
    <w:p w14:paraId="37AEEF55" w14:textId="77777777" w:rsidR="0091476D" w:rsidRPr="006A4CF3" w:rsidRDefault="0091476D" w:rsidP="00E97F14">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Podnikům postiženým dopady </w:t>
      </w:r>
      <w:proofErr w:type="spellStart"/>
      <w:r>
        <w:rPr>
          <w:spacing w:val="-2"/>
          <w:sz w:val="16"/>
          <w:szCs w:val="16"/>
        </w:rPr>
        <w:t>koronavirové</w:t>
      </w:r>
      <w:proofErr w:type="spellEnd"/>
      <w:r>
        <w:rPr>
          <w:spacing w:val="-2"/>
          <w:sz w:val="16"/>
          <w:szCs w:val="16"/>
        </w:rPr>
        <w:t xml:space="preserve"> krize přispíval za splnění určitých podmínek (např. zachování pracovních míst) na mzdy zaměstnanců částečně stát (program Antivirus). Tyto náhrady mezd čerpali lidé z titulu překážek v práci v souvislosti s pandemií. Naopak osoby, které nepracovaly z důvodu pobírání ošetřovného či nařízené karantény, pobíraly transfery od státu, které metodicky nejsou součástí mezd (jejich čerpání tak působilo proti růstu průměrných mezd).</w:t>
      </w:r>
    </w:p>
  </w:footnote>
  <w:footnote w:id="64">
    <w:p w14:paraId="4D2071CF" w14:textId="77777777" w:rsidR="0091476D" w:rsidRPr="006A49B8" w:rsidRDefault="0091476D" w:rsidP="00E97F14">
      <w:pPr>
        <w:pStyle w:val="Textpoznpodarou"/>
        <w:rPr>
          <w:spacing w:val="-4"/>
          <w:sz w:val="16"/>
          <w:szCs w:val="16"/>
        </w:rPr>
      </w:pPr>
      <w:r w:rsidRPr="006A49B8">
        <w:rPr>
          <w:rStyle w:val="Znakapoznpodarou"/>
          <w:spacing w:val="-4"/>
          <w:sz w:val="16"/>
          <w:szCs w:val="16"/>
        </w:rPr>
        <w:footnoteRef/>
      </w:r>
      <w:r w:rsidRPr="006A49B8">
        <w:rPr>
          <w:spacing w:val="-4"/>
          <w:sz w:val="16"/>
          <w:szCs w:val="16"/>
        </w:rPr>
        <w:t xml:space="preserve"> V segmentu výroby motorových vozidel mzdový růst ve 4.</w:t>
      </w:r>
      <w:r>
        <w:rPr>
          <w:spacing w:val="-4"/>
          <w:sz w:val="16"/>
          <w:szCs w:val="16"/>
        </w:rPr>
        <w:t> čtvrtlet</w:t>
      </w:r>
      <w:r w:rsidRPr="006A49B8">
        <w:rPr>
          <w:spacing w:val="-4"/>
          <w:sz w:val="16"/>
          <w:szCs w:val="16"/>
        </w:rPr>
        <w:t>í 2020 zrychlil na 5,9</w:t>
      </w:r>
      <w:r>
        <w:rPr>
          <w:spacing w:val="-4"/>
          <w:sz w:val="16"/>
          <w:szCs w:val="16"/>
        </w:rPr>
        <w:t> %</w:t>
      </w:r>
      <w:r w:rsidRPr="006A49B8">
        <w:rPr>
          <w:spacing w:val="-4"/>
          <w:sz w:val="16"/>
          <w:szCs w:val="16"/>
        </w:rPr>
        <w:t>, za celý rok zde však výdělky vzrostly jen o</w:t>
      </w:r>
      <w:r>
        <w:rPr>
          <w:spacing w:val="-4"/>
          <w:sz w:val="16"/>
          <w:szCs w:val="16"/>
        </w:rPr>
        <w:t> </w:t>
      </w:r>
      <w:r w:rsidRPr="006A49B8">
        <w:rPr>
          <w:spacing w:val="-4"/>
          <w:sz w:val="16"/>
          <w:szCs w:val="16"/>
        </w:rPr>
        <w:t>0,3</w:t>
      </w:r>
      <w:r>
        <w:rPr>
          <w:spacing w:val="-4"/>
          <w:sz w:val="16"/>
          <w:szCs w:val="16"/>
        </w:rPr>
        <w:t> %</w:t>
      </w:r>
      <w:r w:rsidRPr="006A49B8">
        <w:rPr>
          <w:spacing w:val="-4"/>
          <w:sz w:val="16"/>
          <w:szCs w:val="16"/>
        </w:rPr>
        <w:t>.</w:t>
      </w:r>
    </w:p>
  </w:footnote>
  <w:footnote w:id="65">
    <w:p w14:paraId="70BAFB8C" w14:textId="77777777" w:rsidR="0091476D" w:rsidRPr="000862CD" w:rsidRDefault="0091476D" w:rsidP="00E97F14">
      <w:pPr>
        <w:pStyle w:val="Textpoznpodarou"/>
        <w:rPr>
          <w:sz w:val="16"/>
          <w:szCs w:val="16"/>
        </w:rPr>
      </w:pPr>
      <w:r w:rsidRPr="000862CD">
        <w:rPr>
          <w:rStyle w:val="Znakapoznpodarou"/>
          <w:sz w:val="16"/>
          <w:szCs w:val="16"/>
        </w:rPr>
        <w:footnoteRef/>
      </w:r>
      <w:r w:rsidRPr="000862CD">
        <w:rPr>
          <w:sz w:val="16"/>
          <w:szCs w:val="16"/>
        </w:rPr>
        <w:t xml:space="preserve"> </w:t>
      </w:r>
      <w:r w:rsidRPr="000862CD">
        <w:rPr>
          <w:bCs/>
          <w:spacing w:val="-3"/>
          <w:sz w:val="16"/>
          <w:szCs w:val="16"/>
        </w:rPr>
        <w:t xml:space="preserve">Projevila se výplata mimořádných odměn zdravotníkům v souvislosti s vyššími výkony během jarní pandemické vlny. Bez zahrnutí tohoto odvětví by se mzdový růst v ekonomice </w:t>
      </w:r>
      <w:r>
        <w:rPr>
          <w:bCs/>
          <w:spacing w:val="-3"/>
          <w:sz w:val="16"/>
          <w:szCs w:val="16"/>
        </w:rPr>
        <w:t xml:space="preserve">ve 4. čtvrtletí </w:t>
      </w:r>
      <w:r w:rsidRPr="000862CD">
        <w:rPr>
          <w:bCs/>
          <w:spacing w:val="-3"/>
          <w:sz w:val="16"/>
          <w:szCs w:val="16"/>
        </w:rPr>
        <w:t>pohyboval jen mírně nad 4</w:t>
      </w:r>
      <w:r>
        <w:rPr>
          <w:bCs/>
          <w:spacing w:val="-3"/>
          <w:sz w:val="16"/>
          <w:szCs w:val="16"/>
        </w:rPr>
        <w:t> %</w:t>
      </w:r>
      <w:r w:rsidRPr="000862CD">
        <w:rPr>
          <w:bCs/>
          <w:spacing w:val="-3"/>
          <w:sz w:val="16"/>
          <w:szCs w:val="16"/>
        </w:rPr>
        <w:t>.</w:t>
      </w:r>
    </w:p>
  </w:footnote>
  <w:footnote w:id="66">
    <w:p w14:paraId="50511289" w14:textId="77777777" w:rsidR="0091476D" w:rsidRPr="005370FE" w:rsidRDefault="0091476D" w:rsidP="00E97F14">
      <w:pPr>
        <w:pStyle w:val="Textpoznpodarou"/>
        <w:rPr>
          <w:sz w:val="16"/>
          <w:szCs w:val="16"/>
        </w:rPr>
      </w:pPr>
      <w:r w:rsidRPr="005370FE">
        <w:rPr>
          <w:rStyle w:val="Znakapoznpodarou"/>
          <w:sz w:val="16"/>
          <w:szCs w:val="16"/>
        </w:rPr>
        <w:footnoteRef/>
      </w:r>
      <w:r w:rsidRPr="005370FE">
        <w:rPr>
          <w:sz w:val="16"/>
          <w:szCs w:val="16"/>
        </w:rPr>
        <w:t xml:space="preserve"> Jednalo se o</w:t>
      </w:r>
      <w:r>
        <w:rPr>
          <w:sz w:val="16"/>
          <w:szCs w:val="16"/>
        </w:rPr>
        <w:t> </w:t>
      </w:r>
      <w:r w:rsidRPr="005370FE">
        <w:rPr>
          <w:sz w:val="16"/>
          <w:szCs w:val="16"/>
        </w:rPr>
        <w:t>jedno z mála hlavních odvětví ekonomiky, kde za loňský rok počet zaměstnanci odpracovaných hodin narostl (+1,6</w:t>
      </w:r>
      <w:r>
        <w:rPr>
          <w:sz w:val="16"/>
          <w:szCs w:val="16"/>
        </w:rPr>
        <w:t> %</w:t>
      </w:r>
      <w:r w:rsidRPr="005370FE">
        <w:rPr>
          <w:sz w:val="16"/>
          <w:szCs w:val="16"/>
        </w:rPr>
        <w:t>).</w:t>
      </w:r>
    </w:p>
  </w:footnote>
  <w:footnote w:id="67">
    <w:p w14:paraId="1A7E7803" w14:textId="77777777" w:rsidR="0091476D" w:rsidRDefault="0091476D" w:rsidP="009B1324">
      <w:pPr>
        <w:pStyle w:val="Textpoznpodarou"/>
        <w:rPr>
          <w:sz w:val="16"/>
          <w:szCs w:val="16"/>
        </w:rPr>
      </w:pPr>
      <w:r>
        <w:rPr>
          <w:rStyle w:val="Znakapoznpodarou"/>
          <w:sz w:val="16"/>
          <w:szCs w:val="16"/>
        </w:rPr>
        <w:footnoteRef/>
      </w:r>
      <w:r>
        <w:rPr>
          <w:sz w:val="16"/>
          <w:szCs w:val="16"/>
        </w:rPr>
        <w:t xml:space="preserve"> Není</w:t>
      </w:r>
      <w:r>
        <w:rPr>
          <w:sz w:val="16"/>
          <w:szCs w:val="16"/>
        </w:rPr>
        <w:noBreakHyphen/>
        <w:t>li uvedeno jinak, je zdrojem údajů v této kapitole databáze ARAD České národní banky. Hodnoty směnných kurzů jsou rovněž převzaty od ČNB.</w:t>
      </w:r>
    </w:p>
  </w:footnote>
  <w:footnote w:id="68">
    <w:p w14:paraId="00CEC730" w14:textId="77777777" w:rsidR="0091476D" w:rsidRPr="00D275CA" w:rsidRDefault="0091476D" w:rsidP="009B1324">
      <w:pPr>
        <w:pStyle w:val="Textpoznpodarou"/>
        <w:rPr>
          <w:sz w:val="16"/>
          <w:szCs w:val="16"/>
        </w:rPr>
      </w:pPr>
      <w:r w:rsidRPr="00D275CA">
        <w:rPr>
          <w:rStyle w:val="Znakapoznpodarou"/>
          <w:sz w:val="16"/>
          <w:szCs w:val="16"/>
        </w:rPr>
        <w:footnoteRef/>
      </w:r>
      <w:r w:rsidRPr="00D275CA">
        <w:rPr>
          <w:sz w:val="16"/>
          <w:szCs w:val="16"/>
        </w:rPr>
        <w:t xml:space="preserve"> V minulosti souvisel prudký růst objemu krátkodobých úvěrů v cizí měně s</w:t>
      </w:r>
      <w:r>
        <w:rPr>
          <w:sz w:val="16"/>
          <w:szCs w:val="16"/>
        </w:rPr>
        <w:t> očekávaným posílením kurzu (například před ukončením intervencí v roce 2017). V roce 2020 mělo oslabení kurzu vůči euru a dolaru spíše dočasný charakter, což posilovalo spekulace.</w:t>
      </w:r>
    </w:p>
  </w:footnote>
  <w:footnote w:id="69">
    <w:p w14:paraId="468BA032" w14:textId="77777777" w:rsidR="0091476D" w:rsidRPr="00E915E7" w:rsidRDefault="0091476D" w:rsidP="00267C51">
      <w:pPr>
        <w:pStyle w:val="Textpoznpodarou"/>
        <w:jc w:val="both"/>
        <w:rPr>
          <w:spacing w:val="-2"/>
          <w:sz w:val="16"/>
          <w:szCs w:val="16"/>
        </w:rPr>
      </w:pPr>
      <w:r w:rsidRPr="00E915E7">
        <w:rPr>
          <w:rStyle w:val="Znakapoznpodarou"/>
          <w:spacing w:val="-2"/>
          <w:sz w:val="16"/>
          <w:szCs w:val="16"/>
        </w:rPr>
        <w:footnoteRef/>
      </w:r>
      <w:r w:rsidRPr="00E915E7">
        <w:rPr>
          <w:spacing w:val="-2"/>
          <w:sz w:val="16"/>
          <w:szCs w:val="16"/>
        </w:rPr>
        <w:t xml:space="preserve"> </w:t>
      </w:r>
      <w:r w:rsidRPr="00E915E7">
        <w:rPr>
          <w:color w:val="0D0D0D" w:themeColor="text1" w:themeTint="F2"/>
          <w:spacing w:val="-2"/>
          <w:sz w:val="16"/>
          <w:szCs w:val="16"/>
        </w:rPr>
        <w:t xml:space="preserve">Pokud není uvedeno jinak, vycházejí všechny údaje týkající se státního rozpočtu </w:t>
      </w:r>
      <w:r w:rsidRPr="00E915E7">
        <w:rPr>
          <w:rFonts w:cs="Arial"/>
          <w:color w:val="0D0D0D" w:themeColor="text1" w:themeTint="F2"/>
          <w:spacing w:val="-2"/>
          <w:sz w:val="16"/>
          <w:szCs w:val="16"/>
        </w:rPr>
        <w:t>z dat Ministerstva financí o pokladním plnění.</w:t>
      </w:r>
    </w:p>
  </w:footnote>
  <w:footnote w:id="70">
    <w:p w14:paraId="758D7E4B" w14:textId="77777777" w:rsidR="0091476D" w:rsidRPr="00E915E7" w:rsidRDefault="0091476D" w:rsidP="00267C51">
      <w:pPr>
        <w:pStyle w:val="Textpoznpodarou"/>
        <w:rPr>
          <w:spacing w:val="-2"/>
          <w:sz w:val="16"/>
          <w:szCs w:val="16"/>
        </w:rPr>
      </w:pPr>
      <w:r w:rsidRPr="00E915E7">
        <w:rPr>
          <w:rStyle w:val="Znakapoznpodarou"/>
          <w:spacing w:val="-2"/>
          <w:sz w:val="16"/>
          <w:szCs w:val="16"/>
        </w:rPr>
        <w:footnoteRef/>
      </w:r>
      <w:r>
        <w:rPr>
          <w:spacing w:val="-2"/>
          <w:sz w:val="16"/>
          <w:szCs w:val="16"/>
        </w:rPr>
        <w:t xml:space="preserve"> Deficit SR se jen během května prohloubil o </w:t>
      </w:r>
      <w:r w:rsidRPr="00E915E7">
        <w:rPr>
          <w:spacing w:val="-2"/>
          <w:sz w:val="16"/>
          <w:szCs w:val="16"/>
        </w:rPr>
        <w:t>63</w:t>
      </w:r>
      <w:r>
        <w:rPr>
          <w:spacing w:val="-2"/>
          <w:sz w:val="16"/>
          <w:szCs w:val="16"/>
        </w:rPr>
        <w:t>,7 mld. korun, za listopad o dalších</w:t>
      </w:r>
      <w:r w:rsidRPr="00E915E7">
        <w:rPr>
          <w:spacing w:val="-2"/>
          <w:sz w:val="16"/>
          <w:szCs w:val="16"/>
        </w:rPr>
        <w:t xml:space="preserve"> 67,5</w:t>
      </w:r>
      <w:r>
        <w:rPr>
          <w:spacing w:val="-2"/>
          <w:sz w:val="16"/>
          <w:szCs w:val="16"/>
        </w:rPr>
        <w:t> mld.</w:t>
      </w:r>
    </w:p>
  </w:footnote>
  <w:footnote w:id="71">
    <w:p w14:paraId="5033052C" w14:textId="77777777" w:rsidR="0091476D" w:rsidRPr="00E915E7" w:rsidRDefault="0091476D" w:rsidP="00267C51">
      <w:pPr>
        <w:pStyle w:val="Textpoznpodarou"/>
        <w:rPr>
          <w:spacing w:val="-2"/>
          <w:sz w:val="16"/>
          <w:szCs w:val="16"/>
        </w:rPr>
      </w:pPr>
      <w:r w:rsidRPr="00E915E7">
        <w:rPr>
          <w:rStyle w:val="Znakapoznpodarou"/>
          <w:spacing w:val="-2"/>
          <w:sz w:val="16"/>
          <w:szCs w:val="16"/>
        </w:rPr>
        <w:footnoteRef/>
      </w:r>
      <w:r w:rsidRPr="00E915E7">
        <w:rPr>
          <w:spacing w:val="-2"/>
          <w:sz w:val="16"/>
          <w:szCs w:val="16"/>
        </w:rPr>
        <w:t xml:space="preserve"> Hloubka propadu v roce 2009 byla ovšem ve srovnání s loňským rokem více než </w:t>
      </w:r>
      <w:proofErr w:type="gramStart"/>
      <w:r w:rsidRPr="00E915E7">
        <w:rPr>
          <w:spacing w:val="-2"/>
          <w:sz w:val="16"/>
          <w:szCs w:val="16"/>
        </w:rPr>
        <w:t>dvojnásobná (–11,6</w:t>
      </w:r>
      <w:proofErr w:type="gramEnd"/>
      <w:r>
        <w:rPr>
          <w:spacing w:val="-2"/>
          <w:sz w:val="16"/>
          <w:szCs w:val="16"/>
        </w:rPr>
        <w:t> %</w:t>
      </w:r>
      <w:r w:rsidRPr="00E915E7">
        <w:rPr>
          <w:spacing w:val="-2"/>
          <w:sz w:val="16"/>
          <w:szCs w:val="16"/>
        </w:rPr>
        <w:t>).</w:t>
      </w:r>
    </w:p>
  </w:footnote>
  <w:footnote w:id="72">
    <w:p w14:paraId="505A41A0" w14:textId="77777777" w:rsidR="0091476D" w:rsidRPr="00E915E7" w:rsidRDefault="0091476D" w:rsidP="00267C51">
      <w:pPr>
        <w:pStyle w:val="Textpoznpodarou"/>
        <w:rPr>
          <w:spacing w:val="-2"/>
          <w:sz w:val="16"/>
          <w:szCs w:val="16"/>
        </w:rPr>
      </w:pPr>
      <w:r w:rsidRPr="00E915E7">
        <w:rPr>
          <w:rStyle w:val="Znakapoznpodarou"/>
          <w:spacing w:val="-2"/>
          <w:sz w:val="16"/>
          <w:szCs w:val="16"/>
        </w:rPr>
        <w:footnoteRef/>
      </w:r>
      <w:r w:rsidRPr="00E915E7">
        <w:rPr>
          <w:spacing w:val="-2"/>
          <w:sz w:val="16"/>
          <w:szCs w:val="16"/>
        </w:rPr>
        <w:t xml:space="preserve"> V tomto segmentu jsou častěji zastoupeny malé a</w:t>
      </w:r>
      <w:r>
        <w:rPr>
          <w:spacing w:val="-2"/>
          <w:sz w:val="16"/>
          <w:szCs w:val="16"/>
        </w:rPr>
        <w:t> </w:t>
      </w:r>
      <w:r w:rsidRPr="00E915E7">
        <w:rPr>
          <w:spacing w:val="-2"/>
          <w:sz w:val="16"/>
          <w:szCs w:val="16"/>
        </w:rPr>
        <w:t>střední podniky, které vzhledem k velikosti tržeb nemus</w:t>
      </w:r>
      <w:r>
        <w:rPr>
          <w:spacing w:val="-2"/>
          <w:sz w:val="16"/>
          <w:szCs w:val="16"/>
        </w:rPr>
        <w:t>ej</w:t>
      </w:r>
      <w:r w:rsidRPr="00E915E7">
        <w:rPr>
          <w:spacing w:val="-2"/>
          <w:sz w:val="16"/>
          <w:szCs w:val="16"/>
        </w:rPr>
        <w:t xml:space="preserve">í být mnohdy pravidelnými plátci záloh daně. Jejich nepříznivé hospodářské výsledky se tak poprvé naplno projeví v inkasu až </w:t>
      </w:r>
      <w:r>
        <w:rPr>
          <w:spacing w:val="-2"/>
          <w:sz w:val="16"/>
          <w:szCs w:val="16"/>
        </w:rPr>
        <w:t>v </w:t>
      </w:r>
      <w:r w:rsidRPr="00E915E7">
        <w:rPr>
          <w:spacing w:val="-2"/>
          <w:sz w:val="16"/>
          <w:szCs w:val="16"/>
        </w:rPr>
        <w:t>létě 2021 (při ročním zúčtování daně).</w:t>
      </w:r>
    </w:p>
  </w:footnote>
  <w:footnote w:id="73">
    <w:p w14:paraId="31946C65" w14:textId="77777777" w:rsidR="0091476D" w:rsidRPr="00E915E7" w:rsidRDefault="0091476D" w:rsidP="00267C51">
      <w:pPr>
        <w:pStyle w:val="Textpoznpodarou"/>
        <w:rPr>
          <w:spacing w:val="-2"/>
        </w:rPr>
      </w:pPr>
      <w:r w:rsidRPr="00E915E7">
        <w:rPr>
          <w:rStyle w:val="Znakapoznpodarou"/>
          <w:spacing w:val="-2"/>
          <w:sz w:val="16"/>
          <w:szCs w:val="16"/>
        </w:rPr>
        <w:footnoteRef/>
      </w:r>
      <w:r w:rsidRPr="00E915E7">
        <w:rPr>
          <w:spacing w:val="-2"/>
          <w:sz w:val="16"/>
          <w:szCs w:val="16"/>
        </w:rPr>
        <w:t xml:space="preserve"> K hlubšímu meziročnímu poklesu výběru této daně došlo naposledy v roce 2008 (o 8,9 %). Zásadní vliv tehdy mělo zavedení rovné 15% daně ze </w:t>
      </w:r>
      <w:proofErr w:type="spellStart"/>
      <w:r w:rsidRPr="00E915E7">
        <w:rPr>
          <w:spacing w:val="-2"/>
          <w:sz w:val="16"/>
          <w:szCs w:val="16"/>
        </w:rPr>
        <w:t>superhrubé</w:t>
      </w:r>
      <w:proofErr w:type="spellEnd"/>
      <w:r w:rsidRPr="00E915E7">
        <w:rPr>
          <w:spacing w:val="-2"/>
          <w:sz w:val="16"/>
          <w:szCs w:val="16"/>
        </w:rPr>
        <w:t xml:space="preserve"> mzdy.</w:t>
      </w:r>
    </w:p>
  </w:footnote>
  <w:footnote w:id="74">
    <w:p w14:paraId="260F2D4B" w14:textId="77777777" w:rsidR="0091476D" w:rsidRPr="00E915E7" w:rsidRDefault="0091476D" w:rsidP="00267C51">
      <w:pPr>
        <w:pStyle w:val="Textpoznpodarou"/>
        <w:rPr>
          <w:sz w:val="16"/>
          <w:szCs w:val="16"/>
        </w:rPr>
      </w:pPr>
      <w:r w:rsidRPr="00E915E7">
        <w:rPr>
          <w:rStyle w:val="Znakapoznpodarou"/>
          <w:spacing w:val="-2"/>
          <w:sz w:val="16"/>
          <w:szCs w:val="16"/>
        </w:rPr>
        <w:footnoteRef/>
      </w:r>
      <w:r w:rsidRPr="00E915E7">
        <w:rPr>
          <w:spacing w:val="-2"/>
          <w:sz w:val="16"/>
          <w:szCs w:val="16"/>
        </w:rPr>
        <w:t xml:space="preserve"> Šlo </w:t>
      </w:r>
      <w:r>
        <w:rPr>
          <w:spacing w:val="-2"/>
          <w:sz w:val="16"/>
          <w:szCs w:val="16"/>
        </w:rPr>
        <w:t>o </w:t>
      </w:r>
      <w:r w:rsidRPr="00E915E7">
        <w:rPr>
          <w:spacing w:val="-2"/>
          <w:sz w:val="16"/>
          <w:szCs w:val="16"/>
        </w:rPr>
        <w:t xml:space="preserve">jedinou z objemově významnějších daní, jejíž výběr předčil v roce 2020 původní rozpočtové očekávání (dle </w:t>
      </w:r>
      <w:r>
        <w:rPr>
          <w:spacing w:val="-2"/>
          <w:sz w:val="16"/>
          <w:szCs w:val="16"/>
        </w:rPr>
        <w:t>z</w:t>
      </w:r>
      <w:r w:rsidRPr="00E915E7">
        <w:rPr>
          <w:spacing w:val="-2"/>
          <w:sz w:val="16"/>
          <w:szCs w:val="16"/>
        </w:rPr>
        <w:t>ákona o</w:t>
      </w:r>
      <w:r>
        <w:rPr>
          <w:spacing w:val="-2"/>
          <w:sz w:val="16"/>
          <w:szCs w:val="16"/>
        </w:rPr>
        <w:t> </w:t>
      </w:r>
      <w:r w:rsidRPr="00E915E7">
        <w:rPr>
          <w:spacing w:val="-2"/>
          <w:sz w:val="16"/>
          <w:szCs w:val="16"/>
        </w:rPr>
        <w:t>státním rozpočtu schválené</w:t>
      </w:r>
      <w:r>
        <w:rPr>
          <w:spacing w:val="-2"/>
          <w:sz w:val="16"/>
          <w:szCs w:val="16"/>
        </w:rPr>
        <w:t>ho</w:t>
      </w:r>
      <w:r w:rsidRPr="00E915E7">
        <w:rPr>
          <w:spacing w:val="-2"/>
          <w:sz w:val="16"/>
          <w:szCs w:val="16"/>
        </w:rPr>
        <w:t xml:space="preserve"> 4</w:t>
      </w:r>
      <w:r>
        <w:rPr>
          <w:spacing w:val="-2"/>
          <w:sz w:val="16"/>
          <w:szCs w:val="16"/>
        </w:rPr>
        <w:t>. </w:t>
      </w:r>
      <w:r w:rsidRPr="00E915E7">
        <w:rPr>
          <w:spacing w:val="-2"/>
          <w:sz w:val="16"/>
          <w:szCs w:val="16"/>
        </w:rPr>
        <w:t>prosince 2019 s rozpočtovým schodkem 40</w:t>
      </w:r>
      <w:r>
        <w:rPr>
          <w:spacing w:val="-2"/>
          <w:sz w:val="16"/>
          <w:szCs w:val="16"/>
        </w:rPr>
        <w:t> mld.</w:t>
      </w:r>
      <w:r w:rsidRPr="00E915E7">
        <w:rPr>
          <w:spacing w:val="-2"/>
          <w:sz w:val="16"/>
          <w:szCs w:val="16"/>
        </w:rPr>
        <w:t xml:space="preserve"> korun).</w:t>
      </w:r>
    </w:p>
  </w:footnote>
  <w:footnote w:id="75">
    <w:p w14:paraId="2F495E7A" w14:textId="77777777" w:rsidR="0091476D" w:rsidRPr="00E97F14" w:rsidRDefault="0091476D" w:rsidP="00267C51">
      <w:pPr>
        <w:pStyle w:val="Textpoznpodarou"/>
        <w:jc w:val="both"/>
        <w:rPr>
          <w:spacing w:val="-5"/>
          <w:sz w:val="16"/>
          <w:szCs w:val="16"/>
        </w:rPr>
      </w:pPr>
      <w:r w:rsidRPr="00E97F14">
        <w:rPr>
          <w:rStyle w:val="Znakapoznpodarou"/>
          <w:spacing w:val="-5"/>
          <w:sz w:val="16"/>
          <w:szCs w:val="16"/>
        </w:rPr>
        <w:footnoteRef/>
      </w:r>
      <w:r w:rsidRPr="00E97F14">
        <w:rPr>
          <w:spacing w:val="-5"/>
          <w:sz w:val="16"/>
          <w:szCs w:val="16"/>
        </w:rPr>
        <w:t xml:space="preserve"> Šlo</w:t>
      </w:r>
      <w:r w:rsidRPr="00E97F14">
        <w:rPr>
          <w:color w:val="0D0D0D" w:themeColor="text1" w:themeTint="F2"/>
          <w:spacing w:val="-5"/>
          <w:sz w:val="16"/>
          <w:szCs w:val="16"/>
        </w:rPr>
        <w:t xml:space="preserve"> primárně o výdaje do zdravotnictví (54,8 mld. korun, zejména nákup ochranných prostředků v souvislosti s covidem-19, oddlužení vybraných nemocnic, posílení platby státu za státní pojištěnce a zvýšení osobních nákladů pracovníků ve zdravotnictví), dále o program Antivirus A + B (23,7 mld.), ošetřovné pro zaměstnance a OSVČ (12,0 mld.), jednorázovou kompenzaci výpadku příjmů pro obce a města (13,4 mld.), navýšení prostředků na platy a odměny v sociálních službách a dalších vybraných oblastech veřejného sektoru mimo zdravotnictví (3,3 mld.) či další programy na přímou podporu zasažených firem i odvětví – např. COVID Nájemné (4,1 mld.) a COVID Ubytování (2,3 mld. korun).</w:t>
      </w:r>
    </w:p>
  </w:footnote>
  <w:footnote w:id="76">
    <w:p w14:paraId="2CBA4C0F" w14:textId="77777777" w:rsidR="0091476D" w:rsidRPr="002802FF" w:rsidRDefault="0091476D" w:rsidP="00267C51">
      <w:pPr>
        <w:pStyle w:val="Textpoznpodarou"/>
        <w:rPr>
          <w:spacing w:val="-2"/>
          <w:sz w:val="16"/>
          <w:szCs w:val="16"/>
        </w:rPr>
      </w:pPr>
      <w:r w:rsidRPr="002802FF">
        <w:rPr>
          <w:rStyle w:val="Znakapoznpodarou"/>
          <w:spacing w:val="-2"/>
          <w:sz w:val="16"/>
          <w:szCs w:val="16"/>
        </w:rPr>
        <w:footnoteRef/>
      </w:r>
      <w:r w:rsidRPr="002802FF">
        <w:rPr>
          <w:spacing w:val="-2"/>
          <w:sz w:val="16"/>
          <w:szCs w:val="16"/>
        </w:rPr>
        <w:t xml:space="preserve"> Celkové výdaje na neinvestiční nákupy (bez výdajů na obsluhu státní</w:t>
      </w:r>
      <w:r>
        <w:rPr>
          <w:spacing w:val="-2"/>
          <w:sz w:val="16"/>
          <w:szCs w:val="16"/>
        </w:rPr>
        <w:t>ho</w:t>
      </w:r>
      <w:r w:rsidRPr="002802FF">
        <w:rPr>
          <w:spacing w:val="-2"/>
          <w:sz w:val="16"/>
          <w:szCs w:val="16"/>
        </w:rPr>
        <w:t xml:space="preserve"> dluhu) loni dosáhly 78</w:t>
      </w:r>
      <w:r>
        <w:rPr>
          <w:spacing w:val="-2"/>
          <w:sz w:val="16"/>
          <w:szCs w:val="16"/>
        </w:rPr>
        <w:t> mld.</w:t>
      </w:r>
      <w:r w:rsidRPr="002802FF">
        <w:rPr>
          <w:spacing w:val="-2"/>
          <w:sz w:val="16"/>
          <w:szCs w:val="16"/>
        </w:rPr>
        <w:t xml:space="preserve"> korun</w:t>
      </w:r>
      <w:r>
        <w:rPr>
          <w:spacing w:val="-2"/>
          <w:sz w:val="16"/>
          <w:szCs w:val="16"/>
        </w:rPr>
        <w:t>,</w:t>
      </w:r>
      <w:r w:rsidRPr="002802FF">
        <w:rPr>
          <w:spacing w:val="-2"/>
          <w:sz w:val="16"/>
          <w:szCs w:val="16"/>
        </w:rPr>
        <w:t xml:space="preserve"> a</w:t>
      </w:r>
      <w:r>
        <w:rPr>
          <w:spacing w:val="-2"/>
          <w:sz w:val="16"/>
          <w:szCs w:val="16"/>
        </w:rPr>
        <w:t> </w:t>
      </w:r>
      <w:r w:rsidRPr="002802FF">
        <w:rPr>
          <w:spacing w:val="-2"/>
          <w:sz w:val="16"/>
          <w:szCs w:val="16"/>
        </w:rPr>
        <w:t>překonaly tak dosud rekordní výši z roku 2008 (72</w:t>
      </w:r>
      <w:r>
        <w:rPr>
          <w:spacing w:val="-2"/>
          <w:sz w:val="16"/>
          <w:szCs w:val="16"/>
        </w:rPr>
        <w:t> mld.</w:t>
      </w:r>
      <w:r w:rsidRPr="002802FF">
        <w:rPr>
          <w:spacing w:val="-2"/>
          <w:sz w:val="16"/>
          <w:szCs w:val="16"/>
        </w:rPr>
        <w:t>). Tyto výdaje byly v první polovině poslední dekády ve vazbě na úsporná opatření významně redukovány.</w:t>
      </w:r>
    </w:p>
  </w:footnote>
  <w:footnote w:id="77">
    <w:p w14:paraId="020497D8" w14:textId="77777777" w:rsidR="0091476D" w:rsidRPr="002802FF" w:rsidRDefault="0091476D" w:rsidP="00267C51">
      <w:pPr>
        <w:pStyle w:val="Textpoznpodarou"/>
        <w:jc w:val="both"/>
        <w:rPr>
          <w:spacing w:val="-2"/>
        </w:rPr>
      </w:pPr>
      <w:r w:rsidRPr="002802FF">
        <w:rPr>
          <w:rStyle w:val="Znakapoznpodarou"/>
          <w:spacing w:val="-2"/>
          <w:sz w:val="16"/>
          <w:szCs w:val="16"/>
        </w:rPr>
        <w:footnoteRef/>
      </w:r>
      <w:r w:rsidRPr="002802FF">
        <w:rPr>
          <w:spacing w:val="-2"/>
          <w:sz w:val="16"/>
          <w:szCs w:val="16"/>
        </w:rPr>
        <w:t xml:space="preserve"> Šlo o </w:t>
      </w:r>
      <w:r w:rsidRPr="002802FF">
        <w:rPr>
          <w:color w:val="0D0D0D" w:themeColor="text1" w:themeTint="F2"/>
          <w:spacing w:val="-2"/>
          <w:sz w:val="16"/>
          <w:szCs w:val="16"/>
        </w:rPr>
        <w:t>zrušení minimálních záloh pro OSVČ na sociální pojištění s odhadovaným rozpočtovým dopadem ve výši 7,4 mld. korun a dále o prominutí pojistného na sociální zabezpečení a politiku zaměstnanosti placeného zaměstnavatelem (13,3 mld.).</w:t>
      </w:r>
    </w:p>
  </w:footnote>
  <w:footnote w:id="78">
    <w:p w14:paraId="0541FC62" w14:textId="77777777" w:rsidR="0091476D" w:rsidRPr="002802FF" w:rsidRDefault="0091476D" w:rsidP="00267C51">
      <w:pPr>
        <w:pStyle w:val="Textpoznpodarou"/>
        <w:jc w:val="both"/>
        <w:rPr>
          <w:spacing w:val="-2"/>
        </w:rPr>
      </w:pPr>
      <w:r w:rsidRPr="002802FF">
        <w:rPr>
          <w:rStyle w:val="Znakapoznpodarou"/>
          <w:spacing w:val="-2"/>
          <w:sz w:val="16"/>
          <w:szCs w:val="16"/>
        </w:rPr>
        <w:footnoteRef/>
      </w:r>
      <w:r>
        <w:rPr>
          <w:spacing w:val="-2"/>
          <w:sz w:val="16"/>
          <w:szCs w:val="16"/>
        </w:rPr>
        <w:t xml:space="preserve"> Vyjadřuje</w:t>
      </w:r>
      <w:r w:rsidRPr="002802FF">
        <w:rPr>
          <w:spacing w:val="-2"/>
          <w:sz w:val="16"/>
          <w:szCs w:val="16"/>
        </w:rPr>
        <w:t xml:space="preserve"> </w:t>
      </w:r>
      <w:r w:rsidRPr="002802FF">
        <w:rPr>
          <w:rFonts w:cs="Arial"/>
          <w:color w:val="000000" w:themeColor="text1"/>
          <w:spacing w:val="-2"/>
          <w:sz w:val="16"/>
          <w:szCs w:val="16"/>
        </w:rPr>
        <w:t xml:space="preserve">rozdíl mezi příjmy a výdaji na důchody ze SR. Ve výdajích nejsou zahrnuty prostředky na správu systému důchodového </w:t>
      </w:r>
      <w:r>
        <w:rPr>
          <w:rFonts w:cs="Arial"/>
          <w:color w:val="0D0D0D" w:themeColor="text1" w:themeTint="F2"/>
          <w:spacing w:val="-2"/>
          <w:sz w:val="16"/>
          <w:szCs w:val="16"/>
        </w:rPr>
        <w:t>pojištění.</w:t>
      </w:r>
    </w:p>
  </w:footnote>
  <w:footnote w:id="79">
    <w:p w14:paraId="4F7BF6F2" w14:textId="77777777" w:rsidR="0091476D" w:rsidRPr="00396298" w:rsidRDefault="0091476D" w:rsidP="00267C51">
      <w:pPr>
        <w:pStyle w:val="Textpoznpodarou"/>
        <w:rPr>
          <w:sz w:val="16"/>
          <w:szCs w:val="16"/>
        </w:rPr>
      </w:pPr>
      <w:r w:rsidRPr="002802FF">
        <w:rPr>
          <w:rStyle w:val="Znakapoznpodarou"/>
          <w:spacing w:val="-2"/>
          <w:sz w:val="16"/>
          <w:szCs w:val="16"/>
        </w:rPr>
        <w:footnoteRef/>
      </w:r>
      <w:r w:rsidRPr="002802FF">
        <w:rPr>
          <w:spacing w:val="-2"/>
          <w:sz w:val="16"/>
          <w:szCs w:val="16"/>
        </w:rPr>
        <w:t xml:space="preserve"> Z údajů ČSSZ o dočasné pracovní neschopnosti plyne, že zatímco v 1. čtvrtletí 2020 počet prostonaných dnů meziročně klesl o 1,5 %, ve 2. čtvrtletí vzrostl o 15,8 % a v následujícím kvartálu o 13,4 %.</w:t>
      </w:r>
    </w:p>
  </w:footnote>
  <w:footnote w:id="80">
    <w:p w14:paraId="61BD8D5A" w14:textId="77777777" w:rsidR="0091476D" w:rsidRPr="000D151F" w:rsidRDefault="0091476D" w:rsidP="00267C51">
      <w:pPr>
        <w:pStyle w:val="Textpoznpodarou"/>
        <w:rPr>
          <w:sz w:val="16"/>
          <w:szCs w:val="16"/>
        </w:rPr>
      </w:pPr>
      <w:r w:rsidRPr="000D151F">
        <w:rPr>
          <w:rStyle w:val="Znakapoznpodarou"/>
          <w:sz w:val="16"/>
          <w:szCs w:val="16"/>
        </w:rPr>
        <w:footnoteRef/>
      </w:r>
      <w:r w:rsidRPr="000D151F">
        <w:rPr>
          <w:sz w:val="16"/>
          <w:szCs w:val="16"/>
        </w:rPr>
        <w:t xml:space="preserve"> V krizovém roce 2009</w:t>
      </w:r>
      <w:r>
        <w:rPr>
          <w:sz w:val="16"/>
          <w:szCs w:val="16"/>
        </w:rPr>
        <w:t xml:space="preserve"> narostl státní dluh „jen“ o 18 %, v následujícím roce o 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91476D" w:rsidRDefault="0091476D" w:rsidP="00937AE2">
    <w:pPr>
      <w:pStyle w:val="Zhlav"/>
    </w:pPr>
    <w:r>
      <w:t>Vývoj ekonomiky České republiky</w:t>
    </w:r>
  </w:p>
  <w:p w14:paraId="675E4C41" w14:textId="77777777" w:rsidR="0091476D" w:rsidRPr="006F5416" w:rsidRDefault="0091476D"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91476D" w:rsidRDefault="0091476D" w:rsidP="00937AE2">
    <w:pPr>
      <w:pStyle w:val="Zhlav"/>
    </w:pPr>
    <w:r>
      <w:t>Vývoj ekonomiky České republiky</w:t>
    </w:r>
  </w:p>
  <w:p w14:paraId="0CDCFD48" w14:textId="77777777" w:rsidR="0091476D" w:rsidRPr="006F5416" w:rsidRDefault="0091476D"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D7494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29B7"/>
    <w:rsid w:val="0001387D"/>
    <w:rsid w:val="00014ED0"/>
    <w:rsid w:val="00016420"/>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8AF"/>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7191"/>
    <w:rsid w:val="000974D1"/>
    <w:rsid w:val="00097784"/>
    <w:rsid w:val="0009799E"/>
    <w:rsid w:val="000A07CB"/>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FF4"/>
    <w:rsid w:val="000B03CC"/>
    <w:rsid w:val="000B4212"/>
    <w:rsid w:val="000B67B7"/>
    <w:rsid w:val="000C0EA8"/>
    <w:rsid w:val="000C13A2"/>
    <w:rsid w:val="000C21E7"/>
    <w:rsid w:val="000C23EC"/>
    <w:rsid w:val="000C30C3"/>
    <w:rsid w:val="000C3408"/>
    <w:rsid w:val="000C35AB"/>
    <w:rsid w:val="000C3F7B"/>
    <w:rsid w:val="000C4769"/>
    <w:rsid w:val="000C4D56"/>
    <w:rsid w:val="000C5DFA"/>
    <w:rsid w:val="000C6AFD"/>
    <w:rsid w:val="000C6C90"/>
    <w:rsid w:val="000C72B7"/>
    <w:rsid w:val="000D0A26"/>
    <w:rsid w:val="000D3058"/>
    <w:rsid w:val="000D310A"/>
    <w:rsid w:val="000D3EF4"/>
    <w:rsid w:val="000D4DC0"/>
    <w:rsid w:val="000D5637"/>
    <w:rsid w:val="000D6F4E"/>
    <w:rsid w:val="000D73BB"/>
    <w:rsid w:val="000E0E96"/>
    <w:rsid w:val="000E298B"/>
    <w:rsid w:val="000E2C7D"/>
    <w:rsid w:val="000E3E56"/>
    <w:rsid w:val="000E440D"/>
    <w:rsid w:val="000E4AC5"/>
    <w:rsid w:val="000E6253"/>
    <w:rsid w:val="000E6E4D"/>
    <w:rsid w:val="000E6FBD"/>
    <w:rsid w:val="000E6FCB"/>
    <w:rsid w:val="000F090B"/>
    <w:rsid w:val="000F3F3B"/>
    <w:rsid w:val="000F47E8"/>
    <w:rsid w:val="000F70E4"/>
    <w:rsid w:val="000F76EA"/>
    <w:rsid w:val="00100A8B"/>
    <w:rsid w:val="00100F5C"/>
    <w:rsid w:val="00101CDA"/>
    <w:rsid w:val="00102037"/>
    <w:rsid w:val="00103DCB"/>
    <w:rsid w:val="00104C4C"/>
    <w:rsid w:val="00105015"/>
    <w:rsid w:val="001055D2"/>
    <w:rsid w:val="001057C2"/>
    <w:rsid w:val="0011038E"/>
    <w:rsid w:val="001125EF"/>
    <w:rsid w:val="00112CAB"/>
    <w:rsid w:val="00114C33"/>
    <w:rsid w:val="00116D3F"/>
    <w:rsid w:val="00117474"/>
    <w:rsid w:val="00117623"/>
    <w:rsid w:val="00117FEA"/>
    <w:rsid w:val="001200CF"/>
    <w:rsid w:val="001208E3"/>
    <w:rsid w:val="00121609"/>
    <w:rsid w:val="0012192F"/>
    <w:rsid w:val="0012299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2B29"/>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9F5"/>
    <w:rsid w:val="00167B92"/>
    <w:rsid w:val="00167CB9"/>
    <w:rsid w:val="00167DD8"/>
    <w:rsid w:val="001705AD"/>
    <w:rsid w:val="001706D6"/>
    <w:rsid w:val="001714F2"/>
    <w:rsid w:val="00171FEA"/>
    <w:rsid w:val="00173622"/>
    <w:rsid w:val="00175B9F"/>
    <w:rsid w:val="001762F4"/>
    <w:rsid w:val="00181BBC"/>
    <w:rsid w:val="0018385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A0487"/>
    <w:rsid w:val="001A0675"/>
    <w:rsid w:val="001A1F68"/>
    <w:rsid w:val="001A21FA"/>
    <w:rsid w:val="001A4EF0"/>
    <w:rsid w:val="001A552F"/>
    <w:rsid w:val="001A70B1"/>
    <w:rsid w:val="001B0738"/>
    <w:rsid w:val="001B2CA9"/>
    <w:rsid w:val="001B3110"/>
    <w:rsid w:val="001B3E38"/>
    <w:rsid w:val="001B40F5"/>
    <w:rsid w:val="001B4729"/>
    <w:rsid w:val="001B4F0E"/>
    <w:rsid w:val="001B5F40"/>
    <w:rsid w:val="001B6310"/>
    <w:rsid w:val="001B6C09"/>
    <w:rsid w:val="001B6E12"/>
    <w:rsid w:val="001C05CD"/>
    <w:rsid w:val="001C0F17"/>
    <w:rsid w:val="001C1B24"/>
    <w:rsid w:val="001C1B66"/>
    <w:rsid w:val="001C31A2"/>
    <w:rsid w:val="001C351D"/>
    <w:rsid w:val="001C4B8F"/>
    <w:rsid w:val="001C4BB8"/>
    <w:rsid w:val="001C4FD0"/>
    <w:rsid w:val="001C5E46"/>
    <w:rsid w:val="001C6B3B"/>
    <w:rsid w:val="001C7A26"/>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6CD3"/>
    <w:rsid w:val="001F75DA"/>
    <w:rsid w:val="001F7CE0"/>
    <w:rsid w:val="00200085"/>
    <w:rsid w:val="00203332"/>
    <w:rsid w:val="00203CD5"/>
    <w:rsid w:val="00203D8F"/>
    <w:rsid w:val="00203DA4"/>
    <w:rsid w:val="00204EA6"/>
    <w:rsid w:val="00205186"/>
    <w:rsid w:val="00206516"/>
    <w:rsid w:val="002071D5"/>
    <w:rsid w:val="002111E5"/>
    <w:rsid w:val="002118B9"/>
    <w:rsid w:val="00213691"/>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B06"/>
    <w:rsid w:val="0024343A"/>
    <w:rsid w:val="002436BA"/>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120E"/>
    <w:rsid w:val="00262582"/>
    <w:rsid w:val="0026291D"/>
    <w:rsid w:val="00262CF3"/>
    <w:rsid w:val="00264309"/>
    <w:rsid w:val="00264992"/>
    <w:rsid w:val="0026564B"/>
    <w:rsid w:val="00265C83"/>
    <w:rsid w:val="00265E85"/>
    <w:rsid w:val="00267B49"/>
    <w:rsid w:val="00267C51"/>
    <w:rsid w:val="002700D9"/>
    <w:rsid w:val="0027025F"/>
    <w:rsid w:val="002709CC"/>
    <w:rsid w:val="00270D25"/>
    <w:rsid w:val="00271022"/>
    <w:rsid w:val="00271465"/>
    <w:rsid w:val="00271E47"/>
    <w:rsid w:val="002721F5"/>
    <w:rsid w:val="00272DF4"/>
    <w:rsid w:val="00275062"/>
    <w:rsid w:val="00275758"/>
    <w:rsid w:val="0027583D"/>
    <w:rsid w:val="00275DEF"/>
    <w:rsid w:val="002763A2"/>
    <w:rsid w:val="00276B33"/>
    <w:rsid w:val="002812E3"/>
    <w:rsid w:val="00282AD4"/>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E02A1"/>
    <w:rsid w:val="002E196A"/>
    <w:rsid w:val="002E20C7"/>
    <w:rsid w:val="002E20CD"/>
    <w:rsid w:val="002E222E"/>
    <w:rsid w:val="002E28D8"/>
    <w:rsid w:val="002E37D1"/>
    <w:rsid w:val="002E3BEE"/>
    <w:rsid w:val="002E4E4C"/>
    <w:rsid w:val="002E4EA7"/>
    <w:rsid w:val="002E5846"/>
    <w:rsid w:val="002E792B"/>
    <w:rsid w:val="002E7AE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4771"/>
    <w:rsid w:val="003052D4"/>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2058C"/>
    <w:rsid w:val="003208D0"/>
    <w:rsid w:val="003209D6"/>
    <w:rsid w:val="003217B9"/>
    <w:rsid w:val="00321924"/>
    <w:rsid w:val="00321EB6"/>
    <w:rsid w:val="003220A5"/>
    <w:rsid w:val="003238E0"/>
    <w:rsid w:val="00323A1C"/>
    <w:rsid w:val="00324B59"/>
    <w:rsid w:val="0032656E"/>
    <w:rsid w:val="0032788F"/>
    <w:rsid w:val="00332190"/>
    <w:rsid w:val="00332A98"/>
    <w:rsid w:val="003334BD"/>
    <w:rsid w:val="00333973"/>
    <w:rsid w:val="00333CD0"/>
    <w:rsid w:val="0033448D"/>
    <w:rsid w:val="00334AD2"/>
    <w:rsid w:val="00334CB6"/>
    <w:rsid w:val="0033709C"/>
    <w:rsid w:val="003370C5"/>
    <w:rsid w:val="003373C6"/>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978B1"/>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5B59"/>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F313C"/>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23623"/>
    <w:rsid w:val="00430C96"/>
    <w:rsid w:val="0043174F"/>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953"/>
    <w:rsid w:val="004604D8"/>
    <w:rsid w:val="00460656"/>
    <w:rsid w:val="00460FB3"/>
    <w:rsid w:val="00463D3C"/>
    <w:rsid w:val="00464851"/>
    <w:rsid w:val="00466595"/>
    <w:rsid w:val="0046746A"/>
    <w:rsid w:val="00467B14"/>
    <w:rsid w:val="004707FE"/>
    <w:rsid w:val="00470EDC"/>
    <w:rsid w:val="0047276D"/>
    <w:rsid w:val="00472AF6"/>
    <w:rsid w:val="00473482"/>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011"/>
    <w:rsid w:val="004E6DE6"/>
    <w:rsid w:val="004E765E"/>
    <w:rsid w:val="004E7815"/>
    <w:rsid w:val="004F06F5"/>
    <w:rsid w:val="004F12A4"/>
    <w:rsid w:val="004F253F"/>
    <w:rsid w:val="004F33A0"/>
    <w:rsid w:val="004F3873"/>
    <w:rsid w:val="004F3BD2"/>
    <w:rsid w:val="004F46ED"/>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425"/>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46FC7"/>
    <w:rsid w:val="005500F9"/>
    <w:rsid w:val="00550160"/>
    <w:rsid w:val="005523A8"/>
    <w:rsid w:val="00552F2C"/>
    <w:rsid w:val="00553A25"/>
    <w:rsid w:val="005547EB"/>
    <w:rsid w:val="005555E0"/>
    <w:rsid w:val="0055599F"/>
    <w:rsid w:val="00556D68"/>
    <w:rsid w:val="005570D6"/>
    <w:rsid w:val="00557E0E"/>
    <w:rsid w:val="00557E45"/>
    <w:rsid w:val="00560C41"/>
    <w:rsid w:val="00561F44"/>
    <w:rsid w:val="00562B4D"/>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519A"/>
    <w:rsid w:val="005856BD"/>
    <w:rsid w:val="00586BCA"/>
    <w:rsid w:val="00587038"/>
    <w:rsid w:val="00590B28"/>
    <w:rsid w:val="005911BE"/>
    <w:rsid w:val="00591273"/>
    <w:rsid w:val="00591E9E"/>
    <w:rsid w:val="005927A4"/>
    <w:rsid w:val="00593152"/>
    <w:rsid w:val="00593FE6"/>
    <w:rsid w:val="005956A3"/>
    <w:rsid w:val="00595958"/>
    <w:rsid w:val="00595CAB"/>
    <w:rsid w:val="0059622E"/>
    <w:rsid w:val="00597671"/>
    <w:rsid w:val="00597BBF"/>
    <w:rsid w:val="005A0463"/>
    <w:rsid w:val="005A0948"/>
    <w:rsid w:val="005A0A03"/>
    <w:rsid w:val="005A10F2"/>
    <w:rsid w:val="005A21E0"/>
    <w:rsid w:val="005A28FF"/>
    <w:rsid w:val="005A2C09"/>
    <w:rsid w:val="005A3778"/>
    <w:rsid w:val="005A3DF8"/>
    <w:rsid w:val="005A5549"/>
    <w:rsid w:val="005A566A"/>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ADE"/>
    <w:rsid w:val="00601EEF"/>
    <w:rsid w:val="0060255A"/>
    <w:rsid w:val="00602EB3"/>
    <w:rsid w:val="00604307"/>
    <w:rsid w:val="0060487F"/>
    <w:rsid w:val="00604EAD"/>
    <w:rsid w:val="0060513F"/>
    <w:rsid w:val="0060694B"/>
    <w:rsid w:val="006104FB"/>
    <w:rsid w:val="0061176D"/>
    <w:rsid w:val="0061200F"/>
    <w:rsid w:val="00612756"/>
    <w:rsid w:val="00612A2F"/>
    <w:rsid w:val="00612AAE"/>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19"/>
    <w:rsid w:val="00677591"/>
    <w:rsid w:val="00677594"/>
    <w:rsid w:val="0068032F"/>
    <w:rsid w:val="00680D37"/>
    <w:rsid w:val="0068174E"/>
    <w:rsid w:val="00681DCE"/>
    <w:rsid w:val="00682110"/>
    <w:rsid w:val="0068260E"/>
    <w:rsid w:val="006846B3"/>
    <w:rsid w:val="00684D59"/>
    <w:rsid w:val="00684E25"/>
    <w:rsid w:val="006858A4"/>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4355"/>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19CB"/>
    <w:rsid w:val="006E279A"/>
    <w:rsid w:val="006E313B"/>
    <w:rsid w:val="006E34B2"/>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4DA4"/>
    <w:rsid w:val="006F5416"/>
    <w:rsid w:val="006F624B"/>
    <w:rsid w:val="006F6D87"/>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C10BD"/>
    <w:rsid w:val="007C1F0C"/>
    <w:rsid w:val="007C1FFB"/>
    <w:rsid w:val="007C2D94"/>
    <w:rsid w:val="007C4A6B"/>
    <w:rsid w:val="007C5F92"/>
    <w:rsid w:val="007C6227"/>
    <w:rsid w:val="007C6BBD"/>
    <w:rsid w:val="007C6D89"/>
    <w:rsid w:val="007C6F5E"/>
    <w:rsid w:val="007D0382"/>
    <w:rsid w:val="007D14FE"/>
    <w:rsid w:val="007D1A1F"/>
    <w:rsid w:val="007D213B"/>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114D"/>
    <w:rsid w:val="008520A8"/>
    <w:rsid w:val="00852217"/>
    <w:rsid w:val="00853282"/>
    <w:rsid w:val="0085334C"/>
    <w:rsid w:val="00855408"/>
    <w:rsid w:val="00855D03"/>
    <w:rsid w:val="00856D65"/>
    <w:rsid w:val="00861B41"/>
    <w:rsid w:val="00861B9F"/>
    <w:rsid w:val="00861BE3"/>
    <w:rsid w:val="008625D3"/>
    <w:rsid w:val="00862C0A"/>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651"/>
    <w:rsid w:val="00876E83"/>
    <w:rsid w:val="008772BC"/>
    <w:rsid w:val="00880A0E"/>
    <w:rsid w:val="008817FE"/>
    <w:rsid w:val="00881CD7"/>
    <w:rsid w:val="00882911"/>
    <w:rsid w:val="00882F6E"/>
    <w:rsid w:val="00883202"/>
    <w:rsid w:val="00884E02"/>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5324"/>
    <w:rsid w:val="008B5C99"/>
    <w:rsid w:val="008B6106"/>
    <w:rsid w:val="008B7C02"/>
    <w:rsid w:val="008B7D2B"/>
    <w:rsid w:val="008B7EF9"/>
    <w:rsid w:val="008C0049"/>
    <w:rsid w:val="008C0314"/>
    <w:rsid w:val="008C0E88"/>
    <w:rsid w:val="008C1717"/>
    <w:rsid w:val="008C3B05"/>
    <w:rsid w:val="008C4B50"/>
    <w:rsid w:val="008C5A37"/>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70E2"/>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476D"/>
    <w:rsid w:val="00915D07"/>
    <w:rsid w:val="009162AE"/>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648B"/>
    <w:rsid w:val="009373B2"/>
    <w:rsid w:val="00937AE2"/>
    <w:rsid w:val="0094061F"/>
    <w:rsid w:val="00940F0F"/>
    <w:rsid w:val="0094416B"/>
    <w:rsid w:val="0094427A"/>
    <w:rsid w:val="00944C7C"/>
    <w:rsid w:val="00945245"/>
    <w:rsid w:val="00945523"/>
    <w:rsid w:val="00950921"/>
    <w:rsid w:val="00951D68"/>
    <w:rsid w:val="00951E5B"/>
    <w:rsid w:val="00952B7B"/>
    <w:rsid w:val="00954F39"/>
    <w:rsid w:val="009555F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BB3"/>
    <w:rsid w:val="00992CF3"/>
    <w:rsid w:val="00993194"/>
    <w:rsid w:val="0099321E"/>
    <w:rsid w:val="00994171"/>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1324"/>
    <w:rsid w:val="009B284F"/>
    <w:rsid w:val="009B3764"/>
    <w:rsid w:val="009B52AC"/>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2CF"/>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6A"/>
    <w:rsid w:val="00A201E1"/>
    <w:rsid w:val="00A20FE1"/>
    <w:rsid w:val="00A21B4D"/>
    <w:rsid w:val="00A22073"/>
    <w:rsid w:val="00A223E0"/>
    <w:rsid w:val="00A22959"/>
    <w:rsid w:val="00A23158"/>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5900"/>
    <w:rsid w:val="00A40EAC"/>
    <w:rsid w:val="00A418BC"/>
    <w:rsid w:val="00A419FF"/>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97075"/>
    <w:rsid w:val="00AA0E80"/>
    <w:rsid w:val="00AA17CD"/>
    <w:rsid w:val="00AA1D85"/>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550"/>
    <w:rsid w:val="00B00913"/>
    <w:rsid w:val="00B01593"/>
    <w:rsid w:val="00B01FF9"/>
    <w:rsid w:val="00B023F2"/>
    <w:rsid w:val="00B026FE"/>
    <w:rsid w:val="00B038CA"/>
    <w:rsid w:val="00B05F00"/>
    <w:rsid w:val="00B06DB4"/>
    <w:rsid w:val="00B0750D"/>
    <w:rsid w:val="00B0799C"/>
    <w:rsid w:val="00B102CE"/>
    <w:rsid w:val="00B10A4D"/>
    <w:rsid w:val="00B10C90"/>
    <w:rsid w:val="00B11002"/>
    <w:rsid w:val="00B1114F"/>
    <w:rsid w:val="00B121B2"/>
    <w:rsid w:val="00B131B1"/>
    <w:rsid w:val="00B141B6"/>
    <w:rsid w:val="00B14BC1"/>
    <w:rsid w:val="00B162C3"/>
    <w:rsid w:val="00B16DD1"/>
    <w:rsid w:val="00B16EB8"/>
    <w:rsid w:val="00B17E71"/>
    <w:rsid w:val="00B17FDE"/>
    <w:rsid w:val="00B20632"/>
    <w:rsid w:val="00B2379C"/>
    <w:rsid w:val="00B23D5D"/>
    <w:rsid w:val="00B23E6E"/>
    <w:rsid w:val="00B2450C"/>
    <w:rsid w:val="00B2687D"/>
    <w:rsid w:val="00B3108D"/>
    <w:rsid w:val="00B32DDB"/>
    <w:rsid w:val="00B32F57"/>
    <w:rsid w:val="00B3345C"/>
    <w:rsid w:val="00B34528"/>
    <w:rsid w:val="00B34CC9"/>
    <w:rsid w:val="00B34CDA"/>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639"/>
    <w:rsid w:val="00B53C7D"/>
    <w:rsid w:val="00B53E56"/>
    <w:rsid w:val="00B55A97"/>
    <w:rsid w:val="00B55F5E"/>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D89"/>
    <w:rsid w:val="00B80EC6"/>
    <w:rsid w:val="00B81288"/>
    <w:rsid w:val="00B81D70"/>
    <w:rsid w:val="00B833B9"/>
    <w:rsid w:val="00B83AAF"/>
    <w:rsid w:val="00B83E07"/>
    <w:rsid w:val="00B84CF6"/>
    <w:rsid w:val="00B85016"/>
    <w:rsid w:val="00B8561A"/>
    <w:rsid w:val="00B86643"/>
    <w:rsid w:val="00B868F7"/>
    <w:rsid w:val="00B90131"/>
    <w:rsid w:val="00B92951"/>
    <w:rsid w:val="00B92D1D"/>
    <w:rsid w:val="00B92D7E"/>
    <w:rsid w:val="00B930CE"/>
    <w:rsid w:val="00B938C5"/>
    <w:rsid w:val="00B940A8"/>
    <w:rsid w:val="00B9554A"/>
    <w:rsid w:val="00B95940"/>
    <w:rsid w:val="00B95ACA"/>
    <w:rsid w:val="00B96D74"/>
    <w:rsid w:val="00B9720E"/>
    <w:rsid w:val="00B97ACC"/>
    <w:rsid w:val="00B97FE2"/>
    <w:rsid w:val="00BA0E0B"/>
    <w:rsid w:val="00BA201A"/>
    <w:rsid w:val="00BA361D"/>
    <w:rsid w:val="00BA3787"/>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4BF"/>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246C"/>
    <w:rsid w:val="00C1493E"/>
    <w:rsid w:val="00C15DBD"/>
    <w:rsid w:val="00C2010D"/>
    <w:rsid w:val="00C20CB5"/>
    <w:rsid w:val="00C21430"/>
    <w:rsid w:val="00C216DF"/>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307"/>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0DA1"/>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834"/>
    <w:rsid w:val="00CC0AEA"/>
    <w:rsid w:val="00CC20FE"/>
    <w:rsid w:val="00CC2E7D"/>
    <w:rsid w:val="00CC5BE8"/>
    <w:rsid w:val="00CC612B"/>
    <w:rsid w:val="00CC655F"/>
    <w:rsid w:val="00CC66F9"/>
    <w:rsid w:val="00CC6C2A"/>
    <w:rsid w:val="00CC6FE5"/>
    <w:rsid w:val="00CC7458"/>
    <w:rsid w:val="00CC76BD"/>
    <w:rsid w:val="00CC7A87"/>
    <w:rsid w:val="00CD0D6B"/>
    <w:rsid w:val="00CD10A5"/>
    <w:rsid w:val="00CD1129"/>
    <w:rsid w:val="00CD1A80"/>
    <w:rsid w:val="00CD1CB5"/>
    <w:rsid w:val="00CD2076"/>
    <w:rsid w:val="00CD24CE"/>
    <w:rsid w:val="00CD29B5"/>
    <w:rsid w:val="00CD2B78"/>
    <w:rsid w:val="00CD3FAB"/>
    <w:rsid w:val="00CD5456"/>
    <w:rsid w:val="00CD5C3E"/>
    <w:rsid w:val="00CD5C57"/>
    <w:rsid w:val="00CD6331"/>
    <w:rsid w:val="00CE14BE"/>
    <w:rsid w:val="00CE17A4"/>
    <w:rsid w:val="00CE1BA9"/>
    <w:rsid w:val="00CE2D8F"/>
    <w:rsid w:val="00CE3E48"/>
    <w:rsid w:val="00CE47B8"/>
    <w:rsid w:val="00CE62FA"/>
    <w:rsid w:val="00CE670B"/>
    <w:rsid w:val="00CE6833"/>
    <w:rsid w:val="00CF020B"/>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4C5B"/>
    <w:rsid w:val="00D15FED"/>
    <w:rsid w:val="00D16712"/>
    <w:rsid w:val="00D214EF"/>
    <w:rsid w:val="00D215B0"/>
    <w:rsid w:val="00D21D6D"/>
    <w:rsid w:val="00D21D83"/>
    <w:rsid w:val="00D22A47"/>
    <w:rsid w:val="00D235B7"/>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55D4"/>
    <w:rsid w:val="00D66223"/>
    <w:rsid w:val="00D667B8"/>
    <w:rsid w:val="00D70289"/>
    <w:rsid w:val="00D70822"/>
    <w:rsid w:val="00D72076"/>
    <w:rsid w:val="00D721B4"/>
    <w:rsid w:val="00D726A9"/>
    <w:rsid w:val="00D72DBA"/>
    <w:rsid w:val="00D743E0"/>
    <w:rsid w:val="00D7490C"/>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32B8"/>
    <w:rsid w:val="00D95302"/>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450F"/>
    <w:rsid w:val="00DE5CA6"/>
    <w:rsid w:val="00DE7AC8"/>
    <w:rsid w:val="00DF0830"/>
    <w:rsid w:val="00DF2C5D"/>
    <w:rsid w:val="00DF3643"/>
    <w:rsid w:val="00DF42FF"/>
    <w:rsid w:val="00DF4369"/>
    <w:rsid w:val="00DF4423"/>
    <w:rsid w:val="00DF4ADF"/>
    <w:rsid w:val="00DF5D1E"/>
    <w:rsid w:val="00DF77E4"/>
    <w:rsid w:val="00DF7F88"/>
    <w:rsid w:val="00E00B88"/>
    <w:rsid w:val="00E01C0E"/>
    <w:rsid w:val="00E0368F"/>
    <w:rsid w:val="00E03D73"/>
    <w:rsid w:val="00E03F9A"/>
    <w:rsid w:val="00E040DA"/>
    <w:rsid w:val="00E04694"/>
    <w:rsid w:val="00E1168B"/>
    <w:rsid w:val="00E12191"/>
    <w:rsid w:val="00E129E7"/>
    <w:rsid w:val="00E12ABE"/>
    <w:rsid w:val="00E12B1E"/>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A53"/>
    <w:rsid w:val="00E3656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1EF0"/>
    <w:rsid w:val="00E53470"/>
    <w:rsid w:val="00E5368D"/>
    <w:rsid w:val="00E539F6"/>
    <w:rsid w:val="00E54698"/>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90CA8"/>
    <w:rsid w:val="00E930A1"/>
    <w:rsid w:val="00E93820"/>
    <w:rsid w:val="00E94A86"/>
    <w:rsid w:val="00E953F6"/>
    <w:rsid w:val="00E96143"/>
    <w:rsid w:val="00E96833"/>
    <w:rsid w:val="00E97506"/>
    <w:rsid w:val="00E97BB5"/>
    <w:rsid w:val="00E97F14"/>
    <w:rsid w:val="00EA0C68"/>
    <w:rsid w:val="00EA0E39"/>
    <w:rsid w:val="00EA1D0E"/>
    <w:rsid w:val="00EA2072"/>
    <w:rsid w:val="00EA2841"/>
    <w:rsid w:val="00EA32BC"/>
    <w:rsid w:val="00EA35A7"/>
    <w:rsid w:val="00EA3B32"/>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A00"/>
    <w:rsid w:val="00ED1DF0"/>
    <w:rsid w:val="00ED2386"/>
    <w:rsid w:val="00ED2EA1"/>
    <w:rsid w:val="00ED3851"/>
    <w:rsid w:val="00ED3E51"/>
    <w:rsid w:val="00ED3F10"/>
    <w:rsid w:val="00ED4D04"/>
    <w:rsid w:val="00ED566D"/>
    <w:rsid w:val="00ED5907"/>
    <w:rsid w:val="00ED5F5B"/>
    <w:rsid w:val="00ED62C6"/>
    <w:rsid w:val="00ED64C1"/>
    <w:rsid w:val="00ED781F"/>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326A"/>
    <w:rsid w:val="00EF47BF"/>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75D3"/>
    <w:rsid w:val="00F62BFF"/>
    <w:rsid w:val="00F63AAE"/>
    <w:rsid w:val="00F63DDE"/>
    <w:rsid w:val="00F63FB7"/>
    <w:rsid w:val="00F6421B"/>
    <w:rsid w:val="00F647F1"/>
    <w:rsid w:val="00F649D2"/>
    <w:rsid w:val="00F6602B"/>
    <w:rsid w:val="00F6799D"/>
    <w:rsid w:val="00F7150B"/>
    <w:rsid w:val="00F717E4"/>
    <w:rsid w:val="00F71DE6"/>
    <w:rsid w:val="00F72D71"/>
    <w:rsid w:val="00F7381C"/>
    <w:rsid w:val="00F73A0C"/>
    <w:rsid w:val="00F7549F"/>
    <w:rsid w:val="00F756DB"/>
    <w:rsid w:val="00F767A8"/>
    <w:rsid w:val="00F77590"/>
    <w:rsid w:val="00F82D14"/>
    <w:rsid w:val="00F84E7D"/>
    <w:rsid w:val="00F85066"/>
    <w:rsid w:val="00F87A4D"/>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4.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3.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eader" Target="header1.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2.xml"/><Relationship Id="rId28" Type="http://schemas.openxmlformats.org/officeDocument/2006/relationships/chart" Target="charts/chart16.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chart" Target="charts/chart1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nal&#253;za\Q\2020Q4\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Anal&#253;za\Q\2020Q4\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nal&#253;za\Q\2020Q4\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JKAM%20CSU\PUBLIKACE\PUBLIKACE\2020\Q-makro\celorok\Trh%20pr&#225;ce\Grafy-trh%20pr&#225;ce-rok-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Q-makro-rok%202020\Trh%20pr&#225;ce\Grafy-trh%20pr&#225;ce-rok-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JKAM%20CSU\PUBLIKACE\PUBLIKACE\2020\Q-makro\celorok\Trh%20pr&#225;ce\Grafy-trh%20pr&#225;ce-rok-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Anal&#253;za\Q\2020Q4\Makroanal&#253;za%20graf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JKAM%20CSU\PUBLIKACE\PUBLIKACE\2020\Q-makro\celorok\St&#225;tn&#237;%20rozpo&#269;et\Grafy-st&#225;tn&#237;%20rozpo&#269;et-rok-20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JKAM%20CSU\PUBLIKACE\PUBLIKACE\2020\Q-makro\celorok\St&#225;tn&#237;%20rozpo&#269;et\Grafy-st&#225;tn&#237;%20rozpo&#269;et-rok-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nal&#253;za\Q\2020Q4\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nal&#253;za\Q\2020Q4\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Q-makro-rok%202020\Odv&#283;tv&#237;\Odv&#283;tv&#237;%20grafy-rok-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Q-makro-rok%202020\Odv&#283;tv&#237;\Odv&#283;tv&#237;%20grafy-rok-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Q-makro-rok%202020\Odv&#283;tv&#237;\Odv&#283;tv&#237;%20grafy-rok-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Q-makro-rok%202020\Odv&#283;tv&#237;\Odv&#283;tv&#237;%20grafy-rok-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nal&#253;za\Q\2020Q4\Makroanal&#253;za%20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nal&#253;za\Q\2020Q4\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45E-2"/>
          <c:y val="2.3046636085626952E-2"/>
          <c:w val="0.92008633063154344"/>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1'!$A$17:$B$40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1'!$C$17:$C$40</c:f>
              <c:numCache>
                <c:formatCode>#\ ##0.0</c:formatCode>
                <c:ptCount val="24"/>
                <c:pt idx="0">
                  <c:v>5.3541342799457112</c:v>
                </c:pt>
                <c:pt idx="1">
                  <c:v>5.7581302882289123</c:v>
                </c:pt>
                <c:pt idx="2">
                  <c:v>5.6783705866674694</c:v>
                </c:pt>
                <c:pt idx="3">
                  <c:v>5.0736450126825758</c:v>
                </c:pt>
                <c:pt idx="4">
                  <c:v>3.4010325671467712</c:v>
                </c:pt>
                <c:pt idx="5">
                  <c:v>2.318358207366316</c:v>
                </c:pt>
                <c:pt idx="6">
                  <c:v>1.9345991649110346</c:v>
                </c:pt>
                <c:pt idx="7">
                  <c:v>2.1527896621077645</c:v>
                </c:pt>
                <c:pt idx="8">
                  <c:v>3.6789885316907771</c:v>
                </c:pt>
                <c:pt idx="9">
                  <c:v>6.0785986760951261</c:v>
                </c:pt>
                <c:pt idx="10">
                  <c:v>5.8461947005677075</c:v>
                </c:pt>
                <c:pt idx="11">
                  <c:v>5.8135548231886673</c:v>
                </c:pt>
                <c:pt idx="12">
                  <c:v>4.7869834927605694</c:v>
                </c:pt>
                <c:pt idx="13" formatCode="General">
                  <c:v>2.7415834226192999</c:v>
                </c:pt>
                <c:pt idx="14" formatCode="General">
                  <c:v>2.7643077302550836</c:v>
                </c:pt>
                <c:pt idx="15">
                  <c:v>2.4875156373637139</c:v>
                </c:pt>
                <c:pt idx="16">
                  <c:v>2.4453078679892855</c:v>
                </c:pt>
                <c:pt idx="17" formatCode="General">
                  <c:v>2.2867115245575036</c:v>
                </c:pt>
                <c:pt idx="18" formatCode="General">
                  <c:v>2.2190751113612635</c:v>
                </c:pt>
                <c:pt idx="19" formatCode="General">
                  <c:v>2.0355846279957319</c:v>
                </c:pt>
                <c:pt idx="20" formatCode="General">
                  <c:v>-1.8023913120589157</c:v>
                </c:pt>
                <c:pt idx="21" formatCode="General">
                  <c:v>-10.813954309123361</c:v>
                </c:pt>
                <c:pt idx="22" formatCode="General">
                  <c:v>-4.9192233591565042</c:v>
                </c:pt>
                <c:pt idx="23" formatCode="General">
                  <c:v>-4.7233882874667756</c:v>
                </c:pt>
              </c:numCache>
            </c:numRef>
          </c:val>
          <c:extLst>
            <c:ext xmlns:c16="http://schemas.microsoft.com/office/drawing/2014/chart" uri="{C3380CC4-5D6E-409C-BE32-E72D297353CC}">
              <c16:uniqueId val="{00000000-48AA-4572-A228-C48BE0A5C89B}"/>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1'!$A$17:$B$40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1'!$D$17:$D$40</c:f>
              <c:numCache>
                <c:formatCode>#\ ##0.0</c:formatCode>
                <c:ptCount val="24"/>
                <c:pt idx="0">
                  <c:v>2</c:v>
                </c:pt>
                <c:pt idx="1">
                  <c:v>2.2000000000000002</c:v>
                </c:pt>
                <c:pt idx="2">
                  <c:v>2.2000000000000002</c:v>
                </c:pt>
                <c:pt idx="3">
                  <c:v>2.2999999999999998</c:v>
                </c:pt>
                <c:pt idx="4">
                  <c:v>2</c:v>
                </c:pt>
                <c:pt idx="5">
                  <c:v>1.9</c:v>
                </c:pt>
                <c:pt idx="6">
                  <c:v>1.8</c:v>
                </c:pt>
                <c:pt idx="7">
                  <c:v>2.2000000000000002</c:v>
                </c:pt>
                <c:pt idx="8">
                  <c:v>2.4</c:v>
                </c:pt>
                <c:pt idx="9">
                  <c:v>2.9</c:v>
                </c:pt>
                <c:pt idx="10">
                  <c:v>3.2</c:v>
                </c:pt>
                <c:pt idx="11">
                  <c:v>3.2</c:v>
                </c:pt>
                <c:pt idx="12">
                  <c:v>2.7</c:v>
                </c:pt>
                <c:pt idx="13">
                  <c:v>2.5</c:v>
                </c:pt>
                <c:pt idx="14">
                  <c:v>1.8</c:v>
                </c:pt>
                <c:pt idx="15">
                  <c:v>1.5</c:v>
                </c:pt>
                <c:pt idx="16">
                  <c:v>1.8</c:v>
                </c:pt>
                <c:pt idx="17">
                  <c:v>1.5</c:v>
                </c:pt>
                <c:pt idx="18">
                  <c:v>1.6</c:v>
                </c:pt>
                <c:pt idx="19">
                  <c:v>1.3</c:v>
                </c:pt>
                <c:pt idx="20">
                  <c:v>-2.6</c:v>
                </c:pt>
                <c:pt idx="21">
                  <c:v>-13.9</c:v>
                </c:pt>
                <c:pt idx="22">
                  <c:v>-4.2</c:v>
                </c:pt>
                <c:pt idx="23">
                  <c:v>-4.8</c:v>
                </c:pt>
              </c:numCache>
            </c:numRef>
          </c:val>
          <c:extLst>
            <c:ext xmlns:c16="http://schemas.microsoft.com/office/drawing/2014/chart" uri="{C3380CC4-5D6E-409C-BE32-E72D297353CC}">
              <c16:uniqueId val="{00000001-48AA-4572-A228-C48BE0A5C89B}"/>
            </c:ext>
          </c:extLst>
        </c:ser>
        <c:dLbls>
          <c:showLegendKey val="0"/>
          <c:showVal val="0"/>
          <c:showCatName val="0"/>
          <c:showSerName val="0"/>
          <c:showPercent val="0"/>
          <c:showBubbleSize val="0"/>
        </c:dLbls>
        <c:gapWidth val="100"/>
        <c:axId val="267753344"/>
        <c:axId val="267767808"/>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1'!$A$17:$B$40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1'!$E$17:$E$40</c:f>
              <c:numCache>
                <c:formatCode>#\ ##0.0</c:formatCode>
                <c:ptCount val="24"/>
                <c:pt idx="0">
                  <c:v>1.7876510932120624</c:v>
                </c:pt>
                <c:pt idx="1">
                  <c:v>1.4339927833768797</c:v>
                </c:pt>
                <c:pt idx="2">
                  <c:v>1.1102105904154485</c:v>
                </c:pt>
                <c:pt idx="3">
                  <c:v>0.65148104049788458</c:v>
                </c:pt>
                <c:pt idx="4">
                  <c:v>0.16734666768449813</c:v>
                </c:pt>
                <c:pt idx="5">
                  <c:v>0.37191457709397469</c:v>
                </c:pt>
                <c:pt idx="6">
                  <c:v>0.73098287137804618</c:v>
                </c:pt>
                <c:pt idx="7">
                  <c:v>0.86692502979816766</c:v>
                </c:pt>
                <c:pt idx="8">
                  <c:v>1.6638823155019793</c:v>
                </c:pt>
                <c:pt idx="9">
                  <c:v>2.6949837721494561</c:v>
                </c:pt>
                <c:pt idx="10">
                  <c:v>0.51029480450817744</c:v>
                </c:pt>
                <c:pt idx="11">
                  <c:v>0.83582061386817941</c:v>
                </c:pt>
                <c:pt idx="12">
                  <c:v>0.67756986149267107</c:v>
                </c:pt>
                <c:pt idx="13">
                  <c:v>0.69041870109533932</c:v>
                </c:pt>
                <c:pt idx="14">
                  <c:v>0.53252559737329364</c:v>
                </c:pt>
                <c:pt idx="15">
                  <c:v>0.56422283403010454</c:v>
                </c:pt>
                <c:pt idx="16">
                  <c:v>0.63610748801757211</c:v>
                </c:pt>
                <c:pt idx="17" formatCode="General">
                  <c:v>0.53453911464139026</c:v>
                </c:pt>
                <c:pt idx="18" formatCode="General">
                  <c:v>0.46604912804879461</c:v>
                </c:pt>
                <c:pt idx="19" formatCode="General">
                  <c:v>0.38370292777005943</c:v>
                </c:pt>
                <c:pt idx="20" formatCode="General">
                  <c:v>-3.1492283891465149</c:v>
                </c:pt>
                <c:pt idx="21" formatCode="General">
                  <c:v>-8.6914832367938004</c:v>
                </c:pt>
                <c:pt idx="22" formatCode="General">
                  <c:v>7.1063292820614947</c:v>
                </c:pt>
                <c:pt idx="23" formatCode="General">
                  <c:v>0.59046028034825326</c:v>
                </c:pt>
              </c:numCache>
            </c:numRef>
          </c:val>
          <c:smooth val="0"/>
          <c:extLst>
            <c:ext xmlns:c16="http://schemas.microsoft.com/office/drawing/2014/chart" uri="{C3380CC4-5D6E-409C-BE32-E72D297353CC}">
              <c16:uniqueId val="{00000002-48AA-4572-A228-C48BE0A5C89B}"/>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1'!$A$17:$B$40</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1'!$F$17:$F$40</c:f>
              <c:numCache>
                <c:formatCode>#\ ##0.0</c:formatCode>
                <c:ptCount val="24"/>
                <c:pt idx="0">
                  <c:v>0.8</c:v>
                </c:pt>
                <c:pt idx="1">
                  <c:v>0.5</c:v>
                </c:pt>
                <c:pt idx="2">
                  <c:v>0.5</c:v>
                </c:pt>
                <c:pt idx="3">
                  <c:v>0.5</c:v>
                </c:pt>
                <c:pt idx="4">
                  <c:v>0.5</c:v>
                </c:pt>
                <c:pt idx="5">
                  <c:v>0.3</c:v>
                </c:pt>
                <c:pt idx="6">
                  <c:v>0.4</c:v>
                </c:pt>
                <c:pt idx="7">
                  <c:v>0.8</c:v>
                </c:pt>
                <c:pt idx="8">
                  <c:v>0.8</c:v>
                </c:pt>
                <c:pt idx="9">
                  <c:v>0.8</c:v>
                </c:pt>
                <c:pt idx="10">
                  <c:v>0.8</c:v>
                </c:pt>
                <c:pt idx="11">
                  <c:v>0.9</c:v>
                </c:pt>
                <c:pt idx="12">
                  <c:v>0.3</c:v>
                </c:pt>
                <c:pt idx="13">
                  <c:v>0.5</c:v>
                </c:pt>
                <c:pt idx="14">
                  <c:v>0.2</c:v>
                </c:pt>
                <c:pt idx="15">
                  <c:v>0.6</c:v>
                </c:pt>
                <c:pt idx="16">
                  <c:v>0.6</c:v>
                </c:pt>
                <c:pt idx="17">
                  <c:v>0.3</c:v>
                </c:pt>
                <c:pt idx="18">
                  <c:v>0.3</c:v>
                </c:pt>
                <c:pt idx="19">
                  <c:v>0.2</c:v>
                </c:pt>
                <c:pt idx="20">
                  <c:v>-3.3</c:v>
                </c:pt>
                <c:pt idx="21">
                  <c:v>-11.4</c:v>
                </c:pt>
                <c:pt idx="22">
                  <c:v>11.5</c:v>
                </c:pt>
                <c:pt idx="23">
                  <c:v>-0.4</c:v>
                </c:pt>
              </c:numCache>
            </c:numRef>
          </c:val>
          <c:smooth val="0"/>
          <c:extLst>
            <c:ext xmlns:c16="http://schemas.microsoft.com/office/drawing/2014/chart" uri="{C3380CC4-5D6E-409C-BE32-E72D297353CC}">
              <c16:uniqueId val="{00000003-48AA-4572-A228-C48BE0A5C89B}"/>
            </c:ext>
          </c:extLst>
        </c:ser>
        <c:dLbls>
          <c:showLegendKey val="0"/>
          <c:showVal val="0"/>
          <c:showCatName val="0"/>
          <c:showSerName val="0"/>
          <c:showPercent val="0"/>
          <c:showBubbleSize val="0"/>
        </c:dLbls>
        <c:marker val="1"/>
        <c:smooth val="0"/>
        <c:axId val="267753344"/>
        <c:axId val="267767808"/>
      </c:lineChart>
      <c:catAx>
        <c:axId val="2677533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67767808"/>
        <c:crosses val="autoZero"/>
        <c:auto val="1"/>
        <c:lblAlgn val="ctr"/>
        <c:lblOffset val="100"/>
        <c:noMultiLvlLbl val="0"/>
      </c:catAx>
      <c:valAx>
        <c:axId val="267767808"/>
        <c:scaling>
          <c:orientation val="minMax"/>
          <c:max val="12"/>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753344"/>
        <c:crosses val="autoZero"/>
        <c:crossBetween val="between"/>
        <c:majorUnit val="3"/>
      </c:valAx>
      <c:spPr>
        <a:ln>
          <a:solidFill>
            <a:schemeClr val="tx1"/>
          </a:solidFill>
        </a:ln>
      </c:spPr>
    </c:plotArea>
    <c:legend>
      <c:legendPos val="b"/>
      <c:layout>
        <c:manualLayout>
          <c:xMode val="edge"/>
          <c:yMode val="edge"/>
          <c:x val="5.8431906450523471E-2"/>
          <c:y val="0.89437255125717996"/>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85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1'!$C$18:$C$41</c:f>
              <c:numCache>
                <c:formatCode>General</c:formatCode>
                <c:ptCount val="24"/>
                <c:pt idx="0">
                  <c:v>4.2999999999999972</c:v>
                </c:pt>
                <c:pt idx="1">
                  <c:v>4.9000000000000057</c:v>
                </c:pt>
                <c:pt idx="2">
                  <c:v>6</c:v>
                </c:pt>
                <c:pt idx="3">
                  <c:v>6.7999999999999972</c:v>
                </c:pt>
                <c:pt idx="4">
                  <c:v>8.9000000000000057</c:v>
                </c:pt>
                <c:pt idx="5">
                  <c:v>10.299999999999997</c:v>
                </c:pt>
                <c:pt idx="6">
                  <c:v>12.299999999999997</c:v>
                </c:pt>
                <c:pt idx="7">
                  <c:v>14.599999999999994</c:v>
                </c:pt>
                <c:pt idx="8">
                  <c:v>17.200000000000003</c:v>
                </c:pt>
                <c:pt idx="9">
                  <c:v>18.700000000000003</c:v>
                </c:pt>
                <c:pt idx="10">
                  <c:v>15.799999999999997</c:v>
                </c:pt>
                <c:pt idx="11">
                  <c:v>12</c:v>
                </c:pt>
                <c:pt idx="12">
                  <c:v>9.2000000000000028</c:v>
                </c:pt>
                <c:pt idx="13">
                  <c:v>8</c:v>
                </c:pt>
                <c:pt idx="14">
                  <c:v>9.4000000000000057</c:v>
                </c:pt>
                <c:pt idx="15">
                  <c:v>11.400000000000006</c:v>
                </c:pt>
                <c:pt idx="16">
                  <c:v>11.299999999999997</c:v>
                </c:pt>
                <c:pt idx="17">
                  <c:v>10.599999999999994</c:v>
                </c:pt>
                <c:pt idx="18">
                  <c:v>9.5</c:v>
                </c:pt>
                <c:pt idx="19">
                  <c:v>9.4000000000000057</c:v>
                </c:pt>
                <c:pt idx="20">
                  <c:v>10.599999999999994</c:v>
                </c:pt>
                <c:pt idx="21">
                  <c:v>10.200000000000003</c:v>
                </c:pt>
                <c:pt idx="22">
                  <c:v>11.200000000000003</c:v>
                </c:pt>
                <c:pt idx="23">
                  <c:v>12.599999999999994</c:v>
                </c:pt>
              </c:numCache>
            </c:numRef>
          </c:val>
          <c:extLst>
            <c:ext xmlns:c16="http://schemas.microsoft.com/office/drawing/2014/chart" uri="{C3380CC4-5D6E-409C-BE32-E72D297353CC}">
              <c16:uniqueId val="{00000000-CA29-406B-A89A-63D7A9833118}"/>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1'!$D$18:$D$41</c:f>
              <c:numCache>
                <c:formatCode>General</c:formatCode>
                <c:ptCount val="24"/>
                <c:pt idx="0">
                  <c:v>5</c:v>
                </c:pt>
                <c:pt idx="1">
                  <c:v>5.9000000000000057</c:v>
                </c:pt>
                <c:pt idx="2">
                  <c:v>5.5999999999999943</c:v>
                </c:pt>
                <c:pt idx="3">
                  <c:v>4.5999999999999943</c:v>
                </c:pt>
                <c:pt idx="4">
                  <c:v>5.7999999999999972</c:v>
                </c:pt>
                <c:pt idx="5">
                  <c:v>7.5</c:v>
                </c:pt>
                <c:pt idx="6">
                  <c:v>9.4000000000000057</c:v>
                </c:pt>
                <c:pt idx="7">
                  <c:v>13.900000000000006</c:v>
                </c:pt>
                <c:pt idx="8">
                  <c:v>16.200000000000003</c:v>
                </c:pt>
                <c:pt idx="9">
                  <c:v>19</c:v>
                </c:pt>
                <c:pt idx="10">
                  <c:v>16.400000000000006</c:v>
                </c:pt>
                <c:pt idx="11">
                  <c:v>11.099999999999994</c:v>
                </c:pt>
                <c:pt idx="12">
                  <c:v>8.2999999999999972</c:v>
                </c:pt>
                <c:pt idx="13">
                  <c:v>4</c:v>
                </c:pt>
                <c:pt idx="14">
                  <c:v>6</c:v>
                </c:pt>
                <c:pt idx="15">
                  <c:v>8.7000000000000028</c:v>
                </c:pt>
                <c:pt idx="16">
                  <c:v>9.4000000000000057</c:v>
                </c:pt>
                <c:pt idx="17">
                  <c:v>8.7000000000000028</c:v>
                </c:pt>
                <c:pt idx="18">
                  <c:v>6.5</c:v>
                </c:pt>
                <c:pt idx="19">
                  <c:v>7.0999999999999943</c:v>
                </c:pt>
                <c:pt idx="20">
                  <c:v>6.2000000000000028</c:v>
                </c:pt>
                <c:pt idx="21">
                  <c:v>8</c:v>
                </c:pt>
                <c:pt idx="22">
                  <c:v>9.4000000000000057</c:v>
                </c:pt>
                <c:pt idx="23">
                  <c:v>9.5999999999999943</c:v>
                </c:pt>
              </c:numCache>
            </c:numRef>
          </c:val>
          <c:extLst>
            <c:ext xmlns:c16="http://schemas.microsoft.com/office/drawing/2014/chart" uri="{C3380CC4-5D6E-409C-BE32-E72D297353CC}">
              <c16:uniqueId val="{00000001-CA29-406B-A89A-63D7A9833118}"/>
            </c:ext>
          </c:extLst>
        </c:ser>
        <c:dLbls>
          <c:showLegendKey val="0"/>
          <c:showVal val="0"/>
          <c:showCatName val="0"/>
          <c:showSerName val="0"/>
          <c:showPercent val="0"/>
          <c:showBubbleSize val="0"/>
        </c:dLbls>
        <c:gapWidth val="95"/>
        <c:axId val="270057856"/>
        <c:axId val="270059392"/>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1'!$E$18:$E$41</c:f>
              <c:numCache>
                <c:formatCode>0.0</c:formatCode>
                <c:ptCount val="24"/>
                <c:pt idx="0">
                  <c:v>3.6253776435045406</c:v>
                </c:pt>
                <c:pt idx="1">
                  <c:v>4.9701789264413518</c:v>
                </c:pt>
                <c:pt idx="2">
                  <c:v>6.0843964671246207</c:v>
                </c:pt>
                <c:pt idx="3">
                  <c:v>9.5849802371541539</c:v>
                </c:pt>
                <c:pt idx="4">
                  <c:v>10.204081632653059</c:v>
                </c:pt>
                <c:pt idx="5">
                  <c:v>10.321969696969703</c:v>
                </c:pt>
                <c:pt idx="6">
                  <c:v>9.8982423681776162</c:v>
                </c:pt>
                <c:pt idx="7">
                  <c:v>9.9188458070333638</c:v>
                </c:pt>
                <c:pt idx="8">
                  <c:v>9.5238095238095184</c:v>
                </c:pt>
                <c:pt idx="9" formatCode="General">
                  <c:v>9.5278969957081472</c:v>
                </c:pt>
                <c:pt idx="10" formatCode="General">
                  <c:v>12.542087542087543</c:v>
                </c:pt>
                <c:pt idx="11" formatCode="General">
                  <c:v>12.469237079573418</c:v>
                </c:pt>
                <c:pt idx="12" formatCode="General">
                  <c:v>12.801932367149746</c:v>
                </c:pt>
                <c:pt idx="13" formatCode="General">
                  <c:v>12.225705329153584</c:v>
                </c:pt>
                <c:pt idx="14" formatCode="General">
                  <c:v>9.498878085265531</c:v>
                </c:pt>
                <c:pt idx="15" formatCode="General">
                  <c:v>8.4609773887673185</c:v>
                </c:pt>
                <c:pt idx="16" formatCode="General">
                  <c:v>7.4232690935046435</c:v>
                </c:pt>
                <c:pt idx="17" formatCode="General">
                  <c:v>5.7262569832402335</c:v>
                </c:pt>
                <c:pt idx="18" formatCode="General">
                  <c:v>5.1912568306010911</c:v>
                </c:pt>
                <c:pt idx="19" formatCode="General">
                  <c:v>5.5144586415601964</c:v>
                </c:pt>
                <c:pt idx="20" formatCode="General">
                  <c:v>6.0465116279069662</c:v>
                </c:pt>
                <c:pt idx="21" formatCode="General">
                  <c:v>7.1334214002641829</c:v>
                </c:pt>
                <c:pt idx="22" formatCode="General">
                  <c:v>7.9870129870129887</c:v>
                </c:pt>
                <c:pt idx="23" formatCode="General">
                  <c:v>7.6481835564053569</c:v>
                </c:pt>
              </c:numCache>
            </c:numRef>
          </c:val>
          <c:smooth val="0"/>
          <c:extLst>
            <c:ext xmlns:c16="http://schemas.microsoft.com/office/drawing/2014/chart" uri="{C3380CC4-5D6E-409C-BE32-E72D297353CC}">
              <c16:uniqueId val="{00000002-CA29-406B-A89A-63D7A9833118}"/>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1'!$F$18:$F$41</c:f>
              <c:numCache>
                <c:formatCode>0.0</c:formatCode>
                <c:ptCount val="24"/>
                <c:pt idx="0">
                  <c:v>5.7710501419110631</c:v>
                </c:pt>
                <c:pt idx="1">
                  <c:v>6.4995357474466111</c:v>
                </c:pt>
                <c:pt idx="2">
                  <c:v>6.7089755213055353</c:v>
                </c:pt>
                <c:pt idx="3">
                  <c:v>8.7862318840579601</c:v>
                </c:pt>
                <c:pt idx="4">
                  <c:v>10.196779964221831</c:v>
                </c:pt>
                <c:pt idx="5">
                  <c:v>10.549258936355706</c:v>
                </c:pt>
                <c:pt idx="6">
                  <c:v>9.7706032285471416</c:v>
                </c:pt>
                <c:pt idx="7">
                  <c:v>11.323896752706073</c:v>
                </c:pt>
                <c:pt idx="8">
                  <c:v>13.636363636363626</c:v>
                </c:pt>
                <c:pt idx="9" formatCode="General">
                  <c:v>14.589905362776051</c:v>
                </c:pt>
                <c:pt idx="10" formatCode="General">
                  <c:v>18.266253869969049</c:v>
                </c:pt>
                <c:pt idx="11" formatCode="General">
                  <c:v>18.773373223635019</c:v>
                </c:pt>
                <c:pt idx="12" formatCode="General">
                  <c:v>15.071428571428555</c:v>
                </c:pt>
                <c:pt idx="13" formatCode="General">
                  <c:v>14.24638678596007</c:v>
                </c:pt>
                <c:pt idx="14" formatCode="General">
                  <c:v>10.732984293193695</c:v>
                </c:pt>
                <c:pt idx="15" formatCode="General">
                  <c:v>8.7531486146095574</c:v>
                </c:pt>
                <c:pt idx="16" formatCode="General">
                  <c:v>8.3178150217256359</c:v>
                </c:pt>
                <c:pt idx="17" formatCode="General">
                  <c:v>4.9397590361445651</c:v>
                </c:pt>
                <c:pt idx="18" formatCode="General">
                  <c:v>3.3096926713947994</c:v>
                </c:pt>
                <c:pt idx="19" formatCode="General">
                  <c:v>2.9530978575564575</c:v>
                </c:pt>
                <c:pt idx="20" formatCode="General">
                  <c:v>3.5530085959885298</c:v>
                </c:pt>
                <c:pt idx="21" formatCode="General">
                  <c:v>5.2812858783008068</c:v>
                </c:pt>
                <c:pt idx="22" formatCode="General">
                  <c:v>6.2356979405034281</c:v>
                </c:pt>
                <c:pt idx="23" formatCode="General">
                  <c:v>5.1743532058492718</c:v>
                </c:pt>
              </c:numCache>
            </c:numRef>
          </c:val>
          <c:smooth val="0"/>
          <c:extLst>
            <c:ext xmlns:c16="http://schemas.microsoft.com/office/drawing/2014/chart" uri="{C3380CC4-5D6E-409C-BE32-E72D297353CC}">
              <c16:uniqueId val="{00000003-CA29-406B-A89A-63D7A9833118}"/>
            </c:ext>
          </c:extLst>
        </c:ser>
        <c:dLbls>
          <c:showLegendKey val="0"/>
          <c:showVal val="0"/>
          <c:showCatName val="0"/>
          <c:showSerName val="0"/>
          <c:showPercent val="0"/>
          <c:showBubbleSize val="0"/>
        </c:dLbls>
        <c:marker val="1"/>
        <c:smooth val="0"/>
        <c:axId val="270057856"/>
        <c:axId val="270059392"/>
      </c:lineChart>
      <c:catAx>
        <c:axId val="27005785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059392"/>
        <c:crosses val="autoZero"/>
        <c:auto val="1"/>
        <c:lblAlgn val="ctr"/>
        <c:lblOffset val="100"/>
        <c:noMultiLvlLbl val="0"/>
      </c:catAx>
      <c:valAx>
        <c:axId val="270059392"/>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057856"/>
        <c:crosses val="autoZero"/>
        <c:crossBetween val="between"/>
        <c:majorUnit val="2"/>
      </c:valAx>
      <c:spPr>
        <a:ln>
          <a:solidFill>
            <a:schemeClr val="tx1"/>
          </a:solidFill>
        </a:ln>
      </c:spPr>
    </c:plotArea>
    <c:legend>
      <c:legendPos val="b"/>
      <c:layout>
        <c:manualLayout>
          <c:xMode val="edge"/>
          <c:yMode val="edge"/>
          <c:x val="7.3334810874704504E-2"/>
          <c:y val="0.88817854328492629"/>
          <c:w val="0.89999282337048292"/>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10469436001351E-2"/>
          <c:y val="2.181131592422042E-2"/>
          <c:w val="0.90860161263086792"/>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4'!$C$30:$C$101</c:f>
              <c:numCache>
                <c:formatCode>0.0</c:formatCode>
                <c:ptCount val="72"/>
                <c:pt idx="0">
                  <c:v>-3.5</c:v>
                </c:pt>
                <c:pt idx="1">
                  <c:v>-3.5999999999999943</c:v>
                </c:pt>
                <c:pt idx="2">
                  <c:v>-2.9000000000000057</c:v>
                </c:pt>
                <c:pt idx="3">
                  <c:v>-2.5999999999999943</c:v>
                </c:pt>
                <c:pt idx="4">
                  <c:v>-2.0999999999999943</c:v>
                </c:pt>
                <c:pt idx="5">
                  <c:v>-2.2999999999999972</c:v>
                </c:pt>
                <c:pt idx="6">
                  <c:v>-3</c:v>
                </c:pt>
                <c:pt idx="7">
                  <c:v>-3.7000000000000028</c:v>
                </c:pt>
                <c:pt idx="8">
                  <c:v>-4.2000000000000028</c:v>
                </c:pt>
                <c:pt idx="9">
                  <c:v>-3.9000000000000057</c:v>
                </c:pt>
                <c:pt idx="10">
                  <c:v>-3.7000000000000028</c:v>
                </c:pt>
                <c:pt idx="11">
                  <c:v>-2.9000000000000057</c:v>
                </c:pt>
                <c:pt idx="12">
                  <c:v>-3.4000000000000057</c:v>
                </c:pt>
                <c:pt idx="13">
                  <c:v>-4</c:v>
                </c:pt>
                <c:pt idx="14">
                  <c:v>-4.5</c:v>
                </c:pt>
                <c:pt idx="15">
                  <c:v>-4.7000000000000028</c:v>
                </c:pt>
                <c:pt idx="16">
                  <c:v>-4.7999999999999972</c:v>
                </c:pt>
                <c:pt idx="17">
                  <c:v>-4.4000000000000057</c:v>
                </c:pt>
                <c:pt idx="18">
                  <c:v>-4</c:v>
                </c:pt>
                <c:pt idx="19">
                  <c:v>-3.4000000000000057</c:v>
                </c:pt>
                <c:pt idx="20">
                  <c:v>-2.4000000000000057</c:v>
                </c:pt>
                <c:pt idx="21">
                  <c:v>-1.7000000000000028</c:v>
                </c:pt>
                <c:pt idx="22">
                  <c:v>-1.2999999999999972</c:v>
                </c:pt>
                <c:pt idx="23">
                  <c:v>-0.40000000000000568</c:v>
                </c:pt>
                <c:pt idx="24" formatCode="General">
                  <c:v>2.0999999999999943</c:v>
                </c:pt>
                <c:pt idx="25" formatCode="General">
                  <c:v>3.0999999999999943</c:v>
                </c:pt>
                <c:pt idx="26">
                  <c:v>3</c:v>
                </c:pt>
                <c:pt idx="27">
                  <c:v>3.2000000000000028</c:v>
                </c:pt>
                <c:pt idx="28" formatCode="General">
                  <c:v>2.2999999999999972</c:v>
                </c:pt>
                <c:pt idx="29" formatCode="General">
                  <c:v>1.2999999999999972</c:v>
                </c:pt>
                <c:pt idx="30" formatCode="General">
                  <c:v>1.1000000000000001</c:v>
                </c:pt>
                <c:pt idx="31" formatCode="General">
                  <c:v>1.4</c:v>
                </c:pt>
                <c:pt idx="32" formatCode="General">
                  <c:v>1.7</c:v>
                </c:pt>
                <c:pt idx="33" formatCode="General">
                  <c:v>1.1000000000000001</c:v>
                </c:pt>
                <c:pt idx="34" formatCode="General">
                  <c:v>0.9</c:v>
                </c:pt>
                <c:pt idx="35" formatCode="General">
                  <c:v>0.7</c:v>
                </c:pt>
                <c:pt idx="36" formatCode="General">
                  <c:v>0.5</c:v>
                </c:pt>
                <c:pt idx="37" formatCode="General">
                  <c:v>-0.3</c:v>
                </c:pt>
                <c:pt idx="38" formatCode="General">
                  <c:v>0.1</c:v>
                </c:pt>
                <c:pt idx="39" formatCode="General">
                  <c:v>0</c:v>
                </c:pt>
                <c:pt idx="40" formatCode="General">
                  <c:v>1.5</c:v>
                </c:pt>
                <c:pt idx="41" formatCode="General">
                  <c:v>2.9</c:v>
                </c:pt>
                <c:pt idx="42" formatCode="General">
                  <c:v>3.4</c:v>
                </c:pt>
                <c:pt idx="43" formatCode="General">
                  <c:v>3.3</c:v>
                </c:pt>
                <c:pt idx="44" formatCode="General">
                  <c:v>3.2</c:v>
                </c:pt>
                <c:pt idx="45" formatCode="General">
                  <c:v>3.9</c:v>
                </c:pt>
                <c:pt idx="46" formatCode="General">
                  <c:v>3.9</c:v>
                </c:pt>
                <c:pt idx="47" formatCode="General">
                  <c:v>2.4</c:v>
                </c:pt>
                <c:pt idx="48" formatCode="General">
                  <c:v>2.9</c:v>
                </c:pt>
                <c:pt idx="49" formatCode="General">
                  <c:v>3.6</c:v>
                </c:pt>
                <c:pt idx="50" formatCode="General">
                  <c:v>3.8</c:v>
                </c:pt>
                <c:pt idx="51" formatCode="General">
                  <c:v>4.3</c:v>
                </c:pt>
                <c:pt idx="52" formatCode="General">
                  <c:v>3.8</c:v>
                </c:pt>
                <c:pt idx="53" formatCode="General">
                  <c:v>2.5</c:v>
                </c:pt>
                <c:pt idx="54" formatCode="General">
                  <c:v>2.1</c:v>
                </c:pt>
                <c:pt idx="55" formatCode="General">
                  <c:v>2.1</c:v>
                </c:pt>
                <c:pt idx="56" formatCode="General">
                  <c:v>1.9</c:v>
                </c:pt>
                <c:pt idx="57" formatCode="General">
                  <c:v>0.9</c:v>
                </c:pt>
                <c:pt idx="58" formatCode="General">
                  <c:v>0.9</c:v>
                </c:pt>
                <c:pt idx="59" formatCode="General">
                  <c:v>2.1</c:v>
                </c:pt>
                <c:pt idx="60" formatCode="General">
                  <c:v>2.4</c:v>
                </c:pt>
                <c:pt idx="61" formatCode="General">
                  <c:v>1.4</c:v>
                </c:pt>
                <c:pt idx="62" formatCode="General">
                  <c:v>0.4</c:v>
                </c:pt>
                <c:pt idx="63" formatCode="General">
                  <c:v>-0.8</c:v>
                </c:pt>
                <c:pt idx="64" formatCode="General">
                  <c:v>-0.9</c:v>
                </c:pt>
                <c:pt idx="65" formatCode="General">
                  <c:v>-0.3</c:v>
                </c:pt>
                <c:pt idx="66" formatCode="General">
                  <c:v>-0.1</c:v>
                </c:pt>
                <c:pt idx="67" formatCode="General">
                  <c:v>-0.5</c:v>
                </c:pt>
                <c:pt idx="68" formatCode="General">
                  <c:v>-0.4</c:v>
                </c:pt>
                <c:pt idx="69" formatCode="General">
                  <c:v>0.3</c:v>
                </c:pt>
                <c:pt idx="70" formatCode="General">
                  <c:v>-0.1</c:v>
                </c:pt>
                <c:pt idx="71" formatCode="General">
                  <c:v>0</c:v>
                </c:pt>
              </c:numCache>
            </c:numRef>
          </c:val>
          <c:extLst>
            <c:ext xmlns:c16="http://schemas.microsoft.com/office/drawing/2014/chart" uri="{C3380CC4-5D6E-409C-BE32-E72D297353CC}">
              <c16:uniqueId val="{00000000-F54B-49BD-B6DC-96708AD297B4}"/>
            </c:ext>
          </c:extLst>
        </c:ser>
        <c:dLbls>
          <c:showLegendKey val="0"/>
          <c:showVal val="0"/>
          <c:showCatName val="0"/>
          <c:showSerName val="0"/>
          <c:showPercent val="0"/>
          <c:showBubbleSize val="0"/>
        </c:dLbls>
        <c:gapWidth val="96"/>
        <c:axId val="271374208"/>
        <c:axId val="271375744"/>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4'!$D$30:$D$101</c:f>
              <c:numCache>
                <c:formatCode>0.0</c:formatCode>
                <c:ptCount val="72"/>
                <c:pt idx="0">
                  <c:v>-0.90000000000000568</c:v>
                </c:pt>
                <c:pt idx="1">
                  <c:v>-1.5</c:v>
                </c:pt>
                <c:pt idx="2">
                  <c:v>-0.90000000000000568</c:v>
                </c:pt>
                <c:pt idx="3">
                  <c:v>-0.90000000000000568</c:v>
                </c:pt>
                <c:pt idx="4">
                  <c:v>0.29999999999999716</c:v>
                </c:pt>
                <c:pt idx="5">
                  <c:v>0.59999999999999432</c:v>
                </c:pt>
                <c:pt idx="6">
                  <c:v>0.40000000000000568</c:v>
                </c:pt>
                <c:pt idx="7">
                  <c:v>-0.29999999999999716</c:v>
                </c:pt>
                <c:pt idx="8">
                  <c:v>-1.7000000000000028</c:v>
                </c:pt>
                <c:pt idx="9">
                  <c:v>-1.4000000000000057</c:v>
                </c:pt>
                <c:pt idx="10">
                  <c:v>-0.59999999999999432</c:v>
                </c:pt>
                <c:pt idx="11">
                  <c:v>-0.5</c:v>
                </c:pt>
                <c:pt idx="12">
                  <c:v>-6.5999999999999943</c:v>
                </c:pt>
                <c:pt idx="13">
                  <c:v>-6.0999999999999943</c:v>
                </c:pt>
                <c:pt idx="14">
                  <c:v>-6.5</c:v>
                </c:pt>
                <c:pt idx="15">
                  <c:v>-7</c:v>
                </c:pt>
                <c:pt idx="16">
                  <c:v>-7.0999999999999943</c:v>
                </c:pt>
                <c:pt idx="17">
                  <c:v>-7.2999999999999972</c:v>
                </c:pt>
                <c:pt idx="18">
                  <c:v>-6.5999999999999943</c:v>
                </c:pt>
                <c:pt idx="19">
                  <c:v>-6</c:v>
                </c:pt>
                <c:pt idx="20">
                  <c:v>-4.9000000000000057</c:v>
                </c:pt>
                <c:pt idx="21">
                  <c:v>-5.2000000000000028</c:v>
                </c:pt>
                <c:pt idx="22">
                  <c:v>-5.2999999999999972</c:v>
                </c:pt>
                <c:pt idx="23">
                  <c:v>-5.0999999999999943</c:v>
                </c:pt>
                <c:pt idx="24" formatCode="General">
                  <c:v>2.2999999999999972</c:v>
                </c:pt>
                <c:pt idx="25" formatCode="General">
                  <c:v>5.7999999999999972</c:v>
                </c:pt>
                <c:pt idx="26">
                  <c:v>6.2000000000000028</c:v>
                </c:pt>
                <c:pt idx="27">
                  <c:v>6.4000000000000057</c:v>
                </c:pt>
                <c:pt idx="28" formatCode="General">
                  <c:v>4.2999999999999972</c:v>
                </c:pt>
                <c:pt idx="29" formatCode="General">
                  <c:v>4.0999999999999943</c:v>
                </c:pt>
                <c:pt idx="30" formatCode="General">
                  <c:v>2.9</c:v>
                </c:pt>
                <c:pt idx="31" formatCode="General">
                  <c:v>1.7</c:v>
                </c:pt>
                <c:pt idx="32" formatCode="General">
                  <c:v>1.9</c:v>
                </c:pt>
                <c:pt idx="33" formatCode="General">
                  <c:v>3.4</c:v>
                </c:pt>
                <c:pt idx="34" formatCode="General">
                  <c:v>3.3</c:v>
                </c:pt>
                <c:pt idx="35" formatCode="General">
                  <c:v>3.6</c:v>
                </c:pt>
                <c:pt idx="36" formatCode="General">
                  <c:v>6.7</c:v>
                </c:pt>
                <c:pt idx="37" formatCode="General">
                  <c:v>5</c:v>
                </c:pt>
                <c:pt idx="38" formatCode="General">
                  <c:v>4.3</c:v>
                </c:pt>
                <c:pt idx="39" formatCode="General">
                  <c:v>4.5999999999999996</c:v>
                </c:pt>
                <c:pt idx="40" formatCode="General">
                  <c:v>7.4</c:v>
                </c:pt>
                <c:pt idx="41" formatCode="General">
                  <c:v>8</c:v>
                </c:pt>
                <c:pt idx="42" formatCode="General">
                  <c:v>8.4</c:v>
                </c:pt>
                <c:pt idx="43" formatCode="General">
                  <c:v>10.1</c:v>
                </c:pt>
                <c:pt idx="44" formatCode="General">
                  <c:v>9.9</c:v>
                </c:pt>
                <c:pt idx="45" formatCode="General">
                  <c:v>9</c:v>
                </c:pt>
                <c:pt idx="46" formatCode="General">
                  <c:v>9.1999999999999993</c:v>
                </c:pt>
                <c:pt idx="47" formatCode="General">
                  <c:v>8.3000000000000007</c:v>
                </c:pt>
                <c:pt idx="48" formatCode="General">
                  <c:v>7.9</c:v>
                </c:pt>
                <c:pt idx="49" formatCode="General">
                  <c:v>7.4</c:v>
                </c:pt>
                <c:pt idx="50" formatCode="General">
                  <c:v>8</c:v>
                </c:pt>
                <c:pt idx="51" formatCode="General">
                  <c:v>8.4</c:v>
                </c:pt>
                <c:pt idx="52" formatCode="General">
                  <c:v>7.5</c:v>
                </c:pt>
                <c:pt idx="53" formatCode="General">
                  <c:v>7.1</c:v>
                </c:pt>
                <c:pt idx="54" formatCode="General">
                  <c:v>6.9</c:v>
                </c:pt>
                <c:pt idx="55" formatCode="General">
                  <c:v>6.8</c:v>
                </c:pt>
                <c:pt idx="56" formatCode="General">
                  <c:v>6.6</c:v>
                </c:pt>
                <c:pt idx="57" formatCode="General">
                  <c:v>3.6</c:v>
                </c:pt>
                <c:pt idx="58" formatCode="General">
                  <c:v>3.2</c:v>
                </c:pt>
                <c:pt idx="59" formatCode="General">
                  <c:v>4.3</c:v>
                </c:pt>
                <c:pt idx="60" formatCode="General">
                  <c:v>-2.1</c:v>
                </c:pt>
                <c:pt idx="61" formatCode="General">
                  <c:v>-1.8</c:v>
                </c:pt>
                <c:pt idx="62" formatCode="General">
                  <c:v>-2.6</c:v>
                </c:pt>
                <c:pt idx="63" formatCode="General">
                  <c:v>-3.7</c:v>
                </c:pt>
                <c:pt idx="64" formatCode="General">
                  <c:v>-3.1</c:v>
                </c:pt>
                <c:pt idx="65" formatCode="General">
                  <c:v>-3.6</c:v>
                </c:pt>
                <c:pt idx="66" formatCode="General">
                  <c:v>-3.5</c:v>
                </c:pt>
                <c:pt idx="67" formatCode="General">
                  <c:v>-3.5</c:v>
                </c:pt>
                <c:pt idx="68" formatCode="General">
                  <c:v>-3.7</c:v>
                </c:pt>
                <c:pt idx="69" formatCode="General">
                  <c:v>-1.9</c:v>
                </c:pt>
                <c:pt idx="70" formatCode="General">
                  <c:v>-1.8</c:v>
                </c:pt>
                <c:pt idx="71" formatCode="General">
                  <c:v>-2.2000000000000002</c:v>
                </c:pt>
              </c:numCache>
            </c:numRef>
          </c:val>
          <c:smooth val="0"/>
          <c:extLst>
            <c:ext xmlns:c16="http://schemas.microsoft.com/office/drawing/2014/chart" uri="{C3380CC4-5D6E-409C-BE32-E72D297353CC}">
              <c16:uniqueId val="{00000001-F54B-49BD-B6DC-96708AD297B4}"/>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4'!$E$30:$E$101</c:f>
              <c:numCache>
                <c:formatCode>0.0</c:formatCode>
                <c:ptCount val="72"/>
                <c:pt idx="0">
                  <c:v>-4.2999999999999972</c:v>
                </c:pt>
                <c:pt idx="1">
                  <c:v>-4.4000000000000057</c:v>
                </c:pt>
                <c:pt idx="2">
                  <c:v>-3.5</c:v>
                </c:pt>
                <c:pt idx="3">
                  <c:v>-3.0999999999999943</c:v>
                </c:pt>
                <c:pt idx="4">
                  <c:v>-2.7000000000000028</c:v>
                </c:pt>
                <c:pt idx="5">
                  <c:v>-2.7999999999999972</c:v>
                </c:pt>
                <c:pt idx="6">
                  <c:v>-3.5999999999999943</c:v>
                </c:pt>
                <c:pt idx="7">
                  <c:v>-4.7000000000000028</c:v>
                </c:pt>
                <c:pt idx="8">
                  <c:v>-5.2000000000000028</c:v>
                </c:pt>
                <c:pt idx="9">
                  <c:v>-4.9000000000000057</c:v>
                </c:pt>
                <c:pt idx="10">
                  <c:v>-4.5999999999999943</c:v>
                </c:pt>
                <c:pt idx="11">
                  <c:v>-3.5</c:v>
                </c:pt>
                <c:pt idx="12">
                  <c:v>-3.2999999999999972</c:v>
                </c:pt>
                <c:pt idx="13">
                  <c:v>-4.0999999999999943</c:v>
                </c:pt>
                <c:pt idx="14">
                  <c:v>-4.5999999999999943</c:v>
                </c:pt>
                <c:pt idx="15">
                  <c:v>-4.9000000000000057</c:v>
                </c:pt>
                <c:pt idx="16">
                  <c:v>-5</c:v>
                </c:pt>
                <c:pt idx="17">
                  <c:v>-4.5</c:v>
                </c:pt>
                <c:pt idx="18">
                  <c:v>-4</c:v>
                </c:pt>
                <c:pt idx="19">
                  <c:v>-3.2000000000000028</c:v>
                </c:pt>
                <c:pt idx="20">
                  <c:v>-2</c:v>
                </c:pt>
                <c:pt idx="21">
                  <c:v>-1.0999999999999943</c:v>
                </c:pt>
                <c:pt idx="22">
                  <c:v>-0.59999999999999432</c:v>
                </c:pt>
                <c:pt idx="23">
                  <c:v>0.59999999999999432</c:v>
                </c:pt>
                <c:pt idx="24" formatCode="General">
                  <c:v>2.5999999999999943</c:v>
                </c:pt>
                <c:pt idx="25" formatCode="General">
                  <c:v>4</c:v>
                </c:pt>
                <c:pt idx="26">
                  <c:v>3.7999999999999972</c:v>
                </c:pt>
                <c:pt idx="27">
                  <c:v>4</c:v>
                </c:pt>
                <c:pt idx="28" formatCode="General">
                  <c:v>2.7999999999999972</c:v>
                </c:pt>
                <c:pt idx="29" formatCode="General">
                  <c:v>1.5</c:v>
                </c:pt>
                <c:pt idx="30" formatCode="General">
                  <c:v>1.4</c:v>
                </c:pt>
                <c:pt idx="31" formatCode="General">
                  <c:v>2</c:v>
                </c:pt>
                <c:pt idx="32" formatCode="General">
                  <c:v>2.1</c:v>
                </c:pt>
                <c:pt idx="33" formatCode="General">
                  <c:v>1.4</c:v>
                </c:pt>
                <c:pt idx="34" formatCode="General">
                  <c:v>1.1000000000000001</c:v>
                </c:pt>
                <c:pt idx="35" formatCode="General">
                  <c:v>0.9</c:v>
                </c:pt>
                <c:pt idx="36" formatCode="General">
                  <c:v>0.2</c:v>
                </c:pt>
                <c:pt idx="37" formatCode="General">
                  <c:v>-0.9</c:v>
                </c:pt>
                <c:pt idx="38" formatCode="General">
                  <c:v>-0.5</c:v>
                </c:pt>
                <c:pt idx="39" formatCode="General">
                  <c:v>-0.5</c:v>
                </c:pt>
                <c:pt idx="40" formatCode="General">
                  <c:v>1.3</c:v>
                </c:pt>
                <c:pt idx="41" formatCode="General">
                  <c:v>2.8</c:v>
                </c:pt>
                <c:pt idx="42" formatCode="General">
                  <c:v>3.4</c:v>
                </c:pt>
                <c:pt idx="43" formatCode="General">
                  <c:v>3.2</c:v>
                </c:pt>
                <c:pt idx="44" formatCode="General">
                  <c:v>3</c:v>
                </c:pt>
                <c:pt idx="45" formatCode="General">
                  <c:v>3.8</c:v>
                </c:pt>
                <c:pt idx="46" formatCode="General">
                  <c:v>3.9</c:v>
                </c:pt>
                <c:pt idx="47" formatCode="General">
                  <c:v>2.2000000000000002</c:v>
                </c:pt>
                <c:pt idx="48" formatCode="General">
                  <c:v>1.9</c:v>
                </c:pt>
                <c:pt idx="49" formatCode="General">
                  <c:v>2.9</c:v>
                </c:pt>
                <c:pt idx="50" formatCode="General">
                  <c:v>3</c:v>
                </c:pt>
                <c:pt idx="51" formatCode="General">
                  <c:v>3.5</c:v>
                </c:pt>
                <c:pt idx="52" formatCode="General">
                  <c:v>2.9</c:v>
                </c:pt>
                <c:pt idx="53" formatCode="General">
                  <c:v>1.4</c:v>
                </c:pt>
                <c:pt idx="54" formatCode="General">
                  <c:v>0.9</c:v>
                </c:pt>
                <c:pt idx="55" formatCode="General">
                  <c:v>0.8</c:v>
                </c:pt>
                <c:pt idx="56" formatCode="General">
                  <c:v>0.7</c:v>
                </c:pt>
                <c:pt idx="57" formatCode="General">
                  <c:v>-0.4</c:v>
                </c:pt>
                <c:pt idx="58" formatCode="General">
                  <c:v>-0.7</c:v>
                </c:pt>
                <c:pt idx="59" formatCode="General">
                  <c:v>0.8</c:v>
                </c:pt>
                <c:pt idx="60" formatCode="General">
                  <c:v>1.2</c:v>
                </c:pt>
                <c:pt idx="61" formatCode="General">
                  <c:v>-0.1</c:v>
                </c:pt>
                <c:pt idx="62" formatCode="General">
                  <c:v>-1.2</c:v>
                </c:pt>
                <c:pt idx="63" formatCode="General">
                  <c:v>-2.5</c:v>
                </c:pt>
                <c:pt idx="64" formatCode="General">
                  <c:v>-2.6</c:v>
                </c:pt>
                <c:pt idx="65" formatCode="General">
                  <c:v>-1.9</c:v>
                </c:pt>
                <c:pt idx="66" formatCode="General">
                  <c:v>-1.6</c:v>
                </c:pt>
                <c:pt idx="67" formatCode="General">
                  <c:v>-2</c:v>
                </c:pt>
                <c:pt idx="68" formatCode="General">
                  <c:v>-1.9</c:v>
                </c:pt>
                <c:pt idx="69" formatCode="General">
                  <c:v>-1.1000000000000001</c:v>
                </c:pt>
                <c:pt idx="70" formatCode="General">
                  <c:v>-1.4</c:v>
                </c:pt>
                <c:pt idx="71" formatCode="General">
                  <c:v>-1.2</c:v>
                </c:pt>
              </c:numCache>
            </c:numRef>
          </c:val>
          <c:smooth val="0"/>
          <c:extLst>
            <c:ext xmlns:c16="http://schemas.microsoft.com/office/drawing/2014/chart" uri="{C3380CC4-5D6E-409C-BE32-E72D297353CC}">
              <c16:uniqueId val="{00000002-F54B-49BD-B6DC-96708AD297B4}"/>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4'!$F$30:$F$101</c:f>
              <c:numCache>
                <c:formatCode>0.0</c:formatCode>
                <c:ptCount val="72"/>
                <c:pt idx="0">
                  <c:v>-0.79999999999999716</c:v>
                </c:pt>
                <c:pt idx="1">
                  <c:v>-0.79999999999999716</c:v>
                </c:pt>
                <c:pt idx="2">
                  <c:v>-0.79999999999999716</c:v>
                </c:pt>
                <c:pt idx="3">
                  <c:v>-0.70000000000000284</c:v>
                </c:pt>
                <c:pt idx="4">
                  <c:v>-0.70000000000000284</c:v>
                </c:pt>
                <c:pt idx="5">
                  <c:v>-0.70000000000000284</c:v>
                </c:pt>
                <c:pt idx="6">
                  <c:v>-0.70000000000000284</c:v>
                </c:pt>
                <c:pt idx="7">
                  <c:v>-0.79999999999999716</c:v>
                </c:pt>
                <c:pt idx="8">
                  <c:v>-0.79999999999999716</c:v>
                </c:pt>
                <c:pt idx="9">
                  <c:v>-0.90000000000000568</c:v>
                </c:pt>
                <c:pt idx="10">
                  <c:v>-0.90000000000000568</c:v>
                </c:pt>
                <c:pt idx="11">
                  <c:v>-0.90000000000000568</c:v>
                </c:pt>
                <c:pt idx="12">
                  <c:v>-4</c:v>
                </c:pt>
                <c:pt idx="13">
                  <c:v>-4.0999999999999943</c:v>
                </c:pt>
                <c:pt idx="14">
                  <c:v>-4.0999999999999943</c:v>
                </c:pt>
                <c:pt idx="15">
                  <c:v>-4</c:v>
                </c:pt>
                <c:pt idx="16">
                  <c:v>-4</c:v>
                </c:pt>
                <c:pt idx="17">
                  <c:v>-4.0999999999999943</c:v>
                </c:pt>
                <c:pt idx="18">
                  <c:v>-4</c:v>
                </c:pt>
                <c:pt idx="19">
                  <c:v>-4</c:v>
                </c:pt>
                <c:pt idx="20">
                  <c:v>-4.0999999999999943</c:v>
                </c:pt>
                <c:pt idx="21">
                  <c:v>-4.0999999999999943</c:v>
                </c:pt>
                <c:pt idx="22">
                  <c:v>-4.0999999999999943</c:v>
                </c:pt>
                <c:pt idx="23">
                  <c:v>-4.0999999999999943</c:v>
                </c:pt>
                <c:pt idx="24" formatCode="General">
                  <c:v>-1.0999999999999943</c:v>
                </c:pt>
                <c:pt idx="25" formatCode="General">
                  <c:v>-1.2000000000000028</c:v>
                </c:pt>
                <c:pt idx="26">
                  <c:v>-1.2000000000000028</c:v>
                </c:pt>
                <c:pt idx="27">
                  <c:v>-1.4000000000000057</c:v>
                </c:pt>
                <c:pt idx="28" formatCode="General">
                  <c:v>-1.2999999999999972</c:v>
                </c:pt>
                <c:pt idx="29" formatCode="General">
                  <c:v>-1.0999999999999943</c:v>
                </c:pt>
                <c:pt idx="30" formatCode="General">
                  <c:v>-1.1000000000000001</c:v>
                </c:pt>
                <c:pt idx="31" formatCode="General">
                  <c:v>-1.3</c:v>
                </c:pt>
                <c:pt idx="32" formatCode="General">
                  <c:v>-1.1000000000000001</c:v>
                </c:pt>
                <c:pt idx="33" formatCode="General">
                  <c:v>-1.1000000000000001</c:v>
                </c:pt>
                <c:pt idx="34" formatCode="General">
                  <c:v>-1.1000000000000001</c:v>
                </c:pt>
                <c:pt idx="35" formatCode="General">
                  <c:v>-1.1000000000000001</c:v>
                </c:pt>
                <c:pt idx="36" formatCode="General">
                  <c:v>1.5</c:v>
                </c:pt>
                <c:pt idx="37" formatCode="General">
                  <c:v>1.6</c:v>
                </c:pt>
                <c:pt idx="38" formatCode="General">
                  <c:v>1.6</c:v>
                </c:pt>
                <c:pt idx="39" formatCode="General">
                  <c:v>1.7</c:v>
                </c:pt>
                <c:pt idx="40" formatCode="General">
                  <c:v>1.7</c:v>
                </c:pt>
                <c:pt idx="41" formatCode="General">
                  <c:v>2.2999999999999998</c:v>
                </c:pt>
                <c:pt idx="42" formatCode="General">
                  <c:v>2.2999999999999998</c:v>
                </c:pt>
                <c:pt idx="43" formatCode="General">
                  <c:v>2.6</c:v>
                </c:pt>
                <c:pt idx="44" formatCode="General">
                  <c:v>2.7</c:v>
                </c:pt>
                <c:pt idx="45" formatCode="General">
                  <c:v>2.8</c:v>
                </c:pt>
                <c:pt idx="46" formatCode="General">
                  <c:v>2.8</c:v>
                </c:pt>
                <c:pt idx="47" formatCode="General">
                  <c:v>2.8</c:v>
                </c:pt>
                <c:pt idx="48" formatCode="General">
                  <c:v>7.2</c:v>
                </c:pt>
                <c:pt idx="49" formatCode="General">
                  <c:v>7.5</c:v>
                </c:pt>
                <c:pt idx="50" formatCode="General">
                  <c:v>8.4</c:v>
                </c:pt>
                <c:pt idx="51" formatCode="General">
                  <c:v>8.1999999999999993</c:v>
                </c:pt>
                <c:pt idx="52" formatCode="General">
                  <c:v>8.6</c:v>
                </c:pt>
                <c:pt idx="53" formatCode="General">
                  <c:v>7.9</c:v>
                </c:pt>
                <c:pt idx="54" formatCode="General">
                  <c:v>8</c:v>
                </c:pt>
                <c:pt idx="55" formatCode="General">
                  <c:v>7.7</c:v>
                </c:pt>
                <c:pt idx="56" formatCode="General">
                  <c:v>7.7</c:v>
                </c:pt>
                <c:pt idx="57" formatCode="General">
                  <c:v>7.5</c:v>
                </c:pt>
                <c:pt idx="58" formatCode="General">
                  <c:v>8.6999999999999993</c:v>
                </c:pt>
                <c:pt idx="59" formatCode="General">
                  <c:v>8.8000000000000007</c:v>
                </c:pt>
                <c:pt idx="60" formatCode="General">
                  <c:v>9.3000000000000007</c:v>
                </c:pt>
                <c:pt idx="61" formatCode="General">
                  <c:v>9</c:v>
                </c:pt>
                <c:pt idx="62" formatCode="General">
                  <c:v>8.3000000000000007</c:v>
                </c:pt>
                <c:pt idx="63" formatCode="General">
                  <c:v>8.6</c:v>
                </c:pt>
                <c:pt idx="64" formatCode="General">
                  <c:v>8</c:v>
                </c:pt>
                <c:pt idx="65" formatCode="General">
                  <c:v>8</c:v>
                </c:pt>
                <c:pt idx="66" formatCode="General">
                  <c:v>7.7</c:v>
                </c:pt>
                <c:pt idx="67" formatCode="General">
                  <c:v>7.9</c:v>
                </c:pt>
                <c:pt idx="68" formatCode="General">
                  <c:v>7.7</c:v>
                </c:pt>
                <c:pt idx="69" formatCode="General">
                  <c:v>7</c:v>
                </c:pt>
                <c:pt idx="70" formatCode="General">
                  <c:v>5.8</c:v>
                </c:pt>
                <c:pt idx="71" formatCode="General">
                  <c:v>5.6</c:v>
                </c:pt>
              </c:numCache>
            </c:numRef>
          </c:val>
          <c:smooth val="0"/>
          <c:extLst>
            <c:ext xmlns:c16="http://schemas.microsoft.com/office/drawing/2014/chart" uri="{C3380CC4-5D6E-409C-BE32-E72D297353CC}">
              <c16:uniqueId val="{00000003-F54B-49BD-B6DC-96708AD297B4}"/>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4'!$G$30:$G$101</c:f>
              <c:numCache>
                <c:formatCode>General</c:formatCode>
                <c:ptCount val="72"/>
                <c:pt idx="0">
                  <c:v>3.4000000000000057</c:v>
                </c:pt>
                <c:pt idx="1">
                  <c:v>3.4000000000000057</c:v>
                </c:pt>
                <c:pt idx="2">
                  <c:v>3.4000000000000057</c:v>
                </c:pt>
                <c:pt idx="3">
                  <c:v>3.4000000000000057</c:v>
                </c:pt>
                <c:pt idx="4">
                  <c:v>3.4000000000000057</c:v>
                </c:pt>
                <c:pt idx="5">
                  <c:v>3.4000000000000057</c:v>
                </c:pt>
                <c:pt idx="6">
                  <c:v>3.4000000000000057</c:v>
                </c:pt>
                <c:pt idx="7">
                  <c:v>3.4000000000000057</c:v>
                </c:pt>
                <c:pt idx="8">
                  <c:v>3.4000000000000057</c:v>
                </c:pt>
                <c:pt idx="9">
                  <c:v>3.4000000000000057</c:v>
                </c:pt>
                <c:pt idx="10">
                  <c:v>3.4000000000000057</c:v>
                </c:pt>
                <c:pt idx="11">
                  <c:v>3.4000000000000057</c:v>
                </c:pt>
                <c:pt idx="12">
                  <c:v>0.5</c:v>
                </c:pt>
                <c:pt idx="13">
                  <c:v>0.5</c:v>
                </c:pt>
                <c:pt idx="14">
                  <c:v>0.5</c:v>
                </c:pt>
                <c:pt idx="15">
                  <c:v>1.5999999999999943</c:v>
                </c:pt>
                <c:pt idx="16">
                  <c:v>1.5999999999999943</c:v>
                </c:pt>
                <c:pt idx="17">
                  <c:v>1.5999999999999943</c:v>
                </c:pt>
                <c:pt idx="18">
                  <c:v>1.5999999999999943</c:v>
                </c:pt>
                <c:pt idx="19">
                  <c:v>1.5999999999999943</c:v>
                </c:pt>
                <c:pt idx="20">
                  <c:v>1.5999999999999943</c:v>
                </c:pt>
                <c:pt idx="21">
                  <c:v>1.5999999999999943</c:v>
                </c:pt>
                <c:pt idx="22">
                  <c:v>1.5999999999999943</c:v>
                </c:pt>
                <c:pt idx="23">
                  <c:v>1.5999999999999943</c:v>
                </c:pt>
                <c:pt idx="24">
                  <c:v>2.0999999999999943</c:v>
                </c:pt>
                <c:pt idx="25">
                  <c:v>2.0999999999999943</c:v>
                </c:pt>
                <c:pt idx="26" formatCode="0.0">
                  <c:v>2.0999999999999943</c:v>
                </c:pt>
                <c:pt idx="27" formatCode="0.0">
                  <c:v>1</c:v>
                </c:pt>
                <c:pt idx="28">
                  <c:v>1</c:v>
                </c:pt>
                <c:pt idx="29">
                  <c:v>1</c:v>
                </c:pt>
                <c:pt idx="30">
                  <c:v>1</c:v>
                </c:pt>
                <c:pt idx="31">
                  <c:v>1</c:v>
                </c:pt>
                <c:pt idx="32">
                  <c:v>1</c:v>
                </c:pt>
                <c:pt idx="33">
                  <c:v>1</c:v>
                </c:pt>
                <c:pt idx="34">
                  <c:v>1</c:v>
                </c:pt>
                <c:pt idx="35">
                  <c:v>1</c:v>
                </c:pt>
                <c:pt idx="36">
                  <c:v>1.9</c:v>
                </c:pt>
                <c:pt idx="37">
                  <c:v>1.9</c:v>
                </c:pt>
                <c:pt idx="38">
                  <c:v>1.9</c:v>
                </c:pt>
                <c:pt idx="39">
                  <c:v>1.9</c:v>
                </c:pt>
                <c:pt idx="40">
                  <c:v>1.9</c:v>
                </c:pt>
                <c:pt idx="41">
                  <c:v>1.9</c:v>
                </c:pt>
                <c:pt idx="42">
                  <c:v>1.9</c:v>
                </c:pt>
                <c:pt idx="43">
                  <c:v>1.9</c:v>
                </c:pt>
                <c:pt idx="44">
                  <c:v>1.9</c:v>
                </c:pt>
                <c:pt idx="45">
                  <c:v>1.9</c:v>
                </c:pt>
                <c:pt idx="46">
                  <c:v>1.9</c:v>
                </c:pt>
                <c:pt idx="47">
                  <c:v>1.9</c:v>
                </c:pt>
                <c:pt idx="48">
                  <c:v>2.9</c:v>
                </c:pt>
                <c:pt idx="49">
                  <c:v>2.9</c:v>
                </c:pt>
                <c:pt idx="50">
                  <c:v>2.9</c:v>
                </c:pt>
                <c:pt idx="51">
                  <c:v>2.9</c:v>
                </c:pt>
                <c:pt idx="52">
                  <c:v>2.9</c:v>
                </c:pt>
                <c:pt idx="53">
                  <c:v>2.9</c:v>
                </c:pt>
                <c:pt idx="54">
                  <c:v>2.9</c:v>
                </c:pt>
                <c:pt idx="55">
                  <c:v>2.9</c:v>
                </c:pt>
                <c:pt idx="56">
                  <c:v>2.9</c:v>
                </c:pt>
                <c:pt idx="57">
                  <c:v>2.9</c:v>
                </c:pt>
                <c:pt idx="58">
                  <c:v>2.9</c:v>
                </c:pt>
                <c:pt idx="59">
                  <c:v>2.9</c:v>
                </c:pt>
                <c:pt idx="60">
                  <c:v>5.4</c:v>
                </c:pt>
                <c:pt idx="61">
                  <c:v>5.4</c:v>
                </c:pt>
                <c:pt idx="62">
                  <c:v>5.4</c:v>
                </c:pt>
                <c:pt idx="63">
                  <c:v>5.4</c:v>
                </c:pt>
                <c:pt idx="64">
                  <c:v>6.4</c:v>
                </c:pt>
                <c:pt idx="65">
                  <c:v>6.4</c:v>
                </c:pt>
                <c:pt idx="66">
                  <c:v>6.4</c:v>
                </c:pt>
                <c:pt idx="67">
                  <c:v>6.4</c:v>
                </c:pt>
                <c:pt idx="68">
                  <c:v>6.4</c:v>
                </c:pt>
                <c:pt idx="69">
                  <c:v>6.4</c:v>
                </c:pt>
                <c:pt idx="70">
                  <c:v>6.4</c:v>
                </c:pt>
                <c:pt idx="71">
                  <c:v>6.4</c:v>
                </c:pt>
              </c:numCache>
            </c:numRef>
          </c:val>
          <c:smooth val="0"/>
          <c:extLst>
            <c:ext xmlns:c16="http://schemas.microsoft.com/office/drawing/2014/chart" uri="{C3380CC4-5D6E-409C-BE32-E72D297353CC}">
              <c16:uniqueId val="{00000004-F54B-49BD-B6DC-96708AD297B4}"/>
            </c:ext>
          </c:extLst>
        </c:ser>
        <c:dLbls>
          <c:showLegendKey val="0"/>
          <c:showVal val="0"/>
          <c:showCatName val="0"/>
          <c:showSerName val="0"/>
          <c:showPercent val="0"/>
          <c:showBubbleSize val="0"/>
        </c:dLbls>
        <c:marker val="1"/>
        <c:smooth val="0"/>
        <c:axId val="271374208"/>
        <c:axId val="271375744"/>
      </c:lineChart>
      <c:catAx>
        <c:axId val="271374208"/>
        <c:scaling>
          <c:orientation val="minMax"/>
        </c:scaling>
        <c:delete val="0"/>
        <c:axPos val="b"/>
        <c:numFmt formatCode="General" sourceLinked="0"/>
        <c:majorTickMark val="out"/>
        <c:minorTickMark val="none"/>
        <c:tickLblPos val="low"/>
        <c:spPr>
          <a:ln>
            <a:solidFill>
              <a:schemeClr val="tx1"/>
            </a:solidFill>
          </a:ln>
        </c:spPr>
        <c:crossAx val="271375744"/>
        <c:crosses val="autoZero"/>
        <c:auto val="1"/>
        <c:lblAlgn val="ctr"/>
        <c:lblOffset val="100"/>
        <c:noMultiLvlLbl val="0"/>
      </c:catAx>
      <c:valAx>
        <c:axId val="271375744"/>
        <c:scaling>
          <c:orientation val="minMax"/>
          <c:max val="12"/>
          <c:min val="-1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374208"/>
        <c:crosses val="autoZero"/>
        <c:crossBetween val="between"/>
        <c:majorUnit val="2"/>
      </c:valAx>
      <c:spPr>
        <a:ln>
          <a:solidFill>
            <a:schemeClr val="tx1"/>
          </a:solidFill>
        </a:ln>
      </c:spPr>
    </c:plotArea>
    <c:legend>
      <c:legendPos val="b"/>
      <c:layout>
        <c:manualLayout>
          <c:xMode val="edge"/>
          <c:yMode val="edge"/>
          <c:x val="6.1319022289766968E-2"/>
          <c:y val="0.86223931272106069"/>
          <c:w val="0.90901046943600139"/>
          <c:h val="0.12109402425765226"/>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95179103013891"/>
          <c:y val="1.6549886621315374E-2"/>
          <c:w val="0.80473832896239506"/>
          <c:h val="0.65992692395395358"/>
        </c:manualLayout>
      </c:layout>
      <c:barChart>
        <c:barDir val="col"/>
        <c:grouping val="stacked"/>
        <c:varyColors val="0"/>
        <c:ser>
          <c:idx val="0"/>
          <c:order val="0"/>
          <c:tx>
            <c:strRef>
              <c:f>'Trh práce 1'!$AC$7</c:f>
              <c:strCache>
                <c:ptCount val="1"/>
                <c:pt idx="0">
                  <c:v>Zemědělství, lesnictví a rybářství</c:v>
                </c:pt>
              </c:strCache>
            </c:strRef>
          </c:tx>
          <c:spPr>
            <a:solidFill>
              <a:srgbClr val="7DBB2D"/>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1'!$AC$28:$AC$52</c:f>
              <c:numCache>
                <c:formatCode>#\ ##0.0</c:formatCode>
                <c:ptCount val="25"/>
                <c:pt idx="0">
                  <c:v>-6.3775886113478369E-2</c:v>
                </c:pt>
                <c:pt idx="1">
                  <c:v>-5.3530554883726662E-2</c:v>
                </c:pt>
                <c:pt idx="2">
                  <c:v>-6.4075390166381849E-2</c:v>
                </c:pt>
                <c:pt idx="3">
                  <c:v>-0.13844304699479693</c:v>
                </c:pt>
                <c:pt idx="4">
                  <c:v>-0.13446730863002626</c:v>
                </c:pt>
                <c:pt idx="5">
                  <c:v>-4.2544545507820601E-2</c:v>
                </c:pt>
                <c:pt idx="6">
                  <c:v>-3.3191194580390673E-2</c:v>
                </c:pt>
                <c:pt idx="7">
                  <c:v>6.6309323471769377E-2</c:v>
                </c:pt>
                <c:pt idx="8">
                  <c:v>9.8066936941412233E-2</c:v>
                </c:pt>
                <c:pt idx="9">
                  <c:v>2.5196330912572437E-2</c:v>
                </c:pt>
                <c:pt idx="10">
                  <c:v>2.0639846638534198E-2</c:v>
                </c:pt>
                <c:pt idx="11">
                  <c:v>-8.3455519417103677E-2</c:v>
                </c:pt>
                <c:pt idx="12">
                  <c:v>2.5494598026070365E-2</c:v>
                </c:pt>
                <c:pt idx="13">
                  <c:v>2.6684441302942768E-2</c:v>
                </c:pt>
                <c:pt idx="14">
                  <c:v>1.9708592256982422E-2</c:v>
                </c:pt>
                <c:pt idx="15">
                  <c:v>8.7635855137036173E-2</c:v>
                </c:pt>
                <c:pt idx="16">
                  <c:v>-1.7993164823325757E-2</c:v>
                </c:pt>
                <c:pt idx="17">
                  <c:v>-7.0820472864832854E-2</c:v>
                </c:pt>
                <c:pt idx="18">
                  <c:v>-0.10170278786374146</c:v>
                </c:pt>
                <c:pt idx="19">
                  <c:v>-0.11671422849704614</c:v>
                </c:pt>
                <c:pt idx="20">
                  <c:v>-0.13192229045620107</c:v>
                </c:pt>
                <c:pt idx="21">
                  <c:v>-6.1309960075012639E-2</c:v>
                </c:pt>
                <c:pt idx="22">
                  <c:v>2.592734961307994E-2</c:v>
                </c:pt>
                <c:pt idx="23">
                  <c:v>1.8337259316546568E-2</c:v>
                </c:pt>
              </c:numCache>
            </c:numRef>
          </c:val>
          <c:extLst>
            <c:ext xmlns:c16="http://schemas.microsoft.com/office/drawing/2014/chart" uri="{C3380CC4-5D6E-409C-BE32-E72D297353CC}">
              <c16:uniqueId val="{00000000-7183-4E6F-83A3-6D0750B77546}"/>
            </c:ext>
          </c:extLst>
        </c:ser>
        <c:ser>
          <c:idx val="1"/>
          <c:order val="1"/>
          <c:tx>
            <c:strRef>
              <c:f>'Trh práce 1'!$AD$7</c:f>
              <c:strCache>
                <c:ptCount val="1"/>
                <c:pt idx="0">
                  <c:v>Zpracovatelský průmysl</c:v>
                </c:pt>
              </c:strCache>
            </c:strRef>
          </c:tx>
          <c:spPr>
            <a:solidFill>
              <a:srgbClr val="A6CDE8"/>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1'!$AD$28:$AD$52</c:f>
              <c:numCache>
                <c:formatCode>#\ ##0.0</c:formatCode>
                <c:ptCount val="25"/>
                <c:pt idx="0">
                  <c:v>0.87384359543532464</c:v>
                </c:pt>
                <c:pt idx="1">
                  <c:v>0.93524489787512044</c:v>
                </c:pt>
                <c:pt idx="2">
                  <c:v>0.78267698384636852</c:v>
                </c:pt>
                <c:pt idx="3">
                  <c:v>0.94962455048902517</c:v>
                </c:pt>
                <c:pt idx="4">
                  <c:v>0.84718285167324348</c:v>
                </c:pt>
                <c:pt idx="5">
                  <c:v>0.62908867154608861</c:v>
                </c:pt>
                <c:pt idx="6">
                  <c:v>0.67775956738111331</c:v>
                </c:pt>
                <c:pt idx="7">
                  <c:v>0.54172812831113937</c:v>
                </c:pt>
                <c:pt idx="8">
                  <c:v>0.26867627785059034</c:v>
                </c:pt>
                <c:pt idx="9">
                  <c:v>0.39386843676908101</c:v>
                </c:pt>
                <c:pt idx="10">
                  <c:v>0.49256509811427385</c:v>
                </c:pt>
                <c:pt idx="11">
                  <c:v>0.47713964802096459</c:v>
                </c:pt>
                <c:pt idx="12">
                  <c:v>0.36434303678320645</c:v>
                </c:pt>
                <c:pt idx="13">
                  <c:v>0.28695143937637824</c:v>
                </c:pt>
                <c:pt idx="14">
                  <c:v>9.8952780783639532E-2</c:v>
                </c:pt>
                <c:pt idx="15">
                  <c:v>7.558219904144467E-2</c:v>
                </c:pt>
                <c:pt idx="16">
                  <c:v>-2.3335465306952373E-2</c:v>
                </c:pt>
                <c:pt idx="17">
                  <c:v>-0.19164270518730264</c:v>
                </c:pt>
                <c:pt idx="18">
                  <c:v>-0.35809202690016206</c:v>
                </c:pt>
                <c:pt idx="19">
                  <c:v>-0.74585932300225566</c:v>
                </c:pt>
                <c:pt idx="20">
                  <c:v>-0.68716111979198968</c:v>
                </c:pt>
                <c:pt idx="21">
                  <c:v>-0.95806001759904347</c:v>
                </c:pt>
                <c:pt idx="22">
                  <c:v>-0.98623436481310467</c:v>
                </c:pt>
                <c:pt idx="23">
                  <c:v>-0.79348811235920402</c:v>
                </c:pt>
              </c:numCache>
            </c:numRef>
          </c:val>
          <c:extLst>
            <c:ext xmlns:c16="http://schemas.microsoft.com/office/drawing/2014/chart" uri="{C3380CC4-5D6E-409C-BE32-E72D297353CC}">
              <c16:uniqueId val="{00000001-7183-4E6F-83A3-6D0750B77546}"/>
            </c:ext>
          </c:extLst>
        </c:ser>
        <c:ser>
          <c:idx val="2"/>
          <c:order val="2"/>
          <c:tx>
            <c:strRef>
              <c:f>'Trh práce 1'!$AE$7</c:f>
              <c:strCache>
                <c:ptCount val="1"/>
                <c:pt idx="0">
                  <c:v>Stavebnictví</c:v>
                </c:pt>
              </c:strCache>
            </c:strRef>
          </c:tx>
          <c:spPr>
            <a:solidFill>
              <a:srgbClr val="48AEE7"/>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1'!$AE$28:$AE$52</c:f>
              <c:numCache>
                <c:formatCode>#\ ##0.0</c:formatCode>
                <c:ptCount val="25"/>
                <c:pt idx="0">
                  <c:v>-0.11694210540586052</c:v>
                </c:pt>
                <c:pt idx="1">
                  <c:v>-0.10810072845885586</c:v>
                </c:pt>
                <c:pt idx="2">
                  <c:v>-0.15839123886250733</c:v>
                </c:pt>
                <c:pt idx="3">
                  <c:v>-0.17189865446459995</c:v>
                </c:pt>
                <c:pt idx="4">
                  <c:v>-0.11151278826793087</c:v>
                </c:pt>
                <c:pt idx="5">
                  <c:v>-0.12826978061125432</c:v>
                </c:pt>
                <c:pt idx="6">
                  <c:v>-3.014577719148143E-2</c:v>
                </c:pt>
                <c:pt idx="7">
                  <c:v>1.7024586966207105E-2</c:v>
                </c:pt>
                <c:pt idx="8">
                  <c:v>-6.5148695688723116E-3</c:v>
                </c:pt>
                <c:pt idx="9">
                  <c:v>1.4289321905169284E-2</c:v>
                </c:pt>
                <c:pt idx="10">
                  <c:v>6.6438659970773833E-2</c:v>
                </c:pt>
                <c:pt idx="11">
                  <c:v>-6.4943430456315621E-2</c:v>
                </c:pt>
                <c:pt idx="12">
                  <c:v>0.11291809775653174</c:v>
                </c:pt>
                <c:pt idx="13">
                  <c:v>6.2607246062592548E-2</c:v>
                </c:pt>
                <c:pt idx="14">
                  <c:v>5.182353842998591E-2</c:v>
                </c:pt>
                <c:pt idx="15">
                  <c:v>0.12116998337824897</c:v>
                </c:pt>
                <c:pt idx="16">
                  <c:v>3.1719909121533031E-2</c:v>
                </c:pt>
                <c:pt idx="17">
                  <c:v>5.5381462391177826E-2</c:v>
                </c:pt>
                <c:pt idx="18">
                  <c:v>8.9850693144459925E-2</c:v>
                </c:pt>
                <c:pt idx="19">
                  <c:v>0.15065541085764433</c:v>
                </c:pt>
                <c:pt idx="20">
                  <c:v>0.22462444050650451</c:v>
                </c:pt>
                <c:pt idx="21">
                  <c:v>-3.6664679361405939E-2</c:v>
                </c:pt>
                <c:pt idx="22">
                  <c:v>8.483974244393748E-2</c:v>
                </c:pt>
                <c:pt idx="23">
                  <c:v>0.17742637211820689</c:v>
                </c:pt>
              </c:numCache>
            </c:numRef>
          </c:val>
          <c:extLst>
            <c:ext xmlns:c16="http://schemas.microsoft.com/office/drawing/2014/chart" uri="{C3380CC4-5D6E-409C-BE32-E72D297353CC}">
              <c16:uniqueId val="{00000002-7183-4E6F-83A3-6D0750B77546}"/>
            </c:ext>
          </c:extLst>
        </c:ser>
        <c:ser>
          <c:idx val="3"/>
          <c:order val="3"/>
          <c:tx>
            <c:strRef>
              <c:f>'Trh práce 1'!$AF$7</c:f>
              <c:strCache>
                <c:ptCount val="1"/>
                <c:pt idx="0">
                  <c:v>Obchod, doprava, ubytování a pohost.</c:v>
                </c:pt>
              </c:strCache>
            </c:strRef>
          </c:tx>
          <c:spPr>
            <a:solidFill>
              <a:srgbClr val="FDDEB3"/>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1'!$AF$28:$AF$52</c:f>
              <c:numCache>
                <c:formatCode>#\ ##0.0</c:formatCode>
                <c:ptCount val="25"/>
                <c:pt idx="0">
                  <c:v>0.22879550024382489</c:v>
                </c:pt>
                <c:pt idx="1">
                  <c:v>0.47330112084625897</c:v>
                </c:pt>
                <c:pt idx="2">
                  <c:v>0.33213712914903176</c:v>
                </c:pt>
                <c:pt idx="3">
                  <c:v>0.17959968299057444</c:v>
                </c:pt>
                <c:pt idx="4">
                  <c:v>8.0583366917820948E-2</c:v>
                </c:pt>
                <c:pt idx="5">
                  <c:v>0.20992754897152985</c:v>
                </c:pt>
                <c:pt idx="6">
                  <c:v>-8.6158327395090793E-3</c:v>
                </c:pt>
                <c:pt idx="7">
                  <c:v>9.5260739725036819E-2</c:v>
                </c:pt>
                <c:pt idx="8">
                  <c:v>0.16015880233389024</c:v>
                </c:pt>
                <c:pt idx="9">
                  <c:v>-9.025834979993895E-3</c:v>
                </c:pt>
                <c:pt idx="10">
                  <c:v>0.34149737055569235</c:v>
                </c:pt>
                <c:pt idx="11">
                  <c:v>0.22106834398785968</c:v>
                </c:pt>
                <c:pt idx="12">
                  <c:v>0.14583136020082346</c:v>
                </c:pt>
                <c:pt idx="13">
                  <c:v>0.38632474852631182</c:v>
                </c:pt>
                <c:pt idx="14">
                  <c:v>0.20625097681409202</c:v>
                </c:pt>
                <c:pt idx="15">
                  <c:v>0.2575234748212693</c:v>
                </c:pt>
                <c:pt idx="16">
                  <c:v>0.39403175997637707</c:v>
                </c:pt>
                <c:pt idx="17">
                  <c:v>4.5764322215464309E-2</c:v>
                </c:pt>
                <c:pt idx="18">
                  <c:v>-7.2257163132816132E-2</c:v>
                </c:pt>
                <c:pt idx="19">
                  <c:v>-0.11883095082430688</c:v>
                </c:pt>
                <c:pt idx="20">
                  <c:v>-0.26494730276074041</c:v>
                </c:pt>
                <c:pt idx="21">
                  <c:v>-0.76201884729923541</c:v>
                </c:pt>
                <c:pt idx="22">
                  <c:v>-0.57071495726133536</c:v>
                </c:pt>
                <c:pt idx="23">
                  <c:v>-1.1510369692443747</c:v>
                </c:pt>
              </c:numCache>
            </c:numRef>
          </c:val>
          <c:extLst>
            <c:ext xmlns:c16="http://schemas.microsoft.com/office/drawing/2014/chart" uri="{C3380CC4-5D6E-409C-BE32-E72D297353CC}">
              <c16:uniqueId val="{00000003-7183-4E6F-83A3-6D0750B77546}"/>
            </c:ext>
          </c:extLst>
        </c:ser>
        <c:ser>
          <c:idx val="4"/>
          <c:order val="4"/>
          <c:tx>
            <c:strRef>
              <c:f>'Trh práce 1'!$AG$7</c:f>
              <c:strCache>
                <c:ptCount val="1"/>
                <c:pt idx="0">
                  <c:v>Informační a komunikač. čin.</c:v>
                </c:pt>
              </c:strCache>
            </c:strRef>
          </c:tx>
          <c:spPr>
            <a:solidFill>
              <a:srgbClr val="F8A124"/>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1'!$AG$28:$AG$52</c:f>
              <c:numCache>
                <c:formatCode>#\ ##0.0</c:formatCode>
                <c:ptCount val="25"/>
                <c:pt idx="0">
                  <c:v>7.3874717124669956E-3</c:v>
                </c:pt>
                <c:pt idx="1">
                  <c:v>5.6060947547706408E-2</c:v>
                </c:pt>
                <c:pt idx="2">
                  <c:v>7.3237389552977303E-2</c:v>
                </c:pt>
                <c:pt idx="3">
                  <c:v>0.10393464068853153</c:v>
                </c:pt>
                <c:pt idx="4">
                  <c:v>0.12034144994565989</c:v>
                </c:pt>
                <c:pt idx="5">
                  <c:v>0.11313726215922026</c:v>
                </c:pt>
                <c:pt idx="6">
                  <c:v>0.12927604067983756</c:v>
                </c:pt>
                <c:pt idx="7">
                  <c:v>0.16693713637598337</c:v>
                </c:pt>
                <c:pt idx="8">
                  <c:v>0.13971624972775135</c:v>
                </c:pt>
                <c:pt idx="9">
                  <c:v>0.13821878661994863</c:v>
                </c:pt>
                <c:pt idx="10">
                  <c:v>0.13496598887461</c:v>
                </c:pt>
                <c:pt idx="11">
                  <c:v>0.11698506830016364</c:v>
                </c:pt>
                <c:pt idx="12">
                  <c:v>0.11058328966551791</c:v>
                </c:pt>
                <c:pt idx="13">
                  <c:v>0.13540854835327559</c:v>
                </c:pt>
                <c:pt idx="14">
                  <c:v>0.13011769084595673</c:v>
                </c:pt>
                <c:pt idx="15">
                  <c:v>0.1533068562760779</c:v>
                </c:pt>
                <c:pt idx="16">
                  <c:v>0.14101447318239424</c:v>
                </c:pt>
                <c:pt idx="17">
                  <c:v>7.4984215546272034E-2</c:v>
                </c:pt>
                <c:pt idx="18">
                  <c:v>0.12791770141729253</c:v>
                </c:pt>
                <c:pt idx="19">
                  <c:v>0.14299839791729246</c:v>
                </c:pt>
                <c:pt idx="20">
                  <c:v>0.13885105940325984</c:v>
                </c:pt>
                <c:pt idx="21">
                  <c:v>9.7239508020651039E-2</c:v>
                </c:pt>
                <c:pt idx="22">
                  <c:v>0.10343298747563447</c:v>
                </c:pt>
                <c:pt idx="23">
                  <c:v>8.1141910812593782E-2</c:v>
                </c:pt>
              </c:numCache>
            </c:numRef>
          </c:val>
          <c:extLst>
            <c:ext xmlns:c16="http://schemas.microsoft.com/office/drawing/2014/chart" uri="{C3380CC4-5D6E-409C-BE32-E72D297353CC}">
              <c16:uniqueId val="{00000004-7183-4E6F-83A3-6D0750B77546}"/>
            </c:ext>
          </c:extLst>
        </c:ser>
        <c:ser>
          <c:idx val="5"/>
          <c:order val="5"/>
          <c:tx>
            <c:strRef>
              <c:f>'Trh práce 1'!$AH$7</c:f>
              <c:strCache>
                <c:ptCount val="1"/>
                <c:pt idx="0">
                  <c:v>Profesní, vědec., techn. a admin. čin.</c:v>
                </c:pt>
              </c:strCache>
            </c:strRef>
          </c:tx>
          <c:spPr>
            <a:solidFill>
              <a:srgbClr val="E8C0BE"/>
            </a:solidFill>
            <a:ln w="19050">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1'!$AH$28:$AH$52</c:f>
              <c:numCache>
                <c:formatCode>#\ ##0.0</c:formatCode>
                <c:ptCount val="25"/>
                <c:pt idx="0">
                  <c:v>0.11379850042183202</c:v>
                </c:pt>
                <c:pt idx="1">
                  <c:v>0.11820268366776726</c:v>
                </c:pt>
                <c:pt idx="2">
                  <c:v>0.23129653035669548</c:v>
                </c:pt>
                <c:pt idx="3">
                  <c:v>0.37241784026117603</c:v>
                </c:pt>
                <c:pt idx="4">
                  <c:v>0.26699425205615607</c:v>
                </c:pt>
                <c:pt idx="5">
                  <c:v>0.23716608218519117</c:v>
                </c:pt>
                <c:pt idx="6">
                  <c:v>0.24081927124703897</c:v>
                </c:pt>
                <c:pt idx="7">
                  <c:v>0.25506101535021469</c:v>
                </c:pt>
                <c:pt idx="8">
                  <c:v>0.4253197253437988</c:v>
                </c:pt>
                <c:pt idx="9">
                  <c:v>0.3617364642403027</c:v>
                </c:pt>
                <c:pt idx="10">
                  <c:v>0.29161615885428543</c:v>
                </c:pt>
                <c:pt idx="11">
                  <c:v>0.14112634349596684</c:v>
                </c:pt>
                <c:pt idx="12">
                  <c:v>0.15102819111308005</c:v>
                </c:pt>
                <c:pt idx="13">
                  <c:v>0.15512205414730354</c:v>
                </c:pt>
                <c:pt idx="14">
                  <c:v>7.7586282372714338E-2</c:v>
                </c:pt>
                <c:pt idx="15">
                  <c:v>0.21983484069239514</c:v>
                </c:pt>
                <c:pt idx="16">
                  <c:v>0.20886910918623508</c:v>
                </c:pt>
                <c:pt idx="17">
                  <c:v>0.16389670307116369</c:v>
                </c:pt>
                <c:pt idx="18">
                  <c:v>0.15468645117267918</c:v>
                </c:pt>
                <c:pt idx="19">
                  <c:v>5.7611659863705152E-3</c:v>
                </c:pt>
                <c:pt idx="20">
                  <c:v>-0.24247015575211209</c:v>
                </c:pt>
                <c:pt idx="21">
                  <c:v>-0.40867793231056837</c:v>
                </c:pt>
                <c:pt idx="22">
                  <c:v>-0.60095431811070577</c:v>
                </c:pt>
                <c:pt idx="23">
                  <c:v>-0.38602423842204375</c:v>
                </c:pt>
              </c:numCache>
            </c:numRef>
          </c:val>
          <c:extLst>
            <c:ext xmlns:c16="http://schemas.microsoft.com/office/drawing/2014/chart" uri="{C3380CC4-5D6E-409C-BE32-E72D297353CC}">
              <c16:uniqueId val="{00000005-7183-4E6F-83A3-6D0750B77546}"/>
            </c:ext>
          </c:extLst>
        </c:ser>
        <c:ser>
          <c:idx val="6"/>
          <c:order val="6"/>
          <c:tx>
            <c:strRef>
              <c:f>'Trh práce 1'!$AI$7</c:f>
              <c:strCache>
                <c:ptCount val="1"/>
                <c:pt idx="0">
                  <c:v>Veř.spr.,obrana, vzděl.,zdrav.a soc.péče</c:v>
                </c:pt>
              </c:strCache>
            </c:strRef>
          </c:tx>
          <c:spPr>
            <a:solidFill>
              <a:srgbClr val="D58D8B"/>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1'!$AI$28:$AI$52</c:f>
              <c:numCache>
                <c:formatCode>#\ ##0.0</c:formatCode>
                <c:ptCount val="25"/>
                <c:pt idx="0">
                  <c:v>0.25561438026381811</c:v>
                </c:pt>
                <c:pt idx="1">
                  <c:v>0.23618959741845097</c:v>
                </c:pt>
                <c:pt idx="2">
                  <c:v>0.10591974557381781</c:v>
                </c:pt>
                <c:pt idx="3">
                  <c:v>9.8709639055718459E-2</c:v>
                </c:pt>
                <c:pt idx="4">
                  <c:v>0.36242141278378515</c:v>
                </c:pt>
                <c:pt idx="5">
                  <c:v>0.34758527415111612</c:v>
                </c:pt>
                <c:pt idx="6">
                  <c:v>0.42951950059780825</c:v>
                </c:pt>
                <c:pt idx="7">
                  <c:v>0.52568461923790011</c:v>
                </c:pt>
                <c:pt idx="8">
                  <c:v>0.43143338593628888</c:v>
                </c:pt>
                <c:pt idx="9">
                  <c:v>0.47637406936515148</c:v>
                </c:pt>
                <c:pt idx="10">
                  <c:v>0.54554133741649136</c:v>
                </c:pt>
                <c:pt idx="11">
                  <c:v>0.54623885355011015</c:v>
                </c:pt>
                <c:pt idx="12">
                  <c:v>0.39194649373019252</c:v>
                </c:pt>
                <c:pt idx="13">
                  <c:v>0.44662708849321481</c:v>
                </c:pt>
                <c:pt idx="14">
                  <c:v>0.31647379381273566</c:v>
                </c:pt>
                <c:pt idx="15">
                  <c:v>0.28796501123579255</c:v>
                </c:pt>
                <c:pt idx="16">
                  <c:v>0.30898159429086303</c:v>
                </c:pt>
                <c:pt idx="17">
                  <c:v>0.22102841127976061</c:v>
                </c:pt>
                <c:pt idx="18">
                  <c:v>0.30448068256247734</c:v>
                </c:pt>
                <c:pt idx="19">
                  <c:v>0.31027468061421015</c:v>
                </c:pt>
                <c:pt idx="20">
                  <c:v>0.38801106103529076</c:v>
                </c:pt>
                <c:pt idx="21">
                  <c:v>0.28629692987066752</c:v>
                </c:pt>
                <c:pt idx="22">
                  <c:v>0.49787145120553933</c:v>
                </c:pt>
                <c:pt idx="23">
                  <c:v>0.38063201312452954</c:v>
                </c:pt>
              </c:numCache>
            </c:numRef>
          </c:val>
          <c:extLst>
            <c:ext xmlns:c16="http://schemas.microsoft.com/office/drawing/2014/chart" uri="{C3380CC4-5D6E-409C-BE32-E72D297353CC}">
              <c16:uniqueId val="{00000006-7183-4E6F-83A3-6D0750B77546}"/>
            </c:ext>
          </c:extLst>
        </c:ser>
        <c:ser>
          <c:idx val="7"/>
          <c:order val="7"/>
          <c:tx>
            <c:strRef>
              <c:f>'Trh práce 1'!$AJ$7</c:f>
              <c:strCache>
                <c:ptCount val="1"/>
                <c:pt idx="0">
                  <c:v>Ostatní odvětví*</c:v>
                </c:pt>
              </c:strCache>
            </c:strRef>
          </c:tx>
          <c:spPr>
            <a:solidFill>
              <a:schemeClr val="bg1">
                <a:lumMod val="85000"/>
              </a:schemeClr>
            </a:solidFill>
            <a:ln>
              <a:noFill/>
            </a:ln>
          </c:spPr>
          <c:invertIfNegative val="0"/>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1'!$AJ$28:$AJ$52</c:f>
              <c:numCache>
                <c:formatCode>#\ ##0.0</c:formatCode>
                <c:ptCount val="25"/>
                <c:pt idx="0">
                  <c:v>-4.1849241349879537E-2</c:v>
                </c:pt>
                <c:pt idx="1">
                  <c:v>9.7841849673883707E-2</c:v>
                </c:pt>
                <c:pt idx="2">
                  <c:v>4.8115148164572803E-2</c:v>
                </c:pt>
                <c:pt idx="3">
                  <c:v>-4.5211861143632473E-2</c:v>
                </c:pt>
                <c:pt idx="4">
                  <c:v>0.13066419283038919</c:v>
                </c:pt>
                <c:pt idx="5">
                  <c:v>8.2910779442291055E-2</c:v>
                </c:pt>
                <c:pt idx="6">
                  <c:v>0.10551022017018508</c:v>
                </c:pt>
                <c:pt idx="7">
                  <c:v>0.16861073984045793</c:v>
                </c:pt>
                <c:pt idx="8">
                  <c:v>-5.0552331024152901E-2</c:v>
                </c:pt>
                <c:pt idx="9">
                  <c:v>1.1401054711570741E-3</c:v>
                </c:pt>
                <c:pt idx="10">
                  <c:v>3.7899847185385735E-2</c:v>
                </c:pt>
                <c:pt idx="11">
                  <c:v>4.0443247413313496E-2</c:v>
                </c:pt>
                <c:pt idx="12">
                  <c:v>0.20431453706121822</c:v>
                </c:pt>
                <c:pt idx="13">
                  <c:v>0.21238866413451776</c:v>
                </c:pt>
                <c:pt idx="14">
                  <c:v>3.4275812620838987E-3</c:v>
                </c:pt>
                <c:pt idx="15">
                  <c:v>1.2817489016641342E-2</c:v>
                </c:pt>
                <c:pt idx="16">
                  <c:v>-0.11309724322455375</c:v>
                </c:pt>
                <c:pt idx="17">
                  <c:v>-5.1807276195606156E-2</c:v>
                </c:pt>
                <c:pt idx="18">
                  <c:v>3.8583922061212472E-2</c:v>
                </c:pt>
                <c:pt idx="19">
                  <c:v>4.5481920614445746E-2</c:v>
                </c:pt>
                <c:pt idx="20">
                  <c:v>9.7168173536073502E-2</c:v>
                </c:pt>
                <c:pt idx="21">
                  <c:v>-0.13635511552222562</c:v>
                </c:pt>
                <c:pt idx="22">
                  <c:v>-0.11424987036325199</c:v>
                </c:pt>
                <c:pt idx="23">
                  <c:v>-0.2069543455795945</c:v>
                </c:pt>
              </c:numCache>
            </c:numRef>
          </c:val>
          <c:extLst>
            <c:ext xmlns:c16="http://schemas.microsoft.com/office/drawing/2014/chart" uri="{C3380CC4-5D6E-409C-BE32-E72D297353CC}">
              <c16:uniqueId val="{00000007-7183-4E6F-83A3-6D0750B77546}"/>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Zaměstnanost celkem</c:v>
                </c:pt>
              </c:strCache>
            </c:strRef>
          </c:tx>
          <c:spPr>
            <a:ln w="22225">
              <a:solidFill>
                <a:schemeClr val="tx1">
                  <a:lumMod val="95000"/>
                  <a:lumOff val="5000"/>
                </a:schemeClr>
              </a:solidFill>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1'!$AK$28:$AK$52</c:f>
              <c:numCache>
                <c:formatCode>#\ ##0.0</c:formatCode>
                <c:ptCount val="25"/>
                <c:pt idx="0">
                  <c:v>1.2568722152080483</c:v>
                </c:pt>
                <c:pt idx="1">
                  <c:v>1.755209813686605</c:v>
                </c:pt>
                <c:pt idx="2">
                  <c:v>1.3509162976145745</c:v>
                </c:pt>
                <c:pt idx="3">
                  <c:v>1.3487327908819964</c:v>
                </c:pt>
                <c:pt idx="4">
                  <c:v>1.5622074293090975</c:v>
                </c:pt>
                <c:pt idx="5">
                  <c:v>1.4490012923363622</c:v>
                </c:pt>
                <c:pt idx="6">
                  <c:v>1.510931795564602</c:v>
                </c:pt>
                <c:pt idx="7">
                  <c:v>1.8366162892787088</c:v>
                </c:pt>
                <c:pt idx="8">
                  <c:v>1.4663041775407066</c:v>
                </c:pt>
                <c:pt idx="9">
                  <c:v>1.4017976803033889</c:v>
                </c:pt>
                <c:pt idx="10">
                  <c:v>1.9311643076100466</c:v>
                </c:pt>
                <c:pt idx="11">
                  <c:v>1.3946025548949592</c:v>
                </c:pt>
                <c:pt idx="12">
                  <c:v>1.5064596043366407</c:v>
                </c:pt>
                <c:pt idx="13">
                  <c:v>1.7121142303965371</c:v>
                </c:pt>
                <c:pt idx="14">
                  <c:v>0.90434123657819043</c:v>
                </c:pt>
                <c:pt idx="15">
                  <c:v>1.2158357095989061</c:v>
                </c:pt>
                <c:pt idx="16">
                  <c:v>0.93019097240257054</c:v>
                </c:pt>
                <c:pt idx="17">
                  <c:v>0.2467846602560968</c:v>
                </c:pt>
                <c:pt idx="18">
                  <c:v>0.18346747246140183</c:v>
                </c:pt>
                <c:pt idx="19">
                  <c:v>-0.32623292633364542</c:v>
                </c:pt>
                <c:pt idx="20">
                  <c:v>-0.47784613427991474</c:v>
                </c:pt>
                <c:pt idx="21">
                  <c:v>-1.9795501142761793</c:v>
                </c:pt>
                <c:pt idx="22">
                  <c:v>-1.5600819798102066</c:v>
                </c:pt>
                <c:pt idx="23">
                  <c:v>-1.8799661102333403</c:v>
                </c:pt>
              </c:numCache>
            </c:numRef>
          </c:val>
          <c:smooth val="0"/>
          <c:extLst>
            <c:ext xmlns:c16="http://schemas.microsoft.com/office/drawing/2014/chart" uri="{C3380CC4-5D6E-409C-BE32-E72D297353CC}">
              <c16:uniqueId val="{00000008-7183-4E6F-83A3-6D0750B77546}"/>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1'!$AL$7</c:f>
              <c:strCache>
                <c:ptCount val="1"/>
              </c:strCache>
            </c:strRef>
          </c:tx>
          <c:spPr>
            <a:ln>
              <a:noFill/>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1'!$AL$28:$AL$52</c:f>
              <c:numCache>
                <c:formatCode>General</c:formatCode>
                <c:ptCount val="25"/>
              </c:numCache>
            </c:numRef>
          </c:val>
          <c:smooth val="0"/>
          <c:extLst>
            <c:ext xmlns:c16="http://schemas.microsoft.com/office/drawing/2014/chart" uri="{C3380CC4-5D6E-409C-BE32-E72D297353CC}">
              <c16:uniqueId val="{00000009-7183-4E6F-83A3-6D0750B77546}"/>
            </c:ext>
          </c:extLst>
        </c:ser>
        <c:ser>
          <c:idx val="10"/>
          <c:order val="10"/>
          <c:tx>
            <c:strRef>
              <c:f>'Trh práce 1'!$AM$7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1'!$AM$28:$AM$52</c:f>
              <c:numCache>
                <c:formatCode>General</c:formatCode>
                <c:ptCount val="25"/>
                <c:pt idx="0">
                  <c:v>-1.9</c:v>
                </c:pt>
                <c:pt idx="1">
                  <c:v>4.0999999999999996</c:v>
                </c:pt>
                <c:pt idx="2">
                  <c:v>4.7</c:v>
                </c:pt>
                <c:pt idx="3">
                  <c:v>8.8000000000000007</c:v>
                </c:pt>
                <c:pt idx="4">
                  <c:v>9.8000000000000007</c:v>
                </c:pt>
                <c:pt idx="5">
                  <c:v>10</c:v>
                </c:pt>
                <c:pt idx="6">
                  <c:v>4.2</c:v>
                </c:pt>
                <c:pt idx="7">
                  <c:v>9.1999999999999993</c:v>
                </c:pt>
                <c:pt idx="8">
                  <c:v>12.1</c:v>
                </c:pt>
                <c:pt idx="9">
                  <c:v>5.9</c:v>
                </c:pt>
                <c:pt idx="10">
                  <c:v>8.9</c:v>
                </c:pt>
                <c:pt idx="11">
                  <c:v>7.2</c:v>
                </c:pt>
                <c:pt idx="12">
                  <c:v>10.8</c:v>
                </c:pt>
                <c:pt idx="13">
                  <c:v>10.4</c:v>
                </c:pt>
                <c:pt idx="14">
                  <c:v>8.3000000000000007</c:v>
                </c:pt>
                <c:pt idx="15">
                  <c:v>6.5</c:v>
                </c:pt>
                <c:pt idx="16">
                  <c:v>3.1</c:v>
                </c:pt>
                <c:pt idx="17">
                  <c:v>2.5</c:v>
                </c:pt>
                <c:pt idx="18">
                  <c:v>1.6</c:v>
                </c:pt>
                <c:pt idx="19">
                  <c:v>-2.7</c:v>
                </c:pt>
                <c:pt idx="20">
                  <c:v>1.5</c:v>
                </c:pt>
                <c:pt idx="21">
                  <c:v>-17.399999999999999</c:v>
                </c:pt>
                <c:pt idx="22">
                  <c:v>-11.6</c:v>
                </c:pt>
                <c:pt idx="23" formatCode="#\ ##0.0">
                  <c:v>-5.9</c:v>
                </c:pt>
                <c:pt idx="24" formatCode="#\ ##0.0">
                  <c:v>0.1</c:v>
                </c:pt>
              </c:numCache>
            </c:numRef>
          </c:val>
          <c:smooth val="0"/>
          <c:extLst>
            <c:ext xmlns:c16="http://schemas.microsoft.com/office/drawing/2014/chart" uri="{C3380CC4-5D6E-409C-BE32-E72D297353CC}">
              <c16:uniqueId val="{0000000A-7183-4E6F-83A3-6D0750B77546}"/>
            </c:ext>
          </c:extLst>
        </c:ser>
        <c:ser>
          <c:idx val="11"/>
          <c:order val="11"/>
          <c:tx>
            <c:strRef>
              <c:f>'Trh práce 1'!$AN$7</c:f>
              <c:strCache>
                <c:ptCount val="1"/>
                <c:pt idx="0">
                  <c:v>Očekávání zaměstnanosti (stavebnictví)</c:v>
                </c:pt>
              </c:strCache>
            </c:strRef>
          </c:tx>
          <c:spPr>
            <a:ln w="15875">
              <a:solidFill>
                <a:srgbClr val="00B0F0"/>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1'!$AN$28:$AN$52</c:f>
              <c:numCache>
                <c:formatCode>General</c:formatCode>
                <c:ptCount val="25"/>
                <c:pt idx="0">
                  <c:v>-1.9</c:v>
                </c:pt>
                <c:pt idx="1">
                  <c:v>7.3</c:v>
                </c:pt>
                <c:pt idx="2">
                  <c:v>0.6</c:v>
                </c:pt>
                <c:pt idx="3">
                  <c:v>2.2999999999999998</c:v>
                </c:pt>
                <c:pt idx="4">
                  <c:v>-0.9</c:v>
                </c:pt>
                <c:pt idx="5">
                  <c:v>-8</c:v>
                </c:pt>
                <c:pt idx="6">
                  <c:v>-6.3</c:v>
                </c:pt>
                <c:pt idx="7">
                  <c:v>-7.2</c:v>
                </c:pt>
                <c:pt idx="8">
                  <c:v>-7.7</c:v>
                </c:pt>
                <c:pt idx="9">
                  <c:v>-15.4</c:v>
                </c:pt>
                <c:pt idx="10">
                  <c:v>-9.3000000000000007</c:v>
                </c:pt>
                <c:pt idx="11">
                  <c:v>-3.2</c:v>
                </c:pt>
                <c:pt idx="12">
                  <c:v>4.3</c:v>
                </c:pt>
                <c:pt idx="13">
                  <c:v>4.3</c:v>
                </c:pt>
                <c:pt idx="14">
                  <c:v>8</c:v>
                </c:pt>
                <c:pt idx="15">
                  <c:v>11.4</c:v>
                </c:pt>
                <c:pt idx="16">
                  <c:v>8.8000000000000007</c:v>
                </c:pt>
                <c:pt idx="17">
                  <c:v>10</c:v>
                </c:pt>
                <c:pt idx="18">
                  <c:v>3.9</c:v>
                </c:pt>
                <c:pt idx="19">
                  <c:v>10.9</c:v>
                </c:pt>
                <c:pt idx="20">
                  <c:v>6.7</c:v>
                </c:pt>
                <c:pt idx="21">
                  <c:v>-3.6</c:v>
                </c:pt>
                <c:pt idx="22">
                  <c:v>-0.6</c:v>
                </c:pt>
                <c:pt idx="23" formatCode="#\ ##0.0">
                  <c:v>-3.1</c:v>
                </c:pt>
                <c:pt idx="24" formatCode="#\ ##0.0">
                  <c:v>2.1</c:v>
                </c:pt>
              </c:numCache>
            </c:numRef>
          </c:val>
          <c:smooth val="0"/>
          <c:extLst>
            <c:ext xmlns:c16="http://schemas.microsoft.com/office/drawing/2014/chart" uri="{C3380CC4-5D6E-409C-BE32-E72D297353CC}">
              <c16:uniqueId val="{0000000B-7183-4E6F-83A3-6D0750B77546}"/>
            </c:ext>
          </c:extLst>
        </c:ser>
        <c:ser>
          <c:idx val="12"/>
          <c:order val="12"/>
          <c:tx>
            <c:strRef>
              <c:f>'Trh práce 1'!$AO$7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1'!$AO$28:$AO$52</c:f>
              <c:numCache>
                <c:formatCode>General</c:formatCode>
                <c:ptCount val="25"/>
                <c:pt idx="0">
                  <c:v>15.5</c:v>
                </c:pt>
                <c:pt idx="1">
                  <c:v>5.4</c:v>
                </c:pt>
                <c:pt idx="2">
                  <c:v>3.4</c:v>
                </c:pt>
                <c:pt idx="3">
                  <c:v>-2.4</c:v>
                </c:pt>
                <c:pt idx="4">
                  <c:v>15.7</c:v>
                </c:pt>
                <c:pt idx="5">
                  <c:v>19.600000000000001</c:v>
                </c:pt>
                <c:pt idx="6">
                  <c:v>20.9</c:v>
                </c:pt>
                <c:pt idx="7">
                  <c:v>18.399999999999999</c:v>
                </c:pt>
                <c:pt idx="8">
                  <c:v>15.8</c:v>
                </c:pt>
                <c:pt idx="9">
                  <c:v>19.3</c:v>
                </c:pt>
                <c:pt idx="10">
                  <c:v>19.899999999999999</c:v>
                </c:pt>
                <c:pt idx="11">
                  <c:v>13.8</c:v>
                </c:pt>
                <c:pt idx="12">
                  <c:v>26.7</c:v>
                </c:pt>
                <c:pt idx="13">
                  <c:v>31.9</c:v>
                </c:pt>
                <c:pt idx="14">
                  <c:v>28.3</c:v>
                </c:pt>
                <c:pt idx="15">
                  <c:v>18.2</c:v>
                </c:pt>
                <c:pt idx="16">
                  <c:v>11.7</c:v>
                </c:pt>
                <c:pt idx="17">
                  <c:v>13.7</c:v>
                </c:pt>
                <c:pt idx="18">
                  <c:v>12.9</c:v>
                </c:pt>
                <c:pt idx="19">
                  <c:v>14.5</c:v>
                </c:pt>
                <c:pt idx="20">
                  <c:v>11.1</c:v>
                </c:pt>
                <c:pt idx="21">
                  <c:v>-6.9</c:v>
                </c:pt>
                <c:pt idx="22">
                  <c:v>-4.8</c:v>
                </c:pt>
                <c:pt idx="23" formatCode="#\ ##0.0">
                  <c:v>1.3</c:v>
                </c:pt>
                <c:pt idx="24" formatCode="#\ ##0.0">
                  <c:v>4.2</c:v>
                </c:pt>
              </c:numCache>
            </c:numRef>
          </c:val>
          <c:smooth val="0"/>
          <c:extLst>
            <c:ext xmlns:c16="http://schemas.microsoft.com/office/drawing/2014/chart" uri="{C3380CC4-5D6E-409C-BE32-E72D297353CC}">
              <c16:uniqueId val="{0000000C-7183-4E6F-83A3-6D0750B77546}"/>
            </c:ext>
          </c:extLst>
        </c:ser>
        <c:ser>
          <c:idx val="13"/>
          <c:order val="13"/>
          <c:tx>
            <c:strRef>
              <c:f>'Trh práce 1'!$AP$7</c:f>
              <c:strCache>
                <c:ptCount val="1"/>
                <c:pt idx="0">
                  <c:v>Očekávání zaměstnanosti (vybr. služby)</c:v>
                </c:pt>
              </c:strCache>
            </c:strRef>
          </c:tx>
          <c:spPr>
            <a:ln w="15875">
              <a:solidFill>
                <a:srgbClr val="C00000"/>
              </a:solidFill>
              <a:prstDash val="sysDot"/>
            </a:ln>
          </c:spPr>
          <c:marker>
            <c:symbol val="none"/>
          </c:marker>
          <c:cat>
            <c:multiLvlStrRef>
              <c:f>'Trh práce 1'!$AA$28:$AB$52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1'!$AP$28:$AP$52</c:f>
              <c:numCache>
                <c:formatCode>General</c:formatCode>
                <c:ptCount val="25"/>
                <c:pt idx="0">
                  <c:v>-15.7</c:v>
                </c:pt>
                <c:pt idx="1">
                  <c:v>-21.3</c:v>
                </c:pt>
                <c:pt idx="2">
                  <c:v>2.6</c:v>
                </c:pt>
                <c:pt idx="3">
                  <c:v>3.8</c:v>
                </c:pt>
                <c:pt idx="4">
                  <c:v>2.6</c:v>
                </c:pt>
                <c:pt idx="5">
                  <c:v>24.7</c:v>
                </c:pt>
                <c:pt idx="6">
                  <c:v>-1.7</c:v>
                </c:pt>
                <c:pt idx="7">
                  <c:v>7.2</c:v>
                </c:pt>
                <c:pt idx="8">
                  <c:v>11.7</c:v>
                </c:pt>
                <c:pt idx="9">
                  <c:v>11.5</c:v>
                </c:pt>
                <c:pt idx="10">
                  <c:v>19.8</c:v>
                </c:pt>
                <c:pt idx="11">
                  <c:v>2.8</c:v>
                </c:pt>
                <c:pt idx="12">
                  <c:v>14.9</c:v>
                </c:pt>
                <c:pt idx="13">
                  <c:v>10.5</c:v>
                </c:pt>
                <c:pt idx="14">
                  <c:v>9</c:v>
                </c:pt>
                <c:pt idx="15">
                  <c:v>-5.2</c:v>
                </c:pt>
                <c:pt idx="16">
                  <c:v>-8.1</c:v>
                </c:pt>
                <c:pt idx="17">
                  <c:v>-6.9</c:v>
                </c:pt>
                <c:pt idx="18">
                  <c:v>-8.3000000000000007</c:v>
                </c:pt>
                <c:pt idx="19">
                  <c:v>-11.7</c:v>
                </c:pt>
                <c:pt idx="20">
                  <c:v>-20.3</c:v>
                </c:pt>
                <c:pt idx="21">
                  <c:v>-33.700000000000003</c:v>
                </c:pt>
                <c:pt idx="22">
                  <c:v>-33.299999999999997</c:v>
                </c:pt>
                <c:pt idx="23" formatCode="#\ ##0.0">
                  <c:v>-27.3</c:v>
                </c:pt>
                <c:pt idx="24" formatCode="#\ ##0.0">
                  <c:v>-28</c:v>
                </c:pt>
              </c:numCache>
            </c:numRef>
          </c:val>
          <c:smooth val="0"/>
          <c:extLst>
            <c:ext xmlns:c16="http://schemas.microsoft.com/office/drawing/2014/chart" uri="{C3380CC4-5D6E-409C-BE32-E72D297353CC}">
              <c16:uniqueId val="{0000000D-7183-4E6F-83A3-6D0750B77546}"/>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5"/>
        </c:scaling>
        <c:delete val="0"/>
        <c:axPos val="l"/>
        <c:majorGridlines>
          <c:spPr>
            <a:ln w="6350">
              <a:solidFill>
                <a:schemeClr val="bg1">
                  <a:lumMod val="75000"/>
                </a:schemeClr>
              </a:solidFill>
            </a:ln>
          </c:spPr>
        </c:majorGridlines>
        <c:title>
          <c:tx>
            <c:rich>
              <a:bodyPr/>
              <a:lstStyle/>
              <a:p>
                <a:pPr>
                  <a:defRPr sz="700" b="0" i="1"/>
                </a:pPr>
                <a:r>
                  <a:rPr lang="cs-CZ" sz="700" b="0" i="1"/>
                  <a:t>Zaměstnanost, Příspěvky k </a:t>
                </a:r>
                <a:r>
                  <a:rPr lang="cs-CZ" sz="700" b="0" i="1" baseline="0"/>
                  <a:t>růstu zaměstnanosti</a:t>
                </a:r>
                <a:endParaRPr lang="cs-CZ" sz="700" b="0" i="1"/>
              </a:p>
            </c:rich>
          </c:tx>
          <c:layout>
            <c:manualLayout>
              <c:xMode val="edge"/>
              <c:yMode val="edge"/>
              <c:x val="0"/>
              <c:y val="0.15110810581510684"/>
            </c:manualLayout>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Očekávání</a:t>
                </a:r>
                <a:r>
                  <a:rPr lang="cs-CZ" sz="700" b="0" i="1" baseline="0"/>
                  <a:t> vývoje zaměstnanosti</a:t>
                </a:r>
                <a:endParaRPr lang="cs-CZ" sz="700" b="0" i="1"/>
              </a:p>
            </c:rich>
          </c:tx>
          <c:layout>
            <c:manualLayout>
              <c:xMode val="edge"/>
              <c:yMode val="edge"/>
              <c:x val="0.97040343782834393"/>
              <c:y val="0.19420735772001382"/>
            </c:manualLayout>
          </c:layout>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4.692510837063792E-3"/>
          <c:y val="0.7737351285059999"/>
          <c:w val="0.96005692595618608"/>
          <c:h val="0.211946183153499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5393509070294773"/>
        </c:manualLayout>
      </c:layout>
      <c:barChart>
        <c:barDir val="col"/>
        <c:grouping val="clustered"/>
        <c:varyColors val="0"/>
        <c:ser>
          <c:idx val="0"/>
          <c:order val="0"/>
          <c:tx>
            <c:strRef>
              <c:f>'Trh práce-2b'!$A$29</c:f>
              <c:strCache>
                <c:ptCount val="1"/>
                <c:pt idx="0">
                  <c:v>Míra nezaměstnanosti mužů (levá osa)</c:v>
                </c:pt>
              </c:strCache>
            </c:strRef>
          </c:tx>
          <c:spPr>
            <a:solidFill>
              <a:srgbClr val="BCBCBC"/>
            </a:solidFill>
          </c:spPr>
          <c:invertIfNegative val="0"/>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práce-2b'!$B$29:$Z$29</c:f>
              <c:numCache>
                <c:formatCode>0.0</c:formatCode>
                <c:ptCount val="25"/>
                <c:pt idx="0">
                  <c:v>5.0286804860428278</c:v>
                </c:pt>
                <c:pt idx="1">
                  <c:v>4.316189756466537</c:v>
                </c:pt>
                <c:pt idx="2">
                  <c:v>4.0483559079327902</c:v>
                </c:pt>
                <c:pt idx="3">
                  <c:v>3.7938067129619806</c:v>
                </c:pt>
                <c:pt idx="4">
                  <c:v>3.6581491320606965</c:v>
                </c:pt>
                <c:pt idx="5">
                  <c:v>3.5653416289764519</c:v>
                </c:pt>
                <c:pt idx="6">
                  <c:v>3.3804885792890111</c:v>
                </c:pt>
                <c:pt idx="7">
                  <c:v>3.1582180433962712</c:v>
                </c:pt>
                <c:pt idx="8">
                  <c:v>2.7008048652386436</c:v>
                </c:pt>
                <c:pt idx="9">
                  <c:v>2.4863499145951189</c:v>
                </c:pt>
                <c:pt idx="10">
                  <c:v>2.2428273248500514</c:v>
                </c:pt>
                <c:pt idx="11">
                  <c:v>2.0854185882996998</c:v>
                </c:pt>
                <c:pt idx="12">
                  <c:v>1.9000315854162355</c:v>
                </c:pt>
                <c:pt idx="13">
                  <c:v>1.825963200573766</c:v>
                </c:pt>
                <c:pt idx="14">
                  <c:v>1.8816328699437612</c:v>
                </c:pt>
                <c:pt idx="15">
                  <c:v>1.6834916277315468</c:v>
                </c:pt>
                <c:pt idx="16">
                  <c:v>1.8084001962578264</c:v>
                </c:pt>
                <c:pt idx="17">
                  <c:v>1.6727707429959271</c:v>
                </c:pt>
                <c:pt idx="18">
                  <c:v>1.7588619454428518</c:v>
                </c:pt>
                <c:pt idx="19">
                  <c:v>1.8612935738959582</c:v>
                </c:pt>
                <c:pt idx="20">
                  <c:v>1.8486553661079945</c:v>
                </c:pt>
                <c:pt idx="21">
                  <c:v>2.2738946541465075</c:v>
                </c:pt>
                <c:pt idx="22">
                  <c:v>2.4978108144062401</c:v>
                </c:pt>
                <c:pt idx="23">
                  <c:v>2.5588415507262603</c:v>
                </c:pt>
              </c:numCache>
            </c:numRef>
          </c:val>
          <c:extLst>
            <c:ext xmlns:c16="http://schemas.microsoft.com/office/drawing/2014/chart" uri="{C3380CC4-5D6E-409C-BE32-E72D297353CC}">
              <c16:uniqueId val="{00000000-3438-4750-AEA7-0CD1161E5773}"/>
            </c:ext>
          </c:extLst>
        </c:ser>
        <c:ser>
          <c:idx val="1"/>
          <c:order val="1"/>
          <c:tx>
            <c:strRef>
              <c:f>'Trh práce-2b'!$A$30</c:f>
              <c:strCache>
                <c:ptCount val="1"/>
                <c:pt idx="0">
                  <c:v>Míra nezaměstnanosti žen (levá osa)</c:v>
                </c:pt>
              </c:strCache>
            </c:strRef>
          </c:tx>
          <c:spPr>
            <a:solidFill>
              <a:schemeClr val="bg1">
                <a:lumMod val="95000"/>
              </a:schemeClr>
            </a:solidFill>
            <a:ln>
              <a:solidFill>
                <a:schemeClr val="bg1">
                  <a:lumMod val="65000"/>
                </a:schemeClr>
              </a:solidFill>
            </a:ln>
          </c:spPr>
          <c:invertIfNegative val="0"/>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práce-2b'!$B$30:$Z$30</c:f>
              <c:numCache>
                <c:formatCode>0.0</c:formatCode>
                <c:ptCount val="25"/>
                <c:pt idx="0">
                  <c:v>6.9464142792555421</c:v>
                </c:pt>
                <c:pt idx="1">
                  <c:v>6.1780480257613553</c:v>
                </c:pt>
                <c:pt idx="2">
                  <c:v>5.9663172944605627</c:v>
                </c:pt>
                <c:pt idx="3">
                  <c:v>5.6518697540759959</c:v>
                </c:pt>
                <c:pt idx="4">
                  <c:v>5.0903150386124132</c:v>
                </c:pt>
                <c:pt idx="5">
                  <c:v>4.8068294324681693</c:v>
                </c:pt>
                <c:pt idx="6">
                  <c:v>4.7737722718859779</c:v>
                </c:pt>
                <c:pt idx="7">
                  <c:v>4.3467086506009425</c:v>
                </c:pt>
                <c:pt idx="8">
                  <c:v>4.2815491287587832</c:v>
                </c:pt>
                <c:pt idx="9">
                  <c:v>3.9220946704954631</c:v>
                </c:pt>
                <c:pt idx="10">
                  <c:v>3.3875401119422448</c:v>
                </c:pt>
                <c:pt idx="11">
                  <c:v>2.9892052270397369</c:v>
                </c:pt>
                <c:pt idx="12">
                  <c:v>2.9423657180632605</c:v>
                </c:pt>
                <c:pt idx="13">
                  <c:v>2.9361315203544063</c:v>
                </c:pt>
                <c:pt idx="14">
                  <c:v>2.8590055663589014</c:v>
                </c:pt>
                <c:pt idx="15">
                  <c:v>2.647035820666332</c:v>
                </c:pt>
                <c:pt idx="16">
                  <c:v>2.2517208267218964</c:v>
                </c:pt>
                <c:pt idx="17">
                  <c:v>2.5021629449511704</c:v>
                </c:pt>
                <c:pt idx="18">
                  <c:v>2.543841804974909</c:v>
                </c:pt>
                <c:pt idx="19">
                  <c:v>2.43984632107458</c:v>
                </c:pt>
                <c:pt idx="20">
                  <c:v>2.0721336765050933</c:v>
                </c:pt>
                <c:pt idx="21">
                  <c:v>2.8192930682979447</c:v>
                </c:pt>
                <c:pt idx="22">
                  <c:v>3.3444461950950886</c:v>
                </c:pt>
                <c:pt idx="23">
                  <c:v>3.8830773318477259</c:v>
                </c:pt>
              </c:numCache>
            </c:numRef>
          </c:val>
          <c:extLst>
            <c:ext xmlns:c16="http://schemas.microsoft.com/office/drawing/2014/chart" uri="{C3380CC4-5D6E-409C-BE32-E72D297353CC}">
              <c16:uniqueId val="{00000001-3438-4750-AEA7-0CD1161E5773}"/>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práce-2b'!$A$31</c:f>
              <c:strCache>
                <c:ptCount val="1"/>
                <c:pt idx="0">
                  <c:v>Podíl nezam. déle než 1 rok (pravá osa)</c:v>
                </c:pt>
              </c:strCache>
            </c:strRef>
          </c:tx>
          <c:spPr>
            <a:ln w="19050">
              <a:solidFill>
                <a:srgbClr val="663300"/>
              </a:solidFill>
              <a:prstDash val="sysDash"/>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práce-2b'!$B$31:$Z$31</c:f>
              <c:numCache>
                <c:formatCode>0.0</c:formatCode>
                <c:ptCount val="25"/>
                <c:pt idx="0">
                  <c:v>45.762175838077162</c:v>
                </c:pt>
                <c:pt idx="1">
                  <c:v>46.715049656226128</c:v>
                </c:pt>
                <c:pt idx="2">
                  <c:v>48.521400778210108</c:v>
                </c:pt>
                <c:pt idx="3">
                  <c:v>48.542458808618512</c:v>
                </c:pt>
                <c:pt idx="4">
                  <c:v>45.847750865051907</c:v>
                </c:pt>
                <c:pt idx="5">
                  <c:v>43.490701001430608</c:v>
                </c:pt>
                <c:pt idx="6">
                  <c:v>39.295774647887328</c:v>
                </c:pt>
                <c:pt idx="7">
                  <c:v>39.196242171189979</c:v>
                </c:pt>
                <c:pt idx="8">
                  <c:v>37.093275488069416</c:v>
                </c:pt>
                <c:pt idx="9">
                  <c:v>37.366099558916197</c:v>
                </c:pt>
                <c:pt idx="10">
                  <c:v>32.798931195724784</c:v>
                </c:pt>
                <c:pt idx="11">
                  <c:v>31.546231546231553</c:v>
                </c:pt>
                <c:pt idx="12">
                  <c:v>31.741140215716484</c:v>
                </c:pt>
                <c:pt idx="13">
                  <c:v>30.28764805414551</c:v>
                </c:pt>
                <c:pt idx="14">
                  <c:v>28.796223446105422</c:v>
                </c:pt>
                <c:pt idx="15">
                  <c:v>31.317689530685922</c:v>
                </c:pt>
                <c:pt idx="16">
                  <c:v>32.360984503190522</c:v>
                </c:pt>
                <c:pt idx="17">
                  <c:v>32.2265625</c:v>
                </c:pt>
                <c:pt idx="18">
                  <c:v>26.979982593559615</c:v>
                </c:pt>
                <c:pt idx="19">
                  <c:v>28.623853211009177</c:v>
                </c:pt>
                <c:pt idx="20">
                  <c:v>27.049952874646561</c:v>
                </c:pt>
                <c:pt idx="21">
                  <c:v>20.823436262866192</c:v>
                </c:pt>
                <c:pt idx="22">
                  <c:v>20.012995451591941</c:v>
                </c:pt>
                <c:pt idx="23">
                  <c:v>21.521335807050093</c:v>
                </c:pt>
              </c:numCache>
            </c:numRef>
          </c:val>
          <c:smooth val="0"/>
          <c:extLst>
            <c:ext xmlns:c16="http://schemas.microsoft.com/office/drawing/2014/chart" uri="{C3380CC4-5D6E-409C-BE32-E72D297353CC}">
              <c16:uniqueId val="{00000002-3438-4750-AEA7-0CD1161E5773}"/>
            </c:ext>
          </c:extLst>
        </c:ser>
        <c:ser>
          <c:idx val="3"/>
          <c:order val="3"/>
          <c:tx>
            <c:strRef>
              <c:f>'Trh práce-2b'!$A$32</c:f>
              <c:strCache>
                <c:ptCount val="1"/>
                <c:pt idx="0">
                  <c:v>Podíl osob do 25 let mezi nezam. (pr. osa)</c:v>
                </c:pt>
              </c:strCache>
            </c:strRef>
          </c:tx>
          <c:spPr>
            <a:ln w="19050">
              <a:solidFill>
                <a:srgbClr val="00B050"/>
              </a:solidFill>
              <a:prstDash val="sysDash"/>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práce-2b'!$B$32:$Z$32</c:f>
              <c:numCache>
                <c:formatCode>0.0</c:formatCode>
                <c:ptCount val="25"/>
                <c:pt idx="0">
                  <c:v>15.50632911392405</c:v>
                </c:pt>
                <c:pt idx="1">
                  <c:v>15.648854961832063</c:v>
                </c:pt>
                <c:pt idx="2">
                  <c:v>17.509727626459142</c:v>
                </c:pt>
                <c:pt idx="3">
                  <c:v>16.455696202531644</c:v>
                </c:pt>
                <c:pt idx="4">
                  <c:v>13.852813852813853</c:v>
                </c:pt>
                <c:pt idx="5">
                  <c:v>15.238095238095239</c:v>
                </c:pt>
                <c:pt idx="6">
                  <c:v>18.30985915492958</c:v>
                </c:pt>
                <c:pt idx="7">
                  <c:v>18.75</c:v>
                </c:pt>
                <c:pt idx="8">
                  <c:v>14.673913043478262</c:v>
                </c:pt>
                <c:pt idx="9">
                  <c:v>16.352201257861633</c:v>
                </c:pt>
                <c:pt idx="10">
                  <c:v>18.666666666666668</c:v>
                </c:pt>
                <c:pt idx="11">
                  <c:v>14.728682170542637</c:v>
                </c:pt>
                <c:pt idx="12">
                  <c:v>14.615384615384617</c:v>
                </c:pt>
                <c:pt idx="13">
                  <c:v>16.949152542372879</c:v>
                </c:pt>
                <c:pt idx="14">
                  <c:v>18.110236220472441</c:v>
                </c:pt>
                <c:pt idx="15">
                  <c:v>16.216216216216218</c:v>
                </c:pt>
                <c:pt idx="16">
                  <c:v>14.545454545454545</c:v>
                </c:pt>
                <c:pt idx="17">
                  <c:v>15.686274509803921</c:v>
                </c:pt>
                <c:pt idx="18">
                  <c:v>15.65217391304348</c:v>
                </c:pt>
                <c:pt idx="19">
                  <c:v>13.761467889908257</c:v>
                </c:pt>
                <c:pt idx="20">
                  <c:v>13.20754716981132</c:v>
                </c:pt>
                <c:pt idx="21">
                  <c:v>14.285714285714285</c:v>
                </c:pt>
                <c:pt idx="22">
                  <c:v>16.883116883116884</c:v>
                </c:pt>
                <c:pt idx="23">
                  <c:v>15.873015873015875</c:v>
                </c:pt>
              </c:numCache>
            </c:numRef>
          </c:val>
          <c:smooth val="0"/>
          <c:extLst>
            <c:ext xmlns:c16="http://schemas.microsoft.com/office/drawing/2014/chart" uri="{C3380CC4-5D6E-409C-BE32-E72D297353CC}">
              <c16:uniqueId val="{00000003-3438-4750-AEA7-0CD1161E5773}"/>
            </c:ext>
          </c:extLst>
        </c:ser>
        <c:ser>
          <c:idx val="6"/>
          <c:order val="4"/>
          <c:tx>
            <c:strRef>
              <c:f>'Trh práce-2b'!$A$33</c:f>
              <c:strCache>
                <c:ptCount val="1"/>
                <c:pt idx="0">
                  <c:v>Podíl osob nad 50 let mezi nezam. (pr. osa)</c:v>
                </c:pt>
              </c:strCache>
            </c:strRef>
          </c:tx>
          <c:spPr>
            <a:ln w="19050">
              <a:solidFill>
                <a:srgbClr val="0070C0"/>
              </a:solidFill>
              <a:prstDash val="sysDash"/>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práce-2b'!$B$33:$Z$33</c:f>
              <c:numCache>
                <c:formatCode>0.0</c:formatCode>
                <c:ptCount val="25"/>
                <c:pt idx="0">
                  <c:v>23.213156230234031</c:v>
                </c:pt>
                <c:pt idx="1">
                  <c:v>24.140565317035907</c:v>
                </c:pt>
                <c:pt idx="2">
                  <c:v>22.451361867704282</c:v>
                </c:pt>
                <c:pt idx="3">
                  <c:v>23.954372623574148</c:v>
                </c:pt>
                <c:pt idx="4">
                  <c:v>28.157439446366784</c:v>
                </c:pt>
                <c:pt idx="5">
                  <c:v>26.180257510729614</c:v>
                </c:pt>
                <c:pt idx="6">
                  <c:v>22.86384976525822</c:v>
                </c:pt>
                <c:pt idx="7">
                  <c:v>24.947807933194156</c:v>
                </c:pt>
                <c:pt idx="8">
                  <c:v>26.138828633405641</c:v>
                </c:pt>
                <c:pt idx="9">
                  <c:v>24.763705103969755</c:v>
                </c:pt>
                <c:pt idx="10">
                  <c:v>23.380093520374086</c:v>
                </c:pt>
                <c:pt idx="11">
                  <c:v>23.931623931623935</c:v>
                </c:pt>
                <c:pt idx="12">
                  <c:v>25.808936825885976</c:v>
                </c:pt>
                <c:pt idx="13">
                  <c:v>24.957698815566832</c:v>
                </c:pt>
                <c:pt idx="14">
                  <c:v>24.311565696302122</c:v>
                </c:pt>
                <c:pt idx="15">
                  <c:v>23.285198555956679</c:v>
                </c:pt>
                <c:pt idx="16">
                  <c:v>26.253418413855972</c:v>
                </c:pt>
                <c:pt idx="17">
                  <c:v>24.609374999999996</c:v>
                </c:pt>
                <c:pt idx="18">
                  <c:v>26.02262837249782</c:v>
                </c:pt>
                <c:pt idx="19">
                  <c:v>25.596330275229356</c:v>
                </c:pt>
                <c:pt idx="20">
                  <c:v>24.976437323279928</c:v>
                </c:pt>
                <c:pt idx="21">
                  <c:v>21.61520190023753</c:v>
                </c:pt>
                <c:pt idx="22">
                  <c:v>22.157244964262507</c:v>
                </c:pt>
              </c:numCache>
            </c:numRef>
          </c:val>
          <c:smooth val="0"/>
          <c:extLst>
            <c:ext xmlns:c16="http://schemas.microsoft.com/office/drawing/2014/chart" uri="{C3380CC4-5D6E-409C-BE32-E72D297353CC}">
              <c16:uniqueId val="{00000004-3438-4750-AEA7-0CD1161E5773}"/>
            </c:ext>
          </c:extLst>
        </c:ser>
        <c:ser>
          <c:idx val="7"/>
          <c:order val="5"/>
          <c:tx>
            <c:strRef>
              <c:f>'Trh práce-2b'!$A$34</c:f>
              <c:strCache>
                <c:ptCount val="1"/>
                <c:pt idx="0">
                  <c:v>Ekon. neaktiv. chtějící pracovat (pr. osa)</c:v>
                </c:pt>
              </c:strCache>
            </c:strRef>
          </c:tx>
          <c:spPr>
            <a:ln w="19050">
              <a:solidFill>
                <a:schemeClr val="accent2">
                  <a:lumMod val="60000"/>
                  <a:lumOff val="40000"/>
                </a:schemeClr>
              </a:solidFill>
              <a:prstDash val="solid"/>
            </a:ln>
          </c:spPr>
          <c:marker>
            <c:symbol val="none"/>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práce-2b'!$B$34:$Z$34</c:f>
              <c:numCache>
                <c:formatCode>General</c:formatCode>
                <c:ptCount val="25"/>
                <c:pt idx="0">
                  <c:v>138.5</c:v>
                </c:pt>
                <c:pt idx="1">
                  <c:v>141.4</c:v>
                </c:pt>
                <c:pt idx="2">
                  <c:v>137.1</c:v>
                </c:pt>
                <c:pt idx="3">
                  <c:v>130.4</c:v>
                </c:pt>
                <c:pt idx="4">
                  <c:v>141</c:v>
                </c:pt>
                <c:pt idx="5">
                  <c:v>126.4</c:v>
                </c:pt>
                <c:pt idx="6">
                  <c:v>129.69999999999999</c:v>
                </c:pt>
                <c:pt idx="7">
                  <c:v>127.1</c:v>
                </c:pt>
                <c:pt idx="8" formatCode="0.0">
                  <c:v>133.1</c:v>
                </c:pt>
                <c:pt idx="9" formatCode="0.0">
                  <c:v>120.1</c:v>
                </c:pt>
                <c:pt idx="10" formatCode="0.0">
                  <c:v>121.3</c:v>
                </c:pt>
                <c:pt idx="11" formatCode="0.0">
                  <c:v>119.1</c:v>
                </c:pt>
                <c:pt idx="12" formatCode="0.0">
                  <c:v>113.5</c:v>
                </c:pt>
                <c:pt idx="13" formatCode="0.0">
                  <c:v>108.4</c:v>
                </c:pt>
                <c:pt idx="14" formatCode="0.0">
                  <c:v>110.3</c:v>
                </c:pt>
                <c:pt idx="15" formatCode="0.0">
                  <c:v>101.7</c:v>
                </c:pt>
                <c:pt idx="16" formatCode="0.0">
                  <c:v>104.6</c:v>
                </c:pt>
                <c:pt idx="17" formatCode="0.0">
                  <c:v>104.6</c:v>
                </c:pt>
                <c:pt idx="18" formatCode="0.0">
                  <c:v>97.6</c:v>
                </c:pt>
                <c:pt idx="19" formatCode="0.0">
                  <c:v>99.9</c:v>
                </c:pt>
                <c:pt idx="20" formatCode="0.0">
                  <c:v>93.4</c:v>
                </c:pt>
                <c:pt idx="21" formatCode="0.0">
                  <c:v>109.3</c:v>
                </c:pt>
                <c:pt idx="22" formatCode="0.0">
                  <c:v>98.8</c:v>
                </c:pt>
                <c:pt idx="23" formatCode="0.0">
                  <c:v>95.7</c:v>
                </c:pt>
              </c:numCache>
            </c:numRef>
          </c:val>
          <c:smooth val="0"/>
          <c:extLst>
            <c:ext xmlns:c16="http://schemas.microsoft.com/office/drawing/2014/chart" uri="{C3380CC4-5D6E-409C-BE32-E72D297353CC}">
              <c16:uniqueId val="{00000005-3438-4750-AEA7-0CD1161E5773}"/>
            </c:ext>
          </c:extLst>
        </c:ser>
        <c:ser>
          <c:idx val="4"/>
          <c:order val="6"/>
          <c:tx>
            <c:strRef>
              <c:f>'Trh práce-2b'!$A$35</c:f>
              <c:strCache>
                <c:ptCount val="1"/>
                <c:pt idx="0">
                  <c:v>Očekávání vývoje nezam. (pravá osa)</c:v>
                </c:pt>
              </c:strCache>
            </c:strRef>
          </c:tx>
          <c:spPr>
            <a:ln w="9525">
              <a:solidFill>
                <a:schemeClr val="accent6">
                  <a:lumMod val="75000"/>
                </a:schemeClr>
              </a:solidFill>
              <a:prstDash val="sysDot"/>
            </a:ln>
          </c:spPr>
          <c:marker>
            <c:symbol val="circle"/>
            <c:size val="4"/>
            <c:spPr>
              <a:solidFill>
                <a:schemeClr val="accent6">
                  <a:lumMod val="75000"/>
                </a:schemeClr>
              </a:solidFill>
              <a:ln>
                <a:noFill/>
              </a:ln>
            </c:spPr>
          </c:marker>
          <c:cat>
            <c:multiLvlStrRef>
              <c:f>'Trh práce-2b'!$B$27:$Z$28</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práce-2b'!$B$35:$Z$35</c:f>
              <c:numCache>
                <c:formatCode>#\ ##0.0</c:formatCode>
                <c:ptCount val="25"/>
                <c:pt idx="0">
                  <c:v>12.2</c:v>
                </c:pt>
                <c:pt idx="1">
                  <c:v>7.3</c:v>
                </c:pt>
                <c:pt idx="2">
                  <c:v>12.3</c:v>
                </c:pt>
                <c:pt idx="3">
                  <c:v>4.9000000000000004</c:v>
                </c:pt>
                <c:pt idx="4">
                  <c:v>1.1000000000000001</c:v>
                </c:pt>
                <c:pt idx="5">
                  <c:v>8.5</c:v>
                </c:pt>
                <c:pt idx="6">
                  <c:v>7</c:v>
                </c:pt>
                <c:pt idx="7">
                  <c:v>3.6</c:v>
                </c:pt>
                <c:pt idx="8">
                  <c:v>-1.6</c:v>
                </c:pt>
                <c:pt idx="9">
                  <c:v>-4.0999999999999996</c:v>
                </c:pt>
                <c:pt idx="10">
                  <c:v>3.5</c:v>
                </c:pt>
                <c:pt idx="11">
                  <c:v>-0.2</c:v>
                </c:pt>
                <c:pt idx="12">
                  <c:v>-2.8</c:v>
                </c:pt>
                <c:pt idx="13">
                  <c:v>-3.4</c:v>
                </c:pt>
                <c:pt idx="14">
                  <c:v>1.7</c:v>
                </c:pt>
                <c:pt idx="15">
                  <c:v>5.5</c:v>
                </c:pt>
                <c:pt idx="16">
                  <c:v>6</c:v>
                </c:pt>
                <c:pt idx="17">
                  <c:v>6.8</c:v>
                </c:pt>
                <c:pt idx="18">
                  <c:v>13.9</c:v>
                </c:pt>
                <c:pt idx="19">
                  <c:v>12.8</c:v>
                </c:pt>
                <c:pt idx="20">
                  <c:v>16.2</c:v>
                </c:pt>
                <c:pt idx="21">
                  <c:v>48.6</c:v>
                </c:pt>
                <c:pt idx="22">
                  <c:v>46.7</c:v>
                </c:pt>
                <c:pt idx="23">
                  <c:v>59.5</c:v>
                </c:pt>
                <c:pt idx="24">
                  <c:v>51.5</c:v>
                </c:pt>
              </c:numCache>
            </c:numRef>
          </c:val>
          <c:smooth val="0"/>
          <c:extLst>
            <c:ext xmlns:c16="http://schemas.microsoft.com/office/drawing/2014/chart" uri="{C3380CC4-5D6E-409C-BE32-E72D297353CC}">
              <c16:uniqueId val="{00000006-3438-4750-AEA7-0CD1161E5773}"/>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a:t>
                </a:r>
                <a:r>
                  <a:rPr lang="cs-CZ" sz="700" b="0" i="1" baseline="0"/>
                  <a:t> nezaměstnanosti</a:t>
                </a:r>
                <a:endParaRPr lang="cs-CZ" sz="700" b="0" i="1"/>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cs-CZ" sz="700" b="0" i="1" u="none" strike="noStrike" baseline="0">
                    <a:effectLst/>
                  </a:rPr>
                  <a:t>Ekon. neaktivní, </a:t>
                </a:r>
                <a:r>
                  <a:rPr lang="cs-CZ" sz="700" b="0" i="1" baseline="0"/>
                  <a:t>vybr. skupiny nezam., očekávání nezaměstnanosti</a:t>
                </a:r>
                <a:endParaRPr lang="cs-CZ" sz="700" b="0" i="1"/>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6.9661976872503594E-3"/>
          <c:y val="0.85929280045351475"/>
          <c:w val="0.98428486364480727"/>
          <c:h val="0.13700935374149659"/>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3'!$D$29:$D$52</c:f>
              <c:numCache>
                <c:formatCode>#\ ##0.0</c:formatCode>
                <c:ptCount val="24"/>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3.9000000000000057</c:v>
                </c:pt>
                <c:pt idx="17">
                  <c:v>3.7000000000000028</c:v>
                </c:pt>
                <c:pt idx="18">
                  <c:v>3.4000000000000057</c:v>
                </c:pt>
                <c:pt idx="19">
                  <c:v>3.0999999999999943</c:v>
                </c:pt>
                <c:pt idx="20">
                  <c:v>1.5</c:v>
                </c:pt>
                <c:pt idx="21">
                  <c:v>-2.2999999999999972</c:v>
                </c:pt>
                <c:pt idx="22" formatCode="0.0">
                  <c:v>1.7999999999999972</c:v>
                </c:pt>
                <c:pt idx="23" formatCode="0.0">
                  <c:v>3.7999999999999972</c:v>
                </c:pt>
              </c:numCache>
            </c:numRef>
          </c:val>
          <c:extLst>
            <c:ext xmlns:c16="http://schemas.microsoft.com/office/drawing/2014/chart" uri="{C3380CC4-5D6E-409C-BE32-E72D297353CC}">
              <c16:uniqueId val="{00000000-561C-47FD-939A-301D20694E00}"/>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3'!$C$29:$C$52</c:f>
              <c:numCache>
                <c:formatCode>0.0</c:formatCode>
                <c:ptCount val="24"/>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6.7000000000000028</c:v>
                </c:pt>
                <c:pt idx="17">
                  <c:v>6.5999999999999943</c:v>
                </c:pt>
                <c:pt idx="18">
                  <c:v>6.2999999999999972</c:v>
                </c:pt>
                <c:pt idx="19">
                  <c:v>6.2000000000000028</c:v>
                </c:pt>
                <c:pt idx="20">
                  <c:v>5.2000000000000028</c:v>
                </c:pt>
                <c:pt idx="21">
                  <c:v>0.70000000000000284</c:v>
                </c:pt>
                <c:pt idx="22">
                  <c:v>5.2000000000000028</c:v>
                </c:pt>
                <c:pt idx="23">
                  <c:v>6.5</c:v>
                </c:pt>
              </c:numCache>
            </c:numRef>
          </c:val>
          <c:smooth val="0"/>
          <c:extLst>
            <c:ext xmlns:c16="http://schemas.microsoft.com/office/drawing/2014/chart" uri="{C3380CC4-5D6E-409C-BE32-E72D297353CC}">
              <c16:uniqueId val="{00000001-561C-47FD-939A-301D20694E00}"/>
            </c:ext>
          </c:extLst>
        </c:ser>
        <c:ser>
          <c:idx val="5"/>
          <c:order val="2"/>
          <c:tx>
            <c:strRef>
              <c:f>'Trh práce 3'!$E$8</c:f>
              <c:strCache>
                <c:ptCount val="1"/>
                <c:pt idx="0">
                  <c:v>Prům. mzda v průmyslu (nominálně)</c:v>
                </c:pt>
              </c:strCache>
            </c:strRef>
          </c:tx>
          <c:spPr>
            <a:ln w="9525">
              <a:solidFill>
                <a:srgbClr val="C00000"/>
              </a:solidFill>
              <a:prstDash val="solid"/>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3'!$E$29:$E$52</c:f>
              <c:numCache>
                <c:formatCode>0.0</c:formatCode>
                <c:ptCount val="24"/>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5.8906444633842483</c:v>
                </c:pt>
                <c:pt idx="17">
                  <c:v>5.883790554163852</c:v>
                </c:pt>
                <c:pt idx="18">
                  <c:v>5.5271271016749779</c:v>
                </c:pt>
                <c:pt idx="19">
                  <c:v>4.4163668801731433</c:v>
                </c:pt>
                <c:pt idx="20">
                  <c:v>4.4918428628919855</c:v>
                </c:pt>
                <c:pt idx="21">
                  <c:v>-3.8517022504327798</c:v>
                </c:pt>
                <c:pt idx="22">
                  <c:v>2.5781579422926342</c:v>
                </c:pt>
                <c:pt idx="23" formatCode="#\ ##0.0">
                  <c:v>3.6413545839052261</c:v>
                </c:pt>
              </c:numCache>
            </c:numRef>
          </c:val>
          <c:smooth val="0"/>
          <c:extLst>
            <c:ext xmlns:c16="http://schemas.microsoft.com/office/drawing/2014/chart" uri="{C3380CC4-5D6E-409C-BE32-E72D297353CC}">
              <c16:uniqueId val="{00000002-561C-47FD-939A-301D20694E00}"/>
            </c:ext>
          </c:extLst>
        </c:ser>
        <c:ser>
          <c:idx val="1"/>
          <c:order val="3"/>
          <c:tx>
            <c:strRef>
              <c:f>'Trh práce 3'!$F$8</c:f>
              <c:strCache>
                <c:ptCount val="1"/>
                <c:pt idx="0">
                  <c:v>Prům. mzda v obchodu (nominálně)</c:v>
                </c:pt>
              </c:strCache>
            </c:strRef>
          </c:tx>
          <c:spPr>
            <a:ln w="9525">
              <a:solidFill>
                <a:srgbClr val="0070C0"/>
              </a:solidFill>
              <a:prstDash val="solid"/>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3'!$F$29:$F$52</c:f>
              <c:numCache>
                <c:formatCode>0.0</c:formatCode>
                <c:ptCount val="24"/>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7.819417814188597</c:v>
                </c:pt>
                <c:pt idx="17">
                  <c:v>5.5341966815054491</c:v>
                </c:pt>
                <c:pt idx="18">
                  <c:v>6.4442351674963021</c:v>
                </c:pt>
                <c:pt idx="19">
                  <c:v>4.3541090726313172</c:v>
                </c:pt>
                <c:pt idx="20">
                  <c:v>4.2324107604759291</c:v>
                </c:pt>
                <c:pt idx="21">
                  <c:v>-0.76374908126418006</c:v>
                </c:pt>
                <c:pt idx="22">
                  <c:v>2.7711071789686486</c:v>
                </c:pt>
                <c:pt idx="23">
                  <c:v>0.50273947859594159</c:v>
                </c:pt>
              </c:numCache>
            </c:numRef>
          </c:val>
          <c:smooth val="0"/>
          <c:extLst>
            <c:ext xmlns:c16="http://schemas.microsoft.com/office/drawing/2014/chart" uri="{C3380CC4-5D6E-409C-BE32-E72D297353CC}">
              <c16:uniqueId val="{00000003-561C-47FD-939A-301D20694E00}"/>
            </c:ext>
          </c:extLst>
        </c:ser>
        <c:ser>
          <c:idx val="2"/>
          <c:order val="4"/>
          <c:tx>
            <c:strRef>
              <c:f>'Trh práce 3'!$G$8</c:f>
              <c:strCache>
                <c:ptCount val="1"/>
                <c:pt idx="0">
                  <c:v>Prům. mzda ve veř. službách (nominálně)*</c:v>
                </c:pt>
              </c:strCache>
            </c:strRef>
          </c:tx>
          <c:spPr>
            <a:ln w="9525">
              <a:solidFill>
                <a:srgbClr val="00B050"/>
              </a:solidFill>
              <a:prstDash val="solid"/>
            </a:ln>
          </c:spPr>
          <c:marker>
            <c:symbol val="none"/>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3'!$G$29:$G$52</c:f>
              <c:numCache>
                <c:formatCode>0.0</c:formatCode>
                <c:ptCount val="24"/>
                <c:pt idx="0">
                  <c:v>3.2969862362055835</c:v>
                </c:pt>
                <c:pt idx="1">
                  <c:v>4.3911756253133944</c:v>
                </c:pt>
                <c:pt idx="2">
                  <c:v>3.8219222561767907</c:v>
                </c:pt>
                <c:pt idx="3">
                  <c:v>3.619515486346188</c:v>
                </c:pt>
                <c:pt idx="4">
                  <c:v>4.5289177350120013</c:v>
                </c:pt>
                <c:pt idx="5">
                  <c:v>3.6719023287164134</c:v>
                </c:pt>
                <c:pt idx="6">
                  <c:v>4.7653279531701003</c:v>
                </c:pt>
                <c:pt idx="7">
                  <c:v>6.0966410162312883</c:v>
                </c:pt>
                <c:pt idx="8">
                  <c:v>5.5247766356738168</c:v>
                </c:pt>
                <c:pt idx="9">
                  <c:v>7.3063245418352665</c:v>
                </c:pt>
                <c:pt idx="10">
                  <c:v>7.9641633982088251</c:v>
                </c:pt>
                <c:pt idx="11">
                  <c:v>10.355070231119569</c:v>
                </c:pt>
                <c:pt idx="12">
                  <c:v>12.053862599189841</c:v>
                </c:pt>
                <c:pt idx="13">
                  <c:v>11.764894122513709</c:v>
                </c:pt>
                <c:pt idx="14">
                  <c:v>11.368398747819299</c:v>
                </c:pt>
                <c:pt idx="15">
                  <c:v>6.0821398053785032</c:v>
                </c:pt>
                <c:pt idx="16">
                  <c:v>7.8518279760411787</c:v>
                </c:pt>
                <c:pt idx="17">
                  <c:v>8.194498985588865</c:v>
                </c:pt>
                <c:pt idx="18">
                  <c:v>7.1812776904979643</c:v>
                </c:pt>
                <c:pt idx="19">
                  <c:v>10.074376758144311</c:v>
                </c:pt>
                <c:pt idx="20">
                  <c:v>5.4989356032211703</c:v>
                </c:pt>
                <c:pt idx="21">
                  <c:v>5.3862795833745167</c:v>
                </c:pt>
                <c:pt idx="22">
                  <c:v>8.9263995666425018</c:v>
                </c:pt>
                <c:pt idx="23" formatCode="#\ ##0.0">
                  <c:v>14.527315278329837</c:v>
                </c:pt>
              </c:numCache>
            </c:numRef>
          </c:val>
          <c:smooth val="0"/>
          <c:extLst>
            <c:ext xmlns:c16="http://schemas.microsoft.com/office/drawing/2014/chart" uri="{C3380CC4-5D6E-409C-BE32-E72D297353CC}">
              <c16:uniqueId val="{00000004-561C-47FD-939A-301D20694E00}"/>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3'!$A$29:$B$52</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'Trh práce 3'!$H$29:$H$52</c:f>
              <c:numCache>
                <c:formatCode>0.0</c:formatCode>
                <c:ptCount val="24"/>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7.0999999999999943</c:v>
                </c:pt>
                <c:pt idx="17">
                  <c:v>6.5999999999999943</c:v>
                </c:pt>
                <c:pt idx="18">
                  <c:v>7.2000000000000028</c:v>
                </c:pt>
                <c:pt idx="19">
                  <c:v>6.5</c:v>
                </c:pt>
                <c:pt idx="20">
                  <c:v>6</c:v>
                </c:pt>
                <c:pt idx="21">
                  <c:v>0</c:v>
                </c:pt>
                <c:pt idx="22">
                  <c:v>5.2000000000000028</c:v>
                </c:pt>
                <c:pt idx="23" formatCode="#\ ##0.0">
                  <c:v>5.4000000000000057</c:v>
                </c:pt>
              </c:numCache>
            </c:numRef>
          </c:val>
          <c:smooth val="0"/>
          <c:extLst>
            <c:ext xmlns:c16="http://schemas.microsoft.com/office/drawing/2014/chart" uri="{C3380CC4-5D6E-409C-BE32-E72D297353CC}">
              <c16:uniqueId val="{00000005-561C-47FD-939A-301D20694E00}"/>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6"/>
          <c:min val="-4"/>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2"/>
      </c:valAx>
      <c:spPr>
        <a:ln>
          <a:solidFill>
            <a:schemeClr val="tx1"/>
          </a:solidFill>
        </a:ln>
      </c:spPr>
    </c:plotArea>
    <c:legend>
      <c:legendPos val="b"/>
      <c:layout>
        <c:manualLayout>
          <c:xMode val="edge"/>
          <c:yMode val="edge"/>
          <c:x val="4.4585535014236267E-2"/>
          <c:y val="0.87578174603174608"/>
          <c:w val="0.94198822026318074"/>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05E-2"/>
          <c:y val="2.1711264016309892E-2"/>
          <c:w val="0.93508633063154345"/>
          <c:h val="0.73130361364405005"/>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1'!$C$42:$C$113</c:f>
              <c:numCache>
                <c:formatCode>0.00</c:formatCode>
                <c:ptCount val="72"/>
                <c:pt idx="0">
                  <c:v>0.05</c:v>
                </c:pt>
                <c:pt idx="1">
                  <c:v>0.05</c:v>
                </c:pt>
                <c:pt idx="2">
                  <c:v>0.05</c:v>
                </c:pt>
                <c:pt idx="3">
                  <c:v>0.05</c:v>
                </c:pt>
                <c:pt idx="4">
                  <c:v>0.05</c:v>
                </c:pt>
                <c:pt idx="5">
                  <c:v>0.05</c:v>
                </c:pt>
                <c:pt idx="6">
                  <c:v>0.05</c:v>
                </c:pt>
                <c:pt idx="7">
                  <c:v>0.05</c:v>
                </c:pt>
                <c:pt idx="8">
                  <c:v>0.05</c:v>
                </c:pt>
                <c:pt idx="9">
                  <c:v>0.05</c:v>
                </c:pt>
                <c:pt idx="10">
                  <c:v>0.05</c:v>
                </c:pt>
                <c:pt idx="11">
                  <c:v>0.05</c:v>
                </c:pt>
                <c:pt idx="12" formatCode="General">
                  <c:v>0.05</c:v>
                </c:pt>
                <c:pt idx="13" formatCode="General">
                  <c:v>0.05</c:v>
                </c:pt>
                <c:pt idx="14" formatCode="General">
                  <c:v>0.05</c:v>
                </c:pt>
                <c:pt idx="15" formatCode="General">
                  <c:v>0.05</c:v>
                </c:pt>
                <c:pt idx="16" formatCode="General">
                  <c:v>0.05</c:v>
                </c:pt>
                <c:pt idx="17" formatCode="General">
                  <c:v>0.05</c:v>
                </c:pt>
                <c:pt idx="18" formatCode="General">
                  <c:v>0.05</c:v>
                </c:pt>
                <c:pt idx="19" formatCode="General">
                  <c:v>0.05</c:v>
                </c:pt>
                <c:pt idx="20" formatCode="General">
                  <c:v>0.05</c:v>
                </c:pt>
                <c:pt idx="21" formatCode="General">
                  <c:v>0.05</c:v>
                </c:pt>
                <c:pt idx="22" formatCode="General">
                  <c:v>0.05</c:v>
                </c:pt>
                <c:pt idx="23" formatCode="General">
                  <c:v>0.05</c:v>
                </c:pt>
                <c:pt idx="24" formatCode="General">
                  <c:v>0.05</c:v>
                </c:pt>
                <c:pt idx="25" formatCode="General">
                  <c:v>0.05</c:v>
                </c:pt>
                <c:pt idx="26" formatCode="General">
                  <c:v>0.05</c:v>
                </c:pt>
                <c:pt idx="27" formatCode="General">
                  <c:v>0.05</c:v>
                </c:pt>
                <c:pt idx="28" formatCode="General">
                  <c:v>0.05</c:v>
                </c:pt>
                <c:pt idx="29" formatCode="General">
                  <c:v>0.05</c:v>
                </c:pt>
                <c:pt idx="30" formatCode="General">
                  <c:v>0.05</c:v>
                </c:pt>
                <c:pt idx="31" formatCode="General">
                  <c:v>0.25</c:v>
                </c:pt>
                <c:pt idx="32" formatCode="General">
                  <c:v>0.25</c:v>
                </c:pt>
                <c:pt idx="33" formatCode="General">
                  <c:v>0.25</c:v>
                </c:pt>
                <c:pt idx="34" formatCode="General">
                  <c:v>0.5</c:v>
                </c:pt>
                <c:pt idx="35" formatCode="General">
                  <c:v>0.5</c:v>
                </c:pt>
                <c:pt idx="36" formatCode="General">
                  <c:v>0.5</c:v>
                </c:pt>
                <c:pt idx="37" formatCode="General">
                  <c:v>0.75</c:v>
                </c:pt>
                <c:pt idx="38" formatCode="General">
                  <c:v>0.75</c:v>
                </c:pt>
                <c:pt idx="39" formatCode="General">
                  <c:v>0.75</c:v>
                </c:pt>
                <c:pt idx="40" formatCode="General">
                  <c:v>0.75</c:v>
                </c:pt>
                <c:pt idx="41" formatCode="General">
                  <c:v>1</c:v>
                </c:pt>
                <c:pt idx="42" formatCode="General">
                  <c:v>1</c:v>
                </c:pt>
                <c:pt idx="43" formatCode="General">
                  <c:v>1.25</c:v>
                </c:pt>
                <c:pt idx="44" formatCode="General">
                  <c:v>1.5</c:v>
                </c:pt>
                <c:pt idx="45" formatCode="General">
                  <c:v>1.5</c:v>
                </c:pt>
                <c:pt idx="46" formatCode="General">
                  <c:v>1.75</c:v>
                </c:pt>
                <c:pt idx="47" formatCode="General">
                  <c:v>1.75</c:v>
                </c:pt>
                <c:pt idx="48" formatCode="General">
                  <c:v>1.75</c:v>
                </c:pt>
                <c:pt idx="49" formatCode="General">
                  <c:v>1.75</c:v>
                </c:pt>
                <c:pt idx="50" formatCode="General">
                  <c:v>1.75</c:v>
                </c:pt>
                <c:pt idx="51" formatCode="General">
                  <c:v>1.75</c:v>
                </c:pt>
                <c:pt idx="52" formatCode="General">
                  <c:v>2</c:v>
                </c:pt>
                <c:pt idx="53" formatCode="General">
                  <c:v>2</c:v>
                </c:pt>
                <c:pt idx="54" formatCode="General">
                  <c:v>2</c:v>
                </c:pt>
                <c:pt idx="55" formatCode="General">
                  <c:v>2</c:v>
                </c:pt>
                <c:pt idx="56" formatCode="General">
                  <c:v>2</c:v>
                </c:pt>
                <c:pt idx="57" formatCode="General">
                  <c:v>2</c:v>
                </c:pt>
                <c:pt idx="58" formatCode="General">
                  <c:v>2</c:v>
                </c:pt>
                <c:pt idx="59" formatCode="General">
                  <c:v>2</c:v>
                </c:pt>
                <c:pt idx="60" formatCode="General">
                  <c:v>2</c:v>
                </c:pt>
                <c:pt idx="61" formatCode="General">
                  <c:v>2.25</c:v>
                </c:pt>
                <c:pt idx="62" formatCode="General">
                  <c:v>1</c:v>
                </c:pt>
                <c:pt idx="63" formatCode="General">
                  <c:v>1</c:v>
                </c:pt>
                <c:pt idx="64" formatCode="General">
                  <c:v>0.25</c:v>
                </c:pt>
                <c:pt idx="65" formatCode="General">
                  <c:v>0.25</c:v>
                </c:pt>
                <c:pt idx="66" formatCode="General">
                  <c:v>0.25</c:v>
                </c:pt>
                <c:pt idx="67" formatCode="General">
                  <c:v>0.25</c:v>
                </c:pt>
                <c:pt idx="68" formatCode="General">
                  <c:v>0.25</c:v>
                </c:pt>
                <c:pt idx="69" formatCode="General">
                  <c:v>0.25</c:v>
                </c:pt>
                <c:pt idx="70" formatCode="General">
                  <c:v>0.25</c:v>
                </c:pt>
                <c:pt idx="71" formatCode="General">
                  <c:v>0.25</c:v>
                </c:pt>
              </c:numCache>
            </c:numRef>
          </c:val>
          <c:extLst>
            <c:ext xmlns:c16="http://schemas.microsoft.com/office/drawing/2014/chart" uri="{C3380CC4-5D6E-409C-BE32-E72D297353CC}">
              <c16:uniqueId val="{00000000-BC76-4E08-8E70-40D6F7F7D36B}"/>
            </c:ext>
          </c:extLst>
        </c:ser>
        <c:dLbls>
          <c:showLegendKey val="0"/>
          <c:showVal val="0"/>
          <c:showCatName val="0"/>
          <c:showSerName val="0"/>
          <c:showPercent val="0"/>
          <c:showBubbleSize val="0"/>
        </c:dLbls>
        <c:gapWidth val="31"/>
        <c:axId val="271742464"/>
        <c:axId val="271744000"/>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1'!$F$42:$F$113</c:f>
              <c:numCache>
                <c:formatCode>General</c:formatCode>
                <c:ptCount val="72"/>
                <c:pt idx="0">
                  <c:v>0.09</c:v>
                </c:pt>
                <c:pt idx="1">
                  <c:v>0.06</c:v>
                </c:pt>
                <c:pt idx="2">
                  <c:v>0.04</c:v>
                </c:pt>
                <c:pt idx="3">
                  <c:v>-0.03</c:v>
                </c:pt>
                <c:pt idx="4">
                  <c:v>0.04</c:v>
                </c:pt>
                <c:pt idx="5">
                  <c:v>0.11</c:v>
                </c:pt>
                <c:pt idx="6">
                  <c:v>0.02</c:v>
                </c:pt>
                <c:pt idx="7">
                  <c:v>-7.0000000000000007E-2</c:v>
                </c:pt>
                <c:pt idx="8">
                  <c:v>-0.3</c:v>
                </c:pt>
                <c:pt idx="9">
                  <c:v>-0.28000000000000003</c:v>
                </c:pt>
                <c:pt idx="10">
                  <c:v>-0.33</c:v>
                </c:pt>
                <c:pt idx="11">
                  <c:v>-0.38</c:v>
                </c:pt>
                <c:pt idx="12">
                  <c:v>-0.21</c:v>
                </c:pt>
                <c:pt idx="13">
                  <c:v>-0.18</c:v>
                </c:pt>
                <c:pt idx="14">
                  <c:v>-0.17</c:v>
                </c:pt>
                <c:pt idx="15">
                  <c:v>-0.08</c:v>
                </c:pt>
                <c:pt idx="16">
                  <c:v>-0.04</c:v>
                </c:pt>
                <c:pt idx="17">
                  <c:v>-0.05</c:v>
                </c:pt>
                <c:pt idx="18">
                  <c:v>-0.13</c:v>
                </c:pt>
                <c:pt idx="19">
                  <c:v>-0.22</c:v>
                </c:pt>
                <c:pt idx="20">
                  <c:v>-0.5</c:v>
                </c:pt>
                <c:pt idx="21">
                  <c:v>-0.74</c:v>
                </c:pt>
                <c:pt idx="22">
                  <c:v>-0.73</c:v>
                </c:pt>
                <c:pt idx="23">
                  <c:v>-0.81</c:v>
                </c:pt>
                <c:pt idx="24">
                  <c:v>-0.88</c:v>
                </c:pt>
                <c:pt idx="25">
                  <c:v>-0.53</c:v>
                </c:pt>
                <c:pt idx="26">
                  <c:v>-0.44</c:v>
                </c:pt>
                <c:pt idx="27">
                  <c:v>-0.23</c:v>
                </c:pt>
                <c:pt idx="28">
                  <c:v>-0.24</c:v>
                </c:pt>
                <c:pt idx="29">
                  <c:v>-0.25</c:v>
                </c:pt>
                <c:pt idx="30">
                  <c:v>-0.28999999999999998</c:v>
                </c:pt>
                <c:pt idx="31">
                  <c:v>-0.33</c:v>
                </c:pt>
                <c:pt idx="32">
                  <c:v>-0.28999999999999998</c:v>
                </c:pt>
                <c:pt idx="33">
                  <c:v>0.12</c:v>
                </c:pt>
                <c:pt idx="34">
                  <c:v>0.31</c:v>
                </c:pt>
                <c:pt idx="35">
                  <c:v>0.19</c:v>
                </c:pt>
                <c:pt idx="36">
                  <c:v>0.46</c:v>
                </c:pt>
                <c:pt idx="37">
                  <c:v>0.55000000000000004</c:v>
                </c:pt>
                <c:pt idx="38">
                  <c:v>0.62</c:v>
                </c:pt>
                <c:pt idx="39">
                  <c:v>0.6</c:v>
                </c:pt>
                <c:pt idx="40">
                  <c:v>0.7</c:v>
                </c:pt>
                <c:pt idx="41">
                  <c:v>0.89</c:v>
                </c:pt>
                <c:pt idx="42">
                  <c:v>1.0900000000000001</c:v>
                </c:pt>
                <c:pt idx="43">
                  <c:v>1.26</c:v>
                </c:pt>
                <c:pt idx="44">
                  <c:v>1.34</c:v>
                </c:pt>
                <c:pt idx="45">
                  <c:v>1.44</c:v>
                </c:pt>
                <c:pt idx="46">
                  <c:v>1.49</c:v>
                </c:pt>
                <c:pt idx="47">
                  <c:v>1.52</c:v>
                </c:pt>
                <c:pt idx="48">
                  <c:v>1.66</c:v>
                </c:pt>
                <c:pt idx="49">
                  <c:v>1.74</c:v>
                </c:pt>
                <c:pt idx="50">
                  <c:v>1.71</c:v>
                </c:pt>
                <c:pt idx="51">
                  <c:v>1.63</c:v>
                </c:pt>
                <c:pt idx="52">
                  <c:v>1.62</c:v>
                </c:pt>
                <c:pt idx="53">
                  <c:v>1.52</c:v>
                </c:pt>
                <c:pt idx="54">
                  <c:v>1.35</c:v>
                </c:pt>
                <c:pt idx="55">
                  <c:v>0.85</c:v>
                </c:pt>
                <c:pt idx="56">
                  <c:v>1.07</c:v>
                </c:pt>
                <c:pt idx="57">
                  <c:v>1.17</c:v>
                </c:pt>
                <c:pt idx="58">
                  <c:v>1.33</c:v>
                </c:pt>
                <c:pt idx="59">
                  <c:v>1.36</c:v>
                </c:pt>
                <c:pt idx="60">
                  <c:v>1.55</c:v>
                </c:pt>
                <c:pt idx="61">
                  <c:v>1.57</c:v>
                </c:pt>
                <c:pt idx="62">
                  <c:v>1.27</c:v>
                </c:pt>
                <c:pt idx="63">
                  <c:v>0.71</c:v>
                </c:pt>
                <c:pt idx="64">
                  <c:v>0.13</c:v>
                </c:pt>
                <c:pt idx="65">
                  <c:v>0.08</c:v>
                </c:pt>
                <c:pt idx="66">
                  <c:v>0.02</c:v>
                </c:pt>
                <c:pt idx="67">
                  <c:v>0.04</c:v>
                </c:pt>
                <c:pt idx="68">
                  <c:v>0.05</c:v>
                </c:pt>
                <c:pt idx="69">
                  <c:v>0</c:v>
                </c:pt>
                <c:pt idx="70">
                  <c:v>0.06</c:v>
                </c:pt>
                <c:pt idx="71">
                  <c:v>0.16</c:v>
                </c:pt>
              </c:numCache>
            </c:numRef>
          </c:val>
          <c:smooth val="0"/>
          <c:extLst>
            <c:ext xmlns:c16="http://schemas.microsoft.com/office/drawing/2014/chart" uri="{C3380CC4-5D6E-409C-BE32-E72D297353CC}">
              <c16:uniqueId val="{00000001-BC76-4E08-8E70-40D6F7F7D36B}"/>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1'!$D$42:$D$113</c:f>
              <c:numCache>
                <c:formatCode>General</c:formatCode>
                <c:ptCount val="72"/>
                <c:pt idx="0">
                  <c:v>0.33</c:v>
                </c:pt>
                <c:pt idx="1">
                  <c:v>0.33</c:v>
                </c:pt>
                <c:pt idx="2">
                  <c:v>0.32</c:v>
                </c:pt>
                <c:pt idx="3">
                  <c:v>0.31</c:v>
                </c:pt>
                <c:pt idx="4">
                  <c:v>0.31</c:v>
                </c:pt>
                <c:pt idx="5">
                  <c:v>0.31</c:v>
                </c:pt>
                <c:pt idx="6">
                  <c:v>0.31</c:v>
                </c:pt>
                <c:pt idx="7">
                  <c:v>0.31</c:v>
                </c:pt>
                <c:pt idx="8">
                  <c:v>0.3</c:v>
                </c:pt>
                <c:pt idx="9">
                  <c:v>0.28999999999999998</c:v>
                </c:pt>
                <c:pt idx="10">
                  <c:v>0.28999999999999998</c:v>
                </c:pt>
                <c:pt idx="11">
                  <c:v>0.28999999999999998</c:v>
                </c:pt>
                <c:pt idx="12">
                  <c:v>0.28999999999999998</c:v>
                </c:pt>
                <c:pt idx="13">
                  <c:v>0.28000000000000003</c:v>
                </c:pt>
                <c:pt idx="14">
                  <c:v>0.28999999999999998</c:v>
                </c:pt>
                <c:pt idx="15">
                  <c:v>0.28999999999999998</c:v>
                </c:pt>
                <c:pt idx="16">
                  <c:v>0.28999999999999998</c:v>
                </c:pt>
                <c:pt idx="17">
                  <c:v>0.28999999999999998</c:v>
                </c:pt>
                <c:pt idx="18">
                  <c:v>0.28999999999999998</c:v>
                </c:pt>
                <c:pt idx="19">
                  <c:v>0.28999999999999998</c:v>
                </c:pt>
                <c:pt idx="20">
                  <c:v>0.28999999999999998</c:v>
                </c:pt>
                <c:pt idx="21">
                  <c:v>0.28999999999999998</c:v>
                </c:pt>
                <c:pt idx="22">
                  <c:v>0.28999999999999998</c:v>
                </c:pt>
                <c:pt idx="23">
                  <c:v>0.28999999999999998</c:v>
                </c:pt>
                <c:pt idx="24">
                  <c:v>0.28000000000000003</c:v>
                </c:pt>
                <c:pt idx="25">
                  <c:v>0.28000000000000003</c:v>
                </c:pt>
                <c:pt idx="26">
                  <c:v>0.28000000000000003</c:v>
                </c:pt>
                <c:pt idx="27">
                  <c:v>0.28999999999999998</c:v>
                </c:pt>
                <c:pt idx="28">
                  <c:v>0.3</c:v>
                </c:pt>
                <c:pt idx="29">
                  <c:v>0.3</c:v>
                </c:pt>
                <c:pt idx="30">
                  <c:v>0.3</c:v>
                </c:pt>
                <c:pt idx="31">
                  <c:v>0.43</c:v>
                </c:pt>
                <c:pt idx="32">
                  <c:v>0.46</c:v>
                </c:pt>
                <c:pt idx="33">
                  <c:v>0.51</c:v>
                </c:pt>
                <c:pt idx="34">
                  <c:v>0.71</c:v>
                </c:pt>
                <c:pt idx="35">
                  <c:v>0.75</c:v>
                </c:pt>
                <c:pt idx="36">
                  <c:v>0.77</c:v>
                </c:pt>
                <c:pt idx="37">
                  <c:v>0.9</c:v>
                </c:pt>
                <c:pt idx="38">
                  <c:v>0.9</c:v>
                </c:pt>
                <c:pt idx="39">
                  <c:v>0.9</c:v>
                </c:pt>
                <c:pt idx="40">
                  <c:v>0.9</c:v>
                </c:pt>
                <c:pt idx="41">
                  <c:v>0.93</c:v>
                </c:pt>
                <c:pt idx="42">
                  <c:v>1.18</c:v>
                </c:pt>
                <c:pt idx="43">
                  <c:v>1.45</c:v>
                </c:pt>
                <c:pt idx="44">
                  <c:v>1.54</c:v>
                </c:pt>
                <c:pt idx="45">
                  <c:v>1.76</c:v>
                </c:pt>
                <c:pt idx="46">
                  <c:v>1.99</c:v>
                </c:pt>
                <c:pt idx="47">
                  <c:v>2.0099999999999998</c:v>
                </c:pt>
                <c:pt idx="48">
                  <c:v>2.0099999999999998</c:v>
                </c:pt>
                <c:pt idx="49">
                  <c:v>2.0099999999999998</c:v>
                </c:pt>
                <c:pt idx="50">
                  <c:v>2.0299999999999998</c:v>
                </c:pt>
                <c:pt idx="51">
                  <c:v>2.02</c:v>
                </c:pt>
                <c:pt idx="52">
                  <c:v>2.19</c:v>
                </c:pt>
                <c:pt idx="53">
                  <c:v>2.17</c:v>
                </c:pt>
                <c:pt idx="54">
                  <c:v>2.16</c:v>
                </c:pt>
                <c:pt idx="55">
                  <c:v>2.14</c:v>
                </c:pt>
                <c:pt idx="56">
                  <c:v>2.14</c:v>
                </c:pt>
                <c:pt idx="57">
                  <c:v>2.17</c:v>
                </c:pt>
                <c:pt idx="58">
                  <c:v>2.1800000000000002</c:v>
                </c:pt>
                <c:pt idx="59">
                  <c:v>2.1800000000000002</c:v>
                </c:pt>
                <c:pt idx="60">
                  <c:v>2.17</c:v>
                </c:pt>
                <c:pt idx="61">
                  <c:v>2.34</c:v>
                </c:pt>
                <c:pt idx="62">
                  <c:v>2</c:v>
                </c:pt>
                <c:pt idx="63">
                  <c:v>0.97</c:v>
                </c:pt>
                <c:pt idx="64">
                  <c:v>0.46</c:v>
                </c:pt>
                <c:pt idx="65">
                  <c:v>0.34</c:v>
                </c:pt>
                <c:pt idx="66">
                  <c:v>0.34</c:v>
                </c:pt>
                <c:pt idx="67">
                  <c:v>0.34</c:v>
                </c:pt>
                <c:pt idx="68">
                  <c:v>0.34</c:v>
                </c:pt>
                <c:pt idx="69">
                  <c:v>0.35</c:v>
                </c:pt>
                <c:pt idx="70">
                  <c:v>0.35</c:v>
                </c:pt>
                <c:pt idx="71">
                  <c:v>0.35</c:v>
                </c:pt>
              </c:numCache>
            </c:numRef>
          </c:val>
          <c:smooth val="0"/>
          <c:extLst>
            <c:ext xmlns:c16="http://schemas.microsoft.com/office/drawing/2014/chart" uri="{C3380CC4-5D6E-409C-BE32-E72D297353CC}">
              <c16:uniqueId val="{00000002-BC76-4E08-8E70-40D6F7F7D36B}"/>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1'!$G$42:$G$113</c:f>
              <c:numCache>
                <c:formatCode>General</c:formatCode>
                <c:ptCount val="72"/>
                <c:pt idx="0">
                  <c:v>0.13</c:v>
                </c:pt>
                <c:pt idx="1">
                  <c:v>0.17</c:v>
                </c:pt>
                <c:pt idx="2">
                  <c:v>0.14000000000000001</c:v>
                </c:pt>
                <c:pt idx="3">
                  <c:v>0.05</c:v>
                </c:pt>
                <c:pt idx="4">
                  <c:v>0.22</c:v>
                </c:pt>
                <c:pt idx="5">
                  <c:v>0.43</c:v>
                </c:pt>
                <c:pt idx="6">
                  <c:v>0.35</c:v>
                </c:pt>
                <c:pt idx="7">
                  <c:v>0.2</c:v>
                </c:pt>
                <c:pt idx="8">
                  <c:v>0.06</c:v>
                </c:pt>
                <c:pt idx="9">
                  <c:v>-0.05</c:v>
                </c:pt>
                <c:pt idx="10">
                  <c:v>-0.05</c:v>
                </c:pt>
                <c:pt idx="11">
                  <c:v>-0.11</c:v>
                </c:pt>
                <c:pt idx="12">
                  <c:v>0.04</c:v>
                </c:pt>
                <c:pt idx="13">
                  <c:v>-0.08</c:v>
                </c:pt>
                <c:pt idx="14">
                  <c:v>-0.1</c:v>
                </c:pt>
                <c:pt idx="15">
                  <c:v>0.04</c:v>
                </c:pt>
                <c:pt idx="16">
                  <c:v>7.0000000000000007E-2</c:v>
                </c:pt>
                <c:pt idx="17">
                  <c:v>0.05</c:v>
                </c:pt>
                <c:pt idx="18">
                  <c:v>-0.02</c:v>
                </c:pt>
                <c:pt idx="19">
                  <c:v>-0.09</c:v>
                </c:pt>
                <c:pt idx="20">
                  <c:v>-0.19</c:v>
                </c:pt>
                <c:pt idx="21">
                  <c:v>-0.17</c:v>
                </c:pt>
                <c:pt idx="22">
                  <c:v>-0.17</c:v>
                </c:pt>
                <c:pt idx="23">
                  <c:v>-0.21</c:v>
                </c:pt>
                <c:pt idx="24">
                  <c:v>-0.22</c:v>
                </c:pt>
                <c:pt idx="25">
                  <c:v>0.09</c:v>
                </c:pt>
                <c:pt idx="26">
                  <c:v>0.1</c:v>
                </c:pt>
                <c:pt idx="27">
                  <c:v>0.16</c:v>
                </c:pt>
                <c:pt idx="28">
                  <c:v>0.04</c:v>
                </c:pt>
                <c:pt idx="29">
                  <c:v>-0.03</c:v>
                </c:pt>
                <c:pt idx="30">
                  <c:v>0.14000000000000001</c:v>
                </c:pt>
                <c:pt idx="31">
                  <c:v>0.09</c:v>
                </c:pt>
                <c:pt idx="32">
                  <c:v>0.1</c:v>
                </c:pt>
                <c:pt idx="33">
                  <c:v>0.63</c:v>
                </c:pt>
                <c:pt idx="34">
                  <c:v>0.87</c:v>
                </c:pt>
                <c:pt idx="35">
                  <c:v>0.68</c:v>
                </c:pt>
                <c:pt idx="36">
                  <c:v>0.99</c:v>
                </c:pt>
                <c:pt idx="37">
                  <c:v>1.07</c:v>
                </c:pt>
                <c:pt idx="38">
                  <c:v>1.0900000000000001</c:v>
                </c:pt>
                <c:pt idx="39">
                  <c:v>1.05</c:v>
                </c:pt>
                <c:pt idx="40">
                  <c:v>1.21</c:v>
                </c:pt>
                <c:pt idx="41">
                  <c:v>1.41</c:v>
                </c:pt>
                <c:pt idx="42">
                  <c:v>1.44</c:v>
                </c:pt>
                <c:pt idx="43">
                  <c:v>1.55</c:v>
                </c:pt>
                <c:pt idx="44">
                  <c:v>1.7</c:v>
                </c:pt>
                <c:pt idx="45">
                  <c:v>1.81</c:v>
                </c:pt>
                <c:pt idx="46">
                  <c:v>1.79</c:v>
                </c:pt>
                <c:pt idx="47">
                  <c:v>1.71</c:v>
                </c:pt>
                <c:pt idx="48">
                  <c:v>1.6</c:v>
                </c:pt>
                <c:pt idx="49">
                  <c:v>1.61</c:v>
                </c:pt>
                <c:pt idx="50">
                  <c:v>1.7</c:v>
                </c:pt>
                <c:pt idx="51">
                  <c:v>1.63</c:v>
                </c:pt>
                <c:pt idx="52">
                  <c:v>1.57</c:v>
                </c:pt>
                <c:pt idx="53">
                  <c:v>1.43</c:v>
                </c:pt>
                <c:pt idx="54">
                  <c:v>1.31</c:v>
                </c:pt>
                <c:pt idx="55">
                  <c:v>0.89</c:v>
                </c:pt>
                <c:pt idx="56">
                  <c:v>1.1299999999999999</c:v>
                </c:pt>
                <c:pt idx="57">
                  <c:v>1.23</c:v>
                </c:pt>
                <c:pt idx="58">
                  <c:v>1.32</c:v>
                </c:pt>
                <c:pt idx="59">
                  <c:v>1.31</c:v>
                </c:pt>
                <c:pt idx="60">
                  <c:v>1.51</c:v>
                </c:pt>
                <c:pt idx="61">
                  <c:v>1.52</c:v>
                </c:pt>
                <c:pt idx="62">
                  <c:v>1.23</c:v>
                </c:pt>
                <c:pt idx="63">
                  <c:v>1.06</c:v>
                </c:pt>
                <c:pt idx="64">
                  <c:v>0.56999999999999995</c:v>
                </c:pt>
                <c:pt idx="65">
                  <c:v>0.52</c:v>
                </c:pt>
                <c:pt idx="66">
                  <c:v>0.52</c:v>
                </c:pt>
                <c:pt idx="67">
                  <c:v>0.57999999999999996</c:v>
                </c:pt>
                <c:pt idx="68">
                  <c:v>0.57999999999999996</c:v>
                </c:pt>
                <c:pt idx="69">
                  <c:v>0.54</c:v>
                </c:pt>
                <c:pt idx="70">
                  <c:v>0.66</c:v>
                </c:pt>
                <c:pt idx="71">
                  <c:v>0.8</c:v>
                </c:pt>
              </c:numCache>
            </c:numRef>
          </c:val>
          <c:smooth val="0"/>
          <c:extLst>
            <c:ext xmlns:c16="http://schemas.microsoft.com/office/drawing/2014/chart" uri="{C3380CC4-5D6E-409C-BE32-E72D297353CC}">
              <c16:uniqueId val="{00000003-BC76-4E08-8E70-40D6F7F7D36B}"/>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1'!$E$42:$E$113</c:f>
              <c:numCache>
                <c:formatCode>General</c:formatCode>
                <c:ptCount val="72"/>
                <c:pt idx="0">
                  <c:v>0.51</c:v>
                </c:pt>
                <c:pt idx="1">
                  <c:v>0.51</c:v>
                </c:pt>
                <c:pt idx="2">
                  <c:v>0.49</c:v>
                </c:pt>
                <c:pt idx="3">
                  <c:v>0.48</c:v>
                </c:pt>
                <c:pt idx="4">
                  <c:v>0.48</c:v>
                </c:pt>
                <c:pt idx="5">
                  <c:v>0.48</c:v>
                </c:pt>
                <c:pt idx="6">
                  <c:v>0.48</c:v>
                </c:pt>
                <c:pt idx="7">
                  <c:v>0.48</c:v>
                </c:pt>
                <c:pt idx="8">
                  <c:v>0.47</c:v>
                </c:pt>
                <c:pt idx="9">
                  <c:v>0.46</c:v>
                </c:pt>
                <c:pt idx="10">
                  <c:v>0.46</c:v>
                </c:pt>
                <c:pt idx="11">
                  <c:v>0.46</c:v>
                </c:pt>
                <c:pt idx="12">
                  <c:v>0.45</c:v>
                </c:pt>
                <c:pt idx="13">
                  <c:v>0.45</c:v>
                </c:pt>
                <c:pt idx="14">
                  <c:v>0.45</c:v>
                </c:pt>
                <c:pt idx="15">
                  <c:v>0.45</c:v>
                </c:pt>
                <c:pt idx="16">
                  <c:v>0.45</c:v>
                </c:pt>
                <c:pt idx="17">
                  <c:v>0.45</c:v>
                </c:pt>
                <c:pt idx="18">
                  <c:v>0.45</c:v>
                </c:pt>
                <c:pt idx="19">
                  <c:v>0.45</c:v>
                </c:pt>
                <c:pt idx="20">
                  <c:v>0.45</c:v>
                </c:pt>
                <c:pt idx="21">
                  <c:v>0.45</c:v>
                </c:pt>
                <c:pt idx="22">
                  <c:v>0.45</c:v>
                </c:pt>
                <c:pt idx="23">
                  <c:v>0.45</c:v>
                </c:pt>
                <c:pt idx="24">
                  <c:v>0.44</c:v>
                </c:pt>
                <c:pt idx="25">
                  <c:v>0.44</c:v>
                </c:pt>
                <c:pt idx="26">
                  <c:v>0.44</c:v>
                </c:pt>
                <c:pt idx="27">
                  <c:v>0.45</c:v>
                </c:pt>
                <c:pt idx="28">
                  <c:v>0.46</c:v>
                </c:pt>
                <c:pt idx="29">
                  <c:v>0.46</c:v>
                </c:pt>
                <c:pt idx="30">
                  <c:v>0.47</c:v>
                </c:pt>
                <c:pt idx="31">
                  <c:v>0.6</c:v>
                </c:pt>
                <c:pt idx="32">
                  <c:v>0.64</c:v>
                </c:pt>
                <c:pt idx="33">
                  <c:v>0.69</c:v>
                </c:pt>
                <c:pt idx="34">
                  <c:v>0.91</c:v>
                </c:pt>
                <c:pt idx="35">
                  <c:v>0.96</c:v>
                </c:pt>
                <c:pt idx="36">
                  <c:v>0.98</c:v>
                </c:pt>
                <c:pt idx="37">
                  <c:v>1.1100000000000001</c:v>
                </c:pt>
                <c:pt idx="38">
                  <c:v>1.1200000000000001</c:v>
                </c:pt>
                <c:pt idx="39">
                  <c:v>1.1200000000000001</c:v>
                </c:pt>
                <c:pt idx="40">
                  <c:v>1.1200000000000001</c:v>
                </c:pt>
                <c:pt idx="41">
                  <c:v>1.1499999999999999</c:v>
                </c:pt>
                <c:pt idx="42">
                  <c:v>1.39</c:v>
                </c:pt>
                <c:pt idx="43">
                  <c:v>1.67</c:v>
                </c:pt>
                <c:pt idx="44">
                  <c:v>1.79</c:v>
                </c:pt>
                <c:pt idx="45">
                  <c:v>1.95</c:v>
                </c:pt>
                <c:pt idx="46">
                  <c:v>2.1800000000000002</c:v>
                </c:pt>
                <c:pt idx="47">
                  <c:v>2.21</c:v>
                </c:pt>
                <c:pt idx="48">
                  <c:v>2.21</c:v>
                </c:pt>
                <c:pt idx="49">
                  <c:v>2.2000000000000002</c:v>
                </c:pt>
                <c:pt idx="50">
                  <c:v>2.2000000000000002</c:v>
                </c:pt>
                <c:pt idx="51">
                  <c:v>2.21</c:v>
                </c:pt>
                <c:pt idx="52">
                  <c:v>2.3199999999999998</c:v>
                </c:pt>
                <c:pt idx="53">
                  <c:v>2.29</c:v>
                </c:pt>
                <c:pt idx="54">
                  <c:v>2.2799999999999998</c:v>
                </c:pt>
                <c:pt idx="55">
                  <c:v>2.2200000000000002</c:v>
                </c:pt>
                <c:pt idx="56">
                  <c:v>2.2000000000000002</c:v>
                </c:pt>
                <c:pt idx="57">
                  <c:v>2.2799999999999998</c:v>
                </c:pt>
                <c:pt idx="58">
                  <c:v>2.2799999999999998</c:v>
                </c:pt>
                <c:pt idx="59">
                  <c:v>2.27</c:v>
                </c:pt>
                <c:pt idx="60">
                  <c:v>2.27</c:v>
                </c:pt>
                <c:pt idx="61">
                  <c:v>2.42</c:v>
                </c:pt>
                <c:pt idx="62">
                  <c:v>2.0099999999999998</c:v>
                </c:pt>
                <c:pt idx="63">
                  <c:v>0.92</c:v>
                </c:pt>
                <c:pt idx="64">
                  <c:v>0.51</c:v>
                </c:pt>
                <c:pt idx="65">
                  <c:v>0.43</c:v>
                </c:pt>
                <c:pt idx="66">
                  <c:v>0.43</c:v>
                </c:pt>
                <c:pt idx="67">
                  <c:v>0.43</c:v>
                </c:pt>
                <c:pt idx="68">
                  <c:v>0.44</c:v>
                </c:pt>
                <c:pt idx="69">
                  <c:v>0.43</c:v>
                </c:pt>
                <c:pt idx="70">
                  <c:v>0.44</c:v>
                </c:pt>
                <c:pt idx="71">
                  <c:v>0.49</c:v>
                </c:pt>
              </c:numCache>
            </c:numRef>
          </c:val>
          <c:smooth val="0"/>
          <c:extLst>
            <c:ext xmlns:c16="http://schemas.microsoft.com/office/drawing/2014/chart" uri="{C3380CC4-5D6E-409C-BE32-E72D297353CC}">
              <c16:uniqueId val="{00000004-BC76-4E08-8E70-40D6F7F7D36B}"/>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1'!$A$42:$B$113</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'Měnové podmínky 1'!$H$42:$H$113</c:f>
              <c:numCache>
                <c:formatCode>General</c:formatCode>
                <c:ptCount val="72"/>
                <c:pt idx="0">
                  <c:v>0.35</c:v>
                </c:pt>
                <c:pt idx="1">
                  <c:v>0.4</c:v>
                </c:pt>
                <c:pt idx="2">
                  <c:v>0.35</c:v>
                </c:pt>
                <c:pt idx="3">
                  <c:v>0.26</c:v>
                </c:pt>
                <c:pt idx="4">
                  <c:v>0.6</c:v>
                </c:pt>
                <c:pt idx="5">
                  <c:v>1.01</c:v>
                </c:pt>
                <c:pt idx="6">
                  <c:v>0.97</c:v>
                </c:pt>
                <c:pt idx="7">
                  <c:v>0.74</c:v>
                </c:pt>
                <c:pt idx="8">
                  <c:v>0.68</c:v>
                </c:pt>
                <c:pt idx="9">
                  <c:v>0.56000000000000005</c:v>
                </c:pt>
                <c:pt idx="10">
                  <c:v>0.49</c:v>
                </c:pt>
                <c:pt idx="11">
                  <c:v>0.49</c:v>
                </c:pt>
                <c:pt idx="12">
                  <c:v>0.62</c:v>
                </c:pt>
                <c:pt idx="13">
                  <c:v>0.46</c:v>
                </c:pt>
                <c:pt idx="14">
                  <c:v>0.35</c:v>
                </c:pt>
                <c:pt idx="15">
                  <c:v>0.43</c:v>
                </c:pt>
                <c:pt idx="16">
                  <c:v>0.46</c:v>
                </c:pt>
                <c:pt idx="17">
                  <c:v>0.45</c:v>
                </c:pt>
                <c:pt idx="18">
                  <c:v>0.37</c:v>
                </c:pt>
                <c:pt idx="19">
                  <c:v>0.28999999999999998</c:v>
                </c:pt>
                <c:pt idx="20">
                  <c:v>0.25</c:v>
                </c:pt>
                <c:pt idx="21">
                  <c:v>0.37</c:v>
                </c:pt>
                <c:pt idx="22">
                  <c:v>0.55000000000000004</c:v>
                </c:pt>
                <c:pt idx="23">
                  <c:v>0.53</c:v>
                </c:pt>
                <c:pt idx="24">
                  <c:v>0.47</c:v>
                </c:pt>
                <c:pt idx="25">
                  <c:v>0.63</c:v>
                </c:pt>
                <c:pt idx="26">
                  <c:v>0.87</c:v>
                </c:pt>
                <c:pt idx="27">
                  <c:v>0.96</c:v>
                </c:pt>
                <c:pt idx="28">
                  <c:v>0.74</c:v>
                </c:pt>
                <c:pt idx="29">
                  <c:v>0.77</c:v>
                </c:pt>
                <c:pt idx="30">
                  <c:v>0.9</c:v>
                </c:pt>
                <c:pt idx="31">
                  <c:v>0.83</c:v>
                </c:pt>
                <c:pt idx="32">
                  <c:v>0.97</c:v>
                </c:pt>
                <c:pt idx="33">
                  <c:v>1.45</c:v>
                </c:pt>
                <c:pt idx="34">
                  <c:v>1.68</c:v>
                </c:pt>
                <c:pt idx="35">
                  <c:v>1.5</c:v>
                </c:pt>
                <c:pt idx="36">
                  <c:v>1.77</c:v>
                </c:pt>
                <c:pt idx="37">
                  <c:v>1.82</c:v>
                </c:pt>
                <c:pt idx="38">
                  <c:v>1.81</c:v>
                </c:pt>
                <c:pt idx="39">
                  <c:v>1.74</c:v>
                </c:pt>
                <c:pt idx="40">
                  <c:v>1.89</c:v>
                </c:pt>
                <c:pt idx="41">
                  <c:v>2.14</c:v>
                </c:pt>
                <c:pt idx="42">
                  <c:v>2.11</c:v>
                </c:pt>
                <c:pt idx="43">
                  <c:v>2.14</c:v>
                </c:pt>
                <c:pt idx="44">
                  <c:v>2.14</c:v>
                </c:pt>
                <c:pt idx="45">
                  <c:v>2.14</c:v>
                </c:pt>
                <c:pt idx="46">
                  <c:v>2.0699999999999998</c:v>
                </c:pt>
                <c:pt idx="47">
                  <c:v>2.0099999999999998</c:v>
                </c:pt>
                <c:pt idx="48">
                  <c:v>1.85</c:v>
                </c:pt>
                <c:pt idx="49">
                  <c:v>1.76</c:v>
                </c:pt>
                <c:pt idx="50">
                  <c:v>1.82</c:v>
                </c:pt>
                <c:pt idx="51">
                  <c:v>1.82</c:v>
                </c:pt>
                <c:pt idx="52">
                  <c:v>1.86</c:v>
                </c:pt>
                <c:pt idx="53">
                  <c:v>1.58</c:v>
                </c:pt>
                <c:pt idx="54">
                  <c:v>1.36</c:v>
                </c:pt>
                <c:pt idx="55">
                  <c:v>0.99</c:v>
                </c:pt>
                <c:pt idx="56">
                  <c:v>1.24</c:v>
                </c:pt>
                <c:pt idx="57">
                  <c:v>1.32</c:v>
                </c:pt>
                <c:pt idx="58">
                  <c:v>1.47</c:v>
                </c:pt>
                <c:pt idx="59">
                  <c:v>1.51</c:v>
                </c:pt>
                <c:pt idx="60">
                  <c:v>1.62</c:v>
                </c:pt>
                <c:pt idx="61">
                  <c:v>1.47</c:v>
                </c:pt>
                <c:pt idx="62">
                  <c:v>1.28</c:v>
                </c:pt>
                <c:pt idx="63">
                  <c:v>1.28</c:v>
                </c:pt>
                <c:pt idx="64">
                  <c:v>0.92</c:v>
                </c:pt>
                <c:pt idx="65">
                  <c:v>0.86</c:v>
                </c:pt>
                <c:pt idx="66">
                  <c:v>0.86</c:v>
                </c:pt>
                <c:pt idx="67">
                  <c:v>0.95</c:v>
                </c:pt>
                <c:pt idx="68">
                  <c:v>0.98</c:v>
                </c:pt>
                <c:pt idx="69">
                  <c:v>0.94</c:v>
                </c:pt>
                <c:pt idx="70">
                  <c:v>1.1200000000000001</c:v>
                </c:pt>
                <c:pt idx="71">
                  <c:v>1.26</c:v>
                </c:pt>
              </c:numCache>
            </c:numRef>
          </c:val>
          <c:smooth val="0"/>
          <c:extLst>
            <c:ext xmlns:c16="http://schemas.microsoft.com/office/drawing/2014/chart" uri="{C3380CC4-5D6E-409C-BE32-E72D297353CC}">
              <c16:uniqueId val="{00000005-BC76-4E08-8E70-40D6F7F7D36B}"/>
            </c:ext>
          </c:extLst>
        </c:ser>
        <c:dLbls>
          <c:showLegendKey val="0"/>
          <c:showVal val="0"/>
          <c:showCatName val="0"/>
          <c:showSerName val="0"/>
          <c:showPercent val="0"/>
          <c:showBubbleSize val="0"/>
        </c:dLbls>
        <c:marker val="1"/>
        <c:smooth val="0"/>
        <c:axId val="271742464"/>
        <c:axId val="271744000"/>
      </c:lineChart>
      <c:catAx>
        <c:axId val="271742464"/>
        <c:scaling>
          <c:orientation val="minMax"/>
        </c:scaling>
        <c:delete val="0"/>
        <c:axPos val="b"/>
        <c:numFmt formatCode="General" sourceLinked="0"/>
        <c:majorTickMark val="out"/>
        <c:minorTickMark val="none"/>
        <c:tickLblPos val="low"/>
        <c:spPr>
          <a:ln>
            <a:solidFill>
              <a:schemeClr val="tx1"/>
            </a:solidFill>
          </a:ln>
        </c:spPr>
        <c:crossAx val="271744000"/>
        <c:crosses val="autoZero"/>
        <c:auto val="1"/>
        <c:lblAlgn val="ctr"/>
        <c:lblOffset val="100"/>
        <c:noMultiLvlLbl val="0"/>
      </c:catAx>
      <c:valAx>
        <c:axId val="271744000"/>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742464"/>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942877158265147E-2"/>
          <c:y val="1.7107238390107405E-2"/>
          <c:w val="0.82774936889255546"/>
          <c:h val="0.80775796042812997"/>
        </c:manualLayout>
      </c:layout>
      <c:barChart>
        <c:barDir val="col"/>
        <c:grouping val="clustered"/>
        <c:varyColors val="0"/>
        <c:ser>
          <c:idx val="2"/>
          <c:order val="4"/>
          <c:tx>
            <c:strRef>
              <c:f>'G1-Státní rozpočet-příjmy'!$A$38</c:f>
              <c:strCache>
                <c:ptCount val="1"/>
                <c:pt idx="0">
                  <c:v>Saldo státního rozpočtu (SR, pravá osa)</c:v>
                </c:pt>
              </c:strCache>
            </c:strRef>
          </c:tx>
          <c:spPr>
            <a:solidFill>
              <a:schemeClr val="bg1">
                <a:lumMod val="65000"/>
              </a:schemeClr>
            </a:solidFill>
            <a:ln w="28575">
              <a:noFill/>
            </a:ln>
          </c:spPr>
          <c:invertIfNegative val="0"/>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rozpočet-příjmy'!$B$38:$Q$38</c:f>
              <c:numCache>
                <c:formatCode>0.0</c:formatCode>
                <c:ptCount val="16"/>
                <c:pt idx="0">
                  <c:v>-56.36</c:v>
                </c:pt>
                <c:pt idx="1">
                  <c:v>-97.3</c:v>
                </c:pt>
                <c:pt idx="2">
                  <c:v>-66.391999999999996</c:v>
                </c:pt>
                <c:pt idx="3">
                  <c:v>-20.003</c:v>
                </c:pt>
                <c:pt idx="4">
                  <c:v>-192.39400000000001</c:v>
                </c:pt>
                <c:pt idx="5">
                  <c:v>-156.416</c:v>
                </c:pt>
                <c:pt idx="6">
                  <c:v>-142.77099999999999</c:v>
                </c:pt>
                <c:pt idx="7">
                  <c:v>-101</c:v>
                </c:pt>
                <c:pt idx="8">
                  <c:v>-81.263999999999996</c:v>
                </c:pt>
                <c:pt idx="9">
                  <c:v>-77.78</c:v>
                </c:pt>
                <c:pt idx="10">
                  <c:v>-62.8</c:v>
                </c:pt>
                <c:pt idx="11">
                  <c:v>61.77</c:v>
                </c:pt>
                <c:pt idx="12">
                  <c:v>-6.15</c:v>
                </c:pt>
                <c:pt idx="13">
                  <c:v>2.94</c:v>
                </c:pt>
                <c:pt idx="14">
                  <c:v>-28.52</c:v>
                </c:pt>
                <c:pt idx="15">
                  <c:v>-367.44914888590029</c:v>
                </c:pt>
              </c:numCache>
            </c:numRef>
          </c:val>
          <c:extLst>
            <c:ext xmlns:c16="http://schemas.microsoft.com/office/drawing/2014/chart" uri="{C3380CC4-5D6E-409C-BE32-E72D297353CC}">
              <c16:uniqueId val="{00000000-B25E-4744-B6B3-08292FA0E2D4}"/>
            </c:ext>
          </c:extLst>
        </c:ser>
        <c:ser>
          <c:idx val="5"/>
          <c:order val="5"/>
          <c:tx>
            <c:strRef>
              <c:f>'G1-Státní rozpočet-příjmy'!$A$39</c:f>
              <c:strCache>
                <c:ptCount val="1"/>
                <c:pt idx="0">
                  <c:v>Saldo SR očišť. o vliv EU a FM* (pr. osa)</c:v>
                </c:pt>
              </c:strCache>
            </c:strRef>
          </c:tx>
          <c:spPr>
            <a:solidFill>
              <a:schemeClr val="bg1">
                <a:lumMod val="85000"/>
              </a:schemeClr>
            </a:solidFill>
            <a:ln w="28575">
              <a:noFill/>
            </a:ln>
          </c:spPr>
          <c:invertIfNegative val="0"/>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rozpočet-příjmy'!$B$39:$Q$39</c:f>
              <c:numCache>
                <c:formatCode>General</c:formatCode>
                <c:ptCount val="16"/>
                <c:pt idx="8" formatCode="#\ ##0.0">
                  <c:v>-81.7</c:v>
                </c:pt>
                <c:pt idx="9" formatCode="#\ ##0.0">
                  <c:v>-64.099999999999994</c:v>
                </c:pt>
                <c:pt idx="10" formatCode="#\ ##0.0">
                  <c:v>-41.7</c:v>
                </c:pt>
                <c:pt idx="11" formatCode="#\ ##0.0">
                  <c:v>-13.6</c:v>
                </c:pt>
                <c:pt idx="12" formatCode="#\ ##0.0">
                  <c:v>-1.3</c:v>
                </c:pt>
                <c:pt idx="13" formatCode="#\ ##0.0">
                  <c:v>-3.5</c:v>
                </c:pt>
                <c:pt idx="14" formatCode="#\ ##0.0">
                  <c:v>-29.2</c:v>
                </c:pt>
                <c:pt idx="15" formatCode="#\ ##0.0">
                  <c:v>-363.7</c:v>
                </c:pt>
              </c:numCache>
            </c:numRef>
          </c:val>
          <c:extLst>
            <c:ext xmlns:c16="http://schemas.microsoft.com/office/drawing/2014/chart" uri="{C3380CC4-5D6E-409C-BE32-E72D297353CC}">
              <c16:uniqueId val="{00000001-B25E-4744-B6B3-08292FA0E2D4}"/>
            </c:ext>
          </c:extLst>
        </c:ser>
        <c:dLbls>
          <c:showLegendKey val="0"/>
          <c:showVal val="0"/>
          <c:showCatName val="0"/>
          <c:showSerName val="0"/>
          <c:showPercent val="0"/>
          <c:showBubbleSize val="0"/>
        </c:dLbls>
        <c:gapWidth val="65"/>
        <c:axId val="486345536"/>
        <c:axId val="486350944"/>
      </c:barChart>
      <c:lineChart>
        <c:grouping val="standard"/>
        <c:varyColors val="0"/>
        <c:ser>
          <c:idx val="0"/>
          <c:order val="0"/>
          <c:tx>
            <c:strRef>
              <c:f>'G1-Státní rozpočet-příjmy'!$A$34</c:f>
              <c:strCache>
                <c:ptCount val="1"/>
                <c:pt idx="0">
                  <c:v>DPH</c:v>
                </c:pt>
              </c:strCache>
            </c:strRef>
          </c:tx>
          <c:spPr>
            <a:ln w="19050">
              <a:solidFill>
                <a:srgbClr val="C00000"/>
              </a:solidFill>
            </a:ln>
          </c:spPr>
          <c:marker>
            <c:symbol val="none"/>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rozpočet-příjmy'!$B$34:$Q$34</c:f>
              <c:numCache>
                <c:formatCode>0.0</c:formatCode>
                <c:ptCount val="16"/>
                <c:pt idx="0">
                  <c:v>13.155608643718097</c:v>
                </c:pt>
                <c:pt idx="1">
                  <c:v>4.4959454920589224</c:v>
                </c:pt>
                <c:pt idx="2">
                  <c:v>8.540729176232901</c:v>
                </c:pt>
                <c:pt idx="3">
                  <c:v>7.9575260174295579</c:v>
                </c:pt>
                <c:pt idx="4">
                  <c:v>-0.61914651828048761</c:v>
                </c:pt>
                <c:pt idx="5">
                  <c:v>6.2852411182524435</c:v>
                </c:pt>
                <c:pt idx="6">
                  <c:v>2.1665739194954341</c:v>
                </c:pt>
                <c:pt idx="7">
                  <c:v>1.0312647518065461</c:v>
                </c:pt>
                <c:pt idx="8">
                  <c:v>10.865111598317938</c:v>
                </c:pt>
                <c:pt idx="9">
                  <c:v>4.674836283472743</c:v>
                </c:pt>
                <c:pt idx="10">
                  <c:v>2.7750247770069336</c:v>
                </c:pt>
                <c:pt idx="11">
                  <c:v>5.3881388621022381</c:v>
                </c:pt>
                <c:pt idx="12">
                  <c:v>9.138739563079028</c:v>
                </c:pt>
                <c:pt idx="13">
                  <c:v>8.2844267449172122</c:v>
                </c:pt>
                <c:pt idx="14">
                  <c:v>4.4229373336559235</c:v>
                </c:pt>
                <c:pt idx="15">
                  <c:v>-1.1882103979308738</c:v>
                </c:pt>
              </c:numCache>
            </c:numRef>
          </c:val>
          <c:smooth val="0"/>
          <c:extLst>
            <c:ext xmlns:c16="http://schemas.microsoft.com/office/drawing/2014/chart" uri="{C3380CC4-5D6E-409C-BE32-E72D297353CC}">
              <c16:uniqueId val="{00000002-B25E-4744-B6B3-08292FA0E2D4}"/>
            </c:ext>
          </c:extLst>
        </c:ser>
        <c:ser>
          <c:idx val="1"/>
          <c:order val="1"/>
          <c:tx>
            <c:strRef>
              <c:f>'G1-Státní rozpočet-příjmy'!$A$35</c:f>
              <c:strCache>
                <c:ptCount val="1"/>
                <c:pt idx="0">
                  <c:v>Spotřební daně</c:v>
                </c:pt>
              </c:strCache>
            </c:strRef>
          </c:tx>
          <c:spPr>
            <a:ln w="19050">
              <a:solidFill>
                <a:schemeClr val="accent6">
                  <a:lumMod val="75000"/>
                </a:schemeClr>
              </a:solidFill>
              <a:prstDash val="sysDash"/>
            </a:ln>
          </c:spPr>
          <c:marker>
            <c:symbol val="none"/>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rozpočet-příjmy'!$B$35:$Q$35</c:f>
              <c:numCache>
                <c:formatCode>0.0</c:formatCode>
                <c:ptCount val="16"/>
                <c:pt idx="0">
                  <c:v>15.148989372785991</c:v>
                </c:pt>
                <c:pt idx="1">
                  <c:v>8.1704668838219305</c:v>
                </c:pt>
                <c:pt idx="2">
                  <c:v>16.227519866164769</c:v>
                </c:pt>
                <c:pt idx="3">
                  <c:v>-4.2605253688377047</c:v>
                </c:pt>
                <c:pt idx="4">
                  <c:v>-1.4733518755167978</c:v>
                </c:pt>
                <c:pt idx="5">
                  <c:v>5.4932478828107207</c:v>
                </c:pt>
                <c:pt idx="6">
                  <c:v>6.0099804729876354</c:v>
                </c:pt>
                <c:pt idx="7">
                  <c:v>0.13644426251875075</c:v>
                </c:pt>
                <c:pt idx="8">
                  <c:v>-2.2891402098378535</c:v>
                </c:pt>
                <c:pt idx="9">
                  <c:v>-1.4712034583739921</c:v>
                </c:pt>
                <c:pt idx="10">
                  <c:v>6.5034321704055031</c:v>
                </c:pt>
                <c:pt idx="11">
                  <c:v>5.1362126245847008</c:v>
                </c:pt>
                <c:pt idx="12">
                  <c:v>2.9071604626177248</c:v>
                </c:pt>
                <c:pt idx="13">
                  <c:v>2.8495977399742003</c:v>
                </c:pt>
                <c:pt idx="14">
                  <c:v>-0.19705021794949573</c:v>
                </c:pt>
                <c:pt idx="15">
                  <c:v>-2.7815291742491297</c:v>
                </c:pt>
              </c:numCache>
            </c:numRef>
          </c:val>
          <c:smooth val="0"/>
          <c:extLst>
            <c:ext xmlns:c16="http://schemas.microsoft.com/office/drawing/2014/chart" uri="{C3380CC4-5D6E-409C-BE32-E72D297353CC}">
              <c16:uniqueId val="{00000003-B25E-4744-B6B3-08292FA0E2D4}"/>
            </c:ext>
          </c:extLst>
        </c:ser>
        <c:ser>
          <c:idx val="3"/>
          <c:order val="2"/>
          <c:tx>
            <c:strRef>
              <c:f>'G1-Státní rozpočet-příjmy'!$A$36</c:f>
              <c:strCache>
                <c:ptCount val="1"/>
                <c:pt idx="0">
                  <c:v>Daně z příjmů (DPFO) ze závislé činnosti</c:v>
                </c:pt>
              </c:strCache>
            </c:strRef>
          </c:tx>
          <c:spPr>
            <a:ln w="19050">
              <a:solidFill>
                <a:srgbClr val="0071BC"/>
              </a:solidFill>
              <a:prstDash val="sysDot"/>
            </a:ln>
          </c:spPr>
          <c:marker>
            <c:symbol val="diamond"/>
            <c:size val="5"/>
            <c:spPr>
              <a:solidFill>
                <a:schemeClr val="bg1"/>
              </a:solidFill>
              <a:ln>
                <a:solidFill>
                  <a:srgbClr val="0071BC"/>
                </a:solidFill>
              </a:ln>
            </c:spPr>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rozpočet-příjmy'!$B$36:$Q$36</c:f>
              <c:numCache>
                <c:formatCode>0.0</c:formatCode>
                <c:ptCount val="16"/>
                <c:pt idx="0">
                  <c:v>7.8339666764104123</c:v>
                </c:pt>
                <c:pt idx="1">
                  <c:v>0.86744375169422483</c:v>
                </c:pt>
                <c:pt idx="2">
                  <c:v>13.222252082773451</c:v>
                </c:pt>
                <c:pt idx="3">
                  <c:v>-8.8693725769443859</c:v>
                </c:pt>
                <c:pt idx="4">
                  <c:v>-3.5943740232679318</c:v>
                </c:pt>
                <c:pt idx="5">
                  <c:v>0.72046109510085898</c:v>
                </c:pt>
                <c:pt idx="6">
                  <c:v>6.7328326180257534</c:v>
                </c:pt>
                <c:pt idx="7">
                  <c:v>0.35184719778837348</c:v>
                </c:pt>
                <c:pt idx="8">
                  <c:v>5.2925953752399835</c:v>
                </c:pt>
                <c:pt idx="9">
                  <c:v>3.7580274320145861</c:v>
                </c:pt>
                <c:pt idx="10">
                  <c:v>4.011614579353548</c:v>
                </c:pt>
                <c:pt idx="11">
                  <c:v>9.7487511019688498</c:v>
                </c:pt>
                <c:pt idx="12">
                  <c:v>13.2873686324386</c:v>
                </c:pt>
                <c:pt idx="13">
                  <c:v>14.441030489246032</c:v>
                </c:pt>
                <c:pt idx="14">
                  <c:v>11.673895084675763</c:v>
                </c:pt>
                <c:pt idx="15">
                  <c:v>-5.2524401043645241</c:v>
                </c:pt>
              </c:numCache>
            </c:numRef>
          </c:val>
          <c:smooth val="0"/>
          <c:extLst>
            <c:ext xmlns:c16="http://schemas.microsoft.com/office/drawing/2014/chart" uri="{C3380CC4-5D6E-409C-BE32-E72D297353CC}">
              <c16:uniqueId val="{00000004-B25E-4744-B6B3-08292FA0E2D4}"/>
            </c:ext>
          </c:extLst>
        </c:ser>
        <c:ser>
          <c:idx val="4"/>
          <c:order val="3"/>
          <c:tx>
            <c:strRef>
              <c:f>'G1-Státní rozpočet-příjmy'!$A$37</c:f>
              <c:strCache>
                <c:ptCount val="1"/>
                <c:pt idx="0">
                  <c:v>Daně z příjmů právnických osob (DPPO)</c:v>
                </c:pt>
              </c:strCache>
            </c:strRef>
          </c:tx>
          <c:spPr>
            <a:ln w="19050">
              <a:noFill/>
            </a:ln>
          </c:spPr>
          <c:marker>
            <c:symbol val="circle"/>
            <c:size val="5"/>
            <c:spPr>
              <a:solidFill>
                <a:srgbClr val="00B050"/>
              </a:solidFill>
              <a:ln>
                <a:noFill/>
              </a:ln>
            </c:spPr>
          </c:marker>
          <c:cat>
            <c:numRef>
              <c:f>'G1-Státní rozpočet-příjmy'!$B$33:$Q$33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'G1-Státní rozpočet-příjmy'!$B$37:$Q$37</c:f>
              <c:numCache>
                <c:formatCode>0.0</c:formatCode>
                <c:ptCount val="16"/>
                <c:pt idx="0">
                  <c:v>26.963584434130652</c:v>
                </c:pt>
                <c:pt idx="1">
                  <c:v>-4.7873462214411262</c:v>
                </c:pt>
                <c:pt idx="2">
                  <c:v>20.193443591258116</c:v>
                </c:pt>
                <c:pt idx="3">
                  <c:v>12.113766201855157</c:v>
                </c:pt>
                <c:pt idx="4">
                  <c:v>-34.469344145526264</c:v>
                </c:pt>
                <c:pt idx="5">
                  <c:v>3.5618729096990052</c:v>
                </c:pt>
                <c:pt idx="6">
                  <c:v>-4.6423381236880346</c:v>
                </c:pt>
                <c:pt idx="7">
                  <c:v>8.3735500804335032</c:v>
                </c:pt>
                <c:pt idx="8">
                  <c:v>-5.6875</c:v>
                </c:pt>
                <c:pt idx="9">
                  <c:v>9.6752816434725162</c:v>
                </c:pt>
                <c:pt idx="10">
                  <c:v>11.412386706948624</c:v>
                </c:pt>
                <c:pt idx="11">
                  <c:v>11.667005626737165</c:v>
                </c:pt>
                <c:pt idx="12">
                  <c:v>3.6000485672656595</c:v>
                </c:pt>
                <c:pt idx="13">
                  <c:v>1.9689422795194673</c:v>
                </c:pt>
                <c:pt idx="14">
                  <c:v>5.1089017872536004</c:v>
                </c:pt>
                <c:pt idx="15">
                  <c:v>-12.219312902832144</c:v>
                </c:pt>
              </c:numCache>
            </c:numRef>
          </c:val>
          <c:smooth val="0"/>
          <c:extLst>
            <c:ext xmlns:c16="http://schemas.microsoft.com/office/drawing/2014/chart" uri="{C3380CC4-5D6E-409C-BE32-E72D297353CC}">
              <c16:uniqueId val="{00000005-B25E-4744-B6B3-08292FA0E2D4}"/>
            </c:ext>
          </c:extLst>
        </c:ser>
        <c:dLbls>
          <c:showLegendKey val="0"/>
          <c:showVal val="0"/>
          <c:showCatName val="0"/>
          <c:showSerName val="0"/>
          <c:showPercent val="0"/>
          <c:showBubbleSize val="0"/>
        </c:dLbls>
        <c:marker val="1"/>
        <c:smooth val="0"/>
        <c:axId val="79288576"/>
        <c:axId val="66855296"/>
      </c:lineChart>
      <c:catAx>
        <c:axId val="79288576"/>
        <c:scaling>
          <c:orientation val="minMax"/>
        </c:scaling>
        <c:delete val="0"/>
        <c:axPos val="b"/>
        <c:numFmt formatCode="General" sourceLinked="1"/>
        <c:majorTickMark val="out"/>
        <c:minorTickMark val="none"/>
        <c:tickLblPos val="low"/>
        <c:spPr>
          <a:ln w="6350">
            <a:solidFill>
              <a:schemeClr val="tx1"/>
            </a:solidFill>
          </a:ln>
        </c:spPr>
        <c:crossAx val="66855296"/>
        <c:crosses val="autoZero"/>
        <c:auto val="1"/>
        <c:lblAlgn val="ctr"/>
        <c:lblOffset val="0"/>
        <c:noMultiLvlLbl val="0"/>
      </c:catAx>
      <c:valAx>
        <c:axId val="66855296"/>
        <c:scaling>
          <c:orientation val="minMax"/>
          <c:max val="30"/>
          <c:min val="-4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800" b="1"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800" b="0" i="1" baseline="0">
                    <a:effectLst/>
                  </a:rPr>
                  <a:t>Hlavní druhy příjmů (meziroční změna v</a:t>
                </a:r>
                <a:r>
                  <a:rPr lang="cs-CZ" sz="8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 %</a:t>
                </a:r>
                <a:r>
                  <a:rPr lang="cs-CZ" sz="800" b="0" i="1" baseline="0">
                    <a:effectLst/>
                  </a:rPr>
                  <a:t>)</a:t>
                </a:r>
                <a:endParaRPr lang="cs-CZ" sz="800" i="1">
                  <a:effectLst/>
                </a:endParaRPr>
              </a:p>
            </c:rich>
          </c:tx>
          <c:overlay val="0"/>
        </c:title>
        <c:numFmt formatCode="0" sourceLinked="0"/>
        <c:majorTickMark val="out"/>
        <c:minorTickMark val="none"/>
        <c:tickLblPos val="nextTo"/>
        <c:spPr>
          <a:ln w="6350">
            <a:solidFill>
              <a:schemeClr val="tx1"/>
            </a:solidFill>
          </a:ln>
        </c:spPr>
        <c:crossAx val="79288576"/>
        <c:crosses val="autoZero"/>
        <c:crossBetween val="between"/>
        <c:majorUnit val="5"/>
      </c:valAx>
      <c:valAx>
        <c:axId val="486350944"/>
        <c:scaling>
          <c:orientation val="minMax"/>
          <c:max val="300"/>
          <c:min val="-40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8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800" b="0" i="1">
                    <a:effectLst/>
                  </a:rPr>
                  <a:t>Saldo rozpočtu</a:t>
                </a:r>
                <a:r>
                  <a:rPr lang="cs-CZ" sz="8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 ( </a:t>
                </a:r>
                <a:r>
                  <a:rPr lang="cs-CZ" sz="800" b="0" i="1">
                    <a:effectLst/>
                  </a:rPr>
                  <a:t>mld. korun)</a:t>
                </a:r>
              </a:p>
            </c:rich>
          </c:tx>
          <c:overlay val="0"/>
        </c:title>
        <c:numFmt formatCode="0" sourceLinked="0"/>
        <c:majorTickMark val="out"/>
        <c:minorTickMark val="none"/>
        <c:tickLblPos val="nextTo"/>
        <c:crossAx val="486345536"/>
        <c:crosses val="max"/>
        <c:crossBetween val="between"/>
        <c:majorUnit val="50"/>
      </c:valAx>
      <c:catAx>
        <c:axId val="486345536"/>
        <c:scaling>
          <c:orientation val="minMax"/>
        </c:scaling>
        <c:delete val="1"/>
        <c:axPos val="b"/>
        <c:numFmt formatCode="General" sourceLinked="1"/>
        <c:majorTickMark val="out"/>
        <c:minorTickMark val="none"/>
        <c:tickLblPos val="nextTo"/>
        <c:crossAx val="486350944"/>
        <c:crosses val="autoZero"/>
        <c:auto val="1"/>
        <c:lblAlgn val="ctr"/>
        <c:lblOffset val="100"/>
        <c:noMultiLvlLbl val="0"/>
      </c:catAx>
      <c:spPr>
        <a:ln w="6350">
          <a:solidFill>
            <a:schemeClr val="tx1"/>
          </a:solidFill>
        </a:ln>
      </c:spPr>
    </c:plotArea>
    <c:legend>
      <c:legendPos val="b"/>
      <c:layout>
        <c:manualLayout>
          <c:xMode val="edge"/>
          <c:yMode val="edge"/>
          <c:x val="1.4379190820194001E-2"/>
          <c:y val="0.87964736703817581"/>
          <c:w val="0.96890719035457362"/>
          <c:h val="0.10542251356201496"/>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60484943049881E-2"/>
          <c:y val="1.7112323287741892E-2"/>
          <c:w val="0.82719862375806086"/>
          <c:h val="0.7751075308524743"/>
        </c:manualLayout>
      </c:layout>
      <c:barChart>
        <c:barDir val="col"/>
        <c:grouping val="clustered"/>
        <c:varyColors val="0"/>
        <c:ser>
          <c:idx val="0"/>
          <c:order val="0"/>
          <c:tx>
            <c:strRef>
              <c:f>'G2-Stání rozpočet-výdaje'!$B$31</c:f>
              <c:strCache>
                <c:ptCount val="1"/>
                <c:pt idx="0">
                  <c:v>Běžné výdaje celkem (pravá osa)</c:v>
                </c:pt>
              </c:strCache>
            </c:strRef>
          </c:tx>
          <c:spPr>
            <a:solidFill>
              <a:schemeClr val="bg1">
                <a:lumMod val="85000"/>
              </a:schemeClr>
            </a:solidFill>
            <a:ln>
              <a:noFill/>
            </a:ln>
          </c:spPr>
          <c:invertIfNegative val="0"/>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rozpočet-výdaje'!$B$32:$B$47</c:f>
              <c:numCache>
                <c:formatCode>0.0</c:formatCode>
                <c:ptCount val="16"/>
                <c:pt idx="0">
                  <c:v>840.86</c:v>
                </c:pt>
                <c:pt idx="1">
                  <c:v>912.08</c:v>
                </c:pt>
                <c:pt idx="2">
                  <c:v>973.85</c:v>
                </c:pt>
                <c:pt idx="3">
                  <c:v>975.86</c:v>
                </c:pt>
                <c:pt idx="4">
                  <c:v>1032.78</c:v>
                </c:pt>
                <c:pt idx="5">
                  <c:v>1021.89</c:v>
                </c:pt>
                <c:pt idx="6">
                  <c:v>1031.83</c:v>
                </c:pt>
                <c:pt idx="7">
                  <c:v>1038.76</c:v>
                </c:pt>
                <c:pt idx="8">
                  <c:v>1070.8130000000001</c:v>
                </c:pt>
                <c:pt idx="9">
                  <c:v>1100.1020000000001</c:v>
                </c:pt>
                <c:pt idx="10">
                  <c:v>1121.6600000000001</c:v>
                </c:pt>
                <c:pt idx="11">
                  <c:v>1135.57</c:v>
                </c:pt>
                <c:pt idx="12">
                  <c:v>1198.05</c:v>
                </c:pt>
                <c:pt idx="13">
                  <c:v>1284.5</c:v>
                </c:pt>
                <c:pt idx="14">
                  <c:v>1412.5989294339895</c:v>
                </c:pt>
                <c:pt idx="15">
                  <c:v>1670.2422474235602</c:v>
                </c:pt>
              </c:numCache>
            </c:numRef>
          </c:val>
          <c:extLst>
            <c:ext xmlns:c16="http://schemas.microsoft.com/office/drawing/2014/chart" uri="{C3380CC4-5D6E-409C-BE32-E72D297353CC}">
              <c16:uniqueId val="{00000000-1715-4470-84DE-4CFD5C496B8B}"/>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'G2-Stání rozpočet-výdaje'!$C$31</c:f>
              <c:strCache>
                <c:ptCount val="1"/>
                <c:pt idx="0">
                  <c:v>Platy státních zaměstnanců*</c:v>
                </c:pt>
              </c:strCache>
            </c:strRef>
          </c:tx>
          <c:spPr>
            <a:ln w="15875">
              <a:solidFill>
                <a:srgbClr val="984807"/>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rozpočet-výdaje'!$C$32:$C$47</c:f>
              <c:numCache>
                <c:formatCode>0.0</c:formatCode>
                <c:ptCount val="16"/>
                <c:pt idx="0">
                  <c:v>88.07</c:v>
                </c:pt>
                <c:pt idx="1">
                  <c:v>89.99</c:v>
                </c:pt>
                <c:pt idx="2">
                  <c:v>95.76</c:v>
                </c:pt>
                <c:pt idx="3">
                  <c:v>97.33</c:v>
                </c:pt>
                <c:pt idx="4">
                  <c:v>100.19</c:v>
                </c:pt>
                <c:pt idx="5">
                  <c:v>97.67</c:v>
                </c:pt>
                <c:pt idx="6">
                  <c:v>89.6</c:v>
                </c:pt>
                <c:pt idx="7">
                  <c:v>90.45</c:v>
                </c:pt>
                <c:pt idx="8">
                  <c:v>92.375</c:v>
                </c:pt>
                <c:pt idx="9">
                  <c:v>96.582999999999998</c:v>
                </c:pt>
                <c:pt idx="10">
                  <c:v>104.19</c:v>
                </c:pt>
                <c:pt idx="11">
                  <c:v>109.86</c:v>
                </c:pt>
                <c:pt idx="12">
                  <c:v>120.08</c:v>
                </c:pt>
                <c:pt idx="13">
                  <c:v>133.9</c:v>
                </c:pt>
                <c:pt idx="14">
                  <c:v>143.72754730148006</c:v>
                </c:pt>
                <c:pt idx="15">
                  <c:v>150.14703694872</c:v>
                </c:pt>
              </c:numCache>
            </c:numRef>
          </c:val>
          <c:smooth val="0"/>
          <c:extLst>
            <c:ext xmlns:c16="http://schemas.microsoft.com/office/drawing/2014/chart" uri="{C3380CC4-5D6E-409C-BE32-E72D297353CC}">
              <c16:uniqueId val="{00000001-1715-4470-84DE-4CFD5C496B8B}"/>
            </c:ext>
          </c:extLst>
        </c:ser>
        <c:ser>
          <c:idx val="6"/>
          <c:order val="2"/>
          <c:tx>
            <c:strRef>
              <c:f>'G2-Stání rozpočet-výdaje'!$D$31</c:f>
              <c:strCache>
                <c:ptCount val="1"/>
                <c:pt idx="0">
                  <c:v>Podpora v nezaměstnanosti</c:v>
                </c:pt>
              </c:strCache>
            </c:strRef>
          </c:tx>
          <c:spPr>
            <a:ln w="15875">
              <a:solidFill>
                <a:srgbClr val="0070C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rozpočet-výdaje'!$D$32:$D$47</c:f>
              <c:numCache>
                <c:formatCode>0.0</c:formatCode>
                <c:ptCount val="16"/>
                <c:pt idx="0">
                  <c:v>7.11</c:v>
                </c:pt>
                <c:pt idx="1">
                  <c:v>7.36</c:v>
                </c:pt>
                <c:pt idx="2">
                  <c:v>7.24</c:v>
                </c:pt>
                <c:pt idx="3">
                  <c:v>7.11</c:v>
                </c:pt>
                <c:pt idx="4">
                  <c:v>15.077999999999999</c:v>
                </c:pt>
                <c:pt idx="5">
                  <c:v>13.355</c:v>
                </c:pt>
                <c:pt idx="6">
                  <c:v>10.349</c:v>
                </c:pt>
                <c:pt idx="7">
                  <c:v>8.76</c:v>
                </c:pt>
                <c:pt idx="8">
                  <c:v>9.65</c:v>
                </c:pt>
                <c:pt idx="9">
                  <c:v>9.2620000000000005</c:v>
                </c:pt>
                <c:pt idx="10">
                  <c:v>8.2759999999999998</c:v>
                </c:pt>
                <c:pt idx="11">
                  <c:v>8.2200000000000006</c:v>
                </c:pt>
                <c:pt idx="12">
                  <c:v>7.82</c:v>
                </c:pt>
                <c:pt idx="13">
                  <c:v>7.51</c:v>
                </c:pt>
                <c:pt idx="14">
                  <c:v>8.1136251569399995</c:v>
                </c:pt>
                <c:pt idx="15">
                  <c:v>10.51943784599</c:v>
                </c:pt>
              </c:numCache>
            </c:numRef>
          </c:val>
          <c:smooth val="0"/>
          <c:extLst>
            <c:ext xmlns:c16="http://schemas.microsoft.com/office/drawing/2014/chart" uri="{C3380CC4-5D6E-409C-BE32-E72D297353CC}">
              <c16:uniqueId val="{00000002-1715-4470-84DE-4CFD5C496B8B}"/>
            </c:ext>
          </c:extLst>
        </c:ser>
        <c:ser>
          <c:idx val="7"/>
          <c:order val="3"/>
          <c:tx>
            <c:strRef>
              <c:f>'G2-Stání rozpočet-výdaje'!$E$31</c:f>
              <c:strCache>
                <c:ptCount val="1"/>
                <c:pt idx="0">
                  <c:v>Státní sociální podpora**</c:v>
                </c:pt>
              </c:strCache>
            </c:strRef>
          </c:tx>
          <c:spPr>
            <a:ln w="15875">
              <a:solidFill>
                <a:srgbClr val="00B05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rozpočet-výdaje'!$E$32:$E$47</c:f>
              <c:numCache>
                <c:formatCode>0.0</c:formatCode>
                <c:ptCount val="16"/>
                <c:pt idx="0">
                  <c:v>33.14</c:v>
                </c:pt>
                <c:pt idx="1">
                  <c:v>34.35</c:v>
                </c:pt>
                <c:pt idx="2">
                  <c:v>49.47</c:v>
                </c:pt>
                <c:pt idx="3">
                  <c:v>41.97</c:v>
                </c:pt>
                <c:pt idx="4">
                  <c:v>41.167999999999999</c:v>
                </c:pt>
                <c:pt idx="5">
                  <c:v>40.881</c:v>
                </c:pt>
                <c:pt idx="6">
                  <c:v>36.094000000000001</c:v>
                </c:pt>
                <c:pt idx="7">
                  <c:v>35.554000000000002</c:v>
                </c:pt>
                <c:pt idx="8">
                  <c:v>37.423000000000002</c:v>
                </c:pt>
                <c:pt idx="9">
                  <c:v>37.543999999999997</c:v>
                </c:pt>
                <c:pt idx="10">
                  <c:v>37.65</c:v>
                </c:pt>
                <c:pt idx="11">
                  <c:v>37.78</c:v>
                </c:pt>
                <c:pt idx="12">
                  <c:v>37.22</c:v>
                </c:pt>
                <c:pt idx="13">
                  <c:v>39.22</c:v>
                </c:pt>
                <c:pt idx="14">
                  <c:v>37.87859106618</c:v>
                </c:pt>
                <c:pt idx="15">
                  <c:v>51.69938713877</c:v>
                </c:pt>
              </c:numCache>
            </c:numRef>
          </c:val>
          <c:smooth val="0"/>
          <c:extLst>
            <c:ext xmlns:c16="http://schemas.microsoft.com/office/drawing/2014/chart" uri="{C3380CC4-5D6E-409C-BE32-E72D297353CC}">
              <c16:uniqueId val="{00000003-1715-4470-84DE-4CFD5C496B8B}"/>
            </c:ext>
          </c:extLst>
        </c:ser>
        <c:ser>
          <c:idx val="2"/>
          <c:order val="4"/>
          <c:tx>
            <c:strRef>
              <c:f>'G2-Stání rozpočet-výdaje'!$F$31</c:f>
              <c:strCache>
                <c:ptCount val="1"/>
                <c:pt idx="0">
                  <c:v>Dávky nemocenského pojištění</c:v>
                </c:pt>
              </c:strCache>
            </c:strRef>
          </c:tx>
          <c:spPr>
            <a:ln w="15875">
              <a:solidFill>
                <a:srgbClr val="00B0F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rozpočet-výdaje'!$F$32:$F$47</c:f>
              <c:numCache>
                <c:formatCode>0.0</c:formatCode>
                <c:ptCount val="16"/>
                <c:pt idx="0">
                  <c:v>31.66</c:v>
                </c:pt>
                <c:pt idx="1">
                  <c:v>32.773000000000003</c:v>
                </c:pt>
                <c:pt idx="2">
                  <c:v>34.670999999999999</c:v>
                </c:pt>
                <c:pt idx="3">
                  <c:v>31.882000000000001</c:v>
                </c:pt>
                <c:pt idx="4">
                  <c:v>26.233000000000001</c:v>
                </c:pt>
                <c:pt idx="5">
                  <c:v>22.995999999999999</c:v>
                </c:pt>
                <c:pt idx="6">
                  <c:v>21.734000000000002</c:v>
                </c:pt>
                <c:pt idx="7">
                  <c:v>19.602</c:v>
                </c:pt>
                <c:pt idx="8">
                  <c:v>20.350000000000001</c:v>
                </c:pt>
                <c:pt idx="9">
                  <c:v>22.283000000000001</c:v>
                </c:pt>
                <c:pt idx="10">
                  <c:v>24.31</c:v>
                </c:pt>
                <c:pt idx="11">
                  <c:v>26.5</c:v>
                </c:pt>
                <c:pt idx="12">
                  <c:v>28.57</c:v>
                </c:pt>
                <c:pt idx="13">
                  <c:v>34.173699999999997</c:v>
                </c:pt>
                <c:pt idx="14">
                  <c:v>39.094712799999996</c:v>
                </c:pt>
                <c:pt idx="15">
                  <c:v>55.4</c:v>
                </c:pt>
              </c:numCache>
            </c:numRef>
          </c:val>
          <c:smooth val="0"/>
          <c:extLst>
            <c:ext xmlns:c16="http://schemas.microsoft.com/office/drawing/2014/chart" uri="{C3380CC4-5D6E-409C-BE32-E72D297353CC}">
              <c16:uniqueId val="{00000004-1715-4470-84DE-4CFD5C496B8B}"/>
            </c:ext>
          </c:extLst>
        </c:ser>
        <c:ser>
          <c:idx val="3"/>
          <c:order val="5"/>
          <c:tx>
            <c:strRef>
              <c:f>'G2-Stání rozpočet-výdaje'!$G$31</c:f>
              <c:strCache>
                <c:ptCount val="1"/>
                <c:pt idx="0">
                  <c:v>Dávky sociální péče***</c:v>
                </c:pt>
              </c:strCache>
            </c:strRef>
          </c:tx>
          <c:spPr>
            <a:ln w="15875">
              <a:solidFill>
                <a:srgbClr val="7030A0"/>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rozpočet-výdaje'!$G$32:$G$47</c:f>
              <c:numCache>
                <c:formatCode>General</c:formatCode>
                <c:ptCount val="16"/>
                <c:pt idx="2" formatCode="0.0">
                  <c:v>20.811</c:v>
                </c:pt>
                <c:pt idx="3" formatCode="0.0">
                  <c:v>23.542000000000002</c:v>
                </c:pt>
                <c:pt idx="4" formatCode="0.0">
                  <c:v>24.256</c:v>
                </c:pt>
                <c:pt idx="5" formatCode="0.0">
                  <c:v>25.292000000000002</c:v>
                </c:pt>
                <c:pt idx="6" formatCode="0.0">
                  <c:v>24.966999999999999</c:v>
                </c:pt>
                <c:pt idx="7" formatCode="0.0">
                  <c:v>27.695499999999999</c:v>
                </c:pt>
                <c:pt idx="8" formatCode="0.0">
                  <c:v>31.978999999999999</c:v>
                </c:pt>
                <c:pt idx="9" formatCode="0.0">
                  <c:v>33.622</c:v>
                </c:pt>
                <c:pt idx="10" formatCode="0.0">
                  <c:v>33.621000000000002</c:v>
                </c:pt>
                <c:pt idx="11" formatCode="0.0">
                  <c:v>34.295000000000002</c:v>
                </c:pt>
                <c:pt idx="12" formatCode="0.0">
                  <c:v>34.439</c:v>
                </c:pt>
                <c:pt idx="13" formatCode="0.0">
                  <c:v>33.990400000000001</c:v>
                </c:pt>
                <c:pt idx="14" formatCode="0.0">
                  <c:v>36.831099999999999</c:v>
                </c:pt>
                <c:pt idx="15" formatCode="0.0">
                  <c:v>40.510199999999998</c:v>
                </c:pt>
              </c:numCache>
            </c:numRef>
          </c:val>
          <c:smooth val="0"/>
          <c:extLst>
            <c:ext xmlns:c16="http://schemas.microsoft.com/office/drawing/2014/chart" uri="{C3380CC4-5D6E-409C-BE32-E72D297353CC}">
              <c16:uniqueId val="{00000005-1715-4470-84DE-4CFD5C496B8B}"/>
            </c:ext>
          </c:extLst>
        </c:ser>
        <c:ser>
          <c:idx val="4"/>
          <c:order val="6"/>
          <c:tx>
            <c:strRef>
              <c:f>'G2-Stání rozpočet-výdaje'!$H$31</c:f>
              <c:strCache>
                <c:ptCount val="1"/>
                <c:pt idx="0">
                  <c:v>Neinvestič. nákupy a souvis. výdaje****</c:v>
                </c:pt>
              </c:strCache>
            </c:strRef>
          </c:tx>
          <c:spPr>
            <a:ln w="15875">
              <a:solidFill>
                <a:srgbClr val="F8A124"/>
              </a:solidFill>
              <a:prstDash val="solid"/>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rozpočet-výdaje'!$H$32:$H$47</c:f>
              <c:numCache>
                <c:formatCode>0.0</c:formatCode>
                <c:ptCount val="16"/>
                <c:pt idx="0">
                  <c:v>55.461999999999989</c:v>
                </c:pt>
                <c:pt idx="1">
                  <c:v>61.525000000000006</c:v>
                </c:pt>
                <c:pt idx="2">
                  <c:v>63.827000000000005</c:v>
                </c:pt>
                <c:pt idx="3">
                  <c:v>71.581999999999994</c:v>
                </c:pt>
                <c:pt idx="4">
                  <c:v>69.73</c:v>
                </c:pt>
                <c:pt idx="5">
                  <c:v>65.116</c:v>
                </c:pt>
                <c:pt idx="6">
                  <c:v>57.98</c:v>
                </c:pt>
                <c:pt idx="7">
                  <c:v>53.174999999999997</c:v>
                </c:pt>
                <c:pt idx="8">
                  <c:v>54.192999999999998</c:v>
                </c:pt>
                <c:pt idx="9">
                  <c:v>54.751000000000005</c:v>
                </c:pt>
                <c:pt idx="10">
                  <c:v>62.36</c:v>
                </c:pt>
                <c:pt idx="11">
                  <c:v>57.560000000000009</c:v>
                </c:pt>
                <c:pt idx="12">
                  <c:v>62.76</c:v>
                </c:pt>
                <c:pt idx="13">
                  <c:v>68.41</c:v>
                </c:pt>
                <c:pt idx="14">
                  <c:v>66.430000000000007</c:v>
                </c:pt>
                <c:pt idx="15">
                  <c:v>77.830108773489997</c:v>
                </c:pt>
              </c:numCache>
            </c:numRef>
          </c:val>
          <c:smooth val="0"/>
          <c:extLst>
            <c:ext xmlns:c16="http://schemas.microsoft.com/office/drawing/2014/chart" uri="{C3380CC4-5D6E-409C-BE32-E72D297353CC}">
              <c16:uniqueId val="{00000006-1715-4470-84DE-4CFD5C496B8B}"/>
            </c:ext>
          </c:extLst>
        </c:ser>
        <c:ser>
          <c:idx val="5"/>
          <c:order val="7"/>
          <c:tx>
            <c:strRef>
              <c:f>'G2-Stání rozpočet-výdaje'!$I$31</c:f>
              <c:strCache>
                <c:ptCount val="1"/>
                <c:pt idx="0">
                  <c:v>Státní dluh (čisté výdaje)*****</c:v>
                </c:pt>
              </c:strCache>
            </c:strRef>
          </c:tx>
          <c:spPr>
            <a:ln w="15875">
              <a:solidFill>
                <a:srgbClr val="BD1B25"/>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rozpočet-výdaje'!$I$32:$I$47</c:f>
              <c:numCache>
                <c:formatCode>0.0</c:formatCode>
                <c:ptCount val="16"/>
                <c:pt idx="0">
                  <c:v>25.43</c:v>
                </c:pt>
                <c:pt idx="1">
                  <c:v>31.61</c:v>
                </c:pt>
                <c:pt idx="2">
                  <c:v>34.130000000000003</c:v>
                </c:pt>
                <c:pt idx="3">
                  <c:v>37.64</c:v>
                </c:pt>
                <c:pt idx="4">
                  <c:v>44.46</c:v>
                </c:pt>
                <c:pt idx="5">
                  <c:v>35.840000000000003</c:v>
                </c:pt>
                <c:pt idx="6">
                  <c:v>45.120000000000005</c:v>
                </c:pt>
                <c:pt idx="7">
                  <c:v>41.400000000000006</c:v>
                </c:pt>
                <c:pt idx="8">
                  <c:v>50.89</c:v>
                </c:pt>
                <c:pt idx="9">
                  <c:v>48.49</c:v>
                </c:pt>
                <c:pt idx="10">
                  <c:v>45.28</c:v>
                </c:pt>
                <c:pt idx="11">
                  <c:v>40.65</c:v>
                </c:pt>
                <c:pt idx="12">
                  <c:v>39.769999999999996</c:v>
                </c:pt>
                <c:pt idx="13">
                  <c:v>40.729999999999997</c:v>
                </c:pt>
                <c:pt idx="14">
                  <c:v>39.550577993799998</c:v>
                </c:pt>
                <c:pt idx="15">
                  <c:v>40.145474011320005</c:v>
                </c:pt>
              </c:numCache>
            </c:numRef>
          </c:val>
          <c:smooth val="0"/>
          <c:extLst>
            <c:ext xmlns:c16="http://schemas.microsoft.com/office/drawing/2014/chart" uri="{C3380CC4-5D6E-409C-BE32-E72D297353CC}">
              <c16:uniqueId val="{00000007-1715-4470-84DE-4CFD5C496B8B}"/>
            </c:ext>
          </c:extLst>
        </c:ser>
        <c:ser>
          <c:idx val="8"/>
          <c:order val="8"/>
          <c:tx>
            <c:strRef>
              <c:f>'G2-Stání rozpočet-výdaje'!$J$31</c:f>
              <c:strCache>
                <c:ptCount val="1"/>
                <c:pt idx="0">
                  <c:v>Neinvestič. transfery podnikat. subjektům</c:v>
                </c:pt>
              </c:strCache>
            </c:strRef>
          </c:tx>
          <c:spPr>
            <a:ln w="15875">
              <a:solidFill>
                <a:schemeClr val="bg2">
                  <a:lumMod val="25000"/>
                </a:schemeClr>
              </a:solidFill>
              <a:prstDash val="sysDash"/>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rozpočet-výdaje'!$J$32:$J$47</c:f>
              <c:numCache>
                <c:formatCode>0.00</c:formatCode>
                <c:ptCount val="16"/>
                <c:pt idx="0">
                  <c:v>23.306999999999999</c:v>
                </c:pt>
                <c:pt idx="1">
                  <c:v>22.056999999999999</c:v>
                </c:pt>
                <c:pt idx="2">
                  <c:v>23.696000000000002</c:v>
                </c:pt>
                <c:pt idx="3">
                  <c:v>26.108000000000001</c:v>
                </c:pt>
                <c:pt idx="4">
                  <c:v>28.491</c:v>
                </c:pt>
                <c:pt idx="5">
                  <c:v>28.100999999999999</c:v>
                </c:pt>
                <c:pt idx="6">
                  <c:v>33.262999999999998</c:v>
                </c:pt>
                <c:pt idx="7">
                  <c:v>35.61</c:v>
                </c:pt>
                <c:pt idx="8">
                  <c:v>35.03</c:v>
                </c:pt>
                <c:pt idx="9">
                  <c:v>41.23</c:v>
                </c:pt>
                <c:pt idx="10">
                  <c:v>39.14</c:v>
                </c:pt>
                <c:pt idx="11">
                  <c:v>44.23</c:v>
                </c:pt>
                <c:pt idx="12">
                  <c:v>48.3</c:v>
                </c:pt>
                <c:pt idx="13">
                  <c:v>57.32</c:v>
                </c:pt>
                <c:pt idx="14">
                  <c:v>57.932912725290002</c:v>
                </c:pt>
                <c:pt idx="15">
                  <c:v>106.74829459395001</c:v>
                </c:pt>
              </c:numCache>
            </c:numRef>
          </c:val>
          <c:smooth val="0"/>
          <c:extLst>
            <c:ext xmlns:c16="http://schemas.microsoft.com/office/drawing/2014/chart" uri="{C3380CC4-5D6E-409C-BE32-E72D297353CC}">
              <c16:uniqueId val="{00000008-1715-4470-84DE-4CFD5C496B8B}"/>
            </c:ext>
          </c:extLst>
        </c:ser>
        <c:ser>
          <c:idx val="9"/>
          <c:order val="9"/>
          <c:tx>
            <c:strRef>
              <c:f>'G2-Stání rozpočet-výdaje'!$K$31</c:f>
              <c:strCache>
                <c:ptCount val="1"/>
                <c:pt idx="0">
                  <c:v>Kapitálové výdaje</c:v>
                </c:pt>
              </c:strCache>
            </c:strRef>
          </c:tx>
          <c:spPr>
            <a:ln w="15875">
              <a:solidFill>
                <a:schemeClr val="tx1">
                  <a:lumMod val="95000"/>
                  <a:lumOff val="5000"/>
                </a:schemeClr>
              </a:solidFill>
            </a:ln>
          </c:spPr>
          <c:marker>
            <c:symbol val="none"/>
          </c:marker>
          <c:cat>
            <c:numRef>
              <c:f>'G2-Stání rozpočet-výdaje'!$A$32:$A$47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'G2-Stání rozpočet-výdaje'!$K$32:$K$47</c:f>
              <c:numCache>
                <c:formatCode>0.0</c:formatCode>
                <c:ptCount val="16"/>
                <c:pt idx="0">
                  <c:v>81.99</c:v>
                </c:pt>
                <c:pt idx="1">
                  <c:v>108.54</c:v>
                </c:pt>
                <c:pt idx="2">
                  <c:v>118.42</c:v>
                </c:pt>
                <c:pt idx="3">
                  <c:v>108.08</c:v>
                </c:pt>
                <c:pt idx="4">
                  <c:v>134.22999999999999</c:v>
                </c:pt>
                <c:pt idx="5">
                  <c:v>134.91</c:v>
                </c:pt>
                <c:pt idx="6">
                  <c:v>123.69</c:v>
                </c:pt>
                <c:pt idx="7">
                  <c:v>113.62</c:v>
                </c:pt>
                <c:pt idx="8">
                  <c:v>102.315</c:v>
                </c:pt>
                <c:pt idx="9">
                  <c:v>111.50700000000001</c:v>
                </c:pt>
                <c:pt idx="10">
                  <c:v>175.66</c:v>
                </c:pt>
                <c:pt idx="11">
                  <c:v>84.27</c:v>
                </c:pt>
                <c:pt idx="12">
                  <c:v>81.75</c:v>
                </c:pt>
                <c:pt idx="13">
                  <c:v>116.46</c:v>
                </c:pt>
                <c:pt idx="14">
                  <c:v>139.13928546782003</c:v>
                </c:pt>
                <c:pt idx="15">
                  <c:v>172.68713515186002</c:v>
                </c:pt>
              </c:numCache>
            </c:numRef>
          </c:val>
          <c:smooth val="0"/>
          <c:extLst>
            <c:ext xmlns:c16="http://schemas.microsoft.com/office/drawing/2014/chart" uri="{C3380CC4-5D6E-409C-BE32-E72D297353CC}">
              <c16:uniqueId val="{00000009-1715-4470-84DE-4CFD5C496B8B}"/>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180"/>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baseline="0">
                    <a:effectLst/>
                  </a:rPr>
                  <a:t>Ostatní výdaje</a:t>
                </a:r>
                <a:r>
                  <a:rPr lang="cs-CZ" sz="7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 (</a:t>
                </a:r>
                <a:r>
                  <a:rPr lang="cs-CZ" sz="700" b="0" i="1" baseline="0">
                    <a:effectLst/>
                  </a:rPr>
                  <a:t>mld. korun)</a:t>
                </a:r>
                <a:endParaRPr lang="cs-CZ" sz="700">
                  <a:effectLst/>
                </a:endParaRPr>
              </a:p>
            </c:rich>
          </c:tx>
          <c:layout>
            <c:manualLayout>
              <c:xMode val="edge"/>
              <c:yMode val="edge"/>
              <c:x val="0"/>
              <c:y val="0.22613499913827934"/>
            </c:manualLayout>
          </c:layout>
          <c:overlay val="0"/>
        </c:title>
        <c:numFmt formatCode="0" sourceLinked="0"/>
        <c:majorTickMark val="out"/>
        <c:minorTickMark val="none"/>
        <c:tickLblPos val="nextTo"/>
        <c:spPr>
          <a:ln w="6350">
            <a:solidFill>
              <a:schemeClr val="tx1"/>
            </a:solidFill>
          </a:ln>
        </c:spPr>
        <c:crossAx val="72827648"/>
        <c:crosses val="autoZero"/>
        <c:crossBetween val="between"/>
        <c:majorUnit val="20"/>
      </c:valAx>
      <c:valAx>
        <c:axId val="72835072"/>
        <c:scaling>
          <c:orientation val="minMax"/>
          <c:max val="1800"/>
          <c:min val="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baseline="0">
                    <a:effectLst/>
                  </a:rPr>
                  <a:t>Běžné výdaje celkem</a:t>
                </a:r>
                <a:r>
                  <a:rPr lang="cs-CZ" sz="700" b="0" i="1" u="none" strike="noStrike" kern="1200" baseline="0">
                    <a:solidFill>
                      <a:sysClr val="windowText" lastClr="000000"/>
                    </a:solidFill>
                    <a:effectLst/>
                    <a:latin typeface="Arial" panose="020B0604020202020204" pitchFamily="34" charset="0"/>
                    <a:ea typeface="+mn-ea"/>
                    <a:cs typeface="Arial" panose="020B0604020202020204" pitchFamily="34" charset="0"/>
                  </a:rPr>
                  <a:t> (</a:t>
                </a:r>
                <a:r>
                  <a:rPr lang="cs-CZ" sz="700" b="0" i="1" baseline="0">
                    <a:effectLst/>
                  </a:rPr>
                  <a:t>mld. korun)</a:t>
                </a:r>
                <a:endParaRPr lang="cs-CZ" sz="700" i="1">
                  <a:effectLst/>
                </a:endParaRPr>
              </a:p>
            </c:rich>
          </c:tx>
          <c:layout>
            <c:manualLayout>
              <c:xMode val="edge"/>
              <c:yMode val="edge"/>
              <c:x val="0.97053252534685275"/>
              <c:y val="0.18723667800453514"/>
            </c:manualLayout>
          </c:layout>
          <c:overlay val="0"/>
        </c:title>
        <c:numFmt formatCode="0" sourceLinked="0"/>
        <c:majorTickMark val="out"/>
        <c:minorTickMark val="none"/>
        <c:tickLblPos val="nextTo"/>
        <c:spPr>
          <a:ln w="6350">
            <a:solidFill>
              <a:schemeClr val="tx1"/>
            </a:solidFill>
          </a:ln>
        </c:spPr>
        <c:crossAx val="72836608"/>
        <c:crosses val="max"/>
        <c:crossBetween val="between"/>
        <c:majorUnit val="20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1.0608391649500035E-2"/>
          <c:y val="0.84451643990929703"/>
          <c:w val="0.96476067347509487"/>
          <c:h val="0.15176133786848073"/>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45E-2"/>
          <c:y val="2.8458510079622041E-2"/>
          <c:w val="0.93688386524822698"/>
          <c:h val="0.6497469886299676"/>
        </c:manualLayout>
      </c:layout>
      <c:barChart>
        <c:barDir val="col"/>
        <c:grouping val="stacked"/>
        <c:varyColors val="0"/>
        <c:ser>
          <c:idx val="5"/>
          <c:order val="1"/>
          <c:tx>
            <c:strRef>
              <c:f>'souhrnná výkonnost 3'!$D$5</c:f>
              <c:strCache>
                <c:ptCount val="1"/>
                <c:pt idx="0">
                  <c:v>Výdaje na konečnou spotřebu domácností (vč. nezisk. inst.)</c:v>
                </c:pt>
              </c:strCache>
            </c:strRef>
          </c:tx>
          <c:spPr>
            <a:solidFill>
              <a:srgbClr val="0071BC"/>
            </a:solidFill>
            <a:ln>
              <a:noFill/>
            </a:ln>
          </c:spPr>
          <c:invertIfNegative val="0"/>
          <c:val>
            <c:numRef>
              <c:f>'souhrnná výkonnost 3'!$D$18:$D$41</c:f>
              <c:numCache>
                <c:formatCode>#\ ##0.0</c:formatCode>
                <c:ptCount val="24"/>
                <c:pt idx="0">
                  <c:v>1.0004416838991848</c:v>
                </c:pt>
                <c:pt idx="1">
                  <c:v>1.1245121794719866</c:v>
                </c:pt>
                <c:pt idx="2">
                  <c:v>1.2521979797185689</c:v>
                </c:pt>
                <c:pt idx="3">
                  <c:v>1.5140922770621217</c:v>
                </c:pt>
                <c:pt idx="4">
                  <c:v>1.011033178528604</c:v>
                </c:pt>
                <c:pt idx="5">
                  <c:v>0.84092037321111202</c:v>
                </c:pt>
                <c:pt idx="6">
                  <c:v>1.0599389176360645</c:v>
                </c:pt>
                <c:pt idx="7">
                  <c:v>0.97961312874423945</c:v>
                </c:pt>
                <c:pt idx="8">
                  <c:v>1.0820067439812537</c:v>
                </c:pt>
                <c:pt idx="9">
                  <c:v>1.4390025136660056</c:v>
                </c:pt>
                <c:pt idx="10">
                  <c:v>1.3061872269069228</c:v>
                </c:pt>
                <c:pt idx="11">
                  <c:v>1.0872722376357689</c:v>
                </c:pt>
                <c:pt idx="12">
                  <c:v>1.4946157705821075</c:v>
                </c:pt>
                <c:pt idx="13">
                  <c:v>1.2142838411264594</c:v>
                </c:pt>
                <c:pt idx="14">
                  <c:v>1.0289002157801086</c:v>
                </c:pt>
                <c:pt idx="15">
                  <c:v>0.93050000708627612</c:v>
                </c:pt>
                <c:pt idx="16">
                  <c:v>0.95628944982116215</c:v>
                </c:pt>
                <c:pt idx="17">
                  <c:v>1.3437109083643106</c:v>
                </c:pt>
                <c:pt idx="18">
                  <c:v>1.1786413228066261</c:v>
                </c:pt>
                <c:pt idx="19">
                  <c:v>1.3244967154849818</c:v>
                </c:pt>
                <c:pt idx="20">
                  <c:v>9.3839745310128411E-3</c:v>
                </c:pt>
                <c:pt idx="21">
                  <c:v>-2.4845497640166503</c:v>
                </c:pt>
                <c:pt idx="22">
                  <c:v>-1.2126293776774095</c:v>
                </c:pt>
                <c:pt idx="23">
                  <c:v>-3.826671297981906</c:v>
                </c:pt>
              </c:numCache>
            </c:numRef>
          </c:val>
          <c:extLst>
            <c:ext xmlns:c16="http://schemas.microsoft.com/office/drawing/2014/chart" uri="{C3380CC4-5D6E-409C-BE32-E72D297353CC}">
              <c16:uniqueId val="{00000000-ED82-4827-8313-32D0E9191DD9}"/>
            </c:ext>
          </c:extLst>
        </c:ser>
        <c:ser>
          <c:idx val="4"/>
          <c:order val="2"/>
          <c:tx>
            <c:strRef>
              <c:f>'souhrnná výkonnost 3'!$E$5</c:f>
              <c:strCache>
                <c:ptCount val="1"/>
                <c:pt idx="0">
                  <c:v>Výdaje na konečnou spotřebu vládních institucí</c:v>
                </c:pt>
              </c:strCache>
            </c:strRef>
          </c:tx>
          <c:spPr>
            <a:solidFill>
              <a:srgbClr val="A6CDE8"/>
            </a:solidFill>
            <a:ln>
              <a:noFill/>
            </a:ln>
          </c:spPr>
          <c:invertIfNegative val="0"/>
          <c:val>
            <c:numRef>
              <c:f>'souhrnná výkonnost 3'!$E$18:$E$41</c:f>
              <c:numCache>
                <c:formatCode>#\ ##0.0</c:formatCode>
                <c:ptCount val="24"/>
                <c:pt idx="0">
                  <c:v>0.36711313994295081</c:v>
                </c:pt>
                <c:pt idx="1">
                  <c:v>0.38184726381267609</c:v>
                </c:pt>
                <c:pt idx="2">
                  <c:v>0.5911601763482196</c:v>
                </c:pt>
                <c:pt idx="3">
                  <c:v>0.43670380992842678</c:v>
                </c:pt>
                <c:pt idx="4">
                  <c:v>0.42501610259126504</c:v>
                </c:pt>
                <c:pt idx="5">
                  <c:v>0.47017789747807115</c:v>
                </c:pt>
                <c:pt idx="6">
                  <c:v>0.42973407124759544</c:v>
                </c:pt>
                <c:pt idx="7">
                  <c:v>0.47700779378045444</c:v>
                </c:pt>
                <c:pt idx="8">
                  <c:v>0.4285629075979569</c:v>
                </c:pt>
                <c:pt idx="9">
                  <c:v>0.36487116628719296</c:v>
                </c:pt>
                <c:pt idx="10">
                  <c:v>0.22397478701370191</c:v>
                </c:pt>
                <c:pt idx="11">
                  <c:v>0.25198788808759842</c:v>
                </c:pt>
                <c:pt idx="12">
                  <c:v>0.55545322397874786</c:v>
                </c:pt>
                <c:pt idx="13">
                  <c:v>0.56563297121642442</c:v>
                </c:pt>
                <c:pt idx="14">
                  <c:v>0.85620414943517464</c:v>
                </c:pt>
                <c:pt idx="15">
                  <c:v>0.79947731678211598</c:v>
                </c:pt>
                <c:pt idx="16">
                  <c:v>0.35314674266144058</c:v>
                </c:pt>
                <c:pt idx="17">
                  <c:v>0.47275530186714843</c:v>
                </c:pt>
                <c:pt idx="18">
                  <c:v>0.3752076605407596</c:v>
                </c:pt>
                <c:pt idx="19">
                  <c:v>0.38684117827578673</c:v>
                </c:pt>
                <c:pt idx="20">
                  <c:v>0.91372459235104686</c:v>
                </c:pt>
                <c:pt idx="21">
                  <c:v>0.39882296048191224</c:v>
                </c:pt>
                <c:pt idx="22">
                  <c:v>3.4369404238827783E-2</c:v>
                </c:pt>
                <c:pt idx="23">
                  <c:v>0.96111087898256808</c:v>
                </c:pt>
              </c:numCache>
            </c:numRef>
          </c:val>
          <c:extLst>
            <c:ext xmlns:c16="http://schemas.microsoft.com/office/drawing/2014/chart" uri="{C3380CC4-5D6E-409C-BE32-E72D297353CC}">
              <c16:uniqueId val="{00000001-ED82-4827-8313-32D0E9191DD9}"/>
            </c:ext>
          </c:extLst>
        </c:ser>
        <c:ser>
          <c:idx val="3"/>
          <c:order val="3"/>
          <c:tx>
            <c:strRef>
              <c:f>'souhrnná výkonnost 3'!$G$5</c:f>
              <c:strCache>
                <c:ptCount val="1"/>
                <c:pt idx="0">
                  <c:v>Tvorba hrubého kapitálu</c:v>
                </c:pt>
              </c:strCache>
            </c:strRef>
          </c:tx>
          <c:spPr>
            <a:solidFill>
              <a:srgbClr val="BD1B21"/>
            </a:solidFill>
            <a:ln>
              <a:noFill/>
            </a:ln>
          </c:spPr>
          <c:invertIfNegative val="0"/>
          <c:val>
            <c:numRef>
              <c:f>'souhrnná výkonnost 3'!$G$18:$G$41</c:f>
              <c:numCache>
                <c:formatCode>#\ ##0.0</c:formatCode>
                <c:ptCount val="24"/>
                <c:pt idx="0">
                  <c:v>3.1310050244124823</c:v>
                </c:pt>
                <c:pt idx="1">
                  <c:v>3.7310848346723087</c:v>
                </c:pt>
                <c:pt idx="2">
                  <c:v>2.34505813454797</c:v>
                </c:pt>
                <c:pt idx="3">
                  <c:v>1.0284887473308018</c:v>
                </c:pt>
                <c:pt idx="4">
                  <c:v>0.1426787206126395</c:v>
                </c:pt>
                <c:pt idx="5">
                  <c:v>-1.4507925661177268</c:v>
                </c:pt>
                <c:pt idx="6">
                  <c:v>-0.98123446043739548</c:v>
                </c:pt>
                <c:pt idx="7">
                  <c:v>-0.61353806390597054</c:v>
                </c:pt>
                <c:pt idx="8">
                  <c:v>-0.96942712410588472</c:v>
                </c:pt>
                <c:pt idx="9">
                  <c:v>0.73262216993952523</c:v>
                </c:pt>
                <c:pt idx="10">
                  <c:v>1.5238713260674783</c:v>
                </c:pt>
                <c:pt idx="11">
                  <c:v>2.2323726403134958</c:v>
                </c:pt>
                <c:pt idx="12">
                  <c:v>3.0952033404087724</c:v>
                </c:pt>
                <c:pt idx="13">
                  <c:v>1.6598485290447111</c:v>
                </c:pt>
                <c:pt idx="14">
                  <c:v>1.8068887705851226</c:v>
                </c:pt>
                <c:pt idx="15">
                  <c:v>0.39151322871173594</c:v>
                </c:pt>
                <c:pt idx="16">
                  <c:v>0.95030598176660519</c:v>
                </c:pt>
                <c:pt idx="17">
                  <c:v>-1.1488329075459902</c:v>
                </c:pt>
                <c:pt idx="18">
                  <c:v>-1.1907175426027021</c:v>
                </c:pt>
                <c:pt idx="19">
                  <c:v>1.1321774143229344</c:v>
                </c:pt>
                <c:pt idx="20">
                  <c:v>-2.021875914902854</c:v>
                </c:pt>
                <c:pt idx="21">
                  <c:v>-0.73793514725012954</c:v>
                </c:pt>
                <c:pt idx="22">
                  <c:v>-4.1653196081506154</c:v>
                </c:pt>
                <c:pt idx="23">
                  <c:v>-5.2923682225688644</c:v>
                </c:pt>
              </c:numCache>
            </c:numRef>
          </c:val>
          <c:extLst>
            <c:ext xmlns:c16="http://schemas.microsoft.com/office/drawing/2014/chart" uri="{C3380CC4-5D6E-409C-BE32-E72D297353CC}">
              <c16:uniqueId val="{00000002-ED82-4827-8313-32D0E9191DD9}"/>
            </c:ext>
          </c:extLst>
        </c:ser>
        <c:ser>
          <c:idx val="1"/>
          <c:order val="4"/>
          <c:tx>
            <c:strRef>
              <c:f>'souhrnná výkonnost 3'!$F$5</c:f>
              <c:strCache>
                <c:ptCount val="1"/>
                <c:pt idx="0">
                  <c:v>Bilance zahraničního obchodu</c:v>
                </c:pt>
              </c:strCache>
            </c:strRef>
          </c:tx>
          <c:spPr>
            <a:solidFill>
              <a:srgbClr val="7DBB2D"/>
            </a:solidFill>
            <a:ln>
              <a:noFill/>
            </a:ln>
          </c:spPr>
          <c:invertIfNegative val="0"/>
          <c:val>
            <c:numRef>
              <c:f>'souhrnná výkonnost 3'!$F$18:$F$41</c:f>
              <c:numCache>
                <c:formatCode>#\ ##0.0</c:formatCode>
                <c:ptCount val="24"/>
                <c:pt idx="0">
                  <c:v>0.85358800053760486</c:v>
                </c:pt>
                <c:pt idx="1">
                  <c:v>0.50682849323072787</c:v>
                </c:pt>
                <c:pt idx="2">
                  <c:v>1.4713169429104394</c:v>
                </c:pt>
                <c:pt idx="3">
                  <c:v>2.0731040792572153</c:v>
                </c:pt>
                <c:pt idx="4">
                  <c:v>1.7620830562499514</c:v>
                </c:pt>
                <c:pt idx="5">
                  <c:v>2.3990552594367274</c:v>
                </c:pt>
                <c:pt idx="6">
                  <c:v>1.370993307029881</c:v>
                </c:pt>
                <c:pt idx="7">
                  <c:v>1.2526206333504177</c:v>
                </c:pt>
                <c:pt idx="8">
                  <c:v>3.0648181369329626</c:v>
                </c:pt>
                <c:pt idx="9">
                  <c:v>3.4601141630489307</c:v>
                </c:pt>
                <c:pt idx="10">
                  <c:v>2.7091491429512415</c:v>
                </c:pt>
                <c:pt idx="11">
                  <c:v>2.1602088091475098</c:v>
                </c:pt>
                <c:pt idx="12">
                  <c:v>-0.47609047269948945</c:v>
                </c:pt>
                <c:pt idx="13">
                  <c:v>-0.80874071873919284</c:v>
                </c:pt>
                <c:pt idx="14">
                  <c:v>-1.037162889607357</c:v>
                </c:pt>
                <c:pt idx="15">
                  <c:v>0.25724717059829372</c:v>
                </c:pt>
                <c:pt idx="16">
                  <c:v>0.10748557741256393</c:v>
                </c:pt>
                <c:pt idx="17">
                  <c:v>1.5467605826471411</c:v>
                </c:pt>
                <c:pt idx="18">
                  <c:v>1.7784931462823457</c:v>
                </c:pt>
                <c:pt idx="19">
                  <c:v>-0.8906917898123291</c:v>
                </c:pt>
                <c:pt idx="20">
                  <c:v>-0.72640054906946128</c:v>
                </c:pt>
                <c:pt idx="21">
                  <c:v>-7.98196403817456</c:v>
                </c:pt>
                <c:pt idx="22">
                  <c:v>0.46787430757374082</c:v>
                </c:pt>
                <c:pt idx="23">
                  <c:v>3.4436686230568054</c:v>
                </c:pt>
              </c:numCache>
            </c:numRef>
          </c:val>
          <c:extLst>
            <c:ext xmlns:c16="http://schemas.microsoft.com/office/drawing/2014/chart" uri="{C3380CC4-5D6E-409C-BE32-E72D297353CC}">
              <c16:uniqueId val="{00000003-ED82-4827-8313-32D0E9191DD9}"/>
            </c:ext>
          </c:extLst>
        </c:ser>
        <c:dLbls>
          <c:showLegendKey val="0"/>
          <c:showVal val="0"/>
          <c:showCatName val="0"/>
          <c:showSerName val="0"/>
          <c:showPercent val="0"/>
          <c:showBubbleSize val="0"/>
        </c:dLbls>
        <c:gapWidth val="40"/>
        <c:overlap val="100"/>
        <c:axId val="267591040"/>
        <c:axId val="267605120"/>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3'!$C$18:$C$41</c:f>
              <c:numCache>
                <c:formatCode>#\ ##0.0</c:formatCode>
                <c:ptCount val="24"/>
                <c:pt idx="0">
                  <c:v>5.3541479116968844</c:v>
                </c:pt>
                <c:pt idx="1">
                  <c:v>5.7580987456543795</c:v>
                </c:pt>
                <c:pt idx="2">
                  <c:v>5.6783364148190572</c:v>
                </c:pt>
                <c:pt idx="3">
                  <c:v>5.0736477020698771</c:v>
                </c:pt>
                <c:pt idx="4">
                  <c:v>3.4010558338826229</c:v>
                </c:pt>
                <c:pt idx="5">
                  <c:v>2.3184007606832324</c:v>
                </c:pt>
                <c:pt idx="6">
                  <c:v>1.9346258296187244</c:v>
                </c:pt>
                <c:pt idx="7">
                  <c:v>2.1527861842497913</c:v>
                </c:pt>
                <c:pt idx="8">
                  <c:v>3.6789755923611835</c:v>
                </c:pt>
                <c:pt idx="9">
                  <c:v>6.0785791748313187</c:v>
                </c:pt>
                <c:pt idx="10">
                  <c:v>5.8461673142579968</c:v>
                </c:pt>
                <c:pt idx="11">
                  <c:v>5.8135294348367665</c:v>
                </c:pt>
                <c:pt idx="12">
                  <c:v>4.7870310097690947</c:v>
                </c:pt>
                <c:pt idx="13">
                  <c:v>2.7415951273320331</c:v>
                </c:pt>
                <c:pt idx="14">
                  <c:v>2.7643378154414791</c:v>
                </c:pt>
                <c:pt idx="15">
                  <c:v>2.4875508102028903</c:v>
                </c:pt>
                <c:pt idx="16">
                  <c:v>2.4452702840320768</c:v>
                </c:pt>
                <c:pt idx="17">
                  <c:v>2.2867541286130972</c:v>
                </c:pt>
                <c:pt idx="18">
                  <c:v>2.2190768640245579</c:v>
                </c:pt>
                <c:pt idx="19">
                  <c:v>2.0355599675258418</c:v>
                </c:pt>
                <c:pt idx="20">
                  <c:v>-1.8023935566208138</c:v>
                </c:pt>
                <c:pt idx="21">
                  <c:v>-10.813978605851133</c:v>
                </c:pt>
                <c:pt idx="22">
                  <c:v>-4.919224243855794</c:v>
                </c:pt>
                <c:pt idx="23">
                  <c:v>-4.723341129019488</c:v>
                </c:pt>
              </c:numCache>
            </c:numRef>
          </c:val>
          <c:smooth val="0"/>
          <c:extLst>
            <c:ext xmlns:c16="http://schemas.microsoft.com/office/drawing/2014/chart" uri="{C3380CC4-5D6E-409C-BE32-E72D297353CC}">
              <c16:uniqueId val="{00000004-ED82-4827-8313-32D0E9191DD9}"/>
            </c:ext>
          </c:extLst>
        </c:ser>
        <c:dLbls>
          <c:showLegendKey val="0"/>
          <c:showVal val="0"/>
          <c:showCatName val="0"/>
          <c:showSerName val="0"/>
          <c:showPercent val="0"/>
          <c:showBubbleSize val="0"/>
        </c:dLbls>
        <c:marker val="1"/>
        <c:smooth val="0"/>
        <c:axId val="267591040"/>
        <c:axId val="267605120"/>
      </c:lineChart>
      <c:catAx>
        <c:axId val="267591040"/>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7605120"/>
        <c:crosses val="autoZero"/>
        <c:auto val="1"/>
        <c:lblAlgn val="ctr"/>
        <c:lblOffset val="100"/>
        <c:noMultiLvlLbl val="0"/>
      </c:catAx>
      <c:valAx>
        <c:axId val="267605120"/>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591040"/>
        <c:crosses val="autoZero"/>
        <c:crossBetween val="between"/>
        <c:majorUnit val="3"/>
      </c:valAx>
      <c:spPr>
        <a:ln>
          <a:solidFill>
            <a:schemeClr val="tx1"/>
          </a:solidFill>
        </a:ln>
      </c:spPr>
    </c:plotArea>
    <c:legend>
      <c:legendPos val="b"/>
      <c:layout>
        <c:manualLayout>
          <c:xMode val="edge"/>
          <c:yMode val="edge"/>
          <c:x val="4.7571766295170556E-2"/>
          <c:y val="0.79301446583361457"/>
          <c:w val="0.9378159827760891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82E-2"/>
          <c:y val="3.7154479717354444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4'!$C$18:$C$41</c:f>
              <c:numCache>
                <c:formatCode>#\ ##0.0</c:formatCode>
                <c:ptCount val="24"/>
                <c:pt idx="0">
                  <c:v>0.30368485614942081</c:v>
                </c:pt>
                <c:pt idx="1">
                  <c:v>0.2304988905076614</c:v>
                </c:pt>
                <c:pt idx="2">
                  <c:v>0.11798809635792069</c:v>
                </c:pt>
                <c:pt idx="3">
                  <c:v>7.2282252647939291E-2</c:v>
                </c:pt>
                <c:pt idx="4">
                  <c:v>5.3855687366031392E-2</c:v>
                </c:pt>
                <c:pt idx="5">
                  <c:v>0.14849879547587463</c:v>
                </c:pt>
                <c:pt idx="6">
                  <c:v>0.21032935295139474</c:v>
                </c:pt>
                <c:pt idx="7">
                  <c:v>0.10195129284322399</c:v>
                </c:pt>
                <c:pt idx="8">
                  <c:v>-9.6443702202456318E-3</c:v>
                </c:pt>
                <c:pt idx="9">
                  <c:v>-0.1183984267345688</c:v>
                </c:pt>
                <c:pt idx="10">
                  <c:v>-0.19416190528766372</c:v>
                </c:pt>
                <c:pt idx="11">
                  <c:v>-3.0322150838633197E-2</c:v>
                </c:pt>
                <c:pt idx="12">
                  <c:v>5.0044921066203105E-2</c:v>
                </c:pt>
                <c:pt idx="13">
                  <c:v>6.4956526264887057E-2</c:v>
                </c:pt>
                <c:pt idx="14">
                  <c:v>0.12486105995197894</c:v>
                </c:pt>
                <c:pt idx="15">
                  <c:v>0.13154654151227857</c:v>
                </c:pt>
                <c:pt idx="16">
                  <c:v>7.081167345092805E-2</c:v>
                </c:pt>
                <c:pt idx="17">
                  <c:v>6.3206484217815842E-2</c:v>
                </c:pt>
                <c:pt idx="18">
                  <c:v>0.13939824971947998</c:v>
                </c:pt>
                <c:pt idx="19">
                  <c:v>0.20779550254411278</c:v>
                </c:pt>
                <c:pt idx="20">
                  <c:v>0.1520890419728918</c:v>
                </c:pt>
                <c:pt idx="21">
                  <c:v>6.2061719606766791E-2</c:v>
                </c:pt>
                <c:pt idx="22">
                  <c:v>8.8928348206652005E-2</c:v>
                </c:pt>
                <c:pt idx="23">
                  <c:v>0.10903228788820159</c:v>
                </c:pt>
              </c:numCache>
            </c:numRef>
          </c:val>
          <c:extLst>
            <c:ext xmlns:c16="http://schemas.microsoft.com/office/drawing/2014/chart" uri="{C3380CC4-5D6E-409C-BE32-E72D297353CC}">
              <c16:uniqueId val="{00000000-5A25-4860-A790-E2FA363C3D78}"/>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4'!$D$18:$D$41</c:f>
              <c:numCache>
                <c:formatCode>#\ ##0.0</c:formatCode>
                <c:ptCount val="24"/>
                <c:pt idx="0">
                  <c:v>2.2974970288931655</c:v>
                </c:pt>
                <c:pt idx="1">
                  <c:v>2.1003819539683337</c:v>
                </c:pt>
                <c:pt idx="2">
                  <c:v>2.161753605301608</c:v>
                </c:pt>
                <c:pt idx="3">
                  <c:v>1.6515907003433452</c:v>
                </c:pt>
                <c:pt idx="4">
                  <c:v>1.5749274984416446</c:v>
                </c:pt>
                <c:pt idx="5">
                  <c:v>0.83208666717303936</c:v>
                </c:pt>
                <c:pt idx="6">
                  <c:v>0.93499427724552242</c:v>
                </c:pt>
                <c:pt idx="7">
                  <c:v>1.2180600651181106</c:v>
                </c:pt>
                <c:pt idx="8">
                  <c:v>1.3791245235480027</c:v>
                </c:pt>
                <c:pt idx="9">
                  <c:v>3.156295399272143</c:v>
                </c:pt>
                <c:pt idx="10">
                  <c:v>3.0056722211992475</c:v>
                </c:pt>
                <c:pt idx="11">
                  <c:v>2.3263082145418474</c:v>
                </c:pt>
                <c:pt idx="12">
                  <c:v>1.5335167130194982</c:v>
                </c:pt>
                <c:pt idx="13">
                  <c:v>0.19981038241166935</c:v>
                </c:pt>
                <c:pt idx="14">
                  <c:v>1.4811571147741608E-2</c:v>
                </c:pt>
                <c:pt idx="15">
                  <c:v>0.23183920009067607</c:v>
                </c:pt>
                <c:pt idx="16">
                  <c:v>0.65901524280795287</c:v>
                </c:pt>
                <c:pt idx="17">
                  <c:v>0.87998369250049879</c:v>
                </c:pt>
                <c:pt idx="18">
                  <c:v>0.90491958201141753</c:v>
                </c:pt>
                <c:pt idx="19">
                  <c:v>0.38172687932398586</c:v>
                </c:pt>
                <c:pt idx="20">
                  <c:v>-0.74488821313914733</c:v>
                </c:pt>
                <c:pt idx="21">
                  <c:v>-4.6997602454486875</c:v>
                </c:pt>
                <c:pt idx="22">
                  <c:v>-1.1464837603400306</c:v>
                </c:pt>
                <c:pt idx="23">
                  <c:v>-0.26974562009014308</c:v>
                </c:pt>
              </c:numCache>
            </c:numRef>
          </c:val>
          <c:extLst>
            <c:ext xmlns:c16="http://schemas.microsoft.com/office/drawing/2014/chart" uri="{C3380CC4-5D6E-409C-BE32-E72D297353CC}">
              <c16:uniqueId val="{00000001-5A25-4860-A790-E2FA363C3D78}"/>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4'!$E$18:$E$41</c:f>
              <c:numCache>
                <c:formatCode>#\ ##0.0</c:formatCode>
                <c:ptCount val="24"/>
                <c:pt idx="0">
                  <c:v>-0.2238083391325838</c:v>
                </c:pt>
                <c:pt idx="1">
                  <c:v>-0.23838971368947015</c:v>
                </c:pt>
                <c:pt idx="2">
                  <c:v>-0.2053609549377069</c:v>
                </c:pt>
                <c:pt idx="3">
                  <c:v>-0.35147060330963598</c:v>
                </c:pt>
                <c:pt idx="4">
                  <c:v>-0.61869060635239537</c:v>
                </c:pt>
                <c:pt idx="5">
                  <c:v>-0.25512934357205408</c:v>
                </c:pt>
                <c:pt idx="6">
                  <c:v>-0.19959002476284948</c:v>
                </c:pt>
                <c:pt idx="7">
                  <c:v>3.2746825671393198E-2</c:v>
                </c:pt>
                <c:pt idx="8">
                  <c:v>0.18450614676852783</c:v>
                </c:pt>
                <c:pt idx="9">
                  <c:v>9.0995210938591864E-2</c:v>
                </c:pt>
                <c:pt idx="10">
                  <c:v>9.3791960410576802E-2</c:v>
                </c:pt>
                <c:pt idx="11">
                  <c:v>9.7481504130754182E-3</c:v>
                </c:pt>
                <c:pt idx="12">
                  <c:v>-0.12069430817929794</c:v>
                </c:pt>
                <c:pt idx="13">
                  <c:v>-5.5819651243370877E-2</c:v>
                </c:pt>
                <c:pt idx="14" formatCode="General">
                  <c:v>7.5358871745050016E-2</c:v>
                </c:pt>
                <c:pt idx="15" formatCode="General">
                  <c:v>-1.4282054294332547E-2</c:v>
                </c:pt>
                <c:pt idx="16" formatCode="General">
                  <c:v>-5.059819013915523E-2</c:v>
                </c:pt>
                <c:pt idx="17" formatCode="General">
                  <c:v>-0.12947450207232991</c:v>
                </c:pt>
                <c:pt idx="18" formatCode="General">
                  <c:v>-0.16950374479973207</c:v>
                </c:pt>
                <c:pt idx="19" formatCode="General">
                  <c:v>-1.133243621179153E-2</c:v>
                </c:pt>
                <c:pt idx="20" formatCode="General">
                  <c:v>-0.25671162568053629</c:v>
                </c:pt>
                <c:pt idx="21" formatCode="General">
                  <c:v>-0.70252226402466178</c:v>
                </c:pt>
                <c:pt idx="22" formatCode="General">
                  <c:v>-0.40182325222037685</c:v>
                </c:pt>
                <c:pt idx="23" formatCode="General">
                  <c:v>-0.12835773095106762</c:v>
                </c:pt>
              </c:numCache>
            </c:numRef>
          </c:val>
          <c:extLst>
            <c:ext xmlns:c16="http://schemas.microsoft.com/office/drawing/2014/chart" uri="{C3380CC4-5D6E-409C-BE32-E72D297353CC}">
              <c16:uniqueId val="{00000002-5A25-4860-A790-E2FA363C3D78}"/>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4'!$F$18:$F$41</c:f>
              <c:numCache>
                <c:formatCode>#\ ##0.0</c:formatCode>
                <c:ptCount val="24"/>
                <c:pt idx="0">
                  <c:v>0.13087923173458302</c:v>
                </c:pt>
                <c:pt idx="1">
                  <c:v>0.16519036862091754</c:v>
                </c:pt>
                <c:pt idx="2">
                  <c:v>0.21120786680843179</c:v>
                </c:pt>
                <c:pt idx="3">
                  <c:v>-1.2415147928913664E-2</c:v>
                </c:pt>
                <c:pt idx="4">
                  <c:v>-0.10952448541686127</c:v>
                </c:pt>
                <c:pt idx="5">
                  <c:v>-0.28214741197780213</c:v>
                </c:pt>
                <c:pt idx="6">
                  <c:v>-0.27168672817032663</c:v>
                </c:pt>
                <c:pt idx="7">
                  <c:v>-0.20754684715757324</c:v>
                </c:pt>
                <c:pt idx="8">
                  <c:v>-8.524394743114426E-2</c:v>
                </c:pt>
                <c:pt idx="9">
                  <c:v>0.11383434006711636</c:v>
                </c:pt>
                <c:pt idx="10">
                  <c:v>4.3349635308544285E-2</c:v>
                </c:pt>
                <c:pt idx="11">
                  <c:v>0.17858744375528909</c:v>
                </c:pt>
                <c:pt idx="12">
                  <c:v>0.11784079575472811</c:v>
                </c:pt>
                <c:pt idx="13">
                  <c:v>3.4351403274769446E-2</c:v>
                </c:pt>
                <c:pt idx="14">
                  <c:v>6.4292065770569871E-3</c:v>
                </c:pt>
                <c:pt idx="15">
                  <c:v>-0.14625229498792841</c:v>
                </c:pt>
                <c:pt idx="16">
                  <c:v>-0.21512252328197207</c:v>
                </c:pt>
                <c:pt idx="17">
                  <c:v>-0.18844102026698162</c:v>
                </c:pt>
                <c:pt idx="18">
                  <c:v>-0.14303462630376634</c:v>
                </c:pt>
                <c:pt idx="19">
                  <c:v>-6.4393486585439266E-2</c:v>
                </c:pt>
                <c:pt idx="20">
                  <c:v>9.5177000113816995E-2</c:v>
                </c:pt>
                <c:pt idx="21">
                  <c:v>-0.33344327566547693</c:v>
                </c:pt>
                <c:pt idx="22">
                  <c:v>-0.22899979934020714</c:v>
                </c:pt>
                <c:pt idx="23">
                  <c:v>-0.30022172178457024</c:v>
                </c:pt>
              </c:numCache>
            </c:numRef>
          </c:val>
          <c:extLst>
            <c:ext xmlns:c16="http://schemas.microsoft.com/office/drawing/2014/chart" uri="{C3380CC4-5D6E-409C-BE32-E72D297353CC}">
              <c16:uniqueId val="{00000003-5A25-4860-A790-E2FA363C3D78}"/>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4'!$G$18:$G$41</c:f>
              <c:numCache>
                <c:formatCode>#\ ##0.0</c:formatCode>
                <c:ptCount val="24"/>
                <c:pt idx="0">
                  <c:v>2.2069915595993166</c:v>
                </c:pt>
                <c:pt idx="1">
                  <c:v>2.8395836710030271</c:v>
                </c:pt>
                <c:pt idx="2">
                  <c:v>2.9673304933717439</c:v>
                </c:pt>
                <c:pt idx="3">
                  <c:v>3.1996488393000861</c:v>
                </c:pt>
                <c:pt idx="4">
                  <c:v>2.2669828358604827</c:v>
                </c:pt>
                <c:pt idx="5">
                  <c:v>1.7472095584606271</c:v>
                </c:pt>
                <c:pt idx="6">
                  <c:v>1.2199893940422677</c:v>
                </c:pt>
                <c:pt idx="7">
                  <c:v>1.2038927401746593</c:v>
                </c:pt>
                <c:pt idx="8">
                  <c:v>2.1828063096576567</c:v>
                </c:pt>
                <c:pt idx="9">
                  <c:v>3.1402341655549573</c:v>
                </c:pt>
                <c:pt idx="10">
                  <c:v>2.9649621789836469</c:v>
                </c:pt>
                <c:pt idx="11">
                  <c:v>3.2019367955598788</c:v>
                </c:pt>
                <c:pt idx="12">
                  <c:v>3.3049533952383974</c:v>
                </c:pt>
                <c:pt idx="13">
                  <c:v>2.5891316897173389</c:v>
                </c:pt>
                <c:pt idx="14" formatCode="General">
                  <c:v>2.8718259229432168</c:v>
                </c:pt>
                <c:pt idx="15" formatCode="General">
                  <c:v>2.4174879675858536</c:v>
                </c:pt>
                <c:pt idx="16" formatCode="General">
                  <c:v>2.1162989981981855</c:v>
                </c:pt>
                <c:pt idx="17" formatCode="General">
                  <c:v>1.491444737244932</c:v>
                </c:pt>
                <c:pt idx="18" formatCode="General">
                  <c:v>1.2523982293970002</c:v>
                </c:pt>
                <c:pt idx="19" formatCode="General">
                  <c:v>1.2983334838140204</c:v>
                </c:pt>
                <c:pt idx="20" formatCode="General">
                  <c:v>-0.56281287556262882</c:v>
                </c:pt>
                <c:pt idx="21" formatCode="General">
                  <c:v>-5.4163206925814062</c:v>
                </c:pt>
                <c:pt idx="22" formatCode="General">
                  <c:v>-3.1727368023564675</c:v>
                </c:pt>
                <c:pt idx="23" formatCode="General">
                  <c:v>-4.0821671637072932</c:v>
                </c:pt>
              </c:numCache>
            </c:numRef>
          </c:val>
          <c:extLst>
            <c:ext xmlns:c16="http://schemas.microsoft.com/office/drawing/2014/chart" uri="{C3380CC4-5D6E-409C-BE32-E72D297353CC}">
              <c16:uniqueId val="{00000004-5A25-4860-A790-E2FA363C3D78}"/>
            </c:ext>
          </c:extLst>
        </c:ser>
        <c:dLbls>
          <c:showLegendKey val="0"/>
          <c:showVal val="0"/>
          <c:showCatName val="0"/>
          <c:showSerName val="0"/>
          <c:showPercent val="0"/>
          <c:showBubbleSize val="0"/>
        </c:dLbls>
        <c:gapWidth val="70"/>
        <c:overlap val="100"/>
        <c:axId val="269005952"/>
        <c:axId val="269007488"/>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'souhrnná výkonnost 4'!$H$18:$H$41</c:f>
              <c:numCache>
                <c:formatCode>#\ ##0.0</c:formatCode>
                <c:ptCount val="24"/>
                <c:pt idx="0">
                  <c:v>4.715513587220201</c:v>
                </c:pt>
                <c:pt idx="1">
                  <c:v>5.0971004057791305</c:v>
                </c:pt>
                <c:pt idx="2">
                  <c:v>5.2530196431134613</c:v>
                </c:pt>
                <c:pt idx="3">
                  <c:v>4.5592485406007199</c:v>
                </c:pt>
                <c:pt idx="4">
                  <c:v>3.1674424411731508</c:v>
                </c:pt>
                <c:pt idx="5">
                  <c:v>2.1906580742636379</c:v>
                </c:pt>
                <c:pt idx="6">
                  <c:v>1.8939325302629584</c:v>
                </c:pt>
                <c:pt idx="7">
                  <c:v>2.3492580716968376</c:v>
                </c:pt>
                <c:pt idx="8">
                  <c:v>3.6516543205207768</c:v>
                </c:pt>
                <c:pt idx="9">
                  <c:v>6.3830027976023729</c:v>
                </c:pt>
                <c:pt idx="10">
                  <c:v>5.9135095065788903</c:v>
                </c:pt>
                <c:pt idx="11">
                  <c:v>5.6861848632479877</c:v>
                </c:pt>
                <c:pt idx="12">
                  <c:v>4.9727813716583285</c:v>
                </c:pt>
                <c:pt idx="13">
                  <c:v>2.8323610276482327</c:v>
                </c:pt>
                <c:pt idx="14">
                  <c:v>3.0934986686980182</c:v>
                </c:pt>
                <c:pt idx="15">
                  <c:v>2.6205519578609966</c:v>
                </c:pt>
                <c:pt idx="16">
                  <c:v>2.5805834944496269</c:v>
                </c:pt>
                <c:pt idx="17">
                  <c:v>2.1167003676946052</c:v>
                </c:pt>
                <c:pt idx="18">
                  <c:v>1.9840477282370585</c:v>
                </c:pt>
                <c:pt idx="19">
                  <c:v>1.812161862338499</c:v>
                </c:pt>
                <c:pt idx="20">
                  <c:v>-1.3172127946681229</c:v>
                </c:pt>
                <c:pt idx="21">
                  <c:v>-11.089756575171336</c:v>
                </c:pt>
                <c:pt idx="22">
                  <c:v>-4.8611011883999282</c:v>
                </c:pt>
                <c:pt idx="23">
                  <c:v>-4.6718788764692789</c:v>
                </c:pt>
              </c:numCache>
            </c:numRef>
          </c:val>
          <c:smooth val="0"/>
          <c:extLst>
            <c:ext xmlns:c16="http://schemas.microsoft.com/office/drawing/2014/chart" uri="{C3380CC4-5D6E-409C-BE32-E72D297353CC}">
              <c16:uniqueId val="{00000005-5A25-4860-A790-E2FA363C3D78}"/>
            </c:ext>
          </c:extLst>
        </c:ser>
        <c:dLbls>
          <c:showLegendKey val="0"/>
          <c:showVal val="0"/>
          <c:showCatName val="0"/>
          <c:showSerName val="0"/>
          <c:showPercent val="0"/>
          <c:showBubbleSize val="0"/>
        </c:dLbls>
        <c:marker val="1"/>
        <c:smooth val="0"/>
        <c:axId val="269005952"/>
        <c:axId val="269007488"/>
      </c:lineChart>
      <c:catAx>
        <c:axId val="26900595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9007488"/>
        <c:crosses val="autoZero"/>
        <c:auto val="1"/>
        <c:lblAlgn val="ctr"/>
        <c:lblOffset val="100"/>
        <c:noMultiLvlLbl val="0"/>
      </c:catAx>
      <c:valAx>
        <c:axId val="269007488"/>
        <c:scaling>
          <c:orientation val="minMax"/>
          <c:max val="7"/>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9005952"/>
        <c:crosses val="autoZero"/>
        <c:crossBetween val="between"/>
        <c:majorUnit val="3"/>
      </c:valAx>
      <c:spPr>
        <a:ln>
          <a:solidFill>
            <a:schemeClr val="tx1"/>
          </a:solidFill>
        </a:ln>
      </c:spPr>
    </c:plotArea>
    <c:legend>
      <c:legendPos val="b"/>
      <c:layout>
        <c:manualLayout>
          <c:xMode val="edge"/>
          <c:yMode val="edge"/>
          <c:x val="5.4144292468760548E-2"/>
          <c:y val="0.79016604750647301"/>
          <c:w val="0.92386482607227283"/>
          <c:h val="0.1946248452099494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6203544707895996E-2"/>
          <c:w val="0.84974974879787502"/>
          <c:h val="0.71911425331511469"/>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IPP'!$R$27:$AP$27</c:f>
              <c:numCache>
                <c:formatCode>0.0</c:formatCode>
                <c:ptCount val="25"/>
                <c:pt idx="0">
                  <c:v>1.5427636659570074</c:v>
                </c:pt>
                <c:pt idx="1">
                  <c:v>2.1744189951095638</c:v>
                </c:pt>
                <c:pt idx="2">
                  <c:v>2.3615471800975762</c:v>
                </c:pt>
                <c:pt idx="3">
                  <c:v>2.8763334479914366</c:v>
                </c:pt>
                <c:pt idx="4">
                  <c:v>3.3202050006794548</c:v>
                </c:pt>
                <c:pt idx="5">
                  <c:v>2.7215746370676146</c:v>
                </c:pt>
                <c:pt idx="6">
                  <c:v>1.4745844536226125</c:v>
                </c:pt>
                <c:pt idx="7">
                  <c:v>1.029783660919984</c:v>
                </c:pt>
                <c:pt idx="8">
                  <c:v>1.7559630278375791</c:v>
                </c:pt>
                <c:pt idx="9">
                  <c:v>2.1219731026483708</c:v>
                </c:pt>
                <c:pt idx="10">
                  <c:v>1.5886047244911885</c:v>
                </c:pt>
                <c:pt idx="11">
                  <c:v>1.6809067081071383</c:v>
                </c:pt>
                <c:pt idx="12">
                  <c:v>0.74493678680711439</c:v>
                </c:pt>
                <c:pt idx="13">
                  <c:v>0.54513887708297193</c:v>
                </c:pt>
                <c:pt idx="14">
                  <c:v>0.23957305284254377</c:v>
                </c:pt>
                <c:pt idx="15">
                  <c:v>0.98330989831368998</c:v>
                </c:pt>
                <c:pt idx="16">
                  <c:v>-0.22713691763850202</c:v>
                </c:pt>
                <c:pt idx="17">
                  <c:v>0.47985653560762392</c:v>
                </c:pt>
                <c:pt idx="18">
                  <c:v>0.8344461496640414</c:v>
                </c:pt>
                <c:pt idx="19">
                  <c:v>-1.0997917317679555</c:v>
                </c:pt>
                <c:pt idx="20">
                  <c:v>-1.5348710107361396</c:v>
                </c:pt>
                <c:pt idx="21">
                  <c:v>-9.4028858120272236</c:v>
                </c:pt>
                <c:pt idx="22">
                  <c:v>-0.19477939440515324</c:v>
                </c:pt>
                <c:pt idx="23">
                  <c:v>2.0397409461843927</c:v>
                </c:pt>
              </c:numCache>
            </c:numRef>
          </c:val>
          <c:extLst>
            <c:ext xmlns:c16="http://schemas.microsoft.com/office/drawing/2014/chart" uri="{C3380CC4-5D6E-409C-BE32-E72D297353CC}">
              <c16:uniqueId val="{00000000-F65E-4DCA-969C-D03CE9F1CEAF}"/>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IPP'!$R$28:$AP$28</c:f>
              <c:numCache>
                <c:formatCode>0.0</c:formatCode>
                <c:ptCount val="25"/>
                <c:pt idx="0">
                  <c:v>1.0347997790234529</c:v>
                </c:pt>
                <c:pt idx="1">
                  <c:v>1.2402910045199831</c:v>
                </c:pt>
                <c:pt idx="2">
                  <c:v>1.3933850782064026</c:v>
                </c:pt>
                <c:pt idx="3">
                  <c:v>0.63791581718355739</c:v>
                </c:pt>
                <c:pt idx="4">
                  <c:v>0.79388932110213228</c:v>
                </c:pt>
                <c:pt idx="5">
                  <c:v>0.2019149020372687</c:v>
                </c:pt>
                <c:pt idx="6">
                  <c:v>0.26167949554629399</c:v>
                </c:pt>
                <c:pt idx="7">
                  <c:v>0.42926870670931194</c:v>
                </c:pt>
                <c:pt idx="8">
                  <c:v>0.85659869546738754</c:v>
                </c:pt>
                <c:pt idx="9">
                  <c:v>1.3986573982823201</c:v>
                </c:pt>
                <c:pt idx="10">
                  <c:v>0.8549510762484176</c:v>
                </c:pt>
                <c:pt idx="11">
                  <c:v>1.6528406324124423</c:v>
                </c:pt>
                <c:pt idx="12">
                  <c:v>0.96832999064458503</c:v>
                </c:pt>
                <c:pt idx="13">
                  <c:v>0.34047285731155275</c:v>
                </c:pt>
                <c:pt idx="14">
                  <c:v>0.42906491790818274</c:v>
                </c:pt>
                <c:pt idx="15">
                  <c:v>-3.9817228444367067E-2</c:v>
                </c:pt>
                <c:pt idx="16">
                  <c:v>0.52468173088796888</c:v>
                </c:pt>
                <c:pt idx="17">
                  <c:v>0.40691877027439094</c:v>
                </c:pt>
                <c:pt idx="18">
                  <c:v>0.23892033299114637</c:v>
                </c:pt>
                <c:pt idx="19">
                  <c:v>0.39269794616476111</c:v>
                </c:pt>
                <c:pt idx="20">
                  <c:v>-0.53345760227133399</c:v>
                </c:pt>
                <c:pt idx="21">
                  <c:v>-4.058016774523308</c:v>
                </c:pt>
                <c:pt idx="22">
                  <c:v>-0.43406125814937391</c:v>
                </c:pt>
                <c:pt idx="23">
                  <c:v>0.56914780428489253</c:v>
                </c:pt>
              </c:numCache>
            </c:numRef>
          </c:val>
          <c:extLst>
            <c:ext xmlns:c16="http://schemas.microsoft.com/office/drawing/2014/chart" uri="{C3380CC4-5D6E-409C-BE32-E72D297353CC}">
              <c16:uniqueId val="{00000001-F65E-4DCA-969C-D03CE9F1CEAF}"/>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IPP'!$R$29:$AP$29</c:f>
              <c:numCache>
                <c:formatCode>0.0</c:formatCode>
                <c:ptCount val="25"/>
                <c:pt idx="0">
                  <c:v>0.27270263761758856</c:v>
                </c:pt>
                <c:pt idx="1">
                  <c:v>0.29403078857932563</c:v>
                </c:pt>
                <c:pt idx="2">
                  <c:v>0.39049498716950576</c:v>
                </c:pt>
                <c:pt idx="3">
                  <c:v>1.6706731853184675E-2</c:v>
                </c:pt>
                <c:pt idx="4">
                  <c:v>0.36627927553744222</c:v>
                </c:pt>
                <c:pt idx="5">
                  <c:v>-7.6147331102472113E-2</c:v>
                </c:pt>
                <c:pt idx="6">
                  <c:v>0.19818384395915697</c:v>
                </c:pt>
                <c:pt idx="7">
                  <c:v>0.31987625685574234</c:v>
                </c:pt>
                <c:pt idx="8">
                  <c:v>0.35138012672655355</c:v>
                </c:pt>
                <c:pt idx="9">
                  <c:v>1.0806762781542611</c:v>
                </c:pt>
                <c:pt idx="10">
                  <c:v>0.85235463515891896</c:v>
                </c:pt>
                <c:pt idx="11">
                  <c:v>0.80092971170041016</c:v>
                </c:pt>
                <c:pt idx="12">
                  <c:v>0.47838436231758868</c:v>
                </c:pt>
                <c:pt idx="13">
                  <c:v>0.14272649937017898</c:v>
                </c:pt>
                <c:pt idx="14">
                  <c:v>0.18566799065513268</c:v>
                </c:pt>
                <c:pt idx="15">
                  <c:v>-0.19544287053044684</c:v>
                </c:pt>
                <c:pt idx="16">
                  <c:v>0.1426091932774885</c:v>
                </c:pt>
                <c:pt idx="17">
                  <c:v>-1.8219579710844171E-2</c:v>
                </c:pt>
                <c:pt idx="18">
                  <c:v>-0.26667324098505646</c:v>
                </c:pt>
                <c:pt idx="19">
                  <c:v>-0.13523495726290005</c:v>
                </c:pt>
                <c:pt idx="20">
                  <c:v>-0.69982847866990527</c:v>
                </c:pt>
                <c:pt idx="21">
                  <c:v>-2.143736621030647</c:v>
                </c:pt>
                <c:pt idx="22">
                  <c:v>-0.79829937749052238</c:v>
                </c:pt>
                <c:pt idx="23">
                  <c:v>-0.5332703437119769</c:v>
                </c:pt>
              </c:numCache>
            </c:numRef>
          </c:val>
          <c:extLst>
            <c:ext xmlns:c16="http://schemas.microsoft.com/office/drawing/2014/chart" uri="{C3380CC4-5D6E-409C-BE32-E72D297353CC}">
              <c16:uniqueId val="{00000002-F65E-4DCA-969C-D03CE9F1CEAF}"/>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IPP'!$R$30:$AP$30</c:f>
              <c:numCache>
                <c:formatCode>0.0</c:formatCode>
                <c:ptCount val="25"/>
                <c:pt idx="0">
                  <c:v>0.69596551057470069</c:v>
                </c:pt>
                <c:pt idx="1">
                  <c:v>0.78519852193461859</c:v>
                </c:pt>
                <c:pt idx="2">
                  <c:v>0.97872609478998152</c:v>
                </c:pt>
                <c:pt idx="3">
                  <c:v>0.60562900795012453</c:v>
                </c:pt>
                <c:pt idx="4">
                  <c:v>0.79779807743663034</c:v>
                </c:pt>
                <c:pt idx="5">
                  <c:v>0.39331000455464687</c:v>
                </c:pt>
                <c:pt idx="6">
                  <c:v>0.22346669872664385</c:v>
                </c:pt>
                <c:pt idx="7">
                  <c:v>0.2509263227159737</c:v>
                </c:pt>
                <c:pt idx="8">
                  <c:v>0.41949121934029482</c:v>
                </c:pt>
                <c:pt idx="9">
                  <c:v>0.915656554291014</c:v>
                </c:pt>
                <c:pt idx="10">
                  <c:v>0.85101791279413608</c:v>
                </c:pt>
                <c:pt idx="11">
                  <c:v>0.96460683383824763</c:v>
                </c:pt>
                <c:pt idx="12">
                  <c:v>0.6503458160203307</c:v>
                </c:pt>
                <c:pt idx="13">
                  <c:v>0.47166305832842809</c:v>
                </c:pt>
                <c:pt idx="14">
                  <c:v>0.40339784198569495</c:v>
                </c:pt>
                <c:pt idx="15">
                  <c:v>0.15238419304014436</c:v>
                </c:pt>
                <c:pt idx="16">
                  <c:v>0.25794422279958196</c:v>
                </c:pt>
                <c:pt idx="17">
                  <c:v>8.4966698962352285E-3</c:v>
                </c:pt>
                <c:pt idx="18">
                  <c:v>-0.23776981739408756</c:v>
                </c:pt>
                <c:pt idx="19">
                  <c:v>-0.35660248428239738</c:v>
                </c:pt>
                <c:pt idx="20">
                  <c:v>-0.60191683272527741</c:v>
                </c:pt>
                <c:pt idx="21">
                  <c:v>-2.0876186338676583</c:v>
                </c:pt>
                <c:pt idx="22">
                  <c:v>-0.54558510517083125</c:v>
                </c:pt>
                <c:pt idx="23">
                  <c:v>0.14207590001489598</c:v>
                </c:pt>
              </c:numCache>
            </c:numRef>
          </c:val>
          <c:extLst>
            <c:ext xmlns:c16="http://schemas.microsoft.com/office/drawing/2014/chart" uri="{C3380CC4-5D6E-409C-BE32-E72D297353CC}">
              <c16:uniqueId val="{00000003-F65E-4DCA-969C-D03CE9F1CEAF}"/>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IPP'!$R$31:$AP$31</c:f>
              <c:numCache>
                <c:formatCode>0.0</c:formatCode>
                <c:ptCount val="25"/>
                <c:pt idx="0">
                  <c:v>0.10170488438327828</c:v>
                </c:pt>
                <c:pt idx="1">
                  <c:v>1.5778276536074189E-2</c:v>
                </c:pt>
                <c:pt idx="2">
                  <c:v>4.1438955080881863E-2</c:v>
                </c:pt>
                <c:pt idx="3">
                  <c:v>-7.3024462330519888E-2</c:v>
                </c:pt>
                <c:pt idx="4">
                  <c:v>-4.9806451474101454E-3</c:v>
                </c:pt>
                <c:pt idx="5">
                  <c:v>5.957617604494695E-2</c:v>
                </c:pt>
                <c:pt idx="6">
                  <c:v>5.0898250959063439E-2</c:v>
                </c:pt>
                <c:pt idx="7">
                  <c:v>0.16208766562248597</c:v>
                </c:pt>
                <c:pt idx="8">
                  <c:v>0.14070745650190031</c:v>
                </c:pt>
                <c:pt idx="9">
                  <c:v>0.36181300424777024</c:v>
                </c:pt>
                <c:pt idx="10">
                  <c:v>0.23055137883893681</c:v>
                </c:pt>
                <c:pt idx="11">
                  <c:v>0.23490764813394466</c:v>
                </c:pt>
                <c:pt idx="12">
                  <c:v>0.39572929891866881</c:v>
                </c:pt>
                <c:pt idx="13">
                  <c:v>0.15494190944138145</c:v>
                </c:pt>
                <c:pt idx="14">
                  <c:v>0.63675141042476269</c:v>
                </c:pt>
                <c:pt idx="15">
                  <c:v>0.31197941341144203</c:v>
                </c:pt>
                <c:pt idx="16">
                  <c:v>-0.1138094906464448</c:v>
                </c:pt>
                <c:pt idx="17">
                  <c:v>-4.3015769550027276E-2</c:v>
                </c:pt>
                <c:pt idx="18">
                  <c:v>-0.61199925873530214</c:v>
                </c:pt>
                <c:pt idx="19">
                  <c:v>-0.34608902926122082</c:v>
                </c:pt>
                <c:pt idx="20">
                  <c:v>-9.4244777563469689E-2</c:v>
                </c:pt>
                <c:pt idx="21">
                  <c:v>-0.28016760614498631</c:v>
                </c:pt>
                <c:pt idx="22">
                  <c:v>4.1733310663326162E-3</c:v>
                </c:pt>
                <c:pt idx="23">
                  <c:v>-5.8819144540146794E-3</c:v>
                </c:pt>
              </c:numCache>
            </c:numRef>
          </c:val>
          <c:extLst>
            <c:ext xmlns:c16="http://schemas.microsoft.com/office/drawing/2014/chart" uri="{C3380CC4-5D6E-409C-BE32-E72D297353CC}">
              <c16:uniqueId val="{00000004-F65E-4DCA-969C-D03CE9F1CEAF}"/>
            </c:ext>
          </c:extLst>
        </c:ser>
        <c:ser>
          <c:idx val="5"/>
          <c:order val="5"/>
          <c:tx>
            <c:strRef>
              <c:f>'GRAF příspěvky IPP'!$A$32</c:f>
              <c:strCache>
                <c:ptCount val="1"/>
                <c:pt idx="0">
                  <c:v>Chemický a farmaceutický pr. (20, 21)</c:v>
                </c:pt>
              </c:strCache>
            </c:strRef>
          </c:tx>
          <c:spPr>
            <a:solidFill>
              <a:srgbClr val="F8A124"/>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IPP'!$R$32:$AP$32</c:f>
              <c:numCache>
                <c:formatCode>0.0</c:formatCode>
                <c:ptCount val="25"/>
                <c:pt idx="0">
                  <c:v>7.7145180063932006E-2</c:v>
                </c:pt>
                <c:pt idx="1">
                  <c:v>0.23592734761971534</c:v>
                </c:pt>
                <c:pt idx="2">
                  <c:v>-0.16190483408394998</c:v>
                </c:pt>
                <c:pt idx="3">
                  <c:v>-0.33492372911335988</c:v>
                </c:pt>
                <c:pt idx="4">
                  <c:v>-0.41681031625325043</c:v>
                </c:pt>
                <c:pt idx="5">
                  <c:v>-0.42807091512785361</c:v>
                </c:pt>
                <c:pt idx="6">
                  <c:v>-0.10710300214484272</c:v>
                </c:pt>
                <c:pt idx="7">
                  <c:v>0.23735256894613982</c:v>
                </c:pt>
                <c:pt idx="8">
                  <c:v>0.52023701192457539</c:v>
                </c:pt>
                <c:pt idx="9">
                  <c:v>0.8265323370449118</c:v>
                </c:pt>
                <c:pt idx="10">
                  <c:v>0.65153742268467851</c:v>
                </c:pt>
                <c:pt idx="11">
                  <c:v>0.50476336901670693</c:v>
                </c:pt>
                <c:pt idx="12">
                  <c:v>0.40498332734603759</c:v>
                </c:pt>
                <c:pt idx="13">
                  <c:v>7.959649597511656E-2</c:v>
                </c:pt>
                <c:pt idx="14">
                  <c:v>-5.3166653427509744E-2</c:v>
                </c:pt>
                <c:pt idx="15">
                  <c:v>-6.9022660855142706E-2</c:v>
                </c:pt>
                <c:pt idx="16">
                  <c:v>0.10388406561335245</c:v>
                </c:pt>
                <c:pt idx="17">
                  <c:v>4.8446934125945446E-2</c:v>
                </c:pt>
                <c:pt idx="18">
                  <c:v>0.22806927156168727</c:v>
                </c:pt>
                <c:pt idx="19">
                  <c:v>3.1408071024151746E-2</c:v>
                </c:pt>
                <c:pt idx="20">
                  <c:v>-3.2158631476948973E-2</c:v>
                </c:pt>
                <c:pt idx="21">
                  <c:v>-0.54857219231072263</c:v>
                </c:pt>
                <c:pt idx="22">
                  <c:v>-0.21329862089654433</c:v>
                </c:pt>
                <c:pt idx="23">
                  <c:v>0.43262887365676678</c:v>
                </c:pt>
              </c:numCache>
            </c:numRef>
          </c:val>
          <c:extLst>
            <c:ext xmlns:c16="http://schemas.microsoft.com/office/drawing/2014/chart" uri="{C3380CC4-5D6E-409C-BE32-E72D297353CC}">
              <c16:uniqueId val="{00000005-F65E-4DCA-969C-D03CE9F1CEAF}"/>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IPP'!$R$33:$AP$33</c:f>
              <c:numCache>
                <c:formatCode>0.0</c:formatCode>
                <c:ptCount val="25"/>
                <c:pt idx="0">
                  <c:v>0.99791732990160331</c:v>
                </c:pt>
                <c:pt idx="1">
                  <c:v>0.89879889524708523</c:v>
                </c:pt>
                <c:pt idx="2">
                  <c:v>1.0131351242508335</c:v>
                </c:pt>
                <c:pt idx="3">
                  <c:v>-0.23058687737441785</c:v>
                </c:pt>
                <c:pt idx="4">
                  <c:v>0.26302900768530285</c:v>
                </c:pt>
                <c:pt idx="5">
                  <c:v>-0.36259040041020835</c:v>
                </c:pt>
                <c:pt idx="6">
                  <c:v>6.0042066841197061E-2</c:v>
                </c:pt>
                <c:pt idx="7">
                  <c:v>0.57478968559379218</c:v>
                </c:pt>
                <c:pt idx="8">
                  <c:v>7.0362086300343754E-2</c:v>
                </c:pt>
                <c:pt idx="9">
                  <c:v>1.4963530143159023</c:v>
                </c:pt>
                <c:pt idx="10">
                  <c:v>0.75566150983946234</c:v>
                </c:pt>
                <c:pt idx="11">
                  <c:v>0.97333538176673595</c:v>
                </c:pt>
                <c:pt idx="12">
                  <c:v>1.1566595398624029</c:v>
                </c:pt>
                <c:pt idx="13">
                  <c:v>0.67218569394475614</c:v>
                </c:pt>
                <c:pt idx="14">
                  <c:v>1.1044934074231074</c:v>
                </c:pt>
                <c:pt idx="15">
                  <c:v>0.4900555089476254</c:v>
                </c:pt>
                <c:pt idx="16">
                  <c:v>-4.5141994532615914E-2</c:v>
                </c:pt>
                <c:pt idx="17">
                  <c:v>4.2037649083112624E-2</c:v>
                </c:pt>
                <c:pt idx="18">
                  <c:v>-0.66085160777663721</c:v>
                </c:pt>
                <c:pt idx="19">
                  <c:v>-0.22518150415497493</c:v>
                </c:pt>
                <c:pt idx="20">
                  <c:v>7.944029876236916E-2</c:v>
                </c:pt>
                <c:pt idx="21">
                  <c:v>-2.8342049584608784</c:v>
                </c:pt>
                <c:pt idx="22">
                  <c:v>8.3831795339215309E-2</c:v>
                </c:pt>
                <c:pt idx="23">
                  <c:v>9.7608445372536962E-2</c:v>
                </c:pt>
              </c:numCache>
            </c:numRef>
          </c:val>
          <c:extLst>
            <c:ext xmlns:c16="http://schemas.microsoft.com/office/drawing/2014/chart" uri="{C3380CC4-5D6E-409C-BE32-E72D297353CC}">
              <c16:uniqueId val="{00000006-F65E-4DCA-969C-D03CE9F1CEAF}"/>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IPP'!$R$34:$AP$34</c:f>
              <c:numCache>
                <c:formatCode>0.0</c:formatCode>
                <c:ptCount val="25"/>
                <c:pt idx="0">
                  <c:v>0.14533349397844122</c:v>
                </c:pt>
                <c:pt idx="1">
                  <c:v>-0.33982009504636901</c:v>
                </c:pt>
                <c:pt idx="2">
                  <c:v>-0.39704286301123137</c:v>
                </c:pt>
                <c:pt idx="3">
                  <c:v>-1.1146952173599984</c:v>
                </c:pt>
                <c:pt idx="4">
                  <c:v>-0.64578884114030577</c:v>
                </c:pt>
                <c:pt idx="5">
                  <c:v>9.8480952736059002E-2</c:v>
                </c:pt>
                <c:pt idx="6">
                  <c:v>-0.47666619461012838</c:v>
                </c:pt>
                <c:pt idx="7">
                  <c:v>0.50387184593657341</c:v>
                </c:pt>
                <c:pt idx="8">
                  <c:v>0.66203458180136321</c:v>
                </c:pt>
                <c:pt idx="9">
                  <c:v>-0.18221417078455418</c:v>
                </c:pt>
                <c:pt idx="10">
                  <c:v>0.77181444314425951</c:v>
                </c:pt>
                <c:pt idx="11">
                  <c:v>0.73266059102437608</c:v>
                </c:pt>
                <c:pt idx="12">
                  <c:v>-0.53877484071672854</c:v>
                </c:pt>
                <c:pt idx="13">
                  <c:v>4.1518654456083465E-3</c:v>
                </c:pt>
                <c:pt idx="14">
                  <c:v>0.7878560558880805</c:v>
                </c:pt>
                <c:pt idx="15">
                  <c:v>0.33112124011704824</c:v>
                </c:pt>
                <c:pt idx="16">
                  <c:v>0.21327689053916421</c:v>
                </c:pt>
                <c:pt idx="17">
                  <c:v>4.5976789373567417E-2</c:v>
                </c:pt>
                <c:pt idx="18">
                  <c:v>-0.66585611552579071</c:v>
                </c:pt>
                <c:pt idx="19">
                  <c:v>-0.33080115525945808</c:v>
                </c:pt>
                <c:pt idx="20">
                  <c:v>-0.97349186051930126</c:v>
                </c:pt>
                <c:pt idx="21">
                  <c:v>-1.5875483871345766</c:v>
                </c:pt>
                <c:pt idx="22">
                  <c:v>-0.71557941839312744</c:v>
                </c:pt>
                <c:pt idx="23">
                  <c:v>-0.69499205914749695</c:v>
                </c:pt>
              </c:numCache>
            </c:numRef>
          </c:val>
          <c:extLst>
            <c:ext xmlns:c16="http://schemas.microsoft.com/office/drawing/2014/chart" uri="{C3380CC4-5D6E-409C-BE32-E72D297353CC}">
              <c16:uniqueId val="{00000007-F65E-4DCA-969C-D03CE9F1CEAF}"/>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Průmysl celkem (NACE B, C,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IPP'!$R$35:$AP$35</c:f>
              <c:numCache>
                <c:formatCode>0.0</c:formatCode>
                <c:ptCount val="25"/>
                <c:pt idx="0">
                  <c:v>4.8683324815000049</c:v>
                </c:pt>
                <c:pt idx="1">
                  <c:v>5.304623734499998</c:v>
                </c:pt>
                <c:pt idx="2">
                  <c:v>5.6197797224999988</c:v>
                </c:pt>
                <c:pt idx="3">
                  <c:v>2.3833547188000068</c:v>
                </c:pt>
                <c:pt idx="4">
                  <c:v>4.4736208798999968</c:v>
                </c:pt>
                <c:pt idx="5">
                  <c:v>2.6080480258000023</c:v>
                </c:pt>
                <c:pt idx="6">
                  <c:v>1.6850856128999965</c:v>
                </c:pt>
                <c:pt idx="7">
                  <c:v>3.507956713300004</c:v>
                </c:pt>
                <c:pt idx="8">
                  <c:v>4.7767742058999971</c:v>
                </c:pt>
                <c:pt idx="9">
                  <c:v>8.0194475181999962</c:v>
                </c:pt>
                <c:pt idx="10">
                  <c:v>6.5564931031999976</c:v>
                </c:pt>
                <c:pt idx="11">
                  <c:v>7.5449508760000015</c:v>
                </c:pt>
                <c:pt idx="12">
                  <c:v>4.2605942811999995</c:v>
                </c:pt>
                <c:pt idx="13">
                  <c:v>2.4108772568999939</c:v>
                </c:pt>
                <c:pt idx="14">
                  <c:v>3.7336380236999958</c:v>
                </c:pt>
                <c:pt idx="15">
                  <c:v>1.9645674939999935</c:v>
                </c:pt>
                <c:pt idx="16">
                  <c:v>0.85630770029999326</c:v>
                </c:pt>
                <c:pt idx="17">
                  <c:v>0.97049799910000445</c:v>
                </c:pt>
                <c:pt idx="18">
                  <c:v>-1.1417142861999992</c:v>
                </c:pt>
                <c:pt idx="19">
                  <c:v>-2.0695948447999939</c:v>
                </c:pt>
                <c:pt idx="20">
                  <c:v>-4.3905288952000063</c:v>
                </c:pt>
                <c:pt idx="21">
                  <c:v>-22.942750985499998</c:v>
                </c:pt>
                <c:pt idx="22">
                  <c:v>-2.8135980481000047</c:v>
                </c:pt>
                <c:pt idx="23">
                  <c:v>2.0470576521999959</c:v>
                </c:pt>
              </c:numCache>
            </c:numRef>
          </c:val>
          <c:smooth val="0"/>
          <c:extLst>
            <c:ext xmlns:c16="http://schemas.microsoft.com/office/drawing/2014/chart" uri="{C3380CC4-5D6E-409C-BE32-E72D297353CC}">
              <c16:uniqueId val="{00000008-F65E-4DCA-969C-D03CE9F1CEAF}"/>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IPP'!$R$25:$AP$26</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'GRAF příspěvky IPP'!$R$36:$AP$36</c:f>
              <c:numCache>
                <c:formatCode>0.0</c:formatCode>
                <c:ptCount val="25"/>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-25.3</c:v>
                </c:pt>
                <c:pt idx="22">
                  <c:v>-6.3</c:v>
                </c:pt>
                <c:pt idx="23">
                  <c:v>-10</c:v>
                </c:pt>
                <c:pt idx="24">
                  <c:v>-1.3</c:v>
                </c:pt>
              </c:numCache>
            </c:numRef>
          </c:val>
          <c:smooth val="0"/>
          <c:extLst>
            <c:ext xmlns:c16="http://schemas.microsoft.com/office/drawing/2014/chart" uri="{C3380CC4-5D6E-409C-BE32-E72D297353CC}">
              <c16:uniqueId val="{00000009-F65E-4DCA-969C-D03CE9F1CEAF}"/>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9"/>
          <c:min val="-27"/>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Průmyslová</a:t>
                </a:r>
                <a:r>
                  <a:rPr lang="cs-CZ" sz="700" b="0" i="1" baseline="0">
                    <a:latin typeface="Arial" panose="020B0604020202020204" pitchFamily="34" charset="0"/>
                    <a:cs typeface="Arial" panose="020B0604020202020204" pitchFamily="34" charset="0"/>
                  </a:rPr>
                  <a:t> produkce</a:t>
                </a:r>
                <a:endParaRPr lang="cs-CZ" sz="700" b="0" i="1">
                  <a:latin typeface="Arial" panose="020B0604020202020204" pitchFamily="34" charset="0"/>
                  <a:cs typeface="Arial" panose="020B0604020202020204" pitchFamily="34" charset="0"/>
                </a:endParaRPr>
              </a:p>
            </c:rich>
          </c:tx>
          <c:layout>
            <c:manualLayout>
              <c:xMode val="edge"/>
              <c:yMode val="edge"/>
              <c:x val="0"/>
              <c:y val="0.2024453460319801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3"/>
      </c:valAx>
      <c:valAx>
        <c:axId val="1513729024"/>
        <c:scaling>
          <c:orientation val="minMax"/>
          <c:max val="3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a:t>
                </a:r>
                <a:r>
                  <a:rPr lang="cs-CZ" sz="700" b="0" i="1" baseline="0">
                    <a:latin typeface="Arial" panose="020B0604020202020204" pitchFamily="34" charset="0"/>
                    <a:cs typeface="Arial" panose="020B0604020202020204" pitchFamily="34" charset="0"/>
                  </a:rPr>
                  <a:t> indikátoru důvěry</a:t>
                </a:r>
                <a:endParaRPr lang="cs-CZ" sz="700" b="0" i="1">
                  <a:latin typeface="Arial" panose="020B0604020202020204" pitchFamily="34" charset="0"/>
                  <a:cs typeface="Arial" panose="020B0604020202020204" pitchFamily="34" charset="0"/>
                </a:endParaRPr>
              </a:p>
            </c:rich>
          </c:tx>
          <c:layout>
            <c:manualLayout>
              <c:xMode val="edge"/>
              <c:yMode val="edge"/>
              <c:x val="0.97073916983354047"/>
              <c:y val="0.191915607754587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3674313143127631E-3"/>
          <c:y val="0.8208401379824497"/>
          <c:w val="0.99049246182308814"/>
          <c:h val="0.1680903527628885"/>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76336766858043459"/>
        </c:manualLayout>
      </c:layout>
      <c:barChart>
        <c:barDir val="col"/>
        <c:grouping val="clustered"/>
        <c:varyColors val="0"/>
        <c:ser>
          <c:idx val="0"/>
          <c:order val="0"/>
          <c:tx>
            <c:strRef>
              <c:f>'výkonnost odvětví 2'!$A$31</c:f>
              <c:strCache>
                <c:ptCount val="1"/>
                <c:pt idx="0">
                  <c:v>Průmyslové zakázky celkem</c:v>
                </c:pt>
              </c:strCache>
            </c:strRef>
          </c:tx>
          <c:spPr>
            <a:solidFill>
              <a:schemeClr val="bg1">
                <a:lumMod val="65000"/>
              </a:schemeClr>
            </a:solidFill>
            <a:ln w="12700">
              <a:noFill/>
              <a:prstDash val="solid"/>
            </a:ln>
          </c:spPr>
          <c:invertIfNegative val="0"/>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2'!$R$31:$AP$31</c:f>
              <c:numCache>
                <c:formatCode>#,##0.0__</c:formatCode>
                <c:ptCount val="25"/>
                <c:pt idx="0">
                  <c:v>8.5397251010390391</c:v>
                </c:pt>
                <c:pt idx="1">
                  <c:v>6.4894834031568251</c:v>
                </c:pt>
                <c:pt idx="2">
                  <c:v>4.1045761314248068</c:v>
                </c:pt>
                <c:pt idx="3">
                  <c:v>6.0151063810169205</c:v>
                </c:pt>
                <c:pt idx="4">
                  <c:v>1.3550678522953064</c:v>
                </c:pt>
                <c:pt idx="5">
                  <c:v>10.856046878525433</c:v>
                </c:pt>
                <c:pt idx="6">
                  <c:v>1.6431282237439291</c:v>
                </c:pt>
                <c:pt idx="7">
                  <c:v>6.7220844736941103</c:v>
                </c:pt>
                <c:pt idx="8">
                  <c:v>10.841479121555906</c:v>
                </c:pt>
                <c:pt idx="9">
                  <c:v>4.5315942367003714</c:v>
                </c:pt>
                <c:pt idx="10">
                  <c:v>6.9082617878945598</c:v>
                </c:pt>
                <c:pt idx="11">
                  <c:v>7.5112613571588724</c:v>
                </c:pt>
                <c:pt idx="12">
                  <c:v>1.6339188767607453</c:v>
                </c:pt>
                <c:pt idx="13">
                  <c:v>4.6301209797549205</c:v>
                </c:pt>
                <c:pt idx="14">
                  <c:v>3.6945404784506337</c:v>
                </c:pt>
                <c:pt idx="15">
                  <c:v>4.2467023509658759</c:v>
                </c:pt>
                <c:pt idx="16">
                  <c:v>3.2159327201169816</c:v>
                </c:pt>
                <c:pt idx="17">
                  <c:v>0.65858715061426665</c:v>
                </c:pt>
                <c:pt idx="18">
                  <c:v>2.2747163836690305</c:v>
                </c:pt>
                <c:pt idx="19">
                  <c:v>-4.7832000111320241</c:v>
                </c:pt>
                <c:pt idx="20">
                  <c:v>-1.2762466132796817</c:v>
                </c:pt>
                <c:pt idx="21">
                  <c:v>-27.685678861776282</c:v>
                </c:pt>
                <c:pt idx="22">
                  <c:v>-2.0849225069869703</c:v>
                </c:pt>
                <c:pt idx="23">
                  <c:v>6.882954384462451</c:v>
                </c:pt>
              </c:numCache>
            </c:numRef>
          </c:val>
          <c:extLst>
            <c:ext xmlns:c16="http://schemas.microsoft.com/office/drawing/2014/chart" uri="{C3380CC4-5D6E-409C-BE32-E72D297353CC}">
              <c16:uniqueId val="{00000000-30C6-4022-9988-6AFF27169D4A}"/>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Průmyslové zakázky z tuzemska</c:v>
                </c:pt>
              </c:strCache>
            </c:strRef>
          </c:tx>
          <c:spPr>
            <a:ln w="15875">
              <a:solidFill>
                <a:srgbClr val="0070C0"/>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2'!$R$32:$AP$32</c:f>
              <c:numCache>
                <c:formatCode>#,##0.0__</c:formatCode>
                <c:ptCount val="25"/>
                <c:pt idx="0">
                  <c:v>4.341961301010727</c:v>
                </c:pt>
                <c:pt idx="1">
                  <c:v>10.024449168168019</c:v>
                </c:pt>
                <c:pt idx="2">
                  <c:v>-4.7604240586837108</c:v>
                </c:pt>
                <c:pt idx="3">
                  <c:v>0.56107209694786775</c:v>
                </c:pt>
                <c:pt idx="4">
                  <c:v>0.20304376106223287</c:v>
                </c:pt>
                <c:pt idx="5">
                  <c:v>4.9376200007964286</c:v>
                </c:pt>
                <c:pt idx="6">
                  <c:v>-0.65834656713856532</c:v>
                </c:pt>
                <c:pt idx="7">
                  <c:v>2.873089889380708</c:v>
                </c:pt>
                <c:pt idx="8">
                  <c:v>16.722989365311648</c:v>
                </c:pt>
                <c:pt idx="9">
                  <c:v>11.567742610098009</c:v>
                </c:pt>
                <c:pt idx="10">
                  <c:v>14.702871802754672</c:v>
                </c:pt>
                <c:pt idx="11">
                  <c:v>15.641374658030259</c:v>
                </c:pt>
                <c:pt idx="12">
                  <c:v>-0.54655499165191657</c:v>
                </c:pt>
                <c:pt idx="13">
                  <c:v>3.3862320433243838</c:v>
                </c:pt>
                <c:pt idx="14">
                  <c:v>4.5707977831681177</c:v>
                </c:pt>
                <c:pt idx="15">
                  <c:v>4.8009732818449038</c:v>
                </c:pt>
                <c:pt idx="16">
                  <c:v>8.0074778782798006</c:v>
                </c:pt>
                <c:pt idx="17">
                  <c:v>4.3685672275757952</c:v>
                </c:pt>
                <c:pt idx="18">
                  <c:v>3.2795252635021939</c:v>
                </c:pt>
                <c:pt idx="19">
                  <c:v>-2.4886565019466786</c:v>
                </c:pt>
                <c:pt idx="20">
                  <c:v>6.4934467246087451</c:v>
                </c:pt>
                <c:pt idx="21">
                  <c:v>-25.916734002239323</c:v>
                </c:pt>
                <c:pt idx="22">
                  <c:v>-3.9678211678045017</c:v>
                </c:pt>
                <c:pt idx="23">
                  <c:v>6.667164135045283</c:v>
                </c:pt>
              </c:numCache>
            </c:numRef>
          </c:val>
          <c:smooth val="0"/>
          <c:extLst>
            <c:ext xmlns:c16="http://schemas.microsoft.com/office/drawing/2014/chart" uri="{C3380CC4-5D6E-409C-BE32-E72D297353CC}">
              <c16:uniqueId val="{00000001-30C6-4022-9988-6AFF27169D4A}"/>
            </c:ext>
          </c:extLst>
        </c:ser>
        <c:ser>
          <c:idx val="5"/>
          <c:order val="2"/>
          <c:tx>
            <c:strRef>
              <c:f>'výkonnost odvětví 2'!$A$33</c:f>
              <c:strCache>
                <c:ptCount val="1"/>
                <c:pt idx="0">
                  <c:v>Celk. zakázky ve výrobě motor. voz.</c:v>
                </c:pt>
              </c:strCache>
            </c:strRef>
          </c:tx>
          <c:spPr>
            <a:ln w="15875">
              <a:solidFill>
                <a:srgbClr val="BD1B21"/>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2'!$R$33:$AP$33</c:f>
              <c:numCache>
                <c:formatCode>#,##0.0__</c:formatCode>
                <c:ptCount val="25"/>
                <c:pt idx="0">
                  <c:v>15.316352438277931</c:v>
                </c:pt>
                <c:pt idx="1">
                  <c:v>5.584343456517459</c:v>
                </c:pt>
                <c:pt idx="2">
                  <c:v>13.898535777390734</c:v>
                </c:pt>
                <c:pt idx="3">
                  <c:v>18.975191723154538</c:v>
                </c:pt>
                <c:pt idx="4">
                  <c:v>11.460497347422447</c:v>
                </c:pt>
                <c:pt idx="5">
                  <c:v>33.085131031292235</c:v>
                </c:pt>
                <c:pt idx="6">
                  <c:v>5.912380139380474</c:v>
                </c:pt>
                <c:pt idx="7">
                  <c:v>12.001000805244416</c:v>
                </c:pt>
                <c:pt idx="8">
                  <c:v>7.9804719471503205</c:v>
                </c:pt>
                <c:pt idx="9">
                  <c:v>-1.7592612473364966</c:v>
                </c:pt>
                <c:pt idx="10">
                  <c:v>3.8626497182263222</c:v>
                </c:pt>
                <c:pt idx="11">
                  <c:v>0.37376710568412364</c:v>
                </c:pt>
                <c:pt idx="12">
                  <c:v>0.60861960894675349</c:v>
                </c:pt>
                <c:pt idx="13">
                  <c:v>3.6675371997157811</c:v>
                </c:pt>
                <c:pt idx="14">
                  <c:v>0.69699979014031044</c:v>
                </c:pt>
                <c:pt idx="15">
                  <c:v>1.0371076901644045</c:v>
                </c:pt>
                <c:pt idx="16">
                  <c:v>2.3844519038519962</c:v>
                </c:pt>
                <c:pt idx="17">
                  <c:v>3.1505861553301884</c:v>
                </c:pt>
                <c:pt idx="18">
                  <c:v>7.8772894879504776</c:v>
                </c:pt>
                <c:pt idx="19">
                  <c:v>-0.27078960340936931</c:v>
                </c:pt>
                <c:pt idx="20">
                  <c:v>-6.5941090261626556</c:v>
                </c:pt>
                <c:pt idx="21">
                  <c:v>-43.297757603226039</c:v>
                </c:pt>
                <c:pt idx="22">
                  <c:v>3.6539438072891244</c:v>
                </c:pt>
                <c:pt idx="23">
                  <c:v>8.0597939162845336</c:v>
                </c:pt>
              </c:numCache>
            </c:numRef>
          </c:val>
          <c:smooth val="0"/>
          <c:extLst>
            <c:ext xmlns:c16="http://schemas.microsoft.com/office/drawing/2014/chart" uri="{C3380CC4-5D6E-409C-BE32-E72D297353CC}">
              <c16:uniqueId val="{00000002-30C6-4022-9988-6AFF27169D4A}"/>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3"/>
          <c:order val="3"/>
          <c:tx>
            <c:strRef>
              <c:f>'výkonnost odvětví 2'!$A$34</c:f>
              <c:strCache>
                <c:ptCount val="1"/>
                <c:pt idx="0">
                  <c:v>Využití výrob. kapacit v prům. (pr. osa)</c:v>
                </c:pt>
              </c:strCache>
            </c:strRef>
          </c:tx>
          <c:spPr>
            <a:ln w="19050">
              <a:solidFill>
                <a:srgbClr val="00B050"/>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2'!$R$34:$AP$34</c:f>
              <c:numCache>
                <c:formatCode>#,##0.0</c:formatCode>
                <c:ptCount val="25"/>
                <c:pt idx="0">
                  <c:v>86.2</c:v>
                </c:pt>
                <c:pt idx="1">
                  <c:v>85</c:v>
                </c:pt>
                <c:pt idx="2">
                  <c:v>85.6</c:v>
                </c:pt>
                <c:pt idx="3">
                  <c:v>83.9</c:v>
                </c:pt>
                <c:pt idx="4">
                  <c:v>84.5</c:v>
                </c:pt>
                <c:pt idx="5">
                  <c:v>84.7</c:v>
                </c:pt>
                <c:pt idx="6">
                  <c:v>84.7</c:v>
                </c:pt>
                <c:pt idx="7">
                  <c:v>84.1</c:v>
                </c:pt>
                <c:pt idx="8">
                  <c:v>84.9</c:v>
                </c:pt>
                <c:pt idx="9">
                  <c:v>83.1</c:v>
                </c:pt>
                <c:pt idx="10">
                  <c:v>84.4</c:v>
                </c:pt>
                <c:pt idx="11">
                  <c:v>84.3</c:v>
                </c:pt>
                <c:pt idx="12">
                  <c:v>85.8</c:v>
                </c:pt>
                <c:pt idx="13">
                  <c:v>85.4</c:v>
                </c:pt>
                <c:pt idx="14">
                  <c:v>86.2</c:v>
                </c:pt>
                <c:pt idx="15">
                  <c:v>85.8</c:v>
                </c:pt>
                <c:pt idx="16">
                  <c:v>85.8</c:v>
                </c:pt>
                <c:pt idx="17">
                  <c:v>85.9</c:v>
                </c:pt>
                <c:pt idx="18">
                  <c:v>84.8</c:v>
                </c:pt>
                <c:pt idx="19">
                  <c:v>84.1</c:v>
                </c:pt>
                <c:pt idx="20">
                  <c:v>84.2</c:v>
                </c:pt>
                <c:pt idx="21">
                  <c:v>71</c:v>
                </c:pt>
                <c:pt idx="22">
                  <c:v>75.5</c:v>
                </c:pt>
                <c:pt idx="23">
                  <c:v>81.099999999999994</c:v>
                </c:pt>
                <c:pt idx="24">
                  <c:v>83.4</c:v>
                </c:pt>
              </c:numCache>
            </c:numRef>
          </c:val>
          <c:smooth val="0"/>
          <c:extLst>
            <c:ext xmlns:c16="http://schemas.microsoft.com/office/drawing/2014/chart" uri="{C3380CC4-5D6E-409C-BE32-E72D297353CC}">
              <c16:uniqueId val="{00000003-30C6-4022-9988-6AFF27169D4A}"/>
            </c:ext>
          </c:extLst>
        </c:ser>
        <c:ser>
          <c:idx val="1"/>
          <c:order val="4"/>
          <c:tx>
            <c:strRef>
              <c:f>'výkonnost odvětví 2'!$A$35</c:f>
              <c:strCache>
                <c:ptCount val="1"/>
                <c:pt idx="0">
                  <c:v>Využití kapac. v automobil. pr. (pr. osa)</c:v>
                </c:pt>
              </c:strCache>
            </c:strRef>
          </c:tx>
          <c:spPr>
            <a:ln w="15875">
              <a:solidFill>
                <a:srgbClr val="00B050"/>
              </a:solidFill>
              <a:prstDash val="sysDash"/>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2'!$R$35:$AP$35</c:f>
              <c:numCache>
                <c:formatCode>0.0</c:formatCode>
                <c:ptCount val="25"/>
                <c:pt idx="0">
                  <c:v>92.8</c:v>
                </c:pt>
                <c:pt idx="1">
                  <c:v>91.1</c:v>
                </c:pt>
                <c:pt idx="2">
                  <c:v>93.1</c:v>
                </c:pt>
                <c:pt idx="3">
                  <c:v>88.7</c:v>
                </c:pt>
                <c:pt idx="4">
                  <c:v>91.6</c:v>
                </c:pt>
                <c:pt idx="5">
                  <c:v>90.3</c:v>
                </c:pt>
                <c:pt idx="6">
                  <c:v>93.1</c:v>
                </c:pt>
                <c:pt idx="7">
                  <c:v>90.9</c:v>
                </c:pt>
                <c:pt idx="8">
                  <c:v>93.2</c:v>
                </c:pt>
                <c:pt idx="9">
                  <c:v>87.3</c:v>
                </c:pt>
                <c:pt idx="10">
                  <c:v>90.7</c:v>
                </c:pt>
                <c:pt idx="11">
                  <c:v>90.5</c:v>
                </c:pt>
                <c:pt idx="12">
                  <c:v>91.1</c:v>
                </c:pt>
                <c:pt idx="13">
                  <c:v>91.6</c:v>
                </c:pt>
                <c:pt idx="14">
                  <c:v>92.1</c:v>
                </c:pt>
                <c:pt idx="15">
                  <c:v>93</c:v>
                </c:pt>
                <c:pt idx="16">
                  <c:v>92.8</c:v>
                </c:pt>
                <c:pt idx="17">
                  <c:v>93.6</c:v>
                </c:pt>
                <c:pt idx="18">
                  <c:v>92.3</c:v>
                </c:pt>
                <c:pt idx="19">
                  <c:v>93.4</c:v>
                </c:pt>
                <c:pt idx="20">
                  <c:v>90.5</c:v>
                </c:pt>
                <c:pt idx="21">
                  <c:v>50.8</c:v>
                </c:pt>
                <c:pt idx="22" formatCode="General">
                  <c:v>75.3</c:v>
                </c:pt>
                <c:pt idx="23" formatCode="General">
                  <c:v>90.9</c:v>
                </c:pt>
                <c:pt idx="24" formatCode="General">
                  <c:v>90.3</c:v>
                </c:pt>
              </c:numCache>
            </c:numRef>
          </c:val>
          <c:smooth val="0"/>
          <c:extLst>
            <c:ext xmlns:c16="http://schemas.microsoft.com/office/drawing/2014/chart" uri="{C3380CC4-5D6E-409C-BE32-E72D297353CC}">
              <c16:uniqueId val="{00000004-30C6-4022-9988-6AFF27169D4A}"/>
            </c:ext>
          </c:extLst>
        </c:ser>
        <c:ser>
          <c:idx val="4"/>
          <c:order val="5"/>
          <c:tx>
            <c:strRef>
              <c:f>'výkonnost odvětví 2'!$A$36</c:f>
              <c:strCache>
                <c:ptCount val="1"/>
                <c:pt idx="0">
                  <c:v>Bariéra růstu: nedost. poptávka (pr. osa)</c:v>
                </c:pt>
              </c:strCache>
            </c:strRef>
          </c:tx>
          <c:spPr>
            <a:ln w="15875">
              <a:solidFill>
                <a:srgbClr val="D2CD00"/>
              </a:solidFill>
              <a:prstDash val="solid"/>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2'!$R$36:$AP$36</c:f>
              <c:numCache>
                <c:formatCode>#,##0.0</c:formatCode>
                <c:ptCount val="25"/>
                <c:pt idx="0">
                  <c:v>43.6</c:v>
                </c:pt>
                <c:pt idx="1">
                  <c:v>49.6</c:v>
                </c:pt>
                <c:pt idx="2">
                  <c:v>47.8</c:v>
                </c:pt>
                <c:pt idx="3">
                  <c:v>47.8</c:v>
                </c:pt>
                <c:pt idx="4">
                  <c:v>45.7</c:v>
                </c:pt>
                <c:pt idx="5">
                  <c:v>45.5</c:v>
                </c:pt>
                <c:pt idx="6">
                  <c:v>43</c:v>
                </c:pt>
                <c:pt idx="7">
                  <c:v>43.8</c:v>
                </c:pt>
                <c:pt idx="8">
                  <c:v>42.7</c:v>
                </c:pt>
                <c:pt idx="9">
                  <c:v>41.6</c:v>
                </c:pt>
                <c:pt idx="10">
                  <c:v>40.299999999999997</c:v>
                </c:pt>
                <c:pt idx="11">
                  <c:v>37.299999999999997</c:v>
                </c:pt>
                <c:pt idx="12">
                  <c:v>35.4</c:v>
                </c:pt>
                <c:pt idx="13">
                  <c:v>36</c:v>
                </c:pt>
                <c:pt idx="14">
                  <c:v>31.6</c:v>
                </c:pt>
                <c:pt idx="15">
                  <c:v>33.4</c:v>
                </c:pt>
                <c:pt idx="16">
                  <c:v>33.700000000000003</c:v>
                </c:pt>
                <c:pt idx="17">
                  <c:v>35.299999999999997</c:v>
                </c:pt>
                <c:pt idx="18">
                  <c:v>40.1</c:v>
                </c:pt>
                <c:pt idx="19">
                  <c:v>47.3</c:v>
                </c:pt>
                <c:pt idx="20">
                  <c:v>50.4</c:v>
                </c:pt>
                <c:pt idx="21">
                  <c:v>58.4</c:v>
                </c:pt>
                <c:pt idx="22">
                  <c:v>63.2</c:v>
                </c:pt>
                <c:pt idx="23">
                  <c:v>47.9</c:v>
                </c:pt>
                <c:pt idx="24">
                  <c:v>48.7</c:v>
                </c:pt>
              </c:numCache>
            </c:numRef>
          </c:val>
          <c:smooth val="0"/>
          <c:extLst>
            <c:ext xmlns:c16="http://schemas.microsoft.com/office/drawing/2014/chart" uri="{C3380CC4-5D6E-409C-BE32-E72D297353CC}">
              <c16:uniqueId val="{00000005-30C6-4022-9988-6AFF27169D4A}"/>
            </c:ext>
          </c:extLst>
        </c:ser>
        <c:ser>
          <c:idx val="6"/>
          <c:order val="6"/>
          <c:tx>
            <c:strRef>
              <c:f>'výkonnost odvětví 2'!$A$37</c:f>
              <c:strCache>
                <c:ptCount val="1"/>
                <c:pt idx="0">
                  <c:v>Bariéra růstu: nedost. pracovníků (pr. osa)</c:v>
                </c:pt>
              </c:strCache>
            </c:strRef>
          </c:tx>
          <c:spPr>
            <a:ln w="19050">
              <a:solidFill>
                <a:srgbClr val="D2CD00"/>
              </a:solidFill>
              <a:prstDash val="sysDash"/>
            </a:ln>
          </c:spPr>
          <c:marker>
            <c:symbol val="none"/>
          </c:marker>
          <c:cat>
            <c:multiLvlStrRef>
              <c:f>'výkonnost odvětví 2'!$R$29:$AP$30</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2'!$R$37:$AP$37</c:f>
              <c:numCache>
                <c:formatCode>#,##0.0</c:formatCode>
                <c:ptCount val="25"/>
                <c:pt idx="0">
                  <c:v>6.7</c:v>
                </c:pt>
                <c:pt idx="1">
                  <c:v>6.9</c:v>
                </c:pt>
                <c:pt idx="2">
                  <c:v>8.1</c:v>
                </c:pt>
                <c:pt idx="3">
                  <c:v>13.9</c:v>
                </c:pt>
                <c:pt idx="4">
                  <c:v>15.4</c:v>
                </c:pt>
                <c:pt idx="5">
                  <c:v>16.899999999999999</c:v>
                </c:pt>
                <c:pt idx="6">
                  <c:v>18.8</c:v>
                </c:pt>
                <c:pt idx="7">
                  <c:v>28.8</c:v>
                </c:pt>
                <c:pt idx="8">
                  <c:v>32.799999999999997</c:v>
                </c:pt>
                <c:pt idx="9">
                  <c:v>34.700000000000003</c:v>
                </c:pt>
                <c:pt idx="10">
                  <c:v>41.3</c:v>
                </c:pt>
                <c:pt idx="11">
                  <c:v>38.299999999999997</c:v>
                </c:pt>
                <c:pt idx="12">
                  <c:v>43.4</c:v>
                </c:pt>
                <c:pt idx="13">
                  <c:v>43.7</c:v>
                </c:pt>
                <c:pt idx="14">
                  <c:v>43.7</c:v>
                </c:pt>
                <c:pt idx="15">
                  <c:v>44.8</c:v>
                </c:pt>
                <c:pt idx="16">
                  <c:v>38.799999999999997</c:v>
                </c:pt>
                <c:pt idx="17">
                  <c:v>36.4</c:v>
                </c:pt>
                <c:pt idx="18">
                  <c:v>39.5</c:v>
                </c:pt>
                <c:pt idx="19">
                  <c:v>37.200000000000003</c:v>
                </c:pt>
                <c:pt idx="20">
                  <c:v>28.2</c:v>
                </c:pt>
                <c:pt idx="21">
                  <c:v>16.600000000000001</c:v>
                </c:pt>
                <c:pt idx="22">
                  <c:v>15.1</c:v>
                </c:pt>
                <c:pt idx="23">
                  <c:v>13.7</c:v>
                </c:pt>
                <c:pt idx="24">
                  <c:v>20.3</c:v>
                </c:pt>
              </c:numCache>
            </c:numRef>
          </c:val>
          <c:smooth val="0"/>
          <c:extLst>
            <c:ext xmlns:c16="http://schemas.microsoft.com/office/drawing/2014/chart" uri="{C3380CC4-5D6E-409C-BE32-E72D297353CC}">
              <c16:uniqueId val="{00000006-30C6-4022-9988-6AFF27169D4A}"/>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50"/>
          <c:min val="-50"/>
        </c:scaling>
        <c:delete val="0"/>
        <c:axPos val="l"/>
        <c:majorGridlines>
          <c:spPr>
            <a:ln w="6350">
              <a:solidFill>
                <a:schemeClr val="bg1">
                  <a:lumMod val="75000"/>
                </a:schemeClr>
              </a:solidFill>
            </a:ln>
          </c:spPr>
        </c:majorGridlines>
        <c:title>
          <c:tx>
            <c:rich>
              <a:bodyPr/>
              <a:lstStyle/>
              <a:p>
                <a:pPr>
                  <a:defRPr sz="700" i="1"/>
                </a:pPr>
                <a:r>
                  <a:rPr lang="cs-CZ" sz="700" i="1"/>
                  <a:t>Zakázky</a:t>
                </a:r>
              </a:p>
            </c:rich>
          </c:tx>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a:defRPr sz="700" b="0" i="1"/>
                </a:pPr>
                <a:r>
                  <a:rPr lang="cs-CZ" sz="700" b="0" i="1"/>
                  <a:t>Využití výrobních kapacit, bariéry</a:t>
                </a:r>
                <a:r>
                  <a:rPr lang="cs-CZ" sz="700" b="0" i="1" baseline="0"/>
                  <a:t> růstu</a:t>
                </a:r>
                <a:endParaRPr lang="cs-CZ" sz="700" b="0" i="1"/>
              </a:p>
            </c:rich>
          </c:tx>
          <c:layout>
            <c:manualLayout>
              <c:xMode val="edge"/>
              <c:yMode val="edge"/>
              <c:x val="0.97051506350706762"/>
              <c:y val="0.16321710007880222"/>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8.1990961748686711E-3"/>
          <c:y val="0.86823820781267591"/>
          <c:w val="0.98379594369130352"/>
          <c:h val="0.12461330631543398"/>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28655934435024E-2"/>
          <c:y val="1.6563187842952781E-2"/>
          <c:w val="0.85309492009152854"/>
          <c:h val="0.75433571654769893"/>
        </c:manualLayout>
      </c:layout>
      <c:barChart>
        <c:barDir val="col"/>
        <c:grouping val="stacked"/>
        <c:varyColors val="0"/>
        <c:ser>
          <c:idx val="1"/>
          <c:order val="1"/>
          <c:tx>
            <c:strRef>
              <c:f>'výkonnost odvětví 3'!$Y$10</c:f>
              <c:strCache>
                <c:ptCount val="1"/>
                <c:pt idx="0">
                  <c:v>Pozemní stavitelství (příspěvek v p. b.)</c:v>
                </c:pt>
              </c:strCache>
            </c:strRef>
          </c:tx>
          <c:spPr>
            <a:solidFill>
              <a:srgbClr val="A6CDE9"/>
            </a:solidFill>
            <a:ln w="19050">
              <a:noFill/>
              <a:prstDash val="solid"/>
            </a:ln>
          </c:spPr>
          <c:invertIfNegative val="0"/>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3'!$Y$31:$Y$55</c:f>
              <c:numCache>
                <c:formatCode>0.0</c:formatCode>
                <c:ptCount val="25"/>
                <c:pt idx="0">
                  <c:v>6.0472691415550308</c:v>
                </c:pt>
                <c:pt idx="1">
                  <c:v>5.0361785279850331</c:v>
                </c:pt>
                <c:pt idx="2">
                  <c:v>0.79284647800469443</c:v>
                </c:pt>
                <c:pt idx="3">
                  <c:v>-1.7469503076723902</c:v>
                </c:pt>
                <c:pt idx="4">
                  <c:v>-4.9966395973466113</c:v>
                </c:pt>
                <c:pt idx="5">
                  <c:v>-4.9257017459251742</c:v>
                </c:pt>
                <c:pt idx="6">
                  <c:v>0.77276571096827207</c:v>
                </c:pt>
                <c:pt idx="7">
                  <c:v>3.9335414535585005</c:v>
                </c:pt>
                <c:pt idx="8">
                  <c:v>2.3671560586056022</c:v>
                </c:pt>
                <c:pt idx="9">
                  <c:v>9.8680621909171364</c:v>
                </c:pt>
                <c:pt idx="10">
                  <c:v>3.4017933101817137</c:v>
                </c:pt>
                <c:pt idx="11">
                  <c:v>2.6470410387980881</c:v>
                </c:pt>
                <c:pt idx="12">
                  <c:v>13.566805669626437</c:v>
                </c:pt>
                <c:pt idx="13">
                  <c:v>6.3014309761028438</c:v>
                </c:pt>
                <c:pt idx="14">
                  <c:v>7.6955191405999477</c:v>
                </c:pt>
                <c:pt idx="15">
                  <c:v>2.4925933032829257</c:v>
                </c:pt>
                <c:pt idx="16">
                  <c:v>2.8991265346082757</c:v>
                </c:pt>
                <c:pt idx="17">
                  <c:v>2.4161064271216639</c:v>
                </c:pt>
                <c:pt idx="18">
                  <c:v>-0.67044140108437589</c:v>
                </c:pt>
                <c:pt idx="19">
                  <c:v>2.416093622463102</c:v>
                </c:pt>
                <c:pt idx="20">
                  <c:v>-0.33918173121542228</c:v>
                </c:pt>
                <c:pt idx="21">
                  <c:v>-7.4193975140058424</c:v>
                </c:pt>
                <c:pt idx="22">
                  <c:v>-7.1727603765696051</c:v>
                </c:pt>
                <c:pt idx="23">
                  <c:v>-8.5628260982408833</c:v>
                </c:pt>
              </c:numCache>
            </c:numRef>
          </c:val>
          <c:extLst>
            <c:ext xmlns:c16="http://schemas.microsoft.com/office/drawing/2014/chart" uri="{C3380CC4-5D6E-409C-BE32-E72D297353CC}">
              <c16:uniqueId val="{00000000-7F69-4D89-A858-EE58419949AF}"/>
            </c:ext>
          </c:extLst>
        </c:ser>
        <c:ser>
          <c:idx val="2"/>
          <c:order val="2"/>
          <c:tx>
            <c:strRef>
              <c:f>'výkonnost odvětví 3'!$Z$10</c:f>
              <c:strCache>
                <c:ptCount val="1"/>
                <c:pt idx="0">
                  <c:v>Inženýrské stavitelství  (příspěvek v p. b.)</c:v>
                </c:pt>
              </c:strCache>
            </c:strRef>
          </c:tx>
          <c:spPr>
            <a:solidFill>
              <a:srgbClr val="E8AFB2"/>
            </a:solidFill>
            <a:ln w="19050">
              <a:noFill/>
              <a:prstDash val="solid"/>
            </a:ln>
          </c:spPr>
          <c:invertIfNegative val="0"/>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3'!$Z$31:$Z$55</c:f>
              <c:numCache>
                <c:formatCode>0.0</c:formatCode>
                <c:ptCount val="25"/>
                <c:pt idx="0">
                  <c:v>3.2371734793492286</c:v>
                </c:pt>
                <c:pt idx="1">
                  <c:v>7.2133653363142445</c:v>
                </c:pt>
                <c:pt idx="2">
                  <c:v>7.3965728347939308</c:v>
                </c:pt>
                <c:pt idx="3">
                  <c:v>2.855138673774563</c:v>
                </c:pt>
                <c:pt idx="4">
                  <c:v>-1.2748612346910093</c:v>
                </c:pt>
                <c:pt idx="5">
                  <c:v>-5.414778412052824</c:v>
                </c:pt>
                <c:pt idx="6">
                  <c:v>-7.0615948905346464</c:v>
                </c:pt>
                <c:pt idx="7">
                  <c:v>-5.9113799674669414</c:v>
                </c:pt>
                <c:pt idx="8">
                  <c:v>-3.3927259981365467</c:v>
                </c:pt>
                <c:pt idx="9">
                  <c:v>-1.198952761717637</c:v>
                </c:pt>
                <c:pt idx="10">
                  <c:v>-1.5292517461591122</c:v>
                </c:pt>
                <c:pt idx="11">
                  <c:v>0.24904908942130594</c:v>
                </c:pt>
                <c:pt idx="12">
                  <c:v>1.7517060590922457</c:v>
                </c:pt>
                <c:pt idx="13">
                  <c:v>1.2046321635544115</c:v>
                </c:pt>
                <c:pt idx="14">
                  <c:v>4.7152862062363932</c:v>
                </c:pt>
                <c:pt idx="15">
                  <c:v>1.8992954479389978</c:v>
                </c:pt>
                <c:pt idx="16">
                  <c:v>0.73586870212531541</c:v>
                </c:pt>
                <c:pt idx="17">
                  <c:v>1.8713674836205678</c:v>
                </c:pt>
                <c:pt idx="18">
                  <c:v>0.75615189920903703</c:v>
                </c:pt>
                <c:pt idx="19">
                  <c:v>0.84449513778573204</c:v>
                </c:pt>
                <c:pt idx="20">
                  <c:v>3.2042596941285559</c:v>
                </c:pt>
                <c:pt idx="21">
                  <c:v>1.2156790684783816</c:v>
                </c:pt>
                <c:pt idx="22">
                  <c:v>-1.8725018139646268</c:v>
                </c:pt>
                <c:pt idx="23">
                  <c:v>0.35005818727718746</c:v>
                </c:pt>
              </c:numCache>
            </c:numRef>
          </c:val>
          <c:extLst>
            <c:ext xmlns:c16="http://schemas.microsoft.com/office/drawing/2014/chart" uri="{C3380CC4-5D6E-409C-BE32-E72D297353CC}">
              <c16:uniqueId val="{00000001-7F69-4D89-A858-EE58419949AF}"/>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9"/>
            <c:spPr>
              <a:solidFill>
                <a:schemeClr val="tx1">
                  <a:lumMod val="95000"/>
                  <a:lumOff val="5000"/>
                </a:schemeClr>
              </a:solidFill>
              <a:ln>
                <a:noFill/>
              </a:ln>
            </c:spPr>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3'!$X$31:$X$55</c:f>
              <c:numCache>
                <c:formatCode>0.0</c:formatCode>
                <c:ptCount val="25"/>
                <c:pt idx="0">
                  <c:v>9.2017765228224988</c:v>
                </c:pt>
                <c:pt idx="1">
                  <c:v>11.980043538808332</c:v>
                </c:pt>
                <c:pt idx="2">
                  <c:v>7.8286342656312939</c:v>
                </c:pt>
                <c:pt idx="3">
                  <c:v>0.94557774780092529</c:v>
                </c:pt>
                <c:pt idx="4">
                  <c:v>-6.2824122661548785</c:v>
                </c:pt>
                <c:pt idx="5">
                  <c:v>-10.194427090117628</c:v>
                </c:pt>
                <c:pt idx="6">
                  <c:v>-5.917849407755682</c:v>
                </c:pt>
                <c:pt idx="7">
                  <c:v>-1.6490685502181321</c:v>
                </c:pt>
                <c:pt idx="8">
                  <c:v>-0.79880269419055594</c:v>
                </c:pt>
                <c:pt idx="9">
                  <c:v>8.9534675343638526</c:v>
                </c:pt>
                <c:pt idx="10">
                  <c:v>2.0444749820850632</c:v>
                </c:pt>
                <c:pt idx="11">
                  <c:v>2.9396785672127379</c:v>
                </c:pt>
                <c:pt idx="12">
                  <c:v>15.317302207920179</c:v>
                </c:pt>
                <c:pt idx="13">
                  <c:v>7.5063094273893398</c:v>
                </c:pt>
                <c:pt idx="14">
                  <c:v>12.406544540651936</c:v>
                </c:pt>
                <c:pt idx="15">
                  <c:v>4.3180623617480762</c:v>
                </c:pt>
                <c:pt idx="16">
                  <c:v>3.6346322356212539</c:v>
                </c:pt>
                <c:pt idx="17">
                  <c:v>4.2888988271298842</c:v>
                </c:pt>
                <c:pt idx="18">
                  <c:v>8.6862748706039383E-2</c:v>
                </c:pt>
                <c:pt idx="19">
                  <c:v>3.2606251776515762</c:v>
                </c:pt>
                <c:pt idx="20">
                  <c:v>2.8649648216544392</c:v>
                </c:pt>
                <c:pt idx="21">
                  <c:v>-6.2024596600145259</c:v>
                </c:pt>
                <c:pt idx="22">
                  <c:v>-9.0466947127630135</c:v>
                </c:pt>
                <c:pt idx="23">
                  <c:v>-8.2756255759856003</c:v>
                </c:pt>
              </c:numCache>
            </c:numRef>
          </c:val>
          <c:smooth val="0"/>
          <c:extLst>
            <c:ext xmlns:c16="http://schemas.microsoft.com/office/drawing/2014/chart" uri="{C3380CC4-5D6E-409C-BE32-E72D297353CC}">
              <c16:uniqueId val="{00000002-7F69-4D89-A858-EE58419949AF}"/>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Nové stavební zakázky (pravá osa)</c:v>
                </c:pt>
              </c:strCache>
            </c:strRef>
          </c:tx>
          <c:spPr>
            <a:ln w="15875">
              <a:solidFill>
                <a:srgbClr val="663300"/>
              </a:solidFill>
              <a:prstDash val="solid"/>
            </a:ln>
          </c:spPr>
          <c:marker>
            <c:symbol val="none"/>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3'!$AA$31:$AA$55</c:f>
              <c:numCache>
                <c:formatCode>0.0</c:formatCode>
                <c:ptCount val="25"/>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numCache>
            </c:numRef>
          </c:val>
          <c:smooth val="0"/>
          <c:extLst>
            <c:ext xmlns:c16="http://schemas.microsoft.com/office/drawing/2014/chart" uri="{C3380CC4-5D6E-409C-BE32-E72D297353CC}">
              <c16:uniqueId val="{00000003-7F69-4D89-A858-EE58419949AF}"/>
            </c:ext>
          </c:extLst>
        </c:ser>
        <c:ser>
          <c:idx val="4"/>
          <c:order val="4"/>
          <c:tx>
            <c:strRef>
              <c:f>'výkonnost odvětví 3'!$AB$10</c:f>
              <c:strCache>
                <c:ptCount val="1"/>
                <c:pt idx="0">
                  <c:v>Bariéra růstu: nedost. poptávka (pr. osa)</c:v>
                </c:pt>
              </c:strCache>
            </c:strRef>
          </c:tx>
          <c:spPr>
            <a:ln w="15875">
              <a:solidFill>
                <a:srgbClr val="00B050"/>
              </a:solidFill>
            </a:ln>
          </c:spPr>
          <c:marker>
            <c:symbol val="none"/>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3'!$AB$31:$AB$55</c:f>
              <c:numCache>
                <c:formatCode>#,##0.0</c:formatCode>
                <c:ptCount val="25"/>
                <c:pt idx="0">
                  <c:v>65.8</c:v>
                </c:pt>
                <c:pt idx="1">
                  <c:v>60.4</c:v>
                </c:pt>
                <c:pt idx="2">
                  <c:v>58.9</c:v>
                </c:pt>
                <c:pt idx="3">
                  <c:v>57.6</c:v>
                </c:pt>
                <c:pt idx="4">
                  <c:v>54.5</c:v>
                </c:pt>
                <c:pt idx="5">
                  <c:v>61.1</c:v>
                </c:pt>
                <c:pt idx="6">
                  <c:v>60.4</c:v>
                </c:pt>
                <c:pt idx="7">
                  <c:v>57</c:v>
                </c:pt>
                <c:pt idx="8">
                  <c:v>53.9</c:v>
                </c:pt>
                <c:pt idx="9">
                  <c:v>54.3</c:v>
                </c:pt>
                <c:pt idx="10">
                  <c:v>50</c:v>
                </c:pt>
                <c:pt idx="11">
                  <c:v>48.3</c:v>
                </c:pt>
                <c:pt idx="12">
                  <c:v>40.299999999999997</c:v>
                </c:pt>
                <c:pt idx="13">
                  <c:v>38.200000000000003</c:v>
                </c:pt>
                <c:pt idx="14">
                  <c:v>33.4</c:v>
                </c:pt>
                <c:pt idx="15">
                  <c:v>24.1</c:v>
                </c:pt>
                <c:pt idx="16">
                  <c:v>25.4</c:v>
                </c:pt>
                <c:pt idx="17">
                  <c:v>23.3</c:v>
                </c:pt>
                <c:pt idx="18">
                  <c:v>17.899999999999999</c:v>
                </c:pt>
                <c:pt idx="19">
                  <c:v>20.9</c:v>
                </c:pt>
                <c:pt idx="20">
                  <c:v>30.3</c:v>
                </c:pt>
                <c:pt idx="21">
                  <c:v>29.3</c:v>
                </c:pt>
                <c:pt idx="22">
                  <c:v>38.799999999999997</c:v>
                </c:pt>
                <c:pt idx="23" formatCode="General">
                  <c:v>41.2</c:v>
                </c:pt>
                <c:pt idx="24">
                  <c:v>31.3</c:v>
                </c:pt>
              </c:numCache>
            </c:numRef>
          </c:val>
          <c:smooth val="0"/>
          <c:extLst>
            <c:ext xmlns:c16="http://schemas.microsoft.com/office/drawing/2014/chart" uri="{C3380CC4-5D6E-409C-BE32-E72D297353CC}">
              <c16:uniqueId val="{00000004-7F69-4D89-A858-EE58419949AF}"/>
            </c:ext>
          </c:extLst>
        </c:ser>
        <c:ser>
          <c:idx val="5"/>
          <c:order val="5"/>
          <c:tx>
            <c:strRef>
              <c:f>'výkonnost odvětví 3'!$AC$10</c:f>
              <c:strCache>
                <c:ptCount val="1"/>
                <c:pt idx="0">
                  <c:v>Bariéra růstu: nedost. pracovníků (pr. osa)</c:v>
                </c:pt>
              </c:strCache>
            </c:strRef>
          </c:tx>
          <c:spPr>
            <a:ln w="15875">
              <a:solidFill>
                <a:srgbClr val="00B050"/>
              </a:solidFill>
              <a:prstDash val="sysDash"/>
            </a:ln>
          </c:spPr>
          <c:marker>
            <c:symbol val="none"/>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3'!$AC$31:$AC$55</c:f>
              <c:numCache>
                <c:formatCode>#,##0.0</c:formatCode>
                <c:ptCount val="25"/>
                <c:pt idx="0">
                  <c:v>6.8</c:v>
                </c:pt>
                <c:pt idx="1">
                  <c:v>7.9</c:v>
                </c:pt>
                <c:pt idx="2">
                  <c:v>7.2</c:v>
                </c:pt>
                <c:pt idx="3">
                  <c:v>7</c:v>
                </c:pt>
                <c:pt idx="4">
                  <c:v>5.8</c:v>
                </c:pt>
                <c:pt idx="5">
                  <c:v>6.7</c:v>
                </c:pt>
                <c:pt idx="6">
                  <c:v>7.8</c:v>
                </c:pt>
                <c:pt idx="7">
                  <c:v>10.7</c:v>
                </c:pt>
                <c:pt idx="8">
                  <c:v>11.5</c:v>
                </c:pt>
                <c:pt idx="9">
                  <c:v>14</c:v>
                </c:pt>
                <c:pt idx="10">
                  <c:v>22.7</c:v>
                </c:pt>
                <c:pt idx="11">
                  <c:v>23.1</c:v>
                </c:pt>
                <c:pt idx="12">
                  <c:v>23.5</c:v>
                </c:pt>
                <c:pt idx="13">
                  <c:v>29.3</c:v>
                </c:pt>
                <c:pt idx="14">
                  <c:v>30.4</c:v>
                </c:pt>
                <c:pt idx="15">
                  <c:v>40.799999999999997</c:v>
                </c:pt>
                <c:pt idx="16">
                  <c:v>34.299999999999997</c:v>
                </c:pt>
                <c:pt idx="17">
                  <c:v>43</c:v>
                </c:pt>
                <c:pt idx="18">
                  <c:v>55</c:v>
                </c:pt>
                <c:pt idx="19">
                  <c:v>49.7</c:v>
                </c:pt>
                <c:pt idx="20">
                  <c:v>50</c:v>
                </c:pt>
                <c:pt idx="21">
                  <c:v>46.3</c:v>
                </c:pt>
                <c:pt idx="22">
                  <c:v>38.200000000000003</c:v>
                </c:pt>
                <c:pt idx="23" formatCode="0.0">
                  <c:v>34</c:v>
                </c:pt>
                <c:pt idx="24">
                  <c:v>43.6</c:v>
                </c:pt>
              </c:numCache>
            </c:numRef>
          </c:val>
          <c:smooth val="0"/>
          <c:extLst>
            <c:ext xmlns:c16="http://schemas.microsoft.com/office/drawing/2014/chart" uri="{C3380CC4-5D6E-409C-BE32-E72D297353CC}">
              <c16:uniqueId val="{00000005-7F69-4D89-A858-EE58419949AF}"/>
            </c:ext>
          </c:extLst>
        </c:ser>
        <c:ser>
          <c:idx val="6"/>
          <c:order val="6"/>
          <c:tx>
            <c:strRef>
              <c:f>'výkonnost odvětví 3'!$AD$10</c:f>
              <c:strCache>
                <c:ptCount val="1"/>
                <c:pt idx="0">
                  <c:v>Saldo indik.důvěry ve stavebnictví (pr.osa)</c:v>
                </c:pt>
              </c:strCache>
            </c:strRef>
          </c:tx>
          <c:spPr>
            <a:ln w="6350">
              <a:solidFill>
                <a:schemeClr val="bg1">
                  <a:lumMod val="50000"/>
                </a:schemeClr>
              </a:solidFill>
              <a:prstDash val="sysDash"/>
            </a:ln>
          </c:spPr>
          <c:marker>
            <c:symbol val="diamond"/>
            <c:size val="5"/>
            <c:spPr>
              <a:solidFill>
                <a:srgbClr val="FFFF00"/>
              </a:solidFill>
              <a:ln>
                <a:solidFill>
                  <a:prstClr val="black">
                    <a:lumMod val="95000"/>
                    <a:lumOff val="5000"/>
                  </a:prstClr>
                </a:solidFill>
              </a:ln>
            </c:spPr>
          </c:marker>
          <c:cat>
            <c:multiLvlStrRef>
              <c:f>'výkonnost odvětví 3'!$V$31:$W$55</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'výkonnost odvětví 3'!$AD$31:$AD$55</c:f>
              <c:numCache>
                <c:formatCode>0.0</c:formatCode>
                <c:ptCount val="25"/>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numCache>
            </c:numRef>
          </c:val>
          <c:smooth val="0"/>
          <c:extLst>
            <c:ext xmlns:c16="http://schemas.microsoft.com/office/drawing/2014/chart" uri="{C3380CC4-5D6E-409C-BE32-E72D297353CC}">
              <c16:uniqueId val="{00000006-7F69-4D89-A858-EE58419949AF}"/>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a:defRPr sz="700" i="1"/>
                </a:pPr>
                <a:r>
                  <a:rPr lang="cs-CZ"/>
                  <a:t>Stavební</a:t>
                </a:r>
                <a:r>
                  <a:rPr lang="cs-CZ" baseline="0"/>
                  <a:t> produkce, p</a:t>
                </a:r>
                <a:r>
                  <a:rPr lang="cs-CZ"/>
                  <a:t>říspěvky</a:t>
                </a:r>
                <a:r>
                  <a:rPr lang="cs-CZ" baseline="0"/>
                  <a:t> k</a:t>
                </a:r>
                <a:r>
                  <a:rPr lang="cs-CZ" sz="700" b="0" i="1" u="none" strike="noStrike" kern="1200" baseline="0">
                    <a:solidFill>
                      <a:srgbClr val="000000"/>
                    </a:solidFill>
                    <a:latin typeface="Arial CE"/>
                    <a:cs typeface="Arial CE"/>
                  </a:rPr>
                  <a:t> </a:t>
                </a:r>
                <a:r>
                  <a:rPr lang="cs-CZ" baseline="0"/>
                  <a:t>růstu </a:t>
                </a:r>
                <a:endParaRPr lang="cs-CZ"/>
              </a:p>
            </c:rich>
          </c:tx>
          <c:layout>
            <c:manualLayout>
              <c:xMode val="edge"/>
              <c:yMode val="edge"/>
              <c:x val="2.6741790744013471E-3"/>
              <c:y val="0.18222167882907486"/>
            </c:manualLayout>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a:defRPr sz="700" i="1"/>
                </a:pPr>
                <a:r>
                  <a:rPr lang="cs-CZ" sz="700" b="0" i="1" u="none" strike="noStrike" baseline="0">
                    <a:effectLst/>
                  </a:rPr>
                  <a:t>Zakázky, s</a:t>
                </a:r>
                <a:r>
                  <a:rPr lang="cs-CZ"/>
                  <a:t>aldo indikátoru důvěry, bariéry růstu</a:t>
                </a:r>
              </a:p>
            </c:rich>
          </c:tx>
          <c:layout/>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1.0707509324541281E-2"/>
          <c:y val="0.85664470868256781"/>
          <c:w val="0.97857802116403014"/>
          <c:h val="0.13635475415022985"/>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72096235494860583"/>
        </c:manualLayout>
      </c:layout>
      <c:barChart>
        <c:barDir val="col"/>
        <c:grouping val="stacked"/>
        <c:varyColors val="0"/>
        <c:ser>
          <c:idx val="0"/>
          <c:order val="1"/>
          <c:tx>
            <c:strRef>
              <c:f>'Služby-příspěvkyk růstu'!$D$25</c:f>
              <c:strCache>
                <c:ptCount val="1"/>
                <c:pt idx="0">
                  <c:v>Doprava a skladování</c:v>
                </c:pt>
              </c:strCache>
            </c:strRef>
          </c:tx>
          <c:spPr>
            <a:solidFill>
              <a:srgbClr val="92D050"/>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růstu'!$D$38:$D$62</c:f>
              <c:numCache>
                <c:formatCode>0.0</c:formatCode>
                <c:ptCount val="25"/>
                <c:pt idx="0">
                  <c:v>0.17784702542993272</c:v>
                </c:pt>
                <c:pt idx="1">
                  <c:v>-4.1153953747014721E-2</c:v>
                </c:pt>
                <c:pt idx="2">
                  <c:v>0.1967550766692415</c:v>
                </c:pt>
                <c:pt idx="3">
                  <c:v>4.4524497072685416E-2</c:v>
                </c:pt>
                <c:pt idx="4">
                  <c:v>0.13946448474091597</c:v>
                </c:pt>
                <c:pt idx="5">
                  <c:v>0.20828573782199397</c:v>
                </c:pt>
                <c:pt idx="6">
                  <c:v>0.13789199804325733</c:v>
                </c:pt>
                <c:pt idx="7">
                  <c:v>0.86068515065368634</c:v>
                </c:pt>
                <c:pt idx="8">
                  <c:v>1.7974934694994784</c:v>
                </c:pt>
                <c:pt idx="9">
                  <c:v>1.0846625367336171</c:v>
                </c:pt>
                <c:pt idx="10">
                  <c:v>1.1351852460965488</c:v>
                </c:pt>
                <c:pt idx="11">
                  <c:v>0.60468209395083738</c:v>
                </c:pt>
                <c:pt idx="12">
                  <c:v>1.7465012842772922</c:v>
                </c:pt>
                <c:pt idx="13">
                  <c:v>1.9213841074038147</c:v>
                </c:pt>
                <c:pt idx="14">
                  <c:v>1.4689302857885012</c:v>
                </c:pt>
                <c:pt idx="15">
                  <c:v>0.50117729901127261</c:v>
                </c:pt>
                <c:pt idx="16">
                  <c:v>0.75263240481802895</c:v>
                </c:pt>
                <c:pt idx="17">
                  <c:v>-8.1211369973804459E-2</c:v>
                </c:pt>
                <c:pt idx="18">
                  <c:v>-0.66994925852896292</c:v>
                </c:pt>
                <c:pt idx="19">
                  <c:v>-0.54145747843689973</c:v>
                </c:pt>
                <c:pt idx="20">
                  <c:v>-1.8981031905810553</c:v>
                </c:pt>
                <c:pt idx="21">
                  <c:v>-6.879134227851365</c:v>
                </c:pt>
                <c:pt idx="22">
                  <c:v>-4.2174759998821578</c:v>
                </c:pt>
                <c:pt idx="23">
                  <c:v>-1.7598038755132173</c:v>
                </c:pt>
              </c:numCache>
            </c:numRef>
          </c:val>
          <c:extLst>
            <c:ext xmlns:c16="http://schemas.microsoft.com/office/drawing/2014/chart" uri="{C3380CC4-5D6E-409C-BE32-E72D297353CC}">
              <c16:uniqueId val="{00000000-184F-4C1E-A661-50BC816F2164}"/>
            </c:ext>
          </c:extLst>
        </c:ser>
        <c:ser>
          <c:idx val="1"/>
          <c:order val="2"/>
          <c:tx>
            <c:strRef>
              <c:f>'Služby-příspěvkyk růstu'!$E$25</c:f>
              <c:strCache>
                <c:ptCount val="1"/>
                <c:pt idx="0">
                  <c:v>Ubytování, stravování a pohostinství</c:v>
                </c:pt>
              </c:strCache>
            </c:strRef>
          </c:tx>
          <c:spPr>
            <a:solidFill>
              <a:srgbClr val="00B0F0"/>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růstu'!$E$38:$E$62</c:f>
              <c:numCache>
                <c:formatCode>0.0</c:formatCode>
                <c:ptCount val="25"/>
                <c:pt idx="0">
                  <c:v>0.23068727887100596</c:v>
                </c:pt>
                <c:pt idx="1">
                  <c:v>0.65500430571454682</c:v>
                </c:pt>
                <c:pt idx="2">
                  <c:v>0.65445127331779929</c:v>
                </c:pt>
                <c:pt idx="3">
                  <c:v>0.40295088991967137</c:v>
                </c:pt>
                <c:pt idx="4">
                  <c:v>0.46667218537685373</c:v>
                </c:pt>
                <c:pt idx="5">
                  <c:v>0.1710444437848046</c:v>
                </c:pt>
                <c:pt idx="6">
                  <c:v>0.56704693433553988</c:v>
                </c:pt>
                <c:pt idx="7">
                  <c:v>0.60083208250080533</c:v>
                </c:pt>
                <c:pt idx="8">
                  <c:v>0.91455838503774378</c:v>
                </c:pt>
                <c:pt idx="9">
                  <c:v>1.2316072542389023</c:v>
                </c:pt>
                <c:pt idx="10">
                  <c:v>0.55345109158871542</c:v>
                </c:pt>
                <c:pt idx="11">
                  <c:v>0.45394811365368137</c:v>
                </c:pt>
                <c:pt idx="12">
                  <c:v>0.20369258797505621</c:v>
                </c:pt>
                <c:pt idx="13">
                  <c:v>4.7235696662607296E-2</c:v>
                </c:pt>
                <c:pt idx="14">
                  <c:v>5.8750890432180687E-2</c:v>
                </c:pt>
                <c:pt idx="15">
                  <c:v>-3.836634960552178E-2</c:v>
                </c:pt>
                <c:pt idx="16">
                  <c:v>0.19921780943455034</c:v>
                </c:pt>
                <c:pt idx="17">
                  <c:v>0.19028430973131449</c:v>
                </c:pt>
                <c:pt idx="18">
                  <c:v>-1.9166901240237025E-2</c:v>
                </c:pt>
                <c:pt idx="19">
                  <c:v>-1.9723740013199119E-2</c:v>
                </c:pt>
                <c:pt idx="20">
                  <c:v>-1.1617708262346884</c:v>
                </c:pt>
                <c:pt idx="21">
                  <c:v>-4.9674745183469904</c:v>
                </c:pt>
                <c:pt idx="22">
                  <c:v>-1.9525847727872179</c:v>
                </c:pt>
                <c:pt idx="23">
                  <c:v>-4.5015896466310741</c:v>
                </c:pt>
              </c:numCache>
            </c:numRef>
          </c:val>
          <c:extLst>
            <c:ext xmlns:c16="http://schemas.microsoft.com/office/drawing/2014/chart" uri="{C3380CC4-5D6E-409C-BE32-E72D297353CC}">
              <c16:uniqueId val="{00000001-184F-4C1E-A661-50BC816F2164}"/>
            </c:ext>
          </c:extLst>
        </c:ser>
        <c:ser>
          <c:idx val="2"/>
          <c:order val="3"/>
          <c:tx>
            <c:strRef>
              <c:f>'Služby-příspěvkyk růstu'!$F$25</c:f>
              <c:strCache>
                <c:ptCount val="1"/>
                <c:pt idx="0">
                  <c:v>Informační a komunikační činnosti</c:v>
                </c:pt>
              </c:strCache>
            </c:strRef>
          </c:tx>
          <c:spPr>
            <a:solidFill>
              <a:srgbClr val="E6E100"/>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růstu'!$F$38:$F$62</c:f>
              <c:numCache>
                <c:formatCode>0.0</c:formatCode>
                <c:ptCount val="25"/>
                <c:pt idx="0">
                  <c:v>1.407889808621178</c:v>
                </c:pt>
                <c:pt idx="1">
                  <c:v>0.82525906253417192</c:v>
                </c:pt>
                <c:pt idx="2">
                  <c:v>0.80495762866674458</c:v>
                </c:pt>
                <c:pt idx="3">
                  <c:v>1.3162338144239947</c:v>
                </c:pt>
                <c:pt idx="4">
                  <c:v>0.36033487592174906</c:v>
                </c:pt>
                <c:pt idx="5">
                  <c:v>0.15638027594739867</c:v>
                </c:pt>
                <c:pt idx="6">
                  <c:v>0.32610885545485901</c:v>
                </c:pt>
                <c:pt idx="7">
                  <c:v>0.17762627918062024</c:v>
                </c:pt>
                <c:pt idx="8">
                  <c:v>0.76282426049190521</c:v>
                </c:pt>
                <c:pt idx="9">
                  <c:v>0.9830688573717753</c:v>
                </c:pt>
                <c:pt idx="10">
                  <c:v>0.77131825130347442</c:v>
                </c:pt>
                <c:pt idx="11">
                  <c:v>0.5843204333200237</c:v>
                </c:pt>
                <c:pt idx="12">
                  <c:v>1.4410506369436735</c:v>
                </c:pt>
                <c:pt idx="13">
                  <c:v>0.76544503754725868</c:v>
                </c:pt>
                <c:pt idx="14">
                  <c:v>1.4164775777579539</c:v>
                </c:pt>
                <c:pt idx="15">
                  <c:v>0.98719747202455899</c:v>
                </c:pt>
                <c:pt idx="16">
                  <c:v>1.2347847875298792</c:v>
                </c:pt>
                <c:pt idx="17">
                  <c:v>1.1610055812776692</c:v>
                </c:pt>
                <c:pt idx="18">
                  <c:v>0.91432301571880847</c:v>
                </c:pt>
                <c:pt idx="19">
                  <c:v>1.1617923843637676</c:v>
                </c:pt>
                <c:pt idx="20">
                  <c:v>0.81875762052345991</c:v>
                </c:pt>
                <c:pt idx="21">
                  <c:v>1.2709144306749125E-2</c:v>
                </c:pt>
                <c:pt idx="22">
                  <c:v>-0.20800867793652372</c:v>
                </c:pt>
                <c:pt idx="23">
                  <c:v>-0.54275021624738551</c:v>
                </c:pt>
              </c:numCache>
            </c:numRef>
          </c:val>
          <c:extLst>
            <c:ext xmlns:c16="http://schemas.microsoft.com/office/drawing/2014/chart" uri="{C3380CC4-5D6E-409C-BE32-E72D297353CC}">
              <c16:uniqueId val="{00000002-184F-4C1E-A661-50BC816F2164}"/>
            </c:ext>
          </c:extLst>
        </c:ser>
        <c:ser>
          <c:idx val="4"/>
          <c:order val="4"/>
          <c:tx>
            <c:strRef>
              <c:f>'Služby-příspěvkyk růstu'!$G$25</c:f>
              <c:strCache>
                <c:ptCount val="1"/>
                <c:pt idx="0">
                  <c:v>Činnosti v oblasti nemovitostí</c:v>
                </c:pt>
              </c:strCache>
            </c:strRef>
          </c:tx>
          <c:spPr>
            <a:solidFill>
              <a:schemeClr val="accent5">
                <a:lumMod val="60000"/>
                <a:lumOff val="40000"/>
              </a:schemeClr>
            </a:solidFill>
            <a:ln>
              <a:noFill/>
              <a:prstDash val="sysDash"/>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růstu'!$G$38:$G$62</c:f>
              <c:numCache>
                <c:formatCode>0.0</c:formatCode>
                <c:ptCount val="25"/>
                <c:pt idx="0">
                  <c:v>4.5114687433560306E-2</c:v>
                </c:pt>
                <c:pt idx="1">
                  <c:v>-4.6332035268016221E-3</c:v>
                </c:pt>
                <c:pt idx="2">
                  <c:v>8.5015739391012091E-2</c:v>
                </c:pt>
                <c:pt idx="3">
                  <c:v>4.2208307641240138E-2</c:v>
                </c:pt>
                <c:pt idx="4">
                  <c:v>0.22367935721226123</c:v>
                </c:pt>
                <c:pt idx="5">
                  <c:v>6.8179121742595258E-2</c:v>
                </c:pt>
                <c:pt idx="6">
                  <c:v>0.11569139985311286</c:v>
                </c:pt>
                <c:pt idx="7">
                  <c:v>-7.0466111576954538E-2</c:v>
                </c:pt>
                <c:pt idx="8">
                  <c:v>0.2817034743166883</c:v>
                </c:pt>
                <c:pt idx="9">
                  <c:v>0.36183937473684985</c:v>
                </c:pt>
                <c:pt idx="10">
                  <c:v>-3.8722622280749804E-2</c:v>
                </c:pt>
                <c:pt idx="11">
                  <c:v>0.1375178635065378</c:v>
                </c:pt>
                <c:pt idx="12">
                  <c:v>-1.6524920487738199E-2</c:v>
                </c:pt>
                <c:pt idx="13">
                  <c:v>-0.22648211116742281</c:v>
                </c:pt>
                <c:pt idx="14">
                  <c:v>-0.12424593654845113</c:v>
                </c:pt>
                <c:pt idx="15">
                  <c:v>-0.20693626252291025</c:v>
                </c:pt>
                <c:pt idx="16">
                  <c:v>0.14696794955742462</c:v>
                </c:pt>
                <c:pt idx="17">
                  <c:v>-2.7570979439452199E-2</c:v>
                </c:pt>
                <c:pt idx="18">
                  <c:v>-0.16565733752607226</c:v>
                </c:pt>
                <c:pt idx="19">
                  <c:v>-0.11837811882672172</c:v>
                </c:pt>
                <c:pt idx="20">
                  <c:v>0.4333949544812507</c:v>
                </c:pt>
                <c:pt idx="21">
                  <c:v>-0.29664667827714641</c:v>
                </c:pt>
                <c:pt idx="22">
                  <c:v>-0.27589755106802255</c:v>
                </c:pt>
                <c:pt idx="23">
                  <c:v>-0.22603611624101408</c:v>
                </c:pt>
              </c:numCache>
            </c:numRef>
          </c:val>
          <c:extLst>
            <c:ext xmlns:c16="http://schemas.microsoft.com/office/drawing/2014/chart" uri="{C3380CC4-5D6E-409C-BE32-E72D297353CC}">
              <c16:uniqueId val="{00000003-184F-4C1E-A661-50BC816F2164}"/>
            </c:ext>
          </c:extLst>
        </c:ser>
        <c:ser>
          <c:idx val="5"/>
          <c:order val="5"/>
          <c:tx>
            <c:strRef>
              <c:f>'Služby-příspěvkyk růstu'!$H$25</c:f>
              <c:strCache>
                <c:ptCount val="1"/>
                <c:pt idx="0">
                  <c:v>Profesní, vědecké a technické činnosti</c:v>
                </c:pt>
              </c:strCache>
            </c:strRef>
          </c:tx>
          <c:spPr>
            <a:solidFill>
              <a:schemeClr val="accent6">
                <a:lumMod val="60000"/>
                <a:lumOff val="40000"/>
              </a:schemeClr>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růstu'!$H$38:$H$62</c:f>
              <c:numCache>
                <c:formatCode>0.0</c:formatCode>
                <c:ptCount val="25"/>
                <c:pt idx="0">
                  <c:v>1.0484383487899711</c:v>
                </c:pt>
                <c:pt idx="1">
                  <c:v>0.72052999545577168</c:v>
                </c:pt>
                <c:pt idx="2">
                  <c:v>1.0868604151162005</c:v>
                </c:pt>
                <c:pt idx="3">
                  <c:v>-4.0322082415785492E-2</c:v>
                </c:pt>
                <c:pt idx="4">
                  <c:v>-0.43449187968361835</c:v>
                </c:pt>
                <c:pt idx="5">
                  <c:v>-1.3323038963027927</c:v>
                </c:pt>
                <c:pt idx="6">
                  <c:v>-3.9552148164600709E-3</c:v>
                </c:pt>
                <c:pt idx="7">
                  <c:v>-0.31462694060722485</c:v>
                </c:pt>
                <c:pt idx="8">
                  <c:v>0.96902063867400445</c:v>
                </c:pt>
                <c:pt idx="9">
                  <c:v>0.58685346999817534</c:v>
                </c:pt>
                <c:pt idx="10">
                  <c:v>0.30367671908798494</c:v>
                </c:pt>
                <c:pt idx="11">
                  <c:v>0.4272378328972698</c:v>
                </c:pt>
                <c:pt idx="12">
                  <c:v>1.046516660206382</c:v>
                </c:pt>
                <c:pt idx="13">
                  <c:v>0.55031892838577978</c:v>
                </c:pt>
                <c:pt idx="14">
                  <c:v>0.3606269063463074</c:v>
                </c:pt>
                <c:pt idx="15">
                  <c:v>-0.26282042656827093</c:v>
                </c:pt>
                <c:pt idx="16">
                  <c:v>0.70683419450667839</c:v>
                </c:pt>
                <c:pt idx="17">
                  <c:v>0.58909336817613034</c:v>
                </c:pt>
                <c:pt idx="18">
                  <c:v>-0.76655146650449768</c:v>
                </c:pt>
                <c:pt idx="19">
                  <c:v>-0.57034880427530998</c:v>
                </c:pt>
                <c:pt idx="20">
                  <c:v>-0.862671202284087</c:v>
                </c:pt>
                <c:pt idx="21">
                  <c:v>-3.1824030086585093</c:v>
                </c:pt>
                <c:pt idx="22">
                  <c:v>-1.4967172567562528</c:v>
                </c:pt>
                <c:pt idx="23">
                  <c:v>-1.5494143142687984</c:v>
                </c:pt>
              </c:numCache>
            </c:numRef>
          </c:val>
          <c:extLst>
            <c:ext xmlns:c16="http://schemas.microsoft.com/office/drawing/2014/chart" uri="{C3380CC4-5D6E-409C-BE32-E72D297353CC}">
              <c16:uniqueId val="{00000004-184F-4C1E-A661-50BC816F2164}"/>
            </c:ext>
          </c:extLst>
        </c:ser>
        <c:ser>
          <c:idx val="6"/>
          <c:order val="6"/>
          <c:tx>
            <c:strRef>
              <c:f>'Služby-příspěvkyk růstu'!$I$25</c:f>
              <c:strCache>
                <c:ptCount val="1"/>
                <c:pt idx="0">
                  <c:v>Administrativní a podpůrné činnosti</c:v>
                </c:pt>
              </c:strCache>
            </c:strRef>
          </c:tx>
          <c:spPr>
            <a:solidFill>
              <a:schemeClr val="accent1">
                <a:lumMod val="20000"/>
                <a:lumOff val="80000"/>
              </a:schemeClr>
            </a:solidFill>
            <a:ln>
              <a:noFill/>
            </a:ln>
          </c:spPr>
          <c:invertIfNegative val="0"/>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růstu'!$I$38:$I$62</c:f>
              <c:numCache>
                <c:formatCode>0.0</c:formatCode>
                <c:ptCount val="25"/>
                <c:pt idx="0">
                  <c:v>0.51529021782059092</c:v>
                </c:pt>
                <c:pt idx="1">
                  <c:v>0.62103855114509265</c:v>
                </c:pt>
                <c:pt idx="2">
                  <c:v>0.43595933844001955</c:v>
                </c:pt>
                <c:pt idx="3">
                  <c:v>0.50146244094602455</c:v>
                </c:pt>
                <c:pt idx="4">
                  <c:v>0.46409597349779164</c:v>
                </c:pt>
                <c:pt idx="5">
                  <c:v>0.16302808064014088</c:v>
                </c:pt>
                <c:pt idx="6">
                  <c:v>0.26998446358589956</c:v>
                </c:pt>
                <c:pt idx="7">
                  <c:v>0.51404132409576386</c:v>
                </c:pt>
                <c:pt idx="8">
                  <c:v>1.3081284681462071</c:v>
                </c:pt>
                <c:pt idx="9">
                  <c:v>1.0890272614101544</c:v>
                </c:pt>
                <c:pt idx="10">
                  <c:v>0.64167805580696791</c:v>
                </c:pt>
                <c:pt idx="11">
                  <c:v>0.30494507513789598</c:v>
                </c:pt>
                <c:pt idx="12">
                  <c:v>0.53369642451270716</c:v>
                </c:pt>
                <c:pt idx="13">
                  <c:v>0.37812124449670165</c:v>
                </c:pt>
                <c:pt idx="14">
                  <c:v>0.43585539244585964</c:v>
                </c:pt>
                <c:pt idx="15">
                  <c:v>-1.3565740352544766E-2</c:v>
                </c:pt>
                <c:pt idx="16">
                  <c:v>0.47293200739556923</c:v>
                </c:pt>
                <c:pt idx="17">
                  <c:v>0.12985986482803277</c:v>
                </c:pt>
                <c:pt idx="18">
                  <c:v>-0.12378098729050785</c:v>
                </c:pt>
                <c:pt idx="19">
                  <c:v>-0.21478965355329299</c:v>
                </c:pt>
                <c:pt idx="20">
                  <c:v>-1.095647450588088</c:v>
                </c:pt>
                <c:pt idx="21">
                  <c:v>-4.3129378306473711</c:v>
                </c:pt>
                <c:pt idx="22">
                  <c:v>-4.4460381962393489</c:v>
                </c:pt>
                <c:pt idx="23">
                  <c:v>-2.3718014371067651</c:v>
                </c:pt>
              </c:numCache>
            </c:numRef>
          </c:val>
          <c:extLst>
            <c:ext xmlns:c16="http://schemas.microsoft.com/office/drawing/2014/chart" uri="{C3380CC4-5D6E-409C-BE32-E72D297353CC}">
              <c16:uniqueId val="{00000005-184F-4C1E-A661-50BC816F2164}"/>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růstu'!$C$25</c:f>
              <c:strCache>
                <c:ptCount val="1"/>
                <c:pt idx="0">
                  <c:v>Služby celkem</c:v>
                </c:pt>
              </c:strCache>
            </c:strRef>
          </c:tx>
          <c:spPr>
            <a:ln>
              <a:noFill/>
            </a:ln>
          </c:spPr>
          <c:marker>
            <c:symbol val="dash"/>
            <c:size val="9"/>
            <c:spPr>
              <a:solidFill>
                <a:schemeClr val="tx1">
                  <a:lumMod val="95000"/>
                  <a:lumOff val="5000"/>
                </a:schemeClr>
              </a:solidFill>
              <a:ln>
                <a:noFill/>
              </a:ln>
            </c:spPr>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růstu'!$C$38:$C$62</c:f>
              <c:numCache>
                <c:formatCode>0.0</c:formatCode>
                <c:ptCount val="25"/>
                <c:pt idx="0">
                  <c:v>3.3382433958668543</c:v>
                </c:pt>
                <c:pt idx="1">
                  <c:v>2.7103361232655629</c:v>
                </c:pt>
                <c:pt idx="2">
                  <c:v>3.2239950369824015</c:v>
                </c:pt>
                <c:pt idx="3">
                  <c:v>2.2290744901698503</c:v>
                </c:pt>
                <c:pt idx="4">
                  <c:v>1.1705942890214658</c:v>
                </c:pt>
                <c:pt idx="5">
                  <c:v>-0.79617382977255602</c:v>
                </c:pt>
                <c:pt idx="6">
                  <c:v>1.3957902293238789</c:v>
                </c:pt>
                <c:pt idx="7">
                  <c:v>1.6187710130799218</c:v>
                </c:pt>
                <c:pt idx="8">
                  <c:v>5.8784103471439551</c:v>
                </c:pt>
                <c:pt idx="9">
                  <c:v>5.3482581398495768</c:v>
                </c:pt>
                <c:pt idx="10">
                  <c:v>3.3779943282277998</c:v>
                </c:pt>
                <c:pt idx="11">
                  <c:v>2.5043716791567761</c:v>
                </c:pt>
                <c:pt idx="12">
                  <c:v>5.0156711008346235</c:v>
                </c:pt>
                <c:pt idx="13">
                  <c:v>3.5070069269133626</c:v>
                </c:pt>
                <c:pt idx="14">
                  <c:v>3.6980923847765013</c:v>
                </c:pt>
                <c:pt idx="15">
                  <c:v>1.088994618978063</c:v>
                </c:pt>
                <c:pt idx="16">
                  <c:v>3.5749845208334534</c:v>
                </c:pt>
                <c:pt idx="17">
                  <c:v>1.954576538323721</c:v>
                </c:pt>
                <c:pt idx="18">
                  <c:v>-0.74453870345746509</c:v>
                </c:pt>
                <c:pt idx="19">
                  <c:v>-0.17451544055846568</c:v>
                </c:pt>
                <c:pt idx="20">
                  <c:v>-3.8008841756984992</c:v>
                </c:pt>
                <c:pt idx="21">
                  <c:v>-19.645885010863395</c:v>
                </c:pt>
                <c:pt idx="22">
                  <c:v>-12.616731539536957</c:v>
                </c:pt>
                <c:pt idx="23">
                  <c:v>-10.908003215270696</c:v>
                </c:pt>
              </c:numCache>
            </c:numRef>
          </c:val>
          <c:smooth val="0"/>
          <c:extLst>
            <c:ext xmlns:c16="http://schemas.microsoft.com/office/drawing/2014/chart" uri="{C3380CC4-5D6E-409C-BE32-E72D297353CC}">
              <c16:uniqueId val="{00000006-184F-4C1E-A661-50BC816F2164}"/>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Saldo indik.důvěry ve službách (pr. osa)</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růstu'!$J$38:$J$62</c:f>
              <c:numCache>
                <c:formatCode>0.0</c:formatCode>
                <c:ptCount val="25"/>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numCache>
            </c:numRef>
          </c:val>
          <c:smooth val="0"/>
          <c:extLst>
            <c:ext xmlns:c16="http://schemas.microsoft.com/office/drawing/2014/chart" uri="{C3380CC4-5D6E-409C-BE32-E72D297353CC}">
              <c16:uniqueId val="{00000007-184F-4C1E-A661-50BC816F2164}"/>
            </c:ext>
          </c:extLst>
        </c:ser>
        <c:ser>
          <c:idx val="8"/>
          <c:order val="8"/>
          <c:tx>
            <c:strRef>
              <c:f>'Služby-příspěvkyk růstu'!$K$25</c:f>
              <c:strCache>
                <c:ptCount val="1"/>
                <c:pt idx="0">
                  <c:v>Bariéra růstu: nedost. poptávka (pr. osa)</c:v>
                </c:pt>
              </c:strCache>
            </c:strRef>
          </c:tx>
          <c:spPr>
            <a:ln w="19050">
              <a:solidFill>
                <a:srgbClr val="00B050"/>
              </a:solidFill>
            </a:ln>
          </c:spPr>
          <c:marker>
            <c:symbol val="none"/>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růstu'!$K$38:$K$62</c:f>
              <c:numCache>
                <c:formatCode>#,##0.0</c:formatCode>
                <c:ptCount val="25"/>
                <c:pt idx="0">
                  <c:v>26.2</c:v>
                </c:pt>
                <c:pt idx="1">
                  <c:v>29</c:v>
                </c:pt>
                <c:pt idx="2">
                  <c:v>26.9</c:v>
                </c:pt>
                <c:pt idx="3">
                  <c:v>23.3</c:v>
                </c:pt>
                <c:pt idx="4">
                  <c:v>24</c:v>
                </c:pt>
                <c:pt idx="5">
                  <c:v>24.5</c:v>
                </c:pt>
                <c:pt idx="6">
                  <c:v>21</c:v>
                </c:pt>
                <c:pt idx="7">
                  <c:v>23.3</c:v>
                </c:pt>
                <c:pt idx="8">
                  <c:v>26.2</c:v>
                </c:pt>
                <c:pt idx="9">
                  <c:v>20.5</c:v>
                </c:pt>
                <c:pt idx="10">
                  <c:v>19.899999999999999</c:v>
                </c:pt>
                <c:pt idx="11">
                  <c:v>20.9</c:v>
                </c:pt>
                <c:pt idx="12">
                  <c:v>17.3</c:v>
                </c:pt>
                <c:pt idx="13">
                  <c:v>18.600000000000001</c:v>
                </c:pt>
                <c:pt idx="14">
                  <c:v>18.899999999999999</c:v>
                </c:pt>
                <c:pt idx="15">
                  <c:v>19.8</c:v>
                </c:pt>
                <c:pt idx="16">
                  <c:v>20.7</c:v>
                </c:pt>
                <c:pt idx="17">
                  <c:v>17.100000000000001</c:v>
                </c:pt>
                <c:pt idx="18">
                  <c:v>21.7</c:v>
                </c:pt>
                <c:pt idx="19">
                  <c:v>14.1</c:v>
                </c:pt>
                <c:pt idx="20">
                  <c:v>20.399999999999999</c:v>
                </c:pt>
                <c:pt idx="21">
                  <c:v>29.1</c:v>
                </c:pt>
                <c:pt idx="22">
                  <c:v>30.9</c:v>
                </c:pt>
                <c:pt idx="23">
                  <c:v>39</c:v>
                </c:pt>
                <c:pt idx="24">
                  <c:v>35.799999999999997</c:v>
                </c:pt>
              </c:numCache>
            </c:numRef>
          </c:val>
          <c:smooth val="0"/>
          <c:extLst>
            <c:ext xmlns:c16="http://schemas.microsoft.com/office/drawing/2014/chart" uri="{C3380CC4-5D6E-409C-BE32-E72D297353CC}">
              <c16:uniqueId val="{00000008-184F-4C1E-A661-50BC816F2164}"/>
            </c:ext>
          </c:extLst>
        </c:ser>
        <c:ser>
          <c:idx val="9"/>
          <c:order val="9"/>
          <c:tx>
            <c:strRef>
              <c:f>'Služby-příspěvkyk růstu'!$L$25</c:f>
              <c:strCache>
                <c:ptCount val="1"/>
                <c:pt idx="0">
                  <c:v>Bariéra růstu: nedost. pracovníků (pr. osa)</c:v>
                </c:pt>
              </c:strCache>
            </c:strRef>
          </c:tx>
          <c:spPr>
            <a:ln w="19050">
              <a:solidFill>
                <a:srgbClr val="00B050"/>
              </a:solidFill>
              <a:prstDash val="sysDash"/>
            </a:ln>
          </c:spPr>
          <c:marker>
            <c:symbol val="none"/>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růstu'!$L$38:$L$62</c:f>
              <c:numCache>
                <c:formatCode>#,##0.0</c:formatCode>
                <c:ptCount val="25"/>
                <c:pt idx="0">
                  <c:v>2.8</c:v>
                </c:pt>
                <c:pt idx="1">
                  <c:v>5.7</c:v>
                </c:pt>
                <c:pt idx="2">
                  <c:v>5.9</c:v>
                </c:pt>
                <c:pt idx="3">
                  <c:v>5.8</c:v>
                </c:pt>
                <c:pt idx="4">
                  <c:v>8.6999999999999993</c:v>
                </c:pt>
                <c:pt idx="5">
                  <c:v>4.5999999999999996</c:v>
                </c:pt>
                <c:pt idx="6">
                  <c:v>7.1</c:v>
                </c:pt>
                <c:pt idx="7">
                  <c:v>9.1</c:v>
                </c:pt>
                <c:pt idx="8">
                  <c:v>10.1</c:v>
                </c:pt>
                <c:pt idx="9">
                  <c:v>10</c:v>
                </c:pt>
                <c:pt idx="10">
                  <c:v>9.3000000000000007</c:v>
                </c:pt>
                <c:pt idx="11">
                  <c:v>12.2</c:v>
                </c:pt>
                <c:pt idx="12">
                  <c:v>14.2</c:v>
                </c:pt>
                <c:pt idx="13">
                  <c:v>16.600000000000001</c:v>
                </c:pt>
                <c:pt idx="14">
                  <c:v>17.3</c:v>
                </c:pt>
                <c:pt idx="15">
                  <c:v>18.600000000000001</c:v>
                </c:pt>
                <c:pt idx="16">
                  <c:v>19.600000000000001</c:v>
                </c:pt>
                <c:pt idx="17">
                  <c:v>16.600000000000001</c:v>
                </c:pt>
                <c:pt idx="18">
                  <c:v>21.2</c:v>
                </c:pt>
                <c:pt idx="19">
                  <c:v>19.100000000000001</c:v>
                </c:pt>
                <c:pt idx="20">
                  <c:v>19.7</c:v>
                </c:pt>
                <c:pt idx="21">
                  <c:v>12.1</c:v>
                </c:pt>
                <c:pt idx="22">
                  <c:v>9.8000000000000007</c:v>
                </c:pt>
                <c:pt idx="23">
                  <c:v>11.1</c:v>
                </c:pt>
                <c:pt idx="24">
                  <c:v>11.2</c:v>
                </c:pt>
              </c:numCache>
            </c:numRef>
          </c:val>
          <c:smooth val="0"/>
          <c:extLst>
            <c:ext xmlns:c16="http://schemas.microsoft.com/office/drawing/2014/chart" uri="{C3380CC4-5D6E-409C-BE32-E72D297353CC}">
              <c16:uniqueId val="{00000009-184F-4C1E-A661-50BC816F2164}"/>
            </c:ext>
          </c:extLst>
        </c:ser>
        <c:ser>
          <c:idx val="10"/>
          <c:order val="10"/>
          <c:tx>
            <c:strRef>
              <c:f>'Služby-příspěvkyk růstu'!$M$25</c:f>
              <c:strCache>
                <c:ptCount val="1"/>
                <c:pt idx="0">
                  <c:v>Bariéry růstu podniků: žádné (pravá osa)</c:v>
                </c:pt>
              </c:strCache>
            </c:strRef>
          </c:tx>
          <c:spPr>
            <a:ln w="19050">
              <a:solidFill>
                <a:srgbClr val="00B050"/>
              </a:solidFill>
              <a:prstDash val="sysDot"/>
            </a:ln>
          </c:spPr>
          <c:marker>
            <c:symbol val="none"/>
          </c:marker>
          <c:cat>
            <c:multiLvlStrRef>
              <c:f>'Služby-příspěvkyk růstu'!$A$38:$B$62</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'Služby-příspěvkyk růstu'!$M$38:$M$62</c:f>
              <c:numCache>
                <c:formatCode>#,##0.0</c:formatCode>
                <c:ptCount val="25"/>
                <c:pt idx="0">
                  <c:v>43.8</c:v>
                </c:pt>
                <c:pt idx="1">
                  <c:v>42.8</c:v>
                </c:pt>
                <c:pt idx="2">
                  <c:v>46.2</c:v>
                </c:pt>
                <c:pt idx="3">
                  <c:v>50.3</c:v>
                </c:pt>
                <c:pt idx="4">
                  <c:v>47</c:v>
                </c:pt>
                <c:pt idx="5">
                  <c:v>46.5</c:v>
                </c:pt>
                <c:pt idx="6">
                  <c:v>51.8</c:v>
                </c:pt>
                <c:pt idx="7">
                  <c:v>48.6</c:v>
                </c:pt>
                <c:pt idx="8">
                  <c:v>45.5</c:v>
                </c:pt>
                <c:pt idx="9">
                  <c:v>47.7</c:v>
                </c:pt>
                <c:pt idx="10">
                  <c:v>48.2</c:v>
                </c:pt>
                <c:pt idx="11">
                  <c:v>46.6</c:v>
                </c:pt>
                <c:pt idx="12">
                  <c:v>49.6</c:v>
                </c:pt>
                <c:pt idx="13">
                  <c:v>45.4</c:v>
                </c:pt>
                <c:pt idx="14">
                  <c:v>43.4</c:v>
                </c:pt>
                <c:pt idx="15">
                  <c:v>46.4</c:v>
                </c:pt>
                <c:pt idx="16">
                  <c:v>45</c:v>
                </c:pt>
                <c:pt idx="17">
                  <c:v>46.4</c:v>
                </c:pt>
                <c:pt idx="18">
                  <c:v>45.9</c:v>
                </c:pt>
                <c:pt idx="19">
                  <c:v>47.5</c:v>
                </c:pt>
                <c:pt idx="20">
                  <c:v>44.4</c:v>
                </c:pt>
                <c:pt idx="21">
                  <c:v>32.9</c:v>
                </c:pt>
                <c:pt idx="22">
                  <c:v>27.1</c:v>
                </c:pt>
                <c:pt idx="23">
                  <c:v>26.4</c:v>
                </c:pt>
                <c:pt idx="24">
                  <c:v>26.4</c:v>
                </c:pt>
              </c:numCache>
            </c:numRef>
          </c:val>
          <c:smooth val="0"/>
          <c:extLst>
            <c:ext xmlns:c16="http://schemas.microsoft.com/office/drawing/2014/chart" uri="{C3380CC4-5D6E-409C-BE32-E72D297353CC}">
              <c16:uniqueId val="{0000000A-184F-4C1E-A661-50BC816F2164}"/>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6"/>
          <c:min val="-24"/>
        </c:scaling>
        <c:delete val="0"/>
        <c:axPos val="l"/>
        <c:majorGridlines>
          <c:spPr>
            <a:ln w="6350">
              <a:solidFill>
                <a:schemeClr val="bg1">
                  <a:lumMod val="75000"/>
                </a:schemeClr>
              </a:solidFill>
            </a:ln>
          </c:spPr>
        </c:majorGridlines>
        <c:title>
          <c:tx>
            <c:rich>
              <a:bodyPr/>
              <a:lstStyle/>
              <a:p>
                <a:pPr>
                  <a:defRPr sz="700" b="0" i="1"/>
                </a:pPr>
                <a:r>
                  <a:rPr lang="cs-CZ" sz="700" b="0" i="1"/>
                  <a:t>Příspěvky k</a:t>
                </a:r>
                <a:r>
                  <a:rPr lang="cs-CZ" sz="700" b="0" i="1" u="none" strike="noStrike" kern="1200" baseline="0">
                    <a:solidFill>
                      <a:sysClr val="windowText" lastClr="000000"/>
                    </a:solidFill>
                    <a:latin typeface="Arial" pitchFamily="34" charset="0"/>
                    <a:ea typeface="+mn-ea"/>
                    <a:cs typeface="+mn-cs"/>
                  </a:rPr>
                  <a:t> </a:t>
                </a:r>
                <a:r>
                  <a:rPr lang="cs-CZ" sz="700" b="0" i="1"/>
                  <a:t>růstu tržeb</a:t>
                </a:r>
              </a:p>
            </c:rich>
          </c:tx>
          <c:layout>
            <c:manualLayout>
              <c:xMode val="edge"/>
              <c:yMode val="edge"/>
              <c:x val="0"/>
              <c:y val="0.21427956658597461"/>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80"/>
          <c:min val="-15"/>
        </c:scaling>
        <c:delete val="0"/>
        <c:axPos val="r"/>
        <c:title>
          <c:tx>
            <c:rich>
              <a:bodyPr/>
              <a:lstStyle/>
              <a:p>
                <a:pPr>
                  <a:defRPr sz="700" b="0" i="1"/>
                </a:pPr>
                <a:r>
                  <a:rPr lang="cs-CZ" sz="700" b="0" i="1"/>
                  <a:t>Saldo indikátoru důvěry,bBariéry růstu</a:t>
                </a:r>
              </a:p>
            </c:rich>
          </c:tx>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6.4054887921738678E-5"/>
          <c:y val="0.82175247960207154"/>
          <c:w val="0.98850193828834876"/>
          <c:h val="0.16763527754636032"/>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481551840594413E-2"/>
          <c:y val="2.3304908251716772E-2"/>
          <c:w val="0.90781408308004052"/>
          <c:h val="0.612553754362265"/>
        </c:manualLayout>
      </c:layout>
      <c:barChart>
        <c:barDir val="col"/>
        <c:grouping val="clustered"/>
        <c:varyColors val="0"/>
        <c:ser>
          <c:idx val="0"/>
          <c:order val="0"/>
          <c:tx>
            <c:strRef>
              <c:f>'Vnější vztahy 2'!$A$6</c:f>
              <c:strCache>
                <c:ptCount val="1"/>
                <c:pt idx="0">
                  <c:v>2019</c:v>
                </c:pt>
              </c:strCache>
            </c:strRef>
          </c:tx>
          <c:spPr>
            <a:solidFill>
              <a:schemeClr val="tx1">
                <a:lumMod val="50000"/>
                <a:lumOff val="50000"/>
              </a:schemeClr>
            </a:solidFill>
            <a:ln>
              <a:noFill/>
            </a:ln>
          </c:spPr>
          <c:invertIfNegative val="0"/>
          <c:cat>
            <c:strRef>
              <c:f>'Vnější vztahy 2'!$B$5:$N$5</c:f>
              <c:strCache>
                <c:ptCount val="13"/>
                <c:pt idx="0">
                  <c:v>Ropa a zemní plyn</c:v>
                </c:pt>
                <c:pt idx="1">
                  <c:v>Potrav. výrobky</c:v>
                </c:pt>
                <c:pt idx="2">
                  <c:v>Oděvy</c:v>
                </c:pt>
                <c:pt idx="3">
                  <c:v>Koks, raf. ropné prod.</c:v>
                </c:pt>
                <c:pt idx="4">
                  <c:v>Chem. látky a přípr.</c:v>
                </c:pt>
                <c:pt idx="5">
                  <c:v>Farmac. výrobky</c:v>
                </c:pt>
                <c:pt idx="6">
                  <c:v>Ostat. nekov. minerály</c:v>
                </c:pt>
                <c:pt idx="7">
                  <c:v>Základní kovy</c:v>
                </c:pt>
                <c:pt idx="8">
                  <c:v>Kovodělné výrobky</c:v>
                </c:pt>
                <c:pt idx="9">
                  <c:v>Počítače, opt.                                          a elektron. přístr.</c:v>
                </c:pt>
                <c:pt idx="10">
                  <c:v>Elektrická zařízení</c:v>
                </c:pt>
                <c:pt idx="11">
                  <c:v>Stroje a zařízení j. n.</c:v>
                </c:pt>
                <c:pt idx="12">
                  <c:v>Motorová vozidla</c:v>
                </c:pt>
              </c:strCache>
            </c:strRef>
          </c:cat>
          <c:val>
            <c:numRef>
              <c:f>'Vnější vztahy 2'!$B$6:$N$6</c:f>
              <c:numCache>
                <c:formatCode>General</c:formatCode>
                <c:ptCount val="13"/>
                <c:pt idx="0">
                  <c:v>-126.11199999999999</c:v>
                </c:pt>
                <c:pt idx="1">
                  <c:v>-45.085000000000001</c:v>
                </c:pt>
                <c:pt idx="2">
                  <c:v>-33.119999999999997</c:v>
                </c:pt>
                <c:pt idx="3">
                  <c:v>-21.491</c:v>
                </c:pt>
                <c:pt idx="4">
                  <c:v>-111.01600000000001</c:v>
                </c:pt>
                <c:pt idx="5">
                  <c:v>-53.835999999999999</c:v>
                </c:pt>
                <c:pt idx="6">
                  <c:v>23.349</c:v>
                </c:pt>
                <c:pt idx="7">
                  <c:v>-123.27200000000001</c:v>
                </c:pt>
                <c:pt idx="8">
                  <c:v>56.374000000000002</c:v>
                </c:pt>
                <c:pt idx="9">
                  <c:v>-27.954000000000001</c:v>
                </c:pt>
                <c:pt idx="10">
                  <c:v>40.701000000000001</c:v>
                </c:pt>
                <c:pt idx="11">
                  <c:v>62.975999999999999</c:v>
                </c:pt>
                <c:pt idx="12">
                  <c:v>460.68099999999998</c:v>
                </c:pt>
              </c:numCache>
            </c:numRef>
          </c:val>
          <c:extLst>
            <c:ext xmlns:c16="http://schemas.microsoft.com/office/drawing/2014/chart" uri="{C3380CC4-5D6E-409C-BE32-E72D297353CC}">
              <c16:uniqueId val="{00000000-B39C-41F1-98FA-731AAF9B1031}"/>
            </c:ext>
          </c:extLst>
        </c:ser>
        <c:ser>
          <c:idx val="1"/>
          <c:order val="1"/>
          <c:tx>
            <c:strRef>
              <c:f>'Vnější vztahy 2'!$A$7</c:f>
              <c:strCache>
                <c:ptCount val="1"/>
                <c:pt idx="0">
                  <c:v>2020</c:v>
                </c:pt>
              </c:strCache>
            </c:strRef>
          </c:tx>
          <c:spPr>
            <a:solidFill>
              <a:schemeClr val="bg1">
                <a:lumMod val="65000"/>
              </a:schemeClr>
            </a:solidFill>
          </c:spPr>
          <c:invertIfNegative val="0"/>
          <c:val>
            <c:numRef>
              <c:f>'Vnější vztahy 2'!$B$7:$N$7</c:f>
              <c:numCache>
                <c:formatCode>General</c:formatCode>
                <c:ptCount val="13"/>
                <c:pt idx="0">
                  <c:v>-70.382999999999996</c:v>
                </c:pt>
                <c:pt idx="1">
                  <c:v>-42.177</c:v>
                </c:pt>
                <c:pt idx="2">
                  <c:v>-30.149000000000001</c:v>
                </c:pt>
                <c:pt idx="3">
                  <c:v>-20.463999999999999</c:v>
                </c:pt>
                <c:pt idx="4">
                  <c:v>-105.018</c:v>
                </c:pt>
                <c:pt idx="5">
                  <c:v>-59.753999999999998</c:v>
                </c:pt>
                <c:pt idx="6">
                  <c:v>24.41</c:v>
                </c:pt>
                <c:pt idx="7">
                  <c:v>-100.375</c:v>
                </c:pt>
                <c:pt idx="8">
                  <c:v>58.125999999999998</c:v>
                </c:pt>
                <c:pt idx="9">
                  <c:v>-48.302</c:v>
                </c:pt>
                <c:pt idx="10">
                  <c:v>21.015000000000001</c:v>
                </c:pt>
                <c:pt idx="11">
                  <c:v>62.640999999999998</c:v>
                </c:pt>
                <c:pt idx="12">
                  <c:v>435.25700000000001</c:v>
                </c:pt>
              </c:numCache>
            </c:numRef>
          </c:val>
          <c:extLst>
            <c:ext xmlns:c16="http://schemas.microsoft.com/office/drawing/2014/chart" uri="{C3380CC4-5D6E-409C-BE32-E72D297353CC}">
              <c16:uniqueId val="{00000001-B39C-41F1-98FA-731AAF9B1031}"/>
            </c:ext>
          </c:extLst>
        </c:ser>
        <c:dLbls>
          <c:showLegendKey val="0"/>
          <c:showVal val="0"/>
          <c:showCatName val="0"/>
          <c:showSerName val="0"/>
          <c:showPercent val="0"/>
          <c:showBubbleSize val="0"/>
        </c:dLbls>
        <c:gapWidth val="97"/>
        <c:axId val="269967744"/>
        <c:axId val="269969280"/>
      </c:barChart>
      <c:catAx>
        <c:axId val="269967744"/>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269969280"/>
        <c:crosses val="autoZero"/>
        <c:auto val="1"/>
        <c:lblAlgn val="ctr"/>
        <c:lblOffset val="100"/>
        <c:noMultiLvlLbl val="0"/>
      </c:catAx>
      <c:valAx>
        <c:axId val="269969280"/>
        <c:scaling>
          <c:orientation val="minMax"/>
          <c:min val="-20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269967744"/>
        <c:crosses val="autoZero"/>
        <c:crossBetween val="between"/>
      </c:valAx>
      <c:spPr>
        <a:ln>
          <a:solidFill>
            <a:schemeClr val="tx1"/>
          </a:solidFill>
        </a:ln>
      </c:spPr>
    </c:plotArea>
    <c:legend>
      <c:legendPos val="b"/>
      <c:layout>
        <c:manualLayout>
          <c:xMode val="edge"/>
          <c:yMode val="edge"/>
          <c:x val="7.9999155690645057E-2"/>
          <c:y val="0.93271781816746591"/>
          <c:w val="0.90181273218507263"/>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299E-2"/>
          <c:w val="0.92237743255066085"/>
          <c:h val="0.71471575213004157"/>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2'!$C$18:$C$41</c:f>
              <c:numCache>
                <c:formatCode>0.0</c:formatCode>
                <c:ptCount val="24"/>
                <c:pt idx="0">
                  <c:v>9.9999999999994316E-2</c:v>
                </c:pt>
                <c:pt idx="1">
                  <c:v>0.70000000000000284</c:v>
                </c:pt>
                <c:pt idx="2">
                  <c:v>0.40000000000000568</c:v>
                </c:pt>
                <c:pt idx="3">
                  <c:v>9.9999999999994316E-2</c:v>
                </c:pt>
                <c:pt idx="4">
                  <c:v>0.5</c:v>
                </c:pt>
                <c:pt idx="5">
                  <c:v>0.20000000000000284</c:v>
                </c:pt>
                <c:pt idx="6">
                  <c:v>0.5</c:v>
                </c:pt>
                <c:pt idx="7">
                  <c:v>1.4000000000000057</c:v>
                </c:pt>
                <c:pt idx="8" formatCode="General">
                  <c:v>2.4000000000000057</c:v>
                </c:pt>
                <c:pt idx="9" formatCode="General">
                  <c:v>2.2000000000000028</c:v>
                </c:pt>
                <c:pt idx="10">
                  <c:v>2.5</c:v>
                </c:pt>
                <c:pt idx="11">
                  <c:v>2.6</c:v>
                </c:pt>
                <c:pt idx="12">
                  <c:v>1.9</c:v>
                </c:pt>
                <c:pt idx="13">
                  <c:v>2.2999999999999998</c:v>
                </c:pt>
                <c:pt idx="14">
                  <c:v>2.4</c:v>
                </c:pt>
                <c:pt idx="15">
                  <c:v>2.1</c:v>
                </c:pt>
                <c:pt idx="16">
                  <c:v>2.7</c:v>
                </c:pt>
                <c:pt idx="17">
                  <c:v>2.8</c:v>
                </c:pt>
                <c:pt idx="18">
                  <c:v>2.8</c:v>
                </c:pt>
                <c:pt idx="19">
                  <c:v>3</c:v>
                </c:pt>
                <c:pt idx="20">
                  <c:v>3.6</c:v>
                </c:pt>
                <c:pt idx="21">
                  <c:v>3.1</c:v>
                </c:pt>
                <c:pt idx="22">
                  <c:v>3.3</c:v>
                </c:pt>
                <c:pt idx="23">
                  <c:v>2.6</c:v>
                </c:pt>
              </c:numCache>
            </c:numRef>
          </c:val>
          <c:extLst>
            <c:ext xmlns:c16="http://schemas.microsoft.com/office/drawing/2014/chart" uri="{C3380CC4-5D6E-409C-BE32-E72D297353CC}">
              <c16:uniqueId val="{00000000-BE20-4B59-8768-A2A8A5480D2A}"/>
            </c:ext>
          </c:extLst>
        </c:ser>
        <c:dLbls>
          <c:showLegendKey val="0"/>
          <c:showVal val="0"/>
          <c:showCatName val="0"/>
          <c:showSerName val="0"/>
          <c:showPercent val="0"/>
          <c:showBubbleSize val="0"/>
        </c:dLbls>
        <c:gapWidth val="95"/>
        <c:axId val="270120064"/>
        <c:axId val="270121600"/>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2'!$D$18:$D$41</c:f>
              <c:numCache>
                <c:formatCode>0.0</c:formatCode>
                <c:ptCount val="24"/>
                <c:pt idx="0">
                  <c:v>-1.5999999999999943</c:v>
                </c:pt>
                <c:pt idx="1">
                  <c:v>-9.9999999999994316E-2</c:v>
                </c:pt>
                <c:pt idx="2">
                  <c:v>-0.90000000000000568</c:v>
                </c:pt>
                <c:pt idx="3">
                  <c:v>-1.5999999999999943</c:v>
                </c:pt>
                <c:pt idx="4">
                  <c:v>-1.7000000000000028</c:v>
                </c:pt>
                <c:pt idx="5">
                  <c:v>-2.4000000000000057</c:v>
                </c:pt>
                <c:pt idx="6">
                  <c:v>-0.79999999999999716</c:v>
                </c:pt>
                <c:pt idx="7">
                  <c:v>1.2000000000000028</c:v>
                </c:pt>
                <c:pt idx="8" formatCode="General">
                  <c:v>4.2000000000000028</c:v>
                </c:pt>
                <c:pt idx="9" formatCode="General">
                  <c:v>4.5</c:v>
                </c:pt>
                <c:pt idx="10">
                  <c:v>5.7</c:v>
                </c:pt>
                <c:pt idx="11">
                  <c:v>6.3</c:v>
                </c:pt>
                <c:pt idx="12">
                  <c:v>2.9</c:v>
                </c:pt>
                <c:pt idx="13" formatCode="#,##0.0_ ;\-#,##0.0\ ">
                  <c:v>2.2999999999999998</c:v>
                </c:pt>
                <c:pt idx="14">
                  <c:v>0.6</c:v>
                </c:pt>
                <c:pt idx="15">
                  <c:v>-0.5</c:v>
                </c:pt>
                <c:pt idx="16">
                  <c:v>1</c:v>
                </c:pt>
                <c:pt idx="17">
                  <c:v>2.5</c:v>
                </c:pt>
                <c:pt idx="18">
                  <c:v>3.5</c:v>
                </c:pt>
                <c:pt idx="19">
                  <c:v>4.3</c:v>
                </c:pt>
                <c:pt idx="20">
                  <c:v>6.1</c:v>
                </c:pt>
                <c:pt idx="21">
                  <c:v>6.5</c:v>
                </c:pt>
                <c:pt idx="22">
                  <c:v>4</c:v>
                </c:pt>
                <c:pt idx="23">
                  <c:v>1.7</c:v>
                </c:pt>
              </c:numCache>
            </c:numRef>
          </c:val>
          <c:smooth val="0"/>
          <c:extLst>
            <c:ext xmlns:c16="http://schemas.microsoft.com/office/drawing/2014/chart" uri="{C3380CC4-5D6E-409C-BE32-E72D297353CC}">
              <c16:uniqueId val="{00000001-BE20-4B59-8768-A2A8A5480D2A}"/>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2'!$F$18:$F$41</c:f>
              <c:numCache>
                <c:formatCode>0.0</c:formatCode>
                <c:ptCount val="24"/>
                <c:pt idx="0">
                  <c:v>1.0999999999999943</c:v>
                </c:pt>
                <c:pt idx="1">
                  <c:v>1.2000000000000028</c:v>
                </c:pt>
                <c:pt idx="2">
                  <c:v>0.79999999999999716</c:v>
                </c:pt>
                <c:pt idx="3">
                  <c:v>0.90000000000000568</c:v>
                </c:pt>
                <c:pt idx="4">
                  <c:v>0.90000000000000568</c:v>
                </c:pt>
                <c:pt idx="5">
                  <c:v>0.5</c:v>
                </c:pt>
                <c:pt idx="6">
                  <c:v>0.40000000000000568</c:v>
                </c:pt>
                <c:pt idx="7">
                  <c:v>0.59999999999999432</c:v>
                </c:pt>
                <c:pt idx="8" formatCode="General">
                  <c:v>0.79999999999999716</c:v>
                </c:pt>
                <c:pt idx="9" formatCode="General">
                  <c:v>1.5</c:v>
                </c:pt>
                <c:pt idx="10">
                  <c:v>2.1</c:v>
                </c:pt>
                <c:pt idx="11">
                  <c:v>2.2000000000000002</c:v>
                </c:pt>
                <c:pt idx="12">
                  <c:v>2.2999999999999998</c:v>
                </c:pt>
                <c:pt idx="13">
                  <c:v>2.6</c:v>
                </c:pt>
                <c:pt idx="14">
                  <c:v>3.2</c:v>
                </c:pt>
                <c:pt idx="15">
                  <c:v>3.8</c:v>
                </c:pt>
                <c:pt idx="16">
                  <c:v>5.4</c:v>
                </c:pt>
                <c:pt idx="17">
                  <c:v>5.7</c:v>
                </c:pt>
                <c:pt idx="18">
                  <c:v>5.2</c:v>
                </c:pt>
                <c:pt idx="19">
                  <c:v>5</c:v>
                </c:pt>
                <c:pt idx="20">
                  <c:v>4.2</c:v>
                </c:pt>
                <c:pt idx="21">
                  <c:v>3.2</c:v>
                </c:pt>
                <c:pt idx="22">
                  <c:v>2.7</c:v>
                </c:pt>
                <c:pt idx="23">
                  <c:v>1.4</c:v>
                </c:pt>
              </c:numCache>
            </c:numRef>
          </c:val>
          <c:smooth val="0"/>
          <c:extLst>
            <c:ext xmlns:c16="http://schemas.microsoft.com/office/drawing/2014/chart" uri="{C3380CC4-5D6E-409C-BE32-E72D297353CC}">
              <c16:uniqueId val="{00000002-BE20-4B59-8768-A2A8A5480D2A}"/>
            </c:ext>
          </c:extLst>
        </c:ser>
        <c:ser>
          <c:idx val="4"/>
          <c:order val="3"/>
          <c:tx>
            <c:strRef>
              <c:f>'Ceny 2'!$G$5</c:f>
              <c:strCache>
                <c:ptCount val="1"/>
                <c:pt idx="0">
                  <c:v>Doprava</c:v>
                </c:pt>
              </c:strCache>
            </c:strRef>
          </c:tx>
          <c:spPr>
            <a:ln w="19050">
              <a:solidFill>
                <a:srgbClr val="FFC000"/>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2'!$G$18:$G$41</c:f>
              <c:numCache>
                <c:formatCode>General</c:formatCode>
                <c:ptCount val="24"/>
                <c:pt idx="0">
                  <c:v>-4.9000000000000057</c:v>
                </c:pt>
                <c:pt idx="1">
                  <c:v>-3.2999999999999972</c:v>
                </c:pt>
                <c:pt idx="2">
                  <c:v>-3.7999999999999972</c:v>
                </c:pt>
                <c:pt idx="3">
                  <c:v>-4.7000000000000028</c:v>
                </c:pt>
                <c:pt idx="4">
                  <c:v>-2.7000000000000028</c:v>
                </c:pt>
                <c:pt idx="5">
                  <c:v>-2.9000000000000057</c:v>
                </c:pt>
                <c:pt idx="6">
                  <c:v>-2.2999999999999972</c:v>
                </c:pt>
                <c:pt idx="7">
                  <c:v>1.0999999999999943</c:v>
                </c:pt>
                <c:pt idx="8">
                  <c:v>6</c:v>
                </c:pt>
                <c:pt idx="9">
                  <c:v>3.9000000000000057</c:v>
                </c:pt>
                <c:pt idx="10" formatCode="0.0">
                  <c:v>2.5</c:v>
                </c:pt>
                <c:pt idx="11" formatCode="0.0">
                  <c:v>2.5</c:v>
                </c:pt>
                <c:pt idx="12" formatCode="0.0">
                  <c:v>1</c:v>
                </c:pt>
                <c:pt idx="13" formatCode="0.0">
                  <c:v>3</c:v>
                </c:pt>
                <c:pt idx="14" formatCode="0.0">
                  <c:v>4.5</c:v>
                </c:pt>
                <c:pt idx="15" formatCode="0.0">
                  <c:v>2.6</c:v>
                </c:pt>
                <c:pt idx="16" formatCode="0.0">
                  <c:v>0.6</c:v>
                </c:pt>
                <c:pt idx="17" formatCode="0.0">
                  <c:v>0.8</c:v>
                </c:pt>
                <c:pt idx="18" formatCode="0.0">
                  <c:v>-0.2</c:v>
                </c:pt>
                <c:pt idx="19" formatCode="0.0">
                  <c:v>0.5</c:v>
                </c:pt>
                <c:pt idx="20">
                  <c:v>1.7</c:v>
                </c:pt>
                <c:pt idx="21" formatCode="0.0">
                  <c:v>-3.4</c:v>
                </c:pt>
                <c:pt idx="22" formatCode="0.0">
                  <c:v>-0.2</c:v>
                </c:pt>
                <c:pt idx="23" formatCode="0.0">
                  <c:v>0.6</c:v>
                </c:pt>
              </c:numCache>
            </c:numRef>
          </c:val>
          <c:smooth val="0"/>
          <c:extLst>
            <c:ext xmlns:c16="http://schemas.microsoft.com/office/drawing/2014/chart" uri="{C3380CC4-5D6E-409C-BE32-E72D297353CC}">
              <c16:uniqueId val="{00000003-BE20-4B59-8768-A2A8A5480D2A}"/>
            </c:ext>
          </c:extLst>
        </c:ser>
        <c:ser>
          <c:idx val="2"/>
          <c:order val="4"/>
          <c:tx>
            <c:strRef>
              <c:f>'Ceny 2'!$E$5</c:f>
              <c:strCache>
                <c:ptCount val="1"/>
                <c:pt idx="0">
                  <c:v>Alkoholické nápoje a tabák</c:v>
                </c:pt>
              </c:strCache>
            </c:strRef>
          </c:tx>
          <c:spPr>
            <a:ln w="19050">
              <a:solidFill>
                <a:schemeClr val="accent2"/>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2'!$E$18:$E$41</c:f>
              <c:numCache>
                <c:formatCode>0.0</c:formatCode>
                <c:ptCount val="24"/>
                <c:pt idx="0">
                  <c:v>3.4000000000000057</c:v>
                </c:pt>
                <c:pt idx="1">
                  <c:v>5.4000000000000057</c:v>
                </c:pt>
                <c:pt idx="2">
                  <c:v>5.2000000000000028</c:v>
                </c:pt>
                <c:pt idx="3">
                  <c:v>4.7000000000000028</c:v>
                </c:pt>
                <c:pt idx="4">
                  <c:v>3.5</c:v>
                </c:pt>
                <c:pt idx="5">
                  <c:v>4.4000000000000057</c:v>
                </c:pt>
                <c:pt idx="6">
                  <c:v>4.5</c:v>
                </c:pt>
                <c:pt idx="7">
                  <c:v>5.2000000000000028</c:v>
                </c:pt>
                <c:pt idx="8" formatCode="General">
                  <c:v>3.4000000000000057</c:v>
                </c:pt>
                <c:pt idx="9" formatCode="General">
                  <c:v>0.79999999999999716</c:v>
                </c:pt>
                <c:pt idx="10">
                  <c:v>1.3</c:v>
                </c:pt>
                <c:pt idx="11">
                  <c:v>1.5</c:v>
                </c:pt>
                <c:pt idx="12">
                  <c:v>2.5</c:v>
                </c:pt>
                <c:pt idx="13">
                  <c:v>3.6</c:v>
                </c:pt>
                <c:pt idx="14">
                  <c:v>2.8</c:v>
                </c:pt>
                <c:pt idx="15">
                  <c:v>3.1</c:v>
                </c:pt>
                <c:pt idx="16">
                  <c:v>3.3</c:v>
                </c:pt>
                <c:pt idx="17">
                  <c:v>1.7</c:v>
                </c:pt>
                <c:pt idx="18">
                  <c:v>1.9</c:v>
                </c:pt>
                <c:pt idx="19">
                  <c:v>1.8</c:v>
                </c:pt>
                <c:pt idx="20" formatCode="General">
                  <c:v>3.5</c:v>
                </c:pt>
                <c:pt idx="21">
                  <c:v>6.6</c:v>
                </c:pt>
                <c:pt idx="22">
                  <c:v>10.3</c:v>
                </c:pt>
                <c:pt idx="23">
                  <c:v>9.9</c:v>
                </c:pt>
              </c:numCache>
            </c:numRef>
          </c:val>
          <c:smooth val="0"/>
          <c:extLst>
            <c:ext xmlns:c16="http://schemas.microsoft.com/office/drawing/2014/chart" uri="{C3380CC4-5D6E-409C-BE32-E72D297353CC}">
              <c16:uniqueId val="{00000004-BE20-4B59-8768-A2A8A5480D2A}"/>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2'!$H$18:$H$41</c:f>
              <c:numCache>
                <c:formatCode>###,###,##0.0</c:formatCode>
                <c:ptCount val="24"/>
                <c:pt idx="0">
                  <c:v>1.7000000000000028</c:v>
                </c:pt>
                <c:pt idx="1">
                  <c:v>1.5999999999999943</c:v>
                </c:pt>
                <c:pt idx="2">
                  <c:v>1.4000000000000057</c:v>
                </c:pt>
                <c:pt idx="3">
                  <c:v>1.2999999999999972</c:v>
                </c:pt>
                <c:pt idx="4">
                  <c:v>1.2000000000000028</c:v>
                </c:pt>
                <c:pt idx="5">
                  <c:v>1.0999999999999943</c:v>
                </c:pt>
                <c:pt idx="6">
                  <c:v>1.2000000000000028</c:v>
                </c:pt>
                <c:pt idx="7">
                  <c:v>2.7000000000000028</c:v>
                </c:pt>
                <c:pt idx="8">
                  <c:v>5.2000000000000028</c:v>
                </c:pt>
                <c:pt idx="9">
                  <c:v>5.7999999999999972</c:v>
                </c:pt>
                <c:pt idx="10">
                  <c:v>6.2999999999999972</c:v>
                </c:pt>
                <c:pt idx="11" formatCode="0.0">
                  <c:v>5.6</c:v>
                </c:pt>
                <c:pt idx="12" formatCode="0.0">
                  <c:v>3.5</c:v>
                </c:pt>
                <c:pt idx="13" formatCode="0.0">
                  <c:v>3.6</c:v>
                </c:pt>
                <c:pt idx="14" formatCode="0.0">
                  <c:v>3.5</c:v>
                </c:pt>
                <c:pt idx="15" formatCode="0.0">
                  <c:v>3.7</c:v>
                </c:pt>
                <c:pt idx="16" formatCode="0.0">
                  <c:v>3.8</c:v>
                </c:pt>
                <c:pt idx="17" formatCode="0.0">
                  <c:v>4</c:v>
                </c:pt>
                <c:pt idx="18" formatCode="0.0">
                  <c:v>4.5</c:v>
                </c:pt>
                <c:pt idx="19" formatCode="0.0">
                  <c:v>4.5999999999999996</c:v>
                </c:pt>
                <c:pt idx="20" formatCode="0.0">
                  <c:v>5.5</c:v>
                </c:pt>
                <c:pt idx="21" formatCode="0.0">
                  <c:v>5.0999999999999996</c:v>
                </c:pt>
                <c:pt idx="22" formatCode="0.0">
                  <c:v>4.9000000000000004</c:v>
                </c:pt>
                <c:pt idx="23" formatCode="0.0">
                  <c:v>4.3</c:v>
                </c:pt>
              </c:numCache>
            </c:numRef>
          </c:val>
          <c:smooth val="0"/>
          <c:extLst>
            <c:ext xmlns:c16="http://schemas.microsoft.com/office/drawing/2014/chart" uri="{C3380CC4-5D6E-409C-BE32-E72D297353CC}">
              <c16:uniqueId val="{00000005-BE20-4B59-8768-A2A8A5480D2A}"/>
            </c:ext>
          </c:extLst>
        </c:ser>
        <c:dLbls>
          <c:showLegendKey val="0"/>
          <c:showVal val="0"/>
          <c:showCatName val="0"/>
          <c:showSerName val="0"/>
          <c:showPercent val="0"/>
          <c:showBubbleSize val="0"/>
        </c:dLbls>
        <c:marker val="1"/>
        <c:smooth val="0"/>
        <c:axId val="270120064"/>
        <c:axId val="270121600"/>
      </c:lineChart>
      <c:catAx>
        <c:axId val="27012006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121600"/>
        <c:crosses val="autoZero"/>
        <c:auto val="1"/>
        <c:lblAlgn val="ctr"/>
        <c:lblOffset val="100"/>
        <c:noMultiLvlLbl val="0"/>
      </c:catAx>
      <c:valAx>
        <c:axId val="270121600"/>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120064"/>
        <c:crosses val="autoZero"/>
        <c:crossBetween val="between"/>
        <c:majorUnit val="1"/>
      </c:valAx>
      <c:spPr>
        <a:ln>
          <a:solidFill>
            <a:schemeClr val="tx1"/>
          </a:solidFill>
        </a:ln>
      </c:spPr>
    </c:plotArea>
    <c:legend>
      <c:legendPos val="b"/>
      <c:layout>
        <c:manualLayout>
          <c:xMode val="edge"/>
          <c:yMode val="edge"/>
          <c:x val="5.3882134414049307E-2"/>
          <c:y val="0.85444938788566116"/>
          <c:w val="0.92202296521445437"/>
          <c:h val="0.1381645293553171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A145-C35B-4DBB-9F4D-C28AFDA0FE33}">
  <ds:schemaRefs>
    <ds:schemaRef ds:uri="http://schemas.openxmlformats.org/officeDocument/2006/bibliography"/>
  </ds:schemaRefs>
</ds:datastoreItem>
</file>

<file path=customXml/itemProps2.xml><?xml version="1.0" encoding="utf-8"?>
<ds:datastoreItem xmlns:ds="http://schemas.openxmlformats.org/officeDocument/2006/customXml" ds:itemID="{CCC1D74A-B621-45D1-86D3-6A8C5AB5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5</TotalTime>
  <Pages>36</Pages>
  <Words>14810</Words>
  <Characters>87381</Characters>
  <Application>Microsoft Office Word</Application>
  <DocSecurity>0</DocSecurity>
  <Lines>728</Lines>
  <Paragraphs>203</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101988</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4</cp:revision>
  <cp:lastPrinted>2019-04-08T10:52:00Z</cp:lastPrinted>
  <dcterms:created xsi:type="dcterms:W3CDTF">2021-03-18T08:13:00Z</dcterms:created>
  <dcterms:modified xsi:type="dcterms:W3CDTF">2021-03-18T09:09:00Z</dcterms:modified>
</cp:coreProperties>
</file>