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539B" w14:textId="5B654B6B" w:rsidR="006023F5" w:rsidRPr="00D339B3" w:rsidRDefault="00D339B3" w:rsidP="005805AB">
      <w:pPr>
        <w:jc w:val="center"/>
        <w:rPr>
          <w:b/>
          <w:sz w:val="28"/>
          <w:szCs w:val="28"/>
          <w:lang w:val="en-GB"/>
        </w:rPr>
      </w:pPr>
      <w:r w:rsidRPr="00D339B3">
        <w:rPr>
          <w:b/>
          <w:sz w:val="28"/>
          <w:szCs w:val="28"/>
          <w:lang w:val="en-GB"/>
        </w:rPr>
        <w:t>Business register statistics</w:t>
      </w:r>
      <w:r w:rsidR="006B1756">
        <w:rPr>
          <w:b/>
          <w:sz w:val="28"/>
          <w:szCs w:val="28"/>
          <w:lang w:val="en-GB"/>
        </w:rPr>
        <w:t xml:space="preserve"> - m</w:t>
      </w:r>
      <w:r w:rsidR="006B1756" w:rsidRPr="006B1756">
        <w:rPr>
          <w:b/>
          <w:sz w:val="28"/>
          <w:szCs w:val="28"/>
          <w:lang w:val="en-GB"/>
        </w:rPr>
        <w:t>ethodology</w:t>
      </w:r>
    </w:p>
    <w:p w14:paraId="036719E2" w14:textId="000187AE" w:rsidR="005805AB" w:rsidRDefault="005805AB">
      <w:pPr>
        <w:rPr>
          <w:lang w:val="en-GB"/>
        </w:rPr>
      </w:pPr>
    </w:p>
    <w:p w14:paraId="55BEDD4D" w14:textId="38948E79" w:rsidR="00D339B3" w:rsidRDefault="00D339B3">
      <w:pPr>
        <w:rPr>
          <w:b/>
          <w:lang w:val="en-GB"/>
        </w:rPr>
      </w:pPr>
      <w:r w:rsidRPr="00D339B3">
        <w:rPr>
          <w:b/>
          <w:lang w:val="en-GB"/>
        </w:rPr>
        <w:t>I. Basic characteristics</w:t>
      </w:r>
    </w:p>
    <w:p w14:paraId="59527813" w14:textId="7D576312" w:rsidR="00D339B3" w:rsidRPr="009E0BA4" w:rsidRDefault="00D339B3" w:rsidP="009E0BA4">
      <w:pPr>
        <w:jc w:val="both"/>
        <w:rPr>
          <w:lang w:val="en-GB"/>
        </w:rPr>
      </w:pPr>
      <w:r w:rsidRPr="009E0BA4">
        <w:rPr>
          <w:lang w:val="en-GB"/>
        </w:rPr>
        <w:t xml:space="preserve">Business register statistics follow basic data on all economic subjects registered in statistical business register governed by the Czech Statistical Office. The statistics consist of public data kept in statistical business register. </w:t>
      </w:r>
      <w:r w:rsidR="00484E81" w:rsidRPr="009E0BA4">
        <w:rPr>
          <w:lang w:val="en-GB"/>
        </w:rPr>
        <w:t xml:space="preserve">Article 20 of the Act No. 89/1995 Coll. on State statistical service, as amended, stipulates the list of public data. According to Article 2, letter k of the </w:t>
      </w:r>
      <w:proofErr w:type="gramStart"/>
      <w:r w:rsidR="00484E81" w:rsidRPr="009E0BA4">
        <w:rPr>
          <w:lang w:val="en-GB"/>
        </w:rPr>
        <w:t>above mentioned</w:t>
      </w:r>
      <w:proofErr w:type="gramEnd"/>
      <w:r w:rsidR="00484E81" w:rsidRPr="009E0BA4">
        <w:rPr>
          <w:lang w:val="en-GB"/>
        </w:rPr>
        <w:t xml:space="preserve"> act the economic subjects </w:t>
      </w:r>
      <w:r w:rsidR="009E0BA4" w:rsidRPr="009E0BA4">
        <w:rPr>
          <w:lang w:val="en-GB"/>
        </w:rPr>
        <w:t>i</w:t>
      </w:r>
      <w:r w:rsidR="00484E81" w:rsidRPr="009E0BA4">
        <w:rPr>
          <w:lang w:val="en-GB"/>
        </w:rPr>
        <w:t>s</w:t>
      </w:r>
      <w:r w:rsidR="009E0BA4" w:rsidRPr="009E0BA4">
        <w:rPr>
          <w:lang w:val="en-GB"/>
        </w:rPr>
        <w:t xml:space="preserve"> </w:t>
      </w:r>
      <w:r w:rsidR="00484E81" w:rsidRPr="009E0BA4">
        <w:rPr>
          <w:lang w:val="en-GB"/>
        </w:rPr>
        <w:t xml:space="preserve">every legal person, government department </w:t>
      </w:r>
      <w:r w:rsidR="009E0BA4" w:rsidRPr="009E0BA4">
        <w:rPr>
          <w:lang w:val="en-GB"/>
        </w:rPr>
        <w:t>that is an accounting entity, mutual fund and, furthermore, a natural person, who is an entrepreneur pursuant to a special regulation.</w:t>
      </w:r>
    </w:p>
    <w:p w14:paraId="607D7934" w14:textId="34880BD8" w:rsidR="009E0BA4" w:rsidRPr="00D339B3" w:rsidRDefault="009E0BA4" w:rsidP="009E0BA4">
      <w:pPr>
        <w:jc w:val="both"/>
        <w:rPr>
          <w:lang w:val="en-GB"/>
        </w:rPr>
      </w:pPr>
      <w:r w:rsidRPr="009E0BA4">
        <w:rPr>
          <w:lang w:val="en-GB"/>
        </w:rPr>
        <w:t>The business register statistics have quarterly and annual periodicity.</w:t>
      </w:r>
    </w:p>
    <w:p w14:paraId="6E99C482" w14:textId="77777777" w:rsidR="007B690D" w:rsidRDefault="007B690D">
      <w:pPr>
        <w:rPr>
          <w:b/>
          <w:lang w:val="en-GB"/>
        </w:rPr>
      </w:pPr>
    </w:p>
    <w:p w14:paraId="538F6AF1" w14:textId="3F746028" w:rsidR="00D339B3" w:rsidRDefault="009E0BA4">
      <w:pPr>
        <w:rPr>
          <w:b/>
          <w:lang w:val="en-GB"/>
        </w:rPr>
      </w:pPr>
      <w:r>
        <w:rPr>
          <w:b/>
          <w:lang w:val="en-GB"/>
        </w:rPr>
        <w:t>II. Data source</w:t>
      </w:r>
    </w:p>
    <w:p w14:paraId="761FDD35" w14:textId="7EB50401" w:rsidR="009E0BA4" w:rsidRPr="00C0092B" w:rsidRDefault="009E0BA4" w:rsidP="00C0092B">
      <w:pPr>
        <w:jc w:val="both"/>
        <w:rPr>
          <w:lang w:val="en-GB"/>
        </w:rPr>
      </w:pPr>
      <w:r>
        <w:rPr>
          <w:lang w:val="en-GB"/>
        </w:rPr>
        <w:t>Data in s</w:t>
      </w:r>
      <w:r w:rsidR="00C0092B">
        <w:rPr>
          <w:lang w:val="en-GB"/>
        </w:rPr>
        <w:t>tatistical business register are</w:t>
      </w:r>
      <w:r>
        <w:rPr>
          <w:lang w:val="en-GB"/>
        </w:rPr>
        <w:t xml:space="preserve"> based mainly on administrative sources. The main data source is Basic register on legal and natural persons (ROS), from which statistical business register obtains data on ID number, name, address, legal form, date of registration and date of ce</w:t>
      </w:r>
      <w:r w:rsidR="000B4EDB">
        <w:rPr>
          <w:lang w:val="en-GB"/>
        </w:rPr>
        <w:t>ssation on daily basis. The</w:t>
      </w:r>
      <w:r w:rsidR="00C0092B">
        <w:rPr>
          <w:lang w:val="en-GB"/>
        </w:rPr>
        <w:t xml:space="preserve"> additional administrative data sources (e.g. business registers governed by Ministry of Justice, trade licencing register, tax register or social security insurance register)</w:t>
      </w:r>
      <w:r w:rsidR="000B4EDB">
        <w:rPr>
          <w:lang w:val="en-GB"/>
        </w:rPr>
        <w:t xml:space="preserve"> as well as statistical surveys are used for assignment of economic activity code.</w:t>
      </w:r>
    </w:p>
    <w:p w14:paraId="5C1474C0" w14:textId="77777777" w:rsidR="007B690D" w:rsidRDefault="007B690D">
      <w:pPr>
        <w:rPr>
          <w:b/>
          <w:lang w:val="en-GB"/>
        </w:rPr>
      </w:pPr>
    </w:p>
    <w:p w14:paraId="3BBC8BF6" w14:textId="72EB0B9D" w:rsidR="00C0092B" w:rsidRDefault="00C0092B">
      <w:pPr>
        <w:rPr>
          <w:b/>
          <w:lang w:val="en-GB"/>
        </w:rPr>
      </w:pPr>
      <w:r>
        <w:rPr>
          <w:b/>
          <w:lang w:val="en-GB"/>
        </w:rPr>
        <w:t xml:space="preserve">III. Creation </w:t>
      </w:r>
      <w:r w:rsidR="00694A9E">
        <w:rPr>
          <w:b/>
          <w:lang w:val="en-GB"/>
        </w:rPr>
        <w:t>of basic and sample frames, calculation or estimation of total population</w:t>
      </w:r>
    </w:p>
    <w:p w14:paraId="106D99B2" w14:textId="129DF16F" w:rsidR="00CA5DC4" w:rsidRDefault="00694A9E" w:rsidP="00CA5DC4">
      <w:pPr>
        <w:jc w:val="both"/>
        <w:rPr>
          <w:lang w:val="en-GB"/>
        </w:rPr>
      </w:pPr>
      <w:r w:rsidRPr="00694A9E">
        <w:rPr>
          <w:lang w:val="en-GB"/>
        </w:rPr>
        <w:t xml:space="preserve">It is not relevant for </w:t>
      </w:r>
      <w:r>
        <w:rPr>
          <w:lang w:val="en-GB"/>
        </w:rPr>
        <w:t>business register statistics. Statistical business contains the whole population</w:t>
      </w:r>
      <w:r w:rsidR="00CA5DC4">
        <w:rPr>
          <w:lang w:val="en-GB"/>
        </w:rPr>
        <w:t xml:space="preserve"> of economic subjects (no </w:t>
      </w:r>
      <w:r w:rsidR="006F3893">
        <w:rPr>
          <w:lang w:val="en-GB"/>
        </w:rPr>
        <w:t>thresholds</w:t>
      </w:r>
      <w:r w:rsidR="00CA5DC4">
        <w:rPr>
          <w:lang w:val="en-GB"/>
        </w:rPr>
        <w:t>) so there</w:t>
      </w:r>
      <w:r>
        <w:rPr>
          <w:lang w:val="en-GB"/>
        </w:rPr>
        <w:t xml:space="preserve"> is no need to carry out special statistical survey for production of these statistics.</w:t>
      </w:r>
    </w:p>
    <w:p w14:paraId="1A2A5709" w14:textId="77777777" w:rsidR="007B690D" w:rsidRDefault="007B690D">
      <w:pPr>
        <w:rPr>
          <w:b/>
          <w:lang w:val="en-GB"/>
        </w:rPr>
      </w:pPr>
    </w:p>
    <w:p w14:paraId="5A451E47" w14:textId="0D4032D7" w:rsidR="00C0092B" w:rsidRPr="00CA5DC4" w:rsidRDefault="00CA5DC4">
      <w:pPr>
        <w:rPr>
          <w:b/>
          <w:lang w:val="en-GB"/>
        </w:rPr>
      </w:pPr>
      <w:r w:rsidRPr="00CA5DC4">
        <w:rPr>
          <w:b/>
          <w:lang w:val="en-GB"/>
        </w:rPr>
        <w:t>IV. Definitions of the main published indicators</w:t>
      </w:r>
    </w:p>
    <w:p w14:paraId="55058898" w14:textId="05A12891" w:rsidR="00694A9E" w:rsidRDefault="00CA5DC4">
      <w:pPr>
        <w:rPr>
          <w:lang w:val="en-GB"/>
        </w:rPr>
      </w:pPr>
      <w:r>
        <w:rPr>
          <w:b/>
          <w:lang w:val="en-GB"/>
        </w:rPr>
        <w:t xml:space="preserve">Number of economic subjects – </w:t>
      </w:r>
      <w:r>
        <w:rPr>
          <w:lang w:val="en-GB"/>
        </w:rPr>
        <w:t xml:space="preserve">number of economic subject </w:t>
      </w:r>
      <w:r w:rsidRPr="00465724">
        <w:rPr>
          <w:lang w:val="en-GB"/>
        </w:rPr>
        <w:t>without date of cessation</w:t>
      </w:r>
      <w:r>
        <w:rPr>
          <w:lang w:val="en-GB"/>
        </w:rPr>
        <w:t xml:space="preserve"> registered at the end of quarter or end of the year in the statistical business register</w:t>
      </w:r>
      <w:r w:rsidRPr="00465724">
        <w:rPr>
          <w:lang w:val="en-GB"/>
        </w:rPr>
        <w:t>.</w:t>
      </w:r>
    </w:p>
    <w:p w14:paraId="01005EE3" w14:textId="2D248FBD" w:rsidR="00CA5DC4" w:rsidRPr="00CA5DC4" w:rsidRDefault="00CA5DC4" w:rsidP="00CA5DC4">
      <w:pPr>
        <w:jc w:val="both"/>
        <w:rPr>
          <w:lang w:val="en-GB"/>
        </w:rPr>
      </w:pPr>
      <w:r w:rsidRPr="00CA5DC4">
        <w:rPr>
          <w:b/>
          <w:lang w:val="en-GB"/>
        </w:rPr>
        <w:t>Number of new economic subjects</w:t>
      </w:r>
      <w:r>
        <w:rPr>
          <w:lang w:val="en-GB"/>
        </w:rPr>
        <w:t xml:space="preserve"> – new economic subject is the one that was registered during the reference period. New economic subjects are not the entities, which were registered and </w:t>
      </w:r>
      <w:r w:rsidR="000B4EDB">
        <w:rPr>
          <w:lang w:val="en-GB"/>
        </w:rPr>
        <w:t xml:space="preserve">consequently </w:t>
      </w:r>
      <w:r>
        <w:rPr>
          <w:lang w:val="en-GB"/>
        </w:rPr>
        <w:t>closed during the same reference period.</w:t>
      </w:r>
    </w:p>
    <w:p w14:paraId="1274499B" w14:textId="2EBDDEEA" w:rsidR="00CA5DC4" w:rsidRPr="00D06660" w:rsidRDefault="00CA5DC4">
      <w:pPr>
        <w:rPr>
          <w:lang w:val="en-GB"/>
        </w:rPr>
      </w:pPr>
      <w:r>
        <w:rPr>
          <w:b/>
          <w:lang w:val="en-GB"/>
        </w:rPr>
        <w:t xml:space="preserve">Number of closed economic subjects </w:t>
      </w:r>
      <w:r w:rsidR="00D06660">
        <w:rPr>
          <w:b/>
          <w:lang w:val="en-GB"/>
        </w:rPr>
        <w:t>–</w:t>
      </w:r>
      <w:r>
        <w:rPr>
          <w:b/>
          <w:lang w:val="en-GB"/>
        </w:rPr>
        <w:t xml:space="preserve"> </w:t>
      </w:r>
      <w:r w:rsidR="00D06660">
        <w:rPr>
          <w:lang w:val="en-GB"/>
        </w:rPr>
        <w:t>closed economic subject is the one that was officially closed at any time during the reference.</w:t>
      </w:r>
    </w:p>
    <w:p w14:paraId="3F1FD28C" w14:textId="77777777" w:rsidR="007B690D" w:rsidRDefault="007B690D">
      <w:pPr>
        <w:rPr>
          <w:b/>
          <w:lang w:val="en-GB"/>
        </w:rPr>
      </w:pPr>
    </w:p>
    <w:p w14:paraId="1A08A129" w14:textId="6559BFCC" w:rsidR="00CA5DC4" w:rsidRDefault="00D06660">
      <w:pPr>
        <w:rPr>
          <w:b/>
          <w:lang w:val="en-GB"/>
        </w:rPr>
      </w:pPr>
      <w:r>
        <w:rPr>
          <w:b/>
          <w:lang w:val="en-GB"/>
        </w:rPr>
        <w:t>V. Revisions</w:t>
      </w:r>
    </w:p>
    <w:p w14:paraId="166DDE7F" w14:textId="48097F1F" w:rsidR="00D06660" w:rsidRPr="00D06660" w:rsidRDefault="00D06660">
      <w:pPr>
        <w:rPr>
          <w:lang w:val="en-GB"/>
        </w:rPr>
      </w:pPr>
      <w:r w:rsidRPr="00D06660">
        <w:rPr>
          <w:lang w:val="en-GB"/>
        </w:rPr>
        <w:t xml:space="preserve">There are not any </w:t>
      </w:r>
      <w:r>
        <w:rPr>
          <w:lang w:val="en-GB"/>
        </w:rPr>
        <w:t>revisions of data at present.</w:t>
      </w:r>
    </w:p>
    <w:p w14:paraId="35184B6B" w14:textId="77777777" w:rsidR="007B690D" w:rsidRDefault="007B690D">
      <w:pPr>
        <w:rPr>
          <w:b/>
          <w:lang w:val="en-GB"/>
        </w:rPr>
      </w:pPr>
    </w:p>
    <w:p w14:paraId="0870E05F" w14:textId="42DD0BBE" w:rsidR="00D06660" w:rsidRDefault="00D06660">
      <w:pPr>
        <w:rPr>
          <w:b/>
          <w:lang w:val="en-GB"/>
        </w:rPr>
      </w:pPr>
      <w:r>
        <w:rPr>
          <w:b/>
          <w:lang w:val="en-GB"/>
        </w:rPr>
        <w:t>VI. Comparability</w:t>
      </w:r>
    </w:p>
    <w:p w14:paraId="5B21C0C4" w14:textId="6BF75209" w:rsidR="00D06660" w:rsidRDefault="00D06660">
      <w:pPr>
        <w:rPr>
          <w:b/>
          <w:lang w:val="en-GB"/>
        </w:rPr>
      </w:pPr>
      <w:r>
        <w:rPr>
          <w:b/>
          <w:lang w:val="en-GB"/>
        </w:rPr>
        <w:t>1. Comparability over time</w:t>
      </w:r>
    </w:p>
    <w:p w14:paraId="3C49EFE7" w14:textId="01678F55" w:rsidR="002A1367" w:rsidRDefault="00D06660">
      <w:pPr>
        <w:rPr>
          <w:lang w:val="en-GB"/>
        </w:rPr>
      </w:pPr>
      <w:r w:rsidRPr="00D06660">
        <w:rPr>
          <w:lang w:val="en-GB"/>
        </w:rPr>
        <w:t xml:space="preserve">Data </w:t>
      </w:r>
      <w:r>
        <w:rPr>
          <w:lang w:val="en-GB"/>
        </w:rPr>
        <w:t>are calculated from 1995 and are comparable over time till 2012. In 2013 there was break in the series due to significant changes in administrative data (ROS started to be used as a primary data source)</w:t>
      </w:r>
      <w:r w:rsidR="002A1367">
        <w:rPr>
          <w:lang w:val="en-GB"/>
        </w:rPr>
        <w:t>. The data from 2013 till now are comparable over time.</w:t>
      </w:r>
    </w:p>
    <w:p w14:paraId="27978E06" w14:textId="77777777" w:rsidR="006B1756" w:rsidRDefault="006B1756">
      <w:pPr>
        <w:rPr>
          <w:b/>
          <w:lang w:val="en-GB"/>
        </w:rPr>
      </w:pPr>
    </w:p>
    <w:p w14:paraId="7606CD92" w14:textId="51D305EF" w:rsidR="00D06660" w:rsidRPr="00D339B3" w:rsidRDefault="002A1367">
      <w:pPr>
        <w:rPr>
          <w:b/>
          <w:lang w:val="en-GB"/>
        </w:rPr>
      </w:pPr>
      <w:r>
        <w:rPr>
          <w:b/>
          <w:lang w:val="en-GB"/>
        </w:rPr>
        <w:t>2. Comparability with other statistical outputs</w:t>
      </w:r>
    </w:p>
    <w:p w14:paraId="44245F8E" w14:textId="7F06FF71" w:rsidR="002A1367" w:rsidRDefault="002A1367" w:rsidP="002A1367">
      <w:pPr>
        <w:jc w:val="both"/>
        <w:rPr>
          <w:lang w:val="en-GB"/>
        </w:rPr>
      </w:pPr>
      <w:r w:rsidRPr="002A1367">
        <w:rPr>
          <w:lang w:val="en-GB"/>
        </w:rPr>
        <w:t>The indicator on new economic subjects</w:t>
      </w:r>
      <w:r>
        <w:rPr>
          <w:lang w:val="en-GB"/>
        </w:rPr>
        <w:t xml:space="preserve"> is methodologically different with the indicator on business registrations. Comparing with business registration the indicator on new economic subjects do not include the entities, which were registered and </w:t>
      </w:r>
      <w:r w:rsidR="000B4EDB">
        <w:rPr>
          <w:lang w:val="en-GB"/>
        </w:rPr>
        <w:t xml:space="preserve">consequently </w:t>
      </w:r>
      <w:r>
        <w:rPr>
          <w:lang w:val="en-GB"/>
        </w:rPr>
        <w:t>closed during the same reference period into its population.</w:t>
      </w:r>
    </w:p>
    <w:p w14:paraId="614A7E90" w14:textId="77777777" w:rsidR="006B1756" w:rsidRDefault="006B1756" w:rsidP="002A1367">
      <w:pPr>
        <w:jc w:val="both"/>
        <w:rPr>
          <w:b/>
          <w:lang w:val="en-GB"/>
        </w:rPr>
      </w:pPr>
    </w:p>
    <w:p w14:paraId="6EC3DCA9" w14:textId="7C303ABE" w:rsidR="000B4EDB" w:rsidRPr="004A4283" w:rsidRDefault="000B4EDB" w:rsidP="002A1367">
      <w:pPr>
        <w:jc w:val="both"/>
        <w:rPr>
          <w:b/>
          <w:lang w:val="en-GB"/>
        </w:rPr>
      </w:pPr>
      <w:r w:rsidRPr="004A4283">
        <w:rPr>
          <w:b/>
          <w:lang w:val="en-GB"/>
        </w:rPr>
        <w:t>3. International comparability</w:t>
      </w:r>
    </w:p>
    <w:p w14:paraId="404C1B9A" w14:textId="6A4B2521" w:rsidR="002A1367" w:rsidRDefault="00465724" w:rsidP="005805AB">
      <w:pPr>
        <w:rPr>
          <w:lang w:val="en-GB"/>
        </w:rPr>
      </w:pPr>
      <w:r>
        <w:rPr>
          <w:lang w:val="en-GB"/>
        </w:rPr>
        <w:t>-</w:t>
      </w:r>
    </w:p>
    <w:p w14:paraId="106ABFC2" w14:textId="77777777" w:rsidR="00465724" w:rsidRPr="004A4283" w:rsidRDefault="00465724" w:rsidP="005805AB">
      <w:pPr>
        <w:rPr>
          <w:lang w:val="en-GB"/>
        </w:rPr>
      </w:pPr>
    </w:p>
    <w:p w14:paraId="3C666510" w14:textId="5FDC50E8" w:rsidR="004A4283" w:rsidRPr="004A4283" w:rsidRDefault="004A4283" w:rsidP="005805AB">
      <w:pPr>
        <w:rPr>
          <w:b/>
          <w:lang w:val="en-GB"/>
        </w:rPr>
      </w:pPr>
      <w:r w:rsidRPr="004A4283">
        <w:rPr>
          <w:b/>
          <w:lang w:val="en-GB"/>
        </w:rPr>
        <w:t>VII Seasonal adjustments</w:t>
      </w:r>
    </w:p>
    <w:p w14:paraId="3FC57DF9" w14:textId="2BADF8E9" w:rsidR="004A4283" w:rsidRDefault="004A4283" w:rsidP="005805AB">
      <w:pPr>
        <w:rPr>
          <w:lang w:val="en-GB"/>
        </w:rPr>
      </w:pPr>
      <w:r w:rsidRPr="004A4283">
        <w:rPr>
          <w:lang w:val="en-GB"/>
        </w:rPr>
        <w:t xml:space="preserve">Statistics </w:t>
      </w:r>
      <w:r>
        <w:rPr>
          <w:lang w:val="en-GB"/>
        </w:rPr>
        <w:t>do not use seasonal adjustments.</w:t>
      </w:r>
      <w:r w:rsidR="00CB4EA0">
        <w:rPr>
          <w:lang w:val="en-GB"/>
        </w:rPr>
        <w:t xml:space="preserve"> </w:t>
      </w:r>
    </w:p>
    <w:p w14:paraId="6A36C306" w14:textId="77777777" w:rsidR="007B690D" w:rsidRDefault="007B690D" w:rsidP="005805AB">
      <w:pPr>
        <w:rPr>
          <w:b/>
          <w:lang w:val="en-GB"/>
        </w:rPr>
      </w:pPr>
    </w:p>
    <w:p w14:paraId="52BCDC22" w14:textId="191F8B7C" w:rsidR="004A4283" w:rsidRPr="004A4283" w:rsidRDefault="004A4283" w:rsidP="005805AB">
      <w:pPr>
        <w:rPr>
          <w:b/>
          <w:lang w:val="en-GB"/>
        </w:rPr>
      </w:pPr>
      <w:r w:rsidRPr="004A4283">
        <w:rPr>
          <w:b/>
          <w:lang w:val="en-GB"/>
        </w:rPr>
        <w:t>VIII Dissemination</w:t>
      </w:r>
    </w:p>
    <w:p w14:paraId="10F11BC4" w14:textId="56596A81" w:rsidR="004A4283" w:rsidRPr="004A4283" w:rsidRDefault="004A4283" w:rsidP="0024666C">
      <w:pPr>
        <w:jc w:val="both"/>
        <w:rPr>
          <w:lang w:val="en-GB"/>
        </w:rPr>
      </w:pPr>
      <w:r w:rsidRPr="004A4283">
        <w:rPr>
          <w:lang w:val="en-GB"/>
        </w:rPr>
        <w:t>Quarterly</w:t>
      </w:r>
      <w:r w:rsidR="00954028">
        <w:rPr>
          <w:lang w:val="en-GB"/>
        </w:rPr>
        <w:t xml:space="preserve"> and annual</w:t>
      </w:r>
      <w:r w:rsidRPr="004A4283">
        <w:rPr>
          <w:lang w:val="en-GB"/>
        </w:rPr>
        <w:t xml:space="preserve"> </w:t>
      </w:r>
      <w:r w:rsidR="00954028">
        <w:rPr>
          <w:lang w:val="en-GB"/>
        </w:rPr>
        <w:t xml:space="preserve">statistics on number of economic subjects are disseminated 15 days after reference period. Quarterly and annual statistics on new and closed economic subjects are disseminated 45 days after reference period. </w:t>
      </w:r>
    </w:p>
    <w:p w14:paraId="4C454E9E" w14:textId="623D9F29" w:rsidR="00C523A3" w:rsidRDefault="00C523A3" w:rsidP="005805AB">
      <w:pPr>
        <w:rPr>
          <w:b/>
          <w:lang w:val="en-GB"/>
        </w:rPr>
      </w:pPr>
      <w:r>
        <w:rPr>
          <w:b/>
          <w:lang w:val="en-GB"/>
        </w:rPr>
        <w:t xml:space="preserve">Data are published in </w:t>
      </w:r>
      <w:hyperlink r:id="rId9" w:history="1">
        <w:r w:rsidR="00F516F0" w:rsidRPr="00F516F0">
          <w:rPr>
            <w:rStyle w:val="Hypertextovodkaz"/>
            <w:b/>
            <w:lang w:val="en-GB"/>
          </w:rPr>
          <w:t>Public database of CZSO</w:t>
        </w:r>
      </w:hyperlink>
    </w:p>
    <w:p w14:paraId="4E9E51A5" w14:textId="77777777" w:rsidR="007B690D" w:rsidRDefault="007B690D" w:rsidP="005805AB">
      <w:pPr>
        <w:rPr>
          <w:b/>
          <w:lang w:val="en-GB"/>
        </w:rPr>
      </w:pPr>
    </w:p>
    <w:p w14:paraId="2E8EBCE6" w14:textId="51E4B91C" w:rsidR="004A4283" w:rsidRDefault="00AE36A5" w:rsidP="005805AB">
      <w:pPr>
        <w:rPr>
          <w:b/>
          <w:lang w:val="en-GB"/>
        </w:rPr>
      </w:pPr>
      <w:r>
        <w:rPr>
          <w:b/>
          <w:lang w:val="en-GB"/>
        </w:rPr>
        <w:t>IX. Additional methodological information and external links</w:t>
      </w:r>
    </w:p>
    <w:p w14:paraId="219021A9" w14:textId="2A8BAE07" w:rsidR="00954028" w:rsidRPr="00E529D1" w:rsidRDefault="00E529D1" w:rsidP="0024666C">
      <w:pPr>
        <w:jc w:val="both"/>
        <w:rPr>
          <w:lang w:val="en-GB"/>
        </w:rPr>
      </w:pPr>
      <w:r w:rsidRPr="00E529D1">
        <w:rPr>
          <w:lang w:val="en-GB"/>
        </w:rPr>
        <w:t xml:space="preserve">Economic subjects are broken down </w:t>
      </w:r>
      <w:r w:rsidRPr="0024666C">
        <w:rPr>
          <w:lang w:val="en-GB"/>
        </w:rPr>
        <w:t>according</w:t>
      </w:r>
      <w:r w:rsidRPr="00E529D1">
        <w:rPr>
          <w:lang w:val="en-GB"/>
        </w:rPr>
        <w:t xml:space="preserve"> to selected legal forms and aggregations of legal forms</w:t>
      </w:r>
      <w:r>
        <w:rPr>
          <w:lang w:val="en-GB"/>
        </w:rPr>
        <w:t>, main economic activity, institutional sector and region.</w:t>
      </w:r>
    </w:p>
    <w:p w14:paraId="6A623B04" w14:textId="77777777" w:rsidR="00465724" w:rsidRDefault="00465724" w:rsidP="00E529D1">
      <w:pPr>
        <w:jc w:val="both"/>
        <w:rPr>
          <w:b/>
          <w:lang w:val="en-GB"/>
        </w:rPr>
      </w:pPr>
    </w:p>
    <w:p w14:paraId="45138B5A" w14:textId="6F56A76F" w:rsidR="00E529D1" w:rsidRDefault="00E529D1" w:rsidP="00E529D1">
      <w:pPr>
        <w:jc w:val="both"/>
        <w:rPr>
          <w:lang w:val="en-GB"/>
        </w:rPr>
      </w:pPr>
      <w:r>
        <w:rPr>
          <w:b/>
          <w:lang w:val="en-GB"/>
        </w:rPr>
        <w:t xml:space="preserve">Natural persons </w:t>
      </w:r>
      <w:r w:rsidRPr="00E529D1">
        <w:rPr>
          <w:lang w:val="en-GB"/>
        </w:rPr>
        <w:t>includes</w:t>
      </w:r>
      <w:r>
        <w:rPr>
          <w:lang w:val="en-GB"/>
        </w:rPr>
        <w:t>:</w:t>
      </w:r>
      <w:r w:rsidRPr="00E529D1">
        <w:rPr>
          <w:lang w:val="en-GB"/>
        </w:rPr>
        <w:t xml:space="preserve"> </w:t>
      </w:r>
    </w:p>
    <w:p w14:paraId="399AE1A0" w14:textId="4BA00215" w:rsidR="00E529D1" w:rsidRDefault="00E529D1" w:rsidP="00E529D1">
      <w:pPr>
        <w:jc w:val="both"/>
        <w:rPr>
          <w:lang w:val="en-GB"/>
        </w:rPr>
      </w:pPr>
      <w:r>
        <w:rPr>
          <w:lang w:val="en-GB"/>
        </w:rPr>
        <w:t>a) private entrepreneurs, which carry out their activities according to the trade licencing act No. 455/1991,</w:t>
      </w:r>
    </w:p>
    <w:p w14:paraId="2013419E" w14:textId="547CBAAA" w:rsidR="00090203" w:rsidRDefault="00E529D1" w:rsidP="00E529D1">
      <w:pPr>
        <w:jc w:val="both"/>
        <w:rPr>
          <w:lang w:val="en-GB"/>
        </w:rPr>
      </w:pPr>
      <w:r>
        <w:rPr>
          <w:lang w:val="en-GB"/>
        </w:rPr>
        <w:t xml:space="preserve">b) </w:t>
      </w:r>
      <w:r w:rsidR="008F50B9">
        <w:rPr>
          <w:lang w:val="en-GB"/>
        </w:rPr>
        <w:t>agricultural</w:t>
      </w:r>
      <w:r>
        <w:rPr>
          <w:lang w:val="en-GB"/>
        </w:rPr>
        <w:t xml:space="preserve"> entrepreneurs, which </w:t>
      </w:r>
      <w:r w:rsidR="00090203">
        <w:rPr>
          <w:lang w:val="en-GB"/>
        </w:rPr>
        <w:t>carry out their activities according to the law No. 252/1997 Coll. on agriculture,</w:t>
      </w:r>
    </w:p>
    <w:p w14:paraId="7B14C0AF" w14:textId="50120032" w:rsidR="00090203" w:rsidRDefault="00090203" w:rsidP="00E529D1">
      <w:pPr>
        <w:jc w:val="both"/>
        <w:rPr>
          <w:lang w:val="en-GB"/>
        </w:rPr>
      </w:pPr>
      <w:r>
        <w:rPr>
          <w:lang w:val="en-GB"/>
        </w:rPr>
        <w:t xml:space="preserve">c) </w:t>
      </w:r>
      <w:r w:rsidR="00E529D1">
        <w:rPr>
          <w:lang w:val="en-GB"/>
        </w:rPr>
        <w:t>entrepreneurs</w:t>
      </w:r>
      <w:r>
        <w:rPr>
          <w:lang w:val="en-GB"/>
        </w:rPr>
        <w:t xml:space="preserve"> that carry out their activities according to other laws (e.g. notaries, advocates etc.)</w:t>
      </w:r>
    </w:p>
    <w:p w14:paraId="461BB160" w14:textId="7C4841E4" w:rsidR="00E529D1" w:rsidRDefault="00E529D1" w:rsidP="00E529D1">
      <w:pPr>
        <w:jc w:val="both"/>
        <w:rPr>
          <w:lang w:val="en-GB"/>
        </w:rPr>
      </w:pPr>
      <w:r>
        <w:rPr>
          <w:lang w:val="en-GB"/>
        </w:rPr>
        <w:t>From 2014 the foreign natural persons and branches of foreign natural persons are included as well.</w:t>
      </w:r>
    </w:p>
    <w:p w14:paraId="09C167F7" w14:textId="5D9E6257" w:rsidR="008F50B9" w:rsidRPr="008F50B9" w:rsidRDefault="008F50B9" w:rsidP="00E529D1">
      <w:pPr>
        <w:jc w:val="both"/>
        <w:rPr>
          <w:lang w:val="en-GB"/>
        </w:rPr>
      </w:pPr>
      <w:r w:rsidRPr="008F50B9">
        <w:rPr>
          <w:lang w:val="en-GB"/>
        </w:rPr>
        <w:t xml:space="preserve">Private entrepreneurs </w:t>
      </w:r>
      <w:r>
        <w:rPr>
          <w:lang w:val="en-GB"/>
        </w:rPr>
        <w:t>are private entrepreneurs, which carry out their activities according to the trade licencing act and agricultural entrepreneurs, which carry out their activities according to the law No. 252/1997 Coll. on agriculture.</w:t>
      </w:r>
    </w:p>
    <w:p w14:paraId="4CFD3036" w14:textId="695C01E4" w:rsidR="00090203" w:rsidRDefault="00090203" w:rsidP="00E529D1">
      <w:pPr>
        <w:jc w:val="both"/>
        <w:rPr>
          <w:lang w:val="en-GB"/>
        </w:rPr>
      </w:pPr>
      <w:r w:rsidRPr="00090203">
        <w:rPr>
          <w:b/>
          <w:lang w:val="en-GB"/>
        </w:rPr>
        <w:t>Partnership companies</w:t>
      </w:r>
      <w:r>
        <w:rPr>
          <w:lang w:val="en-GB"/>
        </w:rPr>
        <w:t xml:space="preserve"> include general partnerships, limited liability partnerships, limited partnership, joint-stock companies and from 2010 also European companies and European economic interest associations.</w:t>
      </w:r>
    </w:p>
    <w:p w14:paraId="6CB13823" w14:textId="77777777" w:rsidR="008F50B9" w:rsidRDefault="008F50B9" w:rsidP="00E529D1">
      <w:pPr>
        <w:jc w:val="both"/>
        <w:rPr>
          <w:lang w:val="en-GB"/>
        </w:rPr>
      </w:pPr>
      <w:r w:rsidRPr="008F50B9">
        <w:rPr>
          <w:b/>
          <w:lang w:val="en-GB"/>
        </w:rPr>
        <w:t xml:space="preserve">Cooperatives </w:t>
      </w:r>
      <w:r w:rsidRPr="008F50B9">
        <w:rPr>
          <w:lang w:val="en-GB"/>
        </w:rPr>
        <w:t xml:space="preserve">include </w:t>
      </w:r>
      <w:r>
        <w:rPr>
          <w:lang w:val="en-GB"/>
        </w:rPr>
        <w:t>cooperatives and European cooperative companies.</w:t>
      </w:r>
    </w:p>
    <w:p w14:paraId="1720798F" w14:textId="4042BB9F" w:rsidR="008F50B9" w:rsidRDefault="008F50B9" w:rsidP="00E529D1">
      <w:pPr>
        <w:jc w:val="both"/>
        <w:rPr>
          <w:lang w:val="en-GB"/>
        </w:rPr>
      </w:pPr>
      <w:r w:rsidRPr="00617993">
        <w:rPr>
          <w:b/>
          <w:lang w:val="en-GB"/>
        </w:rPr>
        <w:t>Breakdown according to the main economic activities</w:t>
      </w:r>
      <w:r>
        <w:rPr>
          <w:lang w:val="en-GB"/>
        </w:rPr>
        <w:t xml:space="preserve"> is based on Classification of economic activities (CZ-NACE</w:t>
      </w:r>
      <w:r w:rsidR="00761688" w:rsidRPr="00761688">
        <w:rPr>
          <w:lang w:val="en"/>
        </w:rPr>
        <w:t xml:space="preserve"> </w:t>
      </w:r>
      <w:r w:rsidR="00761688">
        <w:rPr>
          <w:lang w:val="en"/>
        </w:rPr>
        <w:t xml:space="preserve">and </w:t>
      </w:r>
      <w:r w:rsidR="00761688" w:rsidRPr="0005464E">
        <w:rPr>
          <w:lang w:val="en"/>
        </w:rPr>
        <w:t xml:space="preserve">CZ-NACE 2025). The Classification of Economic Activities CZ-NACE was developed according to the international statistical classification of economic activities, in accordance with Regulation (EC) No. 1893/2006 of the European Parliament and of the Council. With effect from 1 January 2025, the Classification of Economic Activities was updated by Commission Delegated Regulation (EU) 2023/137, which establishes the statistical classification of economic activities NACE Revision 2. The designation CZ-NACE 2025 is used for this version of the classification. </w:t>
      </w:r>
      <w:r w:rsidR="00761688" w:rsidRPr="0005464E">
        <w:t xml:space="preserve">Business </w:t>
      </w:r>
      <w:proofErr w:type="spellStart"/>
      <w:r w:rsidR="00761688" w:rsidRPr="0005464E">
        <w:t>register</w:t>
      </w:r>
      <w:proofErr w:type="spellEnd"/>
      <w:r w:rsidR="00761688" w:rsidRPr="0005464E">
        <w:t xml:space="preserve"> </w:t>
      </w:r>
      <w:proofErr w:type="spellStart"/>
      <w:r w:rsidR="00761688" w:rsidRPr="0005464E">
        <w:t>statistics</w:t>
      </w:r>
      <w:proofErr w:type="spellEnd"/>
      <w:r w:rsidR="00761688">
        <w:t xml:space="preserve"> </w:t>
      </w:r>
      <w:r w:rsidR="00761688" w:rsidRPr="0005464E">
        <w:rPr>
          <w:lang w:val="en"/>
        </w:rPr>
        <w:t>broken down according to CZ-NACE 2025 are calculated from the 1st quarter of 2026</w:t>
      </w:r>
      <w:r w:rsidR="00A26D21">
        <w:rPr>
          <w:lang w:val="en"/>
        </w:rPr>
        <w:t>.</w:t>
      </w:r>
    </w:p>
    <w:p w14:paraId="6C181377" w14:textId="5A0D9BD6" w:rsidR="008673EF" w:rsidRPr="000578C2" w:rsidRDefault="000578C2" w:rsidP="00E529D1">
      <w:pPr>
        <w:jc w:val="both"/>
        <w:rPr>
          <w:lang w:val="en-GB"/>
        </w:rPr>
      </w:pPr>
      <w:r w:rsidRPr="000578C2">
        <w:rPr>
          <w:b/>
          <w:lang w:val="en-GB"/>
        </w:rPr>
        <w:t>Breakdown by institutional sectors</w:t>
      </w:r>
      <w:r w:rsidRPr="000578C2">
        <w:rPr>
          <w:lang w:val="en-GB"/>
        </w:rPr>
        <w:t xml:space="preserve"> is based on Classification of institutional sectors and subsectors</w:t>
      </w:r>
      <w:r>
        <w:rPr>
          <w:lang w:val="en-GB"/>
        </w:rPr>
        <w:t>,</w:t>
      </w:r>
      <w:r w:rsidRPr="000578C2">
        <w:rPr>
          <w:lang w:val="en-GB"/>
        </w:rPr>
        <w:t xml:space="preserve"> which was produced according to Regulation (EU) No 549/2013 of the European Parliament and of the Council of </w:t>
      </w:r>
      <w:proofErr w:type="gramStart"/>
      <w:r w:rsidRPr="000578C2">
        <w:rPr>
          <w:lang w:val="en-GB"/>
        </w:rPr>
        <w:t>May</w:t>
      </w:r>
      <w:r w:rsidR="00247071">
        <w:rPr>
          <w:lang w:val="en-GB"/>
        </w:rPr>
        <w:t>,</w:t>
      </w:r>
      <w:proofErr w:type="gramEnd"/>
      <w:r w:rsidR="00247071">
        <w:rPr>
          <w:lang w:val="en-GB"/>
        </w:rPr>
        <w:t xml:space="preserve"> 21st</w:t>
      </w:r>
      <w:r w:rsidRPr="000578C2">
        <w:rPr>
          <w:lang w:val="en-GB"/>
        </w:rPr>
        <w:t xml:space="preserve"> 2013 on the European system of national and regional accounts in the European Union (known as ESA 2010).</w:t>
      </w:r>
    </w:p>
    <w:p w14:paraId="1E8F0D6A" w14:textId="202F9E31" w:rsidR="000578C2" w:rsidRDefault="000578C2" w:rsidP="00E529D1">
      <w:pPr>
        <w:jc w:val="both"/>
        <w:rPr>
          <w:lang w:val="en-GB"/>
        </w:rPr>
      </w:pPr>
      <w:r>
        <w:rPr>
          <w:lang w:val="en-GB"/>
        </w:rPr>
        <w:t xml:space="preserve">The economic subject is considered </w:t>
      </w:r>
      <w:r w:rsidRPr="000578C2">
        <w:rPr>
          <w:b/>
          <w:lang w:val="en-GB"/>
        </w:rPr>
        <w:t>active</w:t>
      </w:r>
      <w:r>
        <w:rPr>
          <w:lang w:val="en-GB"/>
        </w:rPr>
        <w:t xml:space="preserve"> if it is income </w:t>
      </w:r>
      <w:proofErr w:type="gramStart"/>
      <w:r>
        <w:rPr>
          <w:lang w:val="en-GB"/>
        </w:rPr>
        <w:t>tax payer</w:t>
      </w:r>
      <w:proofErr w:type="gramEnd"/>
      <w:r>
        <w:rPr>
          <w:lang w:val="en-GB"/>
        </w:rPr>
        <w:t xml:space="preserve"> or value added </w:t>
      </w:r>
      <w:proofErr w:type="gramStart"/>
      <w:r>
        <w:rPr>
          <w:lang w:val="en-GB"/>
        </w:rPr>
        <w:t>tax payer</w:t>
      </w:r>
      <w:proofErr w:type="gramEnd"/>
      <w:r>
        <w:rPr>
          <w:lang w:val="en-GB"/>
        </w:rPr>
        <w:t xml:space="preserve"> or it pays social security insurance for employees or for entrepreneur.</w:t>
      </w:r>
    </w:p>
    <w:p w14:paraId="58FA0792" w14:textId="7865701F" w:rsidR="00AA5C93" w:rsidRDefault="000578C2" w:rsidP="00E529D1">
      <w:pPr>
        <w:jc w:val="both"/>
        <w:rPr>
          <w:lang w:val="en-GB"/>
        </w:rPr>
      </w:pPr>
      <w:r>
        <w:rPr>
          <w:lang w:val="en-GB"/>
        </w:rPr>
        <w:t>Breakdo</w:t>
      </w:r>
      <w:r w:rsidR="00AA5C93">
        <w:rPr>
          <w:lang w:val="en-GB"/>
        </w:rPr>
        <w:t>wn by regions is based on the seat address of the economic subject.</w:t>
      </w:r>
    </w:p>
    <w:p w14:paraId="09ED4CE5" w14:textId="7572B6C6" w:rsidR="00247071" w:rsidRPr="00726835" w:rsidRDefault="00247071" w:rsidP="00247071">
      <w:pPr>
        <w:jc w:val="both"/>
        <w:rPr>
          <w:iCs/>
        </w:rPr>
      </w:pPr>
      <w:r>
        <w:rPr>
          <w:rStyle w:val="rynqvb"/>
          <w:lang w:val="en"/>
        </w:rPr>
        <w:t xml:space="preserve">From </w:t>
      </w:r>
      <w:proofErr w:type="gramStart"/>
      <w:r>
        <w:rPr>
          <w:rStyle w:val="rynqvb"/>
          <w:lang w:val="en"/>
        </w:rPr>
        <w:t>July,</w:t>
      </w:r>
      <w:proofErr w:type="gramEnd"/>
      <w:r>
        <w:rPr>
          <w:rStyle w:val="rynqvb"/>
          <w:lang w:val="en"/>
        </w:rPr>
        <w:t xml:space="preserve"> 1st 2024 the calculation of </w:t>
      </w:r>
      <w:r w:rsidRPr="00F47C47">
        <w:rPr>
          <w:rStyle w:val="rynqvb"/>
          <w:b/>
          <w:lang w:val="en"/>
        </w:rPr>
        <w:t>the size category according to the number of employees</w:t>
      </w:r>
      <w:r>
        <w:rPr>
          <w:rStyle w:val="rynqvb"/>
          <w:lang w:val="en"/>
        </w:rPr>
        <w:t xml:space="preserve"> was adjusted due to changes in the records of the Czech Social Security Administration (Law No. 163/2024 Coll.).</w:t>
      </w:r>
      <w:r>
        <w:rPr>
          <w:rStyle w:val="hwtze"/>
          <w:lang w:val="en"/>
        </w:rPr>
        <w:t xml:space="preserve"> </w:t>
      </w:r>
      <w:r>
        <w:rPr>
          <w:rStyle w:val="rynqvb"/>
          <w:lang w:val="en"/>
        </w:rPr>
        <w:t xml:space="preserve">The number of employees now includes both insured and uninsured employees working </w:t>
      </w:r>
      <w:proofErr w:type="gramStart"/>
      <w:r>
        <w:rPr>
          <w:rStyle w:val="rynqvb"/>
          <w:lang w:val="en"/>
        </w:rPr>
        <w:t>on the basis of</w:t>
      </w:r>
      <w:proofErr w:type="gramEnd"/>
      <w:r>
        <w:rPr>
          <w:rStyle w:val="rynqvb"/>
          <w:lang w:val="en"/>
        </w:rPr>
        <w:t xml:space="preserve"> a temporary work agreement.</w:t>
      </w:r>
    </w:p>
    <w:p w14:paraId="76147A3C" w14:textId="77777777" w:rsidR="00060D16" w:rsidRDefault="00060D16" w:rsidP="00E529D1">
      <w:pPr>
        <w:jc w:val="both"/>
        <w:rPr>
          <w:b/>
          <w:lang w:val="en-GB"/>
        </w:rPr>
      </w:pPr>
    </w:p>
    <w:p w14:paraId="4C7DA7EB" w14:textId="7E82AC2F" w:rsidR="00AA5C93" w:rsidRPr="00AA5C93" w:rsidRDefault="00AA5C93" w:rsidP="00E529D1">
      <w:pPr>
        <w:jc w:val="both"/>
        <w:rPr>
          <w:b/>
          <w:lang w:val="en-GB"/>
        </w:rPr>
      </w:pPr>
      <w:r w:rsidRPr="00AA5C93">
        <w:rPr>
          <w:b/>
          <w:lang w:val="en-GB"/>
        </w:rPr>
        <w:t>External links:</w:t>
      </w:r>
    </w:p>
    <w:p w14:paraId="31CD9CA9" w14:textId="647E5DAE" w:rsidR="00AA5C93" w:rsidRDefault="00AA5C93" w:rsidP="00E529D1">
      <w:pPr>
        <w:jc w:val="both"/>
        <w:rPr>
          <w:lang w:val="en-GB"/>
        </w:rPr>
      </w:pPr>
      <w:hyperlink r:id="rId10" w:history="1">
        <w:r w:rsidRPr="00AA5C93">
          <w:rPr>
            <w:rStyle w:val="Hypertextovodkaz"/>
            <w:lang w:val="en-GB"/>
          </w:rPr>
          <w:t>Business registers – recommendation manual</w:t>
        </w:r>
      </w:hyperlink>
    </w:p>
    <w:p w14:paraId="69A5CDDA" w14:textId="77777777" w:rsidR="00AA5C93" w:rsidRDefault="00AA5C93" w:rsidP="00E529D1">
      <w:pPr>
        <w:jc w:val="both"/>
        <w:rPr>
          <w:lang w:val="en-GB"/>
        </w:rPr>
      </w:pPr>
    </w:p>
    <w:sectPr w:rsidR="00AA5C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25C7A"/>
    <w:multiLevelType w:val="multilevel"/>
    <w:tmpl w:val="F9CC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7557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1F0"/>
    <w:rsid w:val="0002292C"/>
    <w:rsid w:val="00053859"/>
    <w:rsid w:val="000578C2"/>
    <w:rsid w:val="00060D16"/>
    <w:rsid w:val="00064C08"/>
    <w:rsid w:val="00090203"/>
    <w:rsid w:val="000B1102"/>
    <w:rsid w:val="000B4EDB"/>
    <w:rsid w:val="000B5E56"/>
    <w:rsid w:val="000C5122"/>
    <w:rsid w:val="000F11E8"/>
    <w:rsid w:val="0012677C"/>
    <w:rsid w:val="00153370"/>
    <w:rsid w:val="00194640"/>
    <w:rsid w:val="001949BB"/>
    <w:rsid w:val="001A73C2"/>
    <w:rsid w:val="001C3D7F"/>
    <w:rsid w:val="00206047"/>
    <w:rsid w:val="0024666C"/>
    <w:rsid w:val="00247071"/>
    <w:rsid w:val="002539E2"/>
    <w:rsid w:val="002614A9"/>
    <w:rsid w:val="00271E8C"/>
    <w:rsid w:val="002909E1"/>
    <w:rsid w:val="002A1367"/>
    <w:rsid w:val="002D23F4"/>
    <w:rsid w:val="002D33EC"/>
    <w:rsid w:val="002F13DA"/>
    <w:rsid w:val="00335CD4"/>
    <w:rsid w:val="00347AF0"/>
    <w:rsid w:val="003566D5"/>
    <w:rsid w:val="003642DF"/>
    <w:rsid w:val="00386125"/>
    <w:rsid w:val="0039004B"/>
    <w:rsid w:val="003B417A"/>
    <w:rsid w:val="003D034B"/>
    <w:rsid w:val="003F3828"/>
    <w:rsid w:val="003F3AE8"/>
    <w:rsid w:val="003F7737"/>
    <w:rsid w:val="00465724"/>
    <w:rsid w:val="00484E81"/>
    <w:rsid w:val="004A4283"/>
    <w:rsid w:val="00507240"/>
    <w:rsid w:val="0052171B"/>
    <w:rsid w:val="00524552"/>
    <w:rsid w:val="005805AB"/>
    <w:rsid w:val="005B1C81"/>
    <w:rsid w:val="005C597D"/>
    <w:rsid w:val="005F6421"/>
    <w:rsid w:val="006023F5"/>
    <w:rsid w:val="00617993"/>
    <w:rsid w:val="00622E15"/>
    <w:rsid w:val="00654DFE"/>
    <w:rsid w:val="0066106F"/>
    <w:rsid w:val="00694A9E"/>
    <w:rsid w:val="006B1756"/>
    <w:rsid w:val="006C285A"/>
    <w:rsid w:val="006F3893"/>
    <w:rsid w:val="00715409"/>
    <w:rsid w:val="0072432A"/>
    <w:rsid w:val="00761688"/>
    <w:rsid w:val="007B690D"/>
    <w:rsid w:val="007D232E"/>
    <w:rsid w:val="007E45E3"/>
    <w:rsid w:val="00820164"/>
    <w:rsid w:val="00822CD9"/>
    <w:rsid w:val="0082599B"/>
    <w:rsid w:val="00846C0E"/>
    <w:rsid w:val="008673EF"/>
    <w:rsid w:val="008828F1"/>
    <w:rsid w:val="00897A40"/>
    <w:rsid w:val="008F50B9"/>
    <w:rsid w:val="009306CC"/>
    <w:rsid w:val="00954028"/>
    <w:rsid w:val="009B2D0C"/>
    <w:rsid w:val="009C0FBC"/>
    <w:rsid w:val="009D6FEA"/>
    <w:rsid w:val="009E0BA4"/>
    <w:rsid w:val="009F0886"/>
    <w:rsid w:val="00A26D21"/>
    <w:rsid w:val="00A64BB0"/>
    <w:rsid w:val="00A747B3"/>
    <w:rsid w:val="00A80EB1"/>
    <w:rsid w:val="00A9742B"/>
    <w:rsid w:val="00AA5C93"/>
    <w:rsid w:val="00AB0FA5"/>
    <w:rsid w:val="00AC4DE1"/>
    <w:rsid w:val="00AE1496"/>
    <w:rsid w:val="00AE36A5"/>
    <w:rsid w:val="00AE568E"/>
    <w:rsid w:val="00B07EE9"/>
    <w:rsid w:val="00B141F0"/>
    <w:rsid w:val="00B17436"/>
    <w:rsid w:val="00B40AFC"/>
    <w:rsid w:val="00B758EB"/>
    <w:rsid w:val="00B805C4"/>
    <w:rsid w:val="00B834FE"/>
    <w:rsid w:val="00BA6F32"/>
    <w:rsid w:val="00BF3E81"/>
    <w:rsid w:val="00BF7120"/>
    <w:rsid w:val="00C0092B"/>
    <w:rsid w:val="00C26553"/>
    <w:rsid w:val="00C523A3"/>
    <w:rsid w:val="00C64ADE"/>
    <w:rsid w:val="00C71FE3"/>
    <w:rsid w:val="00C7292B"/>
    <w:rsid w:val="00C74881"/>
    <w:rsid w:val="00C8095C"/>
    <w:rsid w:val="00C87AA7"/>
    <w:rsid w:val="00C91261"/>
    <w:rsid w:val="00C9757F"/>
    <w:rsid w:val="00CA5DC4"/>
    <w:rsid w:val="00CB42A6"/>
    <w:rsid w:val="00CB4EA0"/>
    <w:rsid w:val="00CC4BDF"/>
    <w:rsid w:val="00D06660"/>
    <w:rsid w:val="00D10D86"/>
    <w:rsid w:val="00D339B3"/>
    <w:rsid w:val="00D43BDE"/>
    <w:rsid w:val="00D65708"/>
    <w:rsid w:val="00D7718C"/>
    <w:rsid w:val="00DB5E6E"/>
    <w:rsid w:val="00DC3793"/>
    <w:rsid w:val="00DC5860"/>
    <w:rsid w:val="00E27647"/>
    <w:rsid w:val="00E529D1"/>
    <w:rsid w:val="00ED33A4"/>
    <w:rsid w:val="00ED374F"/>
    <w:rsid w:val="00EE4F94"/>
    <w:rsid w:val="00EF0743"/>
    <w:rsid w:val="00F21044"/>
    <w:rsid w:val="00F3009C"/>
    <w:rsid w:val="00F516F0"/>
    <w:rsid w:val="00F60040"/>
    <w:rsid w:val="00F90E49"/>
    <w:rsid w:val="00F95509"/>
    <w:rsid w:val="00FB1F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3D1EE"/>
  <w15:chartTrackingRefBased/>
  <w15:docId w15:val="{1BE02099-00DD-4C46-8DCD-6EB2C3439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805AB"/>
    <w:pPr>
      <w:ind w:left="720"/>
      <w:contextualSpacing/>
    </w:pPr>
  </w:style>
  <w:style w:type="paragraph" w:customStyle="1" w:styleId="Default">
    <w:name w:val="Default"/>
    <w:rsid w:val="00C87AA7"/>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Zkladntextodsazen">
    <w:name w:val="Body Text Indent"/>
    <w:basedOn w:val="Normln"/>
    <w:link w:val="ZkladntextodsazenChar"/>
    <w:semiHidden/>
    <w:rsid w:val="00A9742B"/>
    <w:pPr>
      <w:spacing w:after="0" w:line="240" w:lineRule="auto"/>
      <w:ind w:left="1418" w:hanging="1418"/>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semiHidden/>
    <w:rsid w:val="00A9742B"/>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39004B"/>
    <w:rPr>
      <w:color w:val="0000FF"/>
      <w:u w:val="single"/>
    </w:rPr>
  </w:style>
  <w:style w:type="character" w:styleId="Sledovanodkaz">
    <w:name w:val="FollowedHyperlink"/>
    <w:basedOn w:val="Standardnpsmoodstavce"/>
    <w:uiPriority w:val="99"/>
    <w:semiHidden/>
    <w:unhideWhenUsed/>
    <w:rsid w:val="00ED33A4"/>
    <w:rPr>
      <w:color w:val="954F72" w:themeColor="followedHyperlink"/>
      <w:u w:val="single"/>
    </w:rPr>
  </w:style>
  <w:style w:type="paragraph" w:styleId="Zkladntext">
    <w:name w:val="Body Text"/>
    <w:basedOn w:val="Normln"/>
    <w:link w:val="ZkladntextChar"/>
    <w:uiPriority w:val="99"/>
    <w:semiHidden/>
    <w:unhideWhenUsed/>
    <w:rsid w:val="00ED33A4"/>
    <w:pPr>
      <w:spacing w:after="120"/>
    </w:pPr>
  </w:style>
  <w:style w:type="character" w:customStyle="1" w:styleId="ZkladntextChar">
    <w:name w:val="Základní text Char"/>
    <w:basedOn w:val="Standardnpsmoodstavce"/>
    <w:link w:val="Zkladntext"/>
    <w:uiPriority w:val="99"/>
    <w:semiHidden/>
    <w:rsid w:val="00ED33A4"/>
  </w:style>
  <w:style w:type="paragraph" w:styleId="Textbubliny">
    <w:name w:val="Balloon Text"/>
    <w:basedOn w:val="Normln"/>
    <w:link w:val="TextbublinyChar"/>
    <w:uiPriority w:val="99"/>
    <w:semiHidden/>
    <w:unhideWhenUsed/>
    <w:rsid w:val="00DB5E6E"/>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B5E6E"/>
    <w:rPr>
      <w:rFonts w:ascii="Segoe UI" w:hAnsi="Segoe UI" w:cs="Segoe UI"/>
      <w:sz w:val="18"/>
      <w:szCs w:val="18"/>
    </w:rPr>
  </w:style>
  <w:style w:type="paragraph" w:styleId="Normlnweb">
    <w:name w:val="Normal (Web)"/>
    <w:basedOn w:val="Normln"/>
    <w:uiPriority w:val="99"/>
    <w:semiHidden/>
    <w:unhideWhenUsed/>
    <w:rsid w:val="0002292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02292C"/>
    <w:rPr>
      <w:b/>
      <w:bCs/>
    </w:rPr>
  </w:style>
  <w:style w:type="character" w:styleId="Odkaznakoment">
    <w:name w:val="annotation reference"/>
    <w:basedOn w:val="Standardnpsmoodstavce"/>
    <w:uiPriority w:val="99"/>
    <w:semiHidden/>
    <w:unhideWhenUsed/>
    <w:rsid w:val="00B07EE9"/>
    <w:rPr>
      <w:sz w:val="16"/>
      <w:szCs w:val="16"/>
    </w:rPr>
  </w:style>
  <w:style w:type="paragraph" w:styleId="Textkomente">
    <w:name w:val="annotation text"/>
    <w:basedOn w:val="Normln"/>
    <w:link w:val="TextkomenteChar"/>
    <w:uiPriority w:val="99"/>
    <w:semiHidden/>
    <w:unhideWhenUsed/>
    <w:rsid w:val="00B07EE9"/>
    <w:pPr>
      <w:spacing w:line="240" w:lineRule="auto"/>
    </w:pPr>
    <w:rPr>
      <w:sz w:val="20"/>
      <w:szCs w:val="20"/>
    </w:rPr>
  </w:style>
  <w:style w:type="character" w:customStyle="1" w:styleId="TextkomenteChar">
    <w:name w:val="Text komentáře Char"/>
    <w:basedOn w:val="Standardnpsmoodstavce"/>
    <w:link w:val="Textkomente"/>
    <w:uiPriority w:val="99"/>
    <w:semiHidden/>
    <w:rsid w:val="00B07EE9"/>
    <w:rPr>
      <w:sz w:val="20"/>
      <w:szCs w:val="20"/>
    </w:rPr>
  </w:style>
  <w:style w:type="paragraph" w:styleId="Pedmtkomente">
    <w:name w:val="annotation subject"/>
    <w:basedOn w:val="Textkomente"/>
    <w:next w:val="Textkomente"/>
    <w:link w:val="PedmtkomenteChar"/>
    <w:uiPriority w:val="99"/>
    <w:semiHidden/>
    <w:unhideWhenUsed/>
    <w:rsid w:val="00B07EE9"/>
    <w:rPr>
      <w:b/>
      <w:bCs/>
    </w:rPr>
  </w:style>
  <w:style w:type="character" w:customStyle="1" w:styleId="PedmtkomenteChar">
    <w:name w:val="Předmět komentáře Char"/>
    <w:basedOn w:val="TextkomenteChar"/>
    <w:link w:val="Pedmtkomente"/>
    <w:uiPriority w:val="99"/>
    <w:semiHidden/>
    <w:rsid w:val="00B07EE9"/>
    <w:rPr>
      <w:b/>
      <w:bCs/>
      <w:sz w:val="20"/>
      <w:szCs w:val="20"/>
    </w:rPr>
  </w:style>
  <w:style w:type="paragraph" w:styleId="Revize">
    <w:name w:val="Revision"/>
    <w:hidden/>
    <w:uiPriority w:val="99"/>
    <w:semiHidden/>
    <w:rsid w:val="00386125"/>
    <w:pPr>
      <w:spacing w:after="0" w:line="240" w:lineRule="auto"/>
    </w:pPr>
  </w:style>
  <w:style w:type="character" w:customStyle="1" w:styleId="rynqvb">
    <w:name w:val="rynqvb"/>
    <w:basedOn w:val="Standardnpsmoodstavce"/>
    <w:rsid w:val="006B1756"/>
  </w:style>
  <w:style w:type="character" w:customStyle="1" w:styleId="hwtze">
    <w:name w:val="hwtze"/>
    <w:basedOn w:val="Standardnpsmoodstavce"/>
    <w:rsid w:val="00247071"/>
  </w:style>
  <w:style w:type="character" w:styleId="Nevyeenzmnka">
    <w:name w:val="Unresolved Mention"/>
    <w:basedOn w:val="Standardnpsmoodstavce"/>
    <w:uiPriority w:val="99"/>
    <w:semiHidden/>
    <w:unhideWhenUsed/>
    <w:rsid w:val="00C64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351435">
      <w:bodyDiv w:val="1"/>
      <w:marLeft w:val="0"/>
      <w:marRight w:val="0"/>
      <w:marTop w:val="0"/>
      <w:marBottom w:val="0"/>
      <w:divBdr>
        <w:top w:val="none" w:sz="0" w:space="0" w:color="auto"/>
        <w:left w:val="none" w:sz="0" w:space="0" w:color="auto"/>
        <w:bottom w:val="none" w:sz="0" w:space="0" w:color="auto"/>
        <w:right w:val="none" w:sz="0" w:space="0" w:color="auto"/>
      </w:divBdr>
      <w:divsChild>
        <w:div w:id="541987567">
          <w:marLeft w:val="0"/>
          <w:marRight w:val="0"/>
          <w:marTop w:val="0"/>
          <w:marBottom w:val="0"/>
          <w:divBdr>
            <w:top w:val="none" w:sz="0" w:space="0" w:color="auto"/>
            <w:left w:val="none" w:sz="0" w:space="0" w:color="auto"/>
            <w:bottom w:val="none" w:sz="0" w:space="0" w:color="auto"/>
            <w:right w:val="none" w:sz="0" w:space="0" w:color="auto"/>
          </w:divBdr>
        </w:div>
        <w:div w:id="1707175012">
          <w:marLeft w:val="0"/>
          <w:marRight w:val="0"/>
          <w:marTop w:val="0"/>
          <w:marBottom w:val="0"/>
          <w:divBdr>
            <w:top w:val="none" w:sz="0" w:space="0" w:color="auto"/>
            <w:left w:val="none" w:sz="0" w:space="0" w:color="auto"/>
            <w:bottom w:val="none" w:sz="0" w:space="0" w:color="auto"/>
            <w:right w:val="none" w:sz="0" w:space="0" w:color="auto"/>
          </w:divBdr>
        </w:div>
        <w:div w:id="1444416508">
          <w:marLeft w:val="0"/>
          <w:marRight w:val="0"/>
          <w:marTop w:val="0"/>
          <w:marBottom w:val="0"/>
          <w:divBdr>
            <w:top w:val="none" w:sz="0" w:space="0" w:color="auto"/>
            <w:left w:val="none" w:sz="0" w:space="0" w:color="auto"/>
            <w:bottom w:val="none" w:sz="0" w:space="0" w:color="auto"/>
            <w:right w:val="none" w:sz="0" w:space="0" w:color="auto"/>
          </w:divBdr>
        </w:div>
        <w:div w:id="1082263265">
          <w:marLeft w:val="0"/>
          <w:marRight w:val="0"/>
          <w:marTop w:val="0"/>
          <w:marBottom w:val="0"/>
          <w:divBdr>
            <w:top w:val="none" w:sz="0" w:space="0" w:color="auto"/>
            <w:left w:val="none" w:sz="0" w:space="0" w:color="auto"/>
            <w:bottom w:val="none" w:sz="0" w:space="0" w:color="auto"/>
            <w:right w:val="none" w:sz="0" w:space="0" w:color="auto"/>
          </w:divBdr>
        </w:div>
        <w:div w:id="37903864">
          <w:marLeft w:val="0"/>
          <w:marRight w:val="0"/>
          <w:marTop w:val="0"/>
          <w:marBottom w:val="0"/>
          <w:divBdr>
            <w:top w:val="none" w:sz="0" w:space="0" w:color="auto"/>
            <w:left w:val="none" w:sz="0" w:space="0" w:color="auto"/>
            <w:bottom w:val="none" w:sz="0" w:space="0" w:color="auto"/>
            <w:right w:val="none" w:sz="0" w:space="0" w:color="auto"/>
          </w:divBdr>
        </w:div>
        <w:div w:id="141847098">
          <w:marLeft w:val="0"/>
          <w:marRight w:val="0"/>
          <w:marTop w:val="0"/>
          <w:marBottom w:val="0"/>
          <w:divBdr>
            <w:top w:val="none" w:sz="0" w:space="0" w:color="auto"/>
            <w:left w:val="none" w:sz="0" w:space="0" w:color="auto"/>
            <w:bottom w:val="none" w:sz="0" w:space="0" w:color="auto"/>
            <w:right w:val="none" w:sz="0" w:space="0" w:color="auto"/>
          </w:divBdr>
        </w:div>
        <w:div w:id="1231042656">
          <w:marLeft w:val="0"/>
          <w:marRight w:val="0"/>
          <w:marTop w:val="0"/>
          <w:marBottom w:val="0"/>
          <w:divBdr>
            <w:top w:val="none" w:sz="0" w:space="0" w:color="auto"/>
            <w:left w:val="none" w:sz="0" w:space="0" w:color="auto"/>
            <w:bottom w:val="none" w:sz="0" w:space="0" w:color="auto"/>
            <w:right w:val="none" w:sz="0" w:space="0" w:color="auto"/>
          </w:divBdr>
        </w:div>
        <w:div w:id="1307976543">
          <w:marLeft w:val="0"/>
          <w:marRight w:val="0"/>
          <w:marTop w:val="0"/>
          <w:marBottom w:val="0"/>
          <w:divBdr>
            <w:top w:val="none" w:sz="0" w:space="0" w:color="auto"/>
            <w:left w:val="none" w:sz="0" w:space="0" w:color="auto"/>
            <w:bottom w:val="none" w:sz="0" w:space="0" w:color="auto"/>
            <w:right w:val="none" w:sz="0" w:space="0" w:color="auto"/>
          </w:divBdr>
        </w:div>
        <w:div w:id="192769127">
          <w:marLeft w:val="0"/>
          <w:marRight w:val="0"/>
          <w:marTop w:val="0"/>
          <w:marBottom w:val="0"/>
          <w:divBdr>
            <w:top w:val="none" w:sz="0" w:space="0" w:color="auto"/>
            <w:left w:val="none" w:sz="0" w:space="0" w:color="auto"/>
            <w:bottom w:val="none" w:sz="0" w:space="0" w:color="auto"/>
            <w:right w:val="none" w:sz="0" w:space="0" w:color="auto"/>
          </w:divBdr>
        </w:div>
        <w:div w:id="1143035649">
          <w:marLeft w:val="0"/>
          <w:marRight w:val="0"/>
          <w:marTop w:val="0"/>
          <w:marBottom w:val="0"/>
          <w:divBdr>
            <w:top w:val="none" w:sz="0" w:space="0" w:color="auto"/>
            <w:left w:val="none" w:sz="0" w:space="0" w:color="auto"/>
            <w:bottom w:val="none" w:sz="0" w:space="0" w:color="auto"/>
            <w:right w:val="none" w:sz="0" w:space="0" w:color="auto"/>
          </w:divBdr>
        </w:div>
        <w:div w:id="1708794879">
          <w:marLeft w:val="0"/>
          <w:marRight w:val="0"/>
          <w:marTop w:val="0"/>
          <w:marBottom w:val="0"/>
          <w:divBdr>
            <w:top w:val="none" w:sz="0" w:space="0" w:color="auto"/>
            <w:left w:val="none" w:sz="0" w:space="0" w:color="auto"/>
            <w:bottom w:val="none" w:sz="0" w:space="0" w:color="auto"/>
            <w:right w:val="none" w:sz="0" w:space="0" w:color="auto"/>
          </w:divBdr>
        </w:div>
        <w:div w:id="1952010215">
          <w:marLeft w:val="0"/>
          <w:marRight w:val="0"/>
          <w:marTop w:val="0"/>
          <w:marBottom w:val="0"/>
          <w:divBdr>
            <w:top w:val="none" w:sz="0" w:space="0" w:color="auto"/>
            <w:left w:val="none" w:sz="0" w:space="0" w:color="auto"/>
            <w:bottom w:val="none" w:sz="0" w:space="0" w:color="auto"/>
            <w:right w:val="none" w:sz="0" w:space="0" w:color="auto"/>
          </w:divBdr>
        </w:div>
        <w:div w:id="1722944997">
          <w:marLeft w:val="0"/>
          <w:marRight w:val="0"/>
          <w:marTop w:val="0"/>
          <w:marBottom w:val="0"/>
          <w:divBdr>
            <w:top w:val="none" w:sz="0" w:space="0" w:color="auto"/>
            <w:left w:val="none" w:sz="0" w:space="0" w:color="auto"/>
            <w:bottom w:val="none" w:sz="0" w:space="0" w:color="auto"/>
            <w:right w:val="none" w:sz="0" w:space="0" w:color="auto"/>
          </w:divBdr>
        </w:div>
        <w:div w:id="257367977">
          <w:marLeft w:val="0"/>
          <w:marRight w:val="0"/>
          <w:marTop w:val="0"/>
          <w:marBottom w:val="0"/>
          <w:divBdr>
            <w:top w:val="none" w:sz="0" w:space="0" w:color="auto"/>
            <w:left w:val="none" w:sz="0" w:space="0" w:color="auto"/>
            <w:bottom w:val="none" w:sz="0" w:space="0" w:color="auto"/>
            <w:right w:val="none" w:sz="0" w:space="0" w:color="auto"/>
          </w:divBdr>
        </w:div>
        <w:div w:id="770663620">
          <w:marLeft w:val="0"/>
          <w:marRight w:val="0"/>
          <w:marTop w:val="0"/>
          <w:marBottom w:val="0"/>
          <w:divBdr>
            <w:top w:val="none" w:sz="0" w:space="0" w:color="auto"/>
            <w:left w:val="none" w:sz="0" w:space="0" w:color="auto"/>
            <w:bottom w:val="none" w:sz="0" w:space="0" w:color="auto"/>
            <w:right w:val="none" w:sz="0" w:space="0" w:color="auto"/>
          </w:divBdr>
        </w:div>
        <w:div w:id="1697610448">
          <w:marLeft w:val="0"/>
          <w:marRight w:val="0"/>
          <w:marTop w:val="0"/>
          <w:marBottom w:val="0"/>
          <w:divBdr>
            <w:top w:val="none" w:sz="0" w:space="0" w:color="auto"/>
            <w:left w:val="none" w:sz="0" w:space="0" w:color="auto"/>
            <w:bottom w:val="none" w:sz="0" w:space="0" w:color="auto"/>
            <w:right w:val="none" w:sz="0" w:space="0" w:color="auto"/>
          </w:divBdr>
        </w:div>
        <w:div w:id="1001549557">
          <w:marLeft w:val="0"/>
          <w:marRight w:val="0"/>
          <w:marTop w:val="0"/>
          <w:marBottom w:val="0"/>
          <w:divBdr>
            <w:top w:val="none" w:sz="0" w:space="0" w:color="auto"/>
            <w:left w:val="none" w:sz="0" w:space="0" w:color="auto"/>
            <w:bottom w:val="none" w:sz="0" w:space="0" w:color="auto"/>
            <w:right w:val="none" w:sz="0" w:space="0" w:color="auto"/>
          </w:divBdr>
        </w:div>
        <w:div w:id="1317493192">
          <w:marLeft w:val="0"/>
          <w:marRight w:val="0"/>
          <w:marTop w:val="0"/>
          <w:marBottom w:val="0"/>
          <w:divBdr>
            <w:top w:val="none" w:sz="0" w:space="0" w:color="auto"/>
            <w:left w:val="none" w:sz="0" w:space="0" w:color="auto"/>
            <w:bottom w:val="none" w:sz="0" w:space="0" w:color="auto"/>
            <w:right w:val="none" w:sz="0" w:space="0" w:color="auto"/>
          </w:divBdr>
        </w:div>
        <w:div w:id="1729718616">
          <w:marLeft w:val="0"/>
          <w:marRight w:val="0"/>
          <w:marTop w:val="0"/>
          <w:marBottom w:val="0"/>
          <w:divBdr>
            <w:top w:val="none" w:sz="0" w:space="0" w:color="auto"/>
            <w:left w:val="none" w:sz="0" w:space="0" w:color="auto"/>
            <w:bottom w:val="none" w:sz="0" w:space="0" w:color="auto"/>
            <w:right w:val="none" w:sz="0" w:space="0" w:color="auto"/>
          </w:divBdr>
        </w:div>
        <w:div w:id="2020082359">
          <w:marLeft w:val="0"/>
          <w:marRight w:val="0"/>
          <w:marTop w:val="0"/>
          <w:marBottom w:val="0"/>
          <w:divBdr>
            <w:top w:val="none" w:sz="0" w:space="0" w:color="auto"/>
            <w:left w:val="none" w:sz="0" w:space="0" w:color="auto"/>
            <w:bottom w:val="none" w:sz="0" w:space="0" w:color="auto"/>
            <w:right w:val="none" w:sz="0" w:space="0" w:color="auto"/>
          </w:divBdr>
        </w:div>
        <w:div w:id="566385215">
          <w:marLeft w:val="0"/>
          <w:marRight w:val="0"/>
          <w:marTop w:val="0"/>
          <w:marBottom w:val="0"/>
          <w:divBdr>
            <w:top w:val="none" w:sz="0" w:space="0" w:color="auto"/>
            <w:left w:val="none" w:sz="0" w:space="0" w:color="auto"/>
            <w:bottom w:val="none" w:sz="0" w:space="0" w:color="auto"/>
            <w:right w:val="none" w:sz="0" w:space="0" w:color="auto"/>
          </w:divBdr>
        </w:div>
        <w:div w:id="1175456217">
          <w:marLeft w:val="0"/>
          <w:marRight w:val="0"/>
          <w:marTop w:val="0"/>
          <w:marBottom w:val="0"/>
          <w:divBdr>
            <w:top w:val="none" w:sz="0" w:space="0" w:color="auto"/>
            <w:left w:val="none" w:sz="0" w:space="0" w:color="auto"/>
            <w:bottom w:val="none" w:sz="0" w:space="0" w:color="auto"/>
            <w:right w:val="none" w:sz="0" w:space="0" w:color="auto"/>
          </w:divBdr>
        </w:div>
        <w:div w:id="1180001553">
          <w:marLeft w:val="0"/>
          <w:marRight w:val="0"/>
          <w:marTop w:val="0"/>
          <w:marBottom w:val="0"/>
          <w:divBdr>
            <w:top w:val="none" w:sz="0" w:space="0" w:color="auto"/>
            <w:left w:val="none" w:sz="0" w:space="0" w:color="auto"/>
            <w:bottom w:val="none" w:sz="0" w:space="0" w:color="auto"/>
            <w:right w:val="none" w:sz="0" w:space="0" w:color="auto"/>
          </w:divBdr>
        </w:div>
        <w:div w:id="1381318022">
          <w:marLeft w:val="0"/>
          <w:marRight w:val="0"/>
          <w:marTop w:val="0"/>
          <w:marBottom w:val="0"/>
          <w:divBdr>
            <w:top w:val="none" w:sz="0" w:space="0" w:color="auto"/>
            <w:left w:val="none" w:sz="0" w:space="0" w:color="auto"/>
            <w:bottom w:val="none" w:sz="0" w:space="0" w:color="auto"/>
            <w:right w:val="none" w:sz="0" w:space="0" w:color="auto"/>
          </w:divBdr>
        </w:div>
        <w:div w:id="1664505881">
          <w:marLeft w:val="0"/>
          <w:marRight w:val="0"/>
          <w:marTop w:val="0"/>
          <w:marBottom w:val="0"/>
          <w:divBdr>
            <w:top w:val="none" w:sz="0" w:space="0" w:color="auto"/>
            <w:left w:val="none" w:sz="0" w:space="0" w:color="auto"/>
            <w:bottom w:val="none" w:sz="0" w:space="0" w:color="auto"/>
            <w:right w:val="none" w:sz="0" w:space="0" w:color="auto"/>
          </w:divBdr>
        </w:div>
        <w:div w:id="1251502966">
          <w:marLeft w:val="0"/>
          <w:marRight w:val="0"/>
          <w:marTop w:val="0"/>
          <w:marBottom w:val="0"/>
          <w:divBdr>
            <w:top w:val="none" w:sz="0" w:space="0" w:color="auto"/>
            <w:left w:val="none" w:sz="0" w:space="0" w:color="auto"/>
            <w:bottom w:val="none" w:sz="0" w:space="0" w:color="auto"/>
            <w:right w:val="none" w:sz="0" w:space="0" w:color="auto"/>
          </w:divBdr>
        </w:div>
        <w:div w:id="619264905">
          <w:marLeft w:val="0"/>
          <w:marRight w:val="0"/>
          <w:marTop w:val="0"/>
          <w:marBottom w:val="0"/>
          <w:divBdr>
            <w:top w:val="none" w:sz="0" w:space="0" w:color="auto"/>
            <w:left w:val="none" w:sz="0" w:space="0" w:color="auto"/>
            <w:bottom w:val="none" w:sz="0" w:space="0" w:color="auto"/>
            <w:right w:val="none" w:sz="0" w:space="0" w:color="auto"/>
          </w:divBdr>
        </w:div>
        <w:div w:id="33312729">
          <w:marLeft w:val="0"/>
          <w:marRight w:val="0"/>
          <w:marTop w:val="0"/>
          <w:marBottom w:val="0"/>
          <w:divBdr>
            <w:top w:val="none" w:sz="0" w:space="0" w:color="auto"/>
            <w:left w:val="none" w:sz="0" w:space="0" w:color="auto"/>
            <w:bottom w:val="none" w:sz="0" w:space="0" w:color="auto"/>
            <w:right w:val="none" w:sz="0" w:space="0" w:color="auto"/>
          </w:divBdr>
        </w:div>
        <w:div w:id="1398091812">
          <w:marLeft w:val="0"/>
          <w:marRight w:val="0"/>
          <w:marTop w:val="0"/>
          <w:marBottom w:val="0"/>
          <w:divBdr>
            <w:top w:val="none" w:sz="0" w:space="0" w:color="auto"/>
            <w:left w:val="none" w:sz="0" w:space="0" w:color="auto"/>
            <w:bottom w:val="none" w:sz="0" w:space="0" w:color="auto"/>
            <w:right w:val="none" w:sz="0" w:space="0" w:color="auto"/>
          </w:divBdr>
        </w:div>
        <w:div w:id="1800222828">
          <w:marLeft w:val="0"/>
          <w:marRight w:val="0"/>
          <w:marTop w:val="0"/>
          <w:marBottom w:val="0"/>
          <w:divBdr>
            <w:top w:val="none" w:sz="0" w:space="0" w:color="auto"/>
            <w:left w:val="none" w:sz="0" w:space="0" w:color="auto"/>
            <w:bottom w:val="none" w:sz="0" w:space="0" w:color="auto"/>
            <w:right w:val="none" w:sz="0" w:space="0" w:color="auto"/>
          </w:divBdr>
        </w:div>
        <w:div w:id="791170917">
          <w:marLeft w:val="0"/>
          <w:marRight w:val="0"/>
          <w:marTop w:val="0"/>
          <w:marBottom w:val="0"/>
          <w:divBdr>
            <w:top w:val="none" w:sz="0" w:space="0" w:color="auto"/>
            <w:left w:val="none" w:sz="0" w:space="0" w:color="auto"/>
            <w:bottom w:val="none" w:sz="0" w:space="0" w:color="auto"/>
            <w:right w:val="none" w:sz="0" w:space="0" w:color="auto"/>
          </w:divBdr>
        </w:div>
        <w:div w:id="2143696477">
          <w:marLeft w:val="0"/>
          <w:marRight w:val="0"/>
          <w:marTop w:val="0"/>
          <w:marBottom w:val="0"/>
          <w:divBdr>
            <w:top w:val="none" w:sz="0" w:space="0" w:color="auto"/>
            <w:left w:val="none" w:sz="0" w:space="0" w:color="auto"/>
            <w:bottom w:val="none" w:sz="0" w:space="0" w:color="auto"/>
            <w:right w:val="none" w:sz="0" w:space="0" w:color="auto"/>
          </w:divBdr>
        </w:div>
        <w:div w:id="554048030">
          <w:marLeft w:val="0"/>
          <w:marRight w:val="0"/>
          <w:marTop w:val="0"/>
          <w:marBottom w:val="0"/>
          <w:divBdr>
            <w:top w:val="none" w:sz="0" w:space="0" w:color="auto"/>
            <w:left w:val="none" w:sz="0" w:space="0" w:color="auto"/>
            <w:bottom w:val="none" w:sz="0" w:space="0" w:color="auto"/>
            <w:right w:val="none" w:sz="0" w:space="0" w:color="auto"/>
          </w:divBdr>
        </w:div>
        <w:div w:id="1928882165">
          <w:marLeft w:val="0"/>
          <w:marRight w:val="0"/>
          <w:marTop w:val="0"/>
          <w:marBottom w:val="0"/>
          <w:divBdr>
            <w:top w:val="none" w:sz="0" w:space="0" w:color="auto"/>
            <w:left w:val="none" w:sz="0" w:space="0" w:color="auto"/>
            <w:bottom w:val="none" w:sz="0" w:space="0" w:color="auto"/>
            <w:right w:val="none" w:sz="0" w:space="0" w:color="auto"/>
          </w:divBdr>
        </w:div>
        <w:div w:id="1376198249">
          <w:marLeft w:val="0"/>
          <w:marRight w:val="0"/>
          <w:marTop w:val="0"/>
          <w:marBottom w:val="0"/>
          <w:divBdr>
            <w:top w:val="none" w:sz="0" w:space="0" w:color="auto"/>
            <w:left w:val="none" w:sz="0" w:space="0" w:color="auto"/>
            <w:bottom w:val="none" w:sz="0" w:space="0" w:color="auto"/>
            <w:right w:val="none" w:sz="0" w:space="0" w:color="auto"/>
          </w:divBdr>
        </w:div>
        <w:div w:id="1173182089">
          <w:marLeft w:val="0"/>
          <w:marRight w:val="0"/>
          <w:marTop w:val="0"/>
          <w:marBottom w:val="0"/>
          <w:divBdr>
            <w:top w:val="none" w:sz="0" w:space="0" w:color="auto"/>
            <w:left w:val="none" w:sz="0" w:space="0" w:color="auto"/>
            <w:bottom w:val="none" w:sz="0" w:space="0" w:color="auto"/>
            <w:right w:val="none" w:sz="0" w:space="0" w:color="auto"/>
          </w:divBdr>
        </w:div>
        <w:div w:id="1969430604">
          <w:marLeft w:val="0"/>
          <w:marRight w:val="0"/>
          <w:marTop w:val="0"/>
          <w:marBottom w:val="0"/>
          <w:divBdr>
            <w:top w:val="none" w:sz="0" w:space="0" w:color="auto"/>
            <w:left w:val="none" w:sz="0" w:space="0" w:color="auto"/>
            <w:bottom w:val="none" w:sz="0" w:space="0" w:color="auto"/>
            <w:right w:val="none" w:sz="0" w:space="0" w:color="auto"/>
          </w:divBdr>
        </w:div>
        <w:div w:id="620763619">
          <w:marLeft w:val="0"/>
          <w:marRight w:val="0"/>
          <w:marTop w:val="0"/>
          <w:marBottom w:val="0"/>
          <w:divBdr>
            <w:top w:val="none" w:sz="0" w:space="0" w:color="auto"/>
            <w:left w:val="none" w:sz="0" w:space="0" w:color="auto"/>
            <w:bottom w:val="none" w:sz="0" w:space="0" w:color="auto"/>
            <w:right w:val="none" w:sz="0" w:space="0" w:color="auto"/>
          </w:divBdr>
        </w:div>
        <w:div w:id="1009718609">
          <w:marLeft w:val="0"/>
          <w:marRight w:val="0"/>
          <w:marTop w:val="0"/>
          <w:marBottom w:val="0"/>
          <w:divBdr>
            <w:top w:val="none" w:sz="0" w:space="0" w:color="auto"/>
            <w:left w:val="none" w:sz="0" w:space="0" w:color="auto"/>
            <w:bottom w:val="none" w:sz="0" w:space="0" w:color="auto"/>
            <w:right w:val="none" w:sz="0" w:space="0" w:color="auto"/>
          </w:divBdr>
        </w:div>
        <w:div w:id="1698778178">
          <w:marLeft w:val="0"/>
          <w:marRight w:val="0"/>
          <w:marTop w:val="0"/>
          <w:marBottom w:val="0"/>
          <w:divBdr>
            <w:top w:val="none" w:sz="0" w:space="0" w:color="auto"/>
            <w:left w:val="none" w:sz="0" w:space="0" w:color="auto"/>
            <w:bottom w:val="none" w:sz="0" w:space="0" w:color="auto"/>
            <w:right w:val="none" w:sz="0" w:space="0" w:color="auto"/>
          </w:divBdr>
        </w:div>
        <w:div w:id="369573949">
          <w:marLeft w:val="0"/>
          <w:marRight w:val="0"/>
          <w:marTop w:val="0"/>
          <w:marBottom w:val="0"/>
          <w:divBdr>
            <w:top w:val="none" w:sz="0" w:space="0" w:color="auto"/>
            <w:left w:val="none" w:sz="0" w:space="0" w:color="auto"/>
            <w:bottom w:val="none" w:sz="0" w:space="0" w:color="auto"/>
            <w:right w:val="none" w:sz="0" w:space="0" w:color="auto"/>
          </w:divBdr>
        </w:div>
        <w:div w:id="268700892">
          <w:marLeft w:val="0"/>
          <w:marRight w:val="0"/>
          <w:marTop w:val="0"/>
          <w:marBottom w:val="0"/>
          <w:divBdr>
            <w:top w:val="none" w:sz="0" w:space="0" w:color="auto"/>
            <w:left w:val="none" w:sz="0" w:space="0" w:color="auto"/>
            <w:bottom w:val="none" w:sz="0" w:space="0" w:color="auto"/>
            <w:right w:val="none" w:sz="0" w:space="0" w:color="auto"/>
          </w:divBdr>
        </w:div>
        <w:div w:id="1543253594">
          <w:marLeft w:val="0"/>
          <w:marRight w:val="0"/>
          <w:marTop w:val="0"/>
          <w:marBottom w:val="0"/>
          <w:divBdr>
            <w:top w:val="none" w:sz="0" w:space="0" w:color="auto"/>
            <w:left w:val="none" w:sz="0" w:space="0" w:color="auto"/>
            <w:bottom w:val="none" w:sz="0" w:space="0" w:color="auto"/>
            <w:right w:val="none" w:sz="0" w:space="0" w:color="auto"/>
          </w:divBdr>
        </w:div>
        <w:div w:id="1312556917">
          <w:marLeft w:val="0"/>
          <w:marRight w:val="0"/>
          <w:marTop w:val="0"/>
          <w:marBottom w:val="0"/>
          <w:divBdr>
            <w:top w:val="none" w:sz="0" w:space="0" w:color="auto"/>
            <w:left w:val="none" w:sz="0" w:space="0" w:color="auto"/>
            <w:bottom w:val="none" w:sz="0" w:space="0" w:color="auto"/>
            <w:right w:val="none" w:sz="0" w:space="0" w:color="auto"/>
          </w:divBdr>
        </w:div>
        <w:div w:id="624195841">
          <w:marLeft w:val="0"/>
          <w:marRight w:val="0"/>
          <w:marTop w:val="0"/>
          <w:marBottom w:val="0"/>
          <w:divBdr>
            <w:top w:val="none" w:sz="0" w:space="0" w:color="auto"/>
            <w:left w:val="none" w:sz="0" w:space="0" w:color="auto"/>
            <w:bottom w:val="none" w:sz="0" w:space="0" w:color="auto"/>
            <w:right w:val="none" w:sz="0" w:space="0" w:color="auto"/>
          </w:divBdr>
        </w:div>
      </w:divsChild>
    </w:div>
    <w:div w:id="209520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ec.europa.eu/eurostat/web/products-manuals-and-guidelines/-/ks-32-10-216" TargetMode="External"/><Relationship Id="rId4" Type="http://schemas.openxmlformats.org/officeDocument/2006/relationships/customXml" Target="../customXml/item4.xml"/><Relationship Id="rId9" Type="http://schemas.openxmlformats.org/officeDocument/2006/relationships/hyperlink" Target="https://data.csu.gov.cz/datastat/dash?aPolozka=RES01"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550dc75-e57e-4925-8a9a-73b1d4bf0d4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BBAD7C23DFC1D447A00F02468816B473" ma:contentTypeVersion="15" ma:contentTypeDescription="Vytvoří nový dokument" ma:contentTypeScope="" ma:versionID="f0287be4a34a39466744c7ce898ab42f">
  <xsd:schema xmlns:xsd="http://www.w3.org/2001/XMLSchema" xmlns:xs="http://www.w3.org/2001/XMLSchema" xmlns:p="http://schemas.microsoft.com/office/2006/metadata/properties" xmlns:ns3="4d71ecbe-00bb-42b0-adf0-ef8166e882a1" xmlns:ns4="3550dc75-e57e-4925-8a9a-73b1d4bf0d41" targetNamespace="http://schemas.microsoft.com/office/2006/metadata/properties" ma:root="true" ma:fieldsID="13daeefe50fd379807448714ff0fcffd" ns3:_="" ns4:_="">
    <xsd:import namespace="4d71ecbe-00bb-42b0-adf0-ef8166e882a1"/>
    <xsd:import namespace="3550dc75-e57e-4925-8a9a-73b1d4bf0d4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SearchProperties" minOccurs="0"/>
                <xsd:element ref="ns4:MediaServiceObjectDetectorVersions" minOccurs="0"/>
                <xsd:element ref="ns4:MediaServiceDateTaken" minOccurs="0"/>
                <xsd:element ref="ns4:MediaServiceSystemTags" minOccurs="0"/>
                <xsd:element ref="ns4:MediaServiceOCR"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71ecbe-00bb-42b0-adf0-ef8166e882a1"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SharingHintHash" ma:index="10" nillable="true" ma:displayName="Hodnota hash upozornění na sdílení"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50dc75-e57e-4925-8a9a-73b1d4bf0d4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D2DB24-2B61-4CD2-A6AF-F97AA6015EBB}">
  <ds:schemaRefs>
    <ds:schemaRef ds:uri="http://schemas.microsoft.com/sharepoint/v3/contenttype/forms"/>
  </ds:schemaRefs>
</ds:datastoreItem>
</file>

<file path=customXml/itemProps2.xml><?xml version="1.0" encoding="utf-8"?>
<ds:datastoreItem xmlns:ds="http://schemas.openxmlformats.org/officeDocument/2006/customXml" ds:itemID="{7DDB2E8D-27C5-4F58-8D22-674209E05889}">
  <ds:schemaRefs>
    <ds:schemaRef ds:uri="http://schemas.microsoft.com/office/2006/metadata/properties"/>
    <ds:schemaRef ds:uri="http://schemas.microsoft.com/office/infopath/2007/PartnerControls"/>
    <ds:schemaRef ds:uri="3550dc75-e57e-4925-8a9a-73b1d4bf0d41"/>
  </ds:schemaRefs>
</ds:datastoreItem>
</file>

<file path=customXml/itemProps3.xml><?xml version="1.0" encoding="utf-8"?>
<ds:datastoreItem xmlns:ds="http://schemas.openxmlformats.org/officeDocument/2006/customXml" ds:itemID="{267431B0-1E7B-4047-9E55-1F6266C714C3}">
  <ds:schemaRefs>
    <ds:schemaRef ds:uri="http://schemas.openxmlformats.org/officeDocument/2006/bibliography"/>
  </ds:schemaRefs>
</ds:datastoreItem>
</file>

<file path=customXml/itemProps4.xml><?xml version="1.0" encoding="utf-8"?>
<ds:datastoreItem xmlns:ds="http://schemas.openxmlformats.org/officeDocument/2006/customXml" ds:itemID="{20E4069E-B188-48A3-9C4B-85D92101F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71ecbe-00bb-42b0-adf0-ef8166e882a1"/>
    <ds:schemaRef ds:uri="3550dc75-e57e-4925-8a9a-73b1d4bf0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945</Words>
  <Characters>5577</Characters>
  <Application>Microsoft Office Word</Application>
  <DocSecurity>0</DocSecurity>
  <Lines>46</Lines>
  <Paragraphs>13</Paragraphs>
  <ScaleCrop>false</ScaleCrop>
  <HeadingPairs>
    <vt:vector size="2" baseType="variant">
      <vt:variant>
        <vt:lpstr>Název</vt:lpstr>
      </vt:variant>
      <vt:variant>
        <vt:i4>1</vt:i4>
      </vt:variant>
    </vt:vector>
  </HeadingPairs>
  <TitlesOfParts>
    <vt:vector size="1" baseType="lpstr">
      <vt:lpstr/>
    </vt:vector>
  </TitlesOfParts>
  <Company>ČSÚ</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Herrmannová Bronislava</dc:creator>
  <cp:keywords/>
  <dc:description/>
  <cp:lastModifiedBy>Herrmannová Bronislava</cp:lastModifiedBy>
  <cp:revision>2</cp:revision>
  <cp:lastPrinted>2022-11-22T12:54:00Z</cp:lastPrinted>
  <dcterms:created xsi:type="dcterms:W3CDTF">2026-10-01T11:05:00Z</dcterms:created>
  <dcterms:modified xsi:type="dcterms:W3CDTF">2026-10-01T11:05:00Z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0x010100BBAD7C23DFC1D447A00F02468816B473</vt:lpwstr>
  </property>
</Properties>
</file>