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284581" w:rsidP="0097104F">
      <w:pPr>
        <w:pStyle w:val="Nadpis1"/>
      </w:pPr>
      <w:r w:rsidRPr="00284581">
        <w:rPr>
          <w:caps/>
        </w:rPr>
        <w:t>Průměrná míra inflace v roce 2017 byla 2,5 %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284581">
        <w:t>prosinec</w:t>
      </w:r>
      <w:r w:rsidR="00F7312B">
        <w:t> 2017</w:t>
      </w:r>
    </w:p>
    <w:p w:rsidR="00F7312B" w:rsidRPr="00F7312B" w:rsidRDefault="00284581" w:rsidP="00F7312B">
      <w:pPr>
        <w:pStyle w:val="Perex"/>
        <w:spacing w:before="120" w:line="288" w:lineRule="auto"/>
        <w:rPr>
          <w:szCs w:val="20"/>
        </w:rPr>
      </w:pPr>
      <w:r w:rsidRPr="00635D83">
        <w:t xml:space="preserve">Spotřebitelské ceny vzrostly v prosinci proti listopadu o 0,1 %. Toto zvýšení ovlivnil zejména růst cen v oddíle </w:t>
      </w:r>
      <w:r>
        <w:rPr>
          <w:szCs w:val="20"/>
        </w:rPr>
        <w:t>potraviny a </w:t>
      </w:r>
      <w:r w:rsidRPr="00635D83">
        <w:rPr>
          <w:szCs w:val="20"/>
        </w:rPr>
        <w:t>nealkoholické nápoje</w:t>
      </w:r>
      <w:r w:rsidRPr="00635D83">
        <w:t xml:space="preserve">. Meziroční růst spotřebitelských cen v prosinci zpomalil na 2,4 % (z 2,6 % v listopadu). Průměrná míra inflace </w:t>
      </w:r>
      <w:r>
        <w:t>za </w:t>
      </w:r>
      <w:r w:rsidRPr="00635D83">
        <w:t>celý rok 2017 byla 2,5</w:t>
      </w:r>
      <w:r>
        <w:t> </w:t>
      </w:r>
      <w:r w:rsidRPr="00186648">
        <w:t>%</w:t>
      </w:r>
      <w:r>
        <w:t>, což je nejvyšší hodnota za posledních 5 let.</w:t>
      </w:r>
      <w:r w:rsidR="00F7312B" w:rsidRPr="00F7312B">
        <w:rPr>
          <w:szCs w:val="20"/>
        </w:rPr>
        <w:t xml:space="preserve"> </w:t>
      </w:r>
    </w:p>
    <w:p w:rsidR="00284581" w:rsidRDefault="00284581" w:rsidP="00284581">
      <w:pPr>
        <w:jc w:val="both"/>
      </w:pPr>
      <w:r w:rsidRPr="0026710E">
        <w:rPr>
          <w:rFonts w:cs="Arial"/>
          <w:b/>
          <w:bCs/>
          <w:szCs w:val="20"/>
        </w:rPr>
        <w:t xml:space="preserve">Meziměsíční </w:t>
      </w:r>
      <w:r>
        <w:rPr>
          <w:rFonts w:cs="Arial"/>
          <w:szCs w:val="20"/>
        </w:rPr>
        <w:t>růst spotřebitelských cen v </w:t>
      </w:r>
      <w:r w:rsidRPr="0026710E">
        <w:rPr>
          <w:rFonts w:cs="Arial"/>
          <w:szCs w:val="20"/>
        </w:rPr>
        <w:t>oddí</w:t>
      </w:r>
      <w:r>
        <w:rPr>
          <w:rFonts w:cs="Arial"/>
          <w:szCs w:val="20"/>
        </w:rPr>
        <w:t>le potraviny a </w:t>
      </w:r>
      <w:r w:rsidRPr="0026710E">
        <w:rPr>
          <w:rFonts w:cs="Arial"/>
          <w:szCs w:val="20"/>
        </w:rPr>
        <w:t>nealkoholické nápoje způsobilo zejména zvýšení cen zeleniny o </w:t>
      </w:r>
      <w:r>
        <w:rPr>
          <w:rFonts w:cs="Arial"/>
          <w:szCs w:val="20"/>
        </w:rPr>
        <w:t>7,6</w:t>
      </w:r>
      <w:r w:rsidRPr="0026710E">
        <w:rPr>
          <w:rFonts w:cs="Arial"/>
          <w:szCs w:val="20"/>
        </w:rPr>
        <w:t> % vlivem vyšších cen plodové zeleniny o </w:t>
      </w:r>
      <w:r>
        <w:rPr>
          <w:rFonts w:cs="Arial"/>
          <w:szCs w:val="20"/>
        </w:rPr>
        <w:t>1</w:t>
      </w:r>
      <w:r w:rsidRPr="0026710E">
        <w:rPr>
          <w:rFonts w:cs="Arial"/>
          <w:szCs w:val="20"/>
        </w:rPr>
        <w:t>3,0 %</w:t>
      </w:r>
      <w:r>
        <w:rPr>
          <w:rFonts w:cs="Arial"/>
          <w:szCs w:val="20"/>
        </w:rPr>
        <w:t xml:space="preserve"> a cen brambor o 8,9 %. </w:t>
      </w:r>
      <w:r w:rsidRPr="0026710E">
        <w:rPr>
          <w:rFonts w:cs="Arial"/>
        </w:rPr>
        <w:t xml:space="preserve">Růst cen potravin </w:t>
      </w:r>
      <w:r>
        <w:rPr>
          <w:rFonts w:cs="Arial"/>
        </w:rPr>
        <w:t>byl</w:t>
      </w:r>
      <w:r w:rsidRPr="0026710E">
        <w:rPr>
          <w:rFonts w:cs="Arial"/>
        </w:rPr>
        <w:t xml:space="preserve"> též </w:t>
      </w:r>
      <w:r>
        <w:rPr>
          <w:rFonts w:cs="Arial"/>
        </w:rPr>
        <w:t>ovlivněn vyššími</w:t>
      </w:r>
      <w:r w:rsidRPr="0026710E">
        <w:rPr>
          <w:rFonts w:cs="Arial"/>
        </w:rPr>
        <w:t xml:space="preserve"> cen</w:t>
      </w:r>
      <w:r>
        <w:rPr>
          <w:rFonts w:cs="Arial"/>
        </w:rPr>
        <w:t>ami ovoce o </w:t>
      </w:r>
      <w:r w:rsidRPr="0026710E">
        <w:rPr>
          <w:rFonts w:cs="Arial"/>
        </w:rPr>
        <w:t>6,</w:t>
      </w:r>
      <w:r>
        <w:rPr>
          <w:rFonts w:cs="Arial"/>
        </w:rPr>
        <w:t>9</w:t>
      </w:r>
      <w:r w:rsidRPr="0026710E">
        <w:rPr>
          <w:rFonts w:cs="Arial"/>
        </w:rPr>
        <w:t xml:space="preserve"> %, </w:t>
      </w:r>
      <w:r>
        <w:rPr>
          <w:rFonts w:cs="Arial"/>
        </w:rPr>
        <w:t>pekárenských výrobků a </w:t>
      </w:r>
      <w:r w:rsidRPr="00EB0435">
        <w:rPr>
          <w:rFonts w:cs="Arial"/>
        </w:rPr>
        <w:t>obilovin o 0,8 %,</w:t>
      </w:r>
      <w:r>
        <w:rPr>
          <w:rFonts w:cs="Arial"/>
        </w:rPr>
        <w:t xml:space="preserve"> nečokoládových cukrovinek o 5,8 %. Zvýšení </w:t>
      </w:r>
      <w:r>
        <w:rPr>
          <w:rFonts w:cs="Arial"/>
          <w:szCs w:val="20"/>
        </w:rPr>
        <w:t>cen v </w:t>
      </w:r>
      <w:r w:rsidRPr="0026710E">
        <w:rPr>
          <w:rFonts w:cs="Arial"/>
          <w:szCs w:val="20"/>
        </w:rPr>
        <w:t>oddí</w:t>
      </w:r>
      <w:r>
        <w:rPr>
          <w:rFonts w:cs="Arial"/>
          <w:szCs w:val="20"/>
        </w:rPr>
        <w:t>le doprava</w:t>
      </w:r>
      <w:r w:rsidRPr="0026710E">
        <w:rPr>
          <w:rFonts w:cs="Arial"/>
          <w:szCs w:val="20"/>
        </w:rPr>
        <w:t xml:space="preserve"> způsobil zejména </w:t>
      </w:r>
      <w:r>
        <w:rPr>
          <w:rFonts w:cs="Arial"/>
          <w:szCs w:val="20"/>
        </w:rPr>
        <w:t>růst</w:t>
      </w:r>
      <w:r w:rsidRPr="0026710E">
        <w:rPr>
          <w:rFonts w:cs="Arial"/>
          <w:szCs w:val="20"/>
        </w:rPr>
        <w:t xml:space="preserve"> cen </w:t>
      </w:r>
      <w:r>
        <w:rPr>
          <w:rFonts w:cs="Arial"/>
          <w:szCs w:val="20"/>
        </w:rPr>
        <w:t xml:space="preserve">automobilů </w:t>
      </w:r>
      <w:r w:rsidRPr="0026710E">
        <w:rPr>
          <w:rFonts w:cs="Arial"/>
          <w:szCs w:val="20"/>
        </w:rPr>
        <w:t>o </w:t>
      </w:r>
      <w:r>
        <w:rPr>
          <w:rFonts w:cs="Arial"/>
          <w:szCs w:val="20"/>
        </w:rPr>
        <w:t>0,5</w:t>
      </w:r>
      <w:r w:rsidRPr="0026710E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 oddíle bydlení vzrostly</w:t>
      </w:r>
      <w:r>
        <w:t xml:space="preserve"> ceny</w:t>
      </w:r>
      <w:r w:rsidRPr="00256600">
        <w:t xml:space="preserve"> </w:t>
      </w:r>
      <w:r>
        <w:t>tuhých paliv o 1,3 % a čistého nájemného o 0,2 %. V oddíle stravování a ubytování byly vyšší ceny v restauracích a kavárnách o 0,3 </w:t>
      </w:r>
      <w:r w:rsidRPr="00D554D7">
        <w:t>%.</w:t>
      </w:r>
    </w:p>
    <w:p w:rsidR="00284581" w:rsidRPr="00783940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eastAsia="Calibri" w:cs="Arial"/>
          <w:szCs w:val="20"/>
        </w:rPr>
        <w:t xml:space="preserve">snižování celkové úrovně </w:t>
      </w:r>
      <w:r w:rsidRPr="00D73799">
        <w:rPr>
          <w:rFonts w:eastAsia="Calibri" w:cs="Arial"/>
          <w:szCs w:val="20"/>
        </w:rPr>
        <w:t>spotřebitelských cen v prosinci působi</w:t>
      </w:r>
      <w:r>
        <w:rPr>
          <w:rFonts w:eastAsia="Calibri" w:cs="Arial"/>
          <w:szCs w:val="20"/>
        </w:rPr>
        <w:t>l pokles cen v oddíle odívání a obuv, kde ceny oděvů klesly o 1,2 % a obuvi o 1,1 %. Pokles cen v </w:t>
      </w:r>
      <w:r w:rsidRPr="00D73799">
        <w:rPr>
          <w:rFonts w:eastAsia="Calibri" w:cs="Arial"/>
          <w:szCs w:val="20"/>
        </w:rPr>
        <w:t>oddíle alkoholické nápoje</w:t>
      </w:r>
      <w:r>
        <w:rPr>
          <w:rFonts w:eastAsia="Calibri" w:cs="Arial"/>
          <w:szCs w:val="20"/>
        </w:rPr>
        <w:t>,</w:t>
      </w:r>
      <w:r w:rsidRPr="00D73799">
        <w:rPr>
          <w:rFonts w:eastAsia="Calibri" w:cs="Arial"/>
          <w:szCs w:val="20"/>
        </w:rPr>
        <w:t xml:space="preserve"> tabák ovlivnilo snížení cen</w:t>
      </w:r>
      <w:r>
        <w:rPr>
          <w:rFonts w:eastAsia="Calibri" w:cs="Arial"/>
          <w:szCs w:val="20"/>
        </w:rPr>
        <w:t xml:space="preserve"> lihovin a </w:t>
      </w:r>
      <w:r w:rsidRPr="00D73799">
        <w:rPr>
          <w:rFonts w:eastAsia="Calibri" w:cs="Arial"/>
          <w:szCs w:val="20"/>
        </w:rPr>
        <w:t>vína</w:t>
      </w:r>
      <w:r>
        <w:rPr>
          <w:rFonts w:eastAsia="Calibri" w:cs="Arial"/>
          <w:szCs w:val="20"/>
        </w:rPr>
        <w:t>, shodně o 1,5 </w:t>
      </w:r>
      <w:r w:rsidRPr="00D73799">
        <w:rPr>
          <w:rFonts w:eastAsia="Calibri" w:cs="Arial"/>
          <w:szCs w:val="20"/>
        </w:rPr>
        <w:t>%.</w:t>
      </w:r>
      <w:r w:rsidRPr="006704E4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V oddíle ostatní zboží a </w:t>
      </w:r>
      <w:r w:rsidRPr="00D73799">
        <w:rPr>
          <w:rFonts w:eastAsia="Calibri" w:cs="Arial"/>
          <w:szCs w:val="20"/>
        </w:rPr>
        <w:t xml:space="preserve">služby byly </w:t>
      </w:r>
      <w:r>
        <w:rPr>
          <w:rFonts w:eastAsia="Calibri" w:cs="Arial"/>
          <w:szCs w:val="20"/>
        </w:rPr>
        <w:t>nižší ceny výrobků a </w:t>
      </w:r>
      <w:r w:rsidRPr="00D73799">
        <w:rPr>
          <w:rFonts w:eastAsia="Calibri" w:cs="Arial"/>
          <w:szCs w:val="20"/>
        </w:rPr>
        <w:t>s</w:t>
      </w:r>
      <w:r>
        <w:rPr>
          <w:rFonts w:eastAsia="Calibri" w:cs="Arial"/>
          <w:szCs w:val="20"/>
        </w:rPr>
        <w:t>lužeb spojených s osobní péčí o </w:t>
      </w:r>
      <w:r w:rsidRPr="00D73799">
        <w:rPr>
          <w:rFonts w:eastAsia="Calibri" w:cs="Arial"/>
          <w:szCs w:val="20"/>
        </w:rPr>
        <w:t>0,8 %, z toho klesly před</w:t>
      </w:r>
      <w:r>
        <w:rPr>
          <w:rFonts w:eastAsia="Calibri" w:cs="Arial"/>
          <w:szCs w:val="20"/>
        </w:rPr>
        <w:t>evším ceny kosmetického zboží o 1,</w:t>
      </w:r>
      <w:r w:rsidRPr="00783940">
        <w:rPr>
          <w:rFonts w:eastAsia="Calibri" w:cs="Arial"/>
          <w:szCs w:val="20"/>
        </w:rPr>
        <w:t>8 %. Ve skupině potraviny byly nižší zejména ceny cukru o 6,7 %, čerstvého másla o 3,6 %, rostlinných a ostatních tuků o 4,4 %.</w:t>
      </w:r>
    </w:p>
    <w:p w:rsidR="00284581" w:rsidRPr="00783940" w:rsidRDefault="00284581" w:rsidP="00284581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>Ceny zboží úhrnem zůstaly na úrovni měsíce listopadu a ceny služeb vzrostly o 0,1 %.</w:t>
      </w:r>
    </w:p>
    <w:p w:rsidR="00284581" w:rsidRPr="00783940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prosinci o 2,4 %, což je o 0,2 procentního bodu méně než v listopadu. Zmírnění meziročního cenového růstu v oddíle doprava bylo způsobeno zpomalením růstu cen pohonných hmot na 1,5 % z 3,7 % v listopadu v důsledku jejich meziměsíčního růstu v prosinci 2016. V oddíle stravování a ubytování zpomalil růst cen stravovacích služeb na 4,4 % (v listopadu 6,7 %). V oddíle </w:t>
      </w:r>
      <w:r w:rsidRPr="00783940">
        <w:rPr>
          <w:rFonts w:eastAsia="Calibri" w:cs="Arial"/>
          <w:szCs w:val="20"/>
        </w:rPr>
        <w:t xml:space="preserve">alkoholické nápoje, </w:t>
      </w:r>
      <w:r w:rsidRPr="00F83D0F">
        <w:rPr>
          <w:rFonts w:eastAsia="Calibri" w:cs="Arial"/>
          <w:szCs w:val="20"/>
        </w:rPr>
        <w:t>tabák ceny lihovin zrychlily růst na </w:t>
      </w:r>
      <w:proofErr w:type="gramStart"/>
      <w:r w:rsidRPr="00F83D0F">
        <w:rPr>
          <w:rFonts w:eastAsia="Calibri" w:cs="Arial"/>
          <w:szCs w:val="20"/>
        </w:rPr>
        <w:t>3,3 % z 1,6</w:t>
      </w:r>
      <w:proofErr w:type="gramEnd"/>
      <w:r w:rsidRPr="00F83D0F">
        <w:rPr>
          <w:rFonts w:eastAsia="Calibri" w:cs="Arial"/>
          <w:szCs w:val="20"/>
        </w:rPr>
        <w:t> % v listopadu.</w:t>
      </w:r>
    </w:p>
    <w:p w:rsidR="00284581" w:rsidRDefault="00284581" w:rsidP="00284581">
      <w:pPr>
        <w:jc w:val="both"/>
      </w:pPr>
      <w:r w:rsidRPr="00783940">
        <w:rPr>
          <w:rFonts w:cs="Arial"/>
          <w:szCs w:val="20"/>
        </w:rPr>
        <w:t xml:space="preserve">Největší vliv na meziroční zvyšování cenové hladiny měly v prosinci </w:t>
      </w:r>
      <w:r w:rsidRPr="00783940">
        <w:t>opět ceny v</w:t>
      </w:r>
      <w:r w:rsidRPr="00783940">
        <w:rPr>
          <w:i/>
        </w:rPr>
        <w:t> </w:t>
      </w:r>
      <w:r w:rsidRPr="00783940">
        <w:t>oddíle</w:t>
      </w:r>
      <w:r w:rsidRPr="00783940">
        <w:rPr>
          <w:i/>
        </w:rPr>
        <w:t xml:space="preserve"> </w:t>
      </w:r>
      <w:r w:rsidRPr="00783940">
        <w:t>potraviny a nealkoholické nápoje. Ceny mouky vzrostly o 13,5 %, vajec o 54,3 %, jogurtů o 21,4 %, čerstvého másla o 28,7 %, ovoce o 10,8 %. Další v pořadí vlivu byly ceny v oddíle bydlení, kde se zvýšily ceny čistého nájemného o 3,2 %, vodného o 1,2 %, stočného o 0,4 %, elektřiny o 0,3 %, tuhých paliv o 6,1</w:t>
      </w:r>
      <w:r w:rsidRPr="00783940">
        <w:rPr>
          <w:vertAlign w:val="superscript"/>
        </w:rPr>
        <w:t> </w:t>
      </w:r>
      <w:r w:rsidRPr="00783940">
        <w:t>%. Vliv na zvýšení cenové hladiny měly též ceny v oddílech alkoholické nápoje, tabák (nárůst o 2,0 %), doprava (nárůst o 2,1 %) a ceny v oddíle stravování a ubytování (nárůst o 4,1 %).</w:t>
      </w:r>
    </w:p>
    <w:p w:rsidR="00284581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v prosinci 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obuv, kde byly nižší ceny oděvů o 2,3 %, a ceny </w:t>
      </w:r>
      <w:r w:rsidRPr="00432CD2">
        <w:rPr>
          <w:rFonts w:eastAsia="Calibri"/>
          <w:szCs w:val="22"/>
        </w:rPr>
        <w:t>v oddíle pošty a telekomunikace</w:t>
      </w:r>
      <w:r>
        <w:rPr>
          <w:rFonts w:eastAsia="Calibri"/>
          <w:szCs w:val="22"/>
        </w:rPr>
        <w:t xml:space="preserve"> (pokles o 1,3 %)</w:t>
      </w:r>
      <w:r w:rsidRPr="00181976">
        <w:rPr>
          <w:rFonts w:eastAsia="Calibri"/>
          <w:szCs w:val="22"/>
        </w:rPr>
        <w:t xml:space="preserve">.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tepla a teplé vody o 2,2 % a </w:t>
      </w:r>
      <w:r>
        <w:rPr>
          <w:rFonts w:eastAsia="Calibri"/>
          <w:szCs w:val="22"/>
        </w:rPr>
        <w:t>ceny zemního plynu </w:t>
      </w:r>
      <w:r w:rsidRPr="00181976">
        <w:rPr>
          <w:rFonts w:eastAsia="Calibri"/>
          <w:szCs w:val="22"/>
        </w:rPr>
        <w:t>o 0,8 %.</w:t>
      </w:r>
    </w:p>
    <w:p w:rsidR="00284581" w:rsidRPr="00576E20" w:rsidRDefault="00284581" w:rsidP="0028458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102,2</w:t>
      </w:r>
      <w:r w:rsidRPr="00916640">
        <w:rPr>
          <w:rFonts w:cs="Arial"/>
          <w:szCs w:val="20"/>
        </w:rPr>
        <w:t> %.</w:t>
      </w:r>
    </w:p>
    <w:p w:rsidR="00284581" w:rsidRDefault="00284581" w:rsidP="00284581">
      <w:pPr>
        <w:pStyle w:val="Zkladntext"/>
        <w:spacing w:after="240"/>
        <w:contextualSpacing/>
        <w:jc w:val="both"/>
        <w:rPr>
          <w:rFonts w:cs="Arial"/>
          <w:bCs/>
          <w:szCs w:val="20"/>
        </w:rPr>
      </w:pPr>
      <w:r w:rsidRPr="00B30DF1">
        <w:rPr>
          <w:rFonts w:cs="Arial"/>
          <w:b/>
          <w:bCs/>
          <w:szCs w:val="20"/>
        </w:rPr>
        <w:t>Průměrná míra inflace</w:t>
      </w:r>
      <w:r w:rsidRPr="00B30DF1">
        <w:rPr>
          <w:rFonts w:cs="Arial"/>
          <w:szCs w:val="20"/>
        </w:rPr>
        <w:t xml:space="preserve"> vyjádřená přírůstkem indexu spotřebitelských cen</w:t>
      </w:r>
      <w:r>
        <w:rPr>
          <w:rFonts w:cs="Arial"/>
          <w:szCs w:val="20"/>
        </w:rPr>
        <w:t xml:space="preserve"> v roce 2017 proti průměru roku </w:t>
      </w:r>
      <w:r w:rsidRPr="00B30DF1">
        <w:rPr>
          <w:rFonts w:cs="Arial"/>
          <w:szCs w:val="20"/>
        </w:rPr>
        <w:t>2016 byla 2,5</w:t>
      </w:r>
      <w:r>
        <w:rPr>
          <w:rFonts w:cs="Arial"/>
          <w:bCs/>
          <w:szCs w:val="20"/>
        </w:rPr>
        <w:t> </w:t>
      </w:r>
      <w:r w:rsidRPr="00B30DF1">
        <w:rPr>
          <w:rFonts w:cs="Arial"/>
          <w:bCs/>
          <w:szCs w:val="20"/>
        </w:rPr>
        <w:t>%</w:t>
      </w:r>
      <w:r>
        <w:rPr>
          <w:rFonts w:cs="Arial"/>
          <w:bCs/>
          <w:szCs w:val="20"/>
        </w:rPr>
        <w:t xml:space="preserve">, z toho </w:t>
      </w:r>
      <w:r w:rsidRPr="00483184">
        <w:rPr>
          <w:rFonts w:cs="Arial"/>
          <w:bCs/>
          <w:szCs w:val="20"/>
        </w:rPr>
        <w:t>ceny služeb vzrostly o 2,9 % a ceny zboží o 2,2 %.</w:t>
      </w:r>
    </w:p>
    <w:p w:rsidR="00284581" w:rsidRPr="00186648" w:rsidRDefault="00284581" w:rsidP="00284581">
      <w:pPr>
        <w:pStyle w:val="Zkladntext"/>
        <w:spacing w:after="240"/>
        <w:jc w:val="both"/>
        <w:rPr>
          <w:rFonts w:cs="Arial"/>
          <w:bCs/>
          <w:i/>
          <w:szCs w:val="20"/>
        </w:rPr>
      </w:pPr>
      <w:r w:rsidRPr="00483184">
        <w:rPr>
          <w:rFonts w:cs="Arial"/>
          <w:bCs/>
          <w:szCs w:val="20"/>
        </w:rPr>
        <w:t>(Shrnutí vývoje indexu spotřebitelských cen v roce 2017 je součástí souběžně vydávané analýzy za 4. čtvrtletí.)</w:t>
      </w:r>
    </w:p>
    <w:p w:rsidR="0097104F" w:rsidRDefault="00284581" w:rsidP="00284581">
      <w:pPr>
        <w:tabs>
          <w:tab w:val="left" w:pos="4900"/>
        </w:tabs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listopadu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1,8 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7017F">
        <w:rPr>
          <w:rFonts w:cs="Arial"/>
          <w:szCs w:val="20"/>
        </w:rPr>
        <w:t>v</w:t>
      </w:r>
      <w:r>
        <w:rPr>
          <w:rFonts w:cs="Arial"/>
          <w:szCs w:val="20"/>
        </w:rPr>
        <w:t> říjnu.</w:t>
      </w:r>
      <w:r w:rsidRPr="006F3483">
        <w:rPr>
          <w:rFonts w:cs="Arial"/>
          <w:bCs/>
          <w:szCs w:val="22"/>
        </w:rPr>
        <w:t xml:space="preserve"> Nejvíce vzrostly ceny v </w:t>
      </w:r>
      <w:r>
        <w:rPr>
          <w:rFonts w:cs="Arial"/>
          <w:bCs/>
          <w:szCs w:val="22"/>
        </w:rPr>
        <w:t>Estonsku</w:t>
      </w:r>
      <w:r w:rsidRPr="006F3483">
        <w:rPr>
          <w:rFonts w:cs="Arial"/>
          <w:bCs/>
          <w:szCs w:val="22"/>
        </w:rPr>
        <w:t xml:space="preserve"> (o </w:t>
      </w:r>
      <w:r>
        <w:rPr>
          <w:rFonts w:cs="Arial"/>
          <w:bCs/>
          <w:szCs w:val="22"/>
        </w:rPr>
        <w:t>4,5</w:t>
      </w:r>
      <w:r w:rsidRPr="006F3483">
        <w:rPr>
          <w:rFonts w:cs="Arial"/>
          <w:bCs/>
          <w:szCs w:val="22"/>
        </w:rPr>
        <w:t> %)</w:t>
      </w:r>
      <w:r>
        <w:rPr>
          <w:rFonts w:cs="Arial"/>
          <w:bCs/>
          <w:szCs w:val="22"/>
        </w:rPr>
        <w:t xml:space="preserve"> a v Litvě (o 4,2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na Kypru (o 0,2 %)</w:t>
      </w:r>
      <w:r w:rsidRPr="0077017F"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listopadu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proofErr w:type="gramStart"/>
      <w:r>
        <w:rPr>
          <w:rFonts w:cs="Arial"/>
          <w:bCs/>
          <w:szCs w:val="22"/>
        </w:rPr>
        <w:t>2,1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1,8</w:t>
      </w:r>
      <w:proofErr w:type="gramEnd"/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říjnu.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říjnu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1,5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byla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prosinci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>meziměsíční změna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4875C1">
        <w:rPr>
          <w:rFonts w:cs="Arial"/>
          <w:szCs w:val="20"/>
        </w:rPr>
        <w:t>ČR</w:t>
      </w:r>
      <w:r>
        <w:rPr>
          <w:rFonts w:cs="Arial"/>
          <w:szCs w:val="20"/>
        </w:rPr>
        <w:t xml:space="preserve"> 0,0</w:t>
      </w:r>
      <w:r w:rsidRPr="004875C1">
        <w:rPr>
          <w:rFonts w:cs="Arial"/>
          <w:szCs w:val="20"/>
        </w:rPr>
        <w:t xml:space="preserve"> % </w:t>
      </w:r>
      <w:r w:rsidRPr="008752BE">
        <w:rPr>
          <w:rFonts w:cs="Arial"/>
          <w:szCs w:val="20"/>
        </w:rPr>
        <w:t>a </w:t>
      </w:r>
      <w:r w:rsidRPr="008752BE">
        <w:rPr>
          <w:rFonts w:cs="Arial"/>
          <w:b/>
          <w:szCs w:val="20"/>
        </w:rPr>
        <w:t xml:space="preserve">meziroční </w:t>
      </w:r>
      <w:r w:rsidRPr="008752BE">
        <w:rPr>
          <w:rFonts w:cs="Arial"/>
          <w:szCs w:val="20"/>
        </w:rPr>
        <w:t>2,</w:t>
      </w:r>
      <w:r>
        <w:rPr>
          <w:rFonts w:cs="Arial"/>
          <w:szCs w:val="20"/>
        </w:rPr>
        <w:t>2</w:t>
      </w:r>
      <w:r w:rsidRPr="008752B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Bleskový odhad meziroční změny HICP </w:t>
      </w:r>
      <w:r w:rsidRPr="0092195E">
        <w:rPr>
          <w:rFonts w:cs="Arial"/>
          <w:b/>
          <w:szCs w:val="20"/>
        </w:rPr>
        <w:t>pro</w:t>
      </w:r>
      <w:r>
        <w:rPr>
          <w:rFonts w:cs="Arial"/>
          <w:b/>
          <w:bCs/>
          <w:szCs w:val="20"/>
        </w:rPr>
        <w:t> </w:t>
      </w:r>
      <w:proofErr w:type="spellStart"/>
      <w:r w:rsidRPr="004A212A">
        <w:rPr>
          <w:rFonts w:cs="Arial"/>
          <w:b/>
          <w:bCs/>
          <w:szCs w:val="20"/>
        </w:rPr>
        <w:t>eurozónu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prosinec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7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4960D8">
        <w:rPr>
          <w:rFonts w:cs="Arial"/>
          <w:szCs w:val="20"/>
        </w:rPr>
        <w:t>1,4 %,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D20C94" w:rsidRDefault="00D20C94" w:rsidP="003A4FE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Default="00D20C94" w:rsidP="003A4FE4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D20C94" w:rsidRPr="008C03DA" w:rsidRDefault="00D20C94" w:rsidP="003A4FE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>Od ledna 2018 budou indexy s</w:t>
      </w:r>
      <w:r>
        <w:rPr>
          <w:rFonts w:cs="Arial"/>
          <w:iCs/>
          <w:szCs w:val="20"/>
        </w:rPr>
        <w:t>potřebitelských cen počítány na </w:t>
      </w:r>
      <w:r w:rsidRPr="008C03DA">
        <w:rPr>
          <w:rFonts w:cs="Arial"/>
          <w:iCs/>
          <w:szCs w:val="20"/>
        </w:rPr>
        <w:t>základě nově zavedené klasifikace ECOICOP (evropská klasifikace individuální spotřeb</w:t>
      </w:r>
      <w:r>
        <w:rPr>
          <w:rFonts w:cs="Arial"/>
          <w:iCs/>
          <w:szCs w:val="20"/>
        </w:rPr>
        <w:t>y podle účelu), která zavádí do </w:t>
      </w:r>
      <w:r w:rsidRPr="008C03DA">
        <w:rPr>
          <w:rFonts w:cs="Arial"/>
          <w:iCs/>
          <w:szCs w:val="20"/>
        </w:rPr>
        <w:t xml:space="preserve">spotřebního koše detailnější členění. K této změně dochází dle nařízení </w:t>
      </w:r>
      <w:r>
        <w:rPr>
          <w:rFonts w:cs="Arial"/>
          <w:iCs/>
          <w:szCs w:val="20"/>
        </w:rPr>
        <w:t>E</w:t>
      </w:r>
      <w:r w:rsidRPr="008C03DA">
        <w:rPr>
          <w:rFonts w:cs="Arial"/>
          <w:iCs/>
          <w:szCs w:val="20"/>
        </w:rPr>
        <w:t>vropského parlamentu a </w:t>
      </w:r>
      <w:r>
        <w:rPr>
          <w:rFonts w:cs="Arial"/>
          <w:iCs/>
          <w:szCs w:val="20"/>
        </w:rPr>
        <w:t>R</w:t>
      </w:r>
      <w:r w:rsidRPr="008C03DA">
        <w:rPr>
          <w:rFonts w:cs="Arial"/>
          <w:iCs/>
          <w:szCs w:val="20"/>
        </w:rPr>
        <w:t>ady EU 2016/792. Struktura publikovaných indexů zůstane zachována.</w:t>
      </w:r>
    </w:p>
    <w:p w:rsidR="00D20C94" w:rsidRPr="00D20C94" w:rsidRDefault="00D20C94" w:rsidP="003A4FE4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8C03DA">
        <w:rPr>
          <w:rFonts w:cs="Arial"/>
          <w:iCs/>
          <w:szCs w:val="20"/>
        </w:rPr>
        <w:t xml:space="preserve">Od ledna 2018 budou zároveň indexy spotřebitelských cen počítány na aktualizovaných vahách, které budou vycházet z výdajů domácností v roce 2016. Nově vypočítávané indexy budou na všech úrovních spotřebního koše </w:t>
      </w:r>
      <w:r>
        <w:rPr>
          <w:rFonts w:cs="Arial"/>
          <w:iCs/>
          <w:szCs w:val="20"/>
        </w:rPr>
        <w:t>řetězeny k časové řadě indexů o </w:t>
      </w:r>
      <w:r w:rsidRPr="008C03DA">
        <w:rPr>
          <w:rFonts w:cs="Arial"/>
          <w:iCs/>
          <w:szCs w:val="20"/>
        </w:rPr>
        <w:t>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D20C94" w:rsidRPr="00D20C94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BD" w:rsidRDefault="006F6DBD" w:rsidP="00E71A58">
      <w:r>
        <w:separator/>
      </w:r>
    </w:p>
  </w:endnote>
  <w:endnote w:type="continuationSeparator" w:id="0">
    <w:p w:rsidR="006F6DBD" w:rsidRDefault="006F6DB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26303C">
      <w:rPr>
        <w:szCs w:val="16"/>
      </w:rPr>
      <w:t>prosinec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26303C">
      <w:rPr>
        <w:rStyle w:val="ZpatChar"/>
        <w:i/>
        <w:szCs w:val="16"/>
      </w:rPr>
      <w:t>Dec</w:t>
    </w:r>
    <w:r w:rsidR="003A4FE4">
      <w:rPr>
        <w:rStyle w:val="ZpatChar"/>
        <w:i/>
        <w:szCs w:val="16"/>
      </w:rPr>
      <w:t>emb</w:t>
    </w:r>
    <w:r w:rsidR="001C34DB">
      <w:rPr>
        <w:rStyle w:val="ZpatChar"/>
        <w:i/>
        <w:szCs w:val="16"/>
      </w:rPr>
      <w:t>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BD" w:rsidRDefault="006F6DBD" w:rsidP="00E71A58">
      <w:r>
        <w:separator/>
      </w:r>
    </w:p>
  </w:footnote>
  <w:footnote w:type="continuationSeparator" w:id="0">
    <w:p w:rsidR="006F6DBD" w:rsidRDefault="006F6DBD" w:rsidP="00E71A58">
      <w:r>
        <w:continuationSeparator/>
      </w:r>
    </w:p>
  </w:footnote>
  <w:footnote w:id="1">
    <w:p w:rsidR="00284581" w:rsidRDefault="00284581" w:rsidP="0028458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7973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5A3D-7AEB-484D-9D6B-52BE064C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50</TotalTime>
  <Pages>2</Pages>
  <Words>728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35</cp:revision>
  <cp:lastPrinted>2017-01-18T13:33:00Z</cp:lastPrinted>
  <dcterms:created xsi:type="dcterms:W3CDTF">2017-02-09T16:27:00Z</dcterms:created>
  <dcterms:modified xsi:type="dcterms:W3CDTF">2018-01-09T11:59:00Z</dcterms:modified>
</cp:coreProperties>
</file>