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0276C" w14:textId="3A58338F" w:rsidR="00AD7F5A" w:rsidRPr="0090524C" w:rsidRDefault="00852217" w:rsidP="00AD7F5A">
      <w:pPr>
        <w:pStyle w:val="Nadpis1"/>
        <w:numPr>
          <w:ilvl w:val="0"/>
          <w:numId w:val="14"/>
        </w:numPr>
        <w:spacing w:before="240" w:after="0" w:line="360" w:lineRule="auto"/>
        <w:contextualSpacing w:val="0"/>
        <w:jc w:val="both"/>
      </w:pPr>
      <w:bookmarkStart w:id="0" w:name="_Toc150510497"/>
      <w:bookmarkStart w:id="1" w:name="_Toc152689302"/>
      <w:bookmarkStart w:id="2" w:name="_Toc208841856"/>
      <w:r>
        <w:t>Methodological part</w:t>
      </w:r>
      <w:bookmarkEnd w:id="0"/>
      <w:bookmarkEnd w:id="1"/>
      <w:bookmarkEnd w:id="2"/>
    </w:p>
    <w:p w14:paraId="18AA2AB0" w14:textId="354FBC52" w:rsidR="009E4E16" w:rsidRPr="0090524C" w:rsidRDefault="009E4E16" w:rsidP="00B53CEE">
      <w:pPr>
        <w:jc w:val="both"/>
        <w:rPr>
          <w:szCs w:val="22"/>
        </w:rPr>
      </w:pPr>
      <w:r>
        <w:t xml:space="preserve">The </w:t>
      </w:r>
      <w:r>
        <w:rPr>
          <w:i/>
          <w:iCs/>
        </w:rPr>
        <w:t>Financial Situation of Households (</w:t>
      </w:r>
      <w:r w:rsidR="002D43FD">
        <w:rPr>
          <w:i/>
          <w:iCs/>
        </w:rPr>
        <w:t>FSD</w:t>
      </w:r>
      <w:r>
        <w:rPr>
          <w:i/>
          <w:iCs/>
        </w:rPr>
        <w:t>)</w:t>
      </w:r>
      <w:r>
        <w:t xml:space="preserve"> survey has been conducted by the Czech Statistical Office (CZSO) in cooperation with the Czech National Bank (CNB) since 2020. The survey is coordinated by the European Central Bank as the Household Finance and Consumption Survey (HFCS) and is carried out every three years in the euro area countries and several other countries (ECB 2023a, ECB 2023b). The </w:t>
      </w:r>
      <w:r w:rsidR="002D43FD">
        <w:t>FSD</w:t>
      </w:r>
      <w:r>
        <w:t xml:space="preserve"> survey provides unique data that cannot be obtained by other means than direct interviews in households. The Czech version of the survey is conducted annually, and the data obtained are used both at the national level (by institutions such as the CNB and the CZSO) and at the international level.</w:t>
      </w:r>
    </w:p>
    <w:p w14:paraId="53346200" w14:textId="51796728" w:rsidR="009E4E16" w:rsidRPr="0090524C" w:rsidRDefault="009E4E16" w:rsidP="00B53CEE">
      <w:pPr>
        <w:jc w:val="both"/>
        <w:rPr>
          <w:szCs w:val="22"/>
        </w:rPr>
      </w:pPr>
      <w:r>
        <w:t xml:space="preserve">The aim of the </w:t>
      </w:r>
      <w:r w:rsidR="002D43FD">
        <w:t>FSD</w:t>
      </w:r>
      <w:r>
        <w:t xml:space="preserve"> survey is to map the situation of Czech households in terms of their financial and asset positions. The resulting data are used, among other applications, to construct a net wealth indicator, which requires an estimate of the value of households</w:t>
      </w:r>
      <w:r w:rsidR="0039774A">
        <w:t>’</w:t>
      </w:r>
      <w:r>
        <w:t xml:space="preserve"> assets and liabilities in addition to their income. The results are intended to provide a basis for assessing the behaviour of households in terms of the financial market instruments they use, their overall level of indebtedness and the extent to which their assets are burdened by loans and credits. A further advantage is that the resulting data from this survey are internationally comparable in terms of methodology and it is therefore possible to compare the resulting indicators across the euro area.</w:t>
      </w:r>
    </w:p>
    <w:p w14:paraId="1BA07F75" w14:textId="25D1C328" w:rsidR="009E4E16" w:rsidRPr="0090524C" w:rsidRDefault="009E4E16" w:rsidP="00B53CEE">
      <w:pPr>
        <w:jc w:val="both"/>
        <w:rPr>
          <w:szCs w:val="22"/>
        </w:rPr>
      </w:pPr>
      <w:r>
        <w:t xml:space="preserve">Similar to the Household Budget Survey (HBS), the </w:t>
      </w:r>
      <w:r w:rsidR="002D43FD">
        <w:t>FSD</w:t>
      </w:r>
      <w:r>
        <w:t xml:space="preserve"> is conducted by integrating it into the Living Conditions Survey, which is the national version of the European Union – Statistics on Income and Living Conditions (SILC) survey, i.e. using a subset of households randomly selected for the SILC.</w:t>
      </w:r>
    </w:p>
    <w:p w14:paraId="4783425F" w14:textId="715E7120" w:rsidR="009E4E16" w:rsidRPr="0090524C" w:rsidRDefault="009E4E16" w:rsidP="009E4E16"/>
    <w:p w14:paraId="5075D136" w14:textId="1B365423" w:rsidR="009E4E16" w:rsidRPr="0090524C" w:rsidRDefault="009E4E16" w:rsidP="009E4E16">
      <w:pPr>
        <w:pStyle w:val="Nadpis2"/>
        <w:numPr>
          <w:ilvl w:val="1"/>
          <w:numId w:val="14"/>
        </w:numPr>
        <w:spacing w:before="360" w:after="120" w:line="360" w:lineRule="auto"/>
        <w:ind w:left="578" w:hanging="578"/>
        <w:jc w:val="both"/>
      </w:pPr>
      <w:bookmarkStart w:id="3" w:name="_Toc150510498"/>
      <w:bookmarkStart w:id="4" w:name="_Toc208841857"/>
      <w:bookmarkStart w:id="5" w:name="_Toc444112496"/>
      <w:r>
        <w:t>Selection of households</w:t>
      </w:r>
      <w:bookmarkEnd w:id="3"/>
      <w:bookmarkEnd w:id="4"/>
    </w:p>
    <w:p w14:paraId="723C3602" w14:textId="2AC454AE" w:rsidR="009E4E16" w:rsidRPr="0090524C" w:rsidRDefault="009E4E16" w:rsidP="005E32EC">
      <w:pPr>
        <w:jc w:val="both"/>
        <w:rPr>
          <w:szCs w:val="22"/>
        </w:rPr>
      </w:pPr>
      <w:r>
        <w:t xml:space="preserve">The selection of households for the </w:t>
      </w:r>
      <w:r w:rsidR="002D43FD">
        <w:t>FSD</w:t>
      </w:r>
      <w:r>
        <w:t xml:space="preserve"> is based on the four-year panel of the SILC survey, where the unit of observation is a dwelling. At the first visit (Wave 1), households and their members who have habitual residence in the selected dwelling were interviewed. At subsequent visits, only households with ‘panel persons’, i.e. persons who participated in Wave 1, were interviewed.</w:t>
      </w:r>
    </w:p>
    <w:p w14:paraId="1473A2FA" w14:textId="29D1A110" w:rsidR="009E4E16" w:rsidRPr="0090524C" w:rsidRDefault="009E4E16" w:rsidP="005E32EC">
      <w:pPr>
        <w:jc w:val="both"/>
        <w:rPr>
          <w:szCs w:val="22"/>
        </w:rPr>
      </w:pPr>
      <w:r>
        <w:t xml:space="preserve">Households from all regions of the Czech Republic are contacted for the </w:t>
      </w:r>
      <w:r w:rsidR="002D43FD">
        <w:t>FSD</w:t>
      </w:r>
      <w:r>
        <w:t xml:space="preserve"> throughout the year. The survey unit is a household that was successfully surveyed in Wave 4 of the SILC.</w:t>
      </w:r>
    </w:p>
    <w:p w14:paraId="0AF0E1F1" w14:textId="148A3082" w:rsidR="009E4E16" w:rsidRPr="0090524C" w:rsidRDefault="009E4E16" w:rsidP="009E4E16">
      <w:pPr>
        <w:ind w:firstLine="576"/>
        <w:jc w:val="both"/>
        <w:rPr>
          <w:sz w:val="22"/>
          <w:szCs w:val="22"/>
        </w:rPr>
      </w:pPr>
      <w:r>
        <w:rPr>
          <w:sz w:val="22"/>
        </w:rPr>
        <w:t xml:space="preserve"> </w:t>
      </w:r>
    </w:p>
    <w:p w14:paraId="20FA228F" w14:textId="77777777" w:rsidR="009E4E16" w:rsidRPr="0090524C" w:rsidRDefault="009E4E16" w:rsidP="009E4E16">
      <w:pPr>
        <w:pStyle w:val="Nadpis2"/>
        <w:numPr>
          <w:ilvl w:val="1"/>
          <w:numId w:val="14"/>
        </w:numPr>
        <w:spacing w:before="360" w:after="120" w:line="360" w:lineRule="auto"/>
        <w:ind w:left="578" w:hanging="578"/>
        <w:jc w:val="both"/>
      </w:pPr>
      <w:bookmarkStart w:id="6" w:name="_Toc150510499"/>
      <w:bookmarkStart w:id="7" w:name="_Toc208841858"/>
      <w:r>
        <w:t>Household data collection, data procurement</w:t>
      </w:r>
      <w:bookmarkEnd w:id="6"/>
      <w:bookmarkEnd w:id="7"/>
    </w:p>
    <w:p w14:paraId="7896791F" w14:textId="088367C8" w:rsidR="009E4E16" w:rsidRPr="0090524C" w:rsidRDefault="009E4E16" w:rsidP="005E32EC">
      <w:pPr>
        <w:jc w:val="both"/>
        <w:rPr>
          <w:szCs w:val="22"/>
        </w:rPr>
      </w:pPr>
      <w:r>
        <w:t xml:space="preserve">Data collection was conducted through face-to-face interviews with respondents, using either an electronic questionnaire in a laptop computer, known as CAPI (Computer Assisted Personal Interviewing), or a paper questionnaire, referred to as PAPI (Pen and Paper Interviewing), subsequently transcribed into an electronic version. At regional level, fieldworkers were responsible for data collection and verification. At the CZSO head office, questionnaire data were consolidated and subjected to a final </w:t>
      </w:r>
      <w:r w:rsidR="0039774A">
        <w:t>‘</w:t>
      </w:r>
      <w:r>
        <w:t>superche</w:t>
      </w:r>
      <w:r w:rsidR="0039774A">
        <w:t>ck’</w:t>
      </w:r>
      <w:r>
        <w:t>, which included editing, the imputation of missing values, and final centralised processing.</w:t>
      </w:r>
    </w:p>
    <w:p w14:paraId="3FB1A16F" w14:textId="0B101CF4" w:rsidR="009E4E16" w:rsidRPr="0090524C" w:rsidRDefault="009E4E16" w:rsidP="005E32EC">
      <w:pPr>
        <w:jc w:val="both"/>
        <w:rPr>
          <w:szCs w:val="22"/>
        </w:rPr>
      </w:pPr>
      <w:r>
        <w:t xml:space="preserve">The interview for the </w:t>
      </w:r>
      <w:r w:rsidR="002D43FD">
        <w:t>FSD</w:t>
      </w:r>
      <w:r>
        <w:t xml:space="preserve"> survey was usually conducted during the same visit as for the SILC or HBS surveys, less often during a separate visit. </w:t>
      </w:r>
    </w:p>
    <w:p w14:paraId="6A01B7B7" w14:textId="77777777" w:rsidR="005E32EC" w:rsidRPr="0090524C" w:rsidRDefault="005E32EC">
      <w:pPr>
        <w:spacing w:after="0" w:line="240" w:lineRule="auto"/>
        <w:rPr>
          <w:sz w:val="22"/>
          <w:szCs w:val="22"/>
        </w:rPr>
      </w:pPr>
      <w:r>
        <w:br w:type="page"/>
      </w:r>
    </w:p>
    <w:p w14:paraId="0E4693F1" w14:textId="0D417467" w:rsidR="009E4E16" w:rsidRPr="0090524C" w:rsidRDefault="009E4E16" w:rsidP="005E32EC">
      <w:pPr>
        <w:jc w:val="both"/>
        <w:rPr>
          <w:sz w:val="18"/>
        </w:rPr>
      </w:pPr>
      <w:r>
        <w:lastRenderedPageBreak/>
        <w:t xml:space="preserve">The </w:t>
      </w:r>
      <w:r w:rsidR="002D43FD">
        <w:t>FSD</w:t>
      </w:r>
      <w:r>
        <w:t xml:space="preserve"> questionnaire included questions on mortgages and property loans, as well as other types of loans and credit that the household may be repaying (consumer credit, hire purchase, financial leasing, credit card debt, etc.).  The survey also covered the ownership and estimated value of assets such as real estate, cars and other vehicles, valuables and, where applicable, the value of a business or interest in a business. The questionnaire also focused on the use and value of financial products (bank accounts, building society accounts, supplementary pension insurance, mutual funds, securities, etc.).</w:t>
      </w:r>
    </w:p>
    <w:p w14:paraId="236D6AFE" w14:textId="20198A3F" w:rsidR="009E4E16" w:rsidRPr="0090524C" w:rsidRDefault="009E4E16" w:rsidP="009E4E16">
      <w:pPr>
        <w:pStyle w:val="Nadpis2"/>
        <w:numPr>
          <w:ilvl w:val="1"/>
          <w:numId w:val="14"/>
        </w:numPr>
        <w:spacing w:before="360" w:after="120" w:line="360" w:lineRule="auto"/>
        <w:ind w:left="578" w:hanging="578"/>
        <w:jc w:val="both"/>
      </w:pPr>
      <w:bookmarkStart w:id="8" w:name="_Toc150510500"/>
      <w:bookmarkStart w:id="9" w:name="_Toc208841859"/>
      <w:r>
        <w:t xml:space="preserve">Number of households in the </w:t>
      </w:r>
      <w:bookmarkEnd w:id="8"/>
      <w:r w:rsidR="002D43FD">
        <w:t>FSD</w:t>
      </w:r>
      <w:bookmarkEnd w:id="9"/>
    </w:p>
    <w:p w14:paraId="59BC5390" w14:textId="6E3F720C" w:rsidR="009E4E16" w:rsidRDefault="009E4E16" w:rsidP="009E4E16">
      <w:pPr>
        <w:jc w:val="both"/>
        <w:rPr>
          <w:szCs w:val="22"/>
        </w:rPr>
      </w:pPr>
      <w:r>
        <w:t>The published results for 2021 are based on a total of 3,122 households monitored in 2020 and 2021, the results for 2022 are based on a total of 3,155 households monitored in 2021 and 2022, and the results for 2023 are based on a total of 3,246 households monitored in 2022 and 2023. The reason for this is to obtain a representative sample of households for the subsequent breakdown of the results. The specific numbers are shown in </w:t>
      </w:r>
      <w:r w:rsidR="008E6419" w:rsidRPr="008E6419">
        <w:fldChar w:fldCharType="begin"/>
      </w:r>
      <w:r w:rsidR="008E6419" w:rsidRPr="008E6419">
        <w:instrText xml:space="preserve"> REF _Ref191456472 \h  \* MERGEFORMAT </w:instrText>
      </w:r>
      <w:r w:rsidR="008E6419" w:rsidRPr="008E6419">
        <w:fldChar w:fldCharType="separate"/>
      </w:r>
      <w:r w:rsidR="006F653B" w:rsidRPr="006F653B">
        <w:rPr>
          <w:rFonts w:cs="Arial"/>
          <w:color w:val="000000"/>
        </w:rPr>
        <w:t>Table 1</w:t>
      </w:r>
      <w:r w:rsidR="008E6419" w:rsidRPr="008E6419">
        <w:fldChar w:fldCharType="end"/>
      </w:r>
      <w:r>
        <w:t>.</w:t>
      </w:r>
    </w:p>
    <w:tbl>
      <w:tblPr>
        <w:tblW w:w="8960" w:type="dxa"/>
        <w:tblLayout w:type="fixed"/>
        <w:tblCellMar>
          <w:left w:w="70" w:type="dxa"/>
          <w:right w:w="70" w:type="dxa"/>
        </w:tblCellMar>
        <w:tblLook w:val="04A0" w:firstRow="1" w:lastRow="0" w:firstColumn="1" w:lastColumn="0" w:noHBand="0" w:noVBand="1"/>
      </w:tblPr>
      <w:tblGrid>
        <w:gridCol w:w="4817"/>
        <w:gridCol w:w="1034"/>
        <w:gridCol w:w="345"/>
        <w:gridCol w:w="690"/>
        <w:gridCol w:w="690"/>
        <w:gridCol w:w="200"/>
        <w:gridCol w:w="150"/>
        <w:gridCol w:w="1034"/>
      </w:tblGrid>
      <w:tr w:rsidR="008E6419" w:rsidRPr="0090524C" w14:paraId="159F6012" w14:textId="77777777" w:rsidTr="008E6419">
        <w:trPr>
          <w:trHeight w:val="285"/>
        </w:trPr>
        <w:tc>
          <w:tcPr>
            <w:tcW w:w="8960" w:type="dxa"/>
            <w:gridSpan w:val="8"/>
            <w:tcBorders>
              <w:top w:val="nil"/>
              <w:left w:val="nil"/>
              <w:bottom w:val="nil"/>
              <w:right w:val="nil"/>
            </w:tcBorders>
            <w:shd w:val="clear" w:color="auto" w:fill="auto"/>
            <w:noWrap/>
            <w:vAlign w:val="bottom"/>
            <w:hideMark/>
          </w:tcPr>
          <w:p w14:paraId="1B4DE037" w14:textId="414C1370" w:rsidR="008E6419" w:rsidRPr="008E6419" w:rsidRDefault="008E6419" w:rsidP="00B474DA">
            <w:pPr>
              <w:pStyle w:val="Titulek"/>
            </w:pPr>
            <w:bookmarkStart w:id="10" w:name="_Ref191456472"/>
            <w:bookmarkStart w:id="11" w:name="_Toc208841869"/>
            <w:r>
              <w:t xml:space="preserve">Table </w:t>
            </w:r>
            <w:fldSimple w:instr=" SEQ Tab. \* ARABIC ">
              <w:r w:rsidR="00FC7CC8">
                <w:t>1</w:t>
              </w:r>
            </w:fldSimple>
            <w:bookmarkEnd w:id="10"/>
            <w:r>
              <w:t xml:space="preserve"> Number of households surveyed in </w:t>
            </w:r>
            <w:r w:rsidR="002D43FD">
              <w:t>FSD</w:t>
            </w:r>
            <w:r>
              <w:t xml:space="preserve"> 2020, 2021, 2022 and 2023</w:t>
            </w:r>
            <w:bookmarkEnd w:id="11"/>
          </w:p>
        </w:tc>
      </w:tr>
      <w:tr w:rsidR="008E6419" w:rsidRPr="0090524C" w14:paraId="5C7D526C" w14:textId="77777777" w:rsidTr="008E6419">
        <w:trPr>
          <w:trHeight w:val="300"/>
        </w:trPr>
        <w:tc>
          <w:tcPr>
            <w:tcW w:w="7776" w:type="dxa"/>
            <w:gridSpan w:val="6"/>
            <w:tcBorders>
              <w:top w:val="nil"/>
              <w:left w:val="nil"/>
              <w:bottom w:val="single" w:sz="8" w:space="0" w:color="auto"/>
              <w:right w:val="nil"/>
            </w:tcBorders>
            <w:shd w:val="clear" w:color="auto" w:fill="auto"/>
            <w:noWrap/>
            <w:vAlign w:val="bottom"/>
            <w:hideMark/>
          </w:tcPr>
          <w:p w14:paraId="1E354DF6" w14:textId="04D29DE9" w:rsidR="008E6419" w:rsidRPr="0090524C" w:rsidRDefault="008E6419" w:rsidP="008B47F9">
            <w:pPr>
              <w:spacing w:after="0" w:line="240" w:lineRule="auto"/>
              <w:rPr>
                <w:rFonts w:ascii="Times New Roman" w:hAnsi="Times New Roman"/>
                <w:szCs w:val="20"/>
              </w:rPr>
            </w:pPr>
            <w:r>
              <w:rPr>
                <w:color w:val="000000"/>
                <w:sz w:val="16"/>
              </w:rPr>
              <w:t>Source: Czech Statistical Office</w:t>
            </w:r>
          </w:p>
        </w:tc>
        <w:tc>
          <w:tcPr>
            <w:tcW w:w="1184" w:type="dxa"/>
            <w:gridSpan w:val="2"/>
            <w:tcBorders>
              <w:top w:val="nil"/>
              <w:left w:val="nil"/>
              <w:bottom w:val="single" w:sz="8" w:space="0" w:color="auto"/>
              <w:right w:val="nil"/>
            </w:tcBorders>
            <w:shd w:val="clear" w:color="auto" w:fill="auto"/>
            <w:noWrap/>
            <w:vAlign w:val="bottom"/>
          </w:tcPr>
          <w:p w14:paraId="7DFC8B6A" w14:textId="68B97656" w:rsidR="008E6419" w:rsidRPr="0090524C" w:rsidRDefault="008E6419" w:rsidP="002C3644">
            <w:pPr>
              <w:spacing w:after="0" w:line="240" w:lineRule="auto"/>
              <w:rPr>
                <w:rFonts w:cs="Arial"/>
                <w:sz w:val="16"/>
                <w:szCs w:val="16"/>
              </w:rPr>
            </w:pPr>
          </w:p>
        </w:tc>
      </w:tr>
      <w:tr w:rsidR="008E6419" w:rsidRPr="0090524C" w14:paraId="060898F5" w14:textId="77777777" w:rsidTr="008E6419">
        <w:trPr>
          <w:trHeight w:val="567"/>
        </w:trPr>
        <w:tc>
          <w:tcPr>
            <w:tcW w:w="4817" w:type="dxa"/>
            <w:tcBorders>
              <w:top w:val="single" w:sz="8" w:space="0" w:color="auto"/>
              <w:left w:val="nil"/>
              <w:bottom w:val="single" w:sz="8" w:space="0" w:color="auto"/>
              <w:right w:val="single" w:sz="4" w:space="0" w:color="auto"/>
            </w:tcBorders>
            <w:shd w:val="clear" w:color="000000" w:fill="F6E8EE"/>
            <w:vAlign w:val="center"/>
            <w:hideMark/>
          </w:tcPr>
          <w:p w14:paraId="4ECFEF3F" w14:textId="77777777" w:rsidR="008E6419" w:rsidRPr="0090524C" w:rsidRDefault="008E6419" w:rsidP="008E6419">
            <w:pPr>
              <w:spacing w:after="0" w:line="240" w:lineRule="auto"/>
              <w:jc w:val="center"/>
              <w:rPr>
                <w:rFonts w:cs="Arial"/>
                <w:sz w:val="16"/>
                <w:szCs w:val="16"/>
              </w:rPr>
            </w:pPr>
          </w:p>
        </w:tc>
        <w:tc>
          <w:tcPr>
            <w:tcW w:w="1034" w:type="dxa"/>
            <w:tcBorders>
              <w:top w:val="single" w:sz="8" w:space="0" w:color="auto"/>
              <w:left w:val="single" w:sz="4" w:space="0" w:color="auto"/>
              <w:bottom w:val="single" w:sz="8" w:space="0" w:color="auto"/>
              <w:right w:val="single" w:sz="4" w:space="0" w:color="auto"/>
            </w:tcBorders>
            <w:shd w:val="clear" w:color="000000" w:fill="F6E8EE"/>
            <w:vAlign w:val="center"/>
          </w:tcPr>
          <w:p w14:paraId="21E25A2A" w14:textId="529E1257" w:rsidR="008E6419" w:rsidRPr="0090524C" w:rsidRDefault="008E6419" w:rsidP="008E6419">
            <w:pPr>
              <w:spacing w:after="0" w:line="240" w:lineRule="auto"/>
              <w:jc w:val="center"/>
              <w:rPr>
                <w:rFonts w:cs="Arial"/>
                <w:sz w:val="16"/>
                <w:szCs w:val="16"/>
              </w:rPr>
            </w:pPr>
            <w:r>
              <w:rPr>
                <w:sz w:val="16"/>
              </w:rPr>
              <w:t>2020</w:t>
            </w:r>
          </w:p>
        </w:tc>
        <w:tc>
          <w:tcPr>
            <w:tcW w:w="1035" w:type="dxa"/>
            <w:gridSpan w:val="2"/>
            <w:tcBorders>
              <w:top w:val="single" w:sz="8" w:space="0" w:color="auto"/>
              <w:left w:val="single" w:sz="4" w:space="0" w:color="auto"/>
              <w:bottom w:val="single" w:sz="8" w:space="0" w:color="auto"/>
              <w:right w:val="single" w:sz="4" w:space="0" w:color="auto"/>
            </w:tcBorders>
            <w:shd w:val="clear" w:color="000000" w:fill="F6E8EE"/>
            <w:vAlign w:val="center"/>
          </w:tcPr>
          <w:p w14:paraId="1A1A20F3" w14:textId="153278D6" w:rsidR="008E6419" w:rsidRPr="0090524C" w:rsidRDefault="008E6419" w:rsidP="008E6419">
            <w:pPr>
              <w:spacing w:after="0" w:line="240" w:lineRule="auto"/>
              <w:jc w:val="center"/>
              <w:rPr>
                <w:rFonts w:cs="Arial"/>
                <w:sz w:val="16"/>
                <w:szCs w:val="16"/>
              </w:rPr>
            </w:pPr>
            <w:r>
              <w:rPr>
                <w:sz w:val="16"/>
              </w:rPr>
              <w:t>2021</w:t>
            </w:r>
          </w:p>
        </w:tc>
        <w:tc>
          <w:tcPr>
            <w:tcW w:w="1040" w:type="dxa"/>
            <w:gridSpan w:val="3"/>
            <w:tcBorders>
              <w:top w:val="single" w:sz="8" w:space="0" w:color="auto"/>
              <w:left w:val="single" w:sz="4" w:space="0" w:color="auto"/>
              <w:bottom w:val="single" w:sz="8" w:space="0" w:color="auto"/>
              <w:right w:val="single" w:sz="4" w:space="0" w:color="auto"/>
            </w:tcBorders>
            <w:shd w:val="clear" w:color="000000" w:fill="F6E8EE"/>
            <w:vAlign w:val="center"/>
          </w:tcPr>
          <w:p w14:paraId="776ED4AE" w14:textId="111684C4" w:rsidR="008E6419" w:rsidRPr="0090524C" w:rsidRDefault="008E6419" w:rsidP="008E6419">
            <w:pPr>
              <w:spacing w:after="0" w:line="240" w:lineRule="auto"/>
              <w:jc w:val="center"/>
              <w:rPr>
                <w:rFonts w:cs="Arial"/>
                <w:sz w:val="16"/>
                <w:szCs w:val="16"/>
              </w:rPr>
            </w:pPr>
            <w:r>
              <w:rPr>
                <w:sz w:val="16"/>
              </w:rPr>
              <w:t>2022</w:t>
            </w:r>
          </w:p>
        </w:tc>
        <w:tc>
          <w:tcPr>
            <w:tcW w:w="1034" w:type="dxa"/>
            <w:tcBorders>
              <w:top w:val="single" w:sz="8" w:space="0" w:color="auto"/>
              <w:left w:val="single" w:sz="4" w:space="0" w:color="auto"/>
              <w:bottom w:val="single" w:sz="8" w:space="0" w:color="auto"/>
              <w:right w:val="nil"/>
            </w:tcBorders>
            <w:shd w:val="clear" w:color="000000" w:fill="F6E8EE"/>
            <w:vAlign w:val="center"/>
          </w:tcPr>
          <w:p w14:paraId="71E1FF35" w14:textId="3F4866DB" w:rsidR="008E6419" w:rsidRPr="0090524C" w:rsidRDefault="008E6419" w:rsidP="008E6419">
            <w:pPr>
              <w:spacing w:after="0" w:line="240" w:lineRule="auto"/>
              <w:jc w:val="center"/>
              <w:rPr>
                <w:rFonts w:cs="Arial"/>
                <w:sz w:val="16"/>
                <w:szCs w:val="16"/>
              </w:rPr>
            </w:pPr>
            <w:r>
              <w:rPr>
                <w:sz w:val="16"/>
              </w:rPr>
              <w:t>2023</w:t>
            </w:r>
          </w:p>
        </w:tc>
      </w:tr>
      <w:tr w:rsidR="008E6419" w:rsidRPr="0090524C" w14:paraId="5B71D713" w14:textId="77777777" w:rsidTr="008E6419">
        <w:trPr>
          <w:trHeight w:val="285"/>
        </w:trPr>
        <w:tc>
          <w:tcPr>
            <w:tcW w:w="4817" w:type="dxa"/>
            <w:tcBorders>
              <w:top w:val="single" w:sz="8" w:space="0" w:color="auto"/>
              <w:left w:val="nil"/>
              <w:bottom w:val="nil"/>
              <w:right w:val="single" w:sz="4" w:space="0" w:color="auto"/>
            </w:tcBorders>
            <w:shd w:val="clear" w:color="auto" w:fill="auto"/>
            <w:noWrap/>
            <w:vAlign w:val="bottom"/>
            <w:hideMark/>
          </w:tcPr>
          <w:p w14:paraId="12E0967F" w14:textId="02D401F9" w:rsidR="008E6419" w:rsidRPr="0090524C" w:rsidRDefault="008E6419" w:rsidP="008E6419">
            <w:pPr>
              <w:spacing w:after="0" w:line="240" w:lineRule="auto"/>
              <w:rPr>
                <w:rFonts w:cs="Arial"/>
                <w:sz w:val="16"/>
                <w:szCs w:val="16"/>
              </w:rPr>
            </w:pPr>
            <w:r>
              <w:rPr>
                <w:sz w:val="16"/>
              </w:rPr>
              <w:t>Number of households surveyed</w:t>
            </w:r>
          </w:p>
        </w:tc>
        <w:tc>
          <w:tcPr>
            <w:tcW w:w="1034" w:type="dxa"/>
            <w:tcBorders>
              <w:top w:val="single" w:sz="8" w:space="0" w:color="auto"/>
              <w:left w:val="single" w:sz="4" w:space="0" w:color="auto"/>
              <w:bottom w:val="nil"/>
              <w:right w:val="single" w:sz="4" w:space="0" w:color="auto"/>
            </w:tcBorders>
            <w:shd w:val="clear" w:color="auto" w:fill="auto"/>
            <w:noWrap/>
            <w:vAlign w:val="bottom"/>
            <w:hideMark/>
          </w:tcPr>
          <w:p w14:paraId="492FAD44" w14:textId="7F386FDA" w:rsidR="008E6419" w:rsidRPr="0090524C" w:rsidRDefault="008E6419" w:rsidP="008E6419">
            <w:pPr>
              <w:spacing w:after="0" w:line="240" w:lineRule="auto"/>
              <w:jc w:val="right"/>
              <w:rPr>
                <w:rFonts w:cs="Arial"/>
                <w:sz w:val="16"/>
                <w:szCs w:val="16"/>
              </w:rPr>
            </w:pPr>
            <w:r>
              <w:rPr>
                <w:sz w:val="16"/>
              </w:rPr>
              <w:t>1,571</w:t>
            </w:r>
          </w:p>
        </w:tc>
        <w:tc>
          <w:tcPr>
            <w:tcW w:w="1035" w:type="dxa"/>
            <w:gridSpan w:val="2"/>
            <w:tcBorders>
              <w:top w:val="single" w:sz="8" w:space="0" w:color="auto"/>
              <w:left w:val="single" w:sz="4" w:space="0" w:color="auto"/>
              <w:bottom w:val="nil"/>
              <w:right w:val="single" w:sz="4" w:space="0" w:color="auto"/>
            </w:tcBorders>
            <w:shd w:val="clear" w:color="auto" w:fill="auto"/>
            <w:vAlign w:val="bottom"/>
          </w:tcPr>
          <w:p w14:paraId="4CFA2F0C" w14:textId="33280212" w:rsidR="008E6419" w:rsidRPr="0090524C" w:rsidRDefault="008E6419" w:rsidP="008E6419">
            <w:pPr>
              <w:spacing w:after="0" w:line="240" w:lineRule="auto"/>
              <w:jc w:val="right"/>
              <w:rPr>
                <w:rFonts w:cs="Arial"/>
                <w:sz w:val="16"/>
                <w:szCs w:val="16"/>
              </w:rPr>
            </w:pPr>
            <w:r>
              <w:rPr>
                <w:sz w:val="16"/>
              </w:rPr>
              <w:t>1,551</w:t>
            </w:r>
          </w:p>
        </w:tc>
        <w:tc>
          <w:tcPr>
            <w:tcW w:w="1040" w:type="dxa"/>
            <w:gridSpan w:val="3"/>
            <w:tcBorders>
              <w:top w:val="single" w:sz="8" w:space="0" w:color="auto"/>
              <w:left w:val="single" w:sz="4" w:space="0" w:color="auto"/>
              <w:bottom w:val="nil"/>
              <w:right w:val="single" w:sz="4" w:space="0" w:color="auto"/>
            </w:tcBorders>
            <w:shd w:val="clear" w:color="auto" w:fill="auto"/>
            <w:noWrap/>
            <w:vAlign w:val="bottom"/>
            <w:hideMark/>
          </w:tcPr>
          <w:p w14:paraId="34EBBFF1" w14:textId="6EA0DD9A" w:rsidR="008E6419" w:rsidRPr="0090524C" w:rsidRDefault="008E6419" w:rsidP="008E6419">
            <w:pPr>
              <w:spacing w:after="0" w:line="240" w:lineRule="auto"/>
              <w:jc w:val="right"/>
              <w:rPr>
                <w:rFonts w:cs="Arial"/>
                <w:sz w:val="16"/>
                <w:szCs w:val="16"/>
              </w:rPr>
            </w:pPr>
            <w:r>
              <w:rPr>
                <w:sz w:val="16"/>
              </w:rPr>
              <w:t>1,604</w:t>
            </w:r>
          </w:p>
        </w:tc>
        <w:tc>
          <w:tcPr>
            <w:tcW w:w="1034" w:type="dxa"/>
            <w:tcBorders>
              <w:top w:val="single" w:sz="8" w:space="0" w:color="auto"/>
              <w:left w:val="single" w:sz="4" w:space="0" w:color="auto"/>
              <w:bottom w:val="nil"/>
              <w:right w:val="nil"/>
            </w:tcBorders>
            <w:shd w:val="clear" w:color="auto" w:fill="auto"/>
            <w:noWrap/>
            <w:vAlign w:val="bottom"/>
            <w:hideMark/>
          </w:tcPr>
          <w:p w14:paraId="532F5F8F" w14:textId="4FDF4320" w:rsidR="008E6419" w:rsidRPr="0090524C" w:rsidRDefault="008E6419" w:rsidP="008E6419">
            <w:pPr>
              <w:spacing w:after="0" w:line="240" w:lineRule="auto"/>
              <w:jc w:val="right"/>
              <w:rPr>
                <w:rFonts w:cs="Arial"/>
                <w:sz w:val="16"/>
                <w:szCs w:val="16"/>
              </w:rPr>
            </w:pPr>
            <w:r>
              <w:rPr>
                <w:sz w:val="16"/>
              </w:rPr>
              <w:t>1,642</w:t>
            </w:r>
          </w:p>
        </w:tc>
      </w:tr>
      <w:tr w:rsidR="008E6419" w:rsidRPr="0090524C" w14:paraId="73AEFC3D" w14:textId="77777777" w:rsidTr="008E6419">
        <w:trPr>
          <w:trHeight w:val="285"/>
        </w:trPr>
        <w:tc>
          <w:tcPr>
            <w:tcW w:w="4817" w:type="dxa"/>
            <w:tcBorders>
              <w:top w:val="nil"/>
              <w:left w:val="nil"/>
              <w:right w:val="single" w:sz="4" w:space="0" w:color="auto"/>
            </w:tcBorders>
            <w:shd w:val="clear" w:color="auto" w:fill="auto"/>
            <w:noWrap/>
            <w:vAlign w:val="bottom"/>
          </w:tcPr>
          <w:p w14:paraId="3B9F4DB9" w14:textId="64084D9E" w:rsidR="008E6419" w:rsidRPr="0090524C" w:rsidRDefault="008E6419" w:rsidP="008E6419">
            <w:pPr>
              <w:spacing w:after="0" w:line="240" w:lineRule="auto"/>
              <w:rPr>
                <w:rFonts w:cs="Arial"/>
                <w:sz w:val="16"/>
                <w:szCs w:val="16"/>
              </w:rPr>
            </w:pPr>
            <w:r>
              <w:rPr>
                <w:sz w:val="16"/>
              </w:rPr>
              <w:t>Share of households surveyed</w:t>
            </w:r>
            <w:r>
              <w:rPr>
                <w:sz w:val="16"/>
                <w:vertAlign w:val="superscript"/>
              </w:rPr>
              <w:t>1)</w:t>
            </w:r>
            <w:r>
              <w:rPr>
                <w:sz w:val="16"/>
              </w:rPr>
              <w:t xml:space="preserve"> (%)</w:t>
            </w:r>
          </w:p>
        </w:tc>
        <w:tc>
          <w:tcPr>
            <w:tcW w:w="1034" w:type="dxa"/>
            <w:tcBorders>
              <w:top w:val="nil"/>
              <w:left w:val="single" w:sz="4" w:space="0" w:color="auto"/>
              <w:right w:val="single" w:sz="4" w:space="0" w:color="auto"/>
            </w:tcBorders>
            <w:shd w:val="clear" w:color="auto" w:fill="auto"/>
            <w:noWrap/>
            <w:vAlign w:val="bottom"/>
          </w:tcPr>
          <w:p w14:paraId="7AC300EF" w14:textId="19AAF1AB" w:rsidR="008E6419" w:rsidRPr="0090524C" w:rsidRDefault="008E6419" w:rsidP="008E6419">
            <w:pPr>
              <w:spacing w:after="0" w:line="240" w:lineRule="auto"/>
              <w:jc w:val="right"/>
              <w:rPr>
                <w:rFonts w:cs="Arial"/>
                <w:sz w:val="16"/>
                <w:szCs w:val="16"/>
              </w:rPr>
            </w:pPr>
            <w:r>
              <w:rPr>
                <w:sz w:val="16"/>
              </w:rPr>
              <w:t>76.2</w:t>
            </w:r>
          </w:p>
        </w:tc>
        <w:tc>
          <w:tcPr>
            <w:tcW w:w="1035" w:type="dxa"/>
            <w:gridSpan w:val="2"/>
            <w:tcBorders>
              <w:top w:val="nil"/>
              <w:left w:val="single" w:sz="4" w:space="0" w:color="auto"/>
              <w:right w:val="single" w:sz="4" w:space="0" w:color="auto"/>
            </w:tcBorders>
            <w:shd w:val="clear" w:color="auto" w:fill="auto"/>
            <w:vAlign w:val="bottom"/>
          </w:tcPr>
          <w:p w14:paraId="69757BEF" w14:textId="4E05EF35" w:rsidR="008E6419" w:rsidRPr="0090524C" w:rsidRDefault="008E6419" w:rsidP="008E6419">
            <w:pPr>
              <w:spacing w:after="0" w:line="240" w:lineRule="auto"/>
              <w:jc w:val="right"/>
              <w:rPr>
                <w:rFonts w:cs="Arial"/>
                <w:sz w:val="16"/>
                <w:szCs w:val="16"/>
              </w:rPr>
            </w:pPr>
            <w:r>
              <w:rPr>
                <w:sz w:val="16"/>
              </w:rPr>
              <w:t>76.4</w:t>
            </w:r>
          </w:p>
        </w:tc>
        <w:tc>
          <w:tcPr>
            <w:tcW w:w="1040" w:type="dxa"/>
            <w:gridSpan w:val="3"/>
            <w:tcBorders>
              <w:top w:val="nil"/>
              <w:left w:val="single" w:sz="4" w:space="0" w:color="auto"/>
              <w:right w:val="single" w:sz="4" w:space="0" w:color="auto"/>
            </w:tcBorders>
            <w:shd w:val="clear" w:color="auto" w:fill="auto"/>
            <w:noWrap/>
            <w:vAlign w:val="bottom"/>
          </w:tcPr>
          <w:p w14:paraId="5B2075D6" w14:textId="7E0C82AE" w:rsidR="008E6419" w:rsidRPr="0090524C" w:rsidRDefault="008E6419" w:rsidP="008E6419">
            <w:pPr>
              <w:spacing w:after="0" w:line="240" w:lineRule="auto"/>
              <w:jc w:val="right"/>
              <w:rPr>
                <w:rFonts w:cs="Arial"/>
                <w:sz w:val="16"/>
                <w:szCs w:val="16"/>
              </w:rPr>
            </w:pPr>
            <w:r>
              <w:rPr>
                <w:sz w:val="16"/>
              </w:rPr>
              <w:t>77.7</w:t>
            </w:r>
          </w:p>
        </w:tc>
        <w:tc>
          <w:tcPr>
            <w:tcW w:w="1034" w:type="dxa"/>
            <w:tcBorders>
              <w:top w:val="nil"/>
              <w:left w:val="single" w:sz="4" w:space="0" w:color="auto"/>
              <w:right w:val="nil"/>
            </w:tcBorders>
            <w:shd w:val="clear" w:color="auto" w:fill="auto"/>
            <w:noWrap/>
            <w:vAlign w:val="bottom"/>
          </w:tcPr>
          <w:p w14:paraId="07556FCF" w14:textId="74A247A2" w:rsidR="008E6419" w:rsidRPr="0090524C" w:rsidRDefault="008E6419" w:rsidP="008E6419">
            <w:pPr>
              <w:spacing w:after="0" w:line="240" w:lineRule="auto"/>
              <w:jc w:val="right"/>
              <w:rPr>
                <w:rFonts w:cs="Arial"/>
                <w:sz w:val="16"/>
                <w:szCs w:val="16"/>
              </w:rPr>
            </w:pPr>
            <w:r>
              <w:rPr>
                <w:sz w:val="16"/>
              </w:rPr>
              <w:t>79.6</w:t>
            </w:r>
          </w:p>
        </w:tc>
      </w:tr>
      <w:tr w:rsidR="008E6419" w:rsidRPr="0090524C" w14:paraId="1D48F984" w14:textId="77777777" w:rsidTr="008E6419">
        <w:trPr>
          <w:trHeight w:val="20"/>
        </w:trPr>
        <w:tc>
          <w:tcPr>
            <w:tcW w:w="4817" w:type="dxa"/>
            <w:tcBorders>
              <w:top w:val="nil"/>
              <w:left w:val="nil"/>
              <w:bottom w:val="nil"/>
            </w:tcBorders>
            <w:shd w:val="clear" w:color="auto" w:fill="auto"/>
            <w:noWrap/>
            <w:vAlign w:val="bottom"/>
          </w:tcPr>
          <w:p w14:paraId="1B0F982A" w14:textId="77777777" w:rsidR="008E6419" w:rsidRPr="0090524C" w:rsidRDefault="008E6419" w:rsidP="008B47F9">
            <w:pPr>
              <w:spacing w:after="0" w:line="240" w:lineRule="auto"/>
              <w:rPr>
                <w:rFonts w:cs="Arial"/>
                <w:sz w:val="16"/>
                <w:szCs w:val="16"/>
              </w:rPr>
            </w:pPr>
          </w:p>
        </w:tc>
        <w:tc>
          <w:tcPr>
            <w:tcW w:w="1379" w:type="dxa"/>
            <w:gridSpan w:val="2"/>
            <w:tcBorders>
              <w:top w:val="nil"/>
              <w:bottom w:val="nil"/>
            </w:tcBorders>
            <w:shd w:val="clear" w:color="auto" w:fill="auto"/>
            <w:noWrap/>
            <w:vAlign w:val="bottom"/>
          </w:tcPr>
          <w:p w14:paraId="404D3B3B" w14:textId="77777777" w:rsidR="008E6419" w:rsidRPr="0090524C" w:rsidRDefault="008E6419" w:rsidP="008B47F9">
            <w:pPr>
              <w:spacing w:after="0" w:line="240" w:lineRule="auto"/>
              <w:jc w:val="right"/>
              <w:rPr>
                <w:rFonts w:cs="Arial"/>
                <w:sz w:val="16"/>
                <w:szCs w:val="16"/>
              </w:rPr>
            </w:pPr>
          </w:p>
        </w:tc>
        <w:tc>
          <w:tcPr>
            <w:tcW w:w="1380" w:type="dxa"/>
            <w:gridSpan w:val="2"/>
            <w:tcBorders>
              <w:top w:val="nil"/>
              <w:bottom w:val="nil"/>
            </w:tcBorders>
            <w:shd w:val="clear" w:color="auto" w:fill="auto"/>
            <w:noWrap/>
            <w:vAlign w:val="bottom"/>
          </w:tcPr>
          <w:p w14:paraId="6DE61435" w14:textId="77777777" w:rsidR="008E6419" w:rsidRPr="0090524C" w:rsidRDefault="008E6419" w:rsidP="008B47F9">
            <w:pPr>
              <w:spacing w:after="0" w:line="240" w:lineRule="auto"/>
              <w:jc w:val="right"/>
              <w:rPr>
                <w:rFonts w:cs="Arial"/>
                <w:sz w:val="16"/>
                <w:szCs w:val="16"/>
              </w:rPr>
            </w:pPr>
          </w:p>
        </w:tc>
        <w:tc>
          <w:tcPr>
            <w:tcW w:w="1384" w:type="dxa"/>
            <w:gridSpan w:val="3"/>
            <w:tcBorders>
              <w:top w:val="nil"/>
              <w:bottom w:val="nil"/>
              <w:right w:val="nil"/>
            </w:tcBorders>
            <w:shd w:val="clear" w:color="auto" w:fill="auto"/>
            <w:noWrap/>
            <w:vAlign w:val="bottom"/>
          </w:tcPr>
          <w:p w14:paraId="2EA223ED" w14:textId="77777777" w:rsidR="008E6419" w:rsidRPr="0090524C" w:rsidRDefault="008E6419" w:rsidP="008B47F9">
            <w:pPr>
              <w:spacing w:after="0" w:line="240" w:lineRule="auto"/>
              <w:jc w:val="right"/>
              <w:rPr>
                <w:rFonts w:cs="Arial"/>
                <w:sz w:val="16"/>
                <w:szCs w:val="16"/>
              </w:rPr>
            </w:pPr>
          </w:p>
        </w:tc>
      </w:tr>
      <w:tr w:rsidR="008E6419" w:rsidRPr="0090524C" w14:paraId="6F0FC953" w14:textId="77777777" w:rsidTr="008B47F9">
        <w:trPr>
          <w:trHeight w:val="285"/>
        </w:trPr>
        <w:tc>
          <w:tcPr>
            <w:tcW w:w="8960" w:type="dxa"/>
            <w:gridSpan w:val="8"/>
            <w:tcBorders>
              <w:top w:val="nil"/>
              <w:left w:val="nil"/>
              <w:bottom w:val="nil"/>
            </w:tcBorders>
            <w:shd w:val="clear" w:color="auto" w:fill="auto"/>
            <w:noWrap/>
          </w:tcPr>
          <w:p w14:paraId="4760C42D" w14:textId="6F7BD737" w:rsidR="008E6419" w:rsidRPr="008E6419" w:rsidRDefault="008E6419" w:rsidP="008E6419">
            <w:pPr>
              <w:spacing w:after="0" w:line="240" w:lineRule="auto"/>
              <w:rPr>
                <w:sz w:val="16"/>
              </w:rPr>
            </w:pPr>
            <w:r>
              <w:rPr>
                <w:sz w:val="16"/>
                <w:vertAlign w:val="superscript"/>
              </w:rPr>
              <w:t>1)</w:t>
            </w:r>
            <w:r>
              <w:rPr>
                <w:sz w:val="16"/>
              </w:rPr>
              <w:t xml:space="preserve"> i.e. the response rate</w:t>
            </w:r>
          </w:p>
          <w:p w14:paraId="1398FC32" w14:textId="21655453" w:rsidR="008E6419" w:rsidRPr="008E6419" w:rsidRDefault="008E6419" w:rsidP="008E6419">
            <w:pPr>
              <w:pStyle w:val="Odstavecseseznamem"/>
              <w:spacing w:after="0" w:line="240" w:lineRule="auto"/>
              <w:rPr>
                <w:rFonts w:cs="Arial"/>
                <w:sz w:val="16"/>
                <w:szCs w:val="16"/>
              </w:rPr>
            </w:pPr>
          </w:p>
        </w:tc>
      </w:tr>
    </w:tbl>
    <w:p w14:paraId="47EAEB5D" w14:textId="1F8B4C97" w:rsidR="007F1350" w:rsidRPr="0090524C" w:rsidRDefault="007F1350" w:rsidP="007F1350">
      <w:pPr>
        <w:pStyle w:val="Nadpis2"/>
        <w:numPr>
          <w:ilvl w:val="1"/>
          <w:numId w:val="14"/>
        </w:numPr>
        <w:spacing w:before="360" w:after="120" w:line="360" w:lineRule="auto"/>
        <w:ind w:left="578" w:hanging="578"/>
        <w:jc w:val="both"/>
      </w:pPr>
      <w:bookmarkStart w:id="12" w:name="_Toc208841860"/>
      <w:r>
        <w:t>Data conversion to population totals, corrections and calculations</w:t>
      </w:r>
      <w:bookmarkEnd w:id="12"/>
    </w:p>
    <w:p w14:paraId="13072189" w14:textId="08FC1C59" w:rsidR="007F1350" w:rsidRPr="0090524C" w:rsidRDefault="007F1350" w:rsidP="00431B2C">
      <w:pPr>
        <w:jc w:val="both"/>
        <w:rPr>
          <w:szCs w:val="22"/>
        </w:rPr>
      </w:pPr>
      <w:r>
        <w:t xml:space="preserve">The sample for the </w:t>
      </w:r>
      <w:r w:rsidR="002D43FD">
        <w:t>FSD</w:t>
      </w:r>
      <w:r>
        <w:t xml:space="preserve"> was a subset of the SILC sample, thus the results of the SILC were used as the basis for the calculations. A significant non-response rate, which was also influenced by SILC response rates from previous years, distorted the composition of the final dataset from which the </w:t>
      </w:r>
      <w:r w:rsidR="002D43FD">
        <w:t>FSD</w:t>
      </w:r>
      <w:r>
        <w:t xml:space="preserve"> results were compiled.</w:t>
      </w:r>
    </w:p>
    <w:p w14:paraId="139E3DA5" w14:textId="13C648E0" w:rsidR="007F1350" w:rsidRPr="0090524C" w:rsidRDefault="007F1350" w:rsidP="007F1350">
      <w:pPr>
        <w:jc w:val="both"/>
        <w:rPr>
          <w:szCs w:val="22"/>
        </w:rPr>
      </w:pPr>
      <w:r>
        <w:t>However, the limited size of the households sample was the limiting factor for the calculation method, respectively the construction of conversion factors.</w:t>
      </w:r>
    </w:p>
    <w:p w14:paraId="38AF913F" w14:textId="754A14E3" w:rsidR="007F1350" w:rsidRPr="0090524C" w:rsidRDefault="007F1350" w:rsidP="007F1350">
      <w:pPr>
        <w:jc w:val="both"/>
        <w:rPr>
          <w:szCs w:val="22"/>
        </w:rPr>
      </w:pPr>
      <w:r>
        <w:t xml:space="preserve">The calculations themselves involved the elimination of complete non-responses, i.e. the addition of correction coefficients for individual households with respect to their representation in the </w:t>
      </w:r>
      <w:r w:rsidR="002D43FD">
        <w:t>FSD</w:t>
      </w:r>
      <w:r>
        <w:t xml:space="preserve"> sample relative to the SILC population estimates. An iterative weight calibration procedure was used to calculate the weights, using as a reference the SILC baseline estimates of aggregates (the number of households, total persons, working members, dependent children, non-working pensioners and unemployed persons), including selected characteristics used to classify households in published results:</w:t>
      </w:r>
    </w:p>
    <w:p w14:paraId="42640177" w14:textId="4C0C27A8" w:rsidR="007F1350" w:rsidRPr="0090524C" w:rsidRDefault="007F1350" w:rsidP="00915EBD">
      <w:pPr>
        <w:pStyle w:val="Odrky"/>
        <w:numPr>
          <w:ilvl w:val="0"/>
          <w:numId w:val="17"/>
        </w:numPr>
        <w:rPr>
          <w:sz w:val="20"/>
          <w:szCs w:val="22"/>
        </w:rPr>
      </w:pPr>
      <w:r>
        <w:rPr>
          <w:sz w:val="20"/>
        </w:rPr>
        <w:t>4 groups of households according to the status of the head of the household (employees with lower/higher education, self-employed, pensioners);</w:t>
      </w:r>
    </w:p>
    <w:p w14:paraId="11991B6F" w14:textId="77777777" w:rsidR="007F1350" w:rsidRPr="0090524C" w:rsidRDefault="007F1350" w:rsidP="00915EBD">
      <w:pPr>
        <w:pStyle w:val="Odrky"/>
        <w:numPr>
          <w:ilvl w:val="0"/>
          <w:numId w:val="17"/>
        </w:numPr>
        <w:rPr>
          <w:sz w:val="20"/>
          <w:szCs w:val="22"/>
        </w:rPr>
      </w:pPr>
      <w:r>
        <w:rPr>
          <w:sz w:val="20"/>
        </w:rPr>
        <w:t>4 groups of households according to the legal form of use of the dwelling (owner-occupied house, owner-occupied apartment, cooperative dwelling, rented dwelling);</w:t>
      </w:r>
    </w:p>
    <w:p w14:paraId="39BE25B3" w14:textId="77777777" w:rsidR="007F1350" w:rsidRPr="0090524C" w:rsidRDefault="007F1350" w:rsidP="00915EBD">
      <w:pPr>
        <w:pStyle w:val="Odrky"/>
        <w:numPr>
          <w:ilvl w:val="0"/>
          <w:numId w:val="17"/>
        </w:numPr>
        <w:rPr>
          <w:sz w:val="20"/>
          <w:szCs w:val="22"/>
        </w:rPr>
      </w:pPr>
      <w:r>
        <w:rPr>
          <w:sz w:val="20"/>
        </w:rPr>
        <w:t>2 groups of households according to the number of dependent children (with or without children);</w:t>
      </w:r>
    </w:p>
    <w:p w14:paraId="4EB91C98" w14:textId="17876C64" w:rsidR="007F1350" w:rsidRPr="0090524C" w:rsidRDefault="00D42A1A" w:rsidP="00915EBD">
      <w:pPr>
        <w:pStyle w:val="Odrky"/>
        <w:numPr>
          <w:ilvl w:val="0"/>
          <w:numId w:val="17"/>
        </w:numPr>
        <w:rPr>
          <w:sz w:val="20"/>
          <w:szCs w:val="22"/>
        </w:rPr>
      </w:pPr>
      <w:r>
        <w:rPr>
          <w:sz w:val="20"/>
        </w:rPr>
        <w:t>4 groups of households according to municipality size (up to 1,999, 2,000 to 9,999, 10,000 to 49,999, 50,000 and more inhabitants);</w:t>
      </w:r>
    </w:p>
    <w:p w14:paraId="2E8AC185" w14:textId="77777777" w:rsidR="007F1350" w:rsidRPr="0090524C" w:rsidRDefault="007F1350" w:rsidP="00915EBD">
      <w:pPr>
        <w:pStyle w:val="Odrky"/>
        <w:numPr>
          <w:ilvl w:val="0"/>
          <w:numId w:val="17"/>
        </w:numPr>
        <w:rPr>
          <w:sz w:val="20"/>
          <w:szCs w:val="22"/>
        </w:rPr>
      </w:pPr>
      <w:r>
        <w:rPr>
          <w:sz w:val="20"/>
        </w:rPr>
        <w:t>5 groups of households according to net monetary income per person (quintiles).</w:t>
      </w:r>
    </w:p>
    <w:p w14:paraId="1C2EDE0A" w14:textId="026C15BE" w:rsidR="007F1350" w:rsidRPr="0090524C" w:rsidRDefault="007F1350" w:rsidP="007F1350">
      <w:pPr>
        <w:spacing w:before="240"/>
        <w:jc w:val="both"/>
        <w:rPr>
          <w:szCs w:val="22"/>
        </w:rPr>
      </w:pPr>
      <w:r>
        <w:t>The outlined procedure primarily reflects the social structure of households, including income distribution.</w:t>
      </w:r>
    </w:p>
    <w:p w14:paraId="4D08ED7D" w14:textId="15FA632F" w:rsidR="007F1350" w:rsidRPr="0090524C" w:rsidRDefault="007F1350" w:rsidP="007F1350">
      <w:pPr>
        <w:jc w:val="both"/>
        <w:rPr>
          <w:szCs w:val="22"/>
        </w:rPr>
      </w:pPr>
      <w:r>
        <w:t xml:space="preserve">For the classification of households by income level (quintiles), each household was assigned the net cash income determined in the SILC survey for the relevant year (i.e. for the previous year). The year 2021 was compiled from household data from 2020 and 2021, the year 2022 from 2021 and 2022, and the year 2023 from 2022 and 2023. Income from the previous year was always recalculated for the relevant year using the income growth index from the SILC survey, while housing expenses and costs were recalculated using the consumer price index, and the prices of real estate and vehicles were recalculated using the mean (moving) year-on-year indices of real estate prices and car prices, respectively. All </w:t>
      </w:r>
      <w:r w:rsidR="002D43FD">
        <w:t>FSD</w:t>
      </w:r>
      <w:r>
        <w:t xml:space="preserve"> sample survey outputs are published after reweighting to the whole population.</w:t>
      </w:r>
    </w:p>
    <w:p w14:paraId="37ED591D" w14:textId="34E2E8C2" w:rsidR="000858BF" w:rsidRPr="0090524C" w:rsidRDefault="000858BF" w:rsidP="008A38BC">
      <w:pPr>
        <w:pStyle w:val="Nadpis2"/>
        <w:numPr>
          <w:ilvl w:val="1"/>
          <w:numId w:val="14"/>
        </w:numPr>
        <w:spacing w:before="360" w:after="120" w:line="360" w:lineRule="auto"/>
        <w:ind w:left="578" w:hanging="578"/>
        <w:jc w:val="both"/>
      </w:pPr>
      <w:r>
        <w:tab/>
      </w:r>
      <w:bookmarkStart w:id="13" w:name="_Ref192673005"/>
      <w:bookmarkStart w:id="14" w:name="_Toc208841861"/>
      <w:r>
        <w:t>Differences in the outputs of household sample surveys and macro-aggregates of national accounts</w:t>
      </w:r>
      <w:bookmarkEnd w:id="13"/>
      <w:bookmarkEnd w:id="14"/>
      <w:r>
        <w:t xml:space="preserve"> </w:t>
      </w:r>
    </w:p>
    <w:p w14:paraId="6C5B86FF" w14:textId="77777777" w:rsidR="00B53CEE" w:rsidRPr="0090524C" w:rsidRDefault="008A38BC" w:rsidP="00B53CEE">
      <w:pPr>
        <w:jc w:val="both"/>
        <w:rPr>
          <w:szCs w:val="22"/>
        </w:rPr>
      </w:pPr>
      <w:r>
        <w:t>Data on the property, financial, and income situations of Czech households can be obtained from two main sources: national accounts and sample surveys in households. When comparing results, it is important to be aware of the conceptual differences between the micro- and macro-approaches.</w:t>
      </w:r>
    </w:p>
    <w:p w14:paraId="1E9079CF" w14:textId="2E900AFC" w:rsidR="00B53CEE" w:rsidRPr="0090524C" w:rsidRDefault="008A38BC" w:rsidP="00915EBD">
      <w:pPr>
        <w:jc w:val="both"/>
        <w:rPr>
          <w:szCs w:val="22"/>
        </w:rPr>
      </w:pPr>
      <w:r>
        <w:t>The national accounts cover the whole economy. Sample surveys are conducted on a representative sample of households, the sampling unit being a dwelling. Persons living in institutional units (e.g. in nursing homes, hostels, hospices and prisons) are not included in the surveys. Homeless people at the lower end of the wealth distribution scale also do not participate in the surveys. Respondents at the upper end of the distribution scale are also not fully represented, due to the declining willingness of wealthier households to participate in statistical surveys. In the highest income group, there is a small group of households owning high-value financial assets, which are not included in the results of household surveys, unlike in national accounts.</w:t>
      </w:r>
    </w:p>
    <w:p w14:paraId="644C5582" w14:textId="25352849" w:rsidR="008A38BC" w:rsidRPr="0090524C" w:rsidRDefault="008A38BC" w:rsidP="00915EBD">
      <w:pPr>
        <w:jc w:val="both"/>
        <w:rPr>
          <w:szCs w:val="22"/>
        </w:rPr>
      </w:pPr>
      <w:r>
        <w:t>In addition to the differing representation of groups, there are also a number of conceptual and methodological differences in the approach to compiling individual indicators at the level of the economy and at the level of households, e.g. the inclusion of imputed rent or in-kind social transfers (transfers to households from government institutions for healthcare, education, etc.) in the income and actual consumption of households in the national accounts, compared to the actual incomes reported by respondents in household surveys. There are also differences in the case of non-financial assets, where, unlike the valuation in the national accounts, the outputs from the household surveys are based on respondents</w:t>
      </w:r>
      <w:r w:rsidR="0039774A">
        <w:t>’</w:t>
      </w:r>
      <w:r>
        <w:t xml:space="preserve"> answers.  </w:t>
      </w:r>
    </w:p>
    <w:p w14:paraId="29255AF1" w14:textId="659A6923" w:rsidR="005F7A68" w:rsidRDefault="00E36D65" w:rsidP="005F7A68">
      <w:pPr>
        <w:jc w:val="both"/>
      </w:pPr>
      <w:r>
        <w:t xml:space="preserve">An analysis of the comparison of selected data from the </w:t>
      </w:r>
      <w:r w:rsidR="002D43FD">
        <w:t>FSD</w:t>
      </w:r>
      <w:r>
        <w:t xml:space="preserve"> and the national accounts was prepared by the CZSO. </w:t>
      </w:r>
      <w:r w:rsidR="00C83506">
        <w:fldChar w:fldCharType="begin"/>
      </w:r>
      <w:r w:rsidR="00C83506">
        <w:instrText xml:space="preserve"> REF Tab2 \h </w:instrText>
      </w:r>
      <w:r w:rsidR="00C83506">
        <w:fldChar w:fldCharType="separate"/>
      </w:r>
      <w:r w:rsidR="006F653B">
        <w:t>Table 2</w:t>
      </w:r>
      <w:r w:rsidR="00C83506">
        <w:fldChar w:fldCharType="end"/>
      </w:r>
      <w:r>
        <w:t xml:space="preserve"> shows the percentage share of selected indicators from the </w:t>
      </w:r>
      <w:r w:rsidR="002D43FD">
        <w:t>FSD</w:t>
      </w:r>
      <w:r>
        <w:t xml:space="preserve"> (aggregated to the whole economy) in the value of the corresponding indicators from the national accounts</w:t>
      </w:r>
      <w:r w:rsidR="005F7A68">
        <w:rPr>
          <w:rStyle w:val="Znakapoznpodarou"/>
        </w:rPr>
        <w:footnoteReference w:id="1"/>
      </w:r>
      <w:r>
        <w:t xml:space="preserve">, highlighting the differences between these data sources described above. The results show that surveys like the </w:t>
      </w:r>
      <w:r w:rsidR="002D43FD">
        <w:t>FSD</w:t>
      </w:r>
      <w:r>
        <w:t xml:space="preserve"> are not fully comparable with the macroeconomic aggregates of the national accounts, primarily due to differences in methodology, coverage and definitions of individual categories of assets and liabilities.</w:t>
      </w:r>
    </w:p>
    <w:p w14:paraId="3B518D5C" w14:textId="7FA6E92B" w:rsidR="0057316C" w:rsidRDefault="00E36D65" w:rsidP="0090524C">
      <w:pPr>
        <w:jc w:val="both"/>
        <w:rPr>
          <w:szCs w:val="22"/>
        </w:rPr>
      </w:pPr>
      <w:r>
        <w:t xml:space="preserve"> </w:t>
      </w:r>
    </w:p>
    <w:p w14:paraId="26364921" w14:textId="160BB445" w:rsidR="0057316C" w:rsidRPr="000B207E" w:rsidRDefault="0057316C" w:rsidP="000B207E">
      <w:pPr>
        <w:jc w:val="both"/>
        <w:rPr>
          <w:szCs w:val="22"/>
        </w:rPr>
      </w:pPr>
      <w:r>
        <w:t xml:space="preserve">Financial assets in the </w:t>
      </w:r>
      <w:r w:rsidR="002D43FD">
        <w:t>FSD</w:t>
      </w:r>
      <w:r>
        <w:t xml:space="preserve"> account for approximately one fifth of the financial assets reported in the national accounts, confirming that the </w:t>
      </w:r>
      <w:r w:rsidR="002D43FD">
        <w:t>FSD</w:t>
      </w:r>
      <w:r>
        <w:t xml:space="preserve"> survey is not capable of fully capturing the financial situation of the wealthiest households. These households own a significant share of financial assets and at the same time have the lowest willingness to participate in surveys, leading to an underestimation of their actual financial situation in the </w:t>
      </w:r>
      <w:r w:rsidR="002D43FD">
        <w:t>FSD</w:t>
      </w:r>
      <w:r>
        <w:t xml:space="preserve">. The situation is more complex for financial liabilities. Two factors complicate the comparison. Firstly, the aforementioned effect of the wealthiest households, which also have the largest liabilities in absolute values, is not fully represented in the survey. Secondly, differences in the definition of mortgages within the </w:t>
      </w:r>
      <w:r w:rsidR="002D43FD">
        <w:t>FSD</w:t>
      </w:r>
      <w:r>
        <w:t xml:space="preserve">. In the </w:t>
      </w:r>
      <w:r w:rsidR="002D43FD">
        <w:t>FSD</w:t>
      </w:r>
      <w:r>
        <w:t xml:space="preserve">, only mortgages secured by the financed property are included, namely mortgages for the main residence and mortgages for additional properties. However, there are mortgages in the Czech market secured by more than one property (see CNB 2023), and mortgages for cooperative apartments that cannot be used as collateral. These loans are often secured by other properties and are not recorded as mortgages in the </w:t>
      </w:r>
      <w:r w:rsidR="002D43FD">
        <w:t>FSD</w:t>
      </w:r>
      <w:r>
        <w:t>, which affects the total reported values of mortgage debt. These differences suggest that in interpreting data from survey sampling, it is necessary to take into account not only methodological constraints but also the structural characteristics of the households participating in these surveys.</w:t>
      </w:r>
    </w:p>
    <w:tbl>
      <w:tblPr>
        <w:tblW w:w="8960" w:type="dxa"/>
        <w:tblLayout w:type="fixed"/>
        <w:tblCellMar>
          <w:left w:w="70" w:type="dxa"/>
          <w:right w:w="70" w:type="dxa"/>
        </w:tblCellMar>
        <w:tblLook w:val="04A0" w:firstRow="1" w:lastRow="0" w:firstColumn="1" w:lastColumn="0" w:noHBand="0" w:noVBand="1"/>
      </w:tblPr>
      <w:tblGrid>
        <w:gridCol w:w="4820"/>
        <w:gridCol w:w="1380"/>
        <w:gridCol w:w="1380"/>
        <w:gridCol w:w="200"/>
        <w:gridCol w:w="1180"/>
      </w:tblGrid>
      <w:tr w:rsidR="001D6F06" w:rsidRPr="0090524C" w14:paraId="6EFF8E7A" w14:textId="77777777" w:rsidTr="001D6F06">
        <w:trPr>
          <w:trHeight w:val="285"/>
        </w:trPr>
        <w:tc>
          <w:tcPr>
            <w:tcW w:w="8960" w:type="dxa"/>
            <w:gridSpan w:val="5"/>
            <w:tcBorders>
              <w:top w:val="nil"/>
              <w:left w:val="nil"/>
              <w:bottom w:val="nil"/>
              <w:right w:val="nil"/>
            </w:tcBorders>
            <w:shd w:val="clear" w:color="auto" w:fill="auto"/>
            <w:noWrap/>
            <w:vAlign w:val="bottom"/>
            <w:hideMark/>
          </w:tcPr>
          <w:p w14:paraId="44DD0B19" w14:textId="1D9110B1" w:rsidR="001D6F06" w:rsidRPr="0090524C" w:rsidRDefault="005F289D" w:rsidP="005F7A68">
            <w:pPr>
              <w:pStyle w:val="Titulek"/>
              <w:rPr>
                <w:rFonts w:ascii="Times New Roman" w:hAnsi="Times New Roman"/>
              </w:rPr>
            </w:pPr>
            <w:bookmarkStart w:id="15" w:name="_Ref189656536"/>
            <w:bookmarkStart w:id="16" w:name="_Ref192000349"/>
            <w:bookmarkStart w:id="17" w:name="Tab2"/>
            <w:bookmarkStart w:id="18" w:name="Tab9"/>
            <w:bookmarkStart w:id="19" w:name="_Toc208841870"/>
            <w:r>
              <w:t xml:space="preserve">Table </w:t>
            </w:r>
            <w:fldSimple w:instr=" SEQ Tab. \* ARABIC ">
              <w:r w:rsidR="00FC7CC8">
                <w:t>2</w:t>
              </w:r>
            </w:fldSimple>
            <w:bookmarkEnd w:id="15"/>
            <w:bookmarkEnd w:id="16"/>
            <w:bookmarkEnd w:id="17"/>
            <w:r>
              <w:t xml:space="preserve"> </w:t>
            </w:r>
            <w:bookmarkEnd w:id="18"/>
            <w:r>
              <w:rPr>
                <w:color w:val="000000"/>
              </w:rPr>
              <w:t xml:space="preserve">Selected indicators from the </w:t>
            </w:r>
            <w:r w:rsidR="002D43FD">
              <w:rPr>
                <w:color w:val="000000"/>
              </w:rPr>
              <w:t>FSD</w:t>
            </w:r>
            <w:r>
              <w:rPr>
                <w:color w:val="000000"/>
              </w:rPr>
              <w:t xml:space="preserve"> (aggregated to the whole economy) as a percentage of the value of the corresponding indicators from the national accounts</w:t>
            </w:r>
            <w:bookmarkEnd w:id="19"/>
          </w:p>
        </w:tc>
      </w:tr>
      <w:tr w:rsidR="001D6F06" w:rsidRPr="0090524C" w14:paraId="57D019A9" w14:textId="77777777" w:rsidTr="001D6F06">
        <w:trPr>
          <w:trHeight w:val="300"/>
        </w:trPr>
        <w:tc>
          <w:tcPr>
            <w:tcW w:w="7780" w:type="dxa"/>
            <w:gridSpan w:val="4"/>
            <w:tcBorders>
              <w:top w:val="nil"/>
              <w:left w:val="nil"/>
              <w:bottom w:val="single" w:sz="8" w:space="0" w:color="auto"/>
              <w:right w:val="nil"/>
            </w:tcBorders>
            <w:shd w:val="clear" w:color="auto" w:fill="auto"/>
            <w:noWrap/>
            <w:vAlign w:val="bottom"/>
            <w:hideMark/>
          </w:tcPr>
          <w:p w14:paraId="5D09DAB3" w14:textId="0A0B2A40" w:rsidR="001D6F06" w:rsidRPr="0090524C" w:rsidRDefault="001D6F06" w:rsidP="001D6F06">
            <w:pPr>
              <w:spacing w:after="0" w:line="240" w:lineRule="auto"/>
              <w:rPr>
                <w:rFonts w:ascii="Times New Roman" w:hAnsi="Times New Roman"/>
                <w:szCs w:val="20"/>
              </w:rPr>
            </w:pPr>
            <w:r>
              <w:rPr>
                <w:color w:val="000000"/>
                <w:sz w:val="16"/>
              </w:rPr>
              <w:t xml:space="preserve">Source: National accounts as of 28 June 2024, </w:t>
            </w:r>
            <w:r w:rsidR="002D43FD">
              <w:rPr>
                <w:color w:val="000000"/>
                <w:sz w:val="16"/>
              </w:rPr>
              <w:t>FSD</w:t>
            </w:r>
            <w:r>
              <w:rPr>
                <w:color w:val="000000"/>
                <w:sz w:val="16"/>
              </w:rPr>
              <w:t xml:space="preserve"> 2021, </w:t>
            </w:r>
            <w:r w:rsidR="002D43FD">
              <w:rPr>
                <w:color w:val="000000"/>
                <w:sz w:val="16"/>
              </w:rPr>
              <w:t>FSD</w:t>
            </w:r>
            <w:r>
              <w:rPr>
                <w:color w:val="000000"/>
                <w:sz w:val="16"/>
              </w:rPr>
              <w:t xml:space="preserve"> 2022, </w:t>
            </w:r>
            <w:r w:rsidR="002D43FD">
              <w:rPr>
                <w:color w:val="000000"/>
                <w:sz w:val="16"/>
              </w:rPr>
              <w:t>FSD</w:t>
            </w:r>
            <w:r>
              <w:rPr>
                <w:color w:val="000000"/>
                <w:sz w:val="16"/>
              </w:rPr>
              <w:t xml:space="preserve"> 2023</w:t>
            </w:r>
          </w:p>
        </w:tc>
        <w:tc>
          <w:tcPr>
            <w:tcW w:w="1180" w:type="dxa"/>
            <w:tcBorders>
              <w:top w:val="nil"/>
              <w:left w:val="nil"/>
              <w:bottom w:val="single" w:sz="8" w:space="0" w:color="auto"/>
              <w:right w:val="nil"/>
            </w:tcBorders>
            <w:shd w:val="clear" w:color="auto" w:fill="auto"/>
            <w:noWrap/>
            <w:vAlign w:val="bottom"/>
          </w:tcPr>
          <w:p w14:paraId="5E17F2F2" w14:textId="77777777" w:rsidR="001D6F06" w:rsidRPr="0090524C" w:rsidRDefault="001D6F06" w:rsidP="001D6F06">
            <w:pPr>
              <w:spacing w:after="0" w:line="240" w:lineRule="auto"/>
              <w:jc w:val="right"/>
              <w:rPr>
                <w:rFonts w:cs="Arial"/>
                <w:sz w:val="16"/>
                <w:szCs w:val="16"/>
              </w:rPr>
            </w:pPr>
            <w:r>
              <w:rPr>
                <w:sz w:val="16"/>
              </w:rPr>
              <w:t>in percentages</w:t>
            </w:r>
          </w:p>
        </w:tc>
      </w:tr>
      <w:tr w:rsidR="001D6F06" w:rsidRPr="0090524C" w14:paraId="4C4B5552" w14:textId="77777777" w:rsidTr="001D6F06">
        <w:trPr>
          <w:trHeight w:val="567"/>
        </w:trPr>
        <w:tc>
          <w:tcPr>
            <w:tcW w:w="4820" w:type="dxa"/>
            <w:tcBorders>
              <w:top w:val="single" w:sz="8" w:space="0" w:color="auto"/>
              <w:left w:val="nil"/>
              <w:bottom w:val="single" w:sz="8" w:space="0" w:color="auto"/>
              <w:right w:val="single" w:sz="4" w:space="0" w:color="auto"/>
            </w:tcBorders>
            <w:shd w:val="clear" w:color="000000" w:fill="F6E8EE"/>
            <w:vAlign w:val="center"/>
            <w:hideMark/>
          </w:tcPr>
          <w:p w14:paraId="657549E0" w14:textId="77777777" w:rsidR="001D6F06" w:rsidRPr="0090524C" w:rsidRDefault="001D6F06" w:rsidP="001D6F06">
            <w:pPr>
              <w:spacing w:after="0" w:line="240" w:lineRule="auto"/>
              <w:jc w:val="center"/>
              <w:rPr>
                <w:rFonts w:cs="Arial"/>
                <w:sz w:val="16"/>
                <w:szCs w:val="16"/>
              </w:rPr>
            </w:pPr>
          </w:p>
        </w:tc>
        <w:tc>
          <w:tcPr>
            <w:tcW w:w="1380" w:type="dxa"/>
            <w:tcBorders>
              <w:top w:val="single" w:sz="8" w:space="0" w:color="auto"/>
              <w:left w:val="single" w:sz="4" w:space="0" w:color="auto"/>
              <w:bottom w:val="single" w:sz="8" w:space="0" w:color="auto"/>
              <w:right w:val="single" w:sz="4" w:space="0" w:color="auto"/>
            </w:tcBorders>
            <w:shd w:val="clear" w:color="000000" w:fill="F6E8EE"/>
            <w:vAlign w:val="center"/>
          </w:tcPr>
          <w:p w14:paraId="5F9FFC47" w14:textId="77777777" w:rsidR="001D6F06" w:rsidRPr="0090524C" w:rsidRDefault="001D6F06" w:rsidP="001D6F06">
            <w:pPr>
              <w:spacing w:after="0" w:line="240" w:lineRule="auto"/>
              <w:jc w:val="center"/>
              <w:rPr>
                <w:rFonts w:cs="Arial"/>
                <w:sz w:val="16"/>
                <w:szCs w:val="16"/>
              </w:rPr>
            </w:pPr>
            <w:r>
              <w:rPr>
                <w:sz w:val="16"/>
              </w:rPr>
              <w:t>2021</w:t>
            </w:r>
          </w:p>
        </w:tc>
        <w:tc>
          <w:tcPr>
            <w:tcW w:w="1380" w:type="dxa"/>
            <w:tcBorders>
              <w:top w:val="single" w:sz="8" w:space="0" w:color="auto"/>
              <w:left w:val="single" w:sz="4" w:space="0" w:color="auto"/>
              <w:bottom w:val="single" w:sz="8" w:space="0" w:color="auto"/>
              <w:right w:val="single" w:sz="4" w:space="0" w:color="auto"/>
            </w:tcBorders>
            <w:shd w:val="clear" w:color="000000" w:fill="F6E8EE"/>
            <w:vAlign w:val="center"/>
          </w:tcPr>
          <w:p w14:paraId="179E0AD5" w14:textId="77777777" w:rsidR="001D6F06" w:rsidRPr="0090524C" w:rsidRDefault="001D6F06" w:rsidP="001D6F06">
            <w:pPr>
              <w:spacing w:after="0" w:line="240" w:lineRule="auto"/>
              <w:jc w:val="center"/>
              <w:rPr>
                <w:rFonts w:cs="Arial"/>
                <w:sz w:val="16"/>
                <w:szCs w:val="16"/>
              </w:rPr>
            </w:pPr>
            <w:r>
              <w:rPr>
                <w:sz w:val="16"/>
              </w:rPr>
              <w:t>2022</w:t>
            </w:r>
          </w:p>
        </w:tc>
        <w:tc>
          <w:tcPr>
            <w:tcW w:w="1380" w:type="dxa"/>
            <w:gridSpan w:val="2"/>
            <w:tcBorders>
              <w:top w:val="single" w:sz="8" w:space="0" w:color="auto"/>
              <w:left w:val="single" w:sz="4" w:space="0" w:color="auto"/>
              <w:bottom w:val="single" w:sz="8" w:space="0" w:color="auto"/>
              <w:right w:val="nil"/>
            </w:tcBorders>
            <w:shd w:val="clear" w:color="000000" w:fill="F6E8EE"/>
            <w:vAlign w:val="center"/>
          </w:tcPr>
          <w:p w14:paraId="25125B75" w14:textId="77777777" w:rsidR="001D6F06" w:rsidRPr="0090524C" w:rsidRDefault="001D6F06" w:rsidP="001D6F06">
            <w:pPr>
              <w:spacing w:after="0" w:line="240" w:lineRule="auto"/>
              <w:jc w:val="center"/>
              <w:rPr>
                <w:rFonts w:cs="Arial"/>
                <w:sz w:val="16"/>
                <w:szCs w:val="16"/>
              </w:rPr>
            </w:pPr>
            <w:r>
              <w:rPr>
                <w:sz w:val="16"/>
              </w:rPr>
              <w:t>2023</w:t>
            </w:r>
          </w:p>
        </w:tc>
      </w:tr>
      <w:tr w:rsidR="001D6F06" w:rsidRPr="0090524C" w14:paraId="049400BB" w14:textId="77777777" w:rsidTr="001D6F06">
        <w:trPr>
          <w:trHeight w:val="285"/>
        </w:trPr>
        <w:tc>
          <w:tcPr>
            <w:tcW w:w="4820" w:type="dxa"/>
            <w:tcBorders>
              <w:top w:val="single" w:sz="8" w:space="0" w:color="auto"/>
              <w:left w:val="nil"/>
              <w:bottom w:val="nil"/>
              <w:right w:val="single" w:sz="4" w:space="0" w:color="auto"/>
            </w:tcBorders>
            <w:shd w:val="clear" w:color="auto" w:fill="auto"/>
            <w:noWrap/>
            <w:vAlign w:val="bottom"/>
            <w:hideMark/>
          </w:tcPr>
          <w:p w14:paraId="0114FF03" w14:textId="49533783" w:rsidR="001D6F06" w:rsidRPr="0090524C" w:rsidRDefault="001D6F06" w:rsidP="001D6F06">
            <w:pPr>
              <w:spacing w:after="0" w:line="240" w:lineRule="auto"/>
              <w:rPr>
                <w:rFonts w:cs="Arial"/>
                <w:sz w:val="16"/>
                <w:szCs w:val="16"/>
              </w:rPr>
            </w:pPr>
            <w:r>
              <w:rPr>
                <w:sz w:val="16"/>
              </w:rPr>
              <w:t>Net wealth</w:t>
            </w:r>
            <w:r>
              <w:rPr>
                <w:sz w:val="16"/>
                <w:vertAlign w:val="superscript"/>
              </w:rPr>
              <w:t>1)</w:t>
            </w:r>
          </w:p>
        </w:tc>
        <w:tc>
          <w:tcPr>
            <w:tcW w:w="1380" w:type="dxa"/>
            <w:tcBorders>
              <w:top w:val="single" w:sz="8" w:space="0" w:color="auto"/>
              <w:left w:val="single" w:sz="4" w:space="0" w:color="auto"/>
              <w:bottom w:val="nil"/>
              <w:right w:val="single" w:sz="4" w:space="0" w:color="auto"/>
            </w:tcBorders>
            <w:shd w:val="clear" w:color="auto" w:fill="auto"/>
            <w:noWrap/>
            <w:vAlign w:val="bottom"/>
            <w:hideMark/>
          </w:tcPr>
          <w:p w14:paraId="1D87CFDD" w14:textId="18C974C5" w:rsidR="001D6F06" w:rsidRPr="0090524C" w:rsidRDefault="005F289D" w:rsidP="001D6F06">
            <w:pPr>
              <w:spacing w:after="0" w:line="240" w:lineRule="auto"/>
              <w:jc w:val="right"/>
              <w:rPr>
                <w:rFonts w:cs="Arial"/>
                <w:sz w:val="16"/>
                <w:szCs w:val="16"/>
              </w:rPr>
            </w:pPr>
            <w:r>
              <w:rPr>
                <w:sz w:val="16"/>
              </w:rPr>
              <w:t>65</w:t>
            </w:r>
          </w:p>
        </w:tc>
        <w:tc>
          <w:tcPr>
            <w:tcW w:w="1380" w:type="dxa"/>
            <w:tcBorders>
              <w:top w:val="single" w:sz="8" w:space="0" w:color="auto"/>
              <w:left w:val="single" w:sz="4" w:space="0" w:color="auto"/>
              <w:bottom w:val="nil"/>
              <w:right w:val="single" w:sz="4" w:space="0" w:color="auto"/>
            </w:tcBorders>
            <w:shd w:val="clear" w:color="auto" w:fill="auto"/>
            <w:noWrap/>
            <w:vAlign w:val="bottom"/>
            <w:hideMark/>
          </w:tcPr>
          <w:p w14:paraId="7E3E067B" w14:textId="2888F558" w:rsidR="001D6F06" w:rsidRPr="0090524C" w:rsidRDefault="005F289D" w:rsidP="001D6F06">
            <w:pPr>
              <w:spacing w:after="0" w:line="240" w:lineRule="auto"/>
              <w:jc w:val="right"/>
              <w:rPr>
                <w:rFonts w:cs="Arial"/>
                <w:sz w:val="16"/>
                <w:szCs w:val="16"/>
              </w:rPr>
            </w:pPr>
            <w:r>
              <w:rPr>
                <w:sz w:val="16"/>
              </w:rPr>
              <w:t>62</w:t>
            </w:r>
          </w:p>
        </w:tc>
        <w:tc>
          <w:tcPr>
            <w:tcW w:w="1380" w:type="dxa"/>
            <w:gridSpan w:val="2"/>
            <w:tcBorders>
              <w:top w:val="single" w:sz="8" w:space="0" w:color="auto"/>
              <w:left w:val="single" w:sz="4" w:space="0" w:color="auto"/>
              <w:bottom w:val="nil"/>
              <w:right w:val="nil"/>
            </w:tcBorders>
            <w:shd w:val="clear" w:color="auto" w:fill="auto"/>
            <w:noWrap/>
            <w:vAlign w:val="bottom"/>
            <w:hideMark/>
          </w:tcPr>
          <w:p w14:paraId="2C8BA70A" w14:textId="0682ED19" w:rsidR="001D6F06" w:rsidRPr="0090524C" w:rsidRDefault="005F289D" w:rsidP="001D6F06">
            <w:pPr>
              <w:spacing w:after="0" w:line="240" w:lineRule="auto"/>
              <w:jc w:val="right"/>
              <w:rPr>
                <w:rFonts w:cs="Arial"/>
                <w:sz w:val="16"/>
                <w:szCs w:val="16"/>
              </w:rPr>
            </w:pPr>
            <w:r>
              <w:rPr>
                <w:sz w:val="16"/>
              </w:rPr>
              <w:t>66</w:t>
            </w:r>
          </w:p>
        </w:tc>
      </w:tr>
      <w:tr w:rsidR="001D6F06" w:rsidRPr="0090524C" w14:paraId="6CF1E3B3" w14:textId="77777777" w:rsidTr="001D6F06">
        <w:trPr>
          <w:trHeight w:val="285"/>
        </w:trPr>
        <w:tc>
          <w:tcPr>
            <w:tcW w:w="4820" w:type="dxa"/>
            <w:tcBorders>
              <w:top w:val="nil"/>
              <w:left w:val="nil"/>
              <w:bottom w:val="nil"/>
              <w:right w:val="single" w:sz="4" w:space="0" w:color="auto"/>
            </w:tcBorders>
            <w:shd w:val="clear" w:color="auto" w:fill="auto"/>
            <w:noWrap/>
            <w:vAlign w:val="bottom"/>
            <w:hideMark/>
          </w:tcPr>
          <w:p w14:paraId="3CECAE18" w14:textId="4054857B" w:rsidR="001D6F06" w:rsidRPr="0090524C" w:rsidRDefault="005F289D" w:rsidP="005F289D">
            <w:pPr>
              <w:spacing w:after="0" w:line="240" w:lineRule="auto"/>
              <w:rPr>
                <w:rFonts w:cs="Arial"/>
                <w:sz w:val="16"/>
                <w:szCs w:val="16"/>
              </w:rPr>
            </w:pPr>
            <w:r>
              <w:rPr>
                <w:sz w:val="16"/>
              </w:rPr>
              <w:t>Non-financial assets</w:t>
            </w:r>
            <w:r>
              <w:rPr>
                <w:sz w:val="16"/>
                <w:vertAlign w:val="superscript"/>
              </w:rPr>
              <w:t>2)</w:t>
            </w:r>
          </w:p>
        </w:tc>
        <w:tc>
          <w:tcPr>
            <w:tcW w:w="1380" w:type="dxa"/>
            <w:tcBorders>
              <w:top w:val="nil"/>
              <w:left w:val="single" w:sz="4" w:space="0" w:color="auto"/>
              <w:bottom w:val="nil"/>
              <w:right w:val="single" w:sz="4" w:space="0" w:color="auto"/>
            </w:tcBorders>
            <w:shd w:val="clear" w:color="auto" w:fill="auto"/>
            <w:noWrap/>
            <w:vAlign w:val="bottom"/>
            <w:hideMark/>
          </w:tcPr>
          <w:p w14:paraId="5EDFB658" w14:textId="24196E6E" w:rsidR="001D6F06" w:rsidRPr="0090524C" w:rsidRDefault="005F289D" w:rsidP="001D6F06">
            <w:pPr>
              <w:spacing w:after="0" w:line="240" w:lineRule="auto"/>
              <w:jc w:val="right"/>
              <w:rPr>
                <w:rFonts w:cs="Arial"/>
                <w:sz w:val="16"/>
                <w:szCs w:val="16"/>
              </w:rPr>
            </w:pPr>
            <w:r>
              <w:rPr>
                <w:sz w:val="16"/>
              </w:rPr>
              <w:t>105</w:t>
            </w:r>
          </w:p>
        </w:tc>
        <w:tc>
          <w:tcPr>
            <w:tcW w:w="1380" w:type="dxa"/>
            <w:tcBorders>
              <w:top w:val="nil"/>
              <w:left w:val="single" w:sz="4" w:space="0" w:color="auto"/>
              <w:bottom w:val="nil"/>
              <w:right w:val="single" w:sz="4" w:space="0" w:color="auto"/>
            </w:tcBorders>
            <w:shd w:val="clear" w:color="auto" w:fill="auto"/>
            <w:noWrap/>
            <w:vAlign w:val="bottom"/>
            <w:hideMark/>
          </w:tcPr>
          <w:p w14:paraId="47632FD3" w14:textId="37C2C2F7" w:rsidR="001D6F06" w:rsidRPr="0090524C" w:rsidRDefault="005F289D" w:rsidP="001D6F06">
            <w:pPr>
              <w:spacing w:after="0" w:line="240" w:lineRule="auto"/>
              <w:jc w:val="right"/>
              <w:rPr>
                <w:rFonts w:cs="Arial"/>
                <w:sz w:val="16"/>
                <w:szCs w:val="16"/>
              </w:rPr>
            </w:pPr>
            <w:r>
              <w:rPr>
                <w:sz w:val="16"/>
              </w:rPr>
              <w:t>100</w:t>
            </w:r>
          </w:p>
        </w:tc>
        <w:tc>
          <w:tcPr>
            <w:tcW w:w="1380" w:type="dxa"/>
            <w:gridSpan w:val="2"/>
            <w:tcBorders>
              <w:top w:val="nil"/>
              <w:left w:val="single" w:sz="4" w:space="0" w:color="auto"/>
              <w:bottom w:val="nil"/>
              <w:right w:val="nil"/>
            </w:tcBorders>
            <w:shd w:val="clear" w:color="auto" w:fill="auto"/>
            <w:noWrap/>
            <w:vAlign w:val="bottom"/>
            <w:hideMark/>
          </w:tcPr>
          <w:p w14:paraId="432E9409" w14:textId="56F86BF3" w:rsidR="001D6F06" w:rsidRPr="0090524C" w:rsidRDefault="005F289D" w:rsidP="001D6F06">
            <w:pPr>
              <w:spacing w:after="0" w:line="240" w:lineRule="auto"/>
              <w:jc w:val="right"/>
              <w:rPr>
                <w:rFonts w:cs="Arial"/>
                <w:sz w:val="16"/>
                <w:szCs w:val="16"/>
              </w:rPr>
            </w:pPr>
            <w:r>
              <w:rPr>
                <w:sz w:val="16"/>
              </w:rPr>
              <w:t>107</w:t>
            </w:r>
          </w:p>
        </w:tc>
      </w:tr>
      <w:tr w:rsidR="001D6F06" w:rsidRPr="0090524C" w14:paraId="3FB4E95D" w14:textId="77777777" w:rsidTr="001D6F06">
        <w:trPr>
          <w:trHeight w:val="285"/>
        </w:trPr>
        <w:tc>
          <w:tcPr>
            <w:tcW w:w="4820" w:type="dxa"/>
            <w:tcBorders>
              <w:top w:val="nil"/>
              <w:left w:val="nil"/>
              <w:bottom w:val="nil"/>
              <w:right w:val="single" w:sz="4" w:space="0" w:color="auto"/>
            </w:tcBorders>
            <w:shd w:val="clear" w:color="auto" w:fill="auto"/>
            <w:noWrap/>
            <w:vAlign w:val="bottom"/>
          </w:tcPr>
          <w:p w14:paraId="16B94058" w14:textId="5E5662A4" w:rsidR="001D6F06" w:rsidRPr="0090524C" w:rsidRDefault="005F289D" w:rsidP="001D6F06">
            <w:pPr>
              <w:spacing w:after="0" w:line="240" w:lineRule="auto"/>
              <w:rPr>
                <w:rFonts w:cs="Arial"/>
                <w:sz w:val="16"/>
                <w:szCs w:val="16"/>
              </w:rPr>
            </w:pPr>
            <w:r>
              <w:rPr>
                <w:sz w:val="16"/>
              </w:rPr>
              <w:t>Financial assets</w:t>
            </w:r>
          </w:p>
        </w:tc>
        <w:tc>
          <w:tcPr>
            <w:tcW w:w="1380" w:type="dxa"/>
            <w:tcBorders>
              <w:top w:val="nil"/>
              <w:left w:val="single" w:sz="4" w:space="0" w:color="auto"/>
              <w:bottom w:val="nil"/>
              <w:right w:val="single" w:sz="4" w:space="0" w:color="auto"/>
            </w:tcBorders>
            <w:shd w:val="clear" w:color="auto" w:fill="auto"/>
            <w:noWrap/>
            <w:vAlign w:val="bottom"/>
          </w:tcPr>
          <w:p w14:paraId="5BE61C40" w14:textId="1BC2AF7F" w:rsidR="001D6F06" w:rsidRPr="0090524C" w:rsidRDefault="005F289D" w:rsidP="001D6F06">
            <w:pPr>
              <w:spacing w:after="0" w:line="240" w:lineRule="auto"/>
              <w:jc w:val="right"/>
              <w:rPr>
                <w:rFonts w:cs="Arial"/>
                <w:sz w:val="16"/>
                <w:szCs w:val="16"/>
              </w:rPr>
            </w:pPr>
            <w:r>
              <w:rPr>
                <w:sz w:val="16"/>
              </w:rPr>
              <w:t>22</w:t>
            </w:r>
          </w:p>
        </w:tc>
        <w:tc>
          <w:tcPr>
            <w:tcW w:w="1380" w:type="dxa"/>
            <w:tcBorders>
              <w:top w:val="nil"/>
              <w:left w:val="single" w:sz="4" w:space="0" w:color="auto"/>
              <w:bottom w:val="nil"/>
              <w:right w:val="single" w:sz="4" w:space="0" w:color="auto"/>
            </w:tcBorders>
            <w:shd w:val="clear" w:color="auto" w:fill="auto"/>
            <w:noWrap/>
            <w:vAlign w:val="bottom"/>
          </w:tcPr>
          <w:p w14:paraId="25D6AA81" w14:textId="4563678D" w:rsidR="001D6F06" w:rsidRPr="0090524C" w:rsidRDefault="005F289D" w:rsidP="001D6F06">
            <w:pPr>
              <w:spacing w:after="0" w:line="240" w:lineRule="auto"/>
              <w:jc w:val="right"/>
              <w:rPr>
                <w:rFonts w:cs="Arial"/>
                <w:sz w:val="16"/>
                <w:szCs w:val="16"/>
              </w:rPr>
            </w:pPr>
            <w:r>
              <w:rPr>
                <w:sz w:val="16"/>
              </w:rPr>
              <w:t>22</w:t>
            </w:r>
          </w:p>
        </w:tc>
        <w:tc>
          <w:tcPr>
            <w:tcW w:w="1380" w:type="dxa"/>
            <w:gridSpan w:val="2"/>
            <w:tcBorders>
              <w:top w:val="nil"/>
              <w:left w:val="single" w:sz="4" w:space="0" w:color="auto"/>
              <w:bottom w:val="nil"/>
              <w:right w:val="nil"/>
            </w:tcBorders>
            <w:shd w:val="clear" w:color="auto" w:fill="auto"/>
            <w:noWrap/>
            <w:vAlign w:val="bottom"/>
          </w:tcPr>
          <w:p w14:paraId="3757D5E1" w14:textId="5ACF1331" w:rsidR="001D6F06" w:rsidRPr="0090524C" w:rsidRDefault="005F289D" w:rsidP="001D6F06">
            <w:pPr>
              <w:spacing w:after="0" w:line="240" w:lineRule="auto"/>
              <w:jc w:val="right"/>
              <w:rPr>
                <w:rFonts w:cs="Arial"/>
                <w:sz w:val="16"/>
                <w:szCs w:val="16"/>
              </w:rPr>
            </w:pPr>
            <w:r>
              <w:rPr>
                <w:sz w:val="16"/>
              </w:rPr>
              <w:t>21</w:t>
            </w:r>
          </w:p>
        </w:tc>
      </w:tr>
      <w:tr w:rsidR="001D6F06" w:rsidRPr="0090524C" w14:paraId="657B1287" w14:textId="77777777" w:rsidTr="001D6F06">
        <w:trPr>
          <w:trHeight w:val="285"/>
        </w:trPr>
        <w:tc>
          <w:tcPr>
            <w:tcW w:w="4820" w:type="dxa"/>
            <w:tcBorders>
              <w:top w:val="nil"/>
              <w:left w:val="nil"/>
              <w:bottom w:val="nil"/>
              <w:right w:val="single" w:sz="4" w:space="0" w:color="auto"/>
            </w:tcBorders>
            <w:shd w:val="clear" w:color="auto" w:fill="auto"/>
            <w:noWrap/>
            <w:vAlign w:val="bottom"/>
          </w:tcPr>
          <w:p w14:paraId="1A695959" w14:textId="5E8DDD2A" w:rsidR="001D6F06" w:rsidRPr="0090524C" w:rsidRDefault="005F289D" w:rsidP="001D6F06">
            <w:pPr>
              <w:spacing w:after="0" w:line="240" w:lineRule="auto"/>
              <w:rPr>
                <w:rFonts w:cs="Arial"/>
                <w:sz w:val="16"/>
                <w:szCs w:val="16"/>
              </w:rPr>
            </w:pPr>
            <w:r>
              <w:rPr>
                <w:sz w:val="16"/>
              </w:rPr>
              <w:t>Financial liabilities</w:t>
            </w:r>
          </w:p>
        </w:tc>
        <w:tc>
          <w:tcPr>
            <w:tcW w:w="1380" w:type="dxa"/>
            <w:tcBorders>
              <w:top w:val="nil"/>
              <w:left w:val="single" w:sz="4" w:space="0" w:color="auto"/>
              <w:bottom w:val="nil"/>
              <w:right w:val="single" w:sz="4" w:space="0" w:color="auto"/>
            </w:tcBorders>
            <w:shd w:val="clear" w:color="auto" w:fill="auto"/>
            <w:noWrap/>
            <w:vAlign w:val="bottom"/>
          </w:tcPr>
          <w:p w14:paraId="56956686" w14:textId="38EF6D20" w:rsidR="001D6F06" w:rsidRPr="0090524C" w:rsidRDefault="005F289D" w:rsidP="001D6F06">
            <w:pPr>
              <w:spacing w:after="0" w:line="240" w:lineRule="auto"/>
              <w:jc w:val="right"/>
              <w:rPr>
                <w:rFonts w:cs="Arial"/>
                <w:sz w:val="16"/>
                <w:szCs w:val="16"/>
              </w:rPr>
            </w:pPr>
            <w:r>
              <w:rPr>
                <w:sz w:val="16"/>
              </w:rPr>
              <w:t>32</w:t>
            </w:r>
          </w:p>
        </w:tc>
        <w:tc>
          <w:tcPr>
            <w:tcW w:w="1380" w:type="dxa"/>
            <w:tcBorders>
              <w:top w:val="nil"/>
              <w:left w:val="single" w:sz="4" w:space="0" w:color="auto"/>
              <w:bottom w:val="nil"/>
              <w:right w:val="single" w:sz="4" w:space="0" w:color="auto"/>
            </w:tcBorders>
            <w:shd w:val="clear" w:color="auto" w:fill="auto"/>
            <w:noWrap/>
            <w:vAlign w:val="bottom"/>
          </w:tcPr>
          <w:p w14:paraId="3C8B0F8D" w14:textId="16C071A1" w:rsidR="001D6F06" w:rsidRPr="0090524C" w:rsidRDefault="005F289D" w:rsidP="001D6F06">
            <w:pPr>
              <w:spacing w:after="0" w:line="240" w:lineRule="auto"/>
              <w:jc w:val="right"/>
              <w:rPr>
                <w:rFonts w:cs="Arial"/>
                <w:sz w:val="16"/>
                <w:szCs w:val="16"/>
              </w:rPr>
            </w:pPr>
            <w:r>
              <w:rPr>
                <w:sz w:val="16"/>
              </w:rPr>
              <w:t>31</w:t>
            </w:r>
          </w:p>
        </w:tc>
        <w:tc>
          <w:tcPr>
            <w:tcW w:w="1380" w:type="dxa"/>
            <w:gridSpan w:val="2"/>
            <w:tcBorders>
              <w:top w:val="nil"/>
              <w:left w:val="single" w:sz="4" w:space="0" w:color="auto"/>
              <w:bottom w:val="nil"/>
              <w:right w:val="nil"/>
            </w:tcBorders>
            <w:shd w:val="clear" w:color="auto" w:fill="auto"/>
            <w:noWrap/>
            <w:vAlign w:val="bottom"/>
          </w:tcPr>
          <w:p w14:paraId="3DE06B24" w14:textId="29DAC8DB" w:rsidR="001D6F06" w:rsidRPr="0090524C" w:rsidRDefault="005F289D" w:rsidP="001D6F06">
            <w:pPr>
              <w:spacing w:after="0" w:line="240" w:lineRule="auto"/>
              <w:jc w:val="right"/>
              <w:rPr>
                <w:rFonts w:cs="Arial"/>
                <w:sz w:val="16"/>
                <w:szCs w:val="16"/>
              </w:rPr>
            </w:pPr>
            <w:r>
              <w:rPr>
                <w:sz w:val="16"/>
              </w:rPr>
              <w:t>31</w:t>
            </w:r>
          </w:p>
        </w:tc>
      </w:tr>
      <w:tr w:rsidR="001D6F06" w:rsidRPr="0090524C" w14:paraId="5393C84A" w14:textId="77777777" w:rsidTr="001D6F06">
        <w:trPr>
          <w:trHeight w:val="20"/>
        </w:trPr>
        <w:tc>
          <w:tcPr>
            <w:tcW w:w="4820" w:type="dxa"/>
            <w:tcBorders>
              <w:top w:val="nil"/>
              <w:left w:val="nil"/>
              <w:bottom w:val="nil"/>
            </w:tcBorders>
            <w:shd w:val="clear" w:color="auto" w:fill="auto"/>
            <w:noWrap/>
            <w:vAlign w:val="bottom"/>
          </w:tcPr>
          <w:p w14:paraId="57ECCCB7" w14:textId="77777777" w:rsidR="001D6F06" w:rsidRPr="0090524C" w:rsidRDefault="001D6F06" w:rsidP="001D6F06">
            <w:pPr>
              <w:spacing w:after="0" w:line="240" w:lineRule="auto"/>
              <w:rPr>
                <w:rFonts w:cs="Arial"/>
                <w:sz w:val="16"/>
                <w:szCs w:val="16"/>
              </w:rPr>
            </w:pPr>
          </w:p>
        </w:tc>
        <w:tc>
          <w:tcPr>
            <w:tcW w:w="1380" w:type="dxa"/>
            <w:tcBorders>
              <w:top w:val="nil"/>
              <w:bottom w:val="nil"/>
            </w:tcBorders>
            <w:shd w:val="clear" w:color="auto" w:fill="auto"/>
            <w:noWrap/>
            <w:vAlign w:val="bottom"/>
          </w:tcPr>
          <w:p w14:paraId="32767A5F" w14:textId="77777777" w:rsidR="001D6F06" w:rsidRPr="0090524C" w:rsidRDefault="001D6F06" w:rsidP="001D6F06">
            <w:pPr>
              <w:spacing w:after="0" w:line="240" w:lineRule="auto"/>
              <w:jc w:val="right"/>
              <w:rPr>
                <w:rFonts w:cs="Arial"/>
                <w:sz w:val="16"/>
                <w:szCs w:val="16"/>
              </w:rPr>
            </w:pPr>
          </w:p>
        </w:tc>
        <w:tc>
          <w:tcPr>
            <w:tcW w:w="1380" w:type="dxa"/>
            <w:tcBorders>
              <w:top w:val="nil"/>
              <w:bottom w:val="nil"/>
            </w:tcBorders>
            <w:shd w:val="clear" w:color="auto" w:fill="auto"/>
            <w:noWrap/>
            <w:vAlign w:val="bottom"/>
          </w:tcPr>
          <w:p w14:paraId="06416BF3" w14:textId="77777777" w:rsidR="001D6F06" w:rsidRPr="0090524C" w:rsidRDefault="001D6F06" w:rsidP="001D6F06">
            <w:pPr>
              <w:spacing w:after="0" w:line="240" w:lineRule="auto"/>
              <w:jc w:val="right"/>
              <w:rPr>
                <w:rFonts w:cs="Arial"/>
                <w:sz w:val="16"/>
                <w:szCs w:val="16"/>
              </w:rPr>
            </w:pPr>
          </w:p>
        </w:tc>
        <w:tc>
          <w:tcPr>
            <w:tcW w:w="1380" w:type="dxa"/>
            <w:gridSpan w:val="2"/>
            <w:tcBorders>
              <w:top w:val="nil"/>
              <w:bottom w:val="nil"/>
              <w:right w:val="nil"/>
            </w:tcBorders>
            <w:shd w:val="clear" w:color="auto" w:fill="auto"/>
            <w:noWrap/>
            <w:vAlign w:val="bottom"/>
          </w:tcPr>
          <w:p w14:paraId="16D7102A" w14:textId="77777777" w:rsidR="001D6F06" w:rsidRPr="0090524C" w:rsidRDefault="001D6F06" w:rsidP="001D6F06">
            <w:pPr>
              <w:spacing w:after="0" w:line="240" w:lineRule="auto"/>
              <w:jc w:val="right"/>
              <w:rPr>
                <w:rFonts w:cs="Arial"/>
                <w:sz w:val="16"/>
                <w:szCs w:val="16"/>
              </w:rPr>
            </w:pPr>
          </w:p>
        </w:tc>
      </w:tr>
      <w:tr w:rsidR="001D6F06" w:rsidRPr="0090524C" w14:paraId="731F17E2" w14:textId="77777777" w:rsidTr="001D6F06">
        <w:trPr>
          <w:trHeight w:val="285"/>
        </w:trPr>
        <w:tc>
          <w:tcPr>
            <w:tcW w:w="8960" w:type="dxa"/>
            <w:gridSpan w:val="5"/>
            <w:tcBorders>
              <w:top w:val="nil"/>
              <w:left w:val="nil"/>
              <w:bottom w:val="nil"/>
            </w:tcBorders>
            <w:shd w:val="clear" w:color="auto" w:fill="auto"/>
            <w:noWrap/>
          </w:tcPr>
          <w:p w14:paraId="2603F3FB" w14:textId="10D53EAD" w:rsidR="005F289D" w:rsidRDefault="001D6F06" w:rsidP="0097003E">
            <w:pPr>
              <w:spacing w:after="0" w:line="360" w:lineRule="auto"/>
              <w:rPr>
                <w:sz w:val="16"/>
              </w:rPr>
            </w:pPr>
            <w:r>
              <w:rPr>
                <w:sz w:val="16"/>
                <w:vertAlign w:val="superscript"/>
              </w:rPr>
              <w:t>1)</w:t>
            </w:r>
            <w:r>
              <w:rPr>
                <w:sz w:val="16"/>
              </w:rPr>
              <w:t xml:space="preserve"> Net wealth = non-financial assets + financial assets - financial liabilities.</w:t>
            </w:r>
          </w:p>
          <w:p w14:paraId="57F9A649" w14:textId="652397D0" w:rsidR="005F289D" w:rsidRDefault="005F289D" w:rsidP="005F289D">
            <w:pPr>
              <w:spacing w:after="0" w:line="240" w:lineRule="auto"/>
              <w:rPr>
                <w:sz w:val="16"/>
              </w:rPr>
            </w:pPr>
            <w:r>
              <w:rPr>
                <w:sz w:val="16"/>
                <w:vertAlign w:val="superscript"/>
              </w:rPr>
              <w:t>2)</w:t>
            </w:r>
            <w:r>
              <w:rPr>
                <w:sz w:val="16"/>
              </w:rPr>
              <w:t xml:space="preserve"> Non-financial assets calculated from </w:t>
            </w:r>
            <w:r w:rsidR="002D43FD">
              <w:rPr>
                <w:sz w:val="16"/>
              </w:rPr>
              <w:t>FSD</w:t>
            </w:r>
            <w:r>
              <w:rPr>
                <w:sz w:val="16"/>
              </w:rPr>
              <w:t xml:space="preserve"> data do not include the value of vehicles and other properties than the main residence, making the resulting value comparable to the value of non-financial assets according to the national accounts definition.</w:t>
            </w:r>
          </w:p>
          <w:p w14:paraId="67779F17" w14:textId="3040D0B3" w:rsidR="005F289D" w:rsidRPr="0090524C" w:rsidRDefault="005F289D" w:rsidP="001D6F06">
            <w:pPr>
              <w:spacing w:after="0" w:line="240" w:lineRule="auto"/>
              <w:rPr>
                <w:rFonts w:cs="Arial"/>
                <w:sz w:val="16"/>
                <w:szCs w:val="16"/>
              </w:rPr>
            </w:pPr>
          </w:p>
        </w:tc>
      </w:tr>
    </w:tbl>
    <w:p w14:paraId="0CD535FF" w14:textId="78049563" w:rsidR="001D6F06" w:rsidRDefault="001D6F06" w:rsidP="0090524C">
      <w:pPr>
        <w:spacing w:after="0" w:line="240" w:lineRule="auto"/>
      </w:pPr>
    </w:p>
    <w:p w14:paraId="62E3EA81" w14:textId="77777777" w:rsidR="005F289D" w:rsidRPr="0090524C" w:rsidRDefault="005F289D" w:rsidP="0090524C">
      <w:pPr>
        <w:spacing w:after="0" w:line="240" w:lineRule="auto"/>
      </w:pPr>
    </w:p>
    <w:p w14:paraId="09D789D6" w14:textId="43CD75C7" w:rsidR="007A2C19" w:rsidRPr="0090524C" w:rsidRDefault="007A2C19" w:rsidP="007A2C19">
      <w:pPr>
        <w:jc w:val="both"/>
        <w:rPr>
          <w:szCs w:val="22"/>
        </w:rPr>
      </w:pPr>
      <w:r>
        <w:t>The ECB has prepared and described a detailed analysis comparing HFCS and macro data on the financial wealth and liabilities of households across all countries of the European Union participating in the HFCS survey (ECB 2023a). This analysis shows a similar phenomenon to that described in </w:t>
      </w:r>
      <w:r w:rsidR="00C83506">
        <w:fldChar w:fldCharType="begin"/>
      </w:r>
      <w:r w:rsidR="00C83506">
        <w:instrText xml:space="preserve"> REF Tab2 \h </w:instrText>
      </w:r>
      <w:r w:rsidR="00C83506">
        <w:fldChar w:fldCharType="separate"/>
      </w:r>
      <w:r w:rsidR="006F653B">
        <w:t>Table 2</w:t>
      </w:r>
      <w:r w:rsidR="00C83506">
        <w:fldChar w:fldCharType="end"/>
      </w:r>
      <w:r>
        <w:t xml:space="preserve"> for all (most) participating countries, i.e. that financial assets (liabilities) from the HFCS are lower than financial assets from the national accounts. This analysis draws from the outputs of an expert group established by the ECB, which aims to understand and quantify the differences between data on household financial wealth from the HFCS and the national accounts (ECB 2020).</w:t>
      </w:r>
      <w:bookmarkStart w:id="20" w:name="_GoBack"/>
      <w:bookmarkEnd w:id="5"/>
      <w:bookmarkEnd w:id="20"/>
    </w:p>
    <w:sectPr w:rsidR="007A2C19" w:rsidRPr="0090524C" w:rsidSect="006F5416">
      <w:headerReference w:type="even" r:id="rId11"/>
      <w:headerReference w:type="default" r:id="rId12"/>
      <w:footerReference w:type="even" r:id="rId13"/>
      <w:footerReference w:type="default" r:id="rId14"/>
      <w:pgSz w:w="11906" w:h="16838" w:code="9"/>
      <w:pgMar w:top="1134" w:right="1134" w:bottom="1418" w:left="1134" w:header="680" w:footer="68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C577EB6" w16cex:dateUtc="2024-11-10T22:54:00Z"/>
  <w16cex:commentExtensible w16cex:durableId="20287F78" w16cex:dateUtc="2024-11-10T23:04:00Z"/>
  <w16cex:commentExtensible w16cex:durableId="0AB35178" w16cex:dateUtc="2024-11-10T2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2F61389" w16cid:durableId="4EC9DF0F"/>
  <w16cid:commentId w16cid:paraId="79F3CC4E" w16cid:durableId="700BEA13"/>
  <w16cid:commentId w16cid:paraId="6DB591F4" w16cid:durableId="407ED7FC"/>
  <w16cid:commentId w16cid:paraId="066E9616" w16cid:durableId="7C577EB6"/>
  <w16cid:commentId w16cid:paraId="20250C50" w16cid:durableId="1F0BD4A7"/>
  <w16cid:commentId w16cid:paraId="11E07276" w16cid:durableId="20287F78"/>
  <w16cid:commentId w16cid:paraId="32E41D41" w16cid:durableId="0AB35178"/>
  <w16cid:commentId w16cid:paraId="2AE9144D" w16cid:durableId="7A45D1E8"/>
  <w16cid:commentId w16cid:paraId="1E13FF06" w16cid:durableId="5827475B"/>
  <w16cid:commentId w16cid:paraId="3B1B7398" w16cid:durableId="52FB90DB"/>
  <w16cid:commentId w16cid:paraId="07661CFA" w16cid:durableId="310FC183"/>
  <w16cid:commentId w16cid:paraId="077AA9FE" w16cid:durableId="7A35DE27"/>
  <w16cid:commentId w16cid:paraId="59683C55" w16cid:durableId="3C251EB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0C9E8" w14:textId="77777777" w:rsidR="00D90791" w:rsidRDefault="00D90791" w:rsidP="00E71A58">
      <w:r>
        <w:separator/>
      </w:r>
    </w:p>
  </w:endnote>
  <w:endnote w:type="continuationSeparator" w:id="0">
    <w:p w14:paraId="3B8E1064" w14:textId="77777777" w:rsidR="00D90791" w:rsidRDefault="00D90791"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charset w:val="00"/>
    <w:family w:val="auto"/>
    <w:pitch w:val="variable"/>
    <w:sig w:usb0="60000287" w:usb1="00000001"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8FDA8" w14:textId="61281493" w:rsidR="0090048B" w:rsidRPr="00932443" w:rsidRDefault="0090048B" w:rsidP="00A418BC">
    <w:pPr>
      <w:pStyle w:val="Zpat"/>
      <w:rPr>
        <w:szCs w:val="16"/>
      </w:rPr>
    </w:pPr>
    <w:r>
      <w:rPr>
        <w:lang w:val="cs-CZ" w:eastAsia="cs-CZ"/>
      </w:rPr>
      <w:drawing>
        <wp:anchor distT="0" distB="0" distL="114300" distR="114300" simplePos="0" relativeHeight="251658240" behindDoc="0" locked="0" layoutInCell="1" allowOverlap="1" wp14:anchorId="1C2069DB" wp14:editId="2289C84F">
          <wp:simplePos x="0" y="0"/>
          <wp:positionH relativeFrom="column">
            <wp:align>right</wp:align>
          </wp:positionH>
          <wp:positionV relativeFrom="paragraph">
            <wp:posOffset>-64770</wp:posOffset>
          </wp:positionV>
          <wp:extent cx="428625" cy="201295"/>
          <wp:effectExtent l="0" t="0" r="3175" b="1905"/>
          <wp:wrapNone/>
          <wp:docPr id="11" name="Picture 11"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fldChar w:fldCharType="begin"/>
    </w:r>
    <w:r w:rsidRPr="00932443">
      <w:instrText>PAGE   \* MERGEFORMAT</w:instrText>
    </w:r>
    <w:r w:rsidRPr="00932443">
      <w:fldChar w:fldCharType="separate"/>
    </w:r>
    <w:r w:rsidR="00861A0A">
      <w:t>2</w:t>
    </w:r>
    <w:r w:rsidRPr="00932443">
      <w:fldChar w:fldCharType="end"/>
    </w:r>
    <w:r>
      <w:tab/>
      <w:t>2021, 2022, 2023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114CD" w14:textId="17EC56E2" w:rsidR="0090048B" w:rsidRPr="00932443" w:rsidRDefault="0090048B" w:rsidP="00A418BC">
    <w:pPr>
      <w:pStyle w:val="Zpat"/>
      <w:rPr>
        <w:szCs w:val="16"/>
      </w:rPr>
    </w:pPr>
    <w:r>
      <w:rPr>
        <w:lang w:val="cs-CZ" w:eastAsia="cs-CZ"/>
      </w:rPr>
      <w:drawing>
        <wp:anchor distT="0" distB="0" distL="114300" distR="114300" simplePos="0" relativeHeight="251640320" behindDoc="0" locked="0" layoutInCell="1" allowOverlap="1" wp14:anchorId="1AD638B2" wp14:editId="2749CEC5">
          <wp:simplePos x="0" y="0"/>
          <wp:positionH relativeFrom="column">
            <wp:align>left</wp:align>
          </wp:positionH>
          <wp:positionV relativeFrom="paragraph">
            <wp:posOffset>-122555</wp:posOffset>
          </wp:positionV>
          <wp:extent cx="510540" cy="272415"/>
          <wp:effectExtent l="0" t="0" r="0" b="6985"/>
          <wp:wrapNone/>
          <wp:docPr id="10" name="Picture 10"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rStyle w:val="ZpatChar"/>
      </w:rPr>
      <w:t>2021, 2022, 2023</w:t>
    </w:r>
    <w:r>
      <w:tab/>
    </w:r>
    <w:r w:rsidRPr="00932443">
      <w:rPr>
        <w:rStyle w:val="ZpatChar"/>
      </w:rPr>
      <w:fldChar w:fldCharType="begin"/>
    </w:r>
    <w:r w:rsidRPr="00932443">
      <w:rPr>
        <w:rStyle w:val="ZpatChar"/>
      </w:rPr>
      <w:instrText>PAGE   \* MERGEFORMAT</w:instrText>
    </w:r>
    <w:r w:rsidRPr="00932443">
      <w:rPr>
        <w:rStyle w:val="ZpatChar"/>
      </w:rPr>
      <w:fldChar w:fldCharType="separate"/>
    </w:r>
    <w:r w:rsidR="00D90791">
      <w:rPr>
        <w:rStyle w:val="ZpatChar"/>
      </w:rPr>
      <w:t>1</w:t>
    </w:r>
    <w:r w:rsidRPr="00932443">
      <w:rPr>
        <w:rStyle w:val="Zpat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E8B99" w14:textId="77777777" w:rsidR="00D90791" w:rsidRDefault="00D90791" w:rsidP="00E71A58">
      <w:r>
        <w:separator/>
      </w:r>
    </w:p>
  </w:footnote>
  <w:footnote w:type="continuationSeparator" w:id="0">
    <w:p w14:paraId="36CF5F98" w14:textId="77777777" w:rsidR="00D90791" w:rsidRDefault="00D90791" w:rsidP="00E71A58">
      <w:r>
        <w:continuationSeparator/>
      </w:r>
    </w:p>
  </w:footnote>
  <w:footnote w:id="1">
    <w:p w14:paraId="191E9337" w14:textId="4C819643" w:rsidR="0090048B" w:rsidRDefault="0090048B" w:rsidP="005F7A68">
      <w:pPr>
        <w:pStyle w:val="Textpoznpodarou"/>
      </w:pPr>
      <w:r>
        <w:rPr>
          <w:rStyle w:val="Znakapoznpodarou"/>
        </w:rPr>
        <w:footnoteRef/>
      </w:r>
      <w:r>
        <w:t xml:space="preserve"> The estimate of the value of households’ non-financial assets in the national accounts focuses mainly on residential real estate (apartments, houses, land). The value is determined based on realised market prices, real estate price indices, and estimates of the residential housing stock. Model calculations that take into account the wear and tear and depreciation of assets are also used. Financial assets and liabilities in the national accounts concept include data for the whole economy. For this purpose, a wide range of sources is used, including data from non-financial, financial, government and non-profit institutions. The reported values of liabilities and financial assets are allocated to assets, including household assets. However, the national accounts are not only the sum of data from data sources primarily based on corporate accounting. National accounts data are in some cases supplemented by additional estimates and adjustments that ensure compliance with the ESA 2010 national accounts methodology. Significant adjustments of this type include, for example, the imputation of technical reserves from non-life insurance in the assets of insured households, the imputation of the share of households in housing cooperatives, valued in the context of the national accounts at the value of the given property, and the adjustment of the value of participation in household assets, which includes data even for the wealthiest households. The CNB is the main source of data for the national accounts.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C58B8" w14:textId="582A586B" w:rsidR="0090048B" w:rsidRPr="006F5416" w:rsidRDefault="0090048B" w:rsidP="00937AE2">
    <w:pPr>
      <w:pStyle w:val="Zhlav"/>
    </w:pPr>
    <w:r>
      <w:t>Financial Situation of Households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CBD91" w14:textId="1AB9A6CC" w:rsidR="0090048B" w:rsidRPr="006F5416" w:rsidRDefault="0090048B" w:rsidP="00937AE2">
    <w:pPr>
      <w:pStyle w:val="Zhlav"/>
    </w:pPr>
    <w:r>
      <w:t>Financial Situation of Households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2543CE"/>
    <w:multiLevelType w:val="hybridMultilevel"/>
    <w:tmpl w:val="5ABA1E28"/>
    <w:lvl w:ilvl="0" w:tplc="26D87186">
      <w:start w:val="1"/>
      <w:numFmt w:val="bullet"/>
      <w:pStyle w:val="Odrky"/>
      <w:lvlText w:val=""/>
      <w:lvlJc w:val="left"/>
      <w:pPr>
        <w:tabs>
          <w:tab w:val="num" w:pos="720"/>
        </w:tabs>
        <w:ind w:left="720" w:hanging="360"/>
      </w:pPr>
      <w:rPr>
        <w:rFonts w:ascii="Wingdings" w:hAnsi="Wingdings" w:hint="default"/>
      </w:rPr>
    </w:lvl>
    <w:lvl w:ilvl="1" w:tplc="A754B368">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8F0B40"/>
    <w:multiLevelType w:val="hybridMultilevel"/>
    <w:tmpl w:val="7F7E659E"/>
    <w:lvl w:ilvl="0" w:tplc="04050001">
      <w:start w:val="1"/>
      <w:numFmt w:val="bullet"/>
      <w:lvlText w:val=""/>
      <w:lvlJc w:val="left"/>
      <w:pPr>
        <w:tabs>
          <w:tab w:val="num" w:pos="720"/>
        </w:tabs>
        <w:ind w:left="720" w:hanging="360"/>
      </w:pPr>
      <w:rPr>
        <w:rFonts w:ascii="Symbol" w:hAnsi="Symbol" w:hint="default"/>
      </w:rPr>
    </w:lvl>
    <w:lvl w:ilvl="1" w:tplc="A754B368">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FC586C"/>
    <w:multiLevelType w:val="hybridMultilevel"/>
    <w:tmpl w:val="F118B42C"/>
    <w:lvl w:ilvl="0" w:tplc="BE02D2BC">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8BA4C48"/>
    <w:multiLevelType w:val="hybridMultilevel"/>
    <w:tmpl w:val="5AC6F05C"/>
    <w:lvl w:ilvl="0" w:tplc="A52616C2">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B3D6A46"/>
    <w:multiLevelType w:val="hybridMultilevel"/>
    <w:tmpl w:val="0EAEA0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DFF1CDF"/>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2F74713"/>
    <w:multiLevelType w:val="hybridMultilevel"/>
    <w:tmpl w:val="C8B20FBE"/>
    <w:lvl w:ilvl="0" w:tplc="04050001">
      <w:start w:val="1"/>
      <w:numFmt w:val="bullet"/>
      <w:lvlText w:val=""/>
      <w:lvlJc w:val="left"/>
      <w:pPr>
        <w:tabs>
          <w:tab w:val="num" w:pos="720"/>
        </w:tabs>
        <w:ind w:left="720" w:hanging="360"/>
      </w:pPr>
      <w:rPr>
        <w:rFonts w:ascii="Symbol" w:hAnsi="Symbol" w:hint="default"/>
      </w:rPr>
    </w:lvl>
    <w:lvl w:ilvl="1" w:tplc="A754B368">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9110BC"/>
    <w:multiLevelType w:val="hybridMultilevel"/>
    <w:tmpl w:val="8B1EA14E"/>
    <w:lvl w:ilvl="0" w:tplc="AC327930">
      <w:start w:val="1"/>
      <w:numFmt w:val="decimal"/>
      <w:lvlText w:val="%1)"/>
      <w:lvlJc w:val="left"/>
      <w:pPr>
        <w:ind w:left="720" w:hanging="360"/>
      </w:pPr>
      <w:rPr>
        <w:rFonts w:cs="Arial" w:hint="default"/>
        <w:sz w:val="16"/>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2"/>
  </w:num>
  <w:num w:numId="13">
    <w:abstractNumId w:val="16"/>
  </w:num>
  <w:num w:numId="14">
    <w:abstractNumId w:val="18"/>
  </w:num>
  <w:num w:numId="15">
    <w:abstractNumId w:val="10"/>
  </w:num>
  <w:num w:numId="16">
    <w:abstractNumId w:val="17"/>
  </w:num>
  <w:num w:numId="17">
    <w:abstractNumId w:val="11"/>
  </w:num>
  <w:num w:numId="18">
    <w:abstractNumId w:val="19"/>
  </w:num>
  <w:num w:numId="19">
    <w:abstractNumId w:val="20"/>
  </w:num>
  <w:num w:numId="20">
    <w:abstractNumId w:val="1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0"/>
  <w:hyphenationZone w:val="425"/>
  <w:evenAndOddHeaders/>
  <w:drawingGridHorizontalSpacing w:val="110"/>
  <w:displayHorizontalDrawingGridEvery w:val="2"/>
  <w:characterSpacingControl w:val="doNotCompress"/>
  <w:savePreviewPicture/>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DED"/>
    <w:rsid w:val="0000209D"/>
    <w:rsid w:val="00003D3C"/>
    <w:rsid w:val="00004D5A"/>
    <w:rsid w:val="000056D5"/>
    <w:rsid w:val="00005E45"/>
    <w:rsid w:val="0000767A"/>
    <w:rsid w:val="00010702"/>
    <w:rsid w:val="000234D6"/>
    <w:rsid w:val="0002386F"/>
    <w:rsid w:val="00023D29"/>
    <w:rsid w:val="00024214"/>
    <w:rsid w:val="00026373"/>
    <w:rsid w:val="00026389"/>
    <w:rsid w:val="00031AE0"/>
    <w:rsid w:val="000322EF"/>
    <w:rsid w:val="00033FCD"/>
    <w:rsid w:val="00036228"/>
    <w:rsid w:val="00041CEC"/>
    <w:rsid w:val="00043924"/>
    <w:rsid w:val="0004694F"/>
    <w:rsid w:val="000522E4"/>
    <w:rsid w:val="0005414F"/>
    <w:rsid w:val="000610E1"/>
    <w:rsid w:val="00062EC5"/>
    <w:rsid w:val="00062F22"/>
    <w:rsid w:val="00064BBE"/>
    <w:rsid w:val="000712B3"/>
    <w:rsid w:val="0008263E"/>
    <w:rsid w:val="00082C19"/>
    <w:rsid w:val="00085395"/>
    <w:rsid w:val="000858BF"/>
    <w:rsid w:val="00087634"/>
    <w:rsid w:val="00087F2B"/>
    <w:rsid w:val="000974D1"/>
    <w:rsid w:val="0009799E"/>
    <w:rsid w:val="000A1183"/>
    <w:rsid w:val="000A1377"/>
    <w:rsid w:val="000A256D"/>
    <w:rsid w:val="000A3A2C"/>
    <w:rsid w:val="000A43A0"/>
    <w:rsid w:val="000B17EB"/>
    <w:rsid w:val="000B207E"/>
    <w:rsid w:val="000B5506"/>
    <w:rsid w:val="000C3408"/>
    <w:rsid w:val="000C6AFD"/>
    <w:rsid w:val="000D26CD"/>
    <w:rsid w:val="000D5637"/>
    <w:rsid w:val="000D73AB"/>
    <w:rsid w:val="000E6FBD"/>
    <w:rsid w:val="000F6AFD"/>
    <w:rsid w:val="00100020"/>
    <w:rsid w:val="00100262"/>
    <w:rsid w:val="00100F5C"/>
    <w:rsid w:val="001026B5"/>
    <w:rsid w:val="00104C4C"/>
    <w:rsid w:val="0012192F"/>
    <w:rsid w:val="001233BC"/>
    <w:rsid w:val="00125D69"/>
    <w:rsid w:val="001405FA"/>
    <w:rsid w:val="001425C3"/>
    <w:rsid w:val="00150680"/>
    <w:rsid w:val="00156566"/>
    <w:rsid w:val="00156AA1"/>
    <w:rsid w:val="00156DD9"/>
    <w:rsid w:val="001607A8"/>
    <w:rsid w:val="0016256B"/>
    <w:rsid w:val="00163793"/>
    <w:rsid w:val="001706D6"/>
    <w:rsid w:val="001714F2"/>
    <w:rsid w:val="00175ABB"/>
    <w:rsid w:val="00184B08"/>
    <w:rsid w:val="00185010"/>
    <w:rsid w:val="001A0084"/>
    <w:rsid w:val="001A552F"/>
    <w:rsid w:val="001B2CA9"/>
    <w:rsid w:val="001B3110"/>
    <w:rsid w:val="001B3B02"/>
    <w:rsid w:val="001B4729"/>
    <w:rsid w:val="001B6C09"/>
    <w:rsid w:val="001C0522"/>
    <w:rsid w:val="001C05CD"/>
    <w:rsid w:val="001C44BF"/>
    <w:rsid w:val="001D0B3C"/>
    <w:rsid w:val="001D17EE"/>
    <w:rsid w:val="001D2707"/>
    <w:rsid w:val="001D68B2"/>
    <w:rsid w:val="001D6F06"/>
    <w:rsid w:val="001E1070"/>
    <w:rsid w:val="001E460F"/>
    <w:rsid w:val="001E5A4B"/>
    <w:rsid w:val="001F2E40"/>
    <w:rsid w:val="001F4597"/>
    <w:rsid w:val="002118B9"/>
    <w:rsid w:val="00216FBB"/>
    <w:rsid w:val="00217C5B"/>
    <w:rsid w:val="0022139E"/>
    <w:rsid w:val="002252E0"/>
    <w:rsid w:val="002255F6"/>
    <w:rsid w:val="00227850"/>
    <w:rsid w:val="00227A53"/>
    <w:rsid w:val="00230C6E"/>
    <w:rsid w:val="002344FC"/>
    <w:rsid w:val="00236443"/>
    <w:rsid w:val="002436BA"/>
    <w:rsid w:val="00244A15"/>
    <w:rsid w:val="00247319"/>
    <w:rsid w:val="0024799E"/>
    <w:rsid w:val="00253C0F"/>
    <w:rsid w:val="00271465"/>
    <w:rsid w:val="00285412"/>
    <w:rsid w:val="00290446"/>
    <w:rsid w:val="002A16D4"/>
    <w:rsid w:val="002A230C"/>
    <w:rsid w:val="002A53B9"/>
    <w:rsid w:val="002A7C01"/>
    <w:rsid w:val="002B0D6D"/>
    <w:rsid w:val="002C3644"/>
    <w:rsid w:val="002C43BD"/>
    <w:rsid w:val="002D0E59"/>
    <w:rsid w:val="002D224A"/>
    <w:rsid w:val="002D2526"/>
    <w:rsid w:val="002D43FD"/>
    <w:rsid w:val="002E02A1"/>
    <w:rsid w:val="002E4E4C"/>
    <w:rsid w:val="002E5B21"/>
    <w:rsid w:val="002E5E9A"/>
    <w:rsid w:val="002E78A0"/>
    <w:rsid w:val="002F20EB"/>
    <w:rsid w:val="002F3EDE"/>
    <w:rsid w:val="00304771"/>
    <w:rsid w:val="0030508F"/>
    <w:rsid w:val="003052D4"/>
    <w:rsid w:val="00306C5B"/>
    <w:rsid w:val="00312060"/>
    <w:rsid w:val="00314D9F"/>
    <w:rsid w:val="003209D6"/>
    <w:rsid w:val="00321924"/>
    <w:rsid w:val="00325190"/>
    <w:rsid w:val="0032656E"/>
    <w:rsid w:val="00326D0B"/>
    <w:rsid w:val="00327485"/>
    <w:rsid w:val="00332190"/>
    <w:rsid w:val="003408DD"/>
    <w:rsid w:val="00342BA9"/>
    <w:rsid w:val="00343D6D"/>
    <w:rsid w:val="00344668"/>
    <w:rsid w:val="0034485F"/>
    <w:rsid w:val="003449C1"/>
    <w:rsid w:val="003462D9"/>
    <w:rsid w:val="00360C86"/>
    <w:rsid w:val="00362FEC"/>
    <w:rsid w:val="003657F3"/>
    <w:rsid w:val="00372436"/>
    <w:rsid w:val="0037392F"/>
    <w:rsid w:val="003814C5"/>
    <w:rsid w:val="003818DC"/>
    <w:rsid w:val="00384327"/>
    <w:rsid w:val="00385D98"/>
    <w:rsid w:val="00394D4B"/>
    <w:rsid w:val="0039614F"/>
    <w:rsid w:val="0039774A"/>
    <w:rsid w:val="003A0F05"/>
    <w:rsid w:val="003A2B4D"/>
    <w:rsid w:val="003A478C"/>
    <w:rsid w:val="003A5525"/>
    <w:rsid w:val="003A6B38"/>
    <w:rsid w:val="003B5A32"/>
    <w:rsid w:val="003B6012"/>
    <w:rsid w:val="003C2CFB"/>
    <w:rsid w:val="003C3490"/>
    <w:rsid w:val="003C710A"/>
    <w:rsid w:val="003D3982"/>
    <w:rsid w:val="003D5BC2"/>
    <w:rsid w:val="003D6920"/>
    <w:rsid w:val="003E4C91"/>
    <w:rsid w:val="003F313C"/>
    <w:rsid w:val="003F4B2C"/>
    <w:rsid w:val="003F551C"/>
    <w:rsid w:val="003F7D23"/>
    <w:rsid w:val="00402336"/>
    <w:rsid w:val="00402DF1"/>
    <w:rsid w:val="004060E9"/>
    <w:rsid w:val="00407C13"/>
    <w:rsid w:val="00410638"/>
    <w:rsid w:val="00425D4E"/>
    <w:rsid w:val="00431B2C"/>
    <w:rsid w:val="00431B84"/>
    <w:rsid w:val="00432A58"/>
    <w:rsid w:val="0043362C"/>
    <w:rsid w:val="00434617"/>
    <w:rsid w:val="004406C5"/>
    <w:rsid w:val="00440900"/>
    <w:rsid w:val="004413BA"/>
    <w:rsid w:val="004441A0"/>
    <w:rsid w:val="00460F50"/>
    <w:rsid w:val="00460FB3"/>
    <w:rsid w:val="004667A2"/>
    <w:rsid w:val="00471819"/>
    <w:rsid w:val="00472354"/>
    <w:rsid w:val="00476240"/>
    <w:rsid w:val="00476439"/>
    <w:rsid w:val="0047735C"/>
    <w:rsid w:val="004776BC"/>
    <w:rsid w:val="0048139F"/>
    <w:rsid w:val="0048153B"/>
    <w:rsid w:val="00481E40"/>
    <w:rsid w:val="00483EF9"/>
    <w:rsid w:val="00484ECE"/>
    <w:rsid w:val="004854A8"/>
    <w:rsid w:val="004915CB"/>
    <w:rsid w:val="004924DC"/>
    <w:rsid w:val="00496556"/>
    <w:rsid w:val="004A14E4"/>
    <w:rsid w:val="004A3212"/>
    <w:rsid w:val="004A61C5"/>
    <w:rsid w:val="004A77DF"/>
    <w:rsid w:val="004B1417"/>
    <w:rsid w:val="004B496C"/>
    <w:rsid w:val="004B55B7"/>
    <w:rsid w:val="004B56FE"/>
    <w:rsid w:val="004B6468"/>
    <w:rsid w:val="004C384C"/>
    <w:rsid w:val="004C3867"/>
    <w:rsid w:val="004C4CD0"/>
    <w:rsid w:val="004C50F7"/>
    <w:rsid w:val="004C553E"/>
    <w:rsid w:val="004C61EA"/>
    <w:rsid w:val="004C688B"/>
    <w:rsid w:val="004C70DC"/>
    <w:rsid w:val="004D0211"/>
    <w:rsid w:val="004D0794"/>
    <w:rsid w:val="004D40A7"/>
    <w:rsid w:val="004D52A6"/>
    <w:rsid w:val="004F06F5"/>
    <w:rsid w:val="004F1AC1"/>
    <w:rsid w:val="004F33A0"/>
    <w:rsid w:val="004F3459"/>
    <w:rsid w:val="00502EE1"/>
    <w:rsid w:val="005108C0"/>
    <w:rsid w:val="00511873"/>
    <w:rsid w:val="00512A2F"/>
    <w:rsid w:val="00513B7E"/>
    <w:rsid w:val="00515C74"/>
    <w:rsid w:val="0052007E"/>
    <w:rsid w:val="00520835"/>
    <w:rsid w:val="0052337A"/>
    <w:rsid w:val="00525137"/>
    <w:rsid w:val="005251DD"/>
    <w:rsid w:val="00531BFF"/>
    <w:rsid w:val="00532CE7"/>
    <w:rsid w:val="0053324C"/>
    <w:rsid w:val="00534A28"/>
    <w:rsid w:val="00540526"/>
    <w:rsid w:val="00541508"/>
    <w:rsid w:val="00543123"/>
    <w:rsid w:val="00552EE6"/>
    <w:rsid w:val="00553179"/>
    <w:rsid w:val="0055599F"/>
    <w:rsid w:val="00556147"/>
    <w:rsid w:val="00556D68"/>
    <w:rsid w:val="00563B6C"/>
    <w:rsid w:val="005647BF"/>
    <w:rsid w:val="00564DED"/>
    <w:rsid w:val="00572D97"/>
    <w:rsid w:val="0057316C"/>
    <w:rsid w:val="0057364B"/>
    <w:rsid w:val="00574773"/>
    <w:rsid w:val="0058131F"/>
    <w:rsid w:val="00583180"/>
    <w:rsid w:val="00583604"/>
    <w:rsid w:val="00583FFD"/>
    <w:rsid w:val="00584EAF"/>
    <w:rsid w:val="00586C7E"/>
    <w:rsid w:val="00590586"/>
    <w:rsid w:val="005911BE"/>
    <w:rsid w:val="00593152"/>
    <w:rsid w:val="00595284"/>
    <w:rsid w:val="00597632"/>
    <w:rsid w:val="005A10F2"/>
    <w:rsid w:val="005A21E0"/>
    <w:rsid w:val="005A28FF"/>
    <w:rsid w:val="005A34CB"/>
    <w:rsid w:val="005A3DF8"/>
    <w:rsid w:val="005A5549"/>
    <w:rsid w:val="005A5890"/>
    <w:rsid w:val="005A7F2E"/>
    <w:rsid w:val="005B121D"/>
    <w:rsid w:val="005B5E20"/>
    <w:rsid w:val="005C026F"/>
    <w:rsid w:val="005C06ED"/>
    <w:rsid w:val="005C1074"/>
    <w:rsid w:val="005D08B7"/>
    <w:rsid w:val="005D5802"/>
    <w:rsid w:val="005D7890"/>
    <w:rsid w:val="005E0169"/>
    <w:rsid w:val="005E32EC"/>
    <w:rsid w:val="005E5863"/>
    <w:rsid w:val="005E623E"/>
    <w:rsid w:val="005E7C78"/>
    <w:rsid w:val="005F1EA3"/>
    <w:rsid w:val="005F289D"/>
    <w:rsid w:val="005F3EB1"/>
    <w:rsid w:val="005F5469"/>
    <w:rsid w:val="005F7A68"/>
    <w:rsid w:val="00604307"/>
    <w:rsid w:val="0060487F"/>
    <w:rsid w:val="00604EAD"/>
    <w:rsid w:val="006104FB"/>
    <w:rsid w:val="00612A2F"/>
    <w:rsid w:val="00616E05"/>
    <w:rsid w:val="00624093"/>
    <w:rsid w:val="00625A5A"/>
    <w:rsid w:val="006404A7"/>
    <w:rsid w:val="00644EFC"/>
    <w:rsid w:val="006451E4"/>
    <w:rsid w:val="00645B33"/>
    <w:rsid w:val="006516CB"/>
    <w:rsid w:val="0065239A"/>
    <w:rsid w:val="00657E87"/>
    <w:rsid w:val="006634CE"/>
    <w:rsid w:val="00664803"/>
    <w:rsid w:val="00665BA4"/>
    <w:rsid w:val="00667AF2"/>
    <w:rsid w:val="006710C9"/>
    <w:rsid w:val="00674D89"/>
    <w:rsid w:val="00675E2D"/>
    <w:rsid w:val="00675E37"/>
    <w:rsid w:val="0068174E"/>
    <w:rsid w:val="00681DCE"/>
    <w:rsid w:val="0068260E"/>
    <w:rsid w:val="00695BEF"/>
    <w:rsid w:val="006977F6"/>
    <w:rsid w:val="00697A13"/>
    <w:rsid w:val="006A109C"/>
    <w:rsid w:val="006A25B4"/>
    <w:rsid w:val="006B344A"/>
    <w:rsid w:val="006B717C"/>
    <w:rsid w:val="006B78D8"/>
    <w:rsid w:val="006C060B"/>
    <w:rsid w:val="006C113F"/>
    <w:rsid w:val="006C123E"/>
    <w:rsid w:val="006C4E3B"/>
    <w:rsid w:val="006C56D4"/>
    <w:rsid w:val="006C6924"/>
    <w:rsid w:val="006C7CA6"/>
    <w:rsid w:val="006D0E84"/>
    <w:rsid w:val="006D3E8A"/>
    <w:rsid w:val="006D61F6"/>
    <w:rsid w:val="006E279A"/>
    <w:rsid w:val="006E2CBB"/>
    <w:rsid w:val="006E313B"/>
    <w:rsid w:val="006E7A2C"/>
    <w:rsid w:val="006F3F85"/>
    <w:rsid w:val="006F5416"/>
    <w:rsid w:val="006F653B"/>
    <w:rsid w:val="00706AD4"/>
    <w:rsid w:val="007124DF"/>
    <w:rsid w:val="00712824"/>
    <w:rsid w:val="007140BE"/>
    <w:rsid w:val="007211F5"/>
    <w:rsid w:val="00725BB5"/>
    <w:rsid w:val="00730AE8"/>
    <w:rsid w:val="00741493"/>
    <w:rsid w:val="0074219C"/>
    <w:rsid w:val="00752180"/>
    <w:rsid w:val="00755202"/>
    <w:rsid w:val="00755D3A"/>
    <w:rsid w:val="0075682F"/>
    <w:rsid w:val="007578D3"/>
    <w:rsid w:val="007609C6"/>
    <w:rsid w:val="0076175D"/>
    <w:rsid w:val="00764226"/>
    <w:rsid w:val="0076521E"/>
    <w:rsid w:val="007661E9"/>
    <w:rsid w:val="00772703"/>
    <w:rsid w:val="00776169"/>
    <w:rsid w:val="00776527"/>
    <w:rsid w:val="0078055E"/>
    <w:rsid w:val="00780EF1"/>
    <w:rsid w:val="007811C2"/>
    <w:rsid w:val="00782688"/>
    <w:rsid w:val="00783DD5"/>
    <w:rsid w:val="00790764"/>
    <w:rsid w:val="00790DCC"/>
    <w:rsid w:val="0079453C"/>
    <w:rsid w:val="00794677"/>
    <w:rsid w:val="007948EB"/>
    <w:rsid w:val="007952BF"/>
    <w:rsid w:val="0079585A"/>
    <w:rsid w:val="007A128C"/>
    <w:rsid w:val="007A2C19"/>
    <w:rsid w:val="007B45F1"/>
    <w:rsid w:val="007B6689"/>
    <w:rsid w:val="007C1C3A"/>
    <w:rsid w:val="007C5C20"/>
    <w:rsid w:val="007D3693"/>
    <w:rsid w:val="007D40DF"/>
    <w:rsid w:val="007D433A"/>
    <w:rsid w:val="007E531A"/>
    <w:rsid w:val="007E7AD4"/>
    <w:rsid w:val="007E7E61"/>
    <w:rsid w:val="007F0845"/>
    <w:rsid w:val="007F1350"/>
    <w:rsid w:val="007F2FFD"/>
    <w:rsid w:val="00801EE4"/>
    <w:rsid w:val="00805226"/>
    <w:rsid w:val="00807C82"/>
    <w:rsid w:val="008131D4"/>
    <w:rsid w:val="00814154"/>
    <w:rsid w:val="00815E2C"/>
    <w:rsid w:val="00816905"/>
    <w:rsid w:val="00821FF6"/>
    <w:rsid w:val="00822421"/>
    <w:rsid w:val="00825C4D"/>
    <w:rsid w:val="00827093"/>
    <w:rsid w:val="0083143E"/>
    <w:rsid w:val="00831CDE"/>
    <w:rsid w:val="00834304"/>
    <w:rsid w:val="00834FAA"/>
    <w:rsid w:val="00836086"/>
    <w:rsid w:val="0084468F"/>
    <w:rsid w:val="008462C3"/>
    <w:rsid w:val="0084708F"/>
    <w:rsid w:val="008477C8"/>
    <w:rsid w:val="0085114D"/>
    <w:rsid w:val="00852217"/>
    <w:rsid w:val="00855408"/>
    <w:rsid w:val="00856D65"/>
    <w:rsid w:val="00856FAD"/>
    <w:rsid w:val="00861A0A"/>
    <w:rsid w:val="00861B41"/>
    <w:rsid w:val="00862FC1"/>
    <w:rsid w:val="00863434"/>
    <w:rsid w:val="00865E4C"/>
    <w:rsid w:val="008701E4"/>
    <w:rsid w:val="00870D92"/>
    <w:rsid w:val="00875A32"/>
    <w:rsid w:val="00875CC2"/>
    <w:rsid w:val="00875F99"/>
    <w:rsid w:val="00876086"/>
    <w:rsid w:val="00882CD0"/>
    <w:rsid w:val="00884BE5"/>
    <w:rsid w:val="008873D4"/>
    <w:rsid w:val="00893E85"/>
    <w:rsid w:val="00894031"/>
    <w:rsid w:val="008A38BC"/>
    <w:rsid w:val="008A3FDB"/>
    <w:rsid w:val="008A55A4"/>
    <w:rsid w:val="008B0073"/>
    <w:rsid w:val="008B47F9"/>
    <w:rsid w:val="008B7772"/>
    <w:rsid w:val="008B7C02"/>
    <w:rsid w:val="008B7D2B"/>
    <w:rsid w:val="008C0049"/>
    <w:rsid w:val="008C0E88"/>
    <w:rsid w:val="008C1775"/>
    <w:rsid w:val="008C5903"/>
    <w:rsid w:val="008C707A"/>
    <w:rsid w:val="008D02E1"/>
    <w:rsid w:val="008D06BC"/>
    <w:rsid w:val="008D1E6A"/>
    <w:rsid w:val="008D2A16"/>
    <w:rsid w:val="008E25ED"/>
    <w:rsid w:val="008E2C57"/>
    <w:rsid w:val="008E31FF"/>
    <w:rsid w:val="008E635C"/>
    <w:rsid w:val="008E6419"/>
    <w:rsid w:val="008E6F06"/>
    <w:rsid w:val="008F029B"/>
    <w:rsid w:val="008F0D85"/>
    <w:rsid w:val="008F3FC9"/>
    <w:rsid w:val="008F585B"/>
    <w:rsid w:val="009003A8"/>
    <w:rsid w:val="0090048B"/>
    <w:rsid w:val="00902500"/>
    <w:rsid w:val="00902EFF"/>
    <w:rsid w:val="0090524C"/>
    <w:rsid w:val="00906401"/>
    <w:rsid w:val="0091155E"/>
    <w:rsid w:val="00912A92"/>
    <w:rsid w:val="00915EBD"/>
    <w:rsid w:val="0091728D"/>
    <w:rsid w:val="0092180B"/>
    <w:rsid w:val="00921F14"/>
    <w:rsid w:val="00924AC8"/>
    <w:rsid w:val="0092579A"/>
    <w:rsid w:val="0092597A"/>
    <w:rsid w:val="00926E4B"/>
    <w:rsid w:val="00932443"/>
    <w:rsid w:val="00932B98"/>
    <w:rsid w:val="009353F0"/>
    <w:rsid w:val="00937AE2"/>
    <w:rsid w:val="009415FC"/>
    <w:rsid w:val="0094427A"/>
    <w:rsid w:val="00947E75"/>
    <w:rsid w:val="00962056"/>
    <w:rsid w:val="0097003E"/>
    <w:rsid w:val="00970E22"/>
    <w:rsid w:val="009729F1"/>
    <w:rsid w:val="00974923"/>
    <w:rsid w:val="00976035"/>
    <w:rsid w:val="00976881"/>
    <w:rsid w:val="00980D3D"/>
    <w:rsid w:val="00983F67"/>
    <w:rsid w:val="00987A30"/>
    <w:rsid w:val="009902C4"/>
    <w:rsid w:val="0099244C"/>
    <w:rsid w:val="00992CF3"/>
    <w:rsid w:val="00993D31"/>
    <w:rsid w:val="00995A66"/>
    <w:rsid w:val="009968D6"/>
    <w:rsid w:val="009A13DE"/>
    <w:rsid w:val="009A1CAB"/>
    <w:rsid w:val="009A60D1"/>
    <w:rsid w:val="009B0A8F"/>
    <w:rsid w:val="009B10A8"/>
    <w:rsid w:val="009B2426"/>
    <w:rsid w:val="009B5315"/>
    <w:rsid w:val="009B6FD3"/>
    <w:rsid w:val="009C01E9"/>
    <w:rsid w:val="009C1750"/>
    <w:rsid w:val="009C2E29"/>
    <w:rsid w:val="009C554B"/>
    <w:rsid w:val="009C6816"/>
    <w:rsid w:val="009C719E"/>
    <w:rsid w:val="009C7BEF"/>
    <w:rsid w:val="009D3ACD"/>
    <w:rsid w:val="009E4E16"/>
    <w:rsid w:val="009E5273"/>
    <w:rsid w:val="009E5DDB"/>
    <w:rsid w:val="009F02EA"/>
    <w:rsid w:val="009F4CA7"/>
    <w:rsid w:val="00A025BD"/>
    <w:rsid w:val="00A10517"/>
    <w:rsid w:val="00A10D66"/>
    <w:rsid w:val="00A1161B"/>
    <w:rsid w:val="00A14114"/>
    <w:rsid w:val="00A16413"/>
    <w:rsid w:val="00A21405"/>
    <w:rsid w:val="00A23E43"/>
    <w:rsid w:val="00A30F65"/>
    <w:rsid w:val="00A35020"/>
    <w:rsid w:val="00A418BC"/>
    <w:rsid w:val="00A46DE0"/>
    <w:rsid w:val="00A50D73"/>
    <w:rsid w:val="00A52CAD"/>
    <w:rsid w:val="00A53FC7"/>
    <w:rsid w:val="00A62CE1"/>
    <w:rsid w:val="00A6681D"/>
    <w:rsid w:val="00A6741E"/>
    <w:rsid w:val="00A75E40"/>
    <w:rsid w:val="00A77C07"/>
    <w:rsid w:val="00A77D1D"/>
    <w:rsid w:val="00A857C0"/>
    <w:rsid w:val="00A87FB2"/>
    <w:rsid w:val="00A94781"/>
    <w:rsid w:val="00A97EE6"/>
    <w:rsid w:val="00AA2996"/>
    <w:rsid w:val="00AA52BF"/>
    <w:rsid w:val="00AA559A"/>
    <w:rsid w:val="00AB2AF1"/>
    <w:rsid w:val="00AB6646"/>
    <w:rsid w:val="00AC067D"/>
    <w:rsid w:val="00AC1408"/>
    <w:rsid w:val="00AC3777"/>
    <w:rsid w:val="00AD306C"/>
    <w:rsid w:val="00AD7576"/>
    <w:rsid w:val="00AD7F5A"/>
    <w:rsid w:val="00AE09B3"/>
    <w:rsid w:val="00AE1A83"/>
    <w:rsid w:val="00AF0128"/>
    <w:rsid w:val="00AF24FE"/>
    <w:rsid w:val="00AF46DC"/>
    <w:rsid w:val="00B00913"/>
    <w:rsid w:val="00B01593"/>
    <w:rsid w:val="00B10A4D"/>
    <w:rsid w:val="00B14E50"/>
    <w:rsid w:val="00B15372"/>
    <w:rsid w:val="00B1769D"/>
    <w:rsid w:val="00B17E71"/>
    <w:rsid w:val="00B17FDE"/>
    <w:rsid w:val="00B20450"/>
    <w:rsid w:val="00B21BF0"/>
    <w:rsid w:val="00B2379C"/>
    <w:rsid w:val="00B2687D"/>
    <w:rsid w:val="00B32DDB"/>
    <w:rsid w:val="00B33BE4"/>
    <w:rsid w:val="00B34528"/>
    <w:rsid w:val="00B3625A"/>
    <w:rsid w:val="00B402FC"/>
    <w:rsid w:val="00B40C51"/>
    <w:rsid w:val="00B46604"/>
    <w:rsid w:val="00B474DA"/>
    <w:rsid w:val="00B528C3"/>
    <w:rsid w:val="00B530CD"/>
    <w:rsid w:val="00B53CEE"/>
    <w:rsid w:val="00B55F5E"/>
    <w:rsid w:val="00B5752E"/>
    <w:rsid w:val="00B63A11"/>
    <w:rsid w:val="00B64C24"/>
    <w:rsid w:val="00B6608F"/>
    <w:rsid w:val="00B679FB"/>
    <w:rsid w:val="00B74341"/>
    <w:rsid w:val="00B76D1E"/>
    <w:rsid w:val="00B80EC6"/>
    <w:rsid w:val="00B87099"/>
    <w:rsid w:val="00B87517"/>
    <w:rsid w:val="00B92D1D"/>
    <w:rsid w:val="00B938C5"/>
    <w:rsid w:val="00B93C62"/>
    <w:rsid w:val="00B94C46"/>
    <w:rsid w:val="00B95940"/>
    <w:rsid w:val="00BA10B1"/>
    <w:rsid w:val="00BB1939"/>
    <w:rsid w:val="00BB46F3"/>
    <w:rsid w:val="00BB49B6"/>
    <w:rsid w:val="00BB4CB1"/>
    <w:rsid w:val="00BB4F98"/>
    <w:rsid w:val="00BB651E"/>
    <w:rsid w:val="00BC4129"/>
    <w:rsid w:val="00BC7154"/>
    <w:rsid w:val="00BD05EC"/>
    <w:rsid w:val="00BD366B"/>
    <w:rsid w:val="00BD47B8"/>
    <w:rsid w:val="00BD6D50"/>
    <w:rsid w:val="00BE18B9"/>
    <w:rsid w:val="00BE18ED"/>
    <w:rsid w:val="00BE2495"/>
    <w:rsid w:val="00BE6C9E"/>
    <w:rsid w:val="00BF1578"/>
    <w:rsid w:val="00C04698"/>
    <w:rsid w:val="00C07B24"/>
    <w:rsid w:val="00C12AC2"/>
    <w:rsid w:val="00C14F31"/>
    <w:rsid w:val="00C21F94"/>
    <w:rsid w:val="00C271AE"/>
    <w:rsid w:val="00C27913"/>
    <w:rsid w:val="00C33B68"/>
    <w:rsid w:val="00C36A79"/>
    <w:rsid w:val="00C405D4"/>
    <w:rsid w:val="00C4513B"/>
    <w:rsid w:val="00C46527"/>
    <w:rsid w:val="00C46D72"/>
    <w:rsid w:val="00C519A1"/>
    <w:rsid w:val="00C54697"/>
    <w:rsid w:val="00C556EF"/>
    <w:rsid w:val="00C60C29"/>
    <w:rsid w:val="00C631AB"/>
    <w:rsid w:val="00C66F8B"/>
    <w:rsid w:val="00C71964"/>
    <w:rsid w:val="00C73885"/>
    <w:rsid w:val="00C73EDE"/>
    <w:rsid w:val="00C747B1"/>
    <w:rsid w:val="00C76F13"/>
    <w:rsid w:val="00C77643"/>
    <w:rsid w:val="00C82191"/>
    <w:rsid w:val="00C83506"/>
    <w:rsid w:val="00C90CF4"/>
    <w:rsid w:val="00C92EB6"/>
    <w:rsid w:val="00C93389"/>
    <w:rsid w:val="00C979A1"/>
    <w:rsid w:val="00CA5EDA"/>
    <w:rsid w:val="00CA6DC6"/>
    <w:rsid w:val="00CB4930"/>
    <w:rsid w:val="00CB6A77"/>
    <w:rsid w:val="00CC0D30"/>
    <w:rsid w:val="00CC1125"/>
    <w:rsid w:val="00CC2E7D"/>
    <w:rsid w:val="00CC3A66"/>
    <w:rsid w:val="00CD10A5"/>
    <w:rsid w:val="00CD2076"/>
    <w:rsid w:val="00CD4C56"/>
    <w:rsid w:val="00CD77D4"/>
    <w:rsid w:val="00CE670B"/>
    <w:rsid w:val="00CE6786"/>
    <w:rsid w:val="00CF2D3A"/>
    <w:rsid w:val="00CF51EC"/>
    <w:rsid w:val="00CF73AE"/>
    <w:rsid w:val="00D040DD"/>
    <w:rsid w:val="00D10EA4"/>
    <w:rsid w:val="00D10EF6"/>
    <w:rsid w:val="00D126E8"/>
    <w:rsid w:val="00D12E20"/>
    <w:rsid w:val="00D13986"/>
    <w:rsid w:val="00D235B7"/>
    <w:rsid w:val="00D25F28"/>
    <w:rsid w:val="00D27973"/>
    <w:rsid w:val="00D3293A"/>
    <w:rsid w:val="00D340DE"/>
    <w:rsid w:val="00D3703A"/>
    <w:rsid w:val="00D42A1A"/>
    <w:rsid w:val="00D43C13"/>
    <w:rsid w:val="00D4721A"/>
    <w:rsid w:val="00D50B8B"/>
    <w:rsid w:val="00D50F46"/>
    <w:rsid w:val="00D54689"/>
    <w:rsid w:val="00D64CCE"/>
    <w:rsid w:val="00D66223"/>
    <w:rsid w:val="00D6724E"/>
    <w:rsid w:val="00D75A21"/>
    <w:rsid w:val="00D8049E"/>
    <w:rsid w:val="00D8084C"/>
    <w:rsid w:val="00D85BF4"/>
    <w:rsid w:val="00D873A6"/>
    <w:rsid w:val="00D90791"/>
    <w:rsid w:val="00D919EF"/>
    <w:rsid w:val="00D95B8B"/>
    <w:rsid w:val="00DA122E"/>
    <w:rsid w:val="00DA3AC3"/>
    <w:rsid w:val="00DA46C8"/>
    <w:rsid w:val="00DA7C0C"/>
    <w:rsid w:val="00DB2EC8"/>
    <w:rsid w:val="00DC5B3B"/>
    <w:rsid w:val="00DD023E"/>
    <w:rsid w:val="00DD129F"/>
    <w:rsid w:val="00DD159B"/>
    <w:rsid w:val="00DD38C8"/>
    <w:rsid w:val="00DD4F29"/>
    <w:rsid w:val="00DE1524"/>
    <w:rsid w:val="00DE71A6"/>
    <w:rsid w:val="00DF42FF"/>
    <w:rsid w:val="00E00AA7"/>
    <w:rsid w:val="00E01C0E"/>
    <w:rsid w:val="00E03F9A"/>
    <w:rsid w:val="00E04694"/>
    <w:rsid w:val="00E12B1E"/>
    <w:rsid w:val="00E157FE"/>
    <w:rsid w:val="00E17262"/>
    <w:rsid w:val="00E253A2"/>
    <w:rsid w:val="00E3309D"/>
    <w:rsid w:val="00E33541"/>
    <w:rsid w:val="00E34502"/>
    <w:rsid w:val="00E36D65"/>
    <w:rsid w:val="00E42E27"/>
    <w:rsid w:val="00E44347"/>
    <w:rsid w:val="00E44E64"/>
    <w:rsid w:val="00E50156"/>
    <w:rsid w:val="00E53470"/>
    <w:rsid w:val="00E539F6"/>
    <w:rsid w:val="00E55B15"/>
    <w:rsid w:val="00E632FD"/>
    <w:rsid w:val="00E6519D"/>
    <w:rsid w:val="00E67696"/>
    <w:rsid w:val="00E71A58"/>
    <w:rsid w:val="00E72A7A"/>
    <w:rsid w:val="00E7513F"/>
    <w:rsid w:val="00E75B96"/>
    <w:rsid w:val="00E75C94"/>
    <w:rsid w:val="00E93820"/>
    <w:rsid w:val="00E96DF3"/>
    <w:rsid w:val="00E97AF7"/>
    <w:rsid w:val="00EA0081"/>
    <w:rsid w:val="00EA0A21"/>
    <w:rsid w:val="00EA0C68"/>
    <w:rsid w:val="00EA32BC"/>
    <w:rsid w:val="00EB3701"/>
    <w:rsid w:val="00EB4331"/>
    <w:rsid w:val="00EB4511"/>
    <w:rsid w:val="00EC03D7"/>
    <w:rsid w:val="00ED1745"/>
    <w:rsid w:val="00ED62C6"/>
    <w:rsid w:val="00ED64C1"/>
    <w:rsid w:val="00EE3446"/>
    <w:rsid w:val="00EE3E78"/>
    <w:rsid w:val="00EE4B1B"/>
    <w:rsid w:val="00EF150D"/>
    <w:rsid w:val="00EF1F5A"/>
    <w:rsid w:val="00EF3E57"/>
    <w:rsid w:val="00EF465E"/>
    <w:rsid w:val="00EF47BF"/>
    <w:rsid w:val="00F0188F"/>
    <w:rsid w:val="00F04811"/>
    <w:rsid w:val="00F0488C"/>
    <w:rsid w:val="00F10F11"/>
    <w:rsid w:val="00F110C5"/>
    <w:rsid w:val="00F15AAA"/>
    <w:rsid w:val="00F15BEF"/>
    <w:rsid w:val="00F24407"/>
    <w:rsid w:val="00F24FAA"/>
    <w:rsid w:val="00F2721C"/>
    <w:rsid w:val="00F3364D"/>
    <w:rsid w:val="00F34D4E"/>
    <w:rsid w:val="00F437CC"/>
    <w:rsid w:val="00F444AC"/>
    <w:rsid w:val="00F47067"/>
    <w:rsid w:val="00F51E83"/>
    <w:rsid w:val="00F524C5"/>
    <w:rsid w:val="00F525EB"/>
    <w:rsid w:val="00F536B1"/>
    <w:rsid w:val="00F56B2E"/>
    <w:rsid w:val="00F63DDE"/>
    <w:rsid w:val="00F63FB7"/>
    <w:rsid w:val="00F649D2"/>
    <w:rsid w:val="00F64BF5"/>
    <w:rsid w:val="00F6602B"/>
    <w:rsid w:val="00F6712B"/>
    <w:rsid w:val="00F73A0C"/>
    <w:rsid w:val="00F756DB"/>
    <w:rsid w:val="00F76BD3"/>
    <w:rsid w:val="00F81950"/>
    <w:rsid w:val="00F85066"/>
    <w:rsid w:val="00F938BC"/>
    <w:rsid w:val="00F95402"/>
    <w:rsid w:val="00FA5D4D"/>
    <w:rsid w:val="00FB0EE2"/>
    <w:rsid w:val="00FB542E"/>
    <w:rsid w:val="00FB7943"/>
    <w:rsid w:val="00FC0E5F"/>
    <w:rsid w:val="00FC1A95"/>
    <w:rsid w:val="00FC2DE3"/>
    <w:rsid w:val="00FC48DB"/>
    <w:rsid w:val="00FC56DE"/>
    <w:rsid w:val="00FC684B"/>
    <w:rsid w:val="00FC7CC8"/>
    <w:rsid w:val="00FD15ED"/>
    <w:rsid w:val="00FD3265"/>
    <w:rsid w:val="00FD354E"/>
    <w:rsid w:val="00FE0FF4"/>
    <w:rsid w:val="00FE26CF"/>
    <w:rsid w:val="00FE2F78"/>
    <w:rsid w:val="00FF6D50"/>
    <w:rsid w:val="00FF6F2B"/>
    <w:rsid w:val="00FF6FB5"/>
    <w:rsid w:val="00FF7195"/>
    <w:rsid w:val="00FF7B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517EFE6E"/>
  <w15:docId w15:val="{E61187B7-D91F-4234-B7C3-0A176AD7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6F06"/>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9F02EA"/>
    <w:pPr>
      <w:keepNext/>
      <w:keepLines/>
      <w:spacing w:after="100" w:line="288" w:lineRule="auto"/>
      <w:contextualSpacing/>
      <w:outlineLvl w:val="0"/>
    </w:pPr>
    <w:rPr>
      <w:rFonts w:ascii="Arial" w:eastAsia="MS Gothic" w:hAnsi="Arial"/>
      <w:b/>
      <w:bCs/>
      <w:color w:val="BC5B80"/>
      <w:sz w:val="32"/>
      <w:szCs w:val="28"/>
      <w:lang w:eastAsia="cs-CZ"/>
    </w:rPr>
  </w:style>
  <w:style w:type="paragraph" w:styleId="Nadpis2">
    <w:name w:val="heading 2"/>
    <w:next w:val="Normln"/>
    <w:link w:val="Nadpis2Char"/>
    <w:uiPriority w:val="9"/>
    <w:qFormat/>
    <w:rsid w:val="009F02EA"/>
    <w:pPr>
      <w:keepNext/>
      <w:keepLines/>
      <w:spacing w:line="288" w:lineRule="auto"/>
      <w:outlineLvl w:val="1"/>
    </w:pPr>
    <w:rPr>
      <w:rFonts w:ascii="Arial" w:eastAsia="MS Gothic" w:hAnsi="Arial"/>
      <w:b/>
      <w:bCs/>
      <w:color w:val="BC5B80"/>
      <w:sz w:val="28"/>
      <w:szCs w:val="26"/>
      <w:lang w:eastAsia="cs-CZ"/>
    </w:rPr>
  </w:style>
  <w:style w:type="paragraph" w:styleId="Nadpis3">
    <w:name w:val="heading 3"/>
    <w:next w:val="Normln"/>
    <w:link w:val="Nadpis3Char"/>
    <w:uiPriority w:val="9"/>
    <w:qFormat/>
    <w:rsid w:val="009F02EA"/>
    <w:pPr>
      <w:keepNext/>
      <w:keepLines/>
      <w:spacing w:line="288" w:lineRule="auto"/>
      <w:outlineLvl w:val="2"/>
    </w:pPr>
    <w:rPr>
      <w:rFonts w:ascii="Arial" w:eastAsia="MS Gothic" w:hAnsi="Arial"/>
      <w:b/>
      <w:bCs/>
      <w:color w:val="BC5B80"/>
      <w:sz w:val="24"/>
      <w:szCs w:val="24"/>
      <w:lang w:eastAsia="cs-CZ"/>
    </w:rPr>
  </w:style>
  <w:style w:type="paragraph" w:styleId="Nadpis4">
    <w:name w:val="heading 4"/>
    <w:next w:val="Normln"/>
    <w:link w:val="Nadpis4Char"/>
    <w:uiPriority w:val="9"/>
    <w:qFormat/>
    <w:rsid w:val="009F02EA"/>
    <w:pPr>
      <w:keepNext/>
      <w:keepLines/>
      <w:spacing w:line="288" w:lineRule="auto"/>
      <w:outlineLvl w:val="3"/>
    </w:pPr>
    <w:rPr>
      <w:rFonts w:ascii="Arial" w:eastAsia="MS Gothic" w:hAnsi="Arial"/>
      <w:b/>
      <w:bCs/>
      <w:iCs/>
      <w:color w:val="BC5B80"/>
      <w:szCs w:val="24"/>
      <w:lang w:eastAsia="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9F02EA"/>
    <w:rPr>
      <w:rFonts w:ascii="Arial" w:eastAsia="MS Gothic" w:hAnsi="Arial"/>
      <w:b/>
      <w:bCs/>
      <w:color w:val="BC5B80"/>
      <w:sz w:val="32"/>
      <w:szCs w:val="28"/>
      <w:lang w:eastAsia="cs-CZ"/>
    </w:rPr>
  </w:style>
  <w:style w:type="character" w:customStyle="1" w:styleId="Nadpis2Char">
    <w:name w:val="Nadpis 2 Char"/>
    <w:link w:val="Nadpis2"/>
    <w:uiPriority w:val="9"/>
    <w:rsid w:val="009F02EA"/>
    <w:rPr>
      <w:rFonts w:ascii="Arial" w:eastAsia="MS Gothic" w:hAnsi="Arial"/>
      <w:b/>
      <w:bCs/>
      <w:color w:val="BC5B80"/>
      <w:sz w:val="28"/>
      <w:szCs w:val="26"/>
      <w:lang w:eastAsia="cs-CZ"/>
    </w:rPr>
  </w:style>
  <w:style w:type="character" w:customStyle="1" w:styleId="Nadpis3Char">
    <w:name w:val="Nadpis 3 Char"/>
    <w:link w:val="Nadpis3"/>
    <w:uiPriority w:val="9"/>
    <w:rsid w:val="009F02EA"/>
    <w:rPr>
      <w:rFonts w:ascii="Arial" w:eastAsia="MS Gothic" w:hAnsi="Arial"/>
      <w:b/>
      <w:bCs/>
      <w:color w:val="BC5B80"/>
      <w:sz w:val="24"/>
      <w:szCs w:val="24"/>
      <w:lang w:eastAsia="cs-CZ"/>
    </w:rPr>
  </w:style>
  <w:style w:type="character" w:customStyle="1" w:styleId="Nadpis4Char">
    <w:name w:val="Nadpis 4 Char"/>
    <w:link w:val="Nadpis4"/>
    <w:uiPriority w:val="9"/>
    <w:rsid w:val="009F02EA"/>
    <w:rPr>
      <w:rFonts w:ascii="Arial" w:eastAsia="MS Gothic" w:hAnsi="Arial"/>
      <w:b/>
      <w:bCs/>
      <w:iCs/>
      <w:color w:val="BC5B80"/>
      <w:szCs w:val="24"/>
      <w:lang w:eastAsia="cs-CZ"/>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D340DE"/>
    <w:pPr>
      <w:spacing w:after="80" w:line="288" w:lineRule="auto"/>
    </w:pPr>
    <w:rPr>
      <w:rFonts w:ascii="Arial" w:eastAsia="Times New Roman" w:hAnsi="Arial"/>
      <w:b/>
      <w:color w:val="BC5B80"/>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74219C"/>
    <w:pPr>
      <w:shd w:val="clear" w:color="auto" w:fill="F6E8EE"/>
      <w:spacing w:before="240" w:after="240" w:line="288" w:lineRule="auto"/>
      <w:ind w:left="709"/>
      <w:contextualSpacing/>
    </w:pPr>
    <w:rPr>
      <w:rFonts w:ascii="Arial" w:hAnsi="Arial" w:cs="Arial"/>
      <w:lang w:eastAsia="cs-CZ"/>
    </w:rPr>
  </w:style>
  <w:style w:type="paragraph" w:customStyle="1" w:styleId="Box2">
    <w:name w:val="Box 2"/>
    <w:qFormat/>
    <w:rsid w:val="009F02EA"/>
    <w:pPr>
      <w:spacing w:before="240" w:after="240" w:line="288" w:lineRule="auto"/>
      <w:ind w:left="709"/>
      <w:contextualSpacing/>
    </w:pPr>
    <w:rPr>
      <w:rFonts w:ascii="Arial" w:hAnsi="Arial" w:cs="Arial"/>
      <w:color w:val="BC5B80"/>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D340DE"/>
    <w:pPr>
      <w:spacing w:after="40"/>
      <w:contextualSpacing/>
    </w:pPr>
    <w:rPr>
      <w:b/>
      <w:caps/>
      <w:color w:val="000000" w:themeColor="text1"/>
      <w:sz w:val="24"/>
    </w:rPr>
  </w:style>
  <w:style w:type="paragraph" w:customStyle="1" w:styleId="TLKontakty">
    <w:name w:val="TL Kontakty"/>
    <w:qFormat/>
    <w:rsid w:val="00D340DE"/>
    <w:pPr>
      <w:spacing w:after="160" w:line="259" w:lineRule="auto"/>
      <w:contextualSpacing/>
    </w:pPr>
    <w:rPr>
      <w:rFonts w:ascii="Arial" w:eastAsia="Times New Roman" w:hAnsi="Arial"/>
      <w:b/>
      <w:color w:val="BC5B80"/>
      <w:lang w:eastAsia="cs-CZ"/>
    </w:rPr>
  </w:style>
  <w:style w:type="paragraph" w:styleId="Nzev">
    <w:name w:val="Title"/>
    <w:link w:val="NzevChar"/>
    <w:uiPriority w:val="10"/>
    <w:qFormat/>
    <w:rsid w:val="00D340DE"/>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D340DE"/>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D340DE"/>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D340DE"/>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customStyle="1" w:styleId="Styl1">
    <w:name w:val="Styl1"/>
    <w:basedOn w:val="Nzev"/>
    <w:link w:val="Styl1Char"/>
    <w:qFormat/>
    <w:rsid w:val="009F02EA"/>
    <w:rPr>
      <w:color w:val="BC5B80"/>
    </w:rPr>
  </w:style>
  <w:style w:type="character" w:customStyle="1" w:styleId="Styl1Char">
    <w:name w:val="Styl1 Char"/>
    <w:basedOn w:val="NzevChar"/>
    <w:link w:val="Styl1"/>
    <w:rsid w:val="009F02EA"/>
    <w:rPr>
      <w:rFonts w:ascii="Arial" w:eastAsia="Times New Roman" w:hAnsi="Arial"/>
      <w:b/>
      <w:bCs/>
      <w:caps/>
      <w:color w:val="BC5B80"/>
      <w:kern w:val="28"/>
      <w:sz w:val="56"/>
      <w:szCs w:val="32"/>
      <w:lang w:eastAsia="cs-CZ"/>
    </w:rPr>
  </w:style>
  <w:style w:type="character" w:styleId="Zdraznnintenzivn">
    <w:name w:val="Intense Emphasis"/>
    <w:basedOn w:val="Standardnpsmoodstavce"/>
    <w:uiPriority w:val="21"/>
    <w:qFormat/>
    <w:rsid w:val="00D340DE"/>
    <w:rPr>
      <w:i/>
      <w:iCs/>
      <w:color w:val="000000" w:themeColor="text1"/>
    </w:rPr>
  </w:style>
  <w:style w:type="character" w:styleId="Odkazintenzivn">
    <w:name w:val="Intense Reference"/>
    <w:basedOn w:val="Standardnpsmoodstavce"/>
    <w:uiPriority w:val="32"/>
    <w:qFormat/>
    <w:rsid w:val="00D340DE"/>
    <w:rPr>
      <w:b/>
      <w:bCs/>
      <w:smallCaps/>
      <w:color w:val="000000" w:themeColor="text1"/>
      <w:spacing w:val="5"/>
    </w:rPr>
  </w:style>
  <w:style w:type="paragraph" w:styleId="Odstavecseseznamem">
    <w:name w:val="List Paragraph"/>
    <w:basedOn w:val="Normln"/>
    <w:uiPriority w:val="34"/>
    <w:qFormat/>
    <w:rsid w:val="009E4E16"/>
    <w:pPr>
      <w:ind w:left="720"/>
      <w:contextualSpacing/>
    </w:pPr>
  </w:style>
  <w:style w:type="paragraph" w:customStyle="1" w:styleId="Tabulka-text">
    <w:name w:val="Tabulka - text"/>
    <w:basedOn w:val="Normln"/>
    <w:link w:val="Tabulka-textChar"/>
    <w:autoRedefine/>
    <w:qFormat/>
    <w:rsid w:val="00AC1408"/>
    <w:pPr>
      <w:spacing w:after="0" w:line="240" w:lineRule="auto"/>
    </w:pPr>
    <w:rPr>
      <w:rFonts w:eastAsiaTheme="minorHAnsi" w:cs="Arial"/>
      <w:sz w:val="22"/>
      <w:szCs w:val="22"/>
      <w:lang w:eastAsia="en-US"/>
    </w:rPr>
  </w:style>
  <w:style w:type="character" w:customStyle="1" w:styleId="Tabulka-textChar">
    <w:name w:val="Tabulka - text Char"/>
    <w:basedOn w:val="Standardnpsmoodstavce"/>
    <w:link w:val="Tabulka-text"/>
    <w:rsid w:val="00AC1408"/>
    <w:rPr>
      <w:rFonts w:ascii="Arial" w:eastAsiaTheme="minorHAnsi" w:hAnsi="Arial" w:cs="Arial"/>
      <w:sz w:val="22"/>
      <w:szCs w:val="22"/>
    </w:rPr>
  </w:style>
  <w:style w:type="paragraph" w:customStyle="1" w:styleId="Normln-bezodstavce">
    <w:name w:val="Normální - bez odstavce"/>
    <w:basedOn w:val="Normln"/>
    <w:link w:val="Normln-bezodstavceChar"/>
    <w:qFormat/>
    <w:rsid w:val="009E4E16"/>
    <w:pPr>
      <w:spacing w:after="120" w:line="360" w:lineRule="auto"/>
      <w:jc w:val="both"/>
    </w:pPr>
    <w:rPr>
      <w:rFonts w:eastAsiaTheme="minorHAnsi" w:cstheme="minorBidi"/>
      <w:sz w:val="22"/>
      <w:szCs w:val="22"/>
      <w:lang w:eastAsia="en-US"/>
    </w:rPr>
  </w:style>
  <w:style w:type="character" w:customStyle="1" w:styleId="Normln-bezodstavceChar">
    <w:name w:val="Normální - bez odstavce Char"/>
    <w:basedOn w:val="Standardnpsmoodstavce"/>
    <w:link w:val="Normln-bezodstavce"/>
    <w:rsid w:val="009E4E16"/>
    <w:rPr>
      <w:rFonts w:ascii="Arial" w:eastAsiaTheme="minorHAnsi" w:hAnsi="Arial" w:cstheme="minorBidi"/>
      <w:sz w:val="22"/>
      <w:szCs w:val="22"/>
    </w:rPr>
  </w:style>
  <w:style w:type="paragraph" w:styleId="Seznamobrzk">
    <w:name w:val="table of figures"/>
    <w:basedOn w:val="Normln"/>
    <w:next w:val="Normln"/>
    <w:uiPriority w:val="99"/>
    <w:unhideWhenUsed/>
    <w:rsid w:val="009E4E16"/>
    <w:pPr>
      <w:spacing w:after="0"/>
    </w:pPr>
  </w:style>
  <w:style w:type="paragraph" w:customStyle="1" w:styleId="Odrky">
    <w:name w:val="Odrážky"/>
    <w:basedOn w:val="Normln"/>
    <w:link w:val="OdrkyChar"/>
    <w:qFormat/>
    <w:rsid w:val="007F1350"/>
    <w:pPr>
      <w:numPr>
        <w:numId w:val="15"/>
      </w:numPr>
      <w:tabs>
        <w:tab w:val="left" w:pos="101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120" w:line="240" w:lineRule="auto"/>
      <w:ind w:left="714" w:hanging="357"/>
      <w:jc w:val="both"/>
    </w:pPr>
    <w:rPr>
      <w:rFonts w:eastAsiaTheme="minorHAnsi" w:cs="Arial"/>
      <w:sz w:val="22"/>
      <w:szCs w:val="20"/>
      <w:lang w:eastAsia="en-US"/>
    </w:rPr>
  </w:style>
  <w:style w:type="character" w:customStyle="1" w:styleId="OdrkyChar">
    <w:name w:val="Odrážky Char"/>
    <w:basedOn w:val="Standardnpsmoodstavce"/>
    <w:link w:val="Odrky"/>
    <w:rsid w:val="007F1350"/>
    <w:rPr>
      <w:rFonts w:ascii="Arial" w:eastAsiaTheme="minorHAnsi" w:hAnsi="Arial" w:cs="Arial"/>
      <w:sz w:val="22"/>
    </w:rPr>
  </w:style>
  <w:style w:type="table" w:styleId="Mkatabulky">
    <w:name w:val="Table Grid"/>
    <w:basedOn w:val="Normlntabulka"/>
    <w:uiPriority w:val="39"/>
    <w:rsid w:val="002A53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2A53B9"/>
    <w:pPr>
      <w:spacing w:after="0" w:line="240" w:lineRule="auto"/>
      <w:jc w:val="both"/>
    </w:pPr>
    <w:rPr>
      <w:rFonts w:eastAsiaTheme="minorHAnsi" w:cstheme="minorBidi"/>
      <w:szCs w:val="20"/>
      <w:lang w:eastAsia="en-US"/>
    </w:rPr>
  </w:style>
  <w:style w:type="character" w:customStyle="1" w:styleId="TextpoznpodarouChar">
    <w:name w:val="Text pozn. pod čarou Char"/>
    <w:basedOn w:val="Standardnpsmoodstavce"/>
    <w:link w:val="Textpoznpodarou"/>
    <w:uiPriority w:val="99"/>
    <w:semiHidden/>
    <w:rsid w:val="002A53B9"/>
    <w:rPr>
      <w:rFonts w:ascii="Arial" w:eastAsiaTheme="minorHAnsi" w:hAnsi="Arial" w:cstheme="minorBidi"/>
    </w:rPr>
  </w:style>
  <w:style w:type="character" w:styleId="Znakapoznpodarou">
    <w:name w:val="footnote reference"/>
    <w:basedOn w:val="Standardnpsmoodstavce"/>
    <w:uiPriority w:val="99"/>
    <w:semiHidden/>
    <w:unhideWhenUsed/>
    <w:rsid w:val="002A53B9"/>
    <w:rPr>
      <w:vertAlign w:val="superscript"/>
    </w:rPr>
  </w:style>
  <w:style w:type="paragraph" w:styleId="Titulek">
    <w:name w:val="caption"/>
    <w:basedOn w:val="Normln"/>
    <w:next w:val="Normln"/>
    <w:uiPriority w:val="35"/>
    <w:unhideWhenUsed/>
    <w:qFormat/>
    <w:rsid w:val="00FC48DB"/>
    <w:pPr>
      <w:spacing w:before="120" w:after="0" w:line="240" w:lineRule="auto"/>
      <w:jc w:val="both"/>
    </w:pPr>
    <w:rPr>
      <w:rFonts w:eastAsiaTheme="minorHAnsi" w:cstheme="minorBidi"/>
      <w:b/>
      <w:iCs/>
      <w:szCs w:val="18"/>
      <w:lang w:eastAsia="en-US"/>
    </w:rPr>
  </w:style>
  <w:style w:type="character" w:styleId="Odkaznakoment">
    <w:name w:val="annotation reference"/>
    <w:basedOn w:val="Standardnpsmoodstavce"/>
    <w:uiPriority w:val="99"/>
    <w:semiHidden/>
    <w:unhideWhenUsed/>
    <w:rsid w:val="00C07B24"/>
    <w:rPr>
      <w:sz w:val="16"/>
      <w:szCs w:val="16"/>
    </w:rPr>
  </w:style>
  <w:style w:type="paragraph" w:styleId="Textkomente">
    <w:name w:val="annotation text"/>
    <w:basedOn w:val="Normln"/>
    <w:link w:val="TextkomenteChar"/>
    <w:uiPriority w:val="99"/>
    <w:unhideWhenUsed/>
    <w:rsid w:val="00C07B24"/>
    <w:pPr>
      <w:spacing w:line="240" w:lineRule="auto"/>
    </w:pPr>
    <w:rPr>
      <w:szCs w:val="20"/>
    </w:rPr>
  </w:style>
  <w:style w:type="character" w:customStyle="1" w:styleId="TextkomenteChar">
    <w:name w:val="Text komentáře Char"/>
    <w:basedOn w:val="Standardnpsmoodstavce"/>
    <w:link w:val="Textkomente"/>
    <w:uiPriority w:val="99"/>
    <w:rsid w:val="00C07B24"/>
    <w:rPr>
      <w:rFonts w:ascii="Arial" w:eastAsia="Times New Roman" w:hAnsi="Arial"/>
      <w:lang w:eastAsia="cs-CZ"/>
    </w:rPr>
  </w:style>
  <w:style w:type="paragraph" w:styleId="Pedmtkomente">
    <w:name w:val="annotation subject"/>
    <w:basedOn w:val="Textkomente"/>
    <w:next w:val="Textkomente"/>
    <w:link w:val="PedmtkomenteChar"/>
    <w:uiPriority w:val="99"/>
    <w:semiHidden/>
    <w:unhideWhenUsed/>
    <w:rsid w:val="00C07B24"/>
    <w:rPr>
      <w:b/>
      <w:bCs/>
    </w:rPr>
  </w:style>
  <w:style w:type="character" w:customStyle="1" w:styleId="PedmtkomenteChar">
    <w:name w:val="Předmět komentáře Char"/>
    <w:basedOn w:val="TextkomenteChar"/>
    <w:link w:val="Pedmtkomente"/>
    <w:uiPriority w:val="99"/>
    <w:semiHidden/>
    <w:rsid w:val="00C07B24"/>
    <w:rPr>
      <w:rFonts w:ascii="Arial" w:eastAsia="Times New Roman" w:hAnsi="Arial"/>
      <w:b/>
      <w:bCs/>
      <w:lang w:eastAsia="cs-CZ"/>
    </w:rPr>
  </w:style>
  <w:style w:type="paragraph" w:styleId="Normlnweb">
    <w:name w:val="Normal (Web)"/>
    <w:basedOn w:val="Normln"/>
    <w:uiPriority w:val="99"/>
    <w:semiHidden/>
    <w:unhideWhenUsed/>
    <w:rsid w:val="008B0073"/>
    <w:pPr>
      <w:spacing w:before="100" w:beforeAutospacing="1" w:after="100" w:afterAutospacing="1" w:line="240" w:lineRule="auto"/>
    </w:pPr>
    <w:rPr>
      <w:rFonts w:ascii="Times New Roman" w:eastAsiaTheme="minorEastAsia" w:hAnsi="Times New Roman"/>
      <w:sz w:val="24"/>
    </w:rPr>
  </w:style>
  <w:style w:type="character" w:styleId="Sledovanodkaz">
    <w:name w:val="FollowedHyperlink"/>
    <w:basedOn w:val="Standardnpsmoodstavce"/>
    <w:uiPriority w:val="99"/>
    <w:semiHidden/>
    <w:unhideWhenUsed/>
    <w:rsid w:val="00815E2C"/>
    <w:rPr>
      <w:color w:val="800080" w:themeColor="followedHyperlink"/>
      <w:u w:val="single"/>
    </w:rPr>
  </w:style>
  <w:style w:type="table" w:customStyle="1" w:styleId="Mkatabulky1">
    <w:name w:val="Mřížka tabulky1"/>
    <w:basedOn w:val="Normlntabulka"/>
    <w:next w:val="Mkatabulky"/>
    <w:uiPriority w:val="39"/>
    <w:rsid w:val="00E36D6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E632FD"/>
    <w:pPr>
      <w:spacing w:before="240" w:after="0" w:line="259" w:lineRule="auto"/>
      <w:contextualSpacing w:val="0"/>
      <w:outlineLvl w:val="9"/>
    </w:pPr>
    <w:rPr>
      <w:rFonts w:asciiTheme="majorHAnsi" w:eastAsiaTheme="majorEastAsia" w:hAnsiTheme="majorHAnsi" w:cstheme="majorBidi"/>
      <w:b w:val="0"/>
      <w:bCs w:val="0"/>
      <w:color w:val="943C5D" w:themeColor="accent1" w:themeShade="BF"/>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93675147">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277369613">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686520162">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389454434">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641492586">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1895236574">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9"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dé 2">
      <a:dk1>
        <a:sysClr val="windowText" lastClr="000000"/>
      </a:dk1>
      <a:lt1>
        <a:sysClr val="window" lastClr="FFFFFF"/>
      </a:lt1>
      <a:dk2>
        <a:srgbClr val="1F497D"/>
      </a:dk2>
      <a:lt2>
        <a:srgbClr val="EEECE1"/>
      </a:lt2>
      <a:accent1>
        <a:srgbClr val="BC5B80"/>
      </a:accent1>
      <a:accent2>
        <a:srgbClr val="D8A7B7"/>
      </a:accent2>
      <a:accent3>
        <a:srgbClr val="009CB5"/>
      </a:accent3>
      <a:accent4>
        <a:srgbClr val="9FC9D7"/>
      </a:accent4>
      <a:accent5>
        <a:srgbClr val="BC091B"/>
      </a:accent5>
      <a:accent6>
        <a:srgbClr val="DC8468"/>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790b5ab-81b0-4dea-a1ac-14a85852b9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0951A39FF7C7A43B73F61C34EB71133" ma:contentTypeVersion="10" ma:contentTypeDescription="Vytvoří nový dokument" ma:contentTypeScope="" ma:versionID="38fe1270351b6229ad341dafc5e2c4fe">
  <xsd:schema xmlns:xsd="http://www.w3.org/2001/XMLSchema" xmlns:xs="http://www.w3.org/2001/XMLSchema" xmlns:p="http://schemas.microsoft.com/office/2006/metadata/properties" xmlns:ns3="1790b5ab-81b0-4dea-a1ac-14a85852b958" targetNamespace="http://schemas.microsoft.com/office/2006/metadata/properties" ma:root="true" ma:fieldsID="8134588f06dd810053d78215bea9cb99" ns3:_="">
    <xsd:import namespace="1790b5ab-81b0-4dea-a1ac-14a85852b9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0b5ab-81b0-4dea-a1ac-14a85852b9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98317C02-2A1C-4865-B445-BEE36455B994}">
  <ds:schemaRefs>
    <ds:schemaRef ds:uri="http://schemas.microsoft.com/office/2006/metadata/properties"/>
    <ds:schemaRef ds:uri="http://schemas.microsoft.com/office/infopath/2007/PartnerControls"/>
    <ds:schemaRef ds:uri="1790b5ab-81b0-4dea-a1ac-14a85852b958"/>
  </ds:schemaRefs>
</ds:datastoreItem>
</file>

<file path=customXml/itemProps2.xml><?xml version="1.0" encoding="utf-8"?>
<ds:datastoreItem xmlns:ds="http://schemas.openxmlformats.org/officeDocument/2006/customXml" ds:itemID="{C1422A55-CEA9-480C-B27B-21CB6A48CE16}">
  <ds:schemaRefs>
    <ds:schemaRef ds:uri="http://schemas.microsoft.com/sharepoint/v3/contenttype/forms"/>
  </ds:schemaRefs>
</ds:datastoreItem>
</file>

<file path=customXml/itemProps3.xml><?xml version="1.0" encoding="utf-8"?>
<ds:datastoreItem xmlns:ds="http://schemas.openxmlformats.org/officeDocument/2006/customXml" ds:itemID="{49B59186-5991-4015-9F45-4A3D0B1A8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0b5ab-81b0-4dea-a1ac-14a85852b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B14F4A-3DAB-411C-AC3D-C0B1433DE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1848</Words>
  <Characters>10904</Characters>
  <Application>Microsoft Office Word</Application>
  <DocSecurity>0</DocSecurity>
  <Lines>90</Lines>
  <Paragraphs>25</Paragraphs>
  <ScaleCrop>false</ScaleCrop>
  <HeadingPairs>
    <vt:vector size="8" baseType="variant">
      <vt:variant>
        <vt:lpstr>Název</vt:lpstr>
      </vt:variant>
      <vt:variant>
        <vt:i4>1</vt:i4>
      </vt:variant>
      <vt:variant>
        <vt:lpstr>Nadpisy</vt:lpstr>
      </vt:variant>
      <vt:variant>
        <vt:i4>17</vt:i4>
      </vt:variant>
      <vt:variant>
        <vt:lpstr>Title</vt:lpstr>
      </vt:variant>
      <vt:variant>
        <vt:i4>1</vt:i4>
      </vt:variant>
      <vt:variant>
        <vt:lpstr>Headings</vt:lpstr>
      </vt:variant>
      <vt:variant>
        <vt:i4>8</vt:i4>
      </vt:variant>
    </vt:vector>
  </HeadingPairs>
  <TitlesOfParts>
    <vt:vector size="27" baseType="lpstr">
      <vt:lpstr/>
      <vt:lpstr>List of tables</vt:lpstr>
      <vt:lpstr>List of charts</vt:lpstr>
      <vt:lpstr>Abbreviations used</vt:lpstr>
      <vt:lpstr>Methodological part</vt:lpstr>
      <vt:lpstr>    Selection of households</vt:lpstr>
      <vt:lpstr>    Household data collection, data procurement</vt:lpstr>
      <vt:lpstr>    Number of households in the FSD</vt:lpstr>
      <vt:lpstr>    Data conversion to population totals, corrections and calculations</vt:lpstr>
      <vt:lpstr>    Differences in the outputs of household sample surveys and macro-aggregates of </vt:lpstr>
      <vt:lpstr>Analytical part</vt:lpstr>
      <vt:lpstr>    Selected household characteristics</vt:lpstr>
      <vt:lpstr>    Household assets and their components</vt:lpstr>
      <vt:lpstr>    Debt and its components</vt:lpstr>
      <vt:lpstr>    Net wealth</vt:lpstr>
      <vt:lpstr>    International comparison</vt:lpstr>
      <vt:lpstr>        </vt:lpstr>
      <vt:lpstr>Literature (Links)</vt:lpstr>
      <vt:lpstr/>
      <vt:lpstr>Styl: Nadpis 1</vt:lpstr>
      <vt:lpstr>    Styl: Nadpis 2</vt:lpstr>
      <vt:lpstr>        Styl: Nadpis 3</vt:lpstr>
      <vt:lpstr>        Styl: Nadpis 3</vt:lpstr>
      <vt:lpstr>    Styl: Nadpis 2</vt:lpstr>
      <vt:lpstr>        Styl: Nadpis 3</vt:lpstr>
      <vt:lpstr>    Styl: Nadpis 2</vt:lpstr>
      <vt:lpstr>        Styl: Nadpis 3</vt:lpstr>
    </vt:vector>
  </TitlesOfParts>
  <Manager/>
  <Company>CSU</Company>
  <LinksUpToDate>false</LinksUpToDate>
  <CharactersWithSpaces>12727</CharactersWithSpaces>
  <SharedDoc>false</SharedDoc>
  <HyperlinkBase/>
  <HLinks>
    <vt:vector size="18" baseType="variant">
      <vt:variant>
        <vt:i4>7602181</vt:i4>
      </vt:variant>
      <vt:variant>
        <vt:i4>11092</vt:i4>
      </vt:variant>
      <vt:variant>
        <vt:i4>1025</vt:i4>
      </vt:variant>
      <vt:variant>
        <vt:i4>1</vt:i4>
      </vt:variant>
      <vt:variant>
        <vt:lpwstr>msoFAAF</vt:lpwstr>
      </vt:variant>
      <vt:variant>
        <vt:lpwstr/>
      </vt:variant>
      <vt:variant>
        <vt:i4>7995509</vt:i4>
      </vt:variant>
      <vt:variant>
        <vt:i4>-1</vt:i4>
      </vt:variant>
      <vt:variant>
        <vt:i4>2058</vt:i4>
      </vt:variant>
      <vt:variant>
        <vt:i4>1</vt:i4>
      </vt:variant>
      <vt:variant>
        <vt:lpwstr>CSU RGB CZ logo-02</vt:lpwstr>
      </vt:variant>
      <vt:variant>
        <vt:lpwstr/>
      </vt:variant>
      <vt:variant>
        <vt:i4>7929973</vt:i4>
      </vt:variant>
      <vt:variant>
        <vt:i4>-1</vt:i4>
      </vt:variant>
      <vt:variant>
        <vt:i4>2059</vt:i4>
      </vt:variant>
      <vt:variant>
        <vt:i4>1</vt:i4>
      </vt:variant>
      <vt:variant>
        <vt:lpwstr>CSU RGB CZ 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Nigrinová Aneta</dc:creator>
  <cp:keywords/>
  <dc:description/>
  <cp:lastModifiedBy>TD</cp:lastModifiedBy>
  <cp:revision>3</cp:revision>
  <cp:lastPrinted>2025-03-12T12:25:00Z</cp:lastPrinted>
  <dcterms:created xsi:type="dcterms:W3CDTF">2025-10-03T14:08:00Z</dcterms:created>
  <dcterms:modified xsi:type="dcterms:W3CDTF">2025-10-03T14:10:00Z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0x01010090951A39FF7C7A43B73F61C34EB71133</vt:lpwstr>
  </property>
  <property fmtid="{D5CDD505-2E9C-101B-9397-08002B2CF9AE}" pid="3" name="Názevformuláře">
    <vt:lpwstr>Publikace CZ barevné - ekonomika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2017-08-14T07:00:00Z</vt:filetime>
  </property>
  <property fmtid="{D5CDD505-2E9C-101B-9397-08002B2CF9AE}" pid="8" name="Označení">
    <vt:lpwstr>Form_c438</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MediaServiceImageTags">
    <vt:lpwstr/>
  </property>
</Properties>
</file>