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42A" w:rsidRDefault="0017742A" w:rsidP="001228AB">
      <w:pPr>
        <w:pStyle w:val="Nadpis1"/>
        <w:numPr>
          <w:ilvl w:val="0"/>
          <w:numId w:val="0"/>
        </w:numPr>
        <w:ind w:left="142" w:hanging="142"/>
      </w:pPr>
      <w:bookmarkStart w:id="0" w:name="_Toc393277661"/>
      <w:r>
        <w:t>Ekonomický vývoj</w:t>
      </w:r>
      <w:bookmarkEnd w:id="0"/>
    </w:p>
    <w:tbl>
      <w:tblPr>
        <w:tblW w:w="9776" w:type="dxa"/>
        <w:tblCellMar>
          <w:left w:w="70" w:type="dxa"/>
          <w:right w:w="70" w:type="dxa"/>
        </w:tblCellMar>
        <w:tblLook w:val="0000"/>
      </w:tblPr>
      <w:tblGrid>
        <w:gridCol w:w="2410"/>
        <w:gridCol w:w="7200"/>
        <w:gridCol w:w="166"/>
      </w:tblGrid>
      <w:tr w:rsidR="007D49A4" w:rsidTr="003C7CA1">
        <w:trPr>
          <w:gridAfter w:val="1"/>
          <w:wAfter w:w="166" w:type="dxa"/>
        </w:trPr>
        <w:tc>
          <w:tcPr>
            <w:tcW w:w="2410" w:type="dxa"/>
          </w:tcPr>
          <w:p w:rsidR="007D49A4" w:rsidRPr="007D49A4" w:rsidRDefault="007D49A4" w:rsidP="006F71A4">
            <w:pPr>
              <w:pStyle w:val="text"/>
              <w:jc w:val="left"/>
              <w:rPr>
                <w:b/>
                <w:bCs/>
                <w:i/>
                <w:iCs/>
                <w:u w:val="single"/>
              </w:rPr>
            </w:pPr>
            <w:r w:rsidRPr="007D49A4">
              <w:rPr>
                <w:b/>
                <w:bCs/>
                <w:i/>
                <w:iCs/>
                <w:u w:val="single"/>
              </w:rPr>
              <w:t>Makroekonomický rámec:</w:t>
            </w:r>
            <w:r w:rsidR="006F71A4">
              <w:rPr>
                <w:b/>
                <w:bCs/>
                <w:i/>
                <w:iCs/>
              </w:rPr>
              <w:t xml:space="preserve"> </w:t>
            </w:r>
            <w:r w:rsidR="006F71A4" w:rsidRPr="006F71A4">
              <w:rPr>
                <w:b/>
                <w:bCs/>
                <w:i/>
                <w:iCs/>
              </w:rPr>
              <w:t>Vývoj</w:t>
            </w:r>
            <w:r w:rsidR="006F71A4">
              <w:rPr>
                <w:b/>
                <w:bCs/>
                <w:i/>
                <w:iCs/>
              </w:rPr>
              <w:t> </w:t>
            </w:r>
            <w:r w:rsidR="006F71A4" w:rsidRPr="006F71A4">
              <w:rPr>
                <w:b/>
                <w:bCs/>
                <w:i/>
                <w:iCs/>
              </w:rPr>
              <w:t>HDP</w:t>
            </w:r>
            <w:r w:rsidR="006F71A4">
              <w:rPr>
                <w:b/>
                <w:bCs/>
                <w:i/>
                <w:iCs/>
              </w:rPr>
              <w:t> </w:t>
            </w:r>
            <w:r w:rsidR="006F71A4" w:rsidRPr="006F71A4">
              <w:rPr>
                <w:b/>
                <w:bCs/>
                <w:i/>
                <w:iCs/>
              </w:rPr>
              <w:t xml:space="preserve">nadále ovlivněn ekonomickou </w:t>
            </w:r>
            <w:proofErr w:type="gramStart"/>
            <w:r w:rsidR="006F71A4" w:rsidRPr="006F71A4">
              <w:rPr>
                <w:b/>
                <w:bCs/>
                <w:i/>
                <w:iCs/>
              </w:rPr>
              <w:t>recesí</w:t>
            </w:r>
            <w:r w:rsidR="00DB36D2">
              <w:rPr>
                <w:b/>
                <w:bCs/>
                <w:i/>
                <w:iCs/>
              </w:rPr>
              <w:t>..</w:t>
            </w:r>
            <w:r w:rsidR="006F71A4" w:rsidRPr="006F71A4">
              <w:rPr>
                <w:b/>
                <w:bCs/>
                <w:i/>
                <w:iCs/>
              </w:rPr>
              <w:t>.</w:t>
            </w:r>
            <w:proofErr w:type="gramEnd"/>
          </w:p>
        </w:tc>
        <w:tc>
          <w:tcPr>
            <w:tcW w:w="7200" w:type="dxa"/>
          </w:tcPr>
          <w:p w:rsidR="007D49A4" w:rsidRPr="00B74B28" w:rsidRDefault="008F0E5D" w:rsidP="00717679">
            <w:pPr>
              <w:pStyle w:val="text"/>
              <w:rPr>
                <w:spacing w:val="-4"/>
              </w:rPr>
            </w:pPr>
            <w:r>
              <w:rPr>
                <w:spacing w:val="-4"/>
              </w:rPr>
              <w:t>Tvorba hrubého domácího produktu</w:t>
            </w:r>
            <w:r w:rsidR="00686564">
              <w:rPr>
                <w:spacing w:val="-4"/>
              </w:rPr>
              <w:t xml:space="preserve"> (HDP)</w:t>
            </w:r>
            <w:r>
              <w:rPr>
                <w:spacing w:val="-4"/>
              </w:rPr>
              <w:t xml:space="preserve"> zaznamenala v roce 2012 ve srovnání s </w:t>
            </w:r>
            <w:proofErr w:type="spellStart"/>
            <w:r>
              <w:rPr>
                <w:spacing w:val="-4"/>
              </w:rPr>
              <w:t>předcházejícícm</w:t>
            </w:r>
            <w:proofErr w:type="spellEnd"/>
            <w:r>
              <w:rPr>
                <w:spacing w:val="-4"/>
              </w:rPr>
              <w:t xml:space="preserve"> rokem pokles o</w:t>
            </w:r>
            <w:r w:rsidR="006F0609">
              <w:rPr>
                <w:spacing w:val="-4"/>
              </w:rPr>
              <w:t> </w:t>
            </w:r>
            <w:r>
              <w:rPr>
                <w:spacing w:val="-4"/>
              </w:rPr>
              <w:t xml:space="preserve">1,0 %. Podíl kraje na tvorbě HDP v rámci </w:t>
            </w:r>
            <w:r w:rsidR="00717679">
              <w:rPr>
                <w:spacing w:val="-4"/>
              </w:rPr>
              <w:t>Č</w:t>
            </w:r>
            <w:r>
              <w:rPr>
                <w:spacing w:val="-4"/>
              </w:rPr>
              <w:t xml:space="preserve">eské republiky činil 2,0 %, což je nejnižší podíl ze všech regionů. Tento podíl se navíc postupně snižuje, od roku 2005 došlo k jeho poklesu o 0,3 procentního bodu. Nejvíce se na tvorbě HDP České republiky podílí Hlavní město Praha (24,7 %), dále pak Středočeský kraj </w:t>
            </w:r>
            <w:r w:rsidR="00B3758D">
              <w:rPr>
                <w:spacing w:val="-4"/>
              </w:rPr>
              <w:t xml:space="preserve">(10,9 %), Jihomoravský kraj (10,5 %) a kraj Moravskoslezský (10,2 %). Tvorba hrubého domácího produktu na 1 obyvatele činila v Karlovarském kraji v roce 2012 celkem 258 364 Kč, což představuje meziroční pokles o 0,7 %. </w:t>
            </w:r>
          </w:p>
        </w:tc>
      </w:tr>
      <w:tr w:rsidR="007361B1" w:rsidTr="003C7CA1">
        <w:tc>
          <w:tcPr>
            <w:tcW w:w="9776" w:type="dxa"/>
            <w:gridSpan w:val="3"/>
          </w:tcPr>
          <w:p w:rsidR="007361B1" w:rsidRPr="00B74B28" w:rsidRDefault="005C15C9" w:rsidP="007361B1">
            <w:pPr>
              <w:pStyle w:val="text"/>
              <w:jc w:val="center"/>
              <w:rPr>
                <w:spacing w:val="-4"/>
              </w:rPr>
            </w:pPr>
            <w:r w:rsidRPr="005C15C9">
              <w:rPr>
                <w:spacing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336.75pt">
                  <v:imagedata r:id="rId8" o:title=""/>
                </v:shape>
              </w:pict>
            </w:r>
          </w:p>
        </w:tc>
      </w:tr>
      <w:tr w:rsidR="007D49A4" w:rsidTr="003C7CA1">
        <w:trPr>
          <w:gridAfter w:val="1"/>
          <w:wAfter w:w="166" w:type="dxa"/>
        </w:trPr>
        <w:tc>
          <w:tcPr>
            <w:tcW w:w="2410" w:type="dxa"/>
          </w:tcPr>
          <w:p w:rsidR="007D49A4" w:rsidRDefault="00DB36D2" w:rsidP="00DB36D2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…pokles hrubé </w:t>
            </w:r>
            <w:proofErr w:type="spellStart"/>
            <w:r>
              <w:rPr>
                <w:b/>
                <w:bCs/>
                <w:i/>
                <w:iCs/>
              </w:rPr>
              <w:t>připadé</w:t>
            </w:r>
            <w:proofErr w:type="spellEnd"/>
            <w:r>
              <w:rPr>
                <w:b/>
                <w:bCs/>
                <w:i/>
                <w:iCs/>
              </w:rPr>
              <w:t> hodnoty…</w:t>
            </w:r>
          </w:p>
        </w:tc>
        <w:tc>
          <w:tcPr>
            <w:tcW w:w="7200" w:type="dxa"/>
          </w:tcPr>
          <w:p w:rsidR="007D49A4" w:rsidRPr="00B74B28" w:rsidRDefault="007361B1" w:rsidP="007E1472">
            <w:pPr>
              <w:pStyle w:val="text"/>
              <w:rPr>
                <w:spacing w:val="-4"/>
              </w:rPr>
            </w:pPr>
            <w:r>
              <w:rPr>
                <w:spacing w:val="-4"/>
              </w:rPr>
              <w:t>Hodnota hrubé přidané hodnoty</w:t>
            </w:r>
            <w:r w:rsidR="00686564">
              <w:rPr>
                <w:spacing w:val="-4"/>
              </w:rPr>
              <w:t xml:space="preserve"> (HPH)</w:t>
            </w:r>
            <w:r>
              <w:rPr>
                <w:spacing w:val="-4"/>
              </w:rPr>
              <w:t xml:space="preserve"> v Karlovarském kraji vykazovala od roku 1995 </w:t>
            </w:r>
            <w:r w:rsidR="00686564">
              <w:rPr>
                <w:spacing w:val="-4"/>
              </w:rPr>
              <w:t xml:space="preserve">dlouhodobý rostoucí trend, od roku 2010 došlo již třetí rok </w:t>
            </w:r>
            <w:r w:rsidR="0022045E">
              <w:rPr>
                <w:spacing w:val="-4"/>
              </w:rPr>
              <w:t xml:space="preserve">za </w:t>
            </w:r>
            <w:proofErr w:type="gramStart"/>
            <w:r w:rsidR="0022045E">
              <w:rPr>
                <w:spacing w:val="-4"/>
              </w:rPr>
              <w:t>sebou</w:t>
            </w:r>
            <w:r w:rsidR="00686564">
              <w:rPr>
                <w:spacing w:val="-4"/>
              </w:rPr>
              <w:t xml:space="preserve">   k meziročnímu</w:t>
            </w:r>
            <w:proofErr w:type="gramEnd"/>
            <w:r w:rsidR="00686564">
              <w:rPr>
                <w:spacing w:val="-4"/>
              </w:rPr>
              <w:t xml:space="preserve"> poklesu HPH, v roce 2012 činil tento pokles 1,4 %</w:t>
            </w:r>
            <w:r w:rsidR="00861281">
              <w:rPr>
                <w:spacing w:val="-4"/>
              </w:rPr>
              <w:t xml:space="preserve"> (na 70 141 mil. Kč)</w:t>
            </w:r>
            <w:r w:rsidR="00686564">
              <w:rPr>
                <w:spacing w:val="-4"/>
              </w:rPr>
              <w:t>. K vyšší</w:t>
            </w:r>
            <w:r w:rsidR="00DB36D2">
              <w:rPr>
                <w:spacing w:val="-4"/>
              </w:rPr>
              <w:t>mu</w:t>
            </w:r>
            <w:r w:rsidR="00686564">
              <w:rPr>
                <w:spacing w:val="-4"/>
              </w:rPr>
              <w:t xml:space="preserve"> pro</w:t>
            </w:r>
            <w:r w:rsidR="007E1472">
              <w:rPr>
                <w:spacing w:val="-4"/>
              </w:rPr>
              <w:t>p</w:t>
            </w:r>
            <w:r w:rsidR="00686564">
              <w:rPr>
                <w:spacing w:val="-4"/>
              </w:rPr>
              <w:t xml:space="preserve">adu hrubé přidané hodnoty oproti předchozímu roku došlo </w:t>
            </w:r>
            <w:r w:rsidR="00C93DB6">
              <w:rPr>
                <w:spacing w:val="-4"/>
              </w:rPr>
              <w:t>pouze v Pardubickém kraji (o 3,0 %)</w:t>
            </w:r>
            <w:r w:rsidR="006A53FB">
              <w:rPr>
                <w:spacing w:val="-4"/>
              </w:rPr>
              <w:t>, ke snížení hod</w:t>
            </w:r>
            <w:r w:rsidR="00DB36D2">
              <w:rPr>
                <w:spacing w:val="-4"/>
              </w:rPr>
              <w:t>n</w:t>
            </w:r>
            <w:r w:rsidR="006A53FB">
              <w:rPr>
                <w:spacing w:val="-4"/>
              </w:rPr>
              <w:t>oty HPH došlo také v Královéhradeckém kraji, Hlavním městě Praze, Plzeňském a</w:t>
            </w:r>
            <w:r w:rsidR="00B6582E">
              <w:rPr>
                <w:spacing w:val="-4"/>
              </w:rPr>
              <w:t> </w:t>
            </w:r>
            <w:r w:rsidR="006A53FB">
              <w:rPr>
                <w:spacing w:val="-4"/>
              </w:rPr>
              <w:t xml:space="preserve">Moravskoslezském kraji. </w:t>
            </w:r>
            <w:r w:rsidR="001C4B04">
              <w:rPr>
                <w:spacing w:val="-4"/>
              </w:rPr>
              <w:t xml:space="preserve">Hodnota HPH v celé </w:t>
            </w:r>
            <w:r w:rsidR="00EF7B32">
              <w:rPr>
                <w:spacing w:val="-4"/>
              </w:rPr>
              <w:t>Č</w:t>
            </w:r>
            <w:r w:rsidR="001C4B04">
              <w:rPr>
                <w:spacing w:val="-4"/>
              </w:rPr>
              <w:t>eské republice</w:t>
            </w:r>
            <w:r w:rsidR="00EF7B32">
              <w:rPr>
                <w:spacing w:val="-4"/>
              </w:rPr>
              <w:t xml:space="preserve"> zaznamenal</w:t>
            </w:r>
            <w:r w:rsidR="001C4B04">
              <w:rPr>
                <w:spacing w:val="-4"/>
              </w:rPr>
              <w:t>a</w:t>
            </w:r>
            <w:r w:rsidR="00EF7B32">
              <w:rPr>
                <w:spacing w:val="-4"/>
              </w:rPr>
              <w:t xml:space="preserve"> ve srovnání s minulým rokem mírný nárůst, a to o 0,2 %.</w:t>
            </w:r>
          </w:p>
        </w:tc>
      </w:tr>
      <w:tr w:rsidR="007D49A4" w:rsidTr="003C7CA1">
        <w:trPr>
          <w:gridAfter w:val="1"/>
          <w:wAfter w:w="166" w:type="dxa"/>
        </w:trPr>
        <w:tc>
          <w:tcPr>
            <w:tcW w:w="2410" w:type="dxa"/>
          </w:tcPr>
          <w:p w:rsidR="007D49A4" w:rsidRDefault="00DB36D2" w:rsidP="00FB3721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…struktura hrubé přidané hodnoty bez významných změn.</w:t>
            </w:r>
          </w:p>
        </w:tc>
        <w:tc>
          <w:tcPr>
            <w:tcW w:w="7200" w:type="dxa"/>
          </w:tcPr>
          <w:p w:rsidR="007D49A4" w:rsidRPr="00B74B28" w:rsidRDefault="00DB36D2" w:rsidP="007E1472">
            <w:pPr>
              <w:pStyle w:val="text"/>
              <w:rPr>
                <w:spacing w:val="-4"/>
              </w:rPr>
            </w:pPr>
            <w:r>
              <w:rPr>
                <w:spacing w:val="-4"/>
              </w:rPr>
              <w:t>Struktura hrubé přidané hodnoty podle sektorů zůstává bez významných změn.</w:t>
            </w:r>
            <w:r w:rsidR="00861281">
              <w:rPr>
                <w:spacing w:val="-4"/>
              </w:rPr>
              <w:t xml:space="preserve"> Největší podíl HPH je každoročně vytvořen ve zpracovatelském průmyslu, v roce 2012 činil tento podíl </w:t>
            </w:r>
            <w:r w:rsidR="00C42D0A">
              <w:rPr>
                <w:spacing w:val="-4"/>
              </w:rPr>
              <w:t>20,1 % a meziročně se tak snížil o</w:t>
            </w:r>
            <w:r w:rsidR="00535160">
              <w:rPr>
                <w:spacing w:val="-4"/>
              </w:rPr>
              <w:t> </w:t>
            </w:r>
            <w:r w:rsidR="00C42D0A">
              <w:rPr>
                <w:spacing w:val="-4"/>
              </w:rPr>
              <w:t xml:space="preserve">0,5 procentního bodu. </w:t>
            </w:r>
            <w:r w:rsidR="004A537D">
              <w:rPr>
                <w:spacing w:val="-4"/>
              </w:rPr>
              <w:t xml:space="preserve">Pokles zaznamenal také podíl HPH vytvořený ve stavebnictví </w:t>
            </w:r>
            <w:r w:rsidR="007E1472">
              <w:rPr>
                <w:spacing w:val="-4"/>
              </w:rPr>
              <w:t>nebo</w:t>
            </w:r>
            <w:r w:rsidR="004A537D">
              <w:rPr>
                <w:spacing w:val="-4"/>
              </w:rPr>
              <w:t xml:space="preserve"> v profesní, vědecké, technické a administrativní činnosti. Naopak významněji vzrostl podíl HPH v činností v oblasti obchodu, dopravy, ubytování a pohostinství. </w:t>
            </w:r>
            <w:r w:rsidR="00535160">
              <w:rPr>
                <w:spacing w:val="-4"/>
              </w:rPr>
              <w:t xml:space="preserve">Z výsledků za rok 2012 je patrné, že ekonomika kraje byla v tomto roce nadále ovlivněna ekonomickou recesí. </w:t>
            </w:r>
          </w:p>
        </w:tc>
      </w:tr>
    </w:tbl>
    <w:p w:rsidR="00D625B0" w:rsidRDefault="00D625B0"/>
    <w:p w:rsidR="00D625B0" w:rsidRDefault="00D625B0"/>
    <w:p w:rsidR="00D625B0" w:rsidRDefault="00D625B0"/>
    <w:tbl>
      <w:tblPr>
        <w:tblW w:w="9770" w:type="dxa"/>
        <w:tblCellMar>
          <w:left w:w="70" w:type="dxa"/>
          <w:right w:w="70" w:type="dxa"/>
        </w:tblCellMar>
        <w:tblLook w:val="0000"/>
      </w:tblPr>
      <w:tblGrid>
        <w:gridCol w:w="2982"/>
        <w:gridCol w:w="6737"/>
        <w:gridCol w:w="22"/>
        <w:gridCol w:w="29"/>
      </w:tblGrid>
      <w:tr w:rsidR="006A75CE" w:rsidTr="00FC01C0">
        <w:trPr>
          <w:gridAfter w:val="1"/>
          <w:wAfter w:w="136" w:type="dxa"/>
        </w:trPr>
        <w:tc>
          <w:tcPr>
            <w:tcW w:w="9634" w:type="dxa"/>
            <w:gridSpan w:val="3"/>
          </w:tcPr>
          <w:p w:rsidR="006A75CE" w:rsidRPr="00B74B28" w:rsidRDefault="005C15C9" w:rsidP="006A75CE">
            <w:pPr>
              <w:pStyle w:val="text"/>
              <w:jc w:val="center"/>
              <w:rPr>
                <w:spacing w:val="-4"/>
              </w:rPr>
            </w:pPr>
            <w:r w:rsidRPr="005C15C9">
              <w:rPr>
                <w:spacing w:val="-4"/>
              </w:rPr>
              <w:lastRenderedPageBreak/>
              <w:pict>
                <v:shape id="_x0000_i1026" type="#_x0000_t75" style="width:474.75pt;height:206.25pt">
                  <v:imagedata r:id="rId9" o:title=""/>
                </v:shape>
              </w:pict>
            </w:r>
          </w:p>
        </w:tc>
      </w:tr>
      <w:tr w:rsidR="007D49A4" w:rsidTr="001056F0">
        <w:trPr>
          <w:gridAfter w:val="2"/>
          <w:wAfter w:w="160" w:type="dxa"/>
        </w:trPr>
        <w:tc>
          <w:tcPr>
            <w:tcW w:w="2410" w:type="dxa"/>
          </w:tcPr>
          <w:p w:rsidR="007D49A4" w:rsidRPr="00D36E1F" w:rsidRDefault="006A75CE" w:rsidP="00986F01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6A75CE">
              <w:rPr>
                <w:b/>
                <w:bCs/>
                <w:i/>
                <w:iCs/>
                <w:u w:val="single"/>
              </w:rPr>
              <w:t>Věda, informační technologie:</w:t>
            </w:r>
            <w:r w:rsidR="00986F01">
              <w:rPr>
                <w:b/>
                <w:bCs/>
                <w:i/>
                <w:iCs/>
                <w:u w:val="single"/>
              </w:rPr>
              <w:t xml:space="preserve"> </w:t>
            </w:r>
            <w:r w:rsidR="00986F01">
              <w:rPr>
                <w:b/>
                <w:bCs/>
                <w:i/>
                <w:iCs/>
              </w:rPr>
              <w:t>Nárůst počtu pracovníků ve vědě a výzkumu, prudký nárůst výdajů na vědu a výzkum.</w:t>
            </w:r>
          </w:p>
        </w:tc>
        <w:tc>
          <w:tcPr>
            <w:tcW w:w="7200" w:type="dxa"/>
          </w:tcPr>
          <w:p w:rsidR="007D49A4" w:rsidRPr="00B74B28" w:rsidRDefault="006A75CE" w:rsidP="00986F01">
            <w:pPr>
              <w:pStyle w:val="text"/>
              <w:rPr>
                <w:spacing w:val="-4"/>
              </w:rPr>
            </w:pPr>
            <w:r>
              <w:rPr>
                <w:spacing w:val="-4"/>
              </w:rPr>
              <w:t>Počet zaměstnanců výzkumu a vývoje v průběhu let 200</w:t>
            </w:r>
            <w:r w:rsidR="00156E28">
              <w:rPr>
                <w:spacing w:val="-4"/>
              </w:rPr>
              <w:t>1</w:t>
            </w:r>
            <w:r>
              <w:rPr>
                <w:spacing w:val="-4"/>
              </w:rPr>
              <w:t xml:space="preserve">-2012 v Karlovarském kraji </w:t>
            </w:r>
            <w:r w:rsidR="00156E28">
              <w:rPr>
                <w:spacing w:val="-4"/>
              </w:rPr>
              <w:t>kolísal. V roce 201</w:t>
            </w:r>
            <w:r w:rsidR="00152EF4">
              <w:rPr>
                <w:spacing w:val="-4"/>
              </w:rPr>
              <w:t>2</w:t>
            </w:r>
            <w:r w:rsidR="00156E28">
              <w:rPr>
                <w:spacing w:val="-4"/>
              </w:rPr>
              <w:t xml:space="preserve"> bylo ve vědě a výzkumu zaměstnáno celkem 116 osob, což je o 14 osob, tj. o 13,7 % více, než v minulém roce. Z celkového počtu </w:t>
            </w:r>
            <w:r w:rsidR="00986F01">
              <w:rPr>
                <w:spacing w:val="-4"/>
              </w:rPr>
              <w:t xml:space="preserve">zaměstnanců výzkumu a vývoje tvořili 57,8 % výzkumní pracovníci, ve srovnání s rokem 2011 tak došlo k nárůstu podílu výzkumných pracovníků o 3,8 procentního bodu. Pozitivním zjištěním je, že výdaje na vědu a výzkum činily v roce 2012 celkem 203,5 mil. Kč a meziročně tak zaznamenaly prudký nárůst o 64,1 %, což je nejvyšší nárůst za posledních deset let. V celorepublikovém </w:t>
            </w:r>
            <w:proofErr w:type="spellStart"/>
            <w:r w:rsidR="00986F01">
              <w:rPr>
                <w:spacing w:val="-4"/>
              </w:rPr>
              <w:t>srování</w:t>
            </w:r>
            <w:proofErr w:type="spellEnd"/>
            <w:r w:rsidR="00986F01">
              <w:rPr>
                <w:spacing w:val="-4"/>
              </w:rPr>
              <w:t xml:space="preserve"> to představuje druhý nejvyšší nárůst po Olomouckém kraji (o 67,3 %). Výdaje na vědu a výzkum ve srovnání s minulým rokem stouply téměř ve všech regionech ČR, s výjimkou Středočeského, Královéhradeckého a Moravskoslezského kraje. Na financování vý</w:t>
            </w:r>
            <w:r w:rsidR="00202E3B">
              <w:rPr>
                <w:spacing w:val="-4"/>
              </w:rPr>
              <w:t>z</w:t>
            </w:r>
            <w:r w:rsidR="00986F01">
              <w:rPr>
                <w:spacing w:val="-4"/>
              </w:rPr>
              <w:t>kumu a vývoje v kraji se nejvíce podílel podnikatelský sektor (89,2 %), oproti roku 2011 se tento podíl zvýšil o 6,9 procentního bodu.</w:t>
            </w:r>
          </w:p>
        </w:tc>
      </w:tr>
      <w:tr w:rsidR="00986F01" w:rsidTr="001056F0">
        <w:tc>
          <w:tcPr>
            <w:tcW w:w="9770" w:type="dxa"/>
            <w:gridSpan w:val="4"/>
          </w:tcPr>
          <w:p w:rsidR="00986F01" w:rsidRDefault="00717679" w:rsidP="00986F01">
            <w:pPr>
              <w:pStyle w:val="text"/>
              <w:jc w:val="center"/>
              <w:rPr>
                <w:spacing w:val="-4"/>
              </w:rPr>
            </w:pPr>
            <w:r w:rsidRPr="005C15C9">
              <w:rPr>
                <w:spacing w:val="-4"/>
              </w:rPr>
              <w:pict>
                <v:shape id="_x0000_i1027" type="#_x0000_t75" style="width:481.5pt;height:337.5pt">
                  <v:imagedata r:id="rId10" o:title=""/>
                </v:shape>
              </w:pict>
            </w:r>
          </w:p>
        </w:tc>
      </w:tr>
    </w:tbl>
    <w:p w:rsidR="00986F01" w:rsidRDefault="00986F01"/>
    <w:tbl>
      <w:tblPr>
        <w:tblW w:w="9775" w:type="dxa"/>
        <w:tblCellMar>
          <w:left w:w="70" w:type="dxa"/>
          <w:right w:w="70" w:type="dxa"/>
        </w:tblCellMar>
        <w:tblLook w:val="0000"/>
      </w:tblPr>
      <w:tblGrid>
        <w:gridCol w:w="2410"/>
        <w:gridCol w:w="7200"/>
        <w:gridCol w:w="165"/>
      </w:tblGrid>
      <w:tr w:rsidR="007D49A4" w:rsidTr="00D617F6">
        <w:trPr>
          <w:gridAfter w:val="1"/>
          <w:wAfter w:w="165" w:type="dxa"/>
        </w:trPr>
        <w:tc>
          <w:tcPr>
            <w:tcW w:w="2410" w:type="dxa"/>
          </w:tcPr>
          <w:p w:rsidR="007D49A4" w:rsidRDefault="00876542" w:rsidP="00FB3721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Více domácností s připojením na internet.</w:t>
            </w:r>
          </w:p>
        </w:tc>
        <w:tc>
          <w:tcPr>
            <w:tcW w:w="7200" w:type="dxa"/>
          </w:tcPr>
          <w:p w:rsidR="007D49A4" w:rsidRPr="00B74B28" w:rsidRDefault="001A5A21" w:rsidP="007B3CEE">
            <w:pPr>
              <w:pStyle w:val="text"/>
              <w:rPr>
                <w:spacing w:val="-4"/>
              </w:rPr>
            </w:pPr>
            <w:r>
              <w:rPr>
                <w:spacing w:val="-4"/>
              </w:rPr>
              <w:t xml:space="preserve">V kraji bylo v roce </w:t>
            </w:r>
            <w:r w:rsidR="008E1F9A">
              <w:rPr>
                <w:spacing w:val="-4"/>
              </w:rPr>
              <w:t>celkem 64,1 % domácností vybaveno osobním počítačem, ve</w:t>
            </w:r>
            <w:r w:rsidR="007B3CEE">
              <w:rPr>
                <w:spacing w:val="-4"/>
              </w:rPr>
              <w:t> </w:t>
            </w:r>
            <w:r w:rsidR="008E1F9A">
              <w:rPr>
                <w:spacing w:val="-4"/>
              </w:rPr>
              <w:t>srovnání v </w:t>
            </w:r>
            <w:proofErr w:type="gramStart"/>
            <w:r w:rsidR="008E1F9A">
              <w:rPr>
                <w:spacing w:val="-4"/>
              </w:rPr>
              <w:t>rokem</w:t>
            </w:r>
            <w:proofErr w:type="gramEnd"/>
            <w:r w:rsidR="008E1F9A">
              <w:rPr>
                <w:spacing w:val="-4"/>
              </w:rPr>
              <w:t xml:space="preserve"> 2008 </w:t>
            </w:r>
            <w:r w:rsidR="00CB408B">
              <w:rPr>
                <w:spacing w:val="-4"/>
              </w:rPr>
              <w:t xml:space="preserve">to představuje nárůst o 17,7 procentního bodu. Stejně dynamicky narůstal také počet domácností vybavených připojením na internet, v roce 2012 bylo těchto domácností 62,6 %, vysokorychlostní internet přitom mělo připojeno 58,5 % domácností. </w:t>
            </w:r>
            <w:r w:rsidR="007B3CEE">
              <w:rPr>
                <w:spacing w:val="-4"/>
              </w:rPr>
              <w:t xml:space="preserve">Stejný rostoucí trend lze vysledovat ve všech regionech ČR. </w:t>
            </w:r>
          </w:p>
        </w:tc>
      </w:tr>
      <w:tr w:rsidR="00D617F6" w:rsidTr="00D617F6">
        <w:tc>
          <w:tcPr>
            <w:tcW w:w="9775" w:type="dxa"/>
            <w:gridSpan w:val="3"/>
          </w:tcPr>
          <w:p w:rsidR="00D617F6" w:rsidRPr="00B74B28" w:rsidRDefault="00717679" w:rsidP="00D617F6">
            <w:pPr>
              <w:pStyle w:val="text"/>
              <w:jc w:val="center"/>
              <w:rPr>
                <w:spacing w:val="-4"/>
              </w:rPr>
            </w:pPr>
            <w:r w:rsidRPr="005C15C9">
              <w:rPr>
                <w:spacing w:val="-4"/>
              </w:rPr>
              <w:pict>
                <v:shape id="_x0000_i1028" type="#_x0000_t75" style="width:481.5pt;height:335.25pt">
                  <v:imagedata r:id="rId11" o:title=""/>
                </v:shape>
              </w:pict>
            </w:r>
          </w:p>
        </w:tc>
      </w:tr>
      <w:tr w:rsidR="0017742A" w:rsidTr="00D617F6">
        <w:trPr>
          <w:gridAfter w:val="1"/>
          <w:wAfter w:w="165" w:type="dxa"/>
        </w:trPr>
        <w:tc>
          <w:tcPr>
            <w:tcW w:w="2410" w:type="dxa"/>
          </w:tcPr>
          <w:p w:rsidR="0017742A" w:rsidRDefault="00B048B3" w:rsidP="00FB3721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Nejvyšší podíl ekonomických subjektů působících v oblasti ubytování, stravování a pohostinství v rámci ČR</w:t>
            </w:r>
            <w:r w:rsidR="0017742A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7200" w:type="dxa"/>
          </w:tcPr>
          <w:p w:rsidR="0017742A" w:rsidRDefault="00B048B3" w:rsidP="00B048B3">
            <w:pPr>
              <w:pStyle w:val="text"/>
              <w:rPr>
                <w:highlight w:val="yellow"/>
              </w:rPr>
            </w:pPr>
            <w:r w:rsidRPr="00B74B28">
              <w:rPr>
                <w:spacing w:val="-4"/>
              </w:rPr>
              <w:t xml:space="preserve">Ke konci roku 2013 mělo v kraji registrováno své sídlo 76 802 ekonomických subjektů, </w:t>
            </w:r>
            <w:r>
              <w:rPr>
                <w:spacing w:val="-4"/>
              </w:rPr>
              <w:t xml:space="preserve">tento počet není plně srovnatelný s daty z předchozích let vlivem zpřesnění dat podle registru </w:t>
            </w:r>
            <w:r w:rsidRPr="00B74B28">
              <w:rPr>
                <w:spacing w:val="-4"/>
              </w:rPr>
              <w:t>osob. Celkem 66,5 % z registrovaných ekonomických subjektů tvořily osoby podnikající dle živnostenského zákona, přičemž jejich podíl se dlouhodobě pozvolna snižuje ve prospěch právnických osob. Většina ekonomických subjektů (91,3 %) neměla zaměstnance nebo o</w:t>
            </w:r>
            <w:r>
              <w:rPr>
                <w:spacing w:val="-4"/>
              </w:rPr>
              <w:t> </w:t>
            </w:r>
            <w:r w:rsidRPr="00B74B28">
              <w:rPr>
                <w:spacing w:val="-4"/>
              </w:rPr>
              <w:t xml:space="preserve">nich nebyl tento údaj znám. </w:t>
            </w:r>
            <w:r>
              <w:rPr>
                <w:spacing w:val="-4"/>
              </w:rPr>
              <w:t>Podle převažující činnosti CZ-NACE zaujímají nejvyšší podíl v kraji ekonomické subjekty podnikající v oblasti velkoobchodu, maloobchodu, oprav a údržby motorových vozidel (22,1 %). Ekonomické subjekty působící v oblasti ubytování, stravování a pohostinství činí v Karlovarském kraji 7,8 % všech ekonomických subjektů, což představuje nejvyšší podíl ze všech krajů ČR a ve srovnání s republikovým průměrem je tento podíl vyšší o 2,7 procentního bodu.</w:t>
            </w:r>
          </w:p>
        </w:tc>
      </w:tr>
      <w:tr w:rsidR="0017742A" w:rsidTr="00D617F6">
        <w:trPr>
          <w:gridAfter w:val="1"/>
          <w:wAfter w:w="165" w:type="dxa"/>
        </w:trPr>
        <w:tc>
          <w:tcPr>
            <w:tcW w:w="2410" w:type="dxa"/>
          </w:tcPr>
          <w:p w:rsidR="0017742A" w:rsidRPr="00581C84" w:rsidRDefault="00581C84" w:rsidP="00581C84">
            <w:pPr>
              <w:pStyle w:val="NORMAArialCE"/>
              <w:spacing w:after="0"/>
              <w:jc w:val="left"/>
              <w:rPr>
                <w:b/>
                <w:bCs/>
                <w:i/>
                <w:iCs/>
                <w:u w:val="single"/>
              </w:rPr>
            </w:pPr>
            <w:r w:rsidRPr="00527888">
              <w:rPr>
                <w:b/>
                <w:bCs/>
                <w:i/>
                <w:iCs/>
                <w:u w:val="single"/>
              </w:rPr>
              <w:t>Průmysl:</w:t>
            </w:r>
            <w:r>
              <w:rPr>
                <w:b/>
                <w:bCs/>
                <w:i/>
                <w:iCs/>
                <w:u w:val="single"/>
              </w:rPr>
              <w:t xml:space="preserve">  </w:t>
            </w:r>
            <w:r w:rsidRPr="00527888">
              <w:rPr>
                <w:b/>
                <w:bCs/>
                <w:i/>
                <w:iCs/>
              </w:rPr>
              <w:t>Tržby</w:t>
            </w:r>
            <w:r>
              <w:rPr>
                <w:b/>
                <w:bCs/>
                <w:i/>
                <w:iCs/>
              </w:rPr>
              <w:t> </w:t>
            </w:r>
            <w:r w:rsidRPr="00527888">
              <w:rPr>
                <w:b/>
                <w:bCs/>
                <w:i/>
                <w:iCs/>
              </w:rPr>
              <w:t>velkých průmyslových podniků mírně vzrostly.</w:t>
            </w:r>
          </w:p>
        </w:tc>
        <w:tc>
          <w:tcPr>
            <w:tcW w:w="7200" w:type="dxa"/>
          </w:tcPr>
          <w:p w:rsidR="0017742A" w:rsidRDefault="00581C84" w:rsidP="00581C84">
            <w:pPr>
              <w:pStyle w:val="text"/>
              <w:rPr>
                <w:highlight w:val="yellow"/>
              </w:rPr>
            </w:pPr>
            <w:r>
              <w:rPr>
                <w:spacing w:val="-4"/>
              </w:rPr>
              <w:t xml:space="preserve">V </w:t>
            </w:r>
            <w:r w:rsidRPr="00573259">
              <w:rPr>
                <w:spacing w:val="-4"/>
              </w:rPr>
              <w:t>kraji mělo v roce 2013 své sídlo celkem 73 velkých průmyslových podniků</w:t>
            </w:r>
            <w:r w:rsidRPr="00573259">
              <w:rPr>
                <w:rStyle w:val="Znakapoznpodarou"/>
              </w:rPr>
              <w:footnoteReference w:id="1"/>
            </w:r>
            <w:r w:rsidRPr="00573259">
              <w:rPr>
                <w:spacing w:val="-4"/>
              </w:rPr>
              <w:t xml:space="preserve">. Tržby z prodeje vlastních výrobků a služeb průmyslové povahy (v běžných cenách) v Karlovarském kraji </w:t>
            </w:r>
            <w:r>
              <w:rPr>
                <w:spacing w:val="-4"/>
              </w:rPr>
              <w:t xml:space="preserve">oproti minulému roku </w:t>
            </w:r>
            <w:r w:rsidRPr="00573259">
              <w:rPr>
                <w:spacing w:val="-4"/>
              </w:rPr>
              <w:t>mírně vzrostly,</w:t>
            </w:r>
            <w:r>
              <w:rPr>
                <w:spacing w:val="-4"/>
              </w:rPr>
              <w:t xml:space="preserve"> stejně jako ve většině ostatních krajů ČR, a to o 4,3 %.</w:t>
            </w:r>
            <w:r w:rsidRPr="00573259">
              <w:rPr>
                <w:spacing w:val="-4"/>
              </w:rPr>
              <w:t xml:space="preserve"> </w:t>
            </w:r>
            <w:r w:rsidRPr="004333A4">
              <w:rPr>
                <w:spacing w:val="-4"/>
              </w:rPr>
              <w:t>Celorepublikový průměr tohoto ukazatele doznal meziroční nárůst o 1,3</w:t>
            </w:r>
            <w:r>
              <w:rPr>
                <w:spacing w:val="-4"/>
              </w:rPr>
              <w:t> %.</w:t>
            </w:r>
          </w:p>
        </w:tc>
      </w:tr>
    </w:tbl>
    <w:p w:rsidR="002B4DAC" w:rsidRDefault="002B4DAC"/>
    <w:p w:rsidR="002B4DAC" w:rsidRDefault="002B4DAC"/>
    <w:p w:rsidR="002B4DAC" w:rsidRDefault="002B4DAC"/>
    <w:p w:rsidR="002B4DAC" w:rsidRDefault="002B4DAC"/>
    <w:p w:rsidR="002B4DAC" w:rsidRDefault="002B4DAC"/>
    <w:tbl>
      <w:tblPr>
        <w:tblW w:w="9775" w:type="dxa"/>
        <w:tblCellMar>
          <w:left w:w="70" w:type="dxa"/>
          <w:right w:w="70" w:type="dxa"/>
        </w:tblCellMar>
        <w:tblLook w:val="0000"/>
      </w:tblPr>
      <w:tblGrid>
        <w:gridCol w:w="2410"/>
        <w:gridCol w:w="7200"/>
        <w:gridCol w:w="129"/>
        <w:gridCol w:w="36"/>
      </w:tblGrid>
      <w:tr w:rsidR="0017742A" w:rsidTr="00D73D87">
        <w:trPr>
          <w:gridAfter w:val="1"/>
          <w:wAfter w:w="36" w:type="dxa"/>
          <w:cantSplit/>
        </w:trPr>
        <w:tc>
          <w:tcPr>
            <w:tcW w:w="9739" w:type="dxa"/>
            <w:gridSpan w:val="3"/>
          </w:tcPr>
          <w:p w:rsidR="0017742A" w:rsidRDefault="00717679" w:rsidP="002A3B42">
            <w:pPr>
              <w:pStyle w:val="text"/>
              <w:jc w:val="center"/>
            </w:pPr>
            <w:r>
              <w:pict>
                <v:shape id="_x0000_i1029" type="#_x0000_t75" style="width:474pt;height:167.25pt">
                  <v:imagedata r:id="rId12" o:title=""/>
                </v:shape>
              </w:pict>
            </w:r>
          </w:p>
        </w:tc>
      </w:tr>
      <w:tr w:rsidR="0017742A" w:rsidTr="00314D21">
        <w:trPr>
          <w:gridAfter w:val="2"/>
          <w:wAfter w:w="165" w:type="dxa"/>
        </w:trPr>
        <w:tc>
          <w:tcPr>
            <w:tcW w:w="2410" w:type="dxa"/>
          </w:tcPr>
          <w:p w:rsidR="0017742A" w:rsidRDefault="00365019" w:rsidP="00365019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Pokles počtu </w:t>
            </w:r>
            <w:r w:rsidRPr="00573259">
              <w:rPr>
                <w:b/>
                <w:bCs/>
                <w:i/>
                <w:iCs/>
              </w:rPr>
              <w:t>zaměstnanců</w:t>
            </w:r>
            <w:r>
              <w:rPr>
                <w:b/>
                <w:bCs/>
                <w:i/>
                <w:iCs/>
              </w:rPr>
              <w:t xml:space="preserve"> v průmyslu.</w:t>
            </w:r>
          </w:p>
        </w:tc>
        <w:tc>
          <w:tcPr>
            <w:tcW w:w="7200" w:type="dxa"/>
          </w:tcPr>
          <w:p w:rsidR="0017742A" w:rsidRDefault="00365019">
            <w:pPr>
              <w:pStyle w:val="text"/>
              <w:rPr>
                <w:highlight w:val="yellow"/>
              </w:rPr>
            </w:pPr>
            <w:r w:rsidRPr="00573259">
              <w:rPr>
                <w:spacing w:val="-4"/>
              </w:rPr>
              <w:t>Za celý rok 2013 došlo v kraji k poklesu průměrného evidenčního počtu zaměstnanců v podnicích se 100 a více zaměstnanci, a to o </w:t>
            </w:r>
            <w:r>
              <w:rPr>
                <w:spacing w:val="-4"/>
              </w:rPr>
              <w:t>0,7</w:t>
            </w:r>
            <w:r w:rsidRPr="00573259">
              <w:rPr>
                <w:spacing w:val="-4"/>
              </w:rPr>
              <w:t> % na 19 </w:t>
            </w:r>
            <w:r>
              <w:rPr>
                <w:spacing w:val="-4"/>
              </w:rPr>
              <w:t>490</w:t>
            </w:r>
            <w:r w:rsidRPr="00573259">
              <w:rPr>
                <w:spacing w:val="-4"/>
              </w:rPr>
              <w:t xml:space="preserve"> zaměstnanců. Karlovarský kraj tak byl jedním ze sedmi krajů ČR, kde se v roce 2013 počet zaměstnanců nezvyšoval. V České republice došlo ve stejném období ke snížení počtu zaměstnanců o 1,</w:t>
            </w:r>
            <w:r>
              <w:rPr>
                <w:spacing w:val="-4"/>
              </w:rPr>
              <w:t>1</w:t>
            </w:r>
            <w:r w:rsidRPr="00573259">
              <w:rPr>
                <w:spacing w:val="-4"/>
              </w:rPr>
              <w:t> %.</w:t>
            </w:r>
            <w:r>
              <w:rPr>
                <w:spacing w:val="-4"/>
              </w:rPr>
              <w:t xml:space="preserve"> Průměrná hrubá měsíční mzda ve velkých průmyslových podnicích v kraji v posledním roce stagnovala</w:t>
            </w:r>
            <w:r w:rsidR="0017742A">
              <w:t>.</w:t>
            </w:r>
          </w:p>
        </w:tc>
      </w:tr>
      <w:tr w:rsidR="0017742A" w:rsidTr="00314D21">
        <w:trPr>
          <w:gridAfter w:val="2"/>
          <w:wAfter w:w="165" w:type="dxa"/>
        </w:trPr>
        <w:tc>
          <w:tcPr>
            <w:tcW w:w="2410" w:type="dxa"/>
          </w:tcPr>
          <w:p w:rsidR="0017742A" w:rsidRDefault="006D4502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180318">
              <w:rPr>
                <w:b/>
                <w:bCs/>
                <w:i/>
                <w:iCs/>
              </w:rPr>
              <w:t>Snížení základní stavební výroby</w:t>
            </w:r>
            <w:r w:rsidR="0017742A">
              <w:rPr>
                <w:b/>
                <w:bCs/>
                <w:i/>
                <w:iCs/>
              </w:rPr>
              <w:t>…</w:t>
            </w:r>
          </w:p>
        </w:tc>
        <w:tc>
          <w:tcPr>
            <w:tcW w:w="7200" w:type="dxa"/>
          </w:tcPr>
          <w:p w:rsidR="0017742A" w:rsidRDefault="006D4502">
            <w:pPr>
              <w:pStyle w:val="text"/>
              <w:rPr>
                <w:highlight w:val="yellow"/>
              </w:rPr>
            </w:pPr>
            <w:r w:rsidRPr="00180318">
              <w:rPr>
                <w:spacing w:val="-4"/>
              </w:rPr>
              <w:t>Základní stavební výroba</w:t>
            </w:r>
            <w:r w:rsidRPr="00180318">
              <w:rPr>
                <w:rStyle w:val="Znakapoznpodarou"/>
                <w:spacing w:val="-4"/>
              </w:rPr>
              <w:footnoteReference w:id="2"/>
            </w:r>
            <w:r w:rsidRPr="00180318">
              <w:rPr>
                <w:spacing w:val="-4"/>
              </w:rPr>
              <w:t xml:space="preserve"> 12 podniků sídlících v Karlovarském kraji ve srovnání s minulým rokem zaznamenala snížení o 25,5 %, což představuje druhý největší pokles tohoto ukazatele po Královéhradeckém kraji</w:t>
            </w:r>
            <w:r>
              <w:rPr>
                <w:spacing w:val="-4"/>
              </w:rPr>
              <w:t xml:space="preserve">. Základní stavební výroba vykazovala meziroční snížení téměř ve všech krajích ČR s výjimkou kraje Jihočeského. </w:t>
            </w:r>
            <w:r w:rsidRPr="00180318">
              <w:rPr>
                <w:spacing w:val="-4"/>
              </w:rPr>
              <w:t>Inženýrské stavitelství v kraji se snížilo o 29,6 %, pozemní stavitelství o 18,7 %.</w:t>
            </w:r>
          </w:p>
        </w:tc>
      </w:tr>
      <w:tr w:rsidR="0017742A" w:rsidTr="00314D21">
        <w:trPr>
          <w:cantSplit/>
        </w:trPr>
        <w:tc>
          <w:tcPr>
            <w:tcW w:w="9775" w:type="dxa"/>
            <w:gridSpan w:val="4"/>
          </w:tcPr>
          <w:p w:rsidR="0017742A" w:rsidRDefault="00717679" w:rsidP="002A3B42">
            <w:pPr>
              <w:pStyle w:val="text"/>
              <w:jc w:val="center"/>
            </w:pPr>
            <w:r>
              <w:pict>
                <v:shape id="_x0000_i1030" type="#_x0000_t75" style="width:481.5pt;height:342.75pt">
                  <v:imagedata r:id="rId13" o:title=""/>
                </v:shape>
              </w:pict>
            </w:r>
          </w:p>
        </w:tc>
      </w:tr>
    </w:tbl>
    <w:p w:rsidR="00314D21" w:rsidRDefault="00314D21"/>
    <w:p w:rsidR="008A09F6" w:rsidRDefault="008A09F6"/>
    <w:tbl>
      <w:tblPr>
        <w:tblW w:w="9774" w:type="dxa"/>
        <w:tblCellMar>
          <w:left w:w="70" w:type="dxa"/>
          <w:right w:w="70" w:type="dxa"/>
        </w:tblCellMar>
        <w:tblLook w:val="0000"/>
      </w:tblPr>
      <w:tblGrid>
        <w:gridCol w:w="2410"/>
        <w:gridCol w:w="7200"/>
        <w:gridCol w:w="129"/>
        <w:gridCol w:w="35"/>
      </w:tblGrid>
      <w:tr w:rsidR="0017742A" w:rsidTr="0050128A">
        <w:trPr>
          <w:gridAfter w:val="2"/>
          <w:wAfter w:w="164" w:type="dxa"/>
        </w:trPr>
        <w:tc>
          <w:tcPr>
            <w:tcW w:w="2410" w:type="dxa"/>
          </w:tcPr>
          <w:p w:rsidR="0017742A" w:rsidRDefault="006D4502">
            <w:pPr>
              <w:pStyle w:val="text"/>
              <w:jc w:val="left"/>
              <w:rPr>
                <w:b/>
                <w:bCs/>
                <w:i/>
                <w:iCs/>
              </w:rPr>
            </w:pPr>
            <w:proofErr w:type="gramStart"/>
            <w:r>
              <w:rPr>
                <w:b/>
                <w:bCs/>
                <w:i/>
                <w:iCs/>
              </w:rPr>
              <w:t>...p</w:t>
            </w:r>
            <w:r w:rsidRPr="007E73DF">
              <w:rPr>
                <w:b/>
                <w:bCs/>
                <w:i/>
                <w:iCs/>
              </w:rPr>
              <w:t>okles</w:t>
            </w:r>
            <w:proofErr w:type="gramEnd"/>
            <w:r w:rsidRPr="007E73DF">
              <w:rPr>
                <w:b/>
                <w:bCs/>
                <w:i/>
                <w:iCs/>
              </w:rPr>
              <w:t xml:space="preserve"> počtu zaměstnanců i mezd</w:t>
            </w:r>
            <w:r w:rsidR="0017742A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7200" w:type="dxa"/>
          </w:tcPr>
          <w:p w:rsidR="0017742A" w:rsidRDefault="006D4502" w:rsidP="006D4502">
            <w:pPr>
              <w:pStyle w:val="text"/>
              <w:rPr>
                <w:highlight w:val="yellow"/>
              </w:rPr>
            </w:pPr>
            <w:r w:rsidRPr="00253CE8">
              <w:rPr>
                <w:spacing w:val="-4"/>
              </w:rPr>
              <w:t>Počet zaměstnanců ve stavebních podnicích v kraji se v roce 2013 ve srovnání s předcházejícím rokem snížil, a to o 21,0 %</w:t>
            </w:r>
            <w:r>
              <w:rPr>
                <w:spacing w:val="-4"/>
              </w:rPr>
              <w:t xml:space="preserve"> na 961 zaměstnanců. Tento pokles lze vysledovat ve všech krajích ČR s výjimkou Středočeského kraje. Stejně tak se ve většině regionů ČR ve stavebních podnicích ve srovnání s minulým rokem snížila i p</w:t>
            </w:r>
            <w:r w:rsidRPr="00253CE8">
              <w:rPr>
                <w:spacing w:val="-4"/>
              </w:rPr>
              <w:t>růměrná měsíční mzda</w:t>
            </w:r>
            <w:r>
              <w:rPr>
                <w:spacing w:val="-4"/>
              </w:rPr>
              <w:t>, v Karlovarském kraji zaznamenala třetí největší pokles (o</w:t>
            </w:r>
            <w:r w:rsidRPr="00253CE8">
              <w:rPr>
                <w:spacing w:val="-4"/>
              </w:rPr>
              <w:t> 10,3 %</w:t>
            </w:r>
            <w:r>
              <w:rPr>
                <w:spacing w:val="-4"/>
              </w:rPr>
              <w:t>) a zůstává nejnižší v celé České republice</w:t>
            </w:r>
            <w:r w:rsidRPr="00253CE8">
              <w:rPr>
                <w:spacing w:val="-4"/>
              </w:rPr>
              <w:t>.</w:t>
            </w:r>
          </w:p>
        </w:tc>
      </w:tr>
      <w:tr w:rsidR="003764CE" w:rsidTr="008A09F6">
        <w:trPr>
          <w:gridAfter w:val="1"/>
          <w:wAfter w:w="35" w:type="dxa"/>
        </w:trPr>
        <w:tc>
          <w:tcPr>
            <w:tcW w:w="9739" w:type="dxa"/>
            <w:gridSpan w:val="3"/>
          </w:tcPr>
          <w:p w:rsidR="003764CE" w:rsidRPr="00230DF7" w:rsidRDefault="00717679" w:rsidP="003764CE">
            <w:pPr>
              <w:pStyle w:val="text"/>
              <w:jc w:val="center"/>
              <w:rPr>
                <w:spacing w:val="-4"/>
              </w:rPr>
            </w:pPr>
            <w:r w:rsidRPr="005C15C9">
              <w:rPr>
                <w:spacing w:val="-4"/>
              </w:rPr>
              <w:pict>
                <v:shape id="_x0000_i1031" type="#_x0000_t75" style="width:474pt;height:159pt">
                  <v:imagedata r:id="rId14" o:title=""/>
                </v:shape>
              </w:pict>
            </w:r>
          </w:p>
        </w:tc>
      </w:tr>
      <w:tr w:rsidR="00FC10ED" w:rsidTr="0050128A">
        <w:trPr>
          <w:gridAfter w:val="2"/>
          <w:wAfter w:w="164" w:type="dxa"/>
        </w:trPr>
        <w:tc>
          <w:tcPr>
            <w:tcW w:w="2410" w:type="dxa"/>
          </w:tcPr>
          <w:p w:rsidR="00FC10ED" w:rsidRDefault="00C46406" w:rsidP="006267BD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D51B8D">
              <w:rPr>
                <w:b/>
                <w:bCs/>
                <w:i/>
                <w:iCs/>
              </w:rPr>
              <w:t>Počet stavebních povolení se nadále snižuje.</w:t>
            </w:r>
          </w:p>
        </w:tc>
        <w:tc>
          <w:tcPr>
            <w:tcW w:w="7200" w:type="dxa"/>
          </w:tcPr>
          <w:p w:rsidR="00FC10ED" w:rsidRPr="00253CE8" w:rsidRDefault="00C46406" w:rsidP="006267BD">
            <w:pPr>
              <w:pStyle w:val="text"/>
              <w:rPr>
                <w:spacing w:val="-4"/>
              </w:rPr>
            </w:pPr>
            <w:r w:rsidRPr="00230DF7">
              <w:rPr>
                <w:spacing w:val="-4"/>
              </w:rPr>
              <w:t xml:space="preserve">Stavební úřady vydaly v roce 2013 na území Karlovarského kraje celkem 2 698 stavebních povolení, což představuje meziroční pokles o 4,4 %. Pokračuje tak dlouhodobý sestupný trend, patrný od roku 2005. Největší pokles můžeme sledovat v letech </w:t>
            </w:r>
            <w:r w:rsidRPr="006267BD">
              <w:rPr>
                <w:spacing w:val="-4"/>
              </w:rPr>
              <w:t xml:space="preserve">2006, 2007 a 2012, kdy ve všech čtvrtletích roku poklesl počet stavebních povolení oproti stejnému čtvrtletí minulého roku. </w:t>
            </w:r>
            <w:r w:rsidRPr="00D51B8D">
              <w:rPr>
                <w:spacing w:val="-4"/>
              </w:rPr>
              <w:t xml:space="preserve">V roce 2013 se meziročně snížil počet stavebních povolení </w:t>
            </w:r>
            <w:r>
              <w:rPr>
                <w:spacing w:val="-4"/>
              </w:rPr>
              <w:t xml:space="preserve">na </w:t>
            </w:r>
            <w:r w:rsidRPr="00D51B8D">
              <w:rPr>
                <w:spacing w:val="-4"/>
              </w:rPr>
              <w:t>bytov</w:t>
            </w:r>
            <w:r>
              <w:rPr>
                <w:spacing w:val="-4"/>
              </w:rPr>
              <w:t>é</w:t>
            </w:r>
            <w:r w:rsidRPr="00D51B8D">
              <w:rPr>
                <w:spacing w:val="-4"/>
              </w:rPr>
              <w:t xml:space="preserve"> stavb</w:t>
            </w:r>
            <w:r>
              <w:rPr>
                <w:spacing w:val="-4"/>
              </w:rPr>
              <w:t>y, a to jak na novou výstavbu, tak na změny dokončených staveb a také na</w:t>
            </w:r>
            <w:r w:rsidRPr="00D51B8D">
              <w:rPr>
                <w:spacing w:val="-4"/>
              </w:rPr>
              <w:t xml:space="preserve"> ostatní</w:t>
            </w:r>
            <w:r>
              <w:rPr>
                <w:spacing w:val="-4"/>
              </w:rPr>
              <w:t xml:space="preserve"> stavby. Největší počet stavebních povolení byl vydán v okrese Cheb (1 329, tj. 49,3 %). V tomto okrese byl také vydán největší podíl stavebních povolení na</w:t>
            </w:r>
            <w:r w:rsidR="006267BD">
              <w:rPr>
                <w:spacing w:val="-4"/>
              </w:rPr>
              <w:t> </w:t>
            </w:r>
            <w:r>
              <w:rPr>
                <w:spacing w:val="-4"/>
              </w:rPr>
              <w:t>stavby na ochranu životního prostředí (84,1 %).</w:t>
            </w:r>
          </w:p>
        </w:tc>
      </w:tr>
      <w:tr w:rsidR="0050128A" w:rsidTr="009E557B">
        <w:tc>
          <w:tcPr>
            <w:tcW w:w="9774" w:type="dxa"/>
            <w:gridSpan w:val="4"/>
          </w:tcPr>
          <w:p w:rsidR="0050128A" w:rsidRPr="00787551" w:rsidRDefault="00717679" w:rsidP="0050128A">
            <w:pPr>
              <w:pStyle w:val="text"/>
              <w:jc w:val="center"/>
              <w:rPr>
                <w:spacing w:val="-4"/>
              </w:rPr>
            </w:pPr>
            <w:r w:rsidRPr="005C15C9">
              <w:rPr>
                <w:spacing w:val="-4"/>
              </w:rPr>
              <w:pict>
                <v:shape id="_x0000_i1032" type="#_x0000_t75" style="width:473.25pt;height:230.25pt">
                  <v:imagedata r:id="rId15" o:title=""/>
                </v:shape>
              </w:pict>
            </w:r>
          </w:p>
        </w:tc>
      </w:tr>
      <w:tr w:rsidR="00FC10ED" w:rsidTr="0050128A">
        <w:trPr>
          <w:gridAfter w:val="2"/>
          <w:wAfter w:w="164" w:type="dxa"/>
        </w:trPr>
        <w:tc>
          <w:tcPr>
            <w:tcW w:w="2410" w:type="dxa"/>
          </w:tcPr>
          <w:p w:rsidR="00FC10ED" w:rsidRDefault="00C46406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787551">
              <w:rPr>
                <w:b/>
                <w:bCs/>
                <w:i/>
                <w:iCs/>
              </w:rPr>
              <w:t>Vyšší hodnota povolených staveb</w:t>
            </w:r>
            <w:r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7200" w:type="dxa"/>
          </w:tcPr>
          <w:p w:rsidR="00FC10ED" w:rsidRPr="00253CE8" w:rsidRDefault="00C46406" w:rsidP="00571B20">
            <w:pPr>
              <w:pStyle w:val="text"/>
              <w:rPr>
                <w:spacing w:val="-4"/>
              </w:rPr>
            </w:pPr>
            <w:r w:rsidRPr="00787551">
              <w:rPr>
                <w:spacing w:val="-4"/>
              </w:rPr>
              <w:t>Na rozdíl od počtu vydaných stavebních povolení celková orientační hodnota staveb, na n</w:t>
            </w:r>
            <w:r>
              <w:rPr>
                <w:spacing w:val="-4"/>
              </w:rPr>
              <w:t>ě</w:t>
            </w:r>
            <w:r w:rsidRPr="00787551">
              <w:rPr>
                <w:spacing w:val="-4"/>
              </w:rPr>
              <w:t>ž byla stavební povolení v roce 2013 vydána, vykázala vysoký nárůst</w:t>
            </w:r>
            <w:r>
              <w:rPr>
                <w:spacing w:val="-4"/>
              </w:rPr>
              <w:t xml:space="preserve">, a to o 55,6 % na 10 120 mil. Kč. </w:t>
            </w:r>
            <w:r w:rsidRPr="00787551">
              <w:rPr>
                <w:spacing w:val="-4"/>
              </w:rPr>
              <w:t>Průměrná hodnota na jedno stavební povolení se tak zvýšila o</w:t>
            </w:r>
            <w:r>
              <w:rPr>
                <w:spacing w:val="-4"/>
              </w:rPr>
              <w:t> </w:t>
            </w:r>
            <w:r w:rsidRPr="00787551">
              <w:rPr>
                <w:spacing w:val="-4"/>
              </w:rPr>
              <w:t>1</w:t>
            </w:r>
            <w:r w:rsidR="00571B20">
              <w:rPr>
                <w:spacing w:val="-4"/>
              </w:rPr>
              <w:t> </w:t>
            </w:r>
            <w:r w:rsidRPr="00787551">
              <w:rPr>
                <w:spacing w:val="-4"/>
              </w:rPr>
              <w:t xml:space="preserve">445 tis. Kč (na 3 751 tis. Kč). </w:t>
            </w:r>
            <w:r w:rsidRPr="009A1312">
              <w:rPr>
                <w:spacing w:val="-4"/>
              </w:rPr>
              <w:t>K vysokému nárůstu průměrné hodnoty na jedno stavební povolení došlo zejména díky nárůstu průměrné hodnoty staveb na novou výstavbu nebytových staveb, staveb na ochranu životního prostředí a ostatních staveb</w:t>
            </w:r>
            <w:r>
              <w:rPr>
                <w:spacing w:val="-4"/>
              </w:rPr>
              <w:t>.</w:t>
            </w:r>
          </w:p>
        </w:tc>
      </w:tr>
    </w:tbl>
    <w:p w:rsidR="0050128A" w:rsidRDefault="0050128A"/>
    <w:p w:rsidR="00134841" w:rsidRDefault="00134841"/>
    <w:p w:rsidR="0050128A" w:rsidRDefault="0050128A"/>
    <w:tbl>
      <w:tblPr>
        <w:tblW w:w="9901" w:type="dxa"/>
        <w:tblCellMar>
          <w:left w:w="70" w:type="dxa"/>
          <w:right w:w="70" w:type="dxa"/>
        </w:tblCellMar>
        <w:tblLook w:val="0000"/>
      </w:tblPr>
      <w:tblGrid>
        <w:gridCol w:w="2462"/>
        <w:gridCol w:w="7277"/>
        <w:gridCol w:w="162"/>
      </w:tblGrid>
      <w:tr w:rsidR="00FC10ED" w:rsidTr="0099433A">
        <w:trPr>
          <w:gridAfter w:val="1"/>
          <w:wAfter w:w="162" w:type="dxa"/>
        </w:trPr>
        <w:tc>
          <w:tcPr>
            <w:tcW w:w="2462" w:type="dxa"/>
          </w:tcPr>
          <w:p w:rsidR="00FC10ED" w:rsidRDefault="00C46406" w:rsidP="00C46406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C46406">
              <w:rPr>
                <w:b/>
                <w:bCs/>
                <w:i/>
                <w:iCs/>
                <w:u w:val="single"/>
              </w:rPr>
              <w:t>Bytová výstavba:</w:t>
            </w:r>
            <w:r w:rsidRPr="00EA128B">
              <w:rPr>
                <w:b/>
                <w:bCs/>
                <w:i/>
                <w:iCs/>
              </w:rPr>
              <w:t xml:space="preserve"> Mírný</w:t>
            </w:r>
            <w:r>
              <w:rPr>
                <w:b/>
                <w:bCs/>
                <w:i/>
                <w:iCs/>
              </w:rPr>
              <w:t> </w:t>
            </w:r>
            <w:r w:rsidRPr="00EA128B">
              <w:rPr>
                <w:b/>
                <w:bCs/>
                <w:i/>
                <w:iCs/>
              </w:rPr>
              <w:t>nárůst zahájených bytů…</w:t>
            </w:r>
          </w:p>
        </w:tc>
        <w:tc>
          <w:tcPr>
            <w:tcW w:w="7277" w:type="dxa"/>
          </w:tcPr>
          <w:p w:rsidR="00FC10ED" w:rsidRPr="00253CE8" w:rsidRDefault="00C46406" w:rsidP="00C46406">
            <w:pPr>
              <w:pStyle w:val="text"/>
              <w:rPr>
                <w:spacing w:val="-4"/>
              </w:rPr>
            </w:pPr>
            <w:r w:rsidRPr="00EA128B">
              <w:t xml:space="preserve">V kraji byla v roce 2013 zahájena stavba 614 bytů, což znamenalo mírný meziroční nárůst o 1,2 %. Ze zahájených bytů připadala téměř polovina na byty v rodinných domech (44,3 % na byty v nových rodinných domech a 1,8 % v nástavbách, přístavbách a vestavbách k nim). Hlavním důvodem meziročního </w:t>
            </w:r>
            <w:r>
              <w:t>nárůstu</w:t>
            </w:r>
            <w:r w:rsidRPr="00EA128B">
              <w:t xml:space="preserve"> byl </w:t>
            </w:r>
            <w:r>
              <w:t>vyšší počet</w:t>
            </w:r>
            <w:r w:rsidRPr="00EA128B">
              <w:t xml:space="preserve"> zahájených nástaveb, přístaveb a vestaveb k bytovým domům (o 63,6 % na 72 nových </w:t>
            </w:r>
            <w:r>
              <w:t>bytů</w:t>
            </w:r>
            <w:r w:rsidRPr="00EA128B">
              <w:t>), a</w:t>
            </w:r>
            <w:r>
              <w:t> </w:t>
            </w:r>
            <w:r w:rsidRPr="00EA128B">
              <w:t xml:space="preserve">ve stavebně upravených nebytových prostorách (o 95,2 % na 41 nových bytů). </w:t>
            </w:r>
            <w:r w:rsidRPr="000559EA">
              <w:t>Naopak počet bytů v rodinných domech i v nástavbách, přístavbách a vestavbách k rodinným domům a</w:t>
            </w:r>
            <w:r>
              <w:t> </w:t>
            </w:r>
            <w:r w:rsidRPr="000559EA">
              <w:t>v nebytových prostorách se  snižoval. V celorepublikovém srovnání se počet zahájených bytů meziročně snížil téměř ve všech krajích ČR s výjimkou Hlavního města Prahy</w:t>
            </w:r>
            <w:r>
              <w:t>, Olomouckého kraje a Karlovarského kraje</w:t>
            </w:r>
            <w:r w:rsidRPr="000559EA">
              <w:t>. V rámci celé republiky činil tento pokles 7,3 %.</w:t>
            </w:r>
          </w:p>
        </w:tc>
      </w:tr>
      <w:tr w:rsidR="00AB5305" w:rsidTr="0099433A">
        <w:tc>
          <w:tcPr>
            <w:tcW w:w="9901" w:type="dxa"/>
            <w:gridSpan w:val="3"/>
          </w:tcPr>
          <w:p w:rsidR="00AB5305" w:rsidRPr="006C5822" w:rsidRDefault="00717679" w:rsidP="00AB5305">
            <w:pPr>
              <w:pStyle w:val="text"/>
              <w:jc w:val="center"/>
            </w:pPr>
            <w:r>
              <w:pict>
                <v:shape id="_x0000_i1033" type="#_x0000_t75" style="width:476.25pt;height:336pt">
                  <v:imagedata r:id="rId16" o:title=""/>
                </v:shape>
              </w:pict>
            </w:r>
          </w:p>
        </w:tc>
      </w:tr>
      <w:tr w:rsidR="00FC10ED" w:rsidTr="0099433A">
        <w:trPr>
          <w:gridAfter w:val="1"/>
          <w:wAfter w:w="162" w:type="dxa"/>
        </w:trPr>
        <w:tc>
          <w:tcPr>
            <w:tcW w:w="2462" w:type="dxa"/>
          </w:tcPr>
          <w:p w:rsidR="00FC10ED" w:rsidRDefault="00C46406" w:rsidP="00571B20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…</w:t>
            </w:r>
            <w:r w:rsidRPr="006C5822">
              <w:rPr>
                <w:b/>
                <w:bCs/>
                <w:i/>
                <w:iCs/>
              </w:rPr>
              <w:t xml:space="preserve">pokles </w:t>
            </w:r>
            <w:r>
              <w:rPr>
                <w:b/>
                <w:bCs/>
                <w:i/>
                <w:iCs/>
              </w:rPr>
              <w:t>pouze</w:t>
            </w:r>
            <w:r w:rsidRPr="006C5822">
              <w:rPr>
                <w:b/>
                <w:bCs/>
                <w:i/>
                <w:iCs/>
              </w:rPr>
              <w:t xml:space="preserve"> v</w:t>
            </w:r>
            <w:r w:rsidR="00571B20">
              <w:rPr>
                <w:b/>
                <w:bCs/>
                <w:i/>
                <w:iCs/>
              </w:rPr>
              <w:t> </w:t>
            </w:r>
            <w:r w:rsidRPr="006C5822">
              <w:rPr>
                <w:b/>
                <w:bCs/>
                <w:i/>
                <w:iCs/>
              </w:rPr>
              <w:t>okrese</w:t>
            </w:r>
            <w:r w:rsidR="00571B20">
              <w:rPr>
                <w:b/>
                <w:bCs/>
                <w:i/>
                <w:iCs/>
              </w:rPr>
              <w:t> </w:t>
            </w:r>
            <w:r>
              <w:rPr>
                <w:b/>
                <w:bCs/>
                <w:i/>
                <w:iCs/>
              </w:rPr>
              <w:t>Karlovy Vary</w:t>
            </w:r>
            <w:r w:rsidRPr="006C5822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7277" w:type="dxa"/>
          </w:tcPr>
          <w:p w:rsidR="00FC10ED" w:rsidRPr="00253CE8" w:rsidRDefault="00C46406" w:rsidP="00C46406">
            <w:pPr>
              <w:pStyle w:val="text"/>
              <w:rPr>
                <w:spacing w:val="-4"/>
              </w:rPr>
            </w:pPr>
            <w:r w:rsidRPr="006C5822">
              <w:t>Počet zahájených bytů oproti minulému roku doznal nárůst v okresech Cheb a</w:t>
            </w:r>
            <w:r>
              <w:t> </w:t>
            </w:r>
            <w:r w:rsidRPr="006C5822">
              <w:t xml:space="preserve">Sokolov, naopak v okrese </w:t>
            </w:r>
            <w:r>
              <w:t>Karlovy Vary</w:t>
            </w:r>
            <w:r w:rsidRPr="006C5822">
              <w:t xml:space="preserve"> došlo k meziročnímu poklesu počtu zahájených bytů o 25,9 %.</w:t>
            </w:r>
          </w:p>
        </w:tc>
      </w:tr>
      <w:tr w:rsidR="00520AFE" w:rsidTr="0099433A">
        <w:trPr>
          <w:gridAfter w:val="1"/>
          <w:wAfter w:w="162" w:type="dxa"/>
        </w:trPr>
        <w:tc>
          <w:tcPr>
            <w:tcW w:w="9739" w:type="dxa"/>
            <w:gridSpan w:val="2"/>
          </w:tcPr>
          <w:p w:rsidR="00520AFE" w:rsidRPr="00173504" w:rsidRDefault="00717679" w:rsidP="00520AFE">
            <w:pPr>
              <w:pStyle w:val="text"/>
              <w:jc w:val="center"/>
              <w:rPr>
                <w:spacing w:val="-4"/>
              </w:rPr>
            </w:pPr>
            <w:r w:rsidRPr="005C15C9">
              <w:rPr>
                <w:spacing w:val="-4"/>
              </w:rPr>
              <w:pict>
                <v:shape id="_x0000_i1034" type="#_x0000_t75" style="width:480pt;height:155.25pt">
                  <v:imagedata r:id="rId17" o:title=""/>
                </v:shape>
              </w:pict>
            </w:r>
          </w:p>
        </w:tc>
      </w:tr>
    </w:tbl>
    <w:p w:rsidR="0099433A" w:rsidRDefault="0099433A"/>
    <w:p w:rsidR="0099433A" w:rsidRDefault="0099433A"/>
    <w:tbl>
      <w:tblPr>
        <w:tblW w:w="9770" w:type="dxa"/>
        <w:tblCellMar>
          <w:left w:w="70" w:type="dxa"/>
          <w:right w:w="70" w:type="dxa"/>
        </w:tblCellMar>
        <w:tblLook w:val="0000"/>
      </w:tblPr>
      <w:tblGrid>
        <w:gridCol w:w="2462"/>
        <w:gridCol w:w="7277"/>
        <w:gridCol w:w="31"/>
      </w:tblGrid>
      <w:tr w:rsidR="00FC10ED" w:rsidTr="009B390D">
        <w:trPr>
          <w:gridAfter w:val="1"/>
          <w:wAfter w:w="31" w:type="dxa"/>
        </w:trPr>
        <w:tc>
          <w:tcPr>
            <w:tcW w:w="2462" w:type="dxa"/>
          </w:tcPr>
          <w:p w:rsidR="00FC10ED" w:rsidRDefault="00F46E6E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A074E9">
              <w:rPr>
                <w:b/>
                <w:bCs/>
                <w:i/>
                <w:iCs/>
              </w:rPr>
              <w:lastRenderedPageBreak/>
              <w:t>Pokles dokončených bytů…</w:t>
            </w:r>
          </w:p>
        </w:tc>
        <w:tc>
          <w:tcPr>
            <w:tcW w:w="7277" w:type="dxa"/>
          </w:tcPr>
          <w:p w:rsidR="00FC10ED" w:rsidRPr="00E23629" w:rsidRDefault="00F46E6E" w:rsidP="003A4E6B">
            <w:pPr>
              <w:pStyle w:val="text"/>
              <w:rPr>
                <w:spacing w:val="-4"/>
              </w:rPr>
            </w:pPr>
            <w:r w:rsidRPr="00E23629">
              <w:rPr>
                <w:spacing w:val="-4"/>
              </w:rPr>
              <w:t>V kraji bylo v minulém roce dokončeno celkem 430 bytů, což je o 20,8 % méně než v</w:t>
            </w:r>
            <w:r w:rsidR="00000981">
              <w:rPr>
                <w:spacing w:val="-4"/>
              </w:rPr>
              <w:t> </w:t>
            </w:r>
            <w:r w:rsidRPr="00E23629">
              <w:rPr>
                <w:spacing w:val="-4"/>
              </w:rPr>
              <w:t>roce 2012. Propad byl zaznamenán ve všech čtvrtletích roku 2013</w:t>
            </w:r>
            <w:r w:rsidR="00E23629" w:rsidRPr="00E23629">
              <w:rPr>
                <w:spacing w:val="-4"/>
              </w:rPr>
              <w:t>.</w:t>
            </w:r>
            <w:r w:rsidRPr="00E23629">
              <w:rPr>
                <w:spacing w:val="-4"/>
              </w:rPr>
              <w:t xml:space="preserve"> K meziročnímu poklesu bytové výstavby přispěl zejména nižší počet dokončených bytů v rodinných domech (pokles z 373 bytů v roce 2012 na 265 bytů v roce 2013), v domovech-penzionech a domovech pro seniory, v nebytových budovách a</w:t>
            </w:r>
            <w:r w:rsidR="003A4E6B">
              <w:rPr>
                <w:spacing w:val="-4"/>
              </w:rPr>
              <w:t> </w:t>
            </w:r>
            <w:r w:rsidRPr="00E23629">
              <w:rPr>
                <w:spacing w:val="-4"/>
              </w:rPr>
              <w:t>ve</w:t>
            </w:r>
            <w:r w:rsidR="003A4E6B">
              <w:rPr>
                <w:spacing w:val="-4"/>
              </w:rPr>
              <w:t> </w:t>
            </w:r>
            <w:r w:rsidRPr="00E23629">
              <w:rPr>
                <w:spacing w:val="-4"/>
              </w:rPr>
              <w:t>stavebně upravených nebytových prostorách. V celorepublikovém srovnání došlo ke snížení počtu dokončených bytů ve srovnání s minulým rokem téměř ve</w:t>
            </w:r>
            <w:r w:rsidR="003A4E6B">
              <w:rPr>
                <w:spacing w:val="-4"/>
              </w:rPr>
              <w:t> </w:t>
            </w:r>
            <w:r w:rsidRPr="00E23629">
              <w:rPr>
                <w:spacing w:val="-4"/>
              </w:rPr>
              <w:t>všech krajích ČR, s výjimkou Plzeňského kraje. V celé České republice bylo dokončeno o 14,3 % bytů méně, než v roce 2012.</w:t>
            </w:r>
          </w:p>
        </w:tc>
      </w:tr>
      <w:tr w:rsidR="00FC10ED" w:rsidTr="009B390D">
        <w:trPr>
          <w:gridAfter w:val="1"/>
          <w:wAfter w:w="31" w:type="dxa"/>
        </w:trPr>
        <w:tc>
          <w:tcPr>
            <w:tcW w:w="2462" w:type="dxa"/>
          </w:tcPr>
          <w:p w:rsidR="00FC10ED" w:rsidRDefault="00F46E6E" w:rsidP="00F46E6E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…</w:t>
            </w:r>
            <w:r w:rsidRPr="00A4510F">
              <w:rPr>
                <w:b/>
                <w:bCs/>
                <w:i/>
                <w:iCs/>
              </w:rPr>
              <w:t>nízká intenzita bytové</w:t>
            </w:r>
            <w:r>
              <w:rPr>
                <w:b/>
                <w:bCs/>
                <w:i/>
                <w:iCs/>
              </w:rPr>
              <w:t> </w:t>
            </w:r>
            <w:r w:rsidRPr="00A4510F">
              <w:rPr>
                <w:b/>
                <w:bCs/>
                <w:i/>
                <w:iCs/>
              </w:rPr>
              <w:t>výstavby.</w:t>
            </w:r>
          </w:p>
        </w:tc>
        <w:tc>
          <w:tcPr>
            <w:tcW w:w="7277" w:type="dxa"/>
          </w:tcPr>
          <w:p w:rsidR="00FC10ED" w:rsidRPr="00253CE8" w:rsidRDefault="00F46E6E" w:rsidP="00F46E6E">
            <w:pPr>
              <w:pStyle w:val="text"/>
              <w:rPr>
                <w:spacing w:val="-4"/>
              </w:rPr>
            </w:pPr>
            <w:r w:rsidRPr="00A4510F">
              <w:rPr>
                <w:spacing w:val="-4"/>
              </w:rPr>
              <w:t>Intenzitou bytové výstavby, tj. počtem dokončených bytů na 1 000 obyvatel, se</w:t>
            </w:r>
            <w:r>
              <w:rPr>
                <w:spacing w:val="-4"/>
              </w:rPr>
              <w:t> </w:t>
            </w:r>
            <w:r w:rsidRPr="00A4510F">
              <w:rPr>
                <w:spacing w:val="-4"/>
              </w:rPr>
              <w:t>Karlovarský kraj v celorepublikovém srovnání zařadil na 12. místo (1,43) před</w:t>
            </w:r>
            <w:r>
              <w:rPr>
                <w:spacing w:val="-4"/>
              </w:rPr>
              <w:t> </w:t>
            </w:r>
            <w:r w:rsidRPr="00A4510F">
              <w:rPr>
                <w:spacing w:val="-4"/>
              </w:rPr>
              <w:t>krajem Zlínským (1,35) a Ústeckým (1,13). V celé ČR dosáhla intenzita bytové výstavby hodnoty 2,40, vyšší intenzitu vykazovaly pouze čtyři kraje – Středočeský kraj (4,08), Hl. město Praha (3,09), Jihomoravský (3,01) a Plzeňský kraj (2,52).</w:t>
            </w:r>
            <w:r>
              <w:rPr>
                <w:spacing w:val="-4"/>
              </w:rPr>
              <w:t xml:space="preserve"> Plzeňský kraj byl jediných regionem, kde intenzita bytové výstavby stagnovala, ve všech ostatních došlo k meziročnímu poklesu intenzity bytové výstavby.</w:t>
            </w:r>
          </w:p>
        </w:tc>
      </w:tr>
      <w:tr w:rsidR="009B390D" w:rsidTr="009B390D">
        <w:tc>
          <w:tcPr>
            <w:tcW w:w="9770" w:type="dxa"/>
            <w:gridSpan w:val="3"/>
          </w:tcPr>
          <w:p w:rsidR="009B390D" w:rsidRPr="00D67398" w:rsidRDefault="00717679" w:rsidP="009B390D">
            <w:pPr>
              <w:pStyle w:val="NORMAArialCE"/>
              <w:jc w:val="center"/>
              <w:rPr>
                <w:spacing w:val="-4"/>
              </w:rPr>
            </w:pPr>
            <w:r w:rsidRPr="005C15C9">
              <w:rPr>
                <w:spacing w:val="-4"/>
              </w:rPr>
              <w:pict>
                <v:shape id="_x0000_i1035" type="#_x0000_t75" style="width:481.5pt;height:340.5pt">
                  <v:imagedata r:id="rId18" o:title=""/>
                </v:shape>
              </w:pict>
            </w:r>
          </w:p>
        </w:tc>
      </w:tr>
      <w:tr w:rsidR="00FC10ED" w:rsidTr="009B390D">
        <w:trPr>
          <w:gridAfter w:val="1"/>
          <w:wAfter w:w="31" w:type="dxa"/>
        </w:trPr>
        <w:tc>
          <w:tcPr>
            <w:tcW w:w="2462" w:type="dxa"/>
          </w:tcPr>
          <w:p w:rsidR="0051250F" w:rsidRPr="00A65CDC" w:rsidRDefault="0051250F" w:rsidP="0051250F">
            <w:pPr>
              <w:pStyle w:val="NORMAArialCE"/>
              <w:spacing w:after="0"/>
              <w:jc w:val="left"/>
              <w:rPr>
                <w:b/>
                <w:bCs/>
                <w:i/>
                <w:iCs/>
                <w:u w:val="single"/>
              </w:rPr>
            </w:pPr>
            <w:r w:rsidRPr="00A65CDC">
              <w:rPr>
                <w:b/>
                <w:bCs/>
                <w:i/>
                <w:iCs/>
                <w:u w:val="single"/>
              </w:rPr>
              <w:t xml:space="preserve">Zemědělství: </w:t>
            </w:r>
          </w:p>
          <w:p w:rsidR="00FC10ED" w:rsidRDefault="0051250F" w:rsidP="0051250F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A65CDC">
              <w:rPr>
                <w:b/>
                <w:bCs/>
                <w:i/>
                <w:iCs/>
              </w:rPr>
              <w:t>Výnosy zemědělských plodin meziročně vzrostly.</w:t>
            </w:r>
          </w:p>
        </w:tc>
        <w:tc>
          <w:tcPr>
            <w:tcW w:w="7277" w:type="dxa"/>
          </w:tcPr>
          <w:p w:rsidR="0051250F" w:rsidRPr="00D67398" w:rsidRDefault="0051250F" w:rsidP="0051250F">
            <w:pPr>
              <w:pStyle w:val="NORMAArialCE"/>
              <w:rPr>
                <w:spacing w:val="-4"/>
              </w:rPr>
            </w:pPr>
            <w:r w:rsidRPr="00D67398">
              <w:rPr>
                <w:spacing w:val="-4"/>
              </w:rPr>
              <w:t>Hektarové výnosy obilovin v kraji zaznamenaly v roce 2013 nárůst oproti roku předcházejícímu (4,98 t/ha, tj. nárůst o 13,8 %), zvýšily se také výnosy řepky, naopak výnosy luskovin, brambor a kukuřice na zeleno a siláž vykazovaly meziroční pokles.</w:t>
            </w:r>
          </w:p>
          <w:p w:rsidR="00FC10ED" w:rsidRPr="00253CE8" w:rsidRDefault="0051250F" w:rsidP="0051250F">
            <w:pPr>
              <w:pStyle w:val="text"/>
              <w:rPr>
                <w:spacing w:val="-4"/>
              </w:rPr>
            </w:pPr>
            <w:r w:rsidRPr="00D67398">
              <w:rPr>
                <w:spacing w:val="-4"/>
              </w:rPr>
              <w:t xml:space="preserve">Celková sklizeň obilovin se zvýšila o 10,9 % na 99,2 tis. tun (při poklesu sklizňových ploch o 2,5 %). Ze sledovaných plodin se výrazněji meziročně zvýšila sklizeň luskovin </w:t>
            </w:r>
            <w:r>
              <w:rPr>
                <w:spacing w:val="-4"/>
              </w:rPr>
              <w:t>a řepky,</w:t>
            </w:r>
            <w:r w:rsidRPr="00D67398">
              <w:rPr>
                <w:spacing w:val="-4"/>
              </w:rPr>
              <w:t xml:space="preserve"> a to vlivem zvýšení</w:t>
            </w:r>
            <w:r>
              <w:rPr>
                <w:spacing w:val="-4"/>
              </w:rPr>
              <w:t xml:space="preserve"> sklizňové plochy</w:t>
            </w:r>
            <w:r w:rsidRPr="00D67398">
              <w:rPr>
                <w:spacing w:val="-4"/>
              </w:rPr>
              <w:t xml:space="preserve">. Naopak sklizeň brambor </w:t>
            </w:r>
            <w:r>
              <w:rPr>
                <w:spacing w:val="-4"/>
              </w:rPr>
              <w:t>doznala oproti předchozímu roku pokles</w:t>
            </w:r>
            <w:r w:rsidRPr="00D67398">
              <w:rPr>
                <w:spacing w:val="-4"/>
              </w:rPr>
              <w:t xml:space="preserve">, a to opět vlivem </w:t>
            </w:r>
            <w:r>
              <w:rPr>
                <w:spacing w:val="-4"/>
              </w:rPr>
              <w:t>zmenšení</w:t>
            </w:r>
            <w:r w:rsidRPr="00D67398">
              <w:rPr>
                <w:spacing w:val="-4"/>
              </w:rPr>
              <w:t xml:space="preserve"> sklizňové plochy.</w:t>
            </w:r>
          </w:p>
        </w:tc>
      </w:tr>
    </w:tbl>
    <w:p w:rsidR="009B390D" w:rsidRDefault="009B390D"/>
    <w:p w:rsidR="009B390D" w:rsidRDefault="009B390D"/>
    <w:p w:rsidR="009B390D" w:rsidRDefault="009B390D"/>
    <w:p w:rsidR="009B390D" w:rsidRDefault="009B390D"/>
    <w:tbl>
      <w:tblPr>
        <w:tblW w:w="9754" w:type="dxa"/>
        <w:tblCellMar>
          <w:left w:w="70" w:type="dxa"/>
          <w:right w:w="70" w:type="dxa"/>
        </w:tblCellMar>
        <w:tblLook w:val="0000"/>
      </w:tblPr>
      <w:tblGrid>
        <w:gridCol w:w="2466"/>
        <w:gridCol w:w="7288"/>
      </w:tblGrid>
      <w:tr w:rsidR="005375BC" w:rsidTr="00D85A30">
        <w:tc>
          <w:tcPr>
            <w:tcW w:w="9754" w:type="dxa"/>
            <w:gridSpan w:val="2"/>
          </w:tcPr>
          <w:p w:rsidR="005375BC" w:rsidRPr="00E91D6B" w:rsidRDefault="00717679" w:rsidP="005375BC">
            <w:pPr>
              <w:pStyle w:val="NORMAArialCE"/>
              <w:jc w:val="center"/>
              <w:rPr>
                <w:spacing w:val="-4"/>
              </w:rPr>
            </w:pPr>
            <w:r w:rsidRPr="005C15C9">
              <w:rPr>
                <w:spacing w:val="-4"/>
              </w:rPr>
              <w:lastRenderedPageBreak/>
              <w:pict>
                <v:shape id="_x0000_i1036" type="#_x0000_t75" style="width:477pt;height:274.5pt">
                  <v:imagedata r:id="rId19" o:title=""/>
                </v:shape>
              </w:pict>
            </w:r>
          </w:p>
        </w:tc>
      </w:tr>
      <w:tr w:rsidR="00FC10ED" w:rsidTr="00C97F1A">
        <w:tc>
          <w:tcPr>
            <w:tcW w:w="2466" w:type="dxa"/>
          </w:tcPr>
          <w:p w:rsidR="00FC10ED" w:rsidRDefault="0051250F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3974B2">
              <w:rPr>
                <w:b/>
                <w:bCs/>
                <w:i/>
                <w:iCs/>
              </w:rPr>
              <w:t>Snížený počet prasat, vysoký počet koz</w:t>
            </w:r>
            <w:r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7288" w:type="dxa"/>
          </w:tcPr>
          <w:p w:rsidR="0051250F" w:rsidRPr="003974B2" w:rsidRDefault="0051250F" w:rsidP="0051250F">
            <w:pPr>
              <w:pStyle w:val="NORMAArialCE"/>
              <w:rPr>
                <w:spacing w:val="-4"/>
              </w:rPr>
            </w:pPr>
            <w:r w:rsidRPr="00E91D6B">
              <w:rPr>
                <w:spacing w:val="-4"/>
              </w:rPr>
              <w:t xml:space="preserve">Ze soupisů hospodářských zvířat, </w:t>
            </w:r>
            <w:proofErr w:type="gramStart"/>
            <w:r w:rsidRPr="00E91D6B">
              <w:rPr>
                <w:spacing w:val="-4"/>
              </w:rPr>
              <w:t>které</w:t>
            </w:r>
            <w:proofErr w:type="gramEnd"/>
            <w:r w:rsidRPr="00E91D6B">
              <w:rPr>
                <w:spacing w:val="-4"/>
              </w:rPr>
              <w:t xml:space="preserve"> jsou prováděny každoročně k 1. 4. vyplývá, že zemědělci v kraji v</w:t>
            </w:r>
            <w:r>
              <w:rPr>
                <w:spacing w:val="-4"/>
              </w:rPr>
              <w:t xml:space="preserve"> několika </w:t>
            </w:r>
            <w:r w:rsidRPr="00E91D6B">
              <w:rPr>
                <w:spacing w:val="-4"/>
              </w:rPr>
              <w:t xml:space="preserve">posledních letech výrazně omezili chov prasat. </w:t>
            </w:r>
            <w:r>
              <w:rPr>
                <w:spacing w:val="-4"/>
              </w:rPr>
              <w:t>Ačkoli v </w:t>
            </w:r>
            <w:r w:rsidRPr="00E91D6B">
              <w:rPr>
                <w:spacing w:val="-4"/>
              </w:rPr>
              <w:t>roce 2013 došlo k mírnému navýšení počtu prasat oproti minulému roku (o</w:t>
            </w:r>
            <w:r>
              <w:rPr>
                <w:spacing w:val="-4"/>
              </w:rPr>
              <w:t> </w:t>
            </w:r>
            <w:r w:rsidRPr="00E91D6B">
              <w:rPr>
                <w:spacing w:val="-4"/>
              </w:rPr>
              <w:t>2,7 % na 1 691)</w:t>
            </w:r>
            <w:r>
              <w:rPr>
                <w:spacing w:val="-4"/>
              </w:rPr>
              <w:t xml:space="preserve">, ve srovnání s rokem 2011 došlo k poklesu </w:t>
            </w:r>
            <w:r w:rsidRPr="00154EB4">
              <w:rPr>
                <w:spacing w:val="-4"/>
              </w:rPr>
              <w:t xml:space="preserve">počtu o 83,9 %, </w:t>
            </w:r>
            <w:r>
              <w:rPr>
                <w:spacing w:val="-4"/>
              </w:rPr>
              <w:t xml:space="preserve">ve srovnání s rokem 2005 činí tento pokles </w:t>
            </w:r>
            <w:r w:rsidRPr="00154EB4">
              <w:rPr>
                <w:spacing w:val="-4"/>
              </w:rPr>
              <w:t>dokonce 96,0 %. Naopak došlo k rozšíření chovu ovcí, drůbeže, koňů a </w:t>
            </w:r>
            <w:r w:rsidRPr="003974B2">
              <w:rPr>
                <w:spacing w:val="-4"/>
              </w:rPr>
              <w:t>koz. Především stojí za zmínku prudký nárůst počtu chovaných koz, kdy za posledních 10 let se jejich počet zvýšil o 94,2 % z počtu 817 v roce 2003 na 1 587 k 1. 4. 2013.</w:t>
            </w:r>
            <w:r>
              <w:rPr>
                <w:spacing w:val="-4"/>
              </w:rPr>
              <w:t xml:space="preserve"> Skutečnost, že v roce 2013 </w:t>
            </w:r>
            <w:proofErr w:type="gramStart"/>
            <w:r>
              <w:rPr>
                <w:spacing w:val="-4"/>
              </w:rPr>
              <w:t>došlo</w:t>
            </w:r>
            <w:proofErr w:type="gramEnd"/>
            <w:r>
              <w:rPr>
                <w:spacing w:val="-4"/>
              </w:rPr>
              <w:t xml:space="preserve"> oproti minulému roku k mírnému snížení počtu chovaných koz </w:t>
            </w:r>
            <w:proofErr w:type="gramStart"/>
            <w:r>
              <w:rPr>
                <w:spacing w:val="-4"/>
              </w:rPr>
              <w:t>svědčí</w:t>
            </w:r>
            <w:proofErr w:type="gramEnd"/>
            <w:r>
              <w:rPr>
                <w:spacing w:val="-4"/>
              </w:rPr>
              <w:t xml:space="preserve"> o tom, že se jejich počet již stabilizoval.</w:t>
            </w:r>
          </w:p>
          <w:p w:rsidR="00FC10ED" w:rsidRPr="00253CE8" w:rsidRDefault="0051250F" w:rsidP="0051250F">
            <w:pPr>
              <w:pStyle w:val="text"/>
              <w:rPr>
                <w:spacing w:val="-4"/>
              </w:rPr>
            </w:pPr>
            <w:r w:rsidRPr="00595179">
              <w:rPr>
                <w:spacing w:val="-4"/>
              </w:rPr>
              <w:t xml:space="preserve">Na jatkách v Karlovarském kraji bylo v roce 2013 vyrobeno 735 tun masa v jatečné hmotnosti, to představuje </w:t>
            </w:r>
            <w:r w:rsidRPr="00B65C91">
              <w:rPr>
                <w:spacing w:val="-4"/>
              </w:rPr>
              <w:t>0,2 % celkové produkce ČR. Rozhodující objem masa připadá v kraji na hovězí maso (645 tun, tj. 87,8 % z celkové produkce).</w:t>
            </w:r>
          </w:p>
        </w:tc>
      </w:tr>
      <w:tr w:rsidR="00297E0C" w:rsidTr="00C97F1A">
        <w:tc>
          <w:tcPr>
            <w:tcW w:w="2466" w:type="dxa"/>
          </w:tcPr>
          <w:p w:rsidR="00297E0C" w:rsidRPr="00297E0C" w:rsidRDefault="00297E0C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297E0C">
              <w:rPr>
                <w:b/>
                <w:bCs/>
                <w:i/>
                <w:iCs/>
                <w:u w:val="single"/>
              </w:rPr>
              <w:t>Lesnictví: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8F3D80">
              <w:rPr>
                <w:b/>
                <w:bCs/>
                <w:i/>
                <w:iCs/>
              </w:rPr>
              <w:t>Zalesněnost v kraji je druhá nejvyšší v ČR.</w:t>
            </w:r>
          </w:p>
        </w:tc>
        <w:tc>
          <w:tcPr>
            <w:tcW w:w="7288" w:type="dxa"/>
          </w:tcPr>
          <w:p w:rsidR="00297E0C" w:rsidRPr="00E91D6B" w:rsidRDefault="008F3D80" w:rsidP="00C97F1A">
            <w:pPr>
              <w:pStyle w:val="NORMAArialCE"/>
              <w:rPr>
                <w:spacing w:val="-4"/>
              </w:rPr>
            </w:pPr>
            <w:r>
              <w:rPr>
                <w:spacing w:val="-4"/>
              </w:rPr>
              <w:t>Z celkové výměry kraje tvořily v roce 2013 lesní pozemky 43,4 %, tento podíl se v posledních letech prakticky neměnil. V celorepublikovém srovnání se Karlovarský kraj umístil na 2. místě, pouze v Libereckém kraji byla zalesněnost o něco vyšší (44,5 %). V kraji se vytěžilo celkem 799 423 m</w:t>
            </w:r>
            <w:r w:rsidRPr="006D1458">
              <w:rPr>
                <w:spacing w:val="-4"/>
                <w:vertAlign w:val="superscript"/>
              </w:rPr>
              <w:t>3</w:t>
            </w:r>
            <w:r>
              <w:rPr>
                <w:spacing w:val="-4"/>
              </w:rPr>
              <w:t xml:space="preserve"> dřeva, což představuje meziroční pokles o 1,4 %. Převážnou většinu vytěženého dřeva tvořily jehličnany (92,7 %). Na</w:t>
            </w:r>
            <w:r w:rsidR="00C97F1A">
              <w:rPr>
                <w:spacing w:val="-4"/>
              </w:rPr>
              <w:t> </w:t>
            </w:r>
            <w:r>
              <w:rPr>
                <w:spacing w:val="-4"/>
              </w:rPr>
              <w:t>nahodilou těžbu připadlo 21,1 % z celkové těžby, většinu (86,0 %) této nahodilé těžby tvořila těžba živelní.</w:t>
            </w:r>
          </w:p>
        </w:tc>
      </w:tr>
      <w:tr w:rsidR="00172C77" w:rsidTr="00D85A30">
        <w:tc>
          <w:tcPr>
            <w:tcW w:w="9754" w:type="dxa"/>
            <w:gridSpan w:val="2"/>
          </w:tcPr>
          <w:p w:rsidR="00172C77" w:rsidRPr="000D536C" w:rsidRDefault="00717679" w:rsidP="00172C77">
            <w:pPr>
              <w:pStyle w:val="NORMAArialCE"/>
              <w:jc w:val="center"/>
              <w:rPr>
                <w:spacing w:val="-4"/>
              </w:rPr>
            </w:pPr>
            <w:r w:rsidRPr="005C15C9">
              <w:rPr>
                <w:spacing w:val="-4"/>
              </w:rPr>
              <w:pict>
                <v:shape id="_x0000_i1037" type="#_x0000_t75" style="width:458.25pt;height:150pt">
                  <v:imagedata r:id="rId20" o:title=""/>
                </v:shape>
              </w:pict>
            </w:r>
          </w:p>
        </w:tc>
      </w:tr>
    </w:tbl>
    <w:p w:rsidR="00C97F1A" w:rsidRDefault="00C97F1A"/>
    <w:tbl>
      <w:tblPr>
        <w:tblW w:w="9791" w:type="dxa"/>
        <w:tblCellMar>
          <w:left w:w="70" w:type="dxa"/>
          <w:right w:w="70" w:type="dxa"/>
        </w:tblCellMar>
        <w:tblLook w:val="0000"/>
      </w:tblPr>
      <w:tblGrid>
        <w:gridCol w:w="2466"/>
        <w:gridCol w:w="7288"/>
        <w:gridCol w:w="37"/>
      </w:tblGrid>
      <w:tr w:rsidR="00297E0C" w:rsidTr="00C97F1A">
        <w:trPr>
          <w:gridAfter w:val="1"/>
          <w:wAfter w:w="37" w:type="dxa"/>
        </w:trPr>
        <w:tc>
          <w:tcPr>
            <w:tcW w:w="2466" w:type="dxa"/>
          </w:tcPr>
          <w:p w:rsidR="00B25B35" w:rsidRPr="005D504C" w:rsidRDefault="00B25B35" w:rsidP="00B25B35">
            <w:pPr>
              <w:pStyle w:val="NORMAArialCE"/>
              <w:spacing w:after="0"/>
              <w:jc w:val="left"/>
              <w:rPr>
                <w:b/>
                <w:bCs/>
                <w:i/>
                <w:iCs/>
              </w:rPr>
            </w:pPr>
            <w:r w:rsidRPr="005D504C">
              <w:rPr>
                <w:b/>
                <w:bCs/>
                <w:i/>
                <w:iCs/>
                <w:u w:val="single"/>
              </w:rPr>
              <w:lastRenderedPageBreak/>
              <w:t>Cestovní ruch:</w:t>
            </w:r>
          </w:p>
          <w:p w:rsidR="00297E0C" w:rsidRPr="003974B2" w:rsidRDefault="00B25B35" w:rsidP="00B25B35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5D504C">
              <w:rPr>
                <w:b/>
                <w:bCs/>
                <w:i/>
                <w:iCs/>
              </w:rPr>
              <w:t>Více hostů  z ciziny, méně domácích…</w:t>
            </w:r>
          </w:p>
        </w:tc>
        <w:tc>
          <w:tcPr>
            <w:tcW w:w="7288" w:type="dxa"/>
          </w:tcPr>
          <w:p w:rsidR="00297E0C" w:rsidRPr="00E91D6B" w:rsidRDefault="00B25B35" w:rsidP="0051250F">
            <w:pPr>
              <w:pStyle w:val="NORMAArialCE"/>
              <w:rPr>
                <w:spacing w:val="-4"/>
              </w:rPr>
            </w:pPr>
            <w:r w:rsidRPr="000D536C">
              <w:rPr>
                <w:spacing w:val="-4"/>
              </w:rPr>
              <w:t xml:space="preserve">V roce 2013 se snížil počet hostů v hromadných ubytovacích zařízeních v šesti regionech České republiky. </w:t>
            </w:r>
            <w:r>
              <w:rPr>
                <w:spacing w:val="-4"/>
              </w:rPr>
              <w:t xml:space="preserve">Jedním z nich byl i </w:t>
            </w:r>
            <w:r w:rsidRPr="000D536C">
              <w:rPr>
                <w:spacing w:val="-4"/>
              </w:rPr>
              <w:t> Karlovarsk</w:t>
            </w:r>
            <w:r>
              <w:rPr>
                <w:spacing w:val="-4"/>
              </w:rPr>
              <w:t>ý</w:t>
            </w:r>
            <w:r w:rsidRPr="000D536C">
              <w:rPr>
                <w:spacing w:val="-4"/>
              </w:rPr>
              <w:t xml:space="preserve"> kraj</w:t>
            </w:r>
            <w:r>
              <w:rPr>
                <w:spacing w:val="-4"/>
              </w:rPr>
              <w:t>, kde tento pokles</w:t>
            </w:r>
            <w:r w:rsidRPr="000D536C">
              <w:rPr>
                <w:spacing w:val="-4"/>
              </w:rPr>
              <w:t xml:space="preserve"> činil 2,7 </w:t>
            </w:r>
            <w:r w:rsidRPr="004A0DFC">
              <w:rPr>
                <w:spacing w:val="-4"/>
              </w:rPr>
              <w:t xml:space="preserve">%. Celkový pokles návštěvnosti </w:t>
            </w:r>
            <w:r>
              <w:rPr>
                <w:spacing w:val="-4"/>
              </w:rPr>
              <w:t xml:space="preserve">hromadných ubytovacích zařízení </w:t>
            </w:r>
            <w:r w:rsidRPr="004A0DFC">
              <w:rPr>
                <w:spacing w:val="-4"/>
              </w:rPr>
              <w:t>byl zapříčiněn nižším počtem příjezdů domácích hostů (o 11,2 %), zahraničních hostů přijelo naopak více (o 2,1 %) než před rokem.</w:t>
            </w:r>
            <w:r>
              <w:rPr>
                <w:spacing w:val="-4"/>
              </w:rPr>
              <w:t xml:space="preserve"> V celé České republice došlo ve srovnání s minulým rokem k nárůstu počtu hostů v hromadných ubytovacích zařízeních (o 2,0 %), nejvyšší nárůst byl zaznamenán v Jihomoravském kraji (o 8,3 %).</w:t>
            </w:r>
          </w:p>
        </w:tc>
      </w:tr>
      <w:tr w:rsidR="00A3164F" w:rsidTr="00C97F1A">
        <w:tc>
          <w:tcPr>
            <w:tcW w:w="9791" w:type="dxa"/>
            <w:gridSpan w:val="3"/>
          </w:tcPr>
          <w:p w:rsidR="00A3164F" w:rsidRDefault="00717679" w:rsidP="00A3164F">
            <w:pPr>
              <w:pStyle w:val="NORMAArialCE"/>
              <w:jc w:val="center"/>
              <w:rPr>
                <w:spacing w:val="-4"/>
              </w:rPr>
            </w:pPr>
            <w:r w:rsidRPr="005C15C9">
              <w:rPr>
                <w:spacing w:val="-4"/>
              </w:rPr>
              <w:pict>
                <v:shape id="_x0000_i1038" type="#_x0000_t75" style="width:481.5pt;height:337.5pt">
                  <v:imagedata r:id="rId21" o:title=""/>
                </v:shape>
              </w:pict>
            </w:r>
          </w:p>
        </w:tc>
      </w:tr>
      <w:tr w:rsidR="00297E0C" w:rsidTr="00C97F1A">
        <w:trPr>
          <w:gridAfter w:val="1"/>
          <w:wAfter w:w="37" w:type="dxa"/>
        </w:trPr>
        <w:tc>
          <w:tcPr>
            <w:tcW w:w="2466" w:type="dxa"/>
          </w:tcPr>
          <w:p w:rsidR="00297E0C" w:rsidRPr="003974B2" w:rsidRDefault="00297E0C">
            <w:pPr>
              <w:pStyle w:val="text"/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7288" w:type="dxa"/>
          </w:tcPr>
          <w:p w:rsidR="00297E0C" w:rsidRPr="00E91D6B" w:rsidRDefault="00B25B35" w:rsidP="0051250F">
            <w:pPr>
              <w:pStyle w:val="NORMAArialCE"/>
              <w:rPr>
                <w:spacing w:val="-4"/>
              </w:rPr>
            </w:pPr>
            <w:r>
              <w:rPr>
                <w:spacing w:val="-4"/>
              </w:rPr>
              <w:t xml:space="preserve">Nejčastějšími ubytovanými hosty </w:t>
            </w:r>
            <w:r w:rsidRPr="00D62D24">
              <w:t>ze zahraničí v Karlovarském kraji byli v roce 201</w:t>
            </w:r>
            <w:r>
              <w:t>3</w:t>
            </w:r>
            <w:r w:rsidRPr="00D62D24">
              <w:t xml:space="preserve"> turisté z Německa (45,1 %) a z Ruské federace (23,1 </w:t>
            </w:r>
            <w:r w:rsidRPr="004652EE">
              <w:t>%). Nejvyšší meziroční nárůst příjezdů byl zaznamenán u hostů z Nového Zélandu (nárůst o 217,9 %).</w:t>
            </w:r>
          </w:p>
        </w:tc>
      </w:tr>
      <w:tr w:rsidR="00297E0C" w:rsidTr="00C97F1A">
        <w:trPr>
          <w:gridAfter w:val="1"/>
          <w:wAfter w:w="37" w:type="dxa"/>
        </w:trPr>
        <w:tc>
          <w:tcPr>
            <w:tcW w:w="2466" w:type="dxa"/>
          </w:tcPr>
          <w:p w:rsidR="00297E0C" w:rsidRPr="003974B2" w:rsidRDefault="005A42D1" w:rsidP="005A42D1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…</w:t>
            </w:r>
            <w:r w:rsidRPr="004A0DFC">
              <w:rPr>
                <w:b/>
                <w:bCs/>
                <w:i/>
                <w:iCs/>
              </w:rPr>
              <w:t>nejdelší doba pobytu</w:t>
            </w:r>
            <w:r>
              <w:rPr>
                <w:b/>
                <w:bCs/>
                <w:i/>
                <w:iCs/>
              </w:rPr>
              <w:t> </w:t>
            </w:r>
            <w:r w:rsidRPr="004A0DFC">
              <w:rPr>
                <w:b/>
                <w:bCs/>
                <w:i/>
                <w:iCs/>
              </w:rPr>
              <w:t>návštěvníků Karlovarského kraje</w:t>
            </w:r>
            <w:r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7288" w:type="dxa"/>
          </w:tcPr>
          <w:p w:rsidR="00297E0C" w:rsidRPr="00E91D6B" w:rsidRDefault="005A42D1" w:rsidP="0051250F">
            <w:pPr>
              <w:pStyle w:val="NORMAArialCE"/>
              <w:rPr>
                <w:spacing w:val="-4"/>
              </w:rPr>
            </w:pPr>
            <w:r w:rsidRPr="00BF1AC9">
              <w:rPr>
                <w:spacing w:val="-4"/>
              </w:rPr>
              <w:t xml:space="preserve">Hosté v hromadných ubytovacích zařízeních se v Karlovarském kraji zdrželi v průměru 6,8 dne, </w:t>
            </w:r>
            <w:r>
              <w:rPr>
                <w:spacing w:val="-4"/>
              </w:rPr>
              <w:t>je tak dlouhodobě krajem s nejdelší dobou pobytu hostů v hromadných ubytovacích zařízeních ze všech krajů ČR. P</w:t>
            </w:r>
            <w:r w:rsidRPr="00BF1AC9">
              <w:rPr>
                <w:spacing w:val="-4"/>
              </w:rPr>
              <w:t>růměrná doba pobytu v celé Č</w:t>
            </w:r>
            <w:r>
              <w:rPr>
                <w:spacing w:val="-4"/>
              </w:rPr>
              <w:t>eské republice</w:t>
            </w:r>
            <w:r w:rsidRPr="00BF1AC9">
              <w:rPr>
                <w:spacing w:val="-4"/>
              </w:rPr>
              <w:t xml:space="preserve"> činila 2,8 dne. V roce 201</w:t>
            </w:r>
            <w:r>
              <w:rPr>
                <w:spacing w:val="-4"/>
              </w:rPr>
              <w:t>3 došlo k poklesu</w:t>
            </w:r>
            <w:r w:rsidRPr="00BF1AC9">
              <w:rPr>
                <w:spacing w:val="-4"/>
              </w:rPr>
              <w:t xml:space="preserve"> počt</w:t>
            </w:r>
            <w:r>
              <w:rPr>
                <w:spacing w:val="-4"/>
              </w:rPr>
              <w:t>u</w:t>
            </w:r>
            <w:r w:rsidRPr="00BF1AC9">
              <w:rPr>
                <w:spacing w:val="-4"/>
              </w:rPr>
              <w:t xml:space="preserve"> hromadných ubytovacích zařízení v kraji, a to o 3</w:t>
            </w:r>
            <w:r>
              <w:rPr>
                <w:spacing w:val="-4"/>
              </w:rPr>
              <w:t>,2</w:t>
            </w:r>
            <w:r w:rsidRPr="00BF1AC9">
              <w:rPr>
                <w:spacing w:val="-4"/>
              </w:rPr>
              <w:t> %.</w:t>
            </w:r>
          </w:p>
        </w:tc>
      </w:tr>
      <w:tr w:rsidR="00297E0C" w:rsidTr="00C97F1A">
        <w:trPr>
          <w:gridAfter w:val="1"/>
          <w:wAfter w:w="37" w:type="dxa"/>
        </w:trPr>
        <w:tc>
          <w:tcPr>
            <w:tcW w:w="2466" w:type="dxa"/>
          </w:tcPr>
          <w:p w:rsidR="005A42D1" w:rsidRPr="00254888" w:rsidRDefault="005A42D1" w:rsidP="005A42D1">
            <w:pPr>
              <w:pStyle w:val="NORMAArialCE"/>
              <w:spacing w:after="0"/>
              <w:jc w:val="left"/>
              <w:rPr>
                <w:b/>
                <w:bCs/>
                <w:i/>
                <w:iCs/>
                <w:u w:val="single"/>
              </w:rPr>
            </w:pPr>
            <w:r w:rsidRPr="00254888">
              <w:rPr>
                <w:b/>
                <w:bCs/>
                <w:i/>
                <w:iCs/>
                <w:u w:val="single"/>
              </w:rPr>
              <w:t>Ceny:</w:t>
            </w:r>
          </w:p>
          <w:p w:rsidR="00297E0C" w:rsidRPr="003974B2" w:rsidRDefault="005A42D1" w:rsidP="005A42D1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254888">
              <w:rPr>
                <w:b/>
                <w:bCs/>
                <w:i/>
                <w:iCs/>
              </w:rPr>
              <w:t>Od prosince 2012 do prosince 2013 vzrostly spotřebitelské ceny v České republice o 1,4 %.</w:t>
            </w:r>
          </w:p>
        </w:tc>
        <w:tc>
          <w:tcPr>
            <w:tcW w:w="7288" w:type="dxa"/>
          </w:tcPr>
          <w:p w:rsidR="00297E0C" w:rsidRPr="00E91D6B" w:rsidRDefault="00DE254D" w:rsidP="00A3164F">
            <w:pPr>
              <w:pStyle w:val="NORMAArialCE"/>
              <w:rPr>
                <w:spacing w:val="-4"/>
              </w:rPr>
            </w:pPr>
            <w:r w:rsidRPr="00254888">
              <w:rPr>
                <w:spacing w:val="-4"/>
              </w:rPr>
              <w:t>Vývoj cenové hladiny vyjádřený indexem spotřebitelských cen není v regionálním členění v České republice publikován</w:t>
            </w:r>
            <w:r w:rsidRPr="00254888">
              <w:rPr>
                <w:rStyle w:val="Znakapoznpodarou"/>
                <w:spacing w:val="-4"/>
              </w:rPr>
              <w:footnoteReference w:id="3"/>
            </w:r>
            <w:r w:rsidRPr="00254888">
              <w:rPr>
                <w:spacing w:val="-4"/>
              </w:rPr>
              <w:t>. Přesto je zde účelné, pro dokreslení základních tendencí ekonomického vývoje Karlovarského kraje, uvést alespoň údaje České republiky jako celku. Meziroční míra inflace dosahovala v prosinci roku 2013 hodnoty 1</w:t>
            </w:r>
            <w:r w:rsidRPr="00A3164F">
              <w:rPr>
                <w:spacing w:val="-4"/>
              </w:rPr>
              <w:t xml:space="preserve">,4 %, průměrná roční míra inflace dosáhla v roce 2013 také hodnoty 1,4 %. V grafu </w:t>
            </w:r>
            <w:r w:rsidR="00A3164F" w:rsidRPr="00A3164F">
              <w:rPr>
                <w:spacing w:val="-4"/>
              </w:rPr>
              <w:t>2</w:t>
            </w:r>
            <w:r w:rsidRPr="00A3164F">
              <w:rPr>
                <w:spacing w:val="-4"/>
              </w:rPr>
              <w:t>1 lze</w:t>
            </w:r>
            <w:r w:rsidRPr="00254888">
              <w:rPr>
                <w:spacing w:val="-4"/>
              </w:rPr>
              <w:t xml:space="preserve"> vysledovat vývoj některých vybraných komodit ze spotřebního koše v posledních několika letech.</w:t>
            </w:r>
          </w:p>
        </w:tc>
      </w:tr>
      <w:tr w:rsidR="00A3164F" w:rsidTr="00C97F1A">
        <w:trPr>
          <w:gridAfter w:val="1"/>
          <w:wAfter w:w="37" w:type="dxa"/>
        </w:trPr>
        <w:tc>
          <w:tcPr>
            <w:tcW w:w="9754" w:type="dxa"/>
            <w:gridSpan w:val="2"/>
          </w:tcPr>
          <w:p w:rsidR="00A3164F" w:rsidRPr="00E91D6B" w:rsidRDefault="00717679" w:rsidP="00A3164F">
            <w:pPr>
              <w:pStyle w:val="NORMAArialCE"/>
              <w:jc w:val="center"/>
              <w:rPr>
                <w:spacing w:val="-4"/>
              </w:rPr>
            </w:pPr>
            <w:r w:rsidRPr="005C15C9">
              <w:rPr>
                <w:spacing w:val="-4"/>
              </w:rPr>
              <w:lastRenderedPageBreak/>
              <w:pict>
                <v:shape id="_x0000_i1039" type="#_x0000_t75" style="width:480.75pt;height:200.25pt">
                  <v:imagedata r:id="rId22" o:title=""/>
                </v:shape>
              </w:pict>
            </w:r>
          </w:p>
        </w:tc>
      </w:tr>
    </w:tbl>
    <w:p w:rsidR="002A3B42" w:rsidRDefault="002A3B42" w:rsidP="002A3B42">
      <w:pPr>
        <w:pStyle w:val="text"/>
      </w:pPr>
    </w:p>
    <w:p w:rsidR="00DE254D" w:rsidRDefault="00DE254D" w:rsidP="002A3B42">
      <w:pPr>
        <w:pStyle w:val="text"/>
      </w:pPr>
    </w:p>
    <w:p w:rsidR="00DE254D" w:rsidRDefault="00DE254D" w:rsidP="00DE254D">
      <w:pPr>
        <w:pStyle w:val="NORMAArialCE"/>
        <w:rPr>
          <w:b/>
          <w:bCs/>
          <w:i/>
          <w:iCs/>
          <w:sz w:val="18"/>
        </w:rPr>
      </w:pPr>
      <w:r>
        <w:rPr>
          <w:b/>
          <w:bCs/>
          <w:i/>
          <w:iCs/>
          <w:sz w:val="18"/>
        </w:rPr>
        <w:t>Podrobnější údaje k ekonomickému vývoji Karlovarského kraje v roce 201</w:t>
      </w:r>
      <w:r w:rsidR="00134841">
        <w:rPr>
          <w:b/>
          <w:bCs/>
          <w:i/>
          <w:iCs/>
          <w:sz w:val="18"/>
        </w:rPr>
        <w:t>3</w:t>
      </w:r>
      <w:r>
        <w:rPr>
          <w:b/>
          <w:bCs/>
          <w:i/>
          <w:iCs/>
          <w:sz w:val="18"/>
        </w:rPr>
        <w:t>:</w:t>
      </w:r>
    </w:p>
    <w:p w:rsidR="00DE254D" w:rsidRPr="0061231C" w:rsidRDefault="005C15C9" w:rsidP="00DE254D">
      <w:pPr>
        <w:pStyle w:val="NORMAArialCE"/>
        <w:spacing w:before="60" w:after="60"/>
        <w:rPr>
          <w:rStyle w:val="Hypertextovodkaz"/>
          <w:b/>
          <w:bCs/>
          <w:color w:val="365F91" w:themeColor="accent1" w:themeShade="BF"/>
          <w:sz w:val="18"/>
        </w:rPr>
      </w:pPr>
      <w:hyperlink r:id="rId23" w:history="1">
        <w:r w:rsidR="00DE254D" w:rsidRPr="0061231C">
          <w:rPr>
            <w:rStyle w:val="Hypertextovodkaz"/>
            <w:b/>
            <w:bCs/>
            <w:color w:val="365F91" w:themeColor="accent1" w:themeShade="BF"/>
            <w:sz w:val="18"/>
          </w:rPr>
          <w:t>Statistický bulletin Karlovarského kraje</w:t>
        </w:r>
      </w:hyperlink>
      <w:r w:rsidR="00DE254D" w:rsidRPr="0061231C">
        <w:rPr>
          <w:rStyle w:val="Hypertextovodkaz"/>
          <w:b/>
          <w:bCs/>
          <w:color w:val="365F91" w:themeColor="accent1" w:themeShade="BF"/>
          <w:sz w:val="18"/>
        </w:rPr>
        <w:t xml:space="preserve"> </w:t>
      </w:r>
    </w:p>
    <w:p w:rsidR="0061231C" w:rsidRPr="0061231C" w:rsidRDefault="005C15C9" w:rsidP="00DE254D">
      <w:pPr>
        <w:pStyle w:val="NORMAArialCE"/>
        <w:spacing w:before="60" w:after="60"/>
        <w:rPr>
          <w:rStyle w:val="Hypertextovodkaz"/>
          <w:b/>
          <w:bCs/>
          <w:color w:val="365F91" w:themeColor="accent1" w:themeShade="BF"/>
          <w:sz w:val="18"/>
        </w:rPr>
      </w:pPr>
      <w:hyperlink r:id="rId24" w:history="1">
        <w:r w:rsidR="0061231C" w:rsidRPr="0061231C">
          <w:rPr>
            <w:rStyle w:val="Hypertextovodkaz"/>
            <w:b/>
            <w:color w:val="365F91" w:themeColor="accent1" w:themeShade="BF"/>
            <w:sz w:val="18"/>
          </w:rPr>
          <w:t>Statistická ročenka Karlovarského kraje</w:t>
        </w:r>
      </w:hyperlink>
    </w:p>
    <w:p w:rsidR="00DE254D" w:rsidRPr="0061231C" w:rsidRDefault="005C15C9" w:rsidP="00DE254D">
      <w:pPr>
        <w:pStyle w:val="NORMAArialCE"/>
        <w:spacing w:before="60" w:after="60"/>
        <w:rPr>
          <w:rStyle w:val="Hypertextovodkaz"/>
          <w:b/>
          <w:bCs/>
          <w:color w:val="365F91" w:themeColor="accent1" w:themeShade="BF"/>
          <w:sz w:val="18"/>
        </w:rPr>
      </w:pPr>
      <w:hyperlink r:id="rId25" w:history="1">
        <w:r w:rsidR="00DE254D" w:rsidRPr="0061231C">
          <w:rPr>
            <w:rStyle w:val="Hypertextovodkaz"/>
            <w:b/>
            <w:bCs/>
            <w:color w:val="365F91" w:themeColor="accent1" w:themeShade="BF"/>
            <w:sz w:val="18"/>
          </w:rPr>
          <w:t>Definitivní údaje o sklizni zemědělských plodin za rok 201</w:t>
        </w:r>
        <w:r w:rsidR="00EB3526">
          <w:rPr>
            <w:rStyle w:val="Hypertextovodkaz"/>
            <w:b/>
            <w:bCs/>
            <w:color w:val="365F91" w:themeColor="accent1" w:themeShade="BF"/>
            <w:sz w:val="18"/>
          </w:rPr>
          <w:t>3</w:t>
        </w:r>
      </w:hyperlink>
    </w:p>
    <w:p w:rsidR="007A4AB3" w:rsidRPr="00467AAE" w:rsidRDefault="005C15C9" w:rsidP="00467AAE">
      <w:pPr>
        <w:pStyle w:val="NORMAArialCE"/>
        <w:spacing w:before="60" w:after="60"/>
        <w:rPr>
          <w:b/>
          <w:i/>
          <w:iCs/>
          <w:color w:val="365F91" w:themeColor="accent1" w:themeShade="BF"/>
          <w:sz w:val="18"/>
          <w:highlight w:val="yellow"/>
          <w:u w:val="single"/>
        </w:rPr>
      </w:pPr>
      <w:hyperlink r:id="rId26" w:history="1">
        <w:r w:rsidR="00DE254D" w:rsidRPr="0061231C">
          <w:rPr>
            <w:rStyle w:val="Hypertextovodkaz"/>
            <w:b/>
            <w:bCs/>
            <w:color w:val="365F91" w:themeColor="accent1" w:themeShade="BF"/>
            <w:sz w:val="18"/>
          </w:rPr>
          <w:t>Časové řady – cestovní ruch</w:t>
        </w:r>
      </w:hyperlink>
    </w:p>
    <w:sectPr w:rsidR="007A4AB3" w:rsidRPr="00467AAE" w:rsidSect="001C74B4">
      <w:footerReference w:type="first" r:id="rId27"/>
      <w:type w:val="continuous"/>
      <w:pgSz w:w="11906" w:h="16838" w:code="9"/>
      <w:pgMar w:top="1134" w:right="1134" w:bottom="1247" w:left="1134" w:header="567" w:footer="709" w:gutter="0"/>
      <w:cols w:space="708" w:equalWidth="0">
        <w:col w:w="9638"/>
      </w:cols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E03" w:rsidRDefault="00A65E03">
      <w:r>
        <w:separator/>
      </w:r>
    </w:p>
  </w:endnote>
  <w:endnote w:type="continuationSeparator" w:id="0">
    <w:p w:rsidR="00A65E03" w:rsidRDefault="00A65E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526" w:rsidRDefault="005C15C9">
    <w:pPr>
      <w:pStyle w:val="Zpat"/>
      <w:framePr w:wrap="around" w:vAnchor="text" w:hAnchor="margin" w:xAlign="outside" w:y="1"/>
      <w:rPr>
        <w:rStyle w:val="slostrnky"/>
        <w:sz w:val="16"/>
      </w:rPr>
    </w:pPr>
    <w:r>
      <w:rPr>
        <w:rStyle w:val="slostrnky"/>
        <w:sz w:val="16"/>
      </w:rPr>
      <w:fldChar w:fldCharType="begin"/>
    </w:r>
    <w:r w:rsidR="00EB3526">
      <w:rPr>
        <w:rStyle w:val="slostrnky"/>
        <w:sz w:val="16"/>
      </w:rPr>
      <w:instrText xml:space="preserve">PAGE  </w:instrText>
    </w:r>
    <w:r>
      <w:rPr>
        <w:rStyle w:val="slostrnky"/>
        <w:sz w:val="16"/>
      </w:rPr>
      <w:fldChar w:fldCharType="separate"/>
    </w:r>
    <w:r w:rsidR="00717679">
      <w:rPr>
        <w:rStyle w:val="slostrnky"/>
        <w:noProof/>
        <w:sz w:val="16"/>
      </w:rPr>
      <w:t>1</w:t>
    </w:r>
    <w:r>
      <w:rPr>
        <w:rStyle w:val="slostrnky"/>
        <w:sz w:val="16"/>
      </w:rPr>
      <w:fldChar w:fldCharType="end"/>
    </w:r>
  </w:p>
  <w:p w:rsidR="00EB3526" w:rsidRDefault="00EB3526">
    <w:pPr>
      <w:pStyle w:val="Rbntext"/>
      <w:ind w:right="360" w:firstLine="360"/>
      <w:jc w:val="center"/>
    </w:pPr>
    <w:r>
      <w:rPr>
        <w:sz w:val="16"/>
      </w:rPr>
      <w:t xml:space="preserve">Základní tendence demografického, sociálního a ekonomického vývoje </w:t>
    </w:r>
    <w:r w:rsidRPr="00241A51">
      <w:rPr>
        <w:sz w:val="16"/>
      </w:rPr>
      <w:t>Karlovarského</w:t>
    </w:r>
    <w:r>
      <w:rPr>
        <w:color w:val="FF0000"/>
        <w:sz w:val="16"/>
      </w:rPr>
      <w:t xml:space="preserve"> </w:t>
    </w:r>
    <w:r>
      <w:rPr>
        <w:sz w:val="16"/>
      </w:rPr>
      <w:t>kraje v roce 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E03" w:rsidRDefault="00A65E03">
      <w:r>
        <w:separator/>
      </w:r>
    </w:p>
  </w:footnote>
  <w:footnote w:type="continuationSeparator" w:id="0">
    <w:p w:rsidR="00A65E03" w:rsidRDefault="00A65E03">
      <w:r>
        <w:continuationSeparator/>
      </w:r>
    </w:p>
  </w:footnote>
  <w:footnote w:id="1">
    <w:p w:rsidR="00EB3526" w:rsidRDefault="001872A9" w:rsidP="00581C84">
      <w:pPr>
        <w:pStyle w:val="Textpoznpodarou"/>
      </w:pPr>
      <w:r>
        <w:rPr>
          <w:rStyle w:val="Znakapoznpodarou"/>
        </w:rPr>
        <w:t>1</w:t>
      </w:r>
      <w:r w:rsidR="00EB3526">
        <w:t xml:space="preserve"> Podniky se 100 a více zaměstnanci se sídlem v</w:t>
      </w:r>
      <w:r>
        <w:t> </w:t>
      </w:r>
      <w:r w:rsidR="00EB3526">
        <w:t>kraji</w:t>
      </w:r>
      <w:r>
        <w:t>.</w:t>
      </w:r>
    </w:p>
  </w:footnote>
  <w:footnote w:id="2">
    <w:p w:rsidR="00EB3526" w:rsidRDefault="00ED64B2" w:rsidP="006D4502">
      <w:pPr>
        <w:pStyle w:val="Textpoznpodarou"/>
      </w:pPr>
      <w:r>
        <w:rPr>
          <w:rStyle w:val="Znakapoznpodarou"/>
        </w:rPr>
        <w:t>2</w:t>
      </w:r>
      <w:r w:rsidR="00EB3526">
        <w:t xml:space="preserve"> Subjekty se sídlem v kraji s 50 a více zaměstnanci</w:t>
      </w:r>
    </w:p>
  </w:footnote>
  <w:footnote w:id="3">
    <w:p w:rsidR="00EB3526" w:rsidRDefault="00ED64B2" w:rsidP="00DE254D">
      <w:pPr>
        <w:pStyle w:val="Textpoznpodarou"/>
      </w:pPr>
      <w:r>
        <w:rPr>
          <w:rStyle w:val="Znakapoznpodarou"/>
        </w:rPr>
        <w:t>3</w:t>
      </w:r>
      <w:r w:rsidR="00EB3526">
        <w:t xml:space="preserve"> V regionálním členění jsou vydávány pouze průměrné ceny vybraných výrobků a služeb (viz Statistický bulletin Karlovarského kraje).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7EFF"/>
    <w:multiLevelType w:val="hybridMultilevel"/>
    <w:tmpl w:val="AA7C0B06"/>
    <w:lvl w:ilvl="0" w:tplc="2AE290F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kern w:val="32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5E64"/>
    <w:multiLevelType w:val="hybridMultilevel"/>
    <w:tmpl w:val="FF5E4A3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A25A79"/>
    <w:multiLevelType w:val="hybridMultilevel"/>
    <w:tmpl w:val="5390109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7C0BAE"/>
    <w:multiLevelType w:val="hybridMultilevel"/>
    <w:tmpl w:val="79A65E2C"/>
    <w:lvl w:ilvl="0" w:tplc="419EA1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0DA63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A5439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1043F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0AD4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75EBF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29862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B32F8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418B0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BF073C"/>
    <w:multiLevelType w:val="hybridMultilevel"/>
    <w:tmpl w:val="710C51E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EB3DEC"/>
    <w:multiLevelType w:val="hybridMultilevel"/>
    <w:tmpl w:val="9D8A5F2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06C0299"/>
    <w:multiLevelType w:val="hybridMultilevel"/>
    <w:tmpl w:val="B5E0FF56"/>
    <w:lvl w:ilvl="0" w:tplc="C02A922C">
      <w:start w:val="1"/>
      <w:numFmt w:val="bullet"/>
      <w:pStyle w:val="normaln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D5643D"/>
    <w:multiLevelType w:val="hybridMultilevel"/>
    <w:tmpl w:val="7FCC1B1A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BCF63C1"/>
    <w:multiLevelType w:val="hybridMultilevel"/>
    <w:tmpl w:val="6C929912"/>
    <w:lvl w:ilvl="0" w:tplc="F3C6A1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DC0F6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99012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D34E0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538C5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98A0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CF802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D944D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B542B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A214C2"/>
    <w:multiLevelType w:val="multilevel"/>
    <w:tmpl w:val="CD7EF4C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>
    <w:nsid w:val="37905F58"/>
    <w:multiLevelType w:val="multilevel"/>
    <w:tmpl w:val="3AD2064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suff w:val="space"/>
      <w:lvlText w:val="%1.%2."/>
      <w:lvlJc w:val="left"/>
      <w:pPr>
        <w:ind w:left="624" w:hanging="624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suff w:val="space"/>
      <w:lvlText w:val="Tab. %1.%2.%3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Restart w:val="0"/>
      <w:suff w:val="space"/>
      <w:lvlText w:val="Graf %4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4">
      <w:start w:val="1"/>
      <w:numFmt w:val="none"/>
      <w:lvlRestart w:val="2"/>
      <w:suff w:val="space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39356FAB"/>
    <w:multiLevelType w:val="hybridMultilevel"/>
    <w:tmpl w:val="D2D61754"/>
    <w:lvl w:ilvl="0" w:tplc="3904DA1E">
      <w:start w:val="1"/>
      <w:numFmt w:val="decimal"/>
      <w:pStyle w:val="Nadpis1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032543"/>
    <w:multiLevelType w:val="hybridMultilevel"/>
    <w:tmpl w:val="59F8FA1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09F6259"/>
    <w:multiLevelType w:val="multilevel"/>
    <w:tmpl w:val="5F0256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40C17374"/>
    <w:multiLevelType w:val="hybridMultilevel"/>
    <w:tmpl w:val="997A7FF2"/>
    <w:lvl w:ilvl="0" w:tplc="20B05D3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41BD209C"/>
    <w:multiLevelType w:val="hybridMultilevel"/>
    <w:tmpl w:val="E4F05C5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1C38EB"/>
    <w:multiLevelType w:val="hybridMultilevel"/>
    <w:tmpl w:val="B66E33E6"/>
    <w:lvl w:ilvl="0" w:tplc="44BAF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B8C9C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2A43A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7E862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38254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063E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96A33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50D6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C89A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6E4C15"/>
    <w:multiLevelType w:val="hybridMultilevel"/>
    <w:tmpl w:val="EC589EEE"/>
    <w:lvl w:ilvl="0" w:tplc="C688D0C4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A675AA"/>
    <w:multiLevelType w:val="hybridMultilevel"/>
    <w:tmpl w:val="EC589EEE"/>
    <w:lvl w:ilvl="0" w:tplc="08227994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EC5D64"/>
    <w:multiLevelType w:val="hybridMultilevel"/>
    <w:tmpl w:val="FD5A289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344518"/>
    <w:multiLevelType w:val="hybridMultilevel"/>
    <w:tmpl w:val="BEF2CDD0"/>
    <w:lvl w:ilvl="0" w:tplc="376475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3211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EEC78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7880E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AB052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35A8B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594EF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E80C7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F1E0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CB7216"/>
    <w:multiLevelType w:val="hybridMultilevel"/>
    <w:tmpl w:val="EC589EEE"/>
    <w:lvl w:ilvl="0" w:tplc="AF829932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AB56198"/>
    <w:multiLevelType w:val="hybridMultilevel"/>
    <w:tmpl w:val="C4128E2A"/>
    <w:lvl w:ilvl="0" w:tplc="6B865C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3C0A0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D5E97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438C3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872D4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6EC0D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DAA59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ED04A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A48F9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D9607B"/>
    <w:multiLevelType w:val="hybridMultilevel"/>
    <w:tmpl w:val="31E6A404"/>
    <w:lvl w:ilvl="0" w:tplc="DC88D7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570B8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F109B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9CC94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9A1B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2E6CC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848B6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58CE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0BE3C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3D68C4"/>
    <w:multiLevelType w:val="hybridMultilevel"/>
    <w:tmpl w:val="F0CA27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346794"/>
    <w:multiLevelType w:val="hybridMultilevel"/>
    <w:tmpl w:val="AE849F66"/>
    <w:lvl w:ilvl="0" w:tplc="3F0AAC5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71DC430A"/>
    <w:multiLevelType w:val="multilevel"/>
    <w:tmpl w:val="1080472A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>
    <w:nsid w:val="721A2E8F"/>
    <w:multiLevelType w:val="multilevel"/>
    <w:tmpl w:val="AD5066C6"/>
    <w:lvl w:ilvl="0">
      <w:start w:val="3"/>
      <w:numFmt w:val="decimal"/>
      <w:lvlText w:val="%1.."/>
      <w:lvlJc w:val="left"/>
      <w:pPr>
        <w:tabs>
          <w:tab w:val="num" w:pos="720"/>
        </w:tabs>
        <w:ind w:left="15" w:hanging="15"/>
      </w:pPr>
      <w:rPr>
        <w:rFonts w:hint="default"/>
        <w:sz w:val="20"/>
      </w:rPr>
    </w:lvl>
    <w:lvl w:ilvl="1">
      <w:start w:val="2"/>
      <w:numFmt w:val="decimal"/>
      <w:lvlText w:val="%1.%2.."/>
      <w:lvlJc w:val="left"/>
      <w:pPr>
        <w:tabs>
          <w:tab w:val="num" w:pos="720"/>
        </w:tabs>
        <w:ind w:left="15" w:hanging="15"/>
      </w:pPr>
      <w:rPr>
        <w:rFonts w:hint="default"/>
        <w:sz w:val="20"/>
      </w:rPr>
    </w:lvl>
    <w:lvl w:ilvl="2">
      <w:start w:val="1"/>
      <w:numFmt w:val="decimal"/>
      <w:lvlText w:val="%1.%2.%3.."/>
      <w:lvlJc w:val="left"/>
      <w:pPr>
        <w:tabs>
          <w:tab w:val="num" w:pos="720"/>
        </w:tabs>
        <w:ind w:left="15" w:hanging="15"/>
      </w:pPr>
      <w:rPr>
        <w:rFonts w:hint="default"/>
        <w:sz w:val="20"/>
      </w:rPr>
    </w:lvl>
    <w:lvl w:ilvl="3">
      <w:start w:val="1"/>
      <w:numFmt w:val="decimal"/>
      <w:lvlText w:val="%1.%2.%3.%3.."/>
      <w:lvlJc w:val="left"/>
      <w:pPr>
        <w:tabs>
          <w:tab w:val="num" w:pos="1080"/>
        </w:tabs>
        <w:ind w:left="375" w:hanging="375"/>
      </w:pPr>
      <w:rPr>
        <w:rFonts w:hint="default"/>
        <w:sz w:val="20"/>
      </w:rPr>
    </w:lvl>
    <w:lvl w:ilvl="4">
      <w:start w:val="1"/>
      <w:numFmt w:val="decimal"/>
      <w:lvlText w:val="%1.%2.%3.%3.%4.."/>
      <w:lvlJc w:val="left"/>
      <w:pPr>
        <w:tabs>
          <w:tab w:val="num" w:pos="1080"/>
        </w:tabs>
        <w:ind w:left="375" w:hanging="375"/>
      </w:pPr>
      <w:rPr>
        <w:rFonts w:hint="default"/>
        <w:sz w:val="20"/>
      </w:rPr>
    </w:lvl>
    <w:lvl w:ilvl="5">
      <w:start w:val="1"/>
      <w:numFmt w:val="decimal"/>
      <w:lvlText w:val="%1.%2.%3.%3.%4.%5.."/>
      <w:lvlJc w:val="left"/>
      <w:pPr>
        <w:tabs>
          <w:tab w:val="num" w:pos="1440"/>
        </w:tabs>
        <w:ind w:left="735" w:hanging="735"/>
      </w:pPr>
      <w:rPr>
        <w:rFonts w:hint="default"/>
        <w:sz w:val="20"/>
      </w:rPr>
    </w:lvl>
    <w:lvl w:ilvl="6">
      <w:start w:val="1"/>
      <w:numFmt w:val="decimal"/>
      <w:lvlText w:val="%1.%2.%3.%3.%4.%5.%6.."/>
      <w:lvlJc w:val="left"/>
      <w:pPr>
        <w:tabs>
          <w:tab w:val="num" w:pos="1440"/>
        </w:tabs>
        <w:ind w:left="735" w:hanging="735"/>
      </w:pPr>
      <w:rPr>
        <w:rFonts w:hint="default"/>
        <w:sz w:val="20"/>
      </w:rPr>
    </w:lvl>
    <w:lvl w:ilvl="7">
      <w:start w:val="1"/>
      <w:numFmt w:val="decimal"/>
      <w:lvlText w:val="%1.%2.%3.%3.%4.%5.%6.%7.."/>
      <w:lvlJc w:val="left"/>
      <w:pPr>
        <w:tabs>
          <w:tab w:val="num" w:pos="1800"/>
        </w:tabs>
        <w:ind w:left="1095" w:hanging="1095"/>
      </w:pPr>
      <w:rPr>
        <w:rFonts w:hint="default"/>
        <w:sz w:val="20"/>
      </w:rPr>
    </w:lvl>
    <w:lvl w:ilvl="8">
      <w:start w:val="1"/>
      <w:numFmt w:val="decimal"/>
      <w:lvlText w:val="%1.%2.%3.%3.%4.%5.%6.%7.%8.."/>
      <w:lvlJc w:val="left"/>
      <w:pPr>
        <w:tabs>
          <w:tab w:val="num" w:pos="1800"/>
        </w:tabs>
        <w:ind w:left="1095" w:hanging="1095"/>
      </w:pPr>
      <w:rPr>
        <w:rFonts w:hint="default"/>
        <w:sz w:val="20"/>
      </w:rPr>
    </w:lvl>
  </w:abstractNum>
  <w:abstractNum w:abstractNumId="28">
    <w:nsid w:val="74D54FB5"/>
    <w:multiLevelType w:val="multilevel"/>
    <w:tmpl w:val="368610AC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72F27D4"/>
    <w:multiLevelType w:val="hybridMultilevel"/>
    <w:tmpl w:val="71822B0A"/>
    <w:lvl w:ilvl="0" w:tplc="569E60D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015912"/>
    <w:multiLevelType w:val="hybridMultilevel"/>
    <w:tmpl w:val="06880BD0"/>
    <w:lvl w:ilvl="0" w:tplc="D3389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6"/>
  </w:num>
  <w:num w:numId="3">
    <w:abstractNumId w:val="6"/>
  </w:num>
  <w:num w:numId="4">
    <w:abstractNumId w:val="21"/>
  </w:num>
  <w:num w:numId="5">
    <w:abstractNumId w:val="30"/>
  </w:num>
  <w:num w:numId="6">
    <w:abstractNumId w:val="9"/>
  </w:num>
  <w:num w:numId="7">
    <w:abstractNumId w:val="4"/>
  </w:num>
  <w:num w:numId="8">
    <w:abstractNumId w:val="15"/>
  </w:num>
  <w:num w:numId="9">
    <w:abstractNumId w:val="16"/>
  </w:num>
  <w:num w:numId="10">
    <w:abstractNumId w:val="28"/>
  </w:num>
  <w:num w:numId="11">
    <w:abstractNumId w:val="27"/>
  </w:num>
  <w:num w:numId="12">
    <w:abstractNumId w:val="13"/>
  </w:num>
  <w:num w:numId="13">
    <w:abstractNumId w:val="17"/>
  </w:num>
  <w:num w:numId="14">
    <w:abstractNumId w:val="18"/>
  </w:num>
  <w:num w:numId="15">
    <w:abstractNumId w:val="19"/>
  </w:num>
  <w:num w:numId="16">
    <w:abstractNumId w:val="24"/>
  </w:num>
  <w:num w:numId="17">
    <w:abstractNumId w:val="29"/>
  </w:num>
  <w:num w:numId="18">
    <w:abstractNumId w:val="2"/>
  </w:num>
  <w:num w:numId="19">
    <w:abstractNumId w:val="7"/>
  </w:num>
  <w:num w:numId="20">
    <w:abstractNumId w:val="23"/>
  </w:num>
  <w:num w:numId="21">
    <w:abstractNumId w:val="20"/>
  </w:num>
  <w:num w:numId="22">
    <w:abstractNumId w:val="22"/>
  </w:num>
  <w:num w:numId="23">
    <w:abstractNumId w:val="8"/>
  </w:num>
  <w:num w:numId="24">
    <w:abstractNumId w:val="3"/>
  </w:num>
  <w:num w:numId="25">
    <w:abstractNumId w:val="12"/>
  </w:num>
  <w:num w:numId="26">
    <w:abstractNumId w:val="1"/>
  </w:num>
  <w:num w:numId="27">
    <w:abstractNumId w:val="1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5"/>
  </w:num>
  <w:num w:numId="30">
    <w:abstractNumId w:val="5"/>
  </w:num>
  <w:num w:numId="31">
    <w:abstractNumId w:val="11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proofState w:spelling="clean" w:grammar="clean"/>
  <w:doNotTrackMoves/>
  <w:defaultTabStop w:val="0"/>
  <w:hyphenationZone w:val="425"/>
  <w:noPunctuationKerning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4EEC"/>
    <w:rsid w:val="000008B4"/>
    <w:rsid w:val="00000981"/>
    <w:rsid w:val="00001F61"/>
    <w:rsid w:val="00006973"/>
    <w:rsid w:val="00011B35"/>
    <w:rsid w:val="000124D8"/>
    <w:rsid w:val="00014476"/>
    <w:rsid w:val="0002144F"/>
    <w:rsid w:val="000319C6"/>
    <w:rsid w:val="000508DA"/>
    <w:rsid w:val="000530CC"/>
    <w:rsid w:val="00053591"/>
    <w:rsid w:val="00054EC9"/>
    <w:rsid w:val="00060702"/>
    <w:rsid w:val="00070BFE"/>
    <w:rsid w:val="00073AE6"/>
    <w:rsid w:val="0009394E"/>
    <w:rsid w:val="000A50BA"/>
    <w:rsid w:val="000B7D18"/>
    <w:rsid w:val="000D02F3"/>
    <w:rsid w:val="000D5A5C"/>
    <w:rsid w:val="000E5996"/>
    <w:rsid w:val="000E663A"/>
    <w:rsid w:val="000E7CFC"/>
    <w:rsid w:val="000F21AE"/>
    <w:rsid w:val="000F2F6C"/>
    <w:rsid w:val="001001BE"/>
    <w:rsid w:val="001056F0"/>
    <w:rsid w:val="001061D3"/>
    <w:rsid w:val="00106F2C"/>
    <w:rsid w:val="00113FAB"/>
    <w:rsid w:val="00122552"/>
    <w:rsid w:val="001228AB"/>
    <w:rsid w:val="00134841"/>
    <w:rsid w:val="00135AB3"/>
    <w:rsid w:val="0014430E"/>
    <w:rsid w:val="00147657"/>
    <w:rsid w:val="00152EF4"/>
    <w:rsid w:val="00154083"/>
    <w:rsid w:val="00154D24"/>
    <w:rsid w:val="00156E28"/>
    <w:rsid w:val="00160DD9"/>
    <w:rsid w:val="00163F03"/>
    <w:rsid w:val="00172C77"/>
    <w:rsid w:val="0017742A"/>
    <w:rsid w:val="00177EE0"/>
    <w:rsid w:val="00185D01"/>
    <w:rsid w:val="00186282"/>
    <w:rsid w:val="001872A9"/>
    <w:rsid w:val="00191C64"/>
    <w:rsid w:val="00195636"/>
    <w:rsid w:val="00196E1B"/>
    <w:rsid w:val="001A2476"/>
    <w:rsid w:val="001A5A21"/>
    <w:rsid w:val="001A6F55"/>
    <w:rsid w:val="001B08A1"/>
    <w:rsid w:val="001C1A41"/>
    <w:rsid w:val="001C2C3C"/>
    <w:rsid w:val="001C4B04"/>
    <w:rsid w:val="001C5741"/>
    <w:rsid w:val="001C74B4"/>
    <w:rsid w:val="001D3564"/>
    <w:rsid w:val="001E0ABE"/>
    <w:rsid w:val="001F07E6"/>
    <w:rsid w:val="001F67D0"/>
    <w:rsid w:val="00202E3B"/>
    <w:rsid w:val="00215C80"/>
    <w:rsid w:val="0022045E"/>
    <w:rsid w:val="00221616"/>
    <w:rsid w:val="00221682"/>
    <w:rsid w:val="0023185E"/>
    <w:rsid w:val="00231899"/>
    <w:rsid w:val="00237BB2"/>
    <w:rsid w:val="00241A51"/>
    <w:rsid w:val="00245861"/>
    <w:rsid w:val="002800AB"/>
    <w:rsid w:val="002941F4"/>
    <w:rsid w:val="00295044"/>
    <w:rsid w:val="002955AA"/>
    <w:rsid w:val="00297E0C"/>
    <w:rsid w:val="002A0D8A"/>
    <w:rsid w:val="002A3B42"/>
    <w:rsid w:val="002A4ABB"/>
    <w:rsid w:val="002A78DD"/>
    <w:rsid w:val="002B1930"/>
    <w:rsid w:val="002B4DAC"/>
    <w:rsid w:val="002C2F5C"/>
    <w:rsid w:val="002D240B"/>
    <w:rsid w:val="002E13CA"/>
    <w:rsid w:val="002E54DB"/>
    <w:rsid w:val="00303583"/>
    <w:rsid w:val="00306A8F"/>
    <w:rsid w:val="00311222"/>
    <w:rsid w:val="00314D21"/>
    <w:rsid w:val="00347AA5"/>
    <w:rsid w:val="00354F05"/>
    <w:rsid w:val="003557F7"/>
    <w:rsid w:val="00356BC2"/>
    <w:rsid w:val="00361832"/>
    <w:rsid w:val="00365019"/>
    <w:rsid w:val="003716D9"/>
    <w:rsid w:val="003764CE"/>
    <w:rsid w:val="00381F31"/>
    <w:rsid w:val="00392400"/>
    <w:rsid w:val="003A4E6B"/>
    <w:rsid w:val="003A5323"/>
    <w:rsid w:val="003C7CA1"/>
    <w:rsid w:val="003D2D1E"/>
    <w:rsid w:val="003E0CC7"/>
    <w:rsid w:val="003E2FD3"/>
    <w:rsid w:val="003E50EC"/>
    <w:rsid w:val="004045D7"/>
    <w:rsid w:val="00406A39"/>
    <w:rsid w:val="004073B6"/>
    <w:rsid w:val="00414C67"/>
    <w:rsid w:val="004274FA"/>
    <w:rsid w:val="00433398"/>
    <w:rsid w:val="00433945"/>
    <w:rsid w:val="004476B6"/>
    <w:rsid w:val="00467AAE"/>
    <w:rsid w:val="00475A64"/>
    <w:rsid w:val="0047602B"/>
    <w:rsid w:val="00481C9B"/>
    <w:rsid w:val="00490C5E"/>
    <w:rsid w:val="004A537D"/>
    <w:rsid w:val="004D4527"/>
    <w:rsid w:val="004E2F59"/>
    <w:rsid w:val="004F17C6"/>
    <w:rsid w:val="0050128A"/>
    <w:rsid w:val="00502E3C"/>
    <w:rsid w:val="0051250F"/>
    <w:rsid w:val="00520AFE"/>
    <w:rsid w:val="00530E35"/>
    <w:rsid w:val="0053212F"/>
    <w:rsid w:val="0053500E"/>
    <w:rsid w:val="00535160"/>
    <w:rsid w:val="005375BC"/>
    <w:rsid w:val="00555F17"/>
    <w:rsid w:val="00557D1C"/>
    <w:rsid w:val="005659BB"/>
    <w:rsid w:val="00571B20"/>
    <w:rsid w:val="00576DD8"/>
    <w:rsid w:val="00581BA0"/>
    <w:rsid w:val="00581C84"/>
    <w:rsid w:val="00583CBE"/>
    <w:rsid w:val="005861C1"/>
    <w:rsid w:val="005958E4"/>
    <w:rsid w:val="005A42D1"/>
    <w:rsid w:val="005B0ECD"/>
    <w:rsid w:val="005C15C9"/>
    <w:rsid w:val="005D0BF4"/>
    <w:rsid w:val="005D4A9B"/>
    <w:rsid w:val="005D6BB7"/>
    <w:rsid w:val="005D6F4E"/>
    <w:rsid w:val="005E721D"/>
    <w:rsid w:val="005E7637"/>
    <w:rsid w:val="005F66D1"/>
    <w:rsid w:val="00604F29"/>
    <w:rsid w:val="0060538F"/>
    <w:rsid w:val="0061231C"/>
    <w:rsid w:val="0061461A"/>
    <w:rsid w:val="00624C8E"/>
    <w:rsid w:val="006267BD"/>
    <w:rsid w:val="0063419C"/>
    <w:rsid w:val="00635FCA"/>
    <w:rsid w:val="006455C9"/>
    <w:rsid w:val="00645662"/>
    <w:rsid w:val="00647E36"/>
    <w:rsid w:val="006552ED"/>
    <w:rsid w:val="00686564"/>
    <w:rsid w:val="00690C59"/>
    <w:rsid w:val="00690F7C"/>
    <w:rsid w:val="006913DF"/>
    <w:rsid w:val="00696B03"/>
    <w:rsid w:val="006A0BBB"/>
    <w:rsid w:val="006A53FB"/>
    <w:rsid w:val="006A75CE"/>
    <w:rsid w:val="006B6922"/>
    <w:rsid w:val="006C0920"/>
    <w:rsid w:val="006C3AD4"/>
    <w:rsid w:val="006D4502"/>
    <w:rsid w:val="006D7220"/>
    <w:rsid w:val="006E0E24"/>
    <w:rsid w:val="006E4F88"/>
    <w:rsid w:val="006E5E9A"/>
    <w:rsid w:val="006F0609"/>
    <w:rsid w:val="006F39F4"/>
    <w:rsid w:val="006F71A4"/>
    <w:rsid w:val="00704152"/>
    <w:rsid w:val="00704488"/>
    <w:rsid w:val="007070F0"/>
    <w:rsid w:val="00717679"/>
    <w:rsid w:val="00732FC5"/>
    <w:rsid w:val="007361B1"/>
    <w:rsid w:val="00736347"/>
    <w:rsid w:val="007421FA"/>
    <w:rsid w:val="0074534C"/>
    <w:rsid w:val="007516FF"/>
    <w:rsid w:val="00764660"/>
    <w:rsid w:val="007737C6"/>
    <w:rsid w:val="00774EEC"/>
    <w:rsid w:val="00785780"/>
    <w:rsid w:val="00791BBD"/>
    <w:rsid w:val="007A0669"/>
    <w:rsid w:val="007A4AB3"/>
    <w:rsid w:val="007B3BB9"/>
    <w:rsid w:val="007B3CEE"/>
    <w:rsid w:val="007B64BB"/>
    <w:rsid w:val="007B71E9"/>
    <w:rsid w:val="007B73F2"/>
    <w:rsid w:val="007C121A"/>
    <w:rsid w:val="007C7F44"/>
    <w:rsid w:val="007D49A4"/>
    <w:rsid w:val="007E1472"/>
    <w:rsid w:val="007E742A"/>
    <w:rsid w:val="007F5ECA"/>
    <w:rsid w:val="0082185C"/>
    <w:rsid w:val="00834F78"/>
    <w:rsid w:val="0084454A"/>
    <w:rsid w:val="00845141"/>
    <w:rsid w:val="00852492"/>
    <w:rsid w:val="00861281"/>
    <w:rsid w:val="00872E06"/>
    <w:rsid w:val="00876542"/>
    <w:rsid w:val="008801E2"/>
    <w:rsid w:val="008840B0"/>
    <w:rsid w:val="00884418"/>
    <w:rsid w:val="0088665B"/>
    <w:rsid w:val="00887285"/>
    <w:rsid w:val="008874D8"/>
    <w:rsid w:val="008A09F6"/>
    <w:rsid w:val="008A28D9"/>
    <w:rsid w:val="008A7092"/>
    <w:rsid w:val="008B3363"/>
    <w:rsid w:val="008B447C"/>
    <w:rsid w:val="008C4883"/>
    <w:rsid w:val="008E0138"/>
    <w:rsid w:val="008E1F9A"/>
    <w:rsid w:val="008E2C03"/>
    <w:rsid w:val="008E7D2A"/>
    <w:rsid w:val="008F0E5D"/>
    <w:rsid w:val="008F3D80"/>
    <w:rsid w:val="008F69D9"/>
    <w:rsid w:val="00922974"/>
    <w:rsid w:val="009237C0"/>
    <w:rsid w:val="0092629B"/>
    <w:rsid w:val="00934DA5"/>
    <w:rsid w:val="00946546"/>
    <w:rsid w:val="00956951"/>
    <w:rsid w:val="00960B16"/>
    <w:rsid w:val="00963D25"/>
    <w:rsid w:val="009669C9"/>
    <w:rsid w:val="009671C9"/>
    <w:rsid w:val="009818CE"/>
    <w:rsid w:val="00981FF7"/>
    <w:rsid w:val="00986F01"/>
    <w:rsid w:val="00993AB2"/>
    <w:rsid w:val="0099433A"/>
    <w:rsid w:val="009A399C"/>
    <w:rsid w:val="009A44C7"/>
    <w:rsid w:val="009A48E5"/>
    <w:rsid w:val="009B01A8"/>
    <w:rsid w:val="009B390D"/>
    <w:rsid w:val="009B62FA"/>
    <w:rsid w:val="009C7F70"/>
    <w:rsid w:val="009D6AC4"/>
    <w:rsid w:val="009E1787"/>
    <w:rsid w:val="009E1913"/>
    <w:rsid w:val="009E557B"/>
    <w:rsid w:val="009F0F94"/>
    <w:rsid w:val="00A0174A"/>
    <w:rsid w:val="00A02511"/>
    <w:rsid w:val="00A136EE"/>
    <w:rsid w:val="00A23330"/>
    <w:rsid w:val="00A3164F"/>
    <w:rsid w:val="00A35648"/>
    <w:rsid w:val="00A43193"/>
    <w:rsid w:val="00A55678"/>
    <w:rsid w:val="00A61825"/>
    <w:rsid w:val="00A65E03"/>
    <w:rsid w:val="00A80095"/>
    <w:rsid w:val="00A80E92"/>
    <w:rsid w:val="00A836EA"/>
    <w:rsid w:val="00A857F8"/>
    <w:rsid w:val="00A8743A"/>
    <w:rsid w:val="00AA101E"/>
    <w:rsid w:val="00AA3E9B"/>
    <w:rsid w:val="00AA7EF2"/>
    <w:rsid w:val="00AB37FD"/>
    <w:rsid w:val="00AB5305"/>
    <w:rsid w:val="00AB62E9"/>
    <w:rsid w:val="00AD1BFF"/>
    <w:rsid w:val="00AE34E0"/>
    <w:rsid w:val="00B03B15"/>
    <w:rsid w:val="00B0409F"/>
    <w:rsid w:val="00B048B3"/>
    <w:rsid w:val="00B07A92"/>
    <w:rsid w:val="00B166BD"/>
    <w:rsid w:val="00B25B35"/>
    <w:rsid w:val="00B307C4"/>
    <w:rsid w:val="00B30851"/>
    <w:rsid w:val="00B3758D"/>
    <w:rsid w:val="00B611CE"/>
    <w:rsid w:val="00B6582E"/>
    <w:rsid w:val="00B70D5E"/>
    <w:rsid w:val="00B73B7C"/>
    <w:rsid w:val="00B77C44"/>
    <w:rsid w:val="00B77F27"/>
    <w:rsid w:val="00B82E15"/>
    <w:rsid w:val="00B9228F"/>
    <w:rsid w:val="00B95855"/>
    <w:rsid w:val="00BB1C98"/>
    <w:rsid w:val="00BC49CB"/>
    <w:rsid w:val="00BC647E"/>
    <w:rsid w:val="00BD02F5"/>
    <w:rsid w:val="00BD41ED"/>
    <w:rsid w:val="00BE6495"/>
    <w:rsid w:val="00BF27CA"/>
    <w:rsid w:val="00BF37D8"/>
    <w:rsid w:val="00BF693B"/>
    <w:rsid w:val="00BF7972"/>
    <w:rsid w:val="00C01A05"/>
    <w:rsid w:val="00C067FE"/>
    <w:rsid w:val="00C07318"/>
    <w:rsid w:val="00C25636"/>
    <w:rsid w:val="00C32C08"/>
    <w:rsid w:val="00C34B9A"/>
    <w:rsid w:val="00C34EB4"/>
    <w:rsid w:val="00C42D0A"/>
    <w:rsid w:val="00C4332E"/>
    <w:rsid w:val="00C46406"/>
    <w:rsid w:val="00C54EEF"/>
    <w:rsid w:val="00C657BD"/>
    <w:rsid w:val="00C929F3"/>
    <w:rsid w:val="00C93DB6"/>
    <w:rsid w:val="00C9538E"/>
    <w:rsid w:val="00C97F1A"/>
    <w:rsid w:val="00CA7BEE"/>
    <w:rsid w:val="00CB408B"/>
    <w:rsid w:val="00CB67C2"/>
    <w:rsid w:val="00CC362D"/>
    <w:rsid w:val="00CD60C0"/>
    <w:rsid w:val="00CE20BF"/>
    <w:rsid w:val="00CE3A2D"/>
    <w:rsid w:val="00CE4CBD"/>
    <w:rsid w:val="00CE6291"/>
    <w:rsid w:val="00D03CA5"/>
    <w:rsid w:val="00D133A2"/>
    <w:rsid w:val="00D14237"/>
    <w:rsid w:val="00D200AC"/>
    <w:rsid w:val="00D23EE2"/>
    <w:rsid w:val="00D26DFD"/>
    <w:rsid w:val="00D36E1F"/>
    <w:rsid w:val="00D37DB4"/>
    <w:rsid w:val="00D44457"/>
    <w:rsid w:val="00D5317B"/>
    <w:rsid w:val="00D54DBF"/>
    <w:rsid w:val="00D606D3"/>
    <w:rsid w:val="00D617F6"/>
    <w:rsid w:val="00D625B0"/>
    <w:rsid w:val="00D73D87"/>
    <w:rsid w:val="00D76351"/>
    <w:rsid w:val="00D84AB0"/>
    <w:rsid w:val="00D85A30"/>
    <w:rsid w:val="00D94685"/>
    <w:rsid w:val="00D979C8"/>
    <w:rsid w:val="00DB36D2"/>
    <w:rsid w:val="00DC0B13"/>
    <w:rsid w:val="00DC44BE"/>
    <w:rsid w:val="00DD2A66"/>
    <w:rsid w:val="00DE0AF2"/>
    <w:rsid w:val="00DE254D"/>
    <w:rsid w:val="00DE4229"/>
    <w:rsid w:val="00DF7B7F"/>
    <w:rsid w:val="00E11CBA"/>
    <w:rsid w:val="00E2039B"/>
    <w:rsid w:val="00E23629"/>
    <w:rsid w:val="00E31420"/>
    <w:rsid w:val="00E450C3"/>
    <w:rsid w:val="00E45733"/>
    <w:rsid w:val="00E564CC"/>
    <w:rsid w:val="00E626ED"/>
    <w:rsid w:val="00E67A34"/>
    <w:rsid w:val="00E866F7"/>
    <w:rsid w:val="00E90939"/>
    <w:rsid w:val="00E92403"/>
    <w:rsid w:val="00EB3526"/>
    <w:rsid w:val="00EB6121"/>
    <w:rsid w:val="00ED4E36"/>
    <w:rsid w:val="00ED64B2"/>
    <w:rsid w:val="00ED7354"/>
    <w:rsid w:val="00ED7784"/>
    <w:rsid w:val="00EF7B32"/>
    <w:rsid w:val="00F10AAF"/>
    <w:rsid w:val="00F2637E"/>
    <w:rsid w:val="00F46E6E"/>
    <w:rsid w:val="00F6058D"/>
    <w:rsid w:val="00F70CF6"/>
    <w:rsid w:val="00F742C4"/>
    <w:rsid w:val="00F84BB0"/>
    <w:rsid w:val="00F92A8B"/>
    <w:rsid w:val="00F971C1"/>
    <w:rsid w:val="00FB3721"/>
    <w:rsid w:val="00FB4E39"/>
    <w:rsid w:val="00FB5591"/>
    <w:rsid w:val="00FC01C0"/>
    <w:rsid w:val="00FC10ED"/>
    <w:rsid w:val="00FC3738"/>
    <w:rsid w:val="00FC4353"/>
    <w:rsid w:val="00FD1020"/>
    <w:rsid w:val="00FD2C27"/>
    <w:rsid w:val="00FD3B13"/>
    <w:rsid w:val="00FD5585"/>
    <w:rsid w:val="00FE258D"/>
    <w:rsid w:val="00FF0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08A1"/>
    <w:pPr>
      <w:jc w:val="both"/>
    </w:pPr>
    <w:rPr>
      <w:rFonts w:ascii="Arial" w:hAnsi="Arial"/>
      <w:szCs w:val="24"/>
    </w:rPr>
  </w:style>
  <w:style w:type="paragraph" w:styleId="Nadpis1">
    <w:name w:val="heading 1"/>
    <w:basedOn w:val="Normln"/>
    <w:next w:val="Normln"/>
    <w:qFormat/>
    <w:rsid w:val="00306A8F"/>
    <w:pPr>
      <w:keepNext/>
      <w:numPr>
        <w:numId w:val="31"/>
      </w:numPr>
      <w:spacing w:after="180"/>
      <w:ind w:left="142" w:hanging="357"/>
      <w:outlineLvl w:val="0"/>
    </w:pPr>
    <w:rPr>
      <w:rFonts w:cs="Arial"/>
      <w:b/>
      <w:bCs/>
      <w:caps/>
      <w:kern w:val="32"/>
      <w:sz w:val="24"/>
      <w:szCs w:val="32"/>
    </w:rPr>
  </w:style>
  <w:style w:type="paragraph" w:styleId="Nadpis2">
    <w:name w:val="heading 2"/>
    <w:basedOn w:val="Normln"/>
    <w:next w:val="Normln"/>
    <w:qFormat/>
    <w:rsid w:val="001B08A1"/>
    <w:pPr>
      <w:keepNext/>
      <w:spacing w:before="240" w:after="240"/>
      <w:outlineLvl w:val="1"/>
    </w:pPr>
    <w:rPr>
      <w:rFonts w:cs="Arial"/>
      <w:b/>
      <w:bCs/>
      <w:iCs/>
      <w:szCs w:val="28"/>
    </w:rPr>
  </w:style>
  <w:style w:type="paragraph" w:styleId="Nadpis3">
    <w:name w:val="heading 3"/>
    <w:basedOn w:val="Normln"/>
    <w:next w:val="Normln"/>
    <w:qFormat/>
    <w:rsid w:val="001B08A1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"/>
    <w:next w:val="Normln"/>
    <w:qFormat/>
    <w:rsid w:val="001B08A1"/>
    <w:pPr>
      <w:keepNext/>
      <w:jc w:val="right"/>
      <w:outlineLvl w:val="3"/>
    </w:pPr>
    <w:rPr>
      <w:i/>
      <w:iCs/>
      <w:color w:val="0000FF"/>
    </w:rPr>
  </w:style>
  <w:style w:type="paragraph" w:styleId="Nadpis5">
    <w:name w:val="heading 5"/>
    <w:basedOn w:val="Normln"/>
    <w:next w:val="Normln"/>
    <w:qFormat/>
    <w:rsid w:val="001B08A1"/>
    <w:pPr>
      <w:keepNext/>
      <w:spacing w:after="480"/>
      <w:outlineLvl w:val="4"/>
    </w:pPr>
    <w:rPr>
      <w:rFonts w:cs="Arial"/>
      <w:b/>
      <w:bCs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B08A1"/>
    <w:pPr>
      <w:spacing w:before="240" w:after="240"/>
      <w:jc w:val="center"/>
      <w:outlineLvl w:val="0"/>
    </w:pPr>
    <w:rPr>
      <w:rFonts w:cs="Arial"/>
      <w:b/>
      <w:bCs/>
      <w:kern w:val="28"/>
      <w:sz w:val="28"/>
      <w:szCs w:val="32"/>
    </w:rPr>
  </w:style>
  <w:style w:type="paragraph" w:customStyle="1" w:styleId="normalnsodrkami">
    <w:name w:val="normalní s odrážkami"/>
    <w:basedOn w:val="Normln"/>
    <w:rsid w:val="001B08A1"/>
    <w:pPr>
      <w:numPr>
        <w:numId w:val="3"/>
      </w:numPr>
    </w:pPr>
  </w:style>
  <w:style w:type="paragraph" w:styleId="Zpat">
    <w:name w:val="footer"/>
    <w:basedOn w:val="Normln"/>
    <w:semiHidden/>
    <w:rsid w:val="001B08A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B08A1"/>
  </w:style>
  <w:style w:type="paragraph" w:styleId="Zhlav">
    <w:name w:val="header"/>
    <w:basedOn w:val="Normln"/>
    <w:semiHidden/>
    <w:rsid w:val="001B08A1"/>
    <w:pPr>
      <w:tabs>
        <w:tab w:val="center" w:pos="4536"/>
        <w:tab w:val="right" w:pos="9072"/>
      </w:tabs>
      <w:jc w:val="left"/>
    </w:pPr>
    <w:rPr>
      <w:rFonts w:ascii="Times New Roman" w:hAnsi="Times New Roman"/>
      <w:sz w:val="24"/>
    </w:rPr>
  </w:style>
  <w:style w:type="character" w:styleId="Hypertextovodkaz">
    <w:name w:val="Hyperlink"/>
    <w:basedOn w:val="Standardnpsmoodstavce"/>
    <w:rsid w:val="001B08A1"/>
    <w:rPr>
      <w:color w:val="0000FF"/>
      <w:u w:val="single"/>
    </w:rPr>
  </w:style>
  <w:style w:type="paragraph" w:styleId="Normlnweb">
    <w:name w:val="Normal (Web)"/>
    <w:basedOn w:val="Normln"/>
    <w:semiHidden/>
    <w:rsid w:val="001B08A1"/>
    <w:pPr>
      <w:spacing w:before="100" w:beforeAutospacing="1" w:after="100" w:afterAutospacing="1"/>
      <w:jc w:val="left"/>
    </w:pPr>
    <w:rPr>
      <w:rFonts w:ascii="Arial Unicode MS" w:eastAsia="Arial Unicode MS" w:hAnsi="Arial Unicode MS"/>
      <w:sz w:val="24"/>
    </w:rPr>
  </w:style>
  <w:style w:type="paragraph" w:styleId="Textpoznpodarou">
    <w:name w:val="footnote text"/>
    <w:aliases w:val="Text pozn. pod čarou_martin_ang"/>
    <w:basedOn w:val="Normln"/>
    <w:semiHidden/>
    <w:rsid w:val="001B08A1"/>
    <w:pPr>
      <w:spacing w:before="60" w:after="60"/>
      <w:ind w:left="113" w:hanging="113"/>
    </w:pPr>
    <w:rPr>
      <w:sz w:val="16"/>
      <w:szCs w:val="20"/>
    </w:rPr>
  </w:style>
  <w:style w:type="paragraph" w:styleId="Zkladntext">
    <w:name w:val="Body Text"/>
    <w:basedOn w:val="Normln"/>
    <w:semiHidden/>
    <w:rsid w:val="001B08A1"/>
    <w:pPr>
      <w:tabs>
        <w:tab w:val="left" w:pos="9000"/>
      </w:tabs>
      <w:ind w:right="-110"/>
    </w:pPr>
    <w:rPr>
      <w:rFonts w:cs="Arial"/>
    </w:rPr>
  </w:style>
  <w:style w:type="paragraph" w:styleId="Zkladntext2">
    <w:name w:val="Body Text 2"/>
    <w:basedOn w:val="Normln"/>
    <w:semiHidden/>
    <w:rsid w:val="001B08A1"/>
    <w:pPr>
      <w:tabs>
        <w:tab w:val="left" w:pos="9000"/>
      </w:tabs>
      <w:ind w:right="-70"/>
    </w:pPr>
    <w:rPr>
      <w:rFonts w:cs="Arial"/>
    </w:rPr>
  </w:style>
  <w:style w:type="character" w:styleId="Znakapoznpodarou">
    <w:name w:val="footnote reference"/>
    <w:basedOn w:val="Standardnpsmoodstavce"/>
    <w:semiHidden/>
    <w:rsid w:val="001B08A1"/>
    <w:rPr>
      <w:sz w:val="16"/>
      <w:vertAlign w:val="superscript"/>
    </w:rPr>
  </w:style>
  <w:style w:type="character" w:styleId="Sledovanodkaz">
    <w:name w:val="FollowedHyperlink"/>
    <w:basedOn w:val="Standardnpsmoodstavce"/>
    <w:semiHidden/>
    <w:rsid w:val="001B08A1"/>
    <w:rPr>
      <w:color w:val="800080"/>
      <w:u w:val="single"/>
    </w:rPr>
  </w:style>
  <w:style w:type="paragraph" w:styleId="Zkladntext3">
    <w:name w:val="Body Text 3"/>
    <w:basedOn w:val="Normln"/>
    <w:semiHidden/>
    <w:rsid w:val="001B08A1"/>
    <w:rPr>
      <w:i/>
      <w:iCs/>
      <w:color w:val="0000FF"/>
    </w:rPr>
  </w:style>
  <w:style w:type="paragraph" w:styleId="Zkladntextodsazen">
    <w:name w:val="Body Text Indent"/>
    <w:basedOn w:val="Normln"/>
    <w:semiHidden/>
    <w:rsid w:val="001B08A1"/>
    <w:pPr>
      <w:ind w:firstLine="708"/>
    </w:pPr>
  </w:style>
  <w:style w:type="paragraph" w:styleId="Titulek">
    <w:name w:val="caption"/>
    <w:basedOn w:val="Normln"/>
    <w:next w:val="Normln"/>
    <w:qFormat/>
    <w:rsid w:val="001B08A1"/>
    <w:pPr>
      <w:tabs>
        <w:tab w:val="left" w:pos="1260"/>
      </w:tabs>
    </w:pPr>
    <w:rPr>
      <w:b/>
      <w:bCs/>
    </w:rPr>
  </w:style>
  <w:style w:type="paragraph" w:customStyle="1" w:styleId="text">
    <w:name w:val="text"/>
    <w:basedOn w:val="Normln"/>
    <w:rsid w:val="001B08A1"/>
    <w:pPr>
      <w:spacing w:before="60" w:after="60"/>
    </w:pPr>
  </w:style>
  <w:style w:type="paragraph" w:customStyle="1" w:styleId="textRR">
    <w:name w:val="text RR"/>
    <w:rsid w:val="001B08A1"/>
    <w:pPr>
      <w:spacing w:before="120"/>
      <w:jc w:val="both"/>
    </w:pPr>
    <w:rPr>
      <w:rFonts w:ascii="Arial" w:hAnsi="Arial"/>
    </w:rPr>
  </w:style>
  <w:style w:type="paragraph" w:customStyle="1" w:styleId="Rbntext">
    <w:name w:val="R běžný text"/>
    <w:rsid w:val="001B08A1"/>
    <w:pPr>
      <w:spacing w:after="120"/>
      <w:jc w:val="both"/>
    </w:pPr>
    <w:rPr>
      <w:rFonts w:ascii="Arial" w:hAnsi="Arial"/>
    </w:rPr>
  </w:style>
  <w:style w:type="paragraph" w:customStyle="1" w:styleId="Rnadpis">
    <w:name w:val="R nadpis"/>
    <w:basedOn w:val="Rbntext"/>
    <w:next w:val="Rbntext"/>
    <w:rsid w:val="00F6058D"/>
    <w:pPr>
      <w:tabs>
        <w:tab w:val="right" w:pos="9356"/>
      </w:tabs>
      <w:spacing w:before="360" w:after="240"/>
      <w:jc w:val="left"/>
      <w:outlineLvl w:val="0"/>
    </w:pPr>
    <w:rPr>
      <w:b/>
      <w:caps/>
      <w:sz w:val="24"/>
    </w:rPr>
  </w:style>
  <w:style w:type="paragraph" w:customStyle="1" w:styleId="Rtextobsah">
    <w:name w:val="R text obsah"/>
    <w:basedOn w:val="Rbntext"/>
    <w:rsid w:val="001B08A1"/>
    <w:pPr>
      <w:tabs>
        <w:tab w:val="right" w:leader="dot" w:pos="4423"/>
      </w:tabs>
      <w:ind w:left="454" w:hanging="454"/>
    </w:pPr>
    <w:rPr>
      <w:bCs/>
    </w:rPr>
  </w:style>
  <w:style w:type="paragraph" w:customStyle="1" w:styleId="poznamka">
    <w:name w:val="poznamka"/>
    <w:basedOn w:val="Normln"/>
    <w:rsid w:val="001B08A1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sz w:val="24"/>
    </w:rPr>
  </w:style>
  <w:style w:type="paragraph" w:customStyle="1" w:styleId="NORMAArialCE">
    <w:name w:val="NORMA Arial CE"/>
    <w:basedOn w:val="Normln"/>
    <w:rsid w:val="001B08A1"/>
    <w:pPr>
      <w:spacing w:before="120" w:after="120"/>
    </w:pPr>
  </w:style>
  <w:style w:type="paragraph" w:customStyle="1" w:styleId="RbntextA">
    <w:name w:val="R běžný text A"/>
    <w:basedOn w:val="Rbntext"/>
    <w:rsid w:val="001B08A1"/>
    <w:rPr>
      <w:i/>
      <w:lang w:val="en-GB"/>
    </w:rPr>
  </w:style>
  <w:style w:type="paragraph" w:customStyle="1" w:styleId="Ptext">
    <w:name w:val="P text"/>
    <w:rsid w:val="001B08A1"/>
    <w:pPr>
      <w:spacing w:before="60" w:after="120"/>
      <w:jc w:val="both"/>
    </w:pPr>
    <w:rPr>
      <w:rFonts w:ascii="Arial" w:hAnsi="Arial"/>
    </w:rPr>
  </w:style>
  <w:style w:type="paragraph" w:customStyle="1" w:styleId="PGraf">
    <w:name w:val="P Graf"/>
    <w:basedOn w:val="Ptext"/>
    <w:next w:val="Ptext"/>
    <w:rsid w:val="001B08A1"/>
    <w:pPr>
      <w:spacing w:before="120" w:after="0"/>
      <w:jc w:val="left"/>
    </w:pPr>
    <w:rPr>
      <w:b/>
    </w:rPr>
  </w:style>
  <w:style w:type="paragraph" w:styleId="Obsah1">
    <w:name w:val="toc 1"/>
    <w:basedOn w:val="Normln"/>
    <w:next w:val="Normln"/>
    <w:autoRedefine/>
    <w:uiPriority w:val="39"/>
    <w:unhideWhenUsed/>
    <w:rsid w:val="00433945"/>
    <w:pPr>
      <w:tabs>
        <w:tab w:val="left" w:pos="284"/>
        <w:tab w:val="right" w:leader="dot" w:pos="9628"/>
      </w:tabs>
      <w:spacing w:after="1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8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czso.cz/csu/redakce.nsf/i/cru_cr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czso.cz/csu/2014edicniplan.nsf/publ/270141-14-r_20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czso.cz/csu/2013edicniplan.nsf/krajpubl/411011-13-r_2013-x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czso.cz/csu/2013edicniplan.nsf/krajpubl/411302-13-q4_2013-x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C5883-CC6A-4CEC-A657-2AD691B4C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2126</Words>
  <Characters>12545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Úvod</vt:lpstr>
    </vt:vector>
  </TitlesOfParts>
  <Company>CSU</Company>
  <LinksUpToDate>false</LinksUpToDate>
  <CharactersWithSpaces>14642</CharactersWithSpaces>
  <SharedDoc>false</SharedDoc>
  <HLinks>
    <vt:vector size="6" baseType="variant">
      <vt:variant>
        <vt:i4>5636130</vt:i4>
      </vt:variant>
      <vt:variant>
        <vt:i4>0</vt:i4>
      </vt:variant>
      <vt:variant>
        <vt:i4>0</vt:i4>
      </vt:variant>
      <vt:variant>
        <vt:i4>5</vt:i4>
      </vt:variant>
      <vt:variant>
        <vt:lpwstr>mailto:ivana.duskova@czso.cz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Úvod</dc:title>
  <dc:creator>Dubska</dc:creator>
  <cp:lastModifiedBy>Jana Spackova</cp:lastModifiedBy>
  <cp:revision>2</cp:revision>
  <cp:lastPrinted>2014-08-25T11:28:00Z</cp:lastPrinted>
  <dcterms:created xsi:type="dcterms:W3CDTF">2015-09-14T06:31:00Z</dcterms:created>
  <dcterms:modified xsi:type="dcterms:W3CDTF">2015-09-14T06:31:00Z</dcterms:modified>
</cp:coreProperties>
</file>