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drawings/drawing1.xml" ContentType="application/vnd.openxmlformats-officedocument.drawingml.chartshapes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drawings/drawing2.xml" ContentType="application/vnd.openxmlformats-officedocument.drawingml.chartshap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9E3DC3" w14:textId="2DB7FD3D" w:rsidR="00731C33" w:rsidRPr="00510145" w:rsidRDefault="002A34C0" w:rsidP="00510145">
      <w:pPr>
        <w:pStyle w:val="Nadpis1"/>
        <w:spacing w:after="120" w:line="360" w:lineRule="auto"/>
        <w:rPr>
          <w:rFonts w:cs="Arial"/>
          <w:sz w:val="20"/>
        </w:rPr>
      </w:pPr>
      <w:bookmarkStart w:id="0" w:name="_Toc438111975"/>
      <w:bookmarkStart w:id="1" w:name="_Toc444112498"/>
      <w:r>
        <w:t>2</w:t>
      </w:r>
      <w:r w:rsidR="00F92871" w:rsidRPr="00262F9A">
        <w:rPr>
          <w:szCs w:val="32"/>
        </w:rPr>
        <w:t>. Cizinci pobývající na území ČR podle kategorií pobytu</w:t>
      </w:r>
      <w:bookmarkEnd w:id="0"/>
    </w:p>
    <w:p w14:paraId="21B42188" w14:textId="089EB09D" w:rsidR="00EC6727" w:rsidRPr="00525904" w:rsidRDefault="00F92871" w:rsidP="00EC6727">
      <w:pPr>
        <w:spacing w:line="360" w:lineRule="auto"/>
        <w:jc w:val="both"/>
        <w:rPr>
          <w:rFonts w:cs="Arial"/>
          <w:szCs w:val="20"/>
        </w:rPr>
      </w:pPr>
      <w:r w:rsidRPr="0004037F">
        <w:rPr>
          <w:sz w:val="24"/>
        </w:rPr>
        <w:tab/>
      </w:r>
      <w:r w:rsidR="00EC6727" w:rsidRPr="0004037F">
        <w:rPr>
          <w:rFonts w:cs="Arial"/>
          <w:szCs w:val="20"/>
        </w:rPr>
        <w:t xml:space="preserve">K 31. 12. </w:t>
      </w:r>
      <w:r w:rsidR="00814CA1">
        <w:rPr>
          <w:rFonts w:cs="Arial"/>
          <w:szCs w:val="20"/>
        </w:rPr>
        <w:t>2023</w:t>
      </w:r>
      <w:r w:rsidR="00EC6727" w:rsidRPr="0004037F">
        <w:rPr>
          <w:rFonts w:cs="Arial"/>
          <w:szCs w:val="20"/>
        </w:rPr>
        <w:t xml:space="preserve"> </w:t>
      </w:r>
      <w:r w:rsidR="005A73B8">
        <w:rPr>
          <w:rFonts w:cs="Arial"/>
          <w:szCs w:val="20"/>
        </w:rPr>
        <w:t>mělo</w:t>
      </w:r>
      <w:r w:rsidR="00EC6727" w:rsidRPr="0004037F">
        <w:rPr>
          <w:rFonts w:cs="Arial"/>
          <w:szCs w:val="20"/>
        </w:rPr>
        <w:t xml:space="preserve"> </w:t>
      </w:r>
      <w:r w:rsidR="000F32C2">
        <w:rPr>
          <w:rFonts w:cs="Arial"/>
          <w:szCs w:val="20"/>
        </w:rPr>
        <w:t>na území České republiky</w:t>
      </w:r>
      <w:r w:rsidR="005A73B8">
        <w:rPr>
          <w:rFonts w:cs="Arial"/>
          <w:szCs w:val="20"/>
        </w:rPr>
        <w:t xml:space="preserve"> platný pobyt</w:t>
      </w:r>
      <w:r w:rsidR="000F32C2">
        <w:rPr>
          <w:rFonts w:cs="Arial"/>
          <w:szCs w:val="20"/>
        </w:rPr>
        <w:t xml:space="preserve"> celkem 1</w:t>
      </w:r>
      <w:r w:rsidR="004C7DF3">
        <w:rPr>
          <w:rFonts w:cs="Arial"/>
          <w:szCs w:val="20"/>
        </w:rPr>
        <w:t> 065 740</w:t>
      </w:r>
      <w:r w:rsidR="00EC6727" w:rsidRPr="0004037F">
        <w:rPr>
          <w:rFonts w:cs="Arial"/>
          <w:szCs w:val="20"/>
        </w:rPr>
        <w:t xml:space="preserve"> cizinců, z to</w:t>
      </w:r>
      <w:r w:rsidR="000A2F2C">
        <w:rPr>
          <w:rFonts w:cs="Arial"/>
          <w:szCs w:val="20"/>
        </w:rPr>
        <w:t xml:space="preserve">ho </w:t>
      </w:r>
      <w:r w:rsidR="004C7DF3">
        <w:rPr>
          <w:rFonts w:cs="Arial"/>
          <w:szCs w:val="20"/>
        </w:rPr>
        <w:t>67,1</w:t>
      </w:r>
      <w:r w:rsidR="00C77DB7">
        <w:rPr>
          <w:rFonts w:cs="Arial"/>
          <w:szCs w:val="20"/>
        </w:rPr>
        <w:t> %</w:t>
      </w:r>
      <w:r w:rsidR="00FA3880">
        <w:rPr>
          <w:rFonts w:cs="Arial"/>
          <w:szCs w:val="20"/>
        </w:rPr>
        <w:t xml:space="preserve"> </w:t>
      </w:r>
      <w:r w:rsidR="00EC6727">
        <w:rPr>
          <w:rFonts w:cs="Arial"/>
          <w:szCs w:val="20"/>
        </w:rPr>
        <w:t>(</w:t>
      </w:r>
      <w:r w:rsidR="004C7DF3">
        <w:rPr>
          <w:rFonts w:cs="Arial"/>
          <w:szCs w:val="20"/>
        </w:rPr>
        <w:t>714 633</w:t>
      </w:r>
      <w:r w:rsidR="00EC6727" w:rsidRPr="0004037F">
        <w:rPr>
          <w:rFonts w:cs="Arial"/>
          <w:szCs w:val="20"/>
        </w:rPr>
        <w:t xml:space="preserve">) </w:t>
      </w:r>
      <w:r w:rsidR="005A73B8">
        <w:rPr>
          <w:rFonts w:cs="Arial"/>
          <w:szCs w:val="20"/>
        </w:rPr>
        <w:t xml:space="preserve">některý </w:t>
      </w:r>
      <w:r w:rsidR="00EC6727">
        <w:rPr>
          <w:rFonts w:cs="Arial"/>
          <w:szCs w:val="20"/>
        </w:rPr>
        <w:t>z druhů</w:t>
      </w:r>
      <w:r w:rsidR="00EC6727" w:rsidRPr="0004037F">
        <w:rPr>
          <w:rFonts w:cs="Arial"/>
          <w:szCs w:val="20"/>
        </w:rPr>
        <w:t xml:space="preserve"> </w:t>
      </w:r>
      <w:r w:rsidR="00EC6727">
        <w:rPr>
          <w:rFonts w:cs="Arial"/>
          <w:szCs w:val="20"/>
        </w:rPr>
        <w:t>přechodného pobytu (občané tzv. třetích zemí na dlouhodobá víza</w:t>
      </w:r>
      <w:r w:rsidR="00FA3880">
        <w:rPr>
          <w:rFonts w:cs="Arial"/>
          <w:szCs w:val="20"/>
        </w:rPr>
        <w:t>, dlouhod</w:t>
      </w:r>
      <w:r w:rsidR="00381BEF">
        <w:rPr>
          <w:rFonts w:cs="Arial"/>
          <w:szCs w:val="20"/>
        </w:rPr>
        <w:t>obý pobyt nebo s uděleným status</w:t>
      </w:r>
      <w:r w:rsidR="00FA3880">
        <w:rPr>
          <w:rFonts w:cs="Arial"/>
          <w:szCs w:val="20"/>
        </w:rPr>
        <w:t>em dočasné ochrany,</w:t>
      </w:r>
      <w:r w:rsidR="00EC6727" w:rsidRPr="0004037F">
        <w:rPr>
          <w:rFonts w:cs="Arial"/>
          <w:szCs w:val="20"/>
        </w:rPr>
        <w:t xml:space="preserve"> občané EU a jejich rodinní příslušníci </w:t>
      </w:r>
      <w:r w:rsidR="00EC6727">
        <w:rPr>
          <w:rFonts w:cs="Arial"/>
          <w:szCs w:val="20"/>
        </w:rPr>
        <w:t xml:space="preserve">na základě registrovaného </w:t>
      </w:r>
      <w:r w:rsidR="00EC6727" w:rsidRPr="0004037F">
        <w:rPr>
          <w:rFonts w:cs="Arial"/>
          <w:szCs w:val="20"/>
        </w:rPr>
        <w:t>pře</w:t>
      </w:r>
      <w:r w:rsidR="004C7DF3">
        <w:rPr>
          <w:rFonts w:cs="Arial"/>
          <w:szCs w:val="20"/>
        </w:rPr>
        <w:t>chodného pobytu). Celkem 348 592</w:t>
      </w:r>
      <w:r w:rsidR="00EC6727">
        <w:rPr>
          <w:rFonts w:cs="Arial"/>
          <w:szCs w:val="20"/>
        </w:rPr>
        <w:t xml:space="preserve"> cizinců mělo na území našeho státu platné povolení k tr</w:t>
      </w:r>
      <w:r w:rsidR="00FA3880">
        <w:rPr>
          <w:rFonts w:cs="Arial"/>
          <w:szCs w:val="20"/>
        </w:rPr>
        <w:t xml:space="preserve">valému pobytu. Zbytek, </w:t>
      </w:r>
      <w:r w:rsidR="004C7DF3">
        <w:rPr>
          <w:rFonts w:cs="Arial"/>
          <w:szCs w:val="20"/>
        </w:rPr>
        <w:t>tj. 2 515</w:t>
      </w:r>
      <w:r w:rsidR="00EC6727" w:rsidRPr="0004037F">
        <w:rPr>
          <w:rFonts w:cs="Arial"/>
          <w:szCs w:val="20"/>
        </w:rPr>
        <w:t xml:space="preserve"> osob, tvořili cizinci</w:t>
      </w:r>
      <w:r w:rsidR="004C7DF3">
        <w:rPr>
          <w:rFonts w:cs="Arial"/>
          <w:szCs w:val="20"/>
        </w:rPr>
        <w:t>, kterým byla na našem území udělena mezinárodní ochrana (tj. azyl či doplňková ochrana)</w:t>
      </w:r>
      <w:r w:rsidR="00EC6727" w:rsidRPr="0004037F">
        <w:rPr>
          <w:rFonts w:cs="Arial"/>
          <w:szCs w:val="20"/>
        </w:rPr>
        <w:t>.</w:t>
      </w:r>
      <w:r w:rsidR="004C7DF3">
        <w:rPr>
          <w:rFonts w:cs="Arial"/>
          <w:szCs w:val="20"/>
        </w:rPr>
        <w:t xml:space="preserve"> Ve srovnání s rokem 2022 došlo k meziročnímu úbytku cizinecké </w:t>
      </w:r>
      <w:bookmarkStart w:id="2" w:name="_GoBack"/>
      <w:bookmarkEnd w:id="2"/>
      <w:r w:rsidR="004C7DF3">
        <w:rPr>
          <w:rFonts w:cs="Arial"/>
          <w:szCs w:val="20"/>
        </w:rPr>
        <w:t xml:space="preserve">populace o 50 414 osob. </w:t>
      </w:r>
      <w:r w:rsidR="00A77CD9">
        <w:rPr>
          <w:rFonts w:cs="Arial"/>
          <w:szCs w:val="20"/>
        </w:rPr>
        <w:t>Zároveň se meziročně sníž</w:t>
      </w:r>
      <w:r w:rsidR="0025476B">
        <w:rPr>
          <w:rFonts w:cs="Arial"/>
          <w:szCs w:val="20"/>
        </w:rPr>
        <w:t xml:space="preserve">il i podíl cizinců </w:t>
      </w:r>
      <w:r w:rsidR="005A73B8">
        <w:rPr>
          <w:rFonts w:cs="Arial"/>
          <w:szCs w:val="20"/>
        </w:rPr>
        <w:t xml:space="preserve">v </w:t>
      </w:r>
      <w:r w:rsidR="0025476B">
        <w:rPr>
          <w:rFonts w:cs="Arial"/>
          <w:szCs w:val="20"/>
        </w:rPr>
        <w:t>populaci Č</w:t>
      </w:r>
      <w:r w:rsidR="00A77CD9">
        <w:rPr>
          <w:rFonts w:cs="Arial"/>
          <w:szCs w:val="20"/>
        </w:rPr>
        <w:t xml:space="preserve">R, </w:t>
      </w:r>
      <w:r w:rsidR="004C7DF3">
        <w:rPr>
          <w:rFonts w:cs="Arial"/>
          <w:szCs w:val="20"/>
        </w:rPr>
        <w:t>a to z 10,3</w:t>
      </w:r>
      <w:r w:rsidR="00C77DB7">
        <w:rPr>
          <w:rFonts w:cs="Arial"/>
          <w:szCs w:val="20"/>
        </w:rPr>
        <w:t> %</w:t>
      </w:r>
      <w:r w:rsidR="004C7DF3">
        <w:rPr>
          <w:rFonts w:cs="Arial"/>
          <w:szCs w:val="20"/>
        </w:rPr>
        <w:t xml:space="preserve"> </w:t>
      </w:r>
      <w:r w:rsidR="00FA3880">
        <w:rPr>
          <w:rFonts w:cs="Arial"/>
          <w:szCs w:val="20"/>
        </w:rPr>
        <w:t>v roce 2022</w:t>
      </w:r>
      <w:r w:rsidR="004C7DF3">
        <w:rPr>
          <w:rFonts w:cs="Arial"/>
          <w:szCs w:val="20"/>
        </w:rPr>
        <w:t xml:space="preserve"> na 9,8</w:t>
      </w:r>
      <w:r w:rsidR="00C77DB7">
        <w:rPr>
          <w:rFonts w:cs="Arial"/>
          <w:szCs w:val="20"/>
        </w:rPr>
        <w:t> %</w:t>
      </w:r>
      <w:r w:rsidR="004C7DF3">
        <w:rPr>
          <w:rFonts w:cs="Arial"/>
          <w:szCs w:val="20"/>
        </w:rPr>
        <w:t xml:space="preserve"> v roce 2023.</w:t>
      </w:r>
      <w:r w:rsidR="006B308C">
        <w:rPr>
          <w:rFonts w:cs="Arial"/>
          <w:szCs w:val="20"/>
        </w:rPr>
        <w:t xml:space="preserve"> </w:t>
      </w:r>
    </w:p>
    <w:p w14:paraId="16772105" w14:textId="1F66AA2C" w:rsidR="0078279D" w:rsidRPr="006A234E" w:rsidRDefault="005B02C1" w:rsidP="006A234E">
      <w:pPr>
        <w:spacing w:line="360" w:lineRule="auto"/>
        <w:jc w:val="both"/>
        <w:rPr>
          <w:rFonts w:cs="Arial"/>
          <w:szCs w:val="20"/>
        </w:rPr>
      </w:pPr>
      <w:r>
        <w:rPr>
          <w:noProof/>
        </w:rPr>
        <w:drawing>
          <wp:inline distT="0" distB="0" distL="0" distR="0" wp14:anchorId="409B0D63" wp14:editId="09976EF0">
            <wp:extent cx="6553200" cy="3305175"/>
            <wp:effectExtent l="0" t="0" r="0" b="9525"/>
            <wp:docPr id="5" name="Graf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14:paraId="733A82A6" w14:textId="78B8D2B6" w:rsidR="00A51A31" w:rsidRPr="00262F9A" w:rsidRDefault="00EC6727" w:rsidP="0048588F">
      <w:pPr>
        <w:spacing w:line="360" w:lineRule="auto"/>
        <w:ind w:firstLine="708"/>
        <w:jc w:val="both"/>
        <w:rPr>
          <w:rFonts w:cs="Arial"/>
          <w:szCs w:val="20"/>
        </w:rPr>
      </w:pPr>
      <w:r w:rsidRPr="0004037F">
        <w:rPr>
          <w:rFonts w:cs="Arial"/>
          <w:szCs w:val="20"/>
        </w:rPr>
        <w:t>Podíváme-li se na časovou řadu podle jednotlivých kategor</w:t>
      </w:r>
      <w:r>
        <w:rPr>
          <w:rFonts w:cs="Arial"/>
          <w:szCs w:val="20"/>
        </w:rPr>
        <w:t>ií pobytu, je patrné, že</w:t>
      </w:r>
      <w:r w:rsidRPr="0004037F">
        <w:rPr>
          <w:rFonts w:cs="Arial"/>
          <w:szCs w:val="20"/>
        </w:rPr>
        <w:t xml:space="preserve"> do roku 2012 převažovali mezi cizinci s udě</w:t>
      </w:r>
      <w:r>
        <w:rPr>
          <w:rFonts w:cs="Arial"/>
          <w:szCs w:val="20"/>
        </w:rPr>
        <w:t>leným povolením k pobytu zahraniční občané</w:t>
      </w:r>
      <w:r w:rsidRPr="0004037F">
        <w:rPr>
          <w:rFonts w:cs="Arial"/>
          <w:szCs w:val="20"/>
        </w:rPr>
        <w:t xml:space="preserve"> s něk</w:t>
      </w:r>
      <w:r>
        <w:rPr>
          <w:rFonts w:cs="Arial"/>
          <w:szCs w:val="20"/>
        </w:rPr>
        <w:t>terým z typů přechodného pobytu.</w:t>
      </w:r>
      <w:r w:rsidRPr="0004037F">
        <w:rPr>
          <w:rFonts w:cs="Arial"/>
          <w:szCs w:val="20"/>
        </w:rPr>
        <w:t xml:space="preserve"> </w:t>
      </w:r>
      <w:r w:rsidR="00613020">
        <w:rPr>
          <w:rFonts w:cs="Arial"/>
          <w:szCs w:val="20"/>
        </w:rPr>
        <w:t xml:space="preserve">Mezi roky 2013 </w:t>
      </w:r>
      <w:r w:rsidR="005A73B8">
        <w:rPr>
          <w:rFonts w:cs="Arial"/>
          <w:szCs w:val="20"/>
        </w:rPr>
        <w:t xml:space="preserve">a </w:t>
      </w:r>
      <w:r w:rsidR="00613020">
        <w:rPr>
          <w:rFonts w:cs="Arial"/>
          <w:szCs w:val="20"/>
        </w:rPr>
        <w:t>2018</w:t>
      </w:r>
      <w:r>
        <w:rPr>
          <w:rFonts w:cs="Arial"/>
          <w:szCs w:val="20"/>
        </w:rPr>
        <w:t xml:space="preserve"> byl tento poměr obrácený a převažovali</w:t>
      </w:r>
      <w:r w:rsidRPr="0004037F">
        <w:rPr>
          <w:rFonts w:cs="Arial"/>
          <w:szCs w:val="20"/>
        </w:rPr>
        <w:t xml:space="preserve"> držit</w:t>
      </w:r>
      <w:r>
        <w:rPr>
          <w:rFonts w:cs="Arial"/>
          <w:szCs w:val="20"/>
        </w:rPr>
        <w:t>elé povolení k trvalému pobytu, přičemž počty cizinců s přechodným pobytem od začátku ekonomické krize v roce 2009 až do konce ro</w:t>
      </w:r>
      <w:r w:rsidR="00490060">
        <w:rPr>
          <w:rFonts w:cs="Arial"/>
          <w:szCs w:val="20"/>
        </w:rPr>
        <w:t>ku 2014 klesaly. Od roku 2015 je</w:t>
      </w:r>
      <w:r>
        <w:rPr>
          <w:rFonts w:cs="Arial"/>
          <w:szCs w:val="20"/>
        </w:rPr>
        <w:t xml:space="preserve"> však u </w:t>
      </w:r>
      <w:r w:rsidR="00490060">
        <w:rPr>
          <w:rFonts w:cs="Arial"/>
          <w:szCs w:val="20"/>
        </w:rPr>
        <w:t>kategorie cizinců</w:t>
      </w:r>
      <w:r w:rsidR="005A73B8">
        <w:rPr>
          <w:rFonts w:cs="Arial"/>
          <w:szCs w:val="20"/>
        </w:rPr>
        <w:t xml:space="preserve"> s přechodným pobytem</w:t>
      </w:r>
      <w:r w:rsidR="00490060">
        <w:rPr>
          <w:rFonts w:cs="Arial"/>
          <w:szCs w:val="20"/>
        </w:rPr>
        <w:t xml:space="preserve"> příznačné</w:t>
      </w:r>
      <w:r>
        <w:rPr>
          <w:rFonts w:cs="Arial"/>
          <w:szCs w:val="20"/>
        </w:rPr>
        <w:t xml:space="preserve"> opětovné oživení a růst, které postupně vedou až k obrácení trendu ve vývoji cizinců </w:t>
      </w:r>
      <w:r w:rsidR="005A73B8">
        <w:rPr>
          <w:rFonts w:cs="Arial"/>
          <w:szCs w:val="20"/>
        </w:rPr>
        <w:t xml:space="preserve">s legálním pobytem </w:t>
      </w:r>
      <w:r>
        <w:rPr>
          <w:rFonts w:cs="Arial"/>
          <w:szCs w:val="20"/>
        </w:rPr>
        <w:t>na našem území v roc</w:t>
      </w:r>
      <w:r w:rsidR="00613020">
        <w:rPr>
          <w:rFonts w:cs="Arial"/>
          <w:szCs w:val="20"/>
        </w:rPr>
        <w:t>e 2019</w:t>
      </w:r>
      <w:r w:rsidR="00155898">
        <w:rPr>
          <w:rFonts w:cs="Arial"/>
          <w:szCs w:val="20"/>
        </w:rPr>
        <w:t>. Za období až do roku 2021</w:t>
      </w:r>
      <w:r>
        <w:rPr>
          <w:rFonts w:cs="Arial"/>
          <w:szCs w:val="20"/>
        </w:rPr>
        <w:t xml:space="preserve"> je patrný vliv střídajících se ekonomických cyklů (klesající počty cizinců s přechodným pobytem v období ekonomické recese a naopak jejich rostoucí stavy v době ekonomické konjunktury). </w:t>
      </w:r>
      <w:r w:rsidR="00A77CD9">
        <w:rPr>
          <w:rFonts w:cs="Arial"/>
          <w:szCs w:val="20"/>
        </w:rPr>
        <w:t>V roce 2022 došlo</w:t>
      </w:r>
      <w:r w:rsidR="00E927C3">
        <w:rPr>
          <w:rFonts w:cs="Arial"/>
          <w:szCs w:val="20"/>
        </w:rPr>
        <w:t xml:space="preserve"> k bezprecedentnímu nárůstu</w:t>
      </w:r>
      <w:r w:rsidR="000D61B3">
        <w:rPr>
          <w:rFonts w:cs="Arial"/>
          <w:szCs w:val="20"/>
        </w:rPr>
        <w:t xml:space="preserve"> (</w:t>
      </w:r>
      <w:r w:rsidR="00176405">
        <w:rPr>
          <w:rFonts w:cs="Arial"/>
          <w:szCs w:val="20"/>
        </w:rPr>
        <w:t>zvýšení o 443 067 osob neboli</w:t>
      </w:r>
      <w:r w:rsidR="003855F0">
        <w:rPr>
          <w:rFonts w:cs="Arial"/>
          <w:szCs w:val="20"/>
        </w:rPr>
        <w:t xml:space="preserve"> o 132</w:t>
      </w:r>
      <w:r w:rsidR="00C77DB7">
        <w:rPr>
          <w:rFonts w:cs="Arial"/>
          <w:szCs w:val="20"/>
        </w:rPr>
        <w:t> %</w:t>
      </w:r>
      <w:r w:rsidR="003855F0">
        <w:rPr>
          <w:rFonts w:cs="Arial"/>
          <w:szCs w:val="20"/>
        </w:rPr>
        <w:t>)</w:t>
      </w:r>
      <w:r w:rsidR="00E927C3">
        <w:rPr>
          <w:rFonts w:cs="Arial"/>
          <w:szCs w:val="20"/>
        </w:rPr>
        <w:t xml:space="preserve"> v kategorii </w:t>
      </w:r>
      <w:r w:rsidR="003855F0">
        <w:rPr>
          <w:rFonts w:cs="Arial"/>
          <w:szCs w:val="20"/>
        </w:rPr>
        <w:t>cizinců</w:t>
      </w:r>
      <w:r w:rsidR="00E927C3">
        <w:rPr>
          <w:rFonts w:cs="Arial"/>
          <w:szCs w:val="20"/>
        </w:rPr>
        <w:t xml:space="preserve"> s přechodným pobytem, způsobeným přílive</w:t>
      </w:r>
      <w:r w:rsidR="00834D9A">
        <w:rPr>
          <w:rFonts w:cs="Arial"/>
          <w:szCs w:val="20"/>
        </w:rPr>
        <w:t>m občanů Ukrajiny přicházejících</w:t>
      </w:r>
      <w:r w:rsidR="000D61B3">
        <w:rPr>
          <w:rFonts w:cs="Arial"/>
          <w:szCs w:val="20"/>
        </w:rPr>
        <w:t xml:space="preserve"> do ČR</w:t>
      </w:r>
      <w:r w:rsidR="00E927C3">
        <w:rPr>
          <w:rFonts w:cs="Arial"/>
          <w:szCs w:val="20"/>
        </w:rPr>
        <w:t xml:space="preserve"> v</w:t>
      </w:r>
      <w:r w:rsidR="000D61B3">
        <w:rPr>
          <w:rFonts w:cs="Arial"/>
          <w:szCs w:val="20"/>
        </w:rPr>
        <w:t> </w:t>
      </w:r>
      <w:r w:rsidR="00E927C3">
        <w:rPr>
          <w:rFonts w:cs="Arial"/>
          <w:szCs w:val="20"/>
        </w:rPr>
        <w:t>důsledku</w:t>
      </w:r>
      <w:r w:rsidR="000D61B3">
        <w:rPr>
          <w:rFonts w:cs="Arial"/>
          <w:szCs w:val="20"/>
        </w:rPr>
        <w:t xml:space="preserve"> vypuknutí</w:t>
      </w:r>
      <w:r w:rsidR="00E927C3">
        <w:rPr>
          <w:rFonts w:cs="Arial"/>
          <w:szCs w:val="20"/>
        </w:rPr>
        <w:t xml:space="preserve"> </w:t>
      </w:r>
      <w:r w:rsidR="000D61B3">
        <w:rPr>
          <w:rFonts w:cs="Arial"/>
          <w:szCs w:val="20"/>
        </w:rPr>
        <w:t>válečného konfliktu s</w:t>
      </w:r>
      <w:r w:rsidR="00480325">
        <w:rPr>
          <w:rFonts w:cs="Arial"/>
          <w:szCs w:val="20"/>
        </w:rPr>
        <w:t> Ruskem. Tito cizinci hledali</w:t>
      </w:r>
      <w:r w:rsidR="00A23A63">
        <w:rPr>
          <w:rFonts w:cs="Arial"/>
          <w:szCs w:val="20"/>
        </w:rPr>
        <w:t xml:space="preserve"> v České republice</w:t>
      </w:r>
      <w:r w:rsidR="003855F0">
        <w:rPr>
          <w:rFonts w:cs="Arial"/>
          <w:szCs w:val="20"/>
        </w:rPr>
        <w:t xml:space="preserve"> dočasné útočiště, resp. dočasnou ochranu</w:t>
      </w:r>
      <w:r w:rsidR="000D61B3">
        <w:rPr>
          <w:rFonts w:cs="Arial"/>
          <w:szCs w:val="20"/>
        </w:rPr>
        <w:t>.</w:t>
      </w:r>
      <w:r w:rsidR="00A77CD9">
        <w:rPr>
          <w:rFonts w:cs="Arial"/>
          <w:szCs w:val="20"/>
        </w:rPr>
        <w:t xml:space="preserve"> </w:t>
      </w:r>
      <w:r w:rsidR="00480325">
        <w:rPr>
          <w:rFonts w:cs="Arial"/>
          <w:szCs w:val="20"/>
        </w:rPr>
        <w:t>Také</w:t>
      </w:r>
      <w:r w:rsidR="00A77CD9">
        <w:rPr>
          <w:rFonts w:cs="Arial"/>
          <w:szCs w:val="20"/>
        </w:rPr>
        <w:t xml:space="preserve"> v roce 2023 příliv ukrajinských válečných</w:t>
      </w:r>
      <w:r w:rsidR="00480325">
        <w:rPr>
          <w:rFonts w:cs="Arial"/>
          <w:szCs w:val="20"/>
        </w:rPr>
        <w:t xml:space="preserve"> uprchlíků pokračoval, i když</w:t>
      </w:r>
      <w:r w:rsidR="00A77CD9">
        <w:rPr>
          <w:rFonts w:cs="Arial"/>
          <w:szCs w:val="20"/>
        </w:rPr>
        <w:t xml:space="preserve"> </w:t>
      </w:r>
      <w:r w:rsidR="00CF31F4">
        <w:rPr>
          <w:rFonts w:cs="Arial"/>
          <w:szCs w:val="20"/>
        </w:rPr>
        <w:t xml:space="preserve">již mírněji, a </w:t>
      </w:r>
      <w:r w:rsidR="00A77CD9">
        <w:rPr>
          <w:rFonts w:cs="Arial"/>
          <w:szCs w:val="20"/>
        </w:rPr>
        <w:t>někteří z </w:t>
      </w:r>
      <w:r w:rsidR="00480325">
        <w:rPr>
          <w:rFonts w:cs="Arial"/>
          <w:szCs w:val="20"/>
        </w:rPr>
        <w:t>ukrajinských</w:t>
      </w:r>
      <w:r w:rsidR="00A77CD9">
        <w:rPr>
          <w:rFonts w:cs="Arial"/>
          <w:szCs w:val="20"/>
        </w:rPr>
        <w:t xml:space="preserve"> </w:t>
      </w:r>
      <w:r w:rsidR="00480325">
        <w:rPr>
          <w:rFonts w:cs="Arial"/>
          <w:szCs w:val="20"/>
        </w:rPr>
        <w:t xml:space="preserve">imigrantů v průběhu roku naše území </w:t>
      </w:r>
      <w:r w:rsidR="00CF31F4">
        <w:rPr>
          <w:rFonts w:cs="Arial"/>
          <w:szCs w:val="20"/>
        </w:rPr>
        <w:t xml:space="preserve">již </w:t>
      </w:r>
      <w:r w:rsidR="00480325">
        <w:rPr>
          <w:rFonts w:cs="Arial"/>
          <w:szCs w:val="20"/>
        </w:rPr>
        <w:t>opouštěli</w:t>
      </w:r>
      <w:r w:rsidR="003703A7">
        <w:rPr>
          <w:rFonts w:cs="Arial"/>
          <w:szCs w:val="20"/>
        </w:rPr>
        <w:t>. P</w:t>
      </w:r>
      <w:r w:rsidR="00A77CD9">
        <w:rPr>
          <w:rFonts w:cs="Arial"/>
          <w:szCs w:val="20"/>
        </w:rPr>
        <w:t>odíl cizinců s přechodným pobyte</w:t>
      </w:r>
      <w:r w:rsidR="003703A7">
        <w:rPr>
          <w:rFonts w:cs="Arial"/>
          <w:szCs w:val="20"/>
        </w:rPr>
        <w:t>m tak koncem roku 2023</w:t>
      </w:r>
      <w:r w:rsidR="00A77CD9">
        <w:rPr>
          <w:rFonts w:cs="Arial"/>
          <w:szCs w:val="20"/>
        </w:rPr>
        <w:t xml:space="preserve"> dosahoval více n</w:t>
      </w:r>
      <w:r w:rsidR="003703A7">
        <w:rPr>
          <w:rFonts w:cs="Arial"/>
          <w:szCs w:val="20"/>
        </w:rPr>
        <w:t>e</w:t>
      </w:r>
      <w:r w:rsidR="00A77CD9">
        <w:rPr>
          <w:rFonts w:cs="Arial"/>
          <w:szCs w:val="20"/>
        </w:rPr>
        <w:t>ž dvou třetin z celkového počtu cizinců</w:t>
      </w:r>
      <w:r w:rsidR="00B80116">
        <w:rPr>
          <w:rFonts w:cs="Arial"/>
          <w:szCs w:val="20"/>
        </w:rPr>
        <w:t xml:space="preserve"> (1 065 740)</w:t>
      </w:r>
      <w:r w:rsidR="00A77CD9">
        <w:rPr>
          <w:rFonts w:cs="Arial"/>
          <w:szCs w:val="20"/>
        </w:rPr>
        <w:t xml:space="preserve"> u nás. </w:t>
      </w:r>
      <w:r w:rsidR="003855F0">
        <w:rPr>
          <w:rFonts w:cs="Arial"/>
          <w:szCs w:val="20"/>
        </w:rPr>
        <w:t>Oproti tomu p</w:t>
      </w:r>
      <w:r w:rsidRPr="0004037F">
        <w:rPr>
          <w:rFonts w:cs="Arial"/>
          <w:szCs w:val="20"/>
        </w:rPr>
        <w:t>očet cizinců, kteří v</w:t>
      </w:r>
      <w:r w:rsidR="00245F90">
        <w:rPr>
          <w:rFonts w:cs="Arial"/>
          <w:szCs w:val="20"/>
        </w:rPr>
        <w:t> </w:t>
      </w:r>
      <w:r w:rsidRPr="0004037F">
        <w:rPr>
          <w:rFonts w:cs="Arial"/>
          <w:szCs w:val="20"/>
        </w:rPr>
        <w:t>ČR</w:t>
      </w:r>
      <w:r w:rsidR="00245F90">
        <w:rPr>
          <w:rFonts w:cs="Arial"/>
          <w:szCs w:val="20"/>
        </w:rPr>
        <w:t xml:space="preserve"> </w:t>
      </w:r>
      <w:r w:rsidRPr="0004037F">
        <w:rPr>
          <w:rFonts w:cs="Arial"/>
          <w:szCs w:val="20"/>
        </w:rPr>
        <w:t>získali</w:t>
      </w:r>
      <w:r w:rsidR="003855F0">
        <w:rPr>
          <w:rFonts w:cs="Arial"/>
          <w:szCs w:val="20"/>
        </w:rPr>
        <w:t xml:space="preserve"> jiný statu</w:t>
      </w:r>
      <w:r w:rsidR="00CF31F4">
        <w:rPr>
          <w:rFonts w:cs="Arial"/>
          <w:szCs w:val="20"/>
        </w:rPr>
        <w:t>s</w:t>
      </w:r>
      <w:r w:rsidR="003855F0">
        <w:rPr>
          <w:rFonts w:cs="Arial"/>
          <w:szCs w:val="20"/>
        </w:rPr>
        <w:t xml:space="preserve"> mezinárodní ochrany, tzn.</w:t>
      </w:r>
      <w:r w:rsidRPr="0004037F">
        <w:rPr>
          <w:rFonts w:cs="Arial"/>
          <w:szCs w:val="20"/>
        </w:rPr>
        <w:t xml:space="preserve"> azyl nebo do</w:t>
      </w:r>
      <w:r w:rsidR="00C3578F">
        <w:rPr>
          <w:rFonts w:cs="Arial"/>
          <w:szCs w:val="20"/>
        </w:rPr>
        <w:t>plňkovou</w:t>
      </w:r>
      <w:r w:rsidRPr="0004037F">
        <w:rPr>
          <w:rFonts w:cs="Arial"/>
          <w:szCs w:val="20"/>
        </w:rPr>
        <w:t xml:space="preserve"> </w:t>
      </w:r>
      <w:r w:rsidRPr="0004037F">
        <w:rPr>
          <w:rFonts w:cs="Arial"/>
          <w:szCs w:val="20"/>
        </w:rPr>
        <w:lastRenderedPageBreak/>
        <w:t>ochranu</w:t>
      </w:r>
      <w:r w:rsidR="00834D9A">
        <w:rPr>
          <w:rFonts w:cs="Arial"/>
          <w:szCs w:val="20"/>
        </w:rPr>
        <w:t>, se</w:t>
      </w:r>
      <w:r w:rsidRPr="0004037F">
        <w:rPr>
          <w:rFonts w:cs="Arial"/>
          <w:szCs w:val="20"/>
        </w:rPr>
        <w:t xml:space="preserve"> vzhledem k nízkým počtům kladně vyřízených žádostí</w:t>
      </w:r>
      <w:r w:rsidR="00B80116">
        <w:rPr>
          <w:rFonts w:cs="Arial"/>
          <w:szCs w:val="20"/>
        </w:rPr>
        <w:t xml:space="preserve"> udržoval</w:t>
      </w:r>
      <w:r>
        <w:rPr>
          <w:rFonts w:cs="Arial"/>
          <w:szCs w:val="20"/>
        </w:rPr>
        <w:t xml:space="preserve"> v poslední době na zhruba stejné </w:t>
      </w:r>
      <w:r w:rsidR="00CF31F4">
        <w:rPr>
          <w:rFonts w:cs="Arial"/>
          <w:szCs w:val="20"/>
        </w:rPr>
        <w:t>(</w:t>
      </w:r>
      <w:r>
        <w:rPr>
          <w:rFonts w:cs="Arial"/>
          <w:szCs w:val="20"/>
        </w:rPr>
        <w:t>nízké</w:t>
      </w:r>
      <w:r w:rsidR="00CF31F4">
        <w:rPr>
          <w:rFonts w:cs="Arial"/>
          <w:szCs w:val="20"/>
        </w:rPr>
        <w:t>)</w:t>
      </w:r>
      <w:r>
        <w:rPr>
          <w:rFonts w:cs="Arial"/>
          <w:szCs w:val="20"/>
        </w:rPr>
        <w:t xml:space="preserve"> úrovni</w:t>
      </w:r>
      <w:r w:rsidR="00245F90">
        <w:rPr>
          <w:rFonts w:cs="Arial"/>
          <w:szCs w:val="20"/>
        </w:rPr>
        <w:t>,</w:t>
      </w:r>
      <w:r w:rsidR="003855F0">
        <w:rPr>
          <w:rFonts w:cs="Arial"/>
          <w:szCs w:val="20"/>
        </w:rPr>
        <w:t xml:space="preserve"> oscilující kolem 2 tisíc osob</w:t>
      </w:r>
      <w:r w:rsidR="002774FC">
        <w:rPr>
          <w:rFonts w:cs="Arial"/>
          <w:szCs w:val="20"/>
        </w:rPr>
        <w:t xml:space="preserve"> ročně</w:t>
      </w:r>
      <w:r w:rsidR="003855F0">
        <w:rPr>
          <w:rFonts w:cs="Arial"/>
          <w:szCs w:val="20"/>
        </w:rPr>
        <w:t xml:space="preserve"> (</w:t>
      </w:r>
      <w:r>
        <w:rPr>
          <w:rFonts w:cs="Arial"/>
          <w:szCs w:val="20"/>
        </w:rPr>
        <w:t>2</w:t>
      </w:r>
      <w:r w:rsidR="00A77CD9">
        <w:rPr>
          <w:rFonts w:cs="Arial"/>
          <w:szCs w:val="20"/>
        </w:rPr>
        <w:t>,5</w:t>
      </w:r>
      <w:r>
        <w:rPr>
          <w:rFonts w:cs="Arial"/>
          <w:szCs w:val="20"/>
        </w:rPr>
        <w:t xml:space="preserve"> tis. osob</w:t>
      </w:r>
      <w:r w:rsidR="00A77CD9">
        <w:rPr>
          <w:rFonts w:cs="Arial"/>
          <w:szCs w:val="20"/>
        </w:rPr>
        <w:t xml:space="preserve"> v roce 2023</w:t>
      </w:r>
      <w:r>
        <w:rPr>
          <w:rFonts w:cs="Arial"/>
          <w:szCs w:val="20"/>
        </w:rPr>
        <w:t>).</w:t>
      </w:r>
    </w:p>
    <w:p w14:paraId="26B2FF3C" w14:textId="5C0EBCD2" w:rsidR="00A51A31" w:rsidRDefault="00BA2F2C" w:rsidP="0078279D">
      <w:pPr>
        <w:pStyle w:val="Nadpis3"/>
        <w:jc w:val="center"/>
      </w:pPr>
      <w:r>
        <w:rPr>
          <w:noProof/>
        </w:rPr>
        <w:drawing>
          <wp:inline distT="0" distB="0" distL="0" distR="0" wp14:anchorId="3C6EA313" wp14:editId="39430524">
            <wp:extent cx="6019801" cy="3886200"/>
            <wp:effectExtent l="0" t="0" r="0" b="0"/>
            <wp:docPr id="22" name="Graf 2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14:paraId="3BF66E0C" w14:textId="77777777" w:rsidR="00A51A31" w:rsidRDefault="00A51A31" w:rsidP="006E7B48">
      <w:pPr>
        <w:pStyle w:val="Nadpis3"/>
        <w:spacing w:after="0"/>
      </w:pPr>
    </w:p>
    <w:p w14:paraId="77E8A69C" w14:textId="51F7495E" w:rsidR="00EC6727" w:rsidRDefault="00EC6727" w:rsidP="00CF31F4">
      <w:pPr>
        <w:spacing w:line="360" w:lineRule="auto"/>
        <w:ind w:firstLine="709"/>
        <w:jc w:val="both"/>
        <w:rPr>
          <w:rFonts w:cs="Arial"/>
          <w:szCs w:val="20"/>
        </w:rPr>
      </w:pPr>
      <w:r w:rsidRPr="0004037F">
        <w:rPr>
          <w:rFonts w:cs="Arial"/>
          <w:szCs w:val="20"/>
        </w:rPr>
        <w:t>Zastoupení žen mezi cizinci s povoleným pobytem</w:t>
      </w:r>
      <w:r w:rsidR="00245F90">
        <w:rPr>
          <w:rFonts w:cs="Arial"/>
          <w:szCs w:val="20"/>
        </w:rPr>
        <w:t xml:space="preserve"> v roce 2022</w:t>
      </w:r>
      <w:r w:rsidR="00853A71">
        <w:rPr>
          <w:rFonts w:cs="Arial"/>
          <w:szCs w:val="20"/>
        </w:rPr>
        <w:t xml:space="preserve"> se</w:t>
      </w:r>
      <w:r w:rsidR="00245F90">
        <w:rPr>
          <w:rFonts w:cs="Arial"/>
          <w:szCs w:val="20"/>
        </w:rPr>
        <w:t xml:space="preserve"> v důsledku přílivu převážně matek s d</w:t>
      </w:r>
      <w:r w:rsidR="00853A71">
        <w:rPr>
          <w:rFonts w:cs="Arial"/>
          <w:szCs w:val="20"/>
        </w:rPr>
        <w:t>ětmi z válkou napadené Ukrajiny</w:t>
      </w:r>
      <w:r w:rsidR="00245F90">
        <w:rPr>
          <w:rFonts w:cs="Arial"/>
          <w:szCs w:val="20"/>
        </w:rPr>
        <w:t xml:space="preserve"> oproti předchozím letům výrazně zvýšilo a dosáhlo </w:t>
      </w:r>
      <w:r w:rsidR="001676D2">
        <w:rPr>
          <w:rFonts w:cs="Arial"/>
          <w:szCs w:val="20"/>
        </w:rPr>
        <w:t xml:space="preserve">poprvé za </w:t>
      </w:r>
      <w:r w:rsidR="00354F00">
        <w:rPr>
          <w:rFonts w:cs="Arial"/>
          <w:szCs w:val="20"/>
        </w:rPr>
        <w:t xml:space="preserve">celou </w:t>
      </w:r>
      <w:r w:rsidR="001676D2">
        <w:rPr>
          <w:rFonts w:cs="Arial"/>
          <w:szCs w:val="20"/>
        </w:rPr>
        <w:t xml:space="preserve">dobu sledování migračních statistik u nás </w:t>
      </w:r>
      <w:r w:rsidR="00480325">
        <w:rPr>
          <w:rFonts w:cs="Arial"/>
          <w:szCs w:val="20"/>
        </w:rPr>
        <w:t>nadpoloviční většiny (51,1</w:t>
      </w:r>
      <w:r w:rsidR="00C77DB7">
        <w:rPr>
          <w:rFonts w:cs="Arial"/>
          <w:szCs w:val="20"/>
        </w:rPr>
        <w:t> %</w:t>
      </w:r>
      <w:r w:rsidR="00480325">
        <w:rPr>
          <w:rFonts w:cs="Arial"/>
          <w:szCs w:val="20"/>
        </w:rPr>
        <w:t>).</w:t>
      </w:r>
      <w:r w:rsidR="00314954">
        <w:rPr>
          <w:rFonts w:cs="Arial"/>
          <w:szCs w:val="20"/>
        </w:rPr>
        <w:t xml:space="preserve"> </w:t>
      </w:r>
      <w:r w:rsidR="00480325">
        <w:rPr>
          <w:rFonts w:cs="Arial"/>
          <w:szCs w:val="20"/>
        </w:rPr>
        <w:t xml:space="preserve">V roce 2023 </w:t>
      </w:r>
      <w:r w:rsidR="00CF31F4">
        <w:rPr>
          <w:rFonts w:cs="Arial"/>
          <w:szCs w:val="20"/>
        </w:rPr>
        <w:t xml:space="preserve">se </w:t>
      </w:r>
      <w:r w:rsidR="00480325">
        <w:rPr>
          <w:rFonts w:cs="Arial"/>
          <w:szCs w:val="20"/>
        </w:rPr>
        <w:t xml:space="preserve">však </w:t>
      </w:r>
      <w:r w:rsidR="00CF31F4">
        <w:rPr>
          <w:rFonts w:cs="Arial"/>
          <w:szCs w:val="20"/>
        </w:rPr>
        <w:t>poměr pohlaví vrátil zpátky ve prospěch mužů, ale zastoupení žen zůstalo ve srovnání s roky před vypuknutím války na Ukrajině vyšší</w:t>
      </w:r>
      <w:r w:rsidR="006E7B48">
        <w:rPr>
          <w:rFonts w:cs="Arial"/>
          <w:szCs w:val="20"/>
        </w:rPr>
        <w:t xml:space="preserve"> </w:t>
      </w:r>
      <w:r w:rsidR="00CF31F4">
        <w:rPr>
          <w:rFonts w:cs="Arial"/>
          <w:szCs w:val="20"/>
        </w:rPr>
        <w:t>(ženy tvořily</w:t>
      </w:r>
      <w:r w:rsidR="003C0915">
        <w:rPr>
          <w:rFonts w:cs="Arial"/>
          <w:szCs w:val="20"/>
        </w:rPr>
        <w:t xml:space="preserve"> </w:t>
      </w:r>
      <w:r w:rsidR="00B80116">
        <w:rPr>
          <w:rFonts w:cs="Arial"/>
          <w:szCs w:val="20"/>
        </w:rPr>
        <w:t>49,3</w:t>
      </w:r>
      <w:r w:rsidR="00C77DB7">
        <w:rPr>
          <w:rFonts w:cs="Arial"/>
          <w:szCs w:val="20"/>
        </w:rPr>
        <w:t> %</w:t>
      </w:r>
      <w:r w:rsidR="00CF31F4">
        <w:rPr>
          <w:rFonts w:cs="Arial"/>
          <w:szCs w:val="20"/>
        </w:rPr>
        <w:t xml:space="preserve"> populace cizinců</w:t>
      </w:r>
      <w:r w:rsidR="00266083">
        <w:rPr>
          <w:rFonts w:cs="Arial"/>
          <w:szCs w:val="20"/>
        </w:rPr>
        <w:t xml:space="preserve"> v roce 2023, 43,5</w:t>
      </w:r>
      <w:r w:rsidR="00C77DB7">
        <w:rPr>
          <w:rFonts w:cs="Arial"/>
          <w:szCs w:val="20"/>
        </w:rPr>
        <w:t> %</w:t>
      </w:r>
      <w:r w:rsidR="00CF31F4">
        <w:rPr>
          <w:rFonts w:cs="Arial"/>
          <w:szCs w:val="20"/>
        </w:rPr>
        <w:t xml:space="preserve"> v</w:t>
      </w:r>
      <w:r w:rsidR="00266083">
        <w:rPr>
          <w:rFonts w:cs="Arial"/>
          <w:szCs w:val="20"/>
        </w:rPr>
        <w:t> roce 2021</w:t>
      </w:r>
      <w:r w:rsidR="00B80116">
        <w:rPr>
          <w:rFonts w:cs="Arial"/>
          <w:szCs w:val="20"/>
        </w:rPr>
        <w:t>)</w:t>
      </w:r>
      <w:r w:rsidR="00CF31F4">
        <w:rPr>
          <w:rFonts w:cs="Arial"/>
          <w:szCs w:val="20"/>
        </w:rPr>
        <w:t>.</w:t>
      </w:r>
      <w:r w:rsidR="00B80116">
        <w:rPr>
          <w:rFonts w:cs="Arial"/>
          <w:szCs w:val="20"/>
        </w:rPr>
        <w:t xml:space="preserve">, </w:t>
      </w:r>
    </w:p>
    <w:p w14:paraId="334CB039" w14:textId="7591BAEE" w:rsidR="005319FE" w:rsidRDefault="005319FE" w:rsidP="00CF31F4">
      <w:pPr>
        <w:pStyle w:val="Zkladntext3"/>
        <w:spacing w:after="120" w:line="360" w:lineRule="auto"/>
        <w:ind w:firstLine="709"/>
        <w:jc w:val="both"/>
        <w:rPr>
          <w:rFonts w:ascii="Arial" w:hAnsi="Arial" w:cs="Arial"/>
          <w:sz w:val="20"/>
        </w:rPr>
      </w:pPr>
      <w:r w:rsidRPr="005319FE">
        <w:rPr>
          <w:rFonts w:ascii="Arial" w:hAnsi="Arial" w:cs="Arial"/>
          <w:sz w:val="20"/>
        </w:rPr>
        <w:t>Věková struktura cizinců vykazuje oproti věkové struktuře majoritní populace určité odlišnosti, které lze vysvětlit dosud převažujícími ekonomickými motivy migrace cizinců do ČR, ke kterým se od roku 2022 přiřadily i důvody humanitární. Silně jsou tradičně zastoupeny zejména kategorie středního produktivního věku, tj. 30-44 let. V tomto věkovém rozmezí se v roce 2023 nacházela zhruba třetina (33,2</w:t>
      </w:r>
      <w:r w:rsidR="00C77DB7">
        <w:rPr>
          <w:rFonts w:ascii="Arial" w:hAnsi="Arial" w:cs="Arial"/>
          <w:sz w:val="20"/>
        </w:rPr>
        <w:t> %</w:t>
      </w:r>
      <w:r w:rsidRPr="005319FE">
        <w:rPr>
          <w:rFonts w:ascii="Arial" w:hAnsi="Arial" w:cs="Arial"/>
          <w:sz w:val="20"/>
        </w:rPr>
        <w:t>) všech cizinců (oproti roku 2022, kdy bylo registrováno 32,5</w:t>
      </w:r>
      <w:r w:rsidR="00C77DB7">
        <w:rPr>
          <w:rFonts w:ascii="Arial" w:hAnsi="Arial" w:cs="Arial"/>
          <w:sz w:val="20"/>
        </w:rPr>
        <w:t> %</w:t>
      </w:r>
      <w:r w:rsidRPr="005319FE">
        <w:rPr>
          <w:rFonts w:ascii="Arial" w:hAnsi="Arial" w:cs="Arial"/>
          <w:sz w:val="20"/>
        </w:rPr>
        <w:t>, tato hodnota mírně vzrostla). Celkový podíl kategorie 15-64 let se pak meziročně zvýšil</w:t>
      </w:r>
      <w:r>
        <w:rPr>
          <w:rFonts w:ascii="Arial" w:hAnsi="Arial" w:cs="Arial"/>
          <w:sz w:val="20"/>
        </w:rPr>
        <w:t xml:space="preserve"> </w:t>
      </w:r>
      <w:r w:rsidRPr="005319FE">
        <w:rPr>
          <w:rFonts w:ascii="Arial" w:hAnsi="Arial" w:cs="Arial"/>
          <w:sz w:val="20"/>
        </w:rPr>
        <w:t>o 2,1 p. b., na 80,6</w:t>
      </w:r>
      <w:r w:rsidR="00C77DB7">
        <w:rPr>
          <w:rFonts w:ascii="Arial" w:hAnsi="Arial" w:cs="Arial"/>
          <w:sz w:val="20"/>
        </w:rPr>
        <w:t> %</w:t>
      </w:r>
      <w:r w:rsidRPr="005319FE">
        <w:rPr>
          <w:rFonts w:ascii="Arial" w:hAnsi="Arial" w:cs="Arial"/>
          <w:sz w:val="20"/>
        </w:rPr>
        <w:t>. Oproti tomu se meziročně snížilo zastoupení dětské složky, 0-14 let, a to z 16,5</w:t>
      </w:r>
      <w:r w:rsidR="00C77DB7">
        <w:rPr>
          <w:rFonts w:ascii="Arial" w:hAnsi="Arial" w:cs="Arial"/>
          <w:sz w:val="20"/>
        </w:rPr>
        <w:t> %</w:t>
      </w:r>
      <w:r w:rsidRPr="005319FE">
        <w:rPr>
          <w:rFonts w:ascii="Arial" w:hAnsi="Arial" w:cs="Arial"/>
          <w:sz w:val="20"/>
        </w:rPr>
        <w:t xml:space="preserve"> v roce 2022 na 14,0</w:t>
      </w:r>
      <w:r w:rsidR="00C77DB7">
        <w:rPr>
          <w:rFonts w:ascii="Arial" w:hAnsi="Arial" w:cs="Arial"/>
          <w:sz w:val="20"/>
        </w:rPr>
        <w:t> %</w:t>
      </w:r>
      <w:r w:rsidRPr="005319FE">
        <w:rPr>
          <w:rFonts w:ascii="Arial" w:hAnsi="Arial" w:cs="Arial"/>
          <w:sz w:val="20"/>
        </w:rPr>
        <w:t xml:space="preserve"> v roce 2023. Velmi nízký podíl v porovnání se strukturou populace ČR pak připadá na osoby v </w:t>
      </w:r>
      <w:r w:rsidR="00CF31F4">
        <w:rPr>
          <w:rFonts w:ascii="Arial" w:hAnsi="Arial" w:cs="Arial"/>
          <w:sz w:val="20"/>
        </w:rPr>
        <w:t>seniorském</w:t>
      </w:r>
      <w:r w:rsidR="00CF31F4" w:rsidRPr="005319FE">
        <w:rPr>
          <w:rFonts w:ascii="Arial" w:hAnsi="Arial" w:cs="Arial"/>
          <w:sz w:val="20"/>
        </w:rPr>
        <w:t xml:space="preserve"> </w:t>
      </w:r>
      <w:r w:rsidRPr="005319FE">
        <w:rPr>
          <w:rFonts w:ascii="Arial" w:hAnsi="Arial" w:cs="Arial"/>
          <w:sz w:val="20"/>
        </w:rPr>
        <w:t>věku. V kategorii nad 65 let se v roce 2023 nacházelo pouhých 5,4</w:t>
      </w:r>
      <w:r w:rsidR="00C77DB7">
        <w:rPr>
          <w:rFonts w:ascii="Arial" w:hAnsi="Arial" w:cs="Arial"/>
          <w:sz w:val="20"/>
        </w:rPr>
        <w:t> %</w:t>
      </w:r>
      <w:r w:rsidRPr="005319FE">
        <w:rPr>
          <w:rFonts w:ascii="Arial" w:hAnsi="Arial" w:cs="Arial"/>
          <w:sz w:val="20"/>
        </w:rPr>
        <w:t xml:space="preserve"> cizinecké populace, o 0,4 p. b. více než v roce 2022.</w:t>
      </w:r>
    </w:p>
    <w:p w14:paraId="201156CC" w14:textId="548EF0D4" w:rsidR="00354F00" w:rsidRPr="00243DC9" w:rsidRDefault="00243DC9" w:rsidP="00243DC9">
      <w:pPr>
        <w:pStyle w:val="Zkladntext3"/>
        <w:spacing w:before="60" w:after="60" w:line="360" w:lineRule="auto"/>
        <w:ind w:firstLine="708"/>
        <w:jc w:val="both"/>
        <w:rPr>
          <w:rFonts w:ascii="Arial" w:hAnsi="Arial" w:cs="Arial"/>
          <w:sz w:val="20"/>
        </w:rPr>
      </w:pPr>
      <w:r w:rsidRPr="00243DC9">
        <w:rPr>
          <w:rFonts w:ascii="Arial" w:hAnsi="Arial" w:cs="Arial"/>
          <w:sz w:val="20"/>
        </w:rPr>
        <w:t>Zajímavé informace přinášejí data Ředitelství služby cizinecké policie, které eviduje cizince z třetích zemí, jimž byl povolen přechodný pobyt na našem území,</w:t>
      </w:r>
      <w:r w:rsidR="00176405">
        <w:rPr>
          <w:rFonts w:ascii="Arial" w:hAnsi="Arial" w:cs="Arial"/>
          <w:sz w:val="20"/>
        </w:rPr>
        <w:t xml:space="preserve"> a to</w:t>
      </w:r>
      <w:r w:rsidRPr="00243DC9">
        <w:rPr>
          <w:rFonts w:ascii="Arial" w:hAnsi="Arial" w:cs="Arial"/>
          <w:sz w:val="20"/>
        </w:rPr>
        <w:t xml:space="preserve"> podle daného účelu pobytu. Z těchto údajů je zřejmé, ž</w:t>
      </w:r>
      <w:r w:rsidR="00314954">
        <w:rPr>
          <w:rFonts w:ascii="Arial" w:hAnsi="Arial" w:cs="Arial"/>
          <w:sz w:val="20"/>
        </w:rPr>
        <w:t>e dříve</w:t>
      </w:r>
      <w:r w:rsidRPr="00243DC9">
        <w:rPr>
          <w:rFonts w:ascii="Arial" w:hAnsi="Arial" w:cs="Arial"/>
          <w:sz w:val="20"/>
        </w:rPr>
        <w:t xml:space="preserve"> jednoznačně dominující účel pobytu cizin</w:t>
      </w:r>
      <w:r w:rsidR="00853A71">
        <w:rPr>
          <w:rFonts w:ascii="Arial" w:hAnsi="Arial" w:cs="Arial"/>
          <w:sz w:val="20"/>
        </w:rPr>
        <w:t xml:space="preserve">ců ze zemí mimo Evropskou unii </w:t>
      </w:r>
      <w:r w:rsidR="00CD73A0">
        <w:rPr>
          <w:rFonts w:ascii="Arial" w:hAnsi="Arial" w:cs="Arial"/>
          <w:sz w:val="20"/>
        </w:rPr>
        <w:t>–</w:t>
      </w:r>
      <w:r w:rsidRPr="00243DC9">
        <w:rPr>
          <w:rFonts w:ascii="Arial" w:hAnsi="Arial" w:cs="Arial"/>
          <w:sz w:val="20"/>
        </w:rPr>
        <w:t xml:space="preserve"> zaměstnání a podnikání – nahradily v roce 2022 účely pobytu spadající do kategorie „jiné“. V souvislosti s válkou na Ukrajině a přílivem uprchlíků tohoto státního občanství šlo zejména </w:t>
      </w:r>
      <w:r w:rsidR="00314954">
        <w:rPr>
          <w:rFonts w:ascii="Arial" w:hAnsi="Arial" w:cs="Arial"/>
          <w:sz w:val="20"/>
        </w:rPr>
        <w:t>o humanitární důvody. V </w:t>
      </w:r>
      <w:r w:rsidRPr="00243DC9">
        <w:rPr>
          <w:rFonts w:ascii="Arial" w:hAnsi="Arial" w:cs="Arial"/>
          <w:sz w:val="20"/>
        </w:rPr>
        <w:t>roce</w:t>
      </w:r>
      <w:r w:rsidR="00314954">
        <w:rPr>
          <w:rFonts w:ascii="Arial" w:hAnsi="Arial" w:cs="Arial"/>
          <w:sz w:val="20"/>
        </w:rPr>
        <w:t xml:space="preserve"> 2023</w:t>
      </w:r>
      <w:r w:rsidRPr="00243DC9">
        <w:rPr>
          <w:rFonts w:ascii="Arial" w:hAnsi="Arial" w:cs="Arial"/>
          <w:sz w:val="20"/>
        </w:rPr>
        <w:t xml:space="preserve"> připadalo na </w:t>
      </w:r>
      <w:r w:rsidRPr="00243DC9">
        <w:rPr>
          <w:rFonts w:ascii="Arial" w:hAnsi="Arial" w:cs="Arial"/>
          <w:sz w:val="20"/>
        </w:rPr>
        <w:lastRenderedPageBreak/>
        <w:t>kategorii „jiné“ cel</w:t>
      </w:r>
      <w:r w:rsidR="00314954">
        <w:rPr>
          <w:rFonts w:ascii="Arial" w:hAnsi="Arial" w:cs="Arial"/>
          <w:sz w:val="20"/>
        </w:rPr>
        <w:t>kem 393 797</w:t>
      </w:r>
      <w:r w:rsidRPr="00243DC9">
        <w:rPr>
          <w:rFonts w:ascii="Arial" w:hAnsi="Arial" w:cs="Arial"/>
          <w:sz w:val="20"/>
        </w:rPr>
        <w:t xml:space="preserve"> cizinců-třetizemců </w:t>
      </w:r>
      <w:r w:rsidR="00CD73A0">
        <w:rPr>
          <w:rFonts w:ascii="Arial" w:hAnsi="Arial" w:cs="Arial"/>
          <w:sz w:val="20"/>
        </w:rPr>
        <w:t>s přechodným pobytem</w:t>
      </w:r>
      <w:r w:rsidRPr="00243DC9">
        <w:rPr>
          <w:rFonts w:ascii="Arial" w:hAnsi="Arial" w:cs="Arial"/>
          <w:sz w:val="20"/>
        </w:rPr>
        <w:t xml:space="preserve"> na našem území, při</w:t>
      </w:r>
      <w:r w:rsidR="00314954">
        <w:rPr>
          <w:rFonts w:ascii="Arial" w:hAnsi="Arial" w:cs="Arial"/>
          <w:sz w:val="20"/>
        </w:rPr>
        <w:t>čemž jejich podíl činil téměř dvě třetiny (65,7</w:t>
      </w:r>
      <w:r w:rsidR="00C77DB7">
        <w:rPr>
          <w:rFonts w:ascii="Arial" w:hAnsi="Arial" w:cs="Arial"/>
          <w:sz w:val="20"/>
        </w:rPr>
        <w:t> %</w:t>
      </w:r>
      <w:r w:rsidRPr="00243DC9">
        <w:rPr>
          <w:rFonts w:ascii="Arial" w:hAnsi="Arial" w:cs="Arial"/>
          <w:sz w:val="20"/>
        </w:rPr>
        <w:t>) z celkového počtu cizinců z třetích zemí s pov</w:t>
      </w:r>
      <w:r w:rsidR="00314954">
        <w:rPr>
          <w:rFonts w:ascii="Arial" w:hAnsi="Arial" w:cs="Arial"/>
          <w:sz w:val="20"/>
        </w:rPr>
        <w:t>oleným přechodným pobytem. Do roku 2021</w:t>
      </w:r>
      <w:r w:rsidRPr="00243DC9">
        <w:rPr>
          <w:rFonts w:ascii="Arial" w:hAnsi="Arial" w:cs="Arial"/>
          <w:sz w:val="20"/>
        </w:rPr>
        <w:t xml:space="preserve"> nejvíce zastoupený účel pobytu </w:t>
      </w:r>
      <w:r w:rsidR="00CD73A0">
        <w:rPr>
          <w:rFonts w:ascii="Arial" w:hAnsi="Arial" w:cs="Arial"/>
          <w:sz w:val="20"/>
        </w:rPr>
        <w:t>„</w:t>
      </w:r>
      <w:r w:rsidRPr="00243DC9">
        <w:rPr>
          <w:rFonts w:ascii="Arial" w:hAnsi="Arial" w:cs="Arial"/>
          <w:sz w:val="20"/>
        </w:rPr>
        <w:t>zaměstnání a podnikání</w:t>
      </w:r>
      <w:r w:rsidR="00CD73A0">
        <w:rPr>
          <w:rFonts w:ascii="Arial" w:hAnsi="Arial" w:cs="Arial"/>
          <w:sz w:val="20"/>
        </w:rPr>
        <w:t>“</w:t>
      </w:r>
      <w:r w:rsidRPr="00243DC9">
        <w:rPr>
          <w:rFonts w:ascii="Arial" w:hAnsi="Arial" w:cs="Arial"/>
          <w:sz w:val="20"/>
        </w:rPr>
        <w:t xml:space="preserve"> (v roce 2021 dosahu</w:t>
      </w:r>
      <w:r w:rsidR="00314954">
        <w:rPr>
          <w:rFonts w:ascii="Arial" w:hAnsi="Arial" w:cs="Arial"/>
          <w:sz w:val="20"/>
        </w:rPr>
        <w:t>jící úrovně 58</w:t>
      </w:r>
      <w:r w:rsidR="00C77DB7">
        <w:rPr>
          <w:rFonts w:ascii="Arial" w:hAnsi="Arial" w:cs="Arial"/>
          <w:sz w:val="20"/>
        </w:rPr>
        <w:t> %</w:t>
      </w:r>
      <w:r w:rsidR="00314954">
        <w:rPr>
          <w:rFonts w:ascii="Arial" w:hAnsi="Arial" w:cs="Arial"/>
          <w:sz w:val="20"/>
        </w:rPr>
        <w:t>) se tak zařadil na druhé místo, s podílem 20,2</w:t>
      </w:r>
      <w:r w:rsidR="00C77DB7">
        <w:rPr>
          <w:rFonts w:ascii="Arial" w:hAnsi="Arial" w:cs="Arial"/>
          <w:sz w:val="20"/>
        </w:rPr>
        <w:t> %</w:t>
      </w:r>
      <w:r w:rsidR="007B57E5">
        <w:rPr>
          <w:rFonts w:ascii="Arial" w:hAnsi="Arial" w:cs="Arial"/>
          <w:sz w:val="20"/>
        </w:rPr>
        <w:t>, přičemž meziročně vzrostl</w:t>
      </w:r>
      <w:r w:rsidR="00314954">
        <w:rPr>
          <w:rFonts w:ascii="Arial" w:hAnsi="Arial" w:cs="Arial"/>
          <w:sz w:val="20"/>
        </w:rPr>
        <w:t xml:space="preserve"> o </w:t>
      </w:r>
      <w:r w:rsidR="007B57E5">
        <w:rPr>
          <w:rFonts w:ascii="Arial" w:hAnsi="Arial" w:cs="Arial"/>
          <w:sz w:val="20"/>
        </w:rPr>
        <w:t>0,7 p b. S odstupem (s 9,5</w:t>
      </w:r>
      <w:r w:rsidR="00C77DB7">
        <w:rPr>
          <w:rFonts w:ascii="Arial" w:hAnsi="Arial" w:cs="Arial"/>
          <w:sz w:val="20"/>
        </w:rPr>
        <w:t> %</w:t>
      </w:r>
      <w:r w:rsidRPr="00243DC9">
        <w:rPr>
          <w:rFonts w:ascii="Arial" w:hAnsi="Arial" w:cs="Arial"/>
          <w:sz w:val="20"/>
        </w:rPr>
        <w:t xml:space="preserve">) následovaly </w:t>
      </w:r>
      <w:r w:rsidR="00CD73A0">
        <w:rPr>
          <w:rFonts w:ascii="Arial" w:hAnsi="Arial" w:cs="Arial"/>
          <w:sz w:val="20"/>
        </w:rPr>
        <w:t>„</w:t>
      </w:r>
      <w:r w:rsidRPr="00243DC9">
        <w:rPr>
          <w:rFonts w:ascii="Arial" w:hAnsi="Arial" w:cs="Arial"/>
          <w:sz w:val="20"/>
        </w:rPr>
        <w:t>rodinné důvody</w:t>
      </w:r>
      <w:r w:rsidR="00CD73A0">
        <w:rPr>
          <w:rFonts w:ascii="Arial" w:hAnsi="Arial" w:cs="Arial"/>
          <w:sz w:val="20"/>
        </w:rPr>
        <w:t>“</w:t>
      </w:r>
      <w:r w:rsidRPr="00243DC9">
        <w:rPr>
          <w:rFonts w:ascii="Arial" w:hAnsi="Arial" w:cs="Arial"/>
          <w:sz w:val="20"/>
        </w:rPr>
        <w:t>, jejic</w:t>
      </w:r>
      <w:r w:rsidR="007B57E5">
        <w:rPr>
          <w:rFonts w:ascii="Arial" w:hAnsi="Arial" w:cs="Arial"/>
          <w:sz w:val="20"/>
        </w:rPr>
        <w:t>hž podíl rovněž oproti roku 2022</w:t>
      </w:r>
      <w:r w:rsidRPr="00243DC9">
        <w:rPr>
          <w:rFonts w:ascii="Arial" w:hAnsi="Arial" w:cs="Arial"/>
          <w:sz w:val="20"/>
        </w:rPr>
        <w:t xml:space="preserve"> </w:t>
      </w:r>
      <w:r w:rsidR="007B57E5">
        <w:rPr>
          <w:rFonts w:ascii="Arial" w:hAnsi="Arial" w:cs="Arial"/>
          <w:sz w:val="20"/>
        </w:rPr>
        <w:t>mírně vzrostl, a to o 1,1 p. b. Pouze nepatrný meziroční nárůst (o 0,2</w:t>
      </w:r>
      <w:r w:rsidR="00491033">
        <w:rPr>
          <w:rFonts w:ascii="Arial" w:hAnsi="Arial" w:cs="Arial"/>
          <w:sz w:val="20"/>
        </w:rPr>
        <w:t xml:space="preserve"> p. b.) byl zaznamenán </w:t>
      </w:r>
      <w:r w:rsidRPr="00243DC9">
        <w:rPr>
          <w:rFonts w:ascii="Arial" w:hAnsi="Arial" w:cs="Arial"/>
          <w:sz w:val="20"/>
        </w:rPr>
        <w:t>v kategorii „studium“, na jehož z</w:t>
      </w:r>
      <w:r w:rsidR="007B57E5">
        <w:rPr>
          <w:rFonts w:ascii="Arial" w:hAnsi="Arial" w:cs="Arial"/>
          <w:sz w:val="20"/>
        </w:rPr>
        <w:t xml:space="preserve">ákladě </w:t>
      </w:r>
      <w:r w:rsidR="00CD73A0">
        <w:rPr>
          <w:rFonts w:ascii="Arial" w:hAnsi="Arial" w:cs="Arial"/>
          <w:sz w:val="20"/>
        </w:rPr>
        <w:t xml:space="preserve">mělo </w:t>
      </w:r>
      <w:r w:rsidR="007B57E5">
        <w:rPr>
          <w:rFonts w:ascii="Arial" w:hAnsi="Arial" w:cs="Arial"/>
          <w:sz w:val="20"/>
        </w:rPr>
        <w:t>v ČR v roce 2023</w:t>
      </w:r>
      <w:r w:rsidR="00CD73A0">
        <w:rPr>
          <w:rFonts w:ascii="Arial" w:hAnsi="Arial" w:cs="Arial"/>
          <w:sz w:val="20"/>
        </w:rPr>
        <w:t xml:space="preserve"> pobyt</w:t>
      </w:r>
      <w:r w:rsidR="007B57E5">
        <w:rPr>
          <w:rFonts w:ascii="Arial" w:hAnsi="Arial" w:cs="Arial"/>
          <w:sz w:val="20"/>
        </w:rPr>
        <w:t xml:space="preserve"> celkem 4,7</w:t>
      </w:r>
      <w:r w:rsidR="00C77DB7">
        <w:rPr>
          <w:rFonts w:ascii="Arial" w:hAnsi="Arial" w:cs="Arial"/>
          <w:sz w:val="20"/>
        </w:rPr>
        <w:t> %</w:t>
      </w:r>
      <w:r w:rsidRPr="00243DC9">
        <w:rPr>
          <w:rFonts w:ascii="Arial" w:hAnsi="Arial" w:cs="Arial"/>
          <w:sz w:val="20"/>
        </w:rPr>
        <w:t xml:space="preserve"> cizinců z třetích zemí s přechodným pobytem.</w:t>
      </w:r>
    </w:p>
    <w:p w14:paraId="543B8CA7" w14:textId="40EE4195" w:rsidR="00EC6727" w:rsidRDefault="00245F90" w:rsidP="00EC6727">
      <w:pPr>
        <w:spacing w:after="60" w:line="360" w:lineRule="auto"/>
        <w:ind w:firstLine="709"/>
        <w:jc w:val="both"/>
        <w:rPr>
          <w:rFonts w:cs="Arial"/>
          <w:szCs w:val="20"/>
        </w:rPr>
      </w:pPr>
      <w:r>
        <w:rPr>
          <w:rFonts w:cs="Arial"/>
          <w:szCs w:val="20"/>
        </w:rPr>
        <w:t>Na občany s</w:t>
      </w:r>
      <w:r w:rsidR="007B57E5">
        <w:rPr>
          <w:rFonts w:cs="Arial"/>
          <w:szCs w:val="20"/>
        </w:rPr>
        <w:t>tátů EU-27 připadala v roce 2023 jen o málo více než</w:t>
      </w:r>
      <w:r w:rsidR="00180BC7">
        <w:rPr>
          <w:rFonts w:cs="Arial"/>
          <w:szCs w:val="20"/>
        </w:rPr>
        <w:t xml:space="preserve"> </w:t>
      </w:r>
      <w:r w:rsidR="00082AFF">
        <w:rPr>
          <w:rFonts w:cs="Arial"/>
          <w:szCs w:val="20"/>
        </w:rPr>
        <w:t>jedna</w:t>
      </w:r>
      <w:r w:rsidR="007B57E5">
        <w:rPr>
          <w:rFonts w:cs="Arial"/>
          <w:szCs w:val="20"/>
        </w:rPr>
        <w:t xml:space="preserve"> pětina (21,5</w:t>
      </w:r>
      <w:r w:rsidR="00C77DB7">
        <w:rPr>
          <w:rFonts w:cs="Arial"/>
          <w:szCs w:val="20"/>
        </w:rPr>
        <w:t> %</w:t>
      </w:r>
      <w:r>
        <w:rPr>
          <w:rFonts w:cs="Arial"/>
          <w:szCs w:val="20"/>
        </w:rPr>
        <w:t>)</w:t>
      </w:r>
      <w:r w:rsidR="00EC6727" w:rsidRPr="0004037F">
        <w:rPr>
          <w:rFonts w:cs="Arial"/>
          <w:szCs w:val="20"/>
        </w:rPr>
        <w:t xml:space="preserve"> z</w:t>
      </w:r>
      <w:r w:rsidR="00CD73A0">
        <w:rPr>
          <w:rFonts w:cs="Arial"/>
          <w:szCs w:val="20"/>
        </w:rPr>
        <w:t>e všech</w:t>
      </w:r>
      <w:r w:rsidR="00EC6727" w:rsidRPr="0004037F">
        <w:rPr>
          <w:rFonts w:cs="Arial"/>
          <w:szCs w:val="20"/>
        </w:rPr>
        <w:t xml:space="preserve"> </w:t>
      </w:r>
      <w:r w:rsidR="00EC6727">
        <w:rPr>
          <w:rFonts w:cs="Arial"/>
          <w:szCs w:val="20"/>
        </w:rPr>
        <w:t xml:space="preserve">cizinců </w:t>
      </w:r>
      <w:r w:rsidR="00CD73A0">
        <w:rPr>
          <w:rFonts w:cs="Arial"/>
          <w:szCs w:val="20"/>
        </w:rPr>
        <w:t xml:space="preserve">s platným pobytem </w:t>
      </w:r>
      <w:r w:rsidR="00EC6727">
        <w:rPr>
          <w:rFonts w:cs="Arial"/>
          <w:szCs w:val="20"/>
        </w:rPr>
        <w:t xml:space="preserve">v ČR. Jejich </w:t>
      </w:r>
      <w:r w:rsidR="00EC6727" w:rsidRPr="0004037F">
        <w:rPr>
          <w:rFonts w:cs="Arial"/>
          <w:szCs w:val="20"/>
        </w:rPr>
        <w:t xml:space="preserve">zastoupení </w:t>
      </w:r>
      <w:r w:rsidR="00180BC7">
        <w:rPr>
          <w:rFonts w:cs="Arial"/>
          <w:szCs w:val="20"/>
        </w:rPr>
        <w:t xml:space="preserve">se </w:t>
      </w:r>
      <w:r w:rsidR="00EC6727">
        <w:rPr>
          <w:rFonts w:cs="Arial"/>
          <w:szCs w:val="20"/>
        </w:rPr>
        <w:t>meziročně</w:t>
      </w:r>
      <w:r w:rsidR="00082AFF">
        <w:rPr>
          <w:rFonts w:cs="Arial"/>
          <w:szCs w:val="20"/>
        </w:rPr>
        <w:t xml:space="preserve"> </w:t>
      </w:r>
      <w:r w:rsidR="007B57E5">
        <w:rPr>
          <w:rFonts w:cs="Arial"/>
          <w:szCs w:val="20"/>
        </w:rPr>
        <w:t xml:space="preserve">zvýšilo, a to o 1,2 p. b. (v absolutních hodnotách šlo </w:t>
      </w:r>
      <w:r w:rsidR="004523CE">
        <w:rPr>
          <w:rFonts w:cs="Arial"/>
          <w:szCs w:val="20"/>
        </w:rPr>
        <w:t xml:space="preserve">o 2 363 </w:t>
      </w:r>
      <w:r w:rsidR="007B57E5">
        <w:rPr>
          <w:rFonts w:cs="Arial"/>
          <w:szCs w:val="20"/>
        </w:rPr>
        <w:t>osob).</w:t>
      </w:r>
      <w:r w:rsidR="00EC6727">
        <w:rPr>
          <w:rFonts w:cs="Arial"/>
          <w:szCs w:val="20"/>
        </w:rPr>
        <w:t xml:space="preserve"> </w:t>
      </w:r>
    </w:p>
    <w:p w14:paraId="0B8FB385" w14:textId="68041D7B" w:rsidR="00EC6727" w:rsidRDefault="00EC6727" w:rsidP="00EC6727">
      <w:pPr>
        <w:spacing w:after="60" w:line="360" w:lineRule="auto"/>
        <w:ind w:firstLine="709"/>
        <w:jc w:val="both"/>
        <w:rPr>
          <w:rFonts w:cs="Arial"/>
          <w:szCs w:val="20"/>
        </w:rPr>
      </w:pPr>
      <w:r w:rsidRPr="0004037F">
        <w:rPr>
          <w:rFonts w:cs="Arial"/>
          <w:szCs w:val="20"/>
        </w:rPr>
        <w:t>Pořadí nejvíce zastoupených státních občanství se ve statistikách cizinců s povoleným pobytem v poslední době výrazněji nemění. Mezi nejvíce zastoupené skupiny patří tradičně občané Ukrajiny</w:t>
      </w:r>
      <w:r w:rsidR="00723CF6">
        <w:rPr>
          <w:rFonts w:cs="Arial"/>
          <w:szCs w:val="20"/>
        </w:rPr>
        <w:t>, jejic</w:t>
      </w:r>
      <w:r w:rsidR="007B57E5">
        <w:rPr>
          <w:rFonts w:cs="Arial"/>
          <w:szCs w:val="20"/>
        </w:rPr>
        <w:t>hž počet dosáhl koncem roku 2023</w:t>
      </w:r>
      <w:r w:rsidR="00491033">
        <w:rPr>
          <w:rFonts w:cs="Arial"/>
          <w:szCs w:val="20"/>
        </w:rPr>
        <w:t xml:space="preserve"> hodnoty 574 447 osob </w:t>
      </w:r>
      <w:r w:rsidR="00082AFF">
        <w:rPr>
          <w:rFonts w:cs="Arial"/>
          <w:szCs w:val="20"/>
        </w:rPr>
        <w:t>(</w:t>
      </w:r>
      <w:r w:rsidR="00491033">
        <w:rPr>
          <w:rFonts w:cs="Arial"/>
          <w:szCs w:val="20"/>
        </w:rPr>
        <w:t xml:space="preserve">pro srovnání v roce 2022 to bylo 636 282 </w:t>
      </w:r>
      <w:r>
        <w:rPr>
          <w:rFonts w:cs="Arial"/>
          <w:szCs w:val="20"/>
        </w:rPr>
        <w:t>osob)</w:t>
      </w:r>
      <w:r w:rsidR="00723CF6">
        <w:rPr>
          <w:rFonts w:cs="Arial"/>
          <w:szCs w:val="20"/>
        </w:rPr>
        <w:t>. Následují občané</w:t>
      </w:r>
      <w:r w:rsidRPr="0004037F">
        <w:rPr>
          <w:rFonts w:cs="Arial"/>
          <w:szCs w:val="20"/>
        </w:rPr>
        <w:t xml:space="preserve"> Slovenska</w:t>
      </w:r>
      <w:r w:rsidR="00491033">
        <w:rPr>
          <w:rFonts w:cs="Arial"/>
          <w:szCs w:val="20"/>
        </w:rPr>
        <w:t xml:space="preserve"> (119 182</w:t>
      </w:r>
      <w:r>
        <w:rPr>
          <w:rFonts w:cs="Arial"/>
          <w:szCs w:val="20"/>
        </w:rPr>
        <w:t>)</w:t>
      </w:r>
      <w:r w:rsidRPr="0004037F">
        <w:rPr>
          <w:rFonts w:cs="Arial"/>
          <w:szCs w:val="20"/>
        </w:rPr>
        <w:t xml:space="preserve"> a Vietnamu</w:t>
      </w:r>
      <w:r w:rsidR="00491033">
        <w:rPr>
          <w:rFonts w:cs="Arial"/>
          <w:szCs w:val="20"/>
        </w:rPr>
        <w:t xml:space="preserve"> (67 783</w:t>
      </w:r>
      <w:r>
        <w:rPr>
          <w:rFonts w:cs="Arial"/>
          <w:szCs w:val="20"/>
        </w:rPr>
        <w:t>)</w:t>
      </w:r>
      <w:r w:rsidRPr="0004037F">
        <w:rPr>
          <w:rFonts w:cs="Arial"/>
          <w:szCs w:val="20"/>
        </w:rPr>
        <w:t>. Občané tě</w:t>
      </w:r>
      <w:r>
        <w:rPr>
          <w:rFonts w:cs="Arial"/>
          <w:szCs w:val="20"/>
        </w:rPr>
        <w:t>c</w:t>
      </w:r>
      <w:r w:rsidR="00491033">
        <w:rPr>
          <w:rFonts w:cs="Arial"/>
          <w:szCs w:val="20"/>
        </w:rPr>
        <w:t>hto tří zemí tvořili v roce 2023 celkem 71,4</w:t>
      </w:r>
      <w:r w:rsidR="00C77DB7">
        <w:rPr>
          <w:rFonts w:cs="Arial"/>
          <w:szCs w:val="20"/>
        </w:rPr>
        <w:t> %</w:t>
      </w:r>
      <w:r>
        <w:rPr>
          <w:rFonts w:cs="Arial"/>
          <w:szCs w:val="20"/>
        </w:rPr>
        <w:t xml:space="preserve"> cizinců s povolením k </w:t>
      </w:r>
      <w:r w:rsidRPr="0004037F">
        <w:rPr>
          <w:rFonts w:cs="Arial"/>
          <w:szCs w:val="20"/>
        </w:rPr>
        <w:t>pobytu</w:t>
      </w:r>
      <w:r w:rsidR="00354F00">
        <w:rPr>
          <w:rFonts w:cs="Arial"/>
          <w:szCs w:val="20"/>
        </w:rPr>
        <w:t xml:space="preserve"> (</w:t>
      </w:r>
      <w:r>
        <w:rPr>
          <w:rFonts w:cs="Arial"/>
          <w:szCs w:val="20"/>
        </w:rPr>
        <w:t>s povoleným nebo evidovaným pobytem</w:t>
      </w:r>
      <w:r w:rsidR="004571D3">
        <w:rPr>
          <w:rFonts w:cs="Arial"/>
          <w:szCs w:val="20"/>
        </w:rPr>
        <w:t>, azylem</w:t>
      </w:r>
      <w:r w:rsidR="00197708">
        <w:rPr>
          <w:rFonts w:cs="Arial"/>
          <w:szCs w:val="20"/>
        </w:rPr>
        <w:t>, doplňkovou ochranou</w:t>
      </w:r>
      <w:r w:rsidR="00FE329D">
        <w:rPr>
          <w:rFonts w:cs="Arial"/>
          <w:szCs w:val="20"/>
        </w:rPr>
        <w:t xml:space="preserve"> nebo status</w:t>
      </w:r>
      <w:r w:rsidR="00723CF6">
        <w:rPr>
          <w:rFonts w:cs="Arial"/>
          <w:szCs w:val="20"/>
        </w:rPr>
        <w:t>em dočasné ochrany</w:t>
      </w:r>
      <w:r>
        <w:rPr>
          <w:rFonts w:cs="Arial"/>
          <w:szCs w:val="20"/>
        </w:rPr>
        <w:t>)</w:t>
      </w:r>
      <w:r w:rsidRPr="0004037F">
        <w:rPr>
          <w:rFonts w:cs="Arial"/>
          <w:szCs w:val="20"/>
        </w:rPr>
        <w:t xml:space="preserve"> v České republice.</w:t>
      </w:r>
      <w:r w:rsidR="001676D2">
        <w:rPr>
          <w:rFonts w:cs="Arial"/>
          <w:szCs w:val="20"/>
        </w:rPr>
        <w:t xml:space="preserve"> Jak počty Slováků, tak počty Vietnamců meziročně vzrostly (o </w:t>
      </w:r>
      <w:r w:rsidR="004523CE">
        <w:rPr>
          <w:rFonts w:cs="Arial"/>
          <w:szCs w:val="20"/>
        </w:rPr>
        <w:t>1 917 resp. o 1 443</w:t>
      </w:r>
      <w:r w:rsidR="00354F00">
        <w:rPr>
          <w:rFonts w:cs="Arial"/>
          <w:szCs w:val="20"/>
        </w:rPr>
        <w:t xml:space="preserve"> osob).</w:t>
      </w:r>
      <w:r w:rsidR="00491033">
        <w:rPr>
          <w:rFonts w:cs="Arial"/>
          <w:szCs w:val="20"/>
        </w:rPr>
        <w:t xml:space="preserve"> Oproti tomu počty občanů Ukrajiny se meziročně snížily, a to o 61 835 osob.</w:t>
      </w:r>
    </w:p>
    <w:p w14:paraId="22E6A86B" w14:textId="4CC32B20" w:rsidR="00F40BC8" w:rsidRDefault="004523CE" w:rsidP="00EC6727">
      <w:pPr>
        <w:spacing w:after="60" w:line="360" w:lineRule="auto"/>
        <w:ind w:firstLine="708"/>
        <w:jc w:val="both"/>
        <w:rPr>
          <w:rFonts w:cs="Arial"/>
          <w:szCs w:val="20"/>
        </w:rPr>
      </w:pPr>
      <w:r>
        <w:rPr>
          <w:rFonts w:cs="Arial"/>
          <w:szCs w:val="20"/>
        </w:rPr>
        <w:t>V roce 2023</w:t>
      </w:r>
      <w:r w:rsidR="00EC6727" w:rsidRPr="0004037F">
        <w:rPr>
          <w:rFonts w:cs="Arial"/>
          <w:szCs w:val="20"/>
        </w:rPr>
        <w:t xml:space="preserve"> byli</w:t>
      </w:r>
      <w:r w:rsidR="00EC6727">
        <w:rPr>
          <w:rFonts w:cs="Arial"/>
          <w:szCs w:val="20"/>
        </w:rPr>
        <w:t xml:space="preserve"> na čtvrtém místě, stejně jako v</w:t>
      </w:r>
      <w:r w:rsidR="00723CF6">
        <w:rPr>
          <w:rFonts w:cs="Arial"/>
          <w:szCs w:val="20"/>
        </w:rPr>
        <w:t> předchozím roce, Rusové (</w:t>
      </w:r>
      <w:r>
        <w:rPr>
          <w:rFonts w:cs="Arial"/>
          <w:szCs w:val="20"/>
        </w:rPr>
        <w:t>40 990)</w:t>
      </w:r>
      <w:r w:rsidR="00C45963">
        <w:rPr>
          <w:rFonts w:cs="Arial"/>
          <w:szCs w:val="20"/>
        </w:rPr>
        <w:t>. S</w:t>
      </w:r>
      <w:r w:rsidR="00EC6727">
        <w:rPr>
          <w:rFonts w:cs="Arial"/>
          <w:szCs w:val="20"/>
        </w:rPr>
        <w:t xml:space="preserve"> odstupem </w:t>
      </w:r>
      <w:r w:rsidR="00D926B6">
        <w:rPr>
          <w:rFonts w:cs="Arial"/>
          <w:szCs w:val="20"/>
        </w:rPr>
        <w:t xml:space="preserve"> následovali</w:t>
      </w:r>
      <w:r w:rsidR="009035E2">
        <w:rPr>
          <w:rFonts w:cs="Arial"/>
          <w:szCs w:val="20"/>
        </w:rPr>
        <w:t xml:space="preserve"> </w:t>
      </w:r>
      <w:r w:rsidR="004C0F90">
        <w:rPr>
          <w:rFonts w:cs="Arial"/>
          <w:szCs w:val="20"/>
        </w:rPr>
        <w:t>R</w:t>
      </w:r>
      <w:r w:rsidR="00D926B6">
        <w:rPr>
          <w:rFonts w:cs="Arial"/>
          <w:szCs w:val="20"/>
        </w:rPr>
        <w:t>umuni</w:t>
      </w:r>
      <w:r w:rsidR="00723CF6">
        <w:rPr>
          <w:rFonts w:cs="Arial"/>
          <w:szCs w:val="20"/>
        </w:rPr>
        <w:t xml:space="preserve"> (</w:t>
      </w:r>
      <w:r>
        <w:rPr>
          <w:rFonts w:cs="Arial"/>
          <w:szCs w:val="20"/>
        </w:rPr>
        <w:t>20 469)</w:t>
      </w:r>
      <w:r w:rsidR="00107204">
        <w:rPr>
          <w:rFonts w:cs="Arial"/>
          <w:szCs w:val="20"/>
        </w:rPr>
        <w:t xml:space="preserve">, </w:t>
      </w:r>
      <w:r w:rsidR="004C0F90">
        <w:rPr>
          <w:rFonts w:cs="Arial"/>
          <w:szCs w:val="20"/>
        </w:rPr>
        <w:t>B</w:t>
      </w:r>
      <w:r w:rsidR="00D926B6">
        <w:rPr>
          <w:rFonts w:cs="Arial"/>
          <w:szCs w:val="20"/>
        </w:rPr>
        <w:t>ulhaři</w:t>
      </w:r>
      <w:r w:rsidR="009035E2">
        <w:rPr>
          <w:rFonts w:cs="Arial"/>
          <w:szCs w:val="20"/>
        </w:rPr>
        <w:t xml:space="preserve"> (</w:t>
      </w:r>
      <w:r>
        <w:rPr>
          <w:rFonts w:cs="Arial"/>
          <w:szCs w:val="20"/>
        </w:rPr>
        <w:t>17 907)</w:t>
      </w:r>
      <w:r w:rsidR="00107204">
        <w:rPr>
          <w:rFonts w:cs="Arial"/>
          <w:szCs w:val="20"/>
        </w:rPr>
        <w:t xml:space="preserve">, Poláci (17 837), </w:t>
      </w:r>
      <w:r w:rsidR="004571D3">
        <w:rPr>
          <w:rFonts w:cs="Arial"/>
          <w:szCs w:val="20"/>
        </w:rPr>
        <w:t>Němci (</w:t>
      </w:r>
      <w:r>
        <w:rPr>
          <w:rFonts w:cs="Arial"/>
          <w:szCs w:val="20"/>
        </w:rPr>
        <w:t>12</w:t>
      </w:r>
      <w:r w:rsidR="00107204">
        <w:rPr>
          <w:rFonts w:cs="Arial"/>
          <w:szCs w:val="20"/>
        </w:rPr>
        <w:t> 719) a Mongolové (12 664)</w:t>
      </w:r>
      <w:r w:rsidR="00244A06">
        <w:rPr>
          <w:rFonts w:cs="Arial"/>
          <w:szCs w:val="20"/>
        </w:rPr>
        <w:t>. Oproti roku 2022</w:t>
      </w:r>
      <w:r w:rsidR="004C0F90">
        <w:rPr>
          <w:rFonts w:cs="Arial"/>
          <w:szCs w:val="20"/>
        </w:rPr>
        <w:t xml:space="preserve"> se</w:t>
      </w:r>
      <w:r w:rsidR="004571D3">
        <w:rPr>
          <w:rFonts w:cs="Arial"/>
          <w:szCs w:val="20"/>
        </w:rPr>
        <w:t xml:space="preserve"> z výše uvedeného vý</w:t>
      </w:r>
      <w:r w:rsidR="00107204">
        <w:rPr>
          <w:rFonts w:cs="Arial"/>
          <w:szCs w:val="20"/>
        </w:rPr>
        <w:t>čtu státních občanství nejvýrazněji navýšily</w:t>
      </w:r>
      <w:r w:rsidR="004571D3">
        <w:rPr>
          <w:rFonts w:cs="Arial"/>
          <w:szCs w:val="20"/>
        </w:rPr>
        <w:t xml:space="preserve"> počty Ru</w:t>
      </w:r>
      <w:r>
        <w:rPr>
          <w:rFonts w:cs="Arial"/>
          <w:szCs w:val="20"/>
        </w:rPr>
        <w:t>munů, a to o 745</w:t>
      </w:r>
      <w:r w:rsidR="004571D3">
        <w:rPr>
          <w:rFonts w:cs="Arial"/>
          <w:szCs w:val="20"/>
        </w:rPr>
        <w:t xml:space="preserve"> osob, resp. </w:t>
      </w:r>
      <w:r w:rsidR="00354F00">
        <w:rPr>
          <w:rFonts w:cs="Arial"/>
          <w:szCs w:val="20"/>
        </w:rPr>
        <w:t xml:space="preserve">o </w:t>
      </w:r>
      <w:r>
        <w:rPr>
          <w:rFonts w:cs="Arial"/>
          <w:szCs w:val="20"/>
        </w:rPr>
        <w:t>3,8</w:t>
      </w:r>
      <w:r w:rsidR="00C77DB7">
        <w:rPr>
          <w:rFonts w:cs="Arial"/>
          <w:szCs w:val="20"/>
        </w:rPr>
        <w:t> %</w:t>
      </w:r>
      <w:r w:rsidR="00107204">
        <w:rPr>
          <w:rFonts w:cs="Arial"/>
          <w:szCs w:val="20"/>
        </w:rPr>
        <w:t>, a Mongolů, o 696 osob, resp. o 5,8</w:t>
      </w:r>
      <w:r w:rsidR="00C77DB7">
        <w:rPr>
          <w:rFonts w:cs="Arial"/>
          <w:szCs w:val="20"/>
        </w:rPr>
        <w:t> %</w:t>
      </w:r>
      <w:r w:rsidR="004571D3">
        <w:rPr>
          <w:rFonts w:cs="Arial"/>
          <w:szCs w:val="20"/>
        </w:rPr>
        <w:t>. N</w:t>
      </w:r>
      <w:r w:rsidR="00863265">
        <w:rPr>
          <w:rFonts w:cs="Arial"/>
          <w:szCs w:val="20"/>
        </w:rPr>
        <w:t>aopak nejvíce klesly</w:t>
      </w:r>
      <w:r w:rsidR="001676D2">
        <w:rPr>
          <w:rFonts w:cs="Arial"/>
          <w:szCs w:val="20"/>
        </w:rPr>
        <w:t xml:space="preserve"> počty Rusů</w:t>
      </w:r>
      <w:r w:rsidR="004C0F90">
        <w:rPr>
          <w:rFonts w:cs="Arial"/>
          <w:szCs w:val="20"/>
        </w:rPr>
        <w:t>,</w:t>
      </w:r>
      <w:r w:rsidR="004571D3">
        <w:rPr>
          <w:rFonts w:cs="Arial"/>
          <w:szCs w:val="20"/>
        </w:rPr>
        <w:t xml:space="preserve"> </w:t>
      </w:r>
      <w:r w:rsidR="00863265">
        <w:rPr>
          <w:rFonts w:cs="Arial"/>
          <w:szCs w:val="20"/>
        </w:rPr>
        <w:t>a to z</w:t>
      </w:r>
      <w:r w:rsidR="001676D2">
        <w:rPr>
          <w:rFonts w:cs="Arial"/>
          <w:szCs w:val="20"/>
        </w:rPr>
        <w:t xml:space="preserve"> 43</w:t>
      </w:r>
      <w:r>
        <w:rPr>
          <w:rFonts w:cs="Arial"/>
          <w:szCs w:val="20"/>
        </w:rPr>
        <w:t> </w:t>
      </w:r>
      <w:r w:rsidR="001676D2">
        <w:rPr>
          <w:rFonts w:cs="Arial"/>
          <w:szCs w:val="20"/>
        </w:rPr>
        <w:t>498</w:t>
      </w:r>
      <w:r>
        <w:rPr>
          <w:rFonts w:cs="Arial"/>
          <w:szCs w:val="20"/>
        </w:rPr>
        <w:t xml:space="preserve"> </w:t>
      </w:r>
      <w:r w:rsidR="00107204">
        <w:rPr>
          <w:rFonts w:cs="Arial"/>
          <w:szCs w:val="20"/>
        </w:rPr>
        <w:t>na 40 </w:t>
      </w:r>
      <w:r>
        <w:rPr>
          <w:rFonts w:cs="Arial"/>
          <w:szCs w:val="20"/>
        </w:rPr>
        <w:t>990 osob</w:t>
      </w:r>
      <w:r w:rsidR="00107204">
        <w:rPr>
          <w:rFonts w:cs="Arial"/>
          <w:szCs w:val="20"/>
        </w:rPr>
        <w:t>,</w:t>
      </w:r>
      <w:r>
        <w:rPr>
          <w:rFonts w:cs="Arial"/>
          <w:szCs w:val="20"/>
        </w:rPr>
        <w:t xml:space="preserve"> a</w:t>
      </w:r>
      <w:r w:rsidR="00107204">
        <w:rPr>
          <w:rFonts w:cs="Arial"/>
          <w:szCs w:val="20"/>
        </w:rPr>
        <w:t xml:space="preserve"> Němců, z 14 032 na 12 719 osob</w:t>
      </w:r>
      <w:r w:rsidR="001676D2">
        <w:rPr>
          <w:rFonts w:cs="Arial"/>
          <w:szCs w:val="20"/>
        </w:rPr>
        <w:t>.</w:t>
      </w:r>
      <w:r w:rsidR="004C0F90">
        <w:rPr>
          <w:rFonts w:cs="Arial"/>
          <w:szCs w:val="20"/>
        </w:rPr>
        <w:t xml:space="preserve"> </w:t>
      </w:r>
      <w:r w:rsidR="00863265">
        <w:rPr>
          <w:rFonts w:cs="Arial"/>
          <w:szCs w:val="20"/>
        </w:rPr>
        <w:t>P</w:t>
      </w:r>
      <w:r w:rsidR="00107204">
        <w:rPr>
          <w:rFonts w:cs="Arial"/>
          <w:szCs w:val="20"/>
        </w:rPr>
        <w:t>očty Poláků zůstaly v roce 2023</w:t>
      </w:r>
      <w:r w:rsidR="00B86B13">
        <w:rPr>
          <w:rFonts w:cs="Arial"/>
          <w:szCs w:val="20"/>
        </w:rPr>
        <w:t xml:space="preserve"> z</w:t>
      </w:r>
      <w:r w:rsidR="00354F00">
        <w:rPr>
          <w:rFonts w:cs="Arial"/>
          <w:szCs w:val="20"/>
        </w:rPr>
        <w:t>hruba na stejné úrovni jako v </w:t>
      </w:r>
      <w:r w:rsidR="00B86B13">
        <w:rPr>
          <w:rFonts w:cs="Arial"/>
          <w:szCs w:val="20"/>
        </w:rPr>
        <w:t>roce</w:t>
      </w:r>
      <w:r w:rsidR="00354F00">
        <w:rPr>
          <w:rFonts w:cs="Arial"/>
          <w:szCs w:val="20"/>
        </w:rPr>
        <w:t xml:space="preserve"> předchozím</w:t>
      </w:r>
      <w:r w:rsidR="00B86B13">
        <w:rPr>
          <w:rFonts w:cs="Arial"/>
          <w:szCs w:val="20"/>
        </w:rPr>
        <w:t xml:space="preserve">. </w:t>
      </w:r>
      <w:r w:rsidR="00863265">
        <w:rPr>
          <w:rFonts w:cs="Arial"/>
          <w:szCs w:val="20"/>
        </w:rPr>
        <w:t>Pokud jde o cizince státních občanství s nižším zastoupením na našem území, je vidět početní meziroční</w:t>
      </w:r>
      <w:r w:rsidR="00D74C35">
        <w:rPr>
          <w:rFonts w:cs="Arial"/>
          <w:szCs w:val="20"/>
        </w:rPr>
        <w:t xml:space="preserve"> nárůst zejména u cizinců přicházejících z</w:t>
      </w:r>
      <w:r w:rsidR="00244A06">
        <w:rPr>
          <w:rFonts w:cs="Arial"/>
          <w:szCs w:val="20"/>
        </w:rPr>
        <w:t> </w:t>
      </w:r>
      <w:r w:rsidR="00D74C35">
        <w:rPr>
          <w:rFonts w:cs="Arial"/>
          <w:szCs w:val="20"/>
        </w:rPr>
        <w:t>některých</w:t>
      </w:r>
      <w:r w:rsidR="00244A06">
        <w:rPr>
          <w:rFonts w:cs="Arial"/>
          <w:szCs w:val="20"/>
        </w:rPr>
        <w:t xml:space="preserve"> dalších</w:t>
      </w:r>
      <w:r w:rsidR="00D74C35">
        <w:rPr>
          <w:rFonts w:cs="Arial"/>
          <w:szCs w:val="20"/>
        </w:rPr>
        <w:t xml:space="preserve"> zemí asijského kontinentu. Nejmark</w:t>
      </w:r>
      <w:r w:rsidR="00244A06">
        <w:rPr>
          <w:rFonts w:cs="Arial"/>
          <w:szCs w:val="20"/>
        </w:rPr>
        <w:t>antnější navýšení mezi roky 2022</w:t>
      </w:r>
      <w:r w:rsidR="00CD73A0">
        <w:rPr>
          <w:rFonts w:cs="Arial"/>
          <w:szCs w:val="20"/>
        </w:rPr>
        <w:t xml:space="preserve"> a </w:t>
      </w:r>
      <w:r w:rsidR="00244A06">
        <w:rPr>
          <w:rFonts w:cs="Arial"/>
          <w:szCs w:val="20"/>
        </w:rPr>
        <w:t>2023</w:t>
      </w:r>
      <w:r w:rsidR="00D74C35">
        <w:rPr>
          <w:rFonts w:cs="Arial"/>
          <w:szCs w:val="20"/>
        </w:rPr>
        <w:t xml:space="preserve"> bylo evidováno u občanů </w:t>
      </w:r>
      <w:r w:rsidR="007F5C69">
        <w:rPr>
          <w:rFonts w:cs="Arial"/>
          <w:szCs w:val="20"/>
        </w:rPr>
        <w:t>Filipín</w:t>
      </w:r>
      <w:r w:rsidR="00D74C35">
        <w:rPr>
          <w:rFonts w:cs="Arial"/>
          <w:szCs w:val="20"/>
        </w:rPr>
        <w:t xml:space="preserve">, </w:t>
      </w:r>
      <w:r w:rsidR="00244A06">
        <w:rPr>
          <w:rFonts w:cs="Arial"/>
          <w:szCs w:val="20"/>
        </w:rPr>
        <w:t>a to o 2 162 osob neboli o 54,4</w:t>
      </w:r>
      <w:r w:rsidR="00C77DB7">
        <w:rPr>
          <w:rFonts w:cs="Arial"/>
          <w:szCs w:val="20"/>
        </w:rPr>
        <w:t> %</w:t>
      </w:r>
      <w:r w:rsidR="007F5C69">
        <w:rPr>
          <w:rFonts w:cs="Arial"/>
          <w:szCs w:val="20"/>
        </w:rPr>
        <w:t xml:space="preserve">. Významně meziročně vzrostly i počty Indů, </w:t>
      </w:r>
      <w:r w:rsidR="00244A06">
        <w:rPr>
          <w:rFonts w:cs="Arial"/>
          <w:szCs w:val="20"/>
        </w:rPr>
        <w:t>a to z</w:t>
      </w:r>
      <w:r w:rsidR="00D74C35">
        <w:rPr>
          <w:rFonts w:cs="Arial"/>
          <w:szCs w:val="20"/>
        </w:rPr>
        <w:t xml:space="preserve"> 8</w:t>
      </w:r>
      <w:r w:rsidR="00244A06">
        <w:rPr>
          <w:rFonts w:cs="Arial"/>
          <w:szCs w:val="20"/>
        </w:rPr>
        <w:t> </w:t>
      </w:r>
      <w:r w:rsidR="00D74C35">
        <w:rPr>
          <w:rFonts w:cs="Arial"/>
          <w:szCs w:val="20"/>
        </w:rPr>
        <w:t>469</w:t>
      </w:r>
      <w:r w:rsidR="00244A06">
        <w:rPr>
          <w:rFonts w:cs="Arial"/>
          <w:szCs w:val="20"/>
        </w:rPr>
        <w:t xml:space="preserve"> na 9 553</w:t>
      </w:r>
      <w:r w:rsidR="00D74C35">
        <w:rPr>
          <w:rFonts w:cs="Arial"/>
          <w:szCs w:val="20"/>
        </w:rPr>
        <w:t xml:space="preserve"> osob, což v </w:t>
      </w:r>
      <w:r w:rsidR="00244A06">
        <w:rPr>
          <w:rFonts w:cs="Arial"/>
          <w:szCs w:val="20"/>
        </w:rPr>
        <w:t>relativním vyjádření činilo 12,8</w:t>
      </w:r>
      <w:r w:rsidR="00C77DB7">
        <w:rPr>
          <w:rFonts w:cs="Arial"/>
          <w:szCs w:val="20"/>
        </w:rPr>
        <w:t> %</w:t>
      </w:r>
      <w:r w:rsidR="00244A06">
        <w:rPr>
          <w:rFonts w:cs="Arial"/>
          <w:szCs w:val="20"/>
        </w:rPr>
        <w:t>. O něco méně, tj. o 584</w:t>
      </w:r>
      <w:r w:rsidR="00D74C35">
        <w:rPr>
          <w:rFonts w:cs="Arial"/>
          <w:szCs w:val="20"/>
        </w:rPr>
        <w:t xml:space="preserve"> o</w:t>
      </w:r>
      <w:r w:rsidR="007F5C69">
        <w:rPr>
          <w:rFonts w:cs="Arial"/>
          <w:szCs w:val="20"/>
        </w:rPr>
        <w:t>sob</w:t>
      </w:r>
      <w:r w:rsidR="00CD73A0">
        <w:rPr>
          <w:rFonts w:cs="Arial"/>
          <w:szCs w:val="20"/>
        </w:rPr>
        <w:t>,</w:t>
      </w:r>
      <w:r w:rsidR="007F5C69">
        <w:rPr>
          <w:rFonts w:cs="Arial"/>
          <w:szCs w:val="20"/>
        </w:rPr>
        <w:t xml:space="preserve"> se</w:t>
      </w:r>
      <w:r w:rsidR="00D74C35">
        <w:rPr>
          <w:rFonts w:cs="Arial"/>
          <w:szCs w:val="20"/>
        </w:rPr>
        <w:t xml:space="preserve"> </w:t>
      </w:r>
      <w:r w:rsidR="007F5C69">
        <w:rPr>
          <w:rFonts w:cs="Arial"/>
          <w:szCs w:val="20"/>
        </w:rPr>
        <w:t xml:space="preserve">pak </w:t>
      </w:r>
      <w:r w:rsidR="00D74C35">
        <w:rPr>
          <w:rFonts w:cs="Arial"/>
          <w:szCs w:val="20"/>
        </w:rPr>
        <w:t>meziročně</w:t>
      </w:r>
      <w:r w:rsidR="007F5C69">
        <w:rPr>
          <w:rFonts w:cs="Arial"/>
          <w:szCs w:val="20"/>
        </w:rPr>
        <w:t xml:space="preserve"> navýšil</w:t>
      </w:r>
      <w:r w:rsidR="00883A77">
        <w:rPr>
          <w:rFonts w:cs="Arial"/>
          <w:szCs w:val="20"/>
        </w:rPr>
        <w:t xml:space="preserve"> také</w:t>
      </w:r>
      <w:r w:rsidR="00D74C35">
        <w:rPr>
          <w:rFonts w:cs="Arial"/>
          <w:szCs w:val="20"/>
        </w:rPr>
        <w:t xml:space="preserve"> počet občanů Kazachstánu. Relativně se tato</w:t>
      </w:r>
      <w:r w:rsidR="00244A06">
        <w:rPr>
          <w:rFonts w:cs="Arial"/>
          <w:szCs w:val="20"/>
        </w:rPr>
        <w:t xml:space="preserve"> skupina cizinců zvětšila o 6,3</w:t>
      </w:r>
      <w:r w:rsidR="00C77DB7">
        <w:rPr>
          <w:rFonts w:cs="Arial"/>
          <w:szCs w:val="20"/>
        </w:rPr>
        <w:t> %</w:t>
      </w:r>
      <w:r w:rsidR="00D74C35">
        <w:rPr>
          <w:rFonts w:cs="Arial"/>
          <w:szCs w:val="20"/>
        </w:rPr>
        <w:t xml:space="preserve">. </w:t>
      </w:r>
    </w:p>
    <w:p w14:paraId="05D7E612" w14:textId="0F9F4419" w:rsidR="00883A77" w:rsidRPr="00883A77" w:rsidRDefault="00883A77" w:rsidP="00883A77">
      <w:pPr>
        <w:pStyle w:val="Zkladntext3"/>
        <w:spacing w:before="60" w:after="60" w:line="360" w:lineRule="auto"/>
        <w:ind w:firstLine="708"/>
        <w:jc w:val="both"/>
        <w:rPr>
          <w:rFonts w:ascii="Arial" w:hAnsi="Arial" w:cs="Arial"/>
          <w:sz w:val="20"/>
        </w:rPr>
      </w:pPr>
      <w:r w:rsidRPr="00883A77">
        <w:rPr>
          <w:rFonts w:ascii="Arial" w:hAnsi="Arial" w:cs="Arial"/>
          <w:sz w:val="20"/>
        </w:rPr>
        <w:t xml:space="preserve">Počty cizinců </w:t>
      </w:r>
      <w:r w:rsidR="005319FE" w:rsidRPr="00883A77">
        <w:rPr>
          <w:rFonts w:ascii="Arial" w:hAnsi="Arial" w:cs="Arial"/>
          <w:sz w:val="20"/>
        </w:rPr>
        <w:t>v roce 2023 viditelně poklesly</w:t>
      </w:r>
      <w:r w:rsidR="00A425C2" w:rsidRPr="00883A77">
        <w:rPr>
          <w:rFonts w:ascii="Arial" w:hAnsi="Arial" w:cs="Arial"/>
          <w:sz w:val="20"/>
        </w:rPr>
        <w:t xml:space="preserve"> ve všech krajích ČR. Mezi regiony s nejvyšší koncentrací cizinců patří tradičně Hl. m. Praha</w:t>
      </w:r>
      <w:r>
        <w:rPr>
          <w:rFonts w:ascii="Arial" w:hAnsi="Arial" w:cs="Arial"/>
          <w:sz w:val="20"/>
        </w:rPr>
        <w:t xml:space="preserve"> (343 244</w:t>
      </w:r>
      <w:r w:rsidR="00A425C2" w:rsidRPr="00883A77">
        <w:rPr>
          <w:rFonts w:ascii="Arial" w:hAnsi="Arial" w:cs="Arial"/>
          <w:sz w:val="20"/>
        </w:rPr>
        <w:t xml:space="preserve"> tis.) a Středočeský kraj</w:t>
      </w:r>
      <w:r>
        <w:rPr>
          <w:rFonts w:ascii="Arial" w:hAnsi="Arial" w:cs="Arial"/>
          <w:sz w:val="20"/>
        </w:rPr>
        <w:t xml:space="preserve"> (14</w:t>
      </w:r>
      <w:r w:rsidR="00A425C2" w:rsidRPr="00883A77">
        <w:rPr>
          <w:rFonts w:ascii="Arial" w:hAnsi="Arial" w:cs="Arial"/>
          <w:sz w:val="20"/>
        </w:rPr>
        <w:t>9</w:t>
      </w:r>
      <w:r w:rsidR="005319FE" w:rsidRPr="00883A77">
        <w:rPr>
          <w:rFonts w:ascii="Arial" w:hAnsi="Arial" w:cs="Arial"/>
          <w:sz w:val="20"/>
        </w:rPr>
        <w:t>,1</w:t>
      </w:r>
      <w:r w:rsidR="00A425C2" w:rsidRPr="00883A77">
        <w:rPr>
          <w:rFonts w:ascii="Arial" w:hAnsi="Arial" w:cs="Arial"/>
          <w:sz w:val="20"/>
        </w:rPr>
        <w:t xml:space="preserve"> tis.). Podíl cizinců </w:t>
      </w:r>
      <w:r w:rsidR="00CD73A0">
        <w:rPr>
          <w:rFonts w:ascii="Arial" w:hAnsi="Arial" w:cs="Arial"/>
          <w:sz w:val="20"/>
        </w:rPr>
        <w:t xml:space="preserve">s </w:t>
      </w:r>
      <w:r w:rsidR="00CD73A0" w:rsidRPr="00883A77">
        <w:rPr>
          <w:rFonts w:ascii="Arial" w:hAnsi="Arial" w:cs="Arial"/>
          <w:sz w:val="20"/>
        </w:rPr>
        <w:t>registrovaný</w:t>
      </w:r>
      <w:r w:rsidR="00CD73A0">
        <w:rPr>
          <w:rFonts w:ascii="Arial" w:hAnsi="Arial" w:cs="Arial"/>
          <w:sz w:val="20"/>
        </w:rPr>
        <w:t>m pobytem</w:t>
      </w:r>
      <w:r w:rsidR="00CD73A0" w:rsidRPr="00883A77">
        <w:rPr>
          <w:rFonts w:ascii="Arial" w:hAnsi="Arial" w:cs="Arial"/>
          <w:sz w:val="20"/>
        </w:rPr>
        <w:t xml:space="preserve"> </w:t>
      </w:r>
      <w:r w:rsidR="00A425C2" w:rsidRPr="00883A77">
        <w:rPr>
          <w:rFonts w:ascii="Arial" w:hAnsi="Arial" w:cs="Arial"/>
          <w:sz w:val="20"/>
        </w:rPr>
        <w:t>v našem hlavním městě se však oproti roku 202</w:t>
      </w:r>
      <w:r w:rsidR="005319FE" w:rsidRPr="00883A77">
        <w:rPr>
          <w:rFonts w:ascii="Arial" w:hAnsi="Arial" w:cs="Arial"/>
          <w:sz w:val="20"/>
        </w:rPr>
        <w:t>2</w:t>
      </w:r>
      <w:r w:rsidR="00A425C2" w:rsidRPr="00883A77">
        <w:rPr>
          <w:rFonts w:ascii="Arial" w:hAnsi="Arial" w:cs="Arial"/>
          <w:sz w:val="20"/>
        </w:rPr>
        <w:t xml:space="preserve"> </w:t>
      </w:r>
      <w:r w:rsidR="005319FE" w:rsidRPr="00883A77">
        <w:rPr>
          <w:rFonts w:ascii="Arial" w:hAnsi="Arial" w:cs="Arial"/>
          <w:sz w:val="20"/>
        </w:rPr>
        <w:t>o něco zvýšil, a to z</w:t>
      </w:r>
      <w:r w:rsidR="00A425C2" w:rsidRPr="00883A77">
        <w:rPr>
          <w:rFonts w:ascii="Arial" w:hAnsi="Arial" w:cs="Arial"/>
          <w:sz w:val="20"/>
        </w:rPr>
        <w:t xml:space="preserve"> 31,0</w:t>
      </w:r>
      <w:r w:rsidR="00C77DB7">
        <w:rPr>
          <w:rFonts w:ascii="Arial" w:hAnsi="Arial" w:cs="Arial"/>
          <w:sz w:val="20"/>
        </w:rPr>
        <w:t> %</w:t>
      </w:r>
      <w:r w:rsidR="00CD73A0">
        <w:rPr>
          <w:rFonts w:ascii="Arial" w:hAnsi="Arial" w:cs="Arial"/>
          <w:sz w:val="20"/>
        </w:rPr>
        <w:t xml:space="preserve"> na 32,2</w:t>
      </w:r>
      <w:r w:rsidR="00C77DB7">
        <w:rPr>
          <w:rFonts w:ascii="Arial" w:hAnsi="Arial" w:cs="Arial"/>
          <w:sz w:val="20"/>
        </w:rPr>
        <w:t> %</w:t>
      </w:r>
      <w:r w:rsidR="00A425C2" w:rsidRPr="00883A77">
        <w:rPr>
          <w:rFonts w:ascii="Arial" w:hAnsi="Arial" w:cs="Arial"/>
          <w:sz w:val="20"/>
        </w:rPr>
        <w:t xml:space="preserve"> Oproti tomu na území Středočeského kraje zůstal podíl cizinců v meziročním srovnání zhruba na stejné úrovni a dosáhl hodnoty</w:t>
      </w:r>
      <w:r w:rsidR="005319FE" w:rsidRPr="00883A77">
        <w:rPr>
          <w:rFonts w:ascii="Arial" w:hAnsi="Arial" w:cs="Arial"/>
          <w:sz w:val="20"/>
        </w:rPr>
        <w:t xml:space="preserve"> 14,0</w:t>
      </w:r>
      <w:r w:rsidR="00C77DB7">
        <w:rPr>
          <w:rFonts w:ascii="Arial" w:hAnsi="Arial" w:cs="Arial"/>
          <w:sz w:val="20"/>
        </w:rPr>
        <w:t> %</w:t>
      </w:r>
      <w:r w:rsidR="00A425C2" w:rsidRPr="00883A77">
        <w:rPr>
          <w:rFonts w:ascii="Arial" w:hAnsi="Arial" w:cs="Arial"/>
          <w:sz w:val="20"/>
        </w:rPr>
        <w:t xml:space="preserve"> (tj. o 0,</w:t>
      </w:r>
      <w:r w:rsidR="005319FE" w:rsidRPr="00883A77">
        <w:rPr>
          <w:rFonts w:ascii="Arial" w:hAnsi="Arial" w:cs="Arial"/>
          <w:sz w:val="20"/>
        </w:rPr>
        <w:t>4</w:t>
      </w:r>
      <w:r w:rsidR="00A425C2" w:rsidRPr="00883A77">
        <w:rPr>
          <w:rFonts w:ascii="Arial" w:hAnsi="Arial" w:cs="Arial"/>
          <w:sz w:val="20"/>
        </w:rPr>
        <w:t xml:space="preserve"> p. b. méně než v roce 202</w:t>
      </w:r>
      <w:r w:rsidR="005319FE" w:rsidRPr="00883A77">
        <w:rPr>
          <w:rFonts w:ascii="Arial" w:hAnsi="Arial" w:cs="Arial"/>
          <w:sz w:val="20"/>
        </w:rPr>
        <w:t>2</w:t>
      </w:r>
      <w:r w:rsidR="00A425C2" w:rsidRPr="00883A77">
        <w:rPr>
          <w:rFonts w:ascii="Arial" w:hAnsi="Arial" w:cs="Arial"/>
          <w:sz w:val="20"/>
        </w:rPr>
        <w:t>). V pořadí z hlediska zastoupení cizinců dále následují kraje Jihomoravs</w:t>
      </w:r>
      <w:r w:rsidR="006E7B48">
        <w:rPr>
          <w:rFonts w:ascii="Arial" w:hAnsi="Arial" w:cs="Arial"/>
          <w:sz w:val="20"/>
        </w:rPr>
        <w:t>ký (10,0</w:t>
      </w:r>
      <w:r w:rsidR="00C77DB7">
        <w:rPr>
          <w:rFonts w:ascii="Arial" w:hAnsi="Arial" w:cs="Arial"/>
          <w:sz w:val="20"/>
        </w:rPr>
        <w:t> %</w:t>
      </w:r>
      <w:r w:rsidR="006E7B48">
        <w:rPr>
          <w:rFonts w:ascii="Arial" w:hAnsi="Arial" w:cs="Arial"/>
          <w:sz w:val="20"/>
        </w:rPr>
        <w:t>), Plzeňský (7,3</w:t>
      </w:r>
      <w:r w:rsidR="00C77DB7">
        <w:rPr>
          <w:rFonts w:ascii="Arial" w:hAnsi="Arial" w:cs="Arial"/>
          <w:sz w:val="20"/>
        </w:rPr>
        <w:t> %</w:t>
      </w:r>
      <w:r w:rsidR="006E7B48">
        <w:rPr>
          <w:rFonts w:ascii="Arial" w:hAnsi="Arial" w:cs="Arial"/>
          <w:sz w:val="20"/>
        </w:rPr>
        <w:t xml:space="preserve">) a </w:t>
      </w:r>
      <w:r w:rsidR="00A425C2" w:rsidRPr="00883A77">
        <w:rPr>
          <w:rFonts w:ascii="Arial" w:hAnsi="Arial" w:cs="Arial"/>
          <w:sz w:val="20"/>
        </w:rPr>
        <w:t>Ústecký (5,</w:t>
      </w:r>
      <w:r w:rsidR="005319FE" w:rsidRPr="00883A77">
        <w:rPr>
          <w:rFonts w:ascii="Arial" w:hAnsi="Arial" w:cs="Arial"/>
          <w:sz w:val="20"/>
        </w:rPr>
        <w:t>2</w:t>
      </w:r>
      <w:r w:rsidR="00C77DB7">
        <w:rPr>
          <w:rFonts w:ascii="Arial" w:hAnsi="Arial" w:cs="Arial"/>
          <w:sz w:val="20"/>
        </w:rPr>
        <w:t> %</w:t>
      </w:r>
      <w:r w:rsidR="00A425C2" w:rsidRPr="00883A77">
        <w:rPr>
          <w:rFonts w:ascii="Arial" w:hAnsi="Arial" w:cs="Arial"/>
          <w:sz w:val="20"/>
        </w:rPr>
        <w:t>).</w:t>
      </w:r>
      <w:r w:rsidRPr="00883A77">
        <w:rPr>
          <w:rFonts w:ascii="Arial" w:hAnsi="Arial" w:cs="Arial"/>
          <w:sz w:val="20"/>
        </w:rPr>
        <w:t xml:space="preserve"> Ani u jednoho z výše jmenovaných krajů se oproti roku 2022 </w:t>
      </w:r>
      <w:r w:rsidR="00CD73A0">
        <w:rPr>
          <w:rFonts w:ascii="Arial" w:hAnsi="Arial" w:cs="Arial"/>
          <w:sz w:val="20"/>
        </w:rPr>
        <w:t>uvedené podíly</w:t>
      </w:r>
      <w:r w:rsidR="005057E2">
        <w:rPr>
          <w:rFonts w:ascii="Arial" w:hAnsi="Arial" w:cs="Arial"/>
          <w:sz w:val="20"/>
        </w:rPr>
        <w:t xml:space="preserve"> výrazně ne</w:t>
      </w:r>
      <w:r w:rsidR="00CD73A0">
        <w:rPr>
          <w:rFonts w:ascii="Arial" w:hAnsi="Arial" w:cs="Arial"/>
          <w:sz w:val="20"/>
        </w:rPr>
        <w:t>z</w:t>
      </w:r>
      <w:r w:rsidR="005057E2">
        <w:rPr>
          <w:rFonts w:ascii="Arial" w:hAnsi="Arial" w:cs="Arial"/>
          <w:sz w:val="20"/>
        </w:rPr>
        <w:t xml:space="preserve">měnily. </w:t>
      </w:r>
      <w:r w:rsidRPr="00883A77">
        <w:rPr>
          <w:rFonts w:ascii="Arial" w:hAnsi="Arial" w:cs="Arial"/>
          <w:sz w:val="20"/>
        </w:rPr>
        <w:t>Stejně tomu tak bylo i u regionů s nejnižší koncentrací cizinců, mezi něž patří Zlínský kraj (2,4</w:t>
      </w:r>
      <w:r w:rsidR="00C77DB7">
        <w:rPr>
          <w:rFonts w:ascii="Arial" w:hAnsi="Arial" w:cs="Arial"/>
          <w:sz w:val="20"/>
        </w:rPr>
        <w:t> %</w:t>
      </w:r>
      <w:r w:rsidRPr="00883A77">
        <w:rPr>
          <w:rFonts w:ascii="Arial" w:hAnsi="Arial" w:cs="Arial"/>
          <w:sz w:val="20"/>
        </w:rPr>
        <w:t>) a Kraj Vysočina (2,8</w:t>
      </w:r>
      <w:r w:rsidR="00C77DB7">
        <w:rPr>
          <w:rFonts w:ascii="Arial" w:hAnsi="Arial" w:cs="Arial"/>
          <w:sz w:val="20"/>
        </w:rPr>
        <w:t> %</w:t>
      </w:r>
      <w:r w:rsidRPr="00883A77">
        <w:rPr>
          <w:rFonts w:ascii="Arial" w:hAnsi="Arial" w:cs="Arial"/>
          <w:sz w:val="20"/>
        </w:rPr>
        <w:t>).</w:t>
      </w:r>
    </w:p>
    <w:p w14:paraId="46A1E1CF" w14:textId="77777777" w:rsidR="00423688" w:rsidRDefault="00423688" w:rsidP="006E7B48">
      <w:pPr>
        <w:spacing w:after="0" w:line="360" w:lineRule="auto"/>
        <w:ind w:firstLine="709"/>
        <w:jc w:val="both"/>
        <w:rPr>
          <w:rFonts w:cs="Arial"/>
          <w:szCs w:val="20"/>
        </w:rPr>
      </w:pPr>
    </w:p>
    <w:bookmarkEnd w:id="1"/>
    <w:p w14:paraId="2950C8A5" w14:textId="77777777" w:rsidR="00510145" w:rsidRDefault="00510145" w:rsidP="00CD73A0">
      <w:pPr>
        <w:spacing w:line="360" w:lineRule="auto"/>
        <w:rPr>
          <w:b/>
          <w:sz w:val="32"/>
          <w:szCs w:val="32"/>
        </w:rPr>
      </w:pPr>
    </w:p>
    <w:sectPr w:rsidR="00510145" w:rsidSect="00837FF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pgSz w:w="11906" w:h="16838" w:code="9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8AA248" w14:textId="77777777" w:rsidR="007A58F0" w:rsidRDefault="007A58F0" w:rsidP="00E71A58">
      <w:r>
        <w:separator/>
      </w:r>
    </w:p>
  </w:endnote>
  <w:endnote w:type="continuationSeparator" w:id="0">
    <w:p w14:paraId="671DF4ED" w14:textId="77777777" w:rsidR="007A58F0" w:rsidRDefault="007A58F0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9946C6" w14:textId="5FD4BE31" w:rsidR="00AF60C4" w:rsidRPr="00F1639F" w:rsidRDefault="00AF60C4" w:rsidP="00A418BC">
    <w:pPr>
      <w:pStyle w:val="Zpat"/>
      <w:rPr>
        <w:szCs w:val="16"/>
      </w:rPr>
    </w:pPr>
    <w:r>
      <w:rPr>
        <w:lang w:eastAsia="cs-CZ"/>
      </w:rPr>
      <w:drawing>
        <wp:anchor distT="0" distB="0" distL="114300" distR="114300" simplePos="0" relativeHeight="251658240" behindDoc="0" locked="0" layoutInCell="1" allowOverlap="1" wp14:anchorId="44BAEB73" wp14:editId="51E77045">
          <wp:simplePos x="0" y="0"/>
          <wp:positionH relativeFrom="column">
            <wp:align>right</wp:align>
          </wp:positionH>
          <wp:positionV relativeFrom="paragraph">
            <wp:posOffset>-64770</wp:posOffset>
          </wp:positionV>
          <wp:extent cx="424815" cy="202565"/>
          <wp:effectExtent l="0" t="0" r="0" b="0"/>
          <wp:wrapNone/>
          <wp:docPr id="13" name="obrázek 13" descr="CSU RGB CB CZ 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CSU RGB CB CZ logo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4815" cy="2025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1639F">
      <w:rPr>
        <w:szCs w:val="16"/>
      </w:rPr>
      <w:fldChar w:fldCharType="begin"/>
    </w:r>
    <w:r w:rsidRPr="00F1639F">
      <w:rPr>
        <w:szCs w:val="16"/>
      </w:rPr>
      <w:instrText>PAGE   \* MERGEFORMAT</w:instrText>
    </w:r>
    <w:r w:rsidRPr="00F1639F">
      <w:rPr>
        <w:szCs w:val="16"/>
      </w:rPr>
      <w:fldChar w:fldCharType="separate"/>
    </w:r>
    <w:r w:rsidR="006C07A5">
      <w:rPr>
        <w:szCs w:val="16"/>
      </w:rPr>
      <w:t>2</w:t>
    </w:r>
    <w:r w:rsidRPr="00F1639F">
      <w:rPr>
        <w:szCs w:val="16"/>
      </w:rPr>
      <w:fldChar w:fldCharType="end"/>
    </w:r>
    <w:r>
      <w:rPr>
        <w:szCs w:val="16"/>
      </w:rPr>
      <w:tab/>
      <w:t>2024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1DA7BE" w14:textId="66402B7B" w:rsidR="00AF60C4" w:rsidRPr="00F1639F" w:rsidRDefault="00AF60C4" w:rsidP="00A418BC">
    <w:pPr>
      <w:pStyle w:val="Zpat"/>
      <w:rPr>
        <w:szCs w:val="16"/>
      </w:rPr>
    </w:pPr>
    <w:r>
      <w:rPr>
        <w:lang w:eastAsia="cs-CZ"/>
      </w:rPr>
      <w:drawing>
        <wp:anchor distT="0" distB="0" distL="114300" distR="114300" simplePos="0" relativeHeight="251657216" behindDoc="0" locked="0" layoutInCell="1" allowOverlap="1" wp14:anchorId="36CAEA92" wp14:editId="2195C546">
          <wp:simplePos x="0" y="0"/>
          <wp:positionH relativeFrom="column">
            <wp:align>left</wp:align>
          </wp:positionH>
          <wp:positionV relativeFrom="paragraph">
            <wp:posOffset>-122555</wp:posOffset>
          </wp:positionV>
          <wp:extent cx="514350" cy="271780"/>
          <wp:effectExtent l="0" t="0" r="0" b="0"/>
          <wp:wrapNone/>
          <wp:docPr id="12" name="obrázek 12" descr="CSU RGB CB CZ logo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CSU RGB CB CZ logo-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4350" cy="2717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1639F">
      <w:rPr>
        <w:szCs w:val="16"/>
      </w:rPr>
      <w:tab/>
    </w:r>
    <w:r>
      <w:rPr>
        <w:rStyle w:val="ZpatChar"/>
        <w:szCs w:val="16"/>
      </w:rPr>
      <w:t>2024</w:t>
    </w:r>
    <w:r w:rsidRPr="00F1639F">
      <w:rPr>
        <w:szCs w:val="16"/>
      </w:rPr>
      <w:tab/>
    </w:r>
    <w:r w:rsidRPr="00F1639F">
      <w:rPr>
        <w:rStyle w:val="ZpatChar"/>
        <w:szCs w:val="16"/>
      </w:rPr>
      <w:fldChar w:fldCharType="begin"/>
    </w:r>
    <w:r w:rsidRPr="00F1639F">
      <w:rPr>
        <w:rStyle w:val="ZpatChar"/>
        <w:szCs w:val="16"/>
      </w:rPr>
      <w:instrText>PAGE   \* MERGEFORMAT</w:instrText>
    </w:r>
    <w:r w:rsidRPr="00F1639F">
      <w:rPr>
        <w:rStyle w:val="ZpatChar"/>
        <w:szCs w:val="16"/>
      </w:rPr>
      <w:fldChar w:fldCharType="separate"/>
    </w:r>
    <w:r w:rsidR="006C07A5">
      <w:rPr>
        <w:rStyle w:val="ZpatChar"/>
        <w:szCs w:val="16"/>
      </w:rPr>
      <w:t>1</w:t>
    </w:r>
    <w:r w:rsidRPr="00F1639F">
      <w:rPr>
        <w:rStyle w:val="ZpatChar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E62742" w14:textId="77777777" w:rsidR="007A58F0" w:rsidRDefault="007A58F0" w:rsidP="00E71A58">
      <w:r>
        <w:separator/>
      </w:r>
    </w:p>
  </w:footnote>
  <w:footnote w:type="continuationSeparator" w:id="0">
    <w:p w14:paraId="7F5B9E59" w14:textId="77777777" w:rsidR="007A58F0" w:rsidRDefault="007A58F0" w:rsidP="00E71A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482894" w14:textId="77777777" w:rsidR="00AF60C4" w:rsidRPr="00937AE2" w:rsidRDefault="00AF60C4" w:rsidP="00937AE2">
    <w:pPr>
      <w:pStyle w:val="Zhlav"/>
    </w:pPr>
    <w:r>
      <w:t>Život cizinců v ČR</w:t>
    </w:r>
  </w:p>
  <w:p w14:paraId="374999CC" w14:textId="77777777" w:rsidR="00AF60C4" w:rsidRPr="00937AE2" w:rsidRDefault="00AF60C4" w:rsidP="00937AE2">
    <w:pPr>
      <w:pStyle w:val="Zhlav"/>
      <w:rPr>
        <w:i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A8FDB4" w14:textId="77777777" w:rsidR="00AF60C4" w:rsidRPr="00937AE2" w:rsidRDefault="00AF60C4" w:rsidP="00937AE2">
    <w:pPr>
      <w:pStyle w:val="Zhlav"/>
    </w:pPr>
    <w:r>
      <w:t>Život cizinců v ČR</w:t>
    </w:r>
  </w:p>
  <w:p w14:paraId="4419BD34" w14:textId="77777777" w:rsidR="00AF60C4" w:rsidRPr="00937AE2" w:rsidRDefault="00AF60C4" w:rsidP="00937AE2">
    <w:pPr>
      <w:pStyle w:val="Zhlav"/>
      <w:rPr>
        <w:i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B1AAB4" w14:textId="1A47ADD0" w:rsidR="00837FFE" w:rsidRDefault="00837FFE">
    <w:pPr>
      <w:pStyle w:val="Zhlav"/>
    </w:pPr>
    <w:r>
      <w:t>Život cizinců v ČR</w:t>
    </w:r>
  </w:p>
  <w:p w14:paraId="28A224E0" w14:textId="77777777" w:rsidR="00837FFE" w:rsidRDefault="00837FF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CB6415"/>
    <w:multiLevelType w:val="hybridMultilevel"/>
    <w:tmpl w:val="D5B2BD4E"/>
    <w:lvl w:ilvl="0" w:tplc="8402BEC4">
      <w:numFmt w:val="bullet"/>
      <w:lvlText w:val="-"/>
      <w:lvlJc w:val="left"/>
      <w:pPr>
        <w:ind w:left="786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1" w15:restartNumberingAfterBreak="0">
    <w:nsid w:val="1FF23BFA"/>
    <w:multiLevelType w:val="hybridMultilevel"/>
    <w:tmpl w:val="5112AB96"/>
    <w:lvl w:ilvl="0" w:tplc="26B8B006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2"/>
  </w:num>
  <w:num w:numId="13">
    <w:abstractNumId w:val="14"/>
  </w:num>
  <w:num w:numId="14">
    <w:abstractNumId w:val="10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78D0"/>
    <w:rsid w:val="0000209D"/>
    <w:rsid w:val="00003DFA"/>
    <w:rsid w:val="00004D37"/>
    <w:rsid w:val="00004D5A"/>
    <w:rsid w:val="000056D5"/>
    <w:rsid w:val="000059BC"/>
    <w:rsid w:val="00005BCC"/>
    <w:rsid w:val="0000767A"/>
    <w:rsid w:val="00010702"/>
    <w:rsid w:val="00011679"/>
    <w:rsid w:val="00012C27"/>
    <w:rsid w:val="00012DBB"/>
    <w:rsid w:val="00015A62"/>
    <w:rsid w:val="000164C8"/>
    <w:rsid w:val="00016583"/>
    <w:rsid w:val="000209D3"/>
    <w:rsid w:val="00022091"/>
    <w:rsid w:val="000234D6"/>
    <w:rsid w:val="00023D29"/>
    <w:rsid w:val="00025C29"/>
    <w:rsid w:val="00026389"/>
    <w:rsid w:val="00026B97"/>
    <w:rsid w:val="00031AE0"/>
    <w:rsid w:val="000322EF"/>
    <w:rsid w:val="00033FCD"/>
    <w:rsid w:val="00034B4C"/>
    <w:rsid w:val="00041CEC"/>
    <w:rsid w:val="00043075"/>
    <w:rsid w:val="0004395B"/>
    <w:rsid w:val="000444DD"/>
    <w:rsid w:val="00044CC4"/>
    <w:rsid w:val="0004694F"/>
    <w:rsid w:val="00051CBD"/>
    <w:rsid w:val="000522E4"/>
    <w:rsid w:val="00053F1D"/>
    <w:rsid w:val="000542A9"/>
    <w:rsid w:val="0005491D"/>
    <w:rsid w:val="00054DC6"/>
    <w:rsid w:val="00055566"/>
    <w:rsid w:val="000577E5"/>
    <w:rsid w:val="00060C89"/>
    <w:rsid w:val="000610E1"/>
    <w:rsid w:val="00062EC5"/>
    <w:rsid w:val="00062F22"/>
    <w:rsid w:val="0006561C"/>
    <w:rsid w:val="000661E3"/>
    <w:rsid w:val="00067703"/>
    <w:rsid w:val="000712B3"/>
    <w:rsid w:val="000717D2"/>
    <w:rsid w:val="00072CE9"/>
    <w:rsid w:val="00072F34"/>
    <w:rsid w:val="00073D94"/>
    <w:rsid w:val="00074D45"/>
    <w:rsid w:val="000752A6"/>
    <w:rsid w:val="000777FE"/>
    <w:rsid w:val="00077F6B"/>
    <w:rsid w:val="0008263E"/>
    <w:rsid w:val="00082AFF"/>
    <w:rsid w:val="00082C19"/>
    <w:rsid w:val="000831CA"/>
    <w:rsid w:val="00085395"/>
    <w:rsid w:val="00086B46"/>
    <w:rsid w:val="00087634"/>
    <w:rsid w:val="00087F2B"/>
    <w:rsid w:val="00091AA4"/>
    <w:rsid w:val="000930E5"/>
    <w:rsid w:val="00093BEB"/>
    <w:rsid w:val="00096EFD"/>
    <w:rsid w:val="000974D1"/>
    <w:rsid w:val="0009799E"/>
    <w:rsid w:val="000A1183"/>
    <w:rsid w:val="000A256D"/>
    <w:rsid w:val="000A2F2C"/>
    <w:rsid w:val="000A3A2C"/>
    <w:rsid w:val="000A5DE4"/>
    <w:rsid w:val="000B3420"/>
    <w:rsid w:val="000B42BA"/>
    <w:rsid w:val="000B7472"/>
    <w:rsid w:val="000C3408"/>
    <w:rsid w:val="000C4E87"/>
    <w:rsid w:val="000C6AFD"/>
    <w:rsid w:val="000D5637"/>
    <w:rsid w:val="000D61B3"/>
    <w:rsid w:val="000E6FBD"/>
    <w:rsid w:val="000F32C2"/>
    <w:rsid w:val="000F680B"/>
    <w:rsid w:val="000F7611"/>
    <w:rsid w:val="00100F5C"/>
    <w:rsid w:val="00101065"/>
    <w:rsid w:val="0010113C"/>
    <w:rsid w:val="001019C6"/>
    <w:rsid w:val="001036EF"/>
    <w:rsid w:val="00104C4C"/>
    <w:rsid w:val="00107204"/>
    <w:rsid w:val="001106BC"/>
    <w:rsid w:val="0011181C"/>
    <w:rsid w:val="0012192F"/>
    <w:rsid w:val="001248B1"/>
    <w:rsid w:val="00125D69"/>
    <w:rsid w:val="00131B51"/>
    <w:rsid w:val="001345F1"/>
    <w:rsid w:val="001348A0"/>
    <w:rsid w:val="00137C68"/>
    <w:rsid w:val="001405FA"/>
    <w:rsid w:val="001424A3"/>
    <w:rsid w:val="001425C3"/>
    <w:rsid w:val="0014298B"/>
    <w:rsid w:val="00144468"/>
    <w:rsid w:val="0015443E"/>
    <w:rsid w:val="001547CF"/>
    <w:rsid w:val="0015531B"/>
    <w:rsid w:val="00155898"/>
    <w:rsid w:val="001600AA"/>
    <w:rsid w:val="0016038F"/>
    <w:rsid w:val="0016256B"/>
    <w:rsid w:val="00163511"/>
    <w:rsid w:val="00163793"/>
    <w:rsid w:val="00163B30"/>
    <w:rsid w:val="00164DE9"/>
    <w:rsid w:val="001676D2"/>
    <w:rsid w:val="00167C7B"/>
    <w:rsid w:val="001706D6"/>
    <w:rsid w:val="001714F2"/>
    <w:rsid w:val="00176405"/>
    <w:rsid w:val="00180B0B"/>
    <w:rsid w:val="00180BC7"/>
    <w:rsid w:val="001816D0"/>
    <w:rsid w:val="00181756"/>
    <w:rsid w:val="00183EBB"/>
    <w:rsid w:val="00184B08"/>
    <w:rsid w:val="00185010"/>
    <w:rsid w:val="00191164"/>
    <w:rsid w:val="00193B38"/>
    <w:rsid w:val="00194B6E"/>
    <w:rsid w:val="00197708"/>
    <w:rsid w:val="00197B26"/>
    <w:rsid w:val="001A1DB4"/>
    <w:rsid w:val="001A32F7"/>
    <w:rsid w:val="001A3E0A"/>
    <w:rsid w:val="001A3F36"/>
    <w:rsid w:val="001A552F"/>
    <w:rsid w:val="001A798E"/>
    <w:rsid w:val="001B2CA9"/>
    <w:rsid w:val="001B3110"/>
    <w:rsid w:val="001B4729"/>
    <w:rsid w:val="001B6C09"/>
    <w:rsid w:val="001B7D98"/>
    <w:rsid w:val="001C05CD"/>
    <w:rsid w:val="001C108C"/>
    <w:rsid w:val="001C10DD"/>
    <w:rsid w:val="001C4016"/>
    <w:rsid w:val="001C62FD"/>
    <w:rsid w:val="001C7F82"/>
    <w:rsid w:val="001D0E9D"/>
    <w:rsid w:val="001D683C"/>
    <w:rsid w:val="001D68B2"/>
    <w:rsid w:val="001D72D7"/>
    <w:rsid w:val="001D7BEB"/>
    <w:rsid w:val="001E54D2"/>
    <w:rsid w:val="001E56F4"/>
    <w:rsid w:val="001F4597"/>
    <w:rsid w:val="001F6A35"/>
    <w:rsid w:val="002014BA"/>
    <w:rsid w:val="00202EC2"/>
    <w:rsid w:val="0020348A"/>
    <w:rsid w:val="00204214"/>
    <w:rsid w:val="002069FA"/>
    <w:rsid w:val="002118B9"/>
    <w:rsid w:val="002126E1"/>
    <w:rsid w:val="00217C5B"/>
    <w:rsid w:val="0022139E"/>
    <w:rsid w:val="002247B6"/>
    <w:rsid w:val="002252E0"/>
    <w:rsid w:val="002255F6"/>
    <w:rsid w:val="00226B43"/>
    <w:rsid w:val="002277F0"/>
    <w:rsid w:val="00227850"/>
    <w:rsid w:val="00230C6E"/>
    <w:rsid w:val="00233411"/>
    <w:rsid w:val="002357A9"/>
    <w:rsid w:val="00236443"/>
    <w:rsid w:val="002436BA"/>
    <w:rsid w:val="00243DC9"/>
    <w:rsid w:val="00244A06"/>
    <w:rsid w:val="00244A15"/>
    <w:rsid w:val="00244BEC"/>
    <w:rsid w:val="002456B2"/>
    <w:rsid w:val="00245F90"/>
    <w:rsid w:val="00247319"/>
    <w:rsid w:val="0024799E"/>
    <w:rsid w:val="0025194F"/>
    <w:rsid w:val="00251AE4"/>
    <w:rsid w:val="00253C0F"/>
    <w:rsid w:val="0025476B"/>
    <w:rsid w:val="002559DD"/>
    <w:rsid w:val="00260E82"/>
    <w:rsid w:val="00261235"/>
    <w:rsid w:val="00262F9A"/>
    <w:rsid w:val="0026595E"/>
    <w:rsid w:val="00266083"/>
    <w:rsid w:val="0027084F"/>
    <w:rsid w:val="00271465"/>
    <w:rsid w:val="002746D9"/>
    <w:rsid w:val="002774FC"/>
    <w:rsid w:val="0028004B"/>
    <w:rsid w:val="002836CB"/>
    <w:rsid w:val="00285412"/>
    <w:rsid w:val="002860F9"/>
    <w:rsid w:val="00286B55"/>
    <w:rsid w:val="00291FE8"/>
    <w:rsid w:val="00292EC7"/>
    <w:rsid w:val="002956FA"/>
    <w:rsid w:val="002A16D4"/>
    <w:rsid w:val="002A230C"/>
    <w:rsid w:val="002A2CF6"/>
    <w:rsid w:val="002A34C0"/>
    <w:rsid w:val="002A6219"/>
    <w:rsid w:val="002A648D"/>
    <w:rsid w:val="002A6A9A"/>
    <w:rsid w:val="002B125F"/>
    <w:rsid w:val="002B3E6E"/>
    <w:rsid w:val="002B7541"/>
    <w:rsid w:val="002C43BD"/>
    <w:rsid w:val="002D0E59"/>
    <w:rsid w:val="002D713A"/>
    <w:rsid w:val="002D7564"/>
    <w:rsid w:val="002E02A1"/>
    <w:rsid w:val="002E1160"/>
    <w:rsid w:val="002E4A05"/>
    <w:rsid w:val="002E4E4C"/>
    <w:rsid w:val="002E57D3"/>
    <w:rsid w:val="002F0678"/>
    <w:rsid w:val="002F5CA0"/>
    <w:rsid w:val="002F6241"/>
    <w:rsid w:val="002F79B0"/>
    <w:rsid w:val="003008F8"/>
    <w:rsid w:val="00304771"/>
    <w:rsid w:val="003052D4"/>
    <w:rsid w:val="00305E47"/>
    <w:rsid w:val="00306868"/>
    <w:rsid w:val="00306C5B"/>
    <w:rsid w:val="00312DEE"/>
    <w:rsid w:val="00314954"/>
    <w:rsid w:val="0031771B"/>
    <w:rsid w:val="00317E29"/>
    <w:rsid w:val="00317EAA"/>
    <w:rsid w:val="003207F2"/>
    <w:rsid w:val="003209D6"/>
    <w:rsid w:val="00322370"/>
    <w:rsid w:val="003249BC"/>
    <w:rsid w:val="0032599F"/>
    <w:rsid w:val="0032656E"/>
    <w:rsid w:val="0033211F"/>
    <w:rsid w:val="00332190"/>
    <w:rsid w:val="0033564E"/>
    <w:rsid w:val="003429FE"/>
    <w:rsid w:val="00344668"/>
    <w:rsid w:val="003462D9"/>
    <w:rsid w:val="00354F00"/>
    <w:rsid w:val="00357B26"/>
    <w:rsid w:val="003609A8"/>
    <w:rsid w:val="003657F3"/>
    <w:rsid w:val="00370207"/>
    <w:rsid w:val="003703A7"/>
    <w:rsid w:val="003774BD"/>
    <w:rsid w:val="003818DC"/>
    <w:rsid w:val="00381BEF"/>
    <w:rsid w:val="003855F0"/>
    <w:rsid w:val="00385D98"/>
    <w:rsid w:val="003872B8"/>
    <w:rsid w:val="00392330"/>
    <w:rsid w:val="0039454D"/>
    <w:rsid w:val="00394B6E"/>
    <w:rsid w:val="00397E82"/>
    <w:rsid w:val="003A1D38"/>
    <w:rsid w:val="003A1F0A"/>
    <w:rsid w:val="003A2B4D"/>
    <w:rsid w:val="003A478C"/>
    <w:rsid w:val="003A5525"/>
    <w:rsid w:val="003A6B38"/>
    <w:rsid w:val="003A78AF"/>
    <w:rsid w:val="003B072C"/>
    <w:rsid w:val="003B0814"/>
    <w:rsid w:val="003B5A32"/>
    <w:rsid w:val="003B647E"/>
    <w:rsid w:val="003B6B26"/>
    <w:rsid w:val="003B70F6"/>
    <w:rsid w:val="003B74AD"/>
    <w:rsid w:val="003C0915"/>
    <w:rsid w:val="003C3490"/>
    <w:rsid w:val="003C45E7"/>
    <w:rsid w:val="003C66A1"/>
    <w:rsid w:val="003C6F29"/>
    <w:rsid w:val="003D09EB"/>
    <w:rsid w:val="003D3BEB"/>
    <w:rsid w:val="003D4684"/>
    <w:rsid w:val="003D6920"/>
    <w:rsid w:val="003E0E12"/>
    <w:rsid w:val="003E4C91"/>
    <w:rsid w:val="003F0932"/>
    <w:rsid w:val="003F121C"/>
    <w:rsid w:val="003F313C"/>
    <w:rsid w:val="003F551C"/>
    <w:rsid w:val="004039E9"/>
    <w:rsid w:val="0040771C"/>
    <w:rsid w:val="00407C13"/>
    <w:rsid w:val="00410638"/>
    <w:rsid w:val="00411BFC"/>
    <w:rsid w:val="00415988"/>
    <w:rsid w:val="0041671F"/>
    <w:rsid w:val="004229F8"/>
    <w:rsid w:val="00423688"/>
    <w:rsid w:val="00427721"/>
    <w:rsid w:val="00432A58"/>
    <w:rsid w:val="00432CF2"/>
    <w:rsid w:val="00434617"/>
    <w:rsid w:val="0043612E"/>
    <w:rsid w:val="00437665"/>
    <w:rsid w:val="00437891"/>
    <w:rsid w:val="004401DC"/>
    <w:rsid w:val="00440900"/>
    <w:rsid w:val="004441A0"/>
    <w:rsid w:val="0044519E"/>
    <w:rsid w:val="00447455"/>
    <w:rsid w:val="00451FA4"/>
    <w:rsid w:val="004521CD"/>
    <w:rsid w:val="004523CE"/>
    <w:rsid w:val="004571D3"/>
    <w:rsid w:val="00460874"/>
    <w:rsid w:val="00461DA5"/>
    <w:rsid w:val="00473734"/>
    <w:rsid w:val="00476240"/>
    <w:rsid w:val="00476439"/>
    <w:rsid w:val="0047735C"/>
    <w:rsid w:val="004776BC"/>
    <w:rsid w:val="00480325"/>
    <w:rsid w:val="00480F6B"/>
    <w:rsid w:val="0048139F"/>
    <w:rsid w:val="00481E40"/>
    <w:rsid w:val="00482D26"/>
    <w:rsid w:val="00484ECE"/>
    <w:rsid w:val="0048588F"/>
    <w:rsid w:val="00490060"/>
    <w:rsid w:val="00491033"/>
    <w:rsid w:val="004915CB"/>
    <w:rsid w:val="00491A87"/>
    <w:rsid w:val="00494214"/>
    <w:rsid w:val="00494367"/>
    <w:rsid w:val="004958FE"/>
    <w:rsid w:val="004A11A0"/>
    <w:rsid w:val="004A1719"/>
    <w:rsid w:val="004A1B0D"/>
    <w:rsid w:val="004A290F"/>
    <w:rsid w:val="004A3212"/>
    <w:rsid w:val="004A4158"/>
    <w:rsid w:val="004A5BFF"/>
    <w:rsid w:val="004A61C5"/>
    <w:rsid w:val="004A77DF"/>
    <w:rsid w:val="004A7A5A"/>
    <w:rsid w:val="004B1417"/>
    <w:rsid w:val="004B55B7"/>
    <w:rsid w:val="004B6468"/>
    <w:rsid w:val="004B64F9"/>
    <w:rsid w:val="004C0F90"/>
    <w:rsid w:val="004C384C"/>
    <w:rsid w:val="004C3867"/>
    <w:rsid w:val="004C4CD0"/>
    <w:rsid w:val="004C5CA7"/>
    <w:rsid w:val="004C6669"/>
    <w:rsid w:val="004C70DC"/>
    <w:rsid w:val="004C7A25"/>
    <w:rsid w:val="004C7DF3"/>
    <w:rsid w:val="004C7FEF"/>
    <w:rsid w:val="004D0211"/>
    <w:rsid w:val="004D0794"/>
    <w:rsid w:val="004E00C4"/>
    <w:rsid w:val="004E08D7"/>
    <w:rsid w:val="004E299E"/>
    <w:rsid w:val="004E3F90"/>
    <w:rsid w:val="004F06F5"/>
    <w:rsid w:val="004F33A0"/>
    <w:rsid w:val="004F350F"/>
    <w:rsid w:val="004F78D0"/>
    <w:rsid w:val="004F7A06"/>
    <w:rsid w:val="00500426"/>
    <w:rsid w:val="005057E2"/>
    <w:rsid w:val="00505BD2"/>
    <w:rsid w:val="00510145"/>
    <w:rsid w:val="005108C0"/>
    <w:rsid w:val="00511873"/>
    <w:rsid w:val="00511F5D"/>
    <w:rsid w:val="0051204F"/>
    <w:rsid w:val="00512A2F"/>
    <w:rsid w:val="00513B7E"/>
    <w:rsid w:val="0051566C"/>
    <w:rsid w:val="00515C74"/>
    <w:rsid w:val="00516F86"/>
    <w:rsid w:val="005170F8"/>
    <w:rsid w:val="0052007E"/>
    <w:rsid w:val="0052197E"/>
    <w:rsid w:val="005219A0"/>
    <w:rsid w:val="005227B7"/>
    <w:rsid w:val="0052337A"/>
    <w:rsid w:val="00525137"/>
    <w:rsid w:val="005251DD"/>
    <w:rsid w:val="00525904"/>
    <w:rsid w:val="005319FE"/>
    <w:rsid w:val="00532CE7"/>
    <w:rsid w:val="0053324C"/>
    <w:rsid w:val="00534715"/>
    <w:rsid w:val="00534A28"/>
    <w:rsid w:val="00541508"/>
    <w:rsid w:val="005442C1"/>
    <w:rsid w:val="00547901"/>
    <w:rsid w:val="00551A0E"/>
    <w:rsid w:val="0055599F"/>
    <w:rsid w:val="00556D68"/>
    <w:rsid w:val="005647BF"/>
    <w:rsid w:val="005648AD"/>
    <w:rsid w:val="00567381"/>
    <w:rsid w:val="0056745B"/>
    <w:rsid w:val="00570758"/>
    <w:rsid w:val="00572002"/>
    <w:rsid w:val="005727F3"/>
    <w:rsid w:val="0057364B"/>
    <w:rsid w:val="00574773"/>
    <w:rsid w:val="005830A3"/>
    <w:rsid w:val="00583D5A"/>
    <w:rsid w:val="00583FFD"/>
    <w:rsid w:val="00587974"/>
    <w:rsid w:val="00590827"/>
    <w:rsid w:val="005911BE"/>
    <w:rsid w:val="00592266"/>
    <w:rsid w:val="00593152"/>
    <w:rsid w:val="005A10F2"/>
    <w:rsid w:val="005A21E0"/>
    <w:rsid w:val="005A28FF"/>
    <w:rsid w:val="005A30DD"/>
    <w:rsid w:val="005A3AB5"/>
    <w:rsid w:val="005A3DF8"/>
    <w:rsid w:val="005A5549"/>
    <w:rsid w:val="005A73B8"/>
    <w:rsid w:val="005B02C1"/>
    <w:rsid w:val="005B121D"/>
    <w:rsid w:val="005B386D"/>
    <w:rsid w:val="005B5132"/>
    <w:rsid w:val="005C06ED"/>
    <w:rsid w:val="005C3A9F"/>
    <w:rsid w:val="005D0A5B"/>
    <w:rsid w:val="005D3C85"/>
    <w:rsid w:val="005D4A52"/>
    <w:rsid w:val="005D5802"/>
    <w:rsid w:val="005D7890"/>
    <w:rsid w:val="005D7B15"/>
    <w:rsid w:val="005E2A93"/>
    <w:rsid w:val="005E3920"/>
    <w:rsid w:val="005E3E61"/>
    <w:rsid w:val="005E7C78"/>
    <w:rsid w:val="005F27C2"/>
    <w:rsid w:val="005F3D78"/>
    <w:rsid w:val="005F3EB1"/>
    <w:rsid w:val="00602875"/>
    <w:rsid w:val="00604307"/>
    <w:rsid w:val="00604381"/>
    <w:rsid w:val="0060487F"/>
    <w:rsid w:val="00604EAD"/>
    <w:rsid w:val="00605ACA"/>
    <w:rsid w:val="006104FB"/>
    <w:rsid w:val="00610B7F"/>
    <w:rsid w:val="00612A2F"/>
    <w:rsid w:val="00613020"/>
    <w:rsid w:val="0061461C"/>
    <w:rsid w:val="00616E05"/>
    <w:rsid w:val="00624093"/>
    <w:rsid w:val="006242DA"/>
    <w:rsid w:val="00626A4A"/>
    <w:rsid w:val="00634231"/>
    <w:rsid w:val="0063540D"/>
    <w:rsid w:val="006354A7"/>
    <w:rsid w:val="006404A7"/>
    <w:rsid w:val="0064241F"/>
    <w:rsid w:val="00643DEB"/>
    <w:rsid w:val="006451E4"/>
    <w:rsid w:val="00645B33"/>
    <w:rsid w:val="006500E1"/>
    <w:rsid w:val="00650D9E"/>
    <w:rsid w:val="006516CB"/>
    <w:rsid w:val="00652637"/>
    <w:rsid w:val="006531A2"/>
    <w:rsid w:val="00657E87"/>
    <w:rsid w:val="006630CE"/>
    <w:rsid w:val="00664803"/>
    <w:rsid w:val="0066499A"/>
    <w:rsid w:val="00664F80"/>
    <w:rsid w:val="00665BA4"/>
    <w:rsid w:val="00667AF2"/>
    <w:rsid w:val="00671078"/>
    <w:rsid w:val="006710C9"/>
    <w:rsid w:val="00674D89"/>
    <w:rsid w:val="00675E37"/>
    <w:rsid w:val="00676445"/>
    <w:rsid w:val="006807F4"/>
    <w:rsid w:val="00680B90"/>
    <w:rsid w:val="0068174E"/>
    <w:rsid w:val="00681DCE"/>
    <w:rsid w:val="0068260E"/>
    <w:rsid w:val="00682B3E"/>
    <w:rsid w:val="0069299B"/>
    <w:rsid w:val="00695BEF"/>
    <w:rsid w:val="006977F6"/>
    <w:rsid w:val="00697A13"/>
    <w:rsid w:val="006A109C"/>
    <w:rsid w:val="006A1A26"/>
    <w:rsid w:val="006A234E"/>
    <w:rsid w:val="006A2DAB"/>
    <w:rsid w:val="006A2EE3"/>
    <w:rsid w:val="006A542B"/>
    <w:rsid w:val="006A5825"/>
    <w:rsid w:val="006A6488"/>
    <w:rsid w:val="006B308C"/>
    <w:rsid w:val="006B3156"/>
    <w:rsid w:val="006B344A"/>
    <w:rsid w:val="006B379A"/>
    <w:rsid w:val="006B7535"/>
    <w:rsid w:val="006B78D8"/>
    <w:rsid w:val="006C07A5"/>
    <w:rsid w:val="006C0D39"/>
    <w:rsid w:val="006C113F"/>
    <w:rsid w:val="006C13DE"/>
    <w:rsid w:val="006C360F"/>
    <w:rsid w:val="006C56D4"/>
    <w:rsid w:val="006C6924"/>
    <w:rsid w:val="006C6CAD"/>
    <w:rsid w:val="006C7CA6"/>
    <w:rsid w:val="006D13FE"/>
    <w:rsid w:val="006D1822"/>
    <w:rsid w:val="006D2784"/>
    <w:rsid w:val="006D2E33"/>
    <w:rsid w:val="006D3E8A"/>
    <w:rsid w:val="006D61F6"/>
    <w:rsid w:val="006E14DB"/>
    <w:rsid w:val="006E279A"/>
    <w:rsid w:val="006E2858"/>
    <w:rsid w:val="006E313B"/>
    <w:rsid w:val="006E7B48"/>
    <w:rsid w:val="006F02A9"/>
    <w:rsid w:val="006F0D3F"/>
    <w:rsid w:val="006F1DE5"/>
    <w:rsid w:val="006F625F"/>
    <w:rsid w:val="00703833"/>
    <w:rsid w:val="007056E0"/>
    <w:rsid w:val="00706AD4"/>
    <w:rsid w:val="007140BE"/>
    <w:rsid w:val="007152CE"/>
    <w:rsid w:val="007211F5"/>
    <w:rsid w:val="00723CF6"/>
    <w:rsid w:val="007242B0"/>
    <w:rsid w:val="00725BB5"/>
    <w:rsid w:val="00730AE8"/>
    <w:rsid w:val="00731C33"/>
    <w:rsid w:val="007408AB"/>
    <w:rsid w:val="00741493"/>
    <w:rsid w:val="00745E4A"/>
    <w:rsid w:val="00750AD5"/>
    <w:rsid w:val="00751D33"/>
    <w:rsid w:val="00752180"/>
    <w:rsid w:val="007528B8"/>
    <w:rsid w:val="0075377A"/>
    <w:rsid w:val="00754BFB"/>
    <w:rsid w:val="00755202"/>
    <w:rsid w:val="00755BA8"/>
    <w:rsid w:val="00755D3A"/>
    <w:rsid w:val="007578D3"/>
    <w:rsid w:val="00757983"/>
    <w:rsid w:val="007609C6"/>
    <w:rsid w:val="00760E15"/>
    <w:rsid w:val="00761F2A"/>
    <w:rsid w:val="0076240B"/>
    <w:rsid w:val="00763626"/>
    <w:rsid w:val="0076521E"/>
    <w:rsid w:val="007661E9"/>
    <w:rsid w:val="007736C0"/>
    <w:rsid w:val="00773A57"/>
    <w:rsid w:val="00776169"/>
    <w:rsid w:val="00776527"/>
    <w:rsid w:val="00780EF1"/>
    <w:rsid w:val="00780F5B"/>
    <w:rsid w:val="0078279D"/>
    <w:rsid w:val="00782994"/>
    <w:rsid w:val="007837E6"/>
    <w:rsid w:val="007842C8"/>
    <w:rsid w:val="00784A8B"/>
    <w:rsid w:val="00784C33"/>
    <w:rsid w:val="007850B4"/>
    <w:rsid w:val="00790374"/>
    <w:rsid w:val="00790764"/>
    <w:rsid w:val="00793816"/>
    <w:rsid w:val="007941FD"/>
    <w:rsid w:val="0079453C"/>
    <w:rsid w:val="00794677"/>
    <w:rsid w:val="00795ED5"/>
    <w:rsid w:val="007963DE"/>
    <w:rsid w:val="00796625"/>
    <w:rsid w:val="007A1209"/>
    <w:rsid w:val="007A2A14"/>
    <w:rsid w:val="007A58F0"/>
    <w:rsid w:val="007B1998"/>
    <w:rsid w:val="007B28BA"/>
    <w:rsid w:val="007B302E"/>
    <w:rsid w:val="007B57E5"/>
    <w:rsid w:val="007B5A25"/>
    <w:rsid w:val="007B6689"/>
    <w:rsid w:val="007B6DFD"/>
    <w:rsid w:val="007C3FE1"/>
    <w:rsid w:val="007C5672"/>
    <w:rsid w:val="007D40DF"/>
    <w:rsid w:val="007D44D2"/>
    <w:rsid w:val="007D481E"/>
    <w:rsid w:val="007D5BA4"/>
    <w:rsid w:val="007E501D"/>
    <w:rsid w:val="007E7E61"/>
    <w:rsid w:val="007E7FD0"/>
    <w:rsid w:val="007F0845"/>
    <w:rsid w:val="007F0E4A"/>
    <w:rsid w:val="007F2EB2"/>
    <w:rsid w:val="007F5C69"/>
    <w:rsid w:val="007F70B7"/>
    <w:rsid w:val="007F734D"/>
    <w:rsid w:val="00800306"/>
    <w:rsid w:val="00800EDB"/>
    <w:rsid w:val="00807C82"/>
    <w:rsid w:val="00807ED4"/>
    <w:rsid w:val="00814CA1"/>
    <w:rsid w:val="0081603B"/>
    <w:rsid w:val="00816662"/>
    <w:rsid w:val="00816905"/>
    <w:rsid w:val="00817780"/>
    <w:rsid w:val="00820855"/>
    <w:rsid w:val="00821FF6"/>
    <w:rsid w:val="008226DE"/>
    <w:rsid w:val="008250EA"/>
    <w:rsid w:val="0083143E"/>
    <w:rsid w:val="008316D8"/>
    <w:rsid w:val="00831CDE"/>
    <w:rsid w:val="00834304"/>
    <w:rsid w:val="00834D9A"/>
    <w:rsid w:val="00834FAA"/>
    <w:rsid w:val="00836086"/>
    <w:rsid w:val="00837FFE"/>
    <w:rsid w:val="00840540"/>
    <w:rsid w:val="0084356B"/>
    <w:rsid w:val="00843BDC"/>
    <w:rsid w:val="00845B2D"/>
    <w:rsid w:val="0084708F"/>
    <w:rsid w:val="008477C8"/>
    <w:rsid w:val="00850983"/>
    <w:rsid w:val="00850CA5"/>
    <w:rsid w:val="0085114D"/>
    <w:rsid w:val="00852217"/>
    <w:rsid w:val="00853A71"/>
    <w:rsid w:val="00853BB3"/>
    <w:rsid w:val="00854CFD"/>
    <w:rsid w:val="00855408"/>
    <w:rsid w:val="008556EF"/>
    <w:rsid w:val="00856D65"/>
    <w:rsid w:val="008610FB"/>
    <w:rsid w:val="00861B41"/>
    <w:rsid w:val="00863265"/>
    <w:rsid w:val="008632C1"/>
    <w:rsid w:val="00863434"/>
    <w:rsid w:val="0086482A"/>
    <w:rsid w:val="00865E4C"/>
    <w:rsid w:val="008701E4"/>
    <w:rsid w:val="0087025E"/>
    <w:rsid w:val="00875A32"/>
    <w:rsid w:val="00876086"/>
    <w:rsid w:val="008761BE"/>
    <w:rsid w:val="00877702"/>
    <w:rsid w:val="00881BE6"/>
    <w:rsid w:val="00883A77"/>
    <w:rsid w:val="00884704"/>
    <w:rsid w:val="00884CEF"/>
    <w:rsid w:val="00885E38"/>
    <w:rsid w:val="008873D4"/>
    <w:rsid w:val="00893E85"/>
    <w:rsid w:val="00894031"/>
    <w:rsid w:val="00896F2F"/>
    <w:rsid w:val="008A193F"/>
    <w:rsid w:val="008B00B7"/>
    <w:rsid w:val="008B2D46"/>
    <w:rsid w:val="008B3790"/>
    <w:rsid w:val="008B3E90"/>
    <w:rsid w:val="008B4D2A"/>
    <w:rsid w:val="008B7C02"/>
    <w:rsid w:val="008B7D2B"/>
    <w:rsid w:val="008C0049"/>
    <w:rsid w:val="008C0E88"/>
    <w:rsid w:val="008C106B"/>
    <w:rsid w:val="008C1AA1"/>
    <w:rsid w:val="008C7897"/>
    <w:rsid w:val="008C7C0E"/>
    <w:rsid w:val="008C7D51"/>
    <w:rsid w:val="008D1240"/>
    <w:rsid w:val="008D1E6A"/>
    <w:rsid w:val="008D2A16"/>
    <w:rsid w:val="008D45B6"/>
    <w:rsid w:val="008D6D78"/>
    <w:rsid w:val="008D74FD"/>
    <w:rsid w:val="008E0D24"/>
    <w:rsid w:val="008E1696"/>
    <w:rsid w:val="008E2677"/>
    <w:rsid w:val="008E2C57"/>
    <w:rsid w:val="008E30DB"/>
    <w:rsid w:val="008E31FF"/>
    <w:rsid w:val="008E3487"/>
    <w:rsid w:val="008E6F06"/>
    <w:rsid w:val="008F029B"/>
    <w:rsid w:val="008F343E"/>
    <w:rsid w:val="008F3FC9"/>
    <w:rsid w:val="008F585B"/>
    <w:rsid w:val="009003A8"/>
    <w:rsid w:val="00902500"/>
    <w:rsid w:val="00902EFF"/>
    <w:rsid w:val="009034FE"/>
    <w:rsid w:val="009035E2"/>
    <w:rsid w:val="00907B2C"/>
    <w:rsid w:val="0091155E"/>
    <w:rsid w:val="00912A92"/>
    <w:rsid w:val="0091728D"/>
    <w:rsid w:val="0091747B"/>
    <w:rsid w:val="0092180B"/>
    <w:rsid w:val="00921B7A"/>
    <w:rsid w:val="00921F14"/>
    <w:rsid w:val="009240DB"/>
    <w:rsid w:val="009241D0"/>
    <w:rsid w:val="00924AC8"/>
    <w:rsid w:val="00925977"/>
    <w:rsid w:val="0092597A"/>
    <w:rsid w:val="00930CFE"/>
    <w:rsid w:val="00931AB5"/>
    <w:rsid w:val="00931DB3"/>
    <w:rsid w:val="0093680B"/>
    <w:rsid w:val="00937AE2"/>
    <w:rsid w:val="009440F7"/>
    <w:rsid w:val="0094427A"/>
    <w:rsid w:val="00951A11"/>
    <w:rsid w:val="009531DB"/>
    <w:rsid w:val="00953DF2"/>
    <w:rsid w:val="00953FC6"/>
    <w:rsid w:val="00956240"/>
    <w:rsid w:val="00956655"/>
    <w:rsid w:val="00956F5D"/>
    <w:rsid w:val="009577F5"/>
    <w:rsid w:val="00961544"/>
    <w:rsid w:val="0096172D"/>
    <w:rsid w:val="009627F6"/>
    <w:rsid w:val="00966DAB"/>
    <w:rsid w:val="009708B6"/>
    <w:rsid w:val="0097129A"/>
    <w:rsid w:val="0097228A"/>
    <w:rsid w:val="009726F5"/>
    <w:rsid w:val="00974923"/>
    <w:rsid w:val="00975434"/>
    <w:rsid w:val="00980D3D"/>
    <w:rsid w:val="00983C28"/>
    <w:rsid w:val="00986E23"/>
    <w:rsid w:val="00990103"/>
    <w:rsid w:val="00990C0B"/>
    <w:rsid w:val="00992CF3"/>
    <w:rsid w:val="00993B15"/>
    <w:rsid w:val="00993FBD"/>
    <w:rsid w:val="009959C6"/>
    <w:rsid w:val="009968D6"/>
    <w:rsid w:val="0099731B"/>
    <w:rsid w:val="009A1907"/>
    <w:rsid w:val="009A1CAB"/>
    <w:rsid w:val="009A1FBC"/>
    <w:rsid w:val="009A3BAC"/>
    <w:rsid w:val="009A60D1"/>
    <w:rsid w:val="009B6FD3"/>
    <w:rsid w:val="009C127D"/>
    <w:rsid w:val="009C1750"/>
    <w:rsid w:val="009C2E29"/>
    <w:rsid w:val="009C301A"/>
    <w:rsid w:val="009C554B"/>
    <w:rsid w:val="009C719E"/>
    <w:rsid w:val="009C7D12"/>
    <w:rsid w:val="009D05D0"/>
    <w:rsid w:val="009D09D9"/>
    <w:rsid w:val="009D1245"/>
    <w:rsid w:val="009D2168"/>
    <w:rsid w:val="009D3ACD"/>
    <w:rsid w:val="009D3CDA"/>
    <w:rsid w:val="009E36F8"/>
    <w:rsid w:val="009E5C12"/>
    <w:rsid w:val="009E5DDB"/>
    <w:rsid w:val="009F4CA7"/>
    <w:rsid w:val="009F5657"/>
    <w:rsid w:val="00A0103C"/>
    <w:rsid w:val="00A04B17"/>
    <w:rsid w:val="00A069A9"/>
    <w:rsid w:val="00A1007F"/>
    <w:rsid w:val="00A101F5"/>
    <w:rsid w:val="00A10D66"/>
    <w:rsid w:val="00A13D4C"/>
    <w:rsid w:val="00A14114"/>
    <w:rsid w:val="00A14B9B"/>
    <w:rsid w:val="00A15E7F"/>
    <w:rsid w:val="00A17523"/>
    <w:rsid w:val="00A178C4"/>
    <w:rsid w:val="00A23A63"/>
    <w:rsid w:val="00A23DDA"/>
    <w:rsid w:val="00A23E43"/>
    <w:rsid w:val="00A2536B"/>
    <w:rsid w:val="00A30DD5"/>
    <w:rsid w:val="00A30F65"/>
    <w:rsid w:val="00A3166D"/>
    <w:rsid w:val="00A3320C"/>
    <w:rsid w:val="00A33FC6"/>
    <w:rsid w:val="00A4110A"/>
    <w:rsid w:val="00A418BC"/>
    <w:rsid w:val="00A425C2"/>
    <w:rsid w:val="00A45CF7"/>
    <w:rsid w:val="00A46DE0"/>
    <w:rsid w:val="00A46FA0"/>
    <w:rsid w:val="00A47101"/>
    <w:rsid w:val="00A50D73"/>
    <w:rsid w:val="00A51A31"/>
    <w:rsid w:val="00A52CAD"/>
    <w:rsid w:val="00A530CE"/>
    <w:rsid w:val="00A53FC7"/>
    <w:rsid w:val="00A62CE1"/>
    <w:rsid w:val="00A6362C"/>
    <w:rsid w:val="00A63E03"/>
    <w:rsid w:val="00A6741E"/>
    <w:rsid w:val="00A7469B"/>
    <w:rsid w:val="00A749E3"/>
    <w:rsid w:val="00A75E40"/>
    <w:rsid w:val="00A77334"/>
    <w:rsid w:val="00A77352"/>
    <w:rsid w:val="00A77CD9"/>
    <w:rsid w:val="00A77D1D"/>
    <w:rsid w:val="00A8382D"/>
    <w:rsid w:val="00A84782"/>
    <w:rsid w:val="00A84DE7"/>
    <w:rsid w:val="00A857C0"/>
    <w:rsid w:val="00A90EC7"/>
    <w:rsid w:val="00AA01B0"/>
    <w:rsid w:val="00AA0408"/>
    <w:rsid w:val="00AA268F"/>
    <w:rsid w:val="00AA2996"/>
    <w:rsid w:val="00AA52BF"/>
    <w:rsid w:val="00AA559A"/>
    <w:rsid w:val="00AA63B9"/>
    <w:rsid w:val="00AB2AF1"/>
    <w:rsid w:val="00AB7C5B"/>
    <w:rsid w:val="00AC55FB"/>
    <w:rsid w:val="00AD0229"/>
    <w:rsid w:val="00AD252A"/>
    <w:rsid w:val="00AD306C"/>
    <w:rsid w:val="00AD6EF9"/>
    <w:rsid w:val="00AD7582"/>
    <w:rsid w:val="00AD7C7C"/>
    <w:rsid w:val="00AE09B3"/>
    <w:rsid w:val="00AE1A83"/>
    <w:rsid w:val="00AE4176"/>
    <w:rsid w:val="00AE6961"/>
    <w:rsid w:val="00AE6D53"/>
    <w:rsid w:val="00AE6E99"/>
    <w:rsid w:val="00AE716D"/>
    <w:rsid w:val="00AF1447"/>
    <w:rsid w:val="00AF60C4"/>
    <w:rsid w:val="00B00913"/>
    <w:rsid w:val="00B01593"/>
    <w:rsid w:val="00B05010"/>
    <w:rsid w:val="00B0687B"/>
    <w:rsid w:val="00B10A4D"/>
    <w:rsid w:val="00B112D8"/>
    <w:rsid w:val="00B12B5B"/>
    <w:rsid w:val="00B17E71"/>
    <w:rsid w:val="00B17FDE"/>
    <w:rsid w:val="00B23447"/>
    <w:rsid w:val="00B2379C"/>
    <w:rsid w:val="00B24F85"/>
    <w:rsid w:val="00B2687D"/>
    <w:rsid w:val="00B27827"/>
    <w:rsid w:val="00B32DDB"/>
    <w:rsid w:val="00B34528"/>
    <w:rsid w:val="00B402FC"/>
    <w:rsid w:val="00B405CF"/>
    <w:rsid w:val="00B40D02"/>
    <w:rsid w:val="00B4181D"/>
    <w:rsid w:val="00B43DA8"/>
    <w:rsid w:val="00B44920"/>
    <w:rsid w:val="00B46604"/>
    <w:rsid w:val="00B51A92"/>
    <w:rsid w:val="00B55F5E"/>
    <w:rsid w:val="00B5752E"/>
    <w:rsid w:val="00B62D6F"/>
    <w:rsid w:val="00B62E22"/>
    <w:rsid w:val="00B63613"/>
    <w:rsid w:val="00B63A11"/>
    <w:rsid w:val="00B64C24"/>
    <w:rsid w:val="00B64E3E"/>
    <w:rsid w:val="00B65D18"/>
    <w:rsid w:val="00B6608F"/>
    <w:rsid w:val="00B66E29"/>
    <w:rsid w:val="00B679FB"/>
    <w:rsid w:val="00B717D4"/>
    <w:rsid w:val="00B71AFF"/>
    <w:rsid w:val="00B74E0B"/>
    <w:rsid w:val="00B7547A"/>
    <w:rsid w:val="00B7684D"/>
    <w:rsid w:val="00B76C8C"/>
    <w:rsid w:val="00B76D1E"/>
    <w:rsid w:val="00B80116"/>
    <w:rsid w:val="00B80EC6"/>
    <w:rsid w:val="00B86B13"/>
    <w:rsid w:val="00B92D1D"/>
    <w:rsid w:val="00B938C5"/>
    <w:rsid w:val="00B94B15"/>
    <w:rsid w:val="00B95940"/>
    <w:rsid w:val="00B97B00"/>
    <w:rsid w:val="00BA2464"/>
    <w:rsid w:val="00BA2F2C"/>
    <w:rsid w:val="00BA3763"/>
    <w:rsid w:val="00BA4AA5"/>
    <w:rsid w:val="00BB39D0"/>
    <w:rsid w:val="00BB46F3"/>
    <w:rsid w:val="00BB4CB1"/>
    <w:rsid w:val="00BB4F98"/>
    <w:rsid w:val="00BB6EDC"/>
    <w:rsid w:val="00BC7154"/>
    <w:rsid w:val="00BD1FA6"/>
    <w:rsid w:val="00BD366B"/>
    <w:rsid w:val="00BD6134"/>
    <w:rsid w:val="00BD6D50"/>
    <w:rsid w:val="00BD6E4C"/>
    <w:rsid w:val="00BD7EF2"/>
    <w:rsid w:val="00BE09F0"/>
    <w:rsid w:val="00BE17CF"/>
    <w:rsid w:val="00BE18B9"/>
    <w:rsid w:val="00BE2495"/>
    <w:rsid w:val="00BE24E5"/>
    <w:rsid w:val="00BE3097"/>
    <w:rsid w:val="00BE3108"/>
    <w:rsid w:val="00BE42C6"/>
    <w:rsid w:val="00BE5721"/>
    <w:rsid w:val="00BF1578"/>
    <w:rsid w:val="00BF4CB0"/>
    <w:rsid w:val="00C0160D"/>
    <w:rsid w:val="00C04AE9"/>
    <w:rsid w:val="00C05F09"/>
    <w:rsid w:val="00C06B8F"/>
    <w:rsid w:val="00C079C9"/>
    <w:rsid w:val="00C11E81"/>
    <w:rsid w:val="00C1329B"/>
    <w:rsid w:val="00C21F94"/>
    <w:rsid w:val="00C26413"/>
    <w:rsid w:val="00C27913"/>
    <w:rsid w:val="00C32542"/>
    <w:rsid w:val="00C33B68"/>
    <w:rsid w:val="00C35418"/>
    <w:rsid w:val="00C3578F"/>
    <w:rsid w:val="00C36A79"/>
    <w:rsid w:val="00C405D4"/>
    <w:rsid w:val="00C41856"/>
    <w:rsid w:val="00C41A32"/>
    <w:rsid w:val="00C4513B"/>
    <w:rsid w:val="00C45963"/>
    <w:rsid w:val="00C47CB8"/>
    <w:rsid w:val="00C5271E"/>
    <w:rsid w:val="00C54697"/>
    <w:rsid w:val="00C54A42"/>
    <w:rsid w:val="00C550E7"/>
    <w:rsid w:val="00C6002A"/>
    <w:rsid w:val="00C61EDD"/>
    <w:rsid w:val="00C70F5B"/>
    <w:rsid w:val="00C7195D"/>
    <w:rsid w:val="00C71A70"/>
    <w:rsid w:val="00C71F94"/>
    <w:rsid w:val="00C729BE"/>
    <w:rsid w:val="00C73885"/>
    <w:rsid w:val="00C747B1"/>
    <w:rsid w:val="00C75392"/>
    <w:rsid w:val="00C770C2"/>
    <w:rsid w:val="00C778DB"/>
    <w:rsid w:val="00C77DB7"/>
    <w:rsid w:val="00C82191"/>
    <w:rsid w:val="00C84B1F"/>
    <w:rsid w:val="00C86C0E"/>
    <w:rsid w:val="00C87AE2"/>
    <w:rsid w:val="00C90CF4"/>
    <w:rsid w:val="00C92EB6"/>
    <w:rsid w:val="00C93389"/>
    <w:rsid w:val="00C95E93"/>
    <w:rsid w:val="00C96D12"/>
    <w:rsid w:val="00CB3522"/>
    <w:rsid w:val="00CB3BDE"/>
    <w:rsid w:val="00CB4930"/>
    <w:rsid w:val="00CB523E"/>
    <w:rsid w:val="00CC23D3"/>
    <w:rsid w:val="00CC2976"/>
    <w:rsid w:val="00CC2E7D"/>
    <w:rsid w:val="00CD10A5"/>
    <w:rsid w:val="00CD12C1"/>
    <w:rsid w:val="00CD1B96"/>
    <w:rsid w:val="00CD2076"/>
    <w:rsid w:val="00CD73A0"/>
    <w:rsid w:val="00CE670B"/>
    <w:rsid w:val="00CF27A3"/>
    <w:rsid w:val="00CF31F4"/>
    <w:rsid w:val="00CF45F6"/>
    <w:rsid w:val="00CF4DEB"/>
    <w:rsid w:val="00CF51EC"/>
    <w:rsid w:val="00CF73AE"/>
    <w:rsid w:val="00D0027F"/>
    <w:rsid w:val="00D040DD"/>
    <w:rsid w:val="00D042EE"/>
    <w:rsid w:val="00D10812"/>
    <w:rsid w:val="00D11812"/>
    <w:rsid w:val="00D13986"/>
    <w:rsid w:val="00D144EE"/>
    <w:rsid w:val="00D20053"/>
    <w:rsid w:val="00D2097D"/>
    <w:rsid w:val="00D23107"/>
    <w:rsid w:val="00D2493B"/>
    <w:rsid w:val="00D24ACA"/>
    <w:rsid w:val="00D25F28"/>
    <w:rsid w:val="00D27973"/>
    <w:rsid w:val="00D326E0"/>
    <w:rsid w:val="00D36B21"/>
    <w:rsid w:val="00D429EB"/>
    <w:rsid w:val="00D444E8"/>
    <w:rsid w:val="00D50F46"/>
    <w:rsid w:val="00D542C3"/>
    <w:rsid w:val="00D61790"/>
    <w:rsid w:val="00D62149"/>
    <w:rsid w:val="00D66223"/>
    <w:rsid w:val="00D665D1"/>
    <w:rsid w:val="00D73BC9"/>
    <w:rsid w:val="00D74C35"/>
    <w:rsid w:val="00D8084C"/>
    <w:rsid w:val="00D820E2"/>
    <w:rsid w:val="00D82DCE"/>
    <w:rsid w:val="00D926B6"/>
    <w:rsid w:val="00D95BEA"/>
    <w:rsid w:val="00DA1D59"/>
    <w:rsid w:val="00DA1F4F"/>
    <w:rsid w:val="00DA336E"/>
    <w:rsid w:val="00DA3AD5"/>
    <w:rsid w:val="00DA4C0F"/>
    <w:rsid w:val="00DA7053"/>
    <w:rsid w:val="00DA7C0C"/>
    <w:rsid w:val="00DA7CEF"/>
    <w:rsid w:val="00DB2EC8"/>
    <w:rsid w:val="00DB5695"/>
    <w:rsid w:val="00DC16E1"/>
    <w:rsid w:val="00DC5B3B"/>
    <w:rsid w:val="00DC678E"/>
    <w:rsid w:val="00DD129F"/>
    <w:rsid w:val="00DD1FAB"/>
    <w:rsid w:val="00DD3B2B"/>
    <w:rsid w:val="00DD685B"/>
    <w:rsid w:val="00DE0272"/>
    <w:rsid w:val="00DE0BBF"/>
    <w:rsid w:val="00DE0CA5"/>
    <w:rsid w:val="00DE2666"/>
    <w:rsid w:val="00DE6D5A"/>
    <w:rsid w:val="00DE6E24"/>
    <w:rsid w:val="00DF0411"/>
    <w:rsid w:val="00DF100A"/>
    <w:rsid w:val="00DF2010"/>
    <w:rsid w:val="00DF42FF"/>
    <w:rsid w:val="00DF5217"/>
    <w:rsid w:val="00DF77CB"/>
    <w:rsid w:val="00E01C0E"/>
    <w:rsid w:val="00E01E1F"/>
    <w:rsid w:val="00E03F9A"/>
    <w:rsid w:val="00E04694"/>
    <w:rsid w:val="00E11183"/>
    <w:rsid w:val="00E12B1E"/>
    <w:rsid w:val="00E1498B"/>
    <w:rsid w:val="00E14ED3"/>
    <w:rsid w:val="00E17262"/>
    <w:rsid w:val="00E17423"/>
    <w:rsid w:val="00E253A2"/>
    <w:rsid w:val="00E30DA3"/>
    <w:rsid w:val="00E3309D"/>
    <w:rsid w:val="00E339A4"/>
    <w:rsid w:val="00E34032"/>
    <w:rsid w:val="00E40092"/>
    <w:rsid w:val="00E50156"/>
    <w:rsid w:val="00E53470"/>
    <w:rsid w:val="00E534B0"/>
    <w:rsid w:val="00E538A2"/>
    <w:rsid w:val="00E539F6"/>
    <w:rsid w:val="00E53B0D"/>
    <w:rsid w:val="00E54A88"/>
    <w:rsid w:val="00E55C81"/>
    <w:rsid w:val="00E56149"/>
    <w:rsid w:val="00E57D28"/>
    <w:rsid w:val="00E619C5"/>
    <w:rsid w:val="00E61DAC"/>
    <w:rsid w:val="00E62917"/>
    <w:rsid w:val="00E63AF1"/>
    <w:rsid w:val="00E6519D"/>
    <w:rsid w:val="00E65DD6"/>
    <w:rsid w:val="00E66C19"/>
    <w:rsid w:val="00E67696"/>
    <w:rsid w:val="00E71A58"/>
    <w:rsid w:val="00E72083"/>
    <w:rsid w:val="00E72A7A"/>
    <w:rsid w:val="00E756B7"/>
    <w:rsid w:val="00E75C94"/>
    <w:rsid w:val="00E768C3"/>
    <w:rsid w:val="00E81A21"/>
    <w:rsid w:val="00E868CF"/>
    <w:rsid w:val="00E87B6E"/>
    <w:rsid w:val="00E90C42"/>
    <w:rsid w:val="00E9128F"/>
    <w:rsid w:val="00E9169A"/>
    <w:rsid w:val="00E91DF2"/>
    <w:rsid w:val="00E927C3"/>
    <w:rsid w:val="00E93820"/>
    <w:rsid w:val="00E938AB"/>
    <w:rsid w:val="00E96E34"/>
    <w:rsid w:val="00E97EB7"/>
    <w:rsid w:val="00E97EE4"/>
    <w:rsid w:val="00EA0C68"/>
    <w:rsid w:val="00EB144E"/>
    <w:rsid w:val="00EB2AB8"/>
    <w:rsid w:val="00EB3FAC"/>
    <w:rsid w:val="00EC03D7"/>
    <w:rsid w:val="00EC14E8"/>
    <w:rsid w:val="00EC1790"/>
    <w:rsid w:val="00EC4C1D"/>
    <w:rsid w:val="00EC6727"/>
    <w:rsid w:val="00EC7C04"/>
    <w:rsid w:val="00ED2658"/>
    <w:rsid w:val="00ED3AB6"/>
    <w:rsid w:val="00ED62C6"/>
    <w:rsid w:val="00ED64C1"/>
    <w:rsid w:val="00ED6E81"/>
    <w:rsid w:val="00EE0956"/>
    <w:rsid w:val="00EE3446"/>
    <w:rsid w:val="00EE3E78"/>
    <w:rsid w:val="00EE4B1B"/>
    <w:rsid w:val="00EF0D47"/>
    <w:rsid w:val="00EF150D"/>
    <w:rsid w:val="00EF1F5A"/>
    <w:rsid w:val="00EF286C"/>
    <w:rsid w:val="00EF6A51"/>
    <w:rsid w:val="00EF6ACE"/>
    <w:rsid w:val="00EF7BE6"/>
    <w:rsid w:val="00F00666"/>
    <w:rsid w:val="00F04811"/>
    <w:rsid w:val="00F0488C"/>
    <w:rsid w:val="00F0585C"/>
    <w:rsid w:val="00F05B9E"/>
    <w:rsid w:val="00F13F4C"/>
    <w:rsid w:val="00F15AAA"/>
    <w:rsid w:val="00F15BEF"/>
    <w:rsid w:val="00F1639F"/>
    <w:rsid w:val="00F23093"/>
    <w:rsid w:val="00F239F6"/>
    <w:rsid w:val="00F23A89"/>
    <w:rsid w:val="00F24407"/>
    <w:rsid w:val="00F24FAA"/>
    <w:rsid w:val="00F3364D"/>
    <w:rsid w:val="00F405A5"/>
    <w:rsid w:val="00F40BC8"/>
    <w:rsid w:val="00F42810"/>
    <w:rsid w:val="00F437CC"/>
    <w:rsid w:val="00F43B7D"/>
    <w:rsid w:val="00F43CF3"/>
    <w:rsid w:val="00F44314"/>
    <w:rsid w:val="00F47067"/>
    <w:rsid w:val="00F510D8"/>
    <w:rsid w:val="00F525EB"/>
    <w:rsid w:val="00F621F0"/>
    <w:rsid w:val="00F63DDE"/>
    <w:rsid w:val="00F63FB7"/>
    <w:rsid w:val="00F649D2"/>
    <w:rsid w:val="00F6602B"/>
    <w:rsid w:val="00F66749"/>
    <w:rsid w:val="00F73A0C"/>
    <w:rsid w:val="00F73E10"/>
    <w:rsid w:val="00F748A5"/>
    <w:rsid w:val="00F756DB"/>
    <w:rsid w:val="00F7739C"/>
    <w:rsid w:val="00F77AA2"/>
    <w:rsid w:val="00F82326"/>
    <w:rsid w:val="00F82761"/>
    <w:rsid w:val="00F82F85"/>
    <w:rsid w:val="00F85066"/>
    <w:rsid w:val="00F903D4"/>
    <w:rsid w:val="00F92871"/>
    <w:rsid w:val="00F96E15"/>
    <w:rsid w:val="00F97F16"/>
    <w:rsid w:val="00FA03C7"/>
    <w:rsid w:val="00FA3880"/>
    <w:rsid w:val="00FA5D4D"/>
    <w:rsid w:val="00FB05F6"/>
    <w:rsid w:val="00FB38E4"/>
    <w:rsid w:val="00FC0E5F"/>
    <w:rsid w:val="00FC1A95"/>
    <w:rsid w:val="00FC2E18"/>
    <w:rsid w:val="00FC311A"/>
    <w:rsid w:val="00FC45CD"/>
    <w:rsid w:val="00FC56DE"/>
    <w:rsid w:val="00FC61CE"/>
    <w:rsid w:val="00FC684B"/>
    <w:rsid w:val="00FD4FAE"/>
    <w:rsid w:val="00FD757C"/>
    <w:rsid w:val="00FE2F78"/>
    <w:rsid w:val="00FE329D"/>
    <w:rsid w:val="00FE3D1F"/>
    <w:rsid w:val="00FE5159"/>
    <w:rsid w:val="00FE6FBE"/>
    <w:rsid w:val="00FF2AA4"/>
    <w:rsid w:val="00FF5C0A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6E56BA42"/>
  <w15:chartTrackingRefBased/>
  <w15:docId w15:val="{B9B4AF8C-89A1-4C4E-839A-67C1CCB607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>
      <w:pPr>
        <w:spacing w:after="12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/>
    <w:lsdException w:name="Colorful Grid Accent 1" w:uiPriority="29"/>
    <w:lsdException w:name="Light Shading Accent 2" w:uiPriority="30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/>
    <w:lsdException w:name="Intense Emphasis" w:uiPriority="66"/>
    <w:lsdException w:name="Subtle Reference" w:uiPriority="67"/>
    <w:lsdException w:name="Intense Reference" w:uiPriority="68"/>
    <w:lsdException w:name="Book Title" w:uiPriority="69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42FF"/>
    <w:rPr>
      <w:rFonts w:ascii="Arial" w:eastAsia="Times New Roman" w:hAnsi="Arial"/>
      <w:szCs w:val="24"/>
    </w:rPr>
  </w:style>
  <w:style w:type="paragraph" w:styleId="Nadpis1">
    <w:name w:val="heading 1"/>
    <w:next w:val="Normln"/>
    <w:link w:val="Nadpis1Char"/>
    <w:uiPriority w:val="9"/>
    <w:qFormat/>
    <w:rsid w:val="00BE3108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sz w:val="32"/>
      <w:szCs w:val="28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BE3108"/>
    <w:rPr>
      <w:rFonts w:ascii="Arial" w:eastAsia="MS Gothic" w:hAnsi="Arial"/>
      <w:b/>
      <w:bCs/>
      <w:sz w:val="32"/>
      <w:szCs w:val="28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  <w:lang w:eastAsia="en-US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  <w:lang w:eastAsia="en-US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textAlignment w:val="center"/>
    </w:pPr>
    <w:rPr>
      <w:rFonts w:ascii="Arial" w:hAnsi="Arial" w:cs="Minion Pro"/>
      <w:color w:val="000000"/>
      <w:szCs w:val="24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</w:rPr>
  </w:style>
  <w:style w:type="paragraph" w:styleId="Nzev">
    <w:name w:val="Title"/>
    <w:link w:val="NzevChar"/>
    <w:uiPriority w:val="10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</w:rPr>
  </w:style>
  <w:style w:type="character" w:customStyle="1" w:styleId="NzevChar">
    <w:name w:val="Název Char"/>
    <w:link w:val="Nzev"/>
    <w:uiPriority w:val="10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customStyle="1" w:styleId="Podtitul1">
    <w:name w:val="Podtitul1"/>
    <w:link w:val="PodtitulChar"/>
    <w:uiPriority w:val="11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</w:rPr>
  </w:style>
  <w:style w:type="character" w:customStyle="1" w:styleId="PodtitulChar">
    <w:name w:val="Podtitul Char"/>
    <w:link w:val="Podtitul1"/>
    <w:uiPriority w:val="11"/>
    <w:rsid w:val="0012192F"/>
    <w:rPr>
      <w:rFonts w:ascii="Arial" w:eastAsia="Times New Roman" w:hAnsi="Arial" w:cs="Arial"/>
      <w:b/>
      <w:sz w:val="28"/>
      <w:szCs w:val="24"/>
    </w:rPr>
  </w:style>
  <w:style w:type="paragraph" w:styleId="Odstavecseseznamem">
    <w:name w:val="List Paragraph"/>
    <w:basedOn w:val="Normln"/>
    <w:uiPriority w:val="34"/>
    <w:qFormat/>
    <w:rsid w:val="00CC2976"/>
    <w:pPr>
      <w:spacing w:after="0" w:line="240" w:lineRule="auto"/>
      <w:ind w:left="720"/>
      <w:contextualSpacing/>
      <w:jc w:val="both"/>
    </w:pPr>
    <w:rPr>
      <w:rFonts w:ascii="Times New Roman" w:hAnsi="Times New Roman"/>
      <w:sz w:val="24"/>
      <w:szCs w:val="20"/>
    </w:rPr>
  </w:style>
  <w:style w:type="paragraph" w:styleId="Zkladntext3">
    <w:name w:val="Body Text 3"/>
    <w:basedOn w:val="Normln"/>
    <w:link w:val="Zkladntext3Char"/>
    <w:semiHidden/>
    <w:rsid w:val="00180B0B"/>
    <w:pPr>
      <w:spacing w:after="0" w:line="240" w:lineRule="auto"/>
    </w:pPr>
    <w:rPr>
      <w:rFonts w:ascii="Times New Roman" w:hAnsi="Times New Roman"/>
      <w:sz w:val="22"/>
      <w:szCs w:val="20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Zkladntext3Char">
    <w:name w:val="Základní text 3 Char"/>
    <w:link w:val="Zkladntext3"/>
    <w:semiHidden/>
    <w:rsid w:val="00180B0B"/>
    <w:rPr>
      <w:rFonts w:ascii="Times New Roman" w:eastAsia="Times New Roman" w:hAnsi="Times New Roman"/>
      <w:sz w:val="22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F40BC8"/>
    <w:rPr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rsid w:val="00F40BC8"/>
    <w:rPr>
      <w:rFonts w:ascii="Arial" w:eastAsia="Times New Roman" w:hAnsi="Arial"/>
    </w:rPr>
  </w:style>
  <w:style w:type="character" w:styleId="Znakapoznpodarou">
    <w:name w:val="footnote reference"/>
    <w:uiPriority w:val="99"/>
    <w:semiHidden/>
    <w:unhideWhenUsed/>
    <w:rsid w:val="00F40BC8"/>
    <w:rPr>
      <w:vertAlign w:val="superscript"/>
    </w:rPr>
  </w:style>
  <w:style w:type="paragraph" w:styleId="Titulek">
    <w:name w:val="caption"/>
    <w:basedOn w:val="Normln"/>
    <w:next w:val="Normln"/>
    <w:uiPriority w:val="35"/>
    <w:unhideWhenUsed/>
    <w:qFormat/>
    <w:rsid w:val="008556EF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AE6D5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E6D53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E6D53"/>
    <w:rPr>
      <w:rFonts w:ascii="Arial" w:eastAsia="Times New Roman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E6D5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E6D53"/>
    <w:rPr>
      <w:rFonts w:ascii="Arial" w:eastAsia="Times New Roman" w:hAnsi="Arial"/>
      <w:b/>
      <w:bCs/>
    </w:rPr>
  </w:style>
  <w:style w:type="table" w:styleId="Mkatabulky">
    <w:name w:val="Table Grid"/>
    <w:basedOn w:val="Normlntabulka"/>
    <w:uiPriority w:val="59"/>
    <w:rsid w:val="00F96E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71"/>
    <w:rsid w:val="00953DF2"/>
    <w:pPr>
      <w:spacing w:after="0" w:line="240" w:lineRule="auto"/>
    </w:pPr>
    <w:rPr>
      <w:rFonts w:ascii="Arial" w:eastAsia="Times New Roman" w:hAnsi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1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87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26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7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14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0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12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12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8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header" Target="header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D:\maresova16607\Documents\Dokumenty\grafy%202015.xlsx" TargetMode="External"/><Relationship Id="rId2" Type="http://schemas.microsoft.com/office/2011/relationships/chartColorStyle" Target="colors1.xml"/><Relationship Id="rId1" Type="http://schemas.microsoft.com/office/2011/relationships/chartStyle" Target="style1.xml"/><Relationship Id="rId4" Type="http://schemas.openxmlformats.org/officeDocument/2006/relationships/chartUserShapes" Target="../drawings/drawing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oleObject" Target="file:///D:\maresova16607\Documents\Dokumenty\grafy%202015.xlsx" TargetMode="External"/><Relationship Id="rId2" Type="http://schemas.microsoft.com/office/2011/relationships/chartColorStyle" Target="colors2.xml"/><Relationship Id="rId1" Type="http://schemas.microsoft.com/office/2011/relationships/chartStyle" Target="style2.xml"/><Relationship Id="rId4" Type="http://schemas.openxmlformats.org/officeDocument/2006/relationships/chartUserShapes" Target="../drawings/drawing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1"/>
    </mc:Choice>
    <mc:Fallback>
      <c:style val="1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800" b="1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r>
              <a:rPr lang="cs-CZ" sz="1200" baseline="0">
                <a:latin typeface="Arial" panose="020B0604020202020204" pitchFamily="34" charset="0"/>
                <a:cs typeface="Arial" panose="020B0604020202020204" pitchFamily="34" charset="0"/>
              </a:rPr>
              <a:t>Graf 1: Cizinci v ČR podle kategorie pobytu - údaje k  31. 12. 2023</a:t>
            </a:r>
          </a:p>
        </c:rich>
      </c:tx>
      <c:layout>
        <c:manualLayout>
          <c:xMode val="edge"/>
          <c:yMode val="edge"/>
          <c:x val="6.0247110461403306E-3"/>
          <c:y val="1.5023474178403756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800" b="1" i="0" u="none" strike="noStrike" kern="1200" baseline="0">
              <a:solidFill>
                <a:schemeClr val="tx1"/>
              </a:solidFill>
              <a:latin typeface="+mn-lt"/>
              <a:ea typeface="+mn-ea"/>
              <a:cs typeface="+mn-cs"/>
            </a:defRPr>
          </a:pPr>
          <a:endParaRPr lang="cs-CZ"/>
        </a:p>
      </c:txPr>
    </c:title>
    <c:autoTitleDeleted val="0"/>
    <c:plotArea>
      <c:layout>
        <c:manualLayout>
          <c:layoutTarget val="inner"/>
          <c:xMode val="edge"/>
          <c:yMode val="edge"/>
          <c:x val="0.1692206743387846"/>
          <c:y val="0.21304877067797251"/>
          <c:w val="0.52875721784776908"/>
          <c:h val="0.65245106572475353"/>
        </c:manualLayout>
      </c:layout>
      <c:doughnutChart>
        <c:varyColors val="1"/>
        <c:ser>
          <c:idx val="0"/>
          <c:order val="0"/>
          <c:dPt>
            <c:idx val="0"/>
            <c:bubble3D val="0"/>
            <c:spPr>
              <a:solidFill>
                <a:schemeClr val="dk1">
                  <a:tint val="88500"/>
                </a:schemeClr>
              </a:solidFill>
              <a:ln w="9525" cap="flat" cmpd="sng" algn="ctr">
                <a:solidFill>
                  <a:schemeClr val="lt1">
                    <a:shade val="95000"/>
                    <a:satMod val="105000"/>
                  </a:schemeClr>
                </a:solidFill>
                <a:prstDash val="solid"/>
                <a:round/>
              </a:ln>
              <a:effectLst>
                <a:outerShdw blurRad="40000" dist="20000" dir="5400000" rotWithShape="0">
                  <a:srgbClr val="000000">
                    <a:alpha val="38000"/>
                  </a:srgb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1-04F4-4BA4-8924-9DEC9D472CC5}"/>
              </c:ext>
            </c:extLst>
          </c:dPt>
          <c:dPt>
            <c:idx val="1"/>
            <c:bubble3D val="0"/>
            <c:spPr>
              <a:solidFill>
                <a:schemeClr val="dk1">
                  <a:tint val="55000"/>
                </a:schemeClr>
              </a:solidFill>
              <a:ln w="9525" cap="flat" cmpd="sng" algn="ctr">
                <a:solidFill>
                  <a:schemeClr val="lt1">
                    <a:shade val="95000"/>
                    <a:satMod val="105000"/>
                  </a:schemeClr>
                </a:solidFill>
                <a:prstDash val="solid"/>
                <a:round/>
              </a:ln>
              <a:effectLst>
                <a:outerShdw blurRad="40000" dist="20000" dir="5400000" rotWithShape="0">
                  <a:srgbClr val="000000">
                    <a:alpha val="38000"/>
                  </a:srgb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3-04F4-4BA4-8924-9DEC9D472CC5}"/>
              </c:ext>
            </c:extLst>
          </c:dPt>
          <c:dPt>
            <c:idx val="2"/>
            <c:bubble3D val="0"/>
            <c:spPr>
              <a:solidFill>
                <a:schemeClr val="dk1">
                  <a:tint val="75000"/>
                </a:schemeClr>
              </a:solidFill>
              <a:ln w="9525" cap="flat" cmpd="sng" algn="ctr">
                <a:solidFill>
                  <a:schemeClr val="lt1">
                    <a:shade val="95000"/>
                    <a:satMod val="105000"/>
                  </a:schemeClr>
                </a:solidFill>
                <a:prstDash val="solid"/>
                <a:round/>
              </a:ln>
              <a:effectLst>
                <a:outerShdw blurRad="40000" dist="20000" dir="5400000" rotWithShape="0">
                  <a:srgbClr val="000000">
                    <a:alpha val="38000"/>
                  </a:srgb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5-04F4-4BA4-8924-9DEC9D472CC5}"/>
              </c:ext>
            </c:extLst>
          </c:dPt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0" i="0" u="none" strike="noStrike" kern="1200" baseline="0">
                    <a:solidFill>
                      <a:schemeClr val="tx1"/>
                    </a:solidFill>
                    <a:latin typeface="+mn-lt"/>
                    <a:ea typeface="+mn-ea"/>
                    <a:cs typeface="+mn-cs"/>
                  </a:defRPr>
                </a:pPr>
                <a:endParaRPr lang="cs-CZ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shade val="95000"/>
                      <a:satMod val="105000"/>
                    </a:schemeClr>
                  </a:solidFill>
                  <a:prstDash val="solid"/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List1!$E$58:$E$60</c:f>
              <c:strCache>
                <c:ptCount val="3"/>
                <c:pt idx="0">
                  <c:v>Trvalý pobyt</c:v>
                </c:pt>
                <c:pt idx="1">
                  <c:v>Přechodný pobyt</c:v>
                </c:pt>
                <c:pt idx="2">
                  <c:v> Pobyt držitele mezinárodní ochrany</c:v>
                </c:pt>
              </c:strCache>
            </c:strRef>
          </c:cat>
          <c:val>
            <c:numRef>
              <c:f>List1!$G$58:$G$60</c:f>
              <c:numCache>
                <c:formatCode>0.0%</c:formatCode>
                <c:ptCount val="3"/>
                <c:pt idx="0">
                  <c:v>0.32700000000000001</c:v>
                </c:pt>
                <c:pt idx="1">
                  <c:v>0.67100000000000004</c:v>
                </c:pt>
                <c:pt idx="2">
                  <c:v>2E-3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6-04F4-4BA4-8924-9DEC9D472CC5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  <c:holeSize val="50"/>
      </c:doughnutChart>
      <c:spPr>
        <a:noFill/>
        <a:ln>
          <a:noFill/>
        </a:ln>
        <a:effectLst/>
      </c:spPr>
    </c:plotArea>
    <c:legend>
      <c:legendPos val="r"/>
      <c:layout>
        <c:manualLayout>
          <c:xMode val="edge"/>
          <c:yMode val="edge"/>
          <c:x val="0.62633644631630347"/>
          <c:y val="0.46611177925525882"/>
          <c:w val="0.35428370872245618"/>
          <c:h val="0.30066758946198008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00" b="0" i="0" u="none" strike="noStrike" kern="1200" baseline="0">
              <a:solidFill>
                <a:schemeClr val="tx1"/>
              </a:solidFill>
              <a:latin typeface="+mn-lt"/>
              <a:ea typeface="+mn-ea"/>
              <a:cs typeface="+mn-cs"/>
            </a:defRPr>
          </a:pPr>
          <a:endParaRPr lang="cs-CZ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noFill/>
      <a:prstDash val="solid"/>
      <a:round/>
    </a:ln>
    <a:effectLst/>
  </c:spPr>
  <c:txPr>
    <a:bodyPr/>
    <a:lstStyle/>
    <a:p>
      <a:pPr>
        <a:defRPr/>
      </a:pPr>
      <a:endParaRPr lang="cs-CZ"/>
    </a:p>
  </c:txPr>
  <c:externalData r:id="rId3">
    <c:autoUpdate val="0"/>
  </c:externalData>
  <c:userShapes r:id="rId4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1"/>
    </mc:Choice>
    <mc:Fallback>
      <c:style val="1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 algn="ctr">
              <a:defRPr sz="1800" b="1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r>
              <a:rPr lang="cs-CZ" sz="1100">
                <a:latin typeface="Arial" panose="020B0604020202020204" pitchFamily="34" charset="0"/>
                <a:cs typeface="Arial" panose="020B0604020202020204" pitchFamily="34" charset="0"/>
              </a:rPr>
              <a:t>Graf 2: Cizinci v ČR podle kategorie</a:t>
            </a:r>
            <a:r>
              <a:rPr lang="cs-CZ" sz="1100" baseline="0">
                <a:latin typeface="Arial" panose="020B0604020202020204" pitchFamily="34" charset="0"/>
                <a:cs typeface="Arial" panose="020B0604020202020204" pitchFamily="34" charset="0"/>
              </a:rPr>
              <a:t> pobytu v letech 2010-2023</a:t>
            </a:r>
            <a:endParaRPr lang="cs-CZ" sz="1100">
              <a:latin typeface="Arial" panose="020B0604020202020204" pitchFamily="34" charset="0"/>
              <a:cs typeface="Arial" panose="020B0604020202020204" pitchFamily="34" charset="0"/>
            </a:endParaRPr>
          </a:p>
        </c:rich>
      </c:tx>
      <c:layout>
        <c:manualLayout>
          <c:xMode val="edge"/>
          <c:yMode val="edge"/>
          <c:x val="1.3277340332458443E-3"/>
          <c:y val="7.4671916010498685E-3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 algn="ctr">
            <a:defRPr sz="1800" b="1" i="0" u="none" strike="noStrike" kern="1200" baseline="0">
              <a:solidFill>
                <a:schemeClr val="tx1"/>
              </a:solidFill>
              <a:latin typeface="+mn-lt"/>
              <a:ea typeface="+mn-ea"/>
              <a:cs typeface="+mn-cs"/>
            </a:defRPr>
          </a:pPr>
          <a:endParaRPr lang="cs-CZ"/>
        </a:p>
      </c:txPr>
    </c:title>
    <c:autoTitleDeleted val="0"/>
    <c:plotArea>
      <c:layout>
        <c:manualLayout>
          <c:layoutTarget val="inner"/>
          <c:xMode val="edge"/>
          <c:yMode val="edge"/>
          <c:x val="0.10641996305193477"/>
          <c:y val="0.15244917914672435"/>
          <c:w val="0.62225345987350744"/>
          <c:h val="0.75031238742216033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List1!$B$6</c:f>
              <c:strCache>
                <c:ptCount val="1"/>
                <c:pt idx="0">
                  <c:v>Trvalý</c:v>
                </c:pt>
              </c:strCache>
            </c:strRef>
          </c:tx>
          <c:spPr>
            <a:solidFill>
              <a:schemeClr val="dk1">
                <a:tint val="88500"/>
              </a:schemeClr>
            </a:solidFill>
            <a:ln>
              <a:noFill/>
            </a:ln>
            <a:effectLst/>
          </c:spPr>
          <c:invertIfNegative val="0"/>
          <c:cat>
            <c:numRef>
              <c:f>List1!$C$5:$P$5</c:f>
              <c:numCache>
                <c:formatCode>General</c:formatCode>
                <c:ptCount val="14"/>
                <c:pt idx="0">
                  <c:v>2010</c:v>
                </c:pt>
                <c:pt idx="1">
                  <c:v>2011</c:v>
                </c:pt>
                <c:pt idx="2">
                  <c:v>2012</c:v>
                </c:pt>
                <c:pt idx="3">
                  <c:v>2013</c:v>
                </c:pt>
                <c:pt idx="4">
                  <c:v>2014</c:v>
                </c:pt>
                <c:pt idx="5">
                  <c:v>2015</c:v>
                </c:pt>
                <c:pt idx="6">
                  <c:v>2016</c:v>
                </c:pt>
                <c:pt idx="7">
                  <c:v>2017</c:v>
                </c:pt>
                <c:pt idx="8">
                  <c:v>2018</c:v>
                </c:pt>
                <c:pt idx="9">
                  <c:v>2019</c:v>
                </c:pt>
                <c:pt idx="10">
                  <c:v>2020</c:v>
                </c:pt>
                <c:pt idx="11">
                  <c:v>2021</c:v>
                </c:pt>
                <c:pt idx="12">
                  <c:v>2022</c:v>
                </c:pt>
                <c:pt idx="13">
                  <c:v>2023</c:v>
                </c:pt>
              </c:numCache>
            </c:numRef>
          </c:cat>
          <c:val>
            <c:numRef>
              <c:f>List1!$C$6:$P$6</c:f>
              <c:numCache>
                <c:formatCode>General</c:formatCode>
                <c:ptCount val="14"/>
                <c:pt idx="0">
                  <c:v>189</c:v>
                </c:pt>
                <c:pt idx="1">
                  <c:v>196.4</c:v>
                </c:pt>
                <c:pt idx="2">
                  <c:v>212.5</c:v>
                </c:pt>
                <c:pt idx="3">
                  <c:v>236.5</c:v>
                </c:pt>
                <c:pt idx="4">
                  <c:v>249.9</c:v>
                </c:pt>
                <c:pt idx="5" formatCode="0.0">
                  <c:v>260</c:v>
                </c:pt>
                <c:pt idx="6" formatCode="0.0">
                  <c:v>272</c:v>
                </c:pt>
                <c:pt idx="7">
                  <c:v>281.5</c:v>
                </c:pt>
                <c:pt idx="8">
                  <c:v>289.5</c:v>
                </c:pt>
                <c:pt idx="9">
                  <c:v>299.5</c:v>
                </c:pt>
                <c:pt idx="10">
                  <c:v>308.39999999999998</c:v>
                </c:pt>
                <c:pt idx="11">
                  <c:v>320.5</c:v>
                </c:pt>
                <c:pt idx="12">
                  <c:v>332.7</c:v>
                </c:pt>
                <c:pt idx="13" formatCode="#\ ##0.0">
                  <c:v>348.6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151C-4E7C-A1A5-AF96EF6B8068}"/>
            </c:ext>
          </c:extLst>
        </c:ser>
        <c:ser>
          <c:idx val="1"/>
          <c:order val="1"/>
          <c:tx>
            <c:strRef>
              <c:f>List1!$B$7</c:f>
              <c:strCache>
                <c:ptCount val="1"/>
                <c:pt idx="0">
                  <c:v>Přechodný</c:v>
                </c:pt>
              </c:strCache>
            </c:strRef>
          </c:tx>
          <c:spPr>
            <a:solidFill>
              <a:schemeClr val="dk1">
                <a:tint val="55000"/>
              </a:schemeClr>
            </a:solidFill>
            <a:ln>
              <a:noFill/>
            </a:ln>
            <a:effectLst/>
          </c:spPr>
          <c:invertIfNegative val="0"/>
          <c:cat>
            <c:numRef>
              <c:f>List1!$C$5:$P$5</c:f>
              <c:numCache>
                <c:formatCode>General</c:formatCode>
                <c:ptCount val="14"/>
                <c:pt idx="0">
                  <c:v>2010</c:v>
                </c:pt>
                <c:pt idx="1">
                  <c:v>2011</c:v>
                </c:pt>
                <c:pt idx="2">
                  <c:v>2012</c:v>
                </c:pt>
                <c:pt idx="3">
                  <c:v>2013</c:v>
                </c:pt>
                <c:pt idx="4">
                  <c:v>2014</c:v>
                </c:pt>
                <c:pt idx="5">
                  <c:v>2015</c:v>
                </c:pt>
                <c:pt idx="6">
                  <c:v>2016</c:v>
                </c:pt>
                <c:pt idx="7">
                  <c:v>2017</c:v>
                </c:pt>
                <c:pt idx="8">
                  <c:v>2018</c:v>
                </c:pt>
                <c:pt idx="9">
                  <c:v>2019</c:v>
                </c:pt>
                <c:pt idx="10">
                  <c:v>2020</c:v>
                </c:pt>
                <c:pt idx="11">
                  <c:v>2021</c:v>
                </c:pt>
                <c:pt idx="12">
                  <c:v>2022</c:v>
                </c:pt>
                <c:pt idx="13">
                  <c:v>2023</c:v>
                </c:pt>
              </c:numCache>
            </c:numRef>
          </c:cat>
          <c:val>
            <c:numRef>
              <c:f>List1!$C$7:$P$7</c:f>
              <c:numCache>
                <c:formatCode>General</c:formatCode>
                <c:ptCount val="14"/>
                <c:pt idx="0">
                  <c:v>235.3</c:v>
                </c:pt>
                <c:pt idx="1">
                  <c:v>237.7</c:v>
                </c:pt>
                <c:pt idx="2">
                  <c:v>223.5</c:v>
                </c:pt>
                <c:pt idx="3">
                  <c:v>202.6</c:v>
                </c:pt>
                <c:pt idx="4">
                  <c:v>199.5</c:v>
                </c:pt>
                <c:pt idx="5">
                  <c:v>204.6</c:v>
                </c:pt>
                <c:pt idx="6">
                  <c:v>221.5</c:v>
                </c:pt>
                <c:pt idx="7">
                  <c:v>242.7</c:v>
                </c:pt>
                <c:pt idx="8">
                  <c:v>274.89999999999998</c:v>
                </c:pt>
                <c:pt idx="9">
                  <c:v>293.89999999999998</c:v>
                </c:pt>
                <c:pt idx="10">
                  <c:v>324.2</c:v>
                </c:pt>
                <c:pt idx="11">
                  <c:v>338.1</c:v>
                </c:pt>
                <c:pt idx="12">
                  <c:v>780.9</c:v>
                </c:pt>
                <c:pt idx="13">
                  <c:v>714.6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151C-4E7C-A1A5-AF96EF6B8068}"/>
            </c:ext>
          </c:extLst>
        </c:ser>
        <c:ser>
          <c:idx val="2"/>
          <c:order val="2"/>
          <c:tx>
            <c:strRef>
              <c:f>List1!$B$8</c:f>
              <c:strCache>
                <c:ptCount val="1"/>
                <c:pt idx="0">
                  <c:v>Pobyt držitele mezinárodní ochrany</c:v>
                </c:pt>
              </c:strCache>
            </c:strRef>
          </c:tx>
          <c:spPr>
            <a:solidFill>
              <a:schemeClr val="dk1">
                <a:tint val="75000"/>
              </a:schemeClr>
            </a:solidFill>
            <a:ln>
              <a:noFill/>
            </a:ln>
            <a:effectLst/>
          </c:spPr>
          <c:invertIfNegative val="0"/>
          <c:cat>
            <c:numRef>
              <c:f>List1!$C$5:$P$5</c:f>
              <c:numCache>
                <c:formatCode>General</c:formatCode>
                <c:ptCount val="14"/>
                <c:pt idx="0">
                  <c:v>2010</c:v>
                </c:pt>
                <c:pt idx="1">
                  <c:v>2011</c:v>
                </c:pt>
                <c:pt idx="2">
                  <c:v>2012</c:v>
                </c:pt>
                <c:pt idx="3">
                  <c:v>2013</c:v>
                </c:pt>
                <c:pt idx="4">
                  <c:v>2014</c:v>
                </c:pt>
                <c:pt idx="5">
                  <c:v>2015</c:v>
                </c:pt>
                <c:pt idx="6">
                  <c:v>2016</c:v>
                </c:pt>
                <c:pt idx="7">
                  <c:v>2017</c:v>
                </c:pt>
                <c:pt idx="8">
                  <c:v>2018</c:v>
                </c:pt>
                <c:pt idx="9">
                  <c:v>2019</c:v>
                </c:pt>
                <c:pt idx="10">
                  <c:v>2020</c:v>
                </c:pt>
                <c:pt idx="11">
                  <c:v>2021</c:v>
                </c:pt>
                <c:pt idx="12">
                  <c:v>2022</c:v>
                </c:pt>
                <c:pt idx="13">
                  <c:v>2023</c:v>
                </c:pt>
              </c:numCache>
            </c:numRef>
          </c:cat>
          <c:val>
            <c:numRef>
              <c:f>List1!$C$8:$P$8</c:f>
              <c:numCache>
                <c:formatCode>General</c:formatCode>
                <c:ptCount val="14"/>
                <c:pt idx="0">
                  <c:v>2.1</c:v>
                </c:pt>
                <c:pt idx="1">
                  <c:v>2.2000000000000002</c:v>
                </c:pt>
                <c:pt idx="2">
                  <c:v>2.1</c:v>
                </c:pt>
                <c:pt idx="3">
                  <c:v>2.2999999999999998</c:v>
                </c:pt>
                <c:pt idx="4">
                  <c:v>2.6</c:v>
                </c:pt>
                <c:pt idx="5">
                  <c:v>2.9</c:v>
                </c:pt>
                <c:pt idx="6" formatCode="0.0">
                  <c:v>3</c:v>
                </c:pt>
                <c:pt idx="7">
                  <c:v>2.7</c:v>
                </c:pt>
                <c:pt idx="8">
                  <c:v>2.6</c:v>
                </c:pt>
                <c:pt idx="9">
                  <c:v>2.5</c:v>
                </c:pt>
                <c:pt idx="10">
                  <c:v>2.2000000000000002</c:v>
                </c:pt>
                <c:pt idx="11">
                  <c:v>2.2999999999999998</c:v>
                </c:pt>
                <c:pt idx="12">
                  <c:v>2.5</c:v>
                </c:pt>
                <c:pt idx="13">
                  <c:v>2.5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151C-4E7C-A1A5-AF96EF6B8068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98457856"/>
        <c:axId val="98471936"/>
      </c:barChart>
      <c:catAx>
        <c:axId val="9845785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noFill/>
          <a:ln w="9525" cap="flat" cmpd="sng" algn="ctr">
            <a:solidFill>
              <a:schemeClr val="tx1">
                <a:tint val="75000"/>
                <a:shade val="95000"/>
                <a:satMod val="105000"/>
              </a:schemeClr>
            </a:solidFill>
            <a:prstDash val="solid"/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endParaRPr lang="cs-CZ"/>
          </a:p>
        </c:txPr>
        <c:crossAx val="98471936"/>
        <c:crosses val="autoZero"/>
        <c:auto val="1"/>
        <c:lblAlgn val="ctr"/>
        <c:lblOffset val="100"/>
        <c:noMultiLvlLbl val="0"/>
      </c:catAx>
      <c:valAx>
        <c:axId val="98471936"/>
        <c:scaling>
          <c:orientation val="minMax"/>
          <c:max val="800"/>
        </c:scaling>
        <c:delete val="0"/>
        <c:axPos val="l"/>
        <c:majorGridlines>
          <c:spPr>
            <a:ln w="9525" cap="flat" cmpd="sng" algn="ctr">
              <a:solidFill>
                <a:schemeClr val="tx1">
                  <a:tint val="75000"/>
                  <a:shade val="95000"/>
                  <a:satMod val="105000"/>
                </a:schemeClr>
              </a:solidFill>
              <a:prstDash val="solid"/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800" b="0" i="0" u="none" strike="noStrike" kern="1200" baseline="0">
                    <a:solidFill>
                      <a:schemeClr val="tx1"/>
                    </a:solidFill>
                    <a:latin typeface="Verdana" panose="020B0604030504040204" pitchFamily="34" charset="0"/>
                    <a:ea typeface="Verdana" panose="020B0604030504040204" pitchFamily="34" charset="0"/>
                    <a:cs typeface="Verdana" panose="020B0604030504040204" pitchFamily="34" charset="0"/>
                  </a:defRPr>
                </a:pPr>
                <a:r>
                  <a:rPr lang="en-US" sz="800" b="0" baseline="0">
                    <a:latin typeface="Verdana" panose="020B0604030504040204" pitchFamily="34" charset="0"/>
                    <a:ea typeface="Verdana" panose="020B0604030504040204" pitchFamily="34" charset="0"/>
                    <a:cs typeface="Verdana" panose="020B0604030504040204" pitchFamily="34" charset="0"/>
                  </a:rPr>
                  <a:t>t</a:t>
                </a:r>
                <a:r>
                  <a:rPr lang="cs-CZ" sz="800" b="0" baseline="0">
                    <a:latin typeface="Verdana" panose="020B0604030504040204" pitchFamily="34" charset="0"/>
                    <a:ea typeface="Verdana" panose="020B0604030504040204" pitchFamily="34" charset="0"/>
                    <a:cs typeface="Verdana" panose="020B0604030504040204" pitchFamily="34" charset="0"/>
                  </a:rPr>
                  <a:t>isíce</a:t>
                </a:r>
                <a:endParaRPr lang="en-US" sz="800" b="0" baseline="0">
                  <a:latin typeface="Verdana" panose="020B0604030504040204" pitchFamily="34" charset="0"/>
                  <a:ea typeface="Verdana" panose="020B0604030504040204" pitchFamily="34" charset="0"/>
                  <a:cs typeface="Verdana" panose="020B0604030504040204" pitchFamily="34" charset="0"/>
                </a:endParaRPr>
              </a:p>
            </c:rich>
          </c:tx>
          <c:layout>
            <c:manualLayout>
              <c:xMode val="edge"/>
              <c:yMode val="edge"/>
              <c:x val="2.4444444444444446E-2"/>
              <c:y val="0.40898744274612731"/>
            </c:manualLayout>
          </c:layout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800" b="0" i="0" u="none" strike="noStrike" kern="1200" baseline="0">
                  <a:solidFill>
                    <a:schemeClr val="tx1"/>
                  </a:solidFill>
                  <a:latin typeface="Verdana" panose="020B0604030504040204" pitchFamily="34" charset="0"/>
                  <a:ea typeface="Verdana" panose="020B0604030504040204" pitchFamily="34" charset="0"/>
                  <a:cs typeface="Verdana" panose="020B0604030504040204" pitchFamily="34" charset="0"/>
                </a:defRPr>
              </a:pPr>
              <a:endParaRPr lang="cs-CZ"/>
            </a:p>
          </c:txPr>
        </c:title>
        <c:numFmt formatCode="General" sourceLinked="1"/>
        <c:majorTickMark val="out"/>
        <c:minorTickMark val="none"/>
        <c:tickLblPos val="nextTo"/>
        <c:spPr>
          <a:noFill/>
          <a:ln w="9525" cap="flat" cmpd="sng" algn="ctr">
            <a:solidFill>
              <a:schemeClr val="tx1">
                <a:tint val="75000"/>
                <a:shade val="95000"/>
                <a:satMod val="105000"/>
              </a:schemeClr>
            </a:solidFill>
            <a:prstDash val="solid"/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endParaRPr lang="cs-CZ"/>
          </a:p>
        </c:txPr>
        <c:crossAx val="98457856"/>
        <c:crosses val="autoZero"/>
        <c:crossBetween val="between"/>
      </c:valAx>
      <c:spPr>
        <a:solidFill>
          <a:schemeClr val="bg1"/>
        </a:solidFill>
        <a:ln>
          <a:noFill/>
        </a:ln>
        <a:effectLst/>
      </c:spPr>
    </c:plotArea>
    <c:legend>
      <c:legendPos val="r"/>
      <c:layout>
        <c:manualLayout>
          <c:xMode val="edge"/>
          <c:yMode val="edge"/>
          <c:x val="0.72579457567804018"/>
          <c:y val="0.49780917091245946"/>
          <c:w val="0.23511076115485563"/>
          <c:h val="0.22006741804333285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00" b="0" i="0" u="none" strike="noStrike" kern="1200" baseline="0">
              <a:solidFill>
                <a:schemeClr val="tx1"/>
              </a:solidFill>
              <a:latin typeface="+mn-lt"/>
              <a:ea typeface="+mn-ea"/>
              <a:cs typeface="+mn-cs"/>
            </a:defRPr>
          </a:pPr>
          <a:endParaRPr lang="cs-CZ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noFill/>
      <a:prstDash val="solid"/>
      <a:round/>
    </a:ln>
    <a:effectLst/>
  </c:spPr>
  <c:txPr>
    <a:bodyPr/>
    <a:lstStyle/>
    <a:p>
      <a:pPr>
        <a:defRPr/>
      </a:pPr>
      <a:endParaRPr lang="cs-CZ"/>
    </a:p>
  </c:txPr>
  <c:externalData r:id="rId3">
    <c:autoUpdate val="0"/>
  </c:externalData>
  <c:userShapes r:id="rId4"/>
</c:chartSpace>
</file>

<file path=word/charts/colors1.xml><?xml version="1.0" encoding="utf-8"?>
<cs:colorStyle xmlns:cs="http://schemas.microsoft.com/office/drawing/2012/chartStyle" xmlns:a="http://schemas.openxmlformats.org/drawingml/2006/main" meth="cycle" id="20">
  <a:schemeClr val="dk1"/>
  <cs:variation>
    <a:tint val="88500"/>
  </cs:variation>
  <cs:variation>
    <a:tint val="55000"/>
  </cs:variation>
  <cs:variation>
    <a:tint val="75000"/>
  </cs:variation>
  <cs:variation>
    <a:tint val="98500"/>
  </cs:variation>
  <cs:variation>
    <a:tint val="30000"/>
  </cs:variation>
  <cs:variation>
    <a:tint val="60000"/>
  </cs:variation>
  <cs:variation>
    <a:tint val="8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20">
  <a:schemeClr val="dk1"/>
  <cs:variation>
    <a:tint val="88500"/>
  </cs:variation>
  <cs:variation>
    <a:tint val="55000"/>
  </cs:variation>
  <cs:variation>
    <a:tint val="75000"/>
  </cs:variation>
  <cs:variation>
    <a:tint val="98500"/>
  </cs:variation>
  <cs:variation>
    <a:tint val="30000"/>
  </cs:variation>
  <cs:variation>
    <a:tint val="60000"/>
  </cs:variation>
  <cs:variation>
    <a:tint val="80000"/>
  </cs:variation>
</cs:colorStyle>
</file>

<file path=word/charts/style1.xml><?xml version="1.0" encoding="utf-8"?>
<cs:chartStyle xmlns:cs="http://schemas.microsoft.com/office/drawing/2012/chartStyle" xmlns:a="http://schemas.openxmlformats.org/drawingml/2006/main" id="109">
  <cs:axisTitle>
    <cs:lnRef idx="0"/>
    <cs:fillRef idx="0"/>
    <cs:effectRef idx="0"/>
    <cs:fontRef idx="minor">
      <a:schemeClr val="tx1"/>
    </cs:fontRef>
    <cs:defRPr sz="1000" b="1" kern="1200"/>
  </cs:axisTitle>
  <cs:categoryAxis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categoryAxis>
  <cs:chartArea mods="allowNoFillOverride allowNoLineOverride">
    <cs:lnRef idx="1">
      <a:schemeClr val="tx1">
        <a:tint val="75000"/>
      </a:schemeClr>
    </cs:lnRef>
    <cs:fillRef idx="1">
      <a:schemeClr val="bg1"/>
    </cs:fillRef>
    <cs:effectRef idx="0"/>
    <cs:fontRef idx="minor">
      <a:schemeClr val="tx1"/>
    </cs:fontRef>
    <cs:spPr>
      <a:ln>
        <a:round/>
      </a:ln>
    </cs:spPr>
    <cs:defRPr sz="1000" kern="1200"/>
  </cs:chartArea>
  <cs:dataLabel>
    <cs:lnRef idx="0"/>
    <cs:fillRef idx="0"/>
    <cs:effectRef idx="0"/>
    <cs:fontRef idx="minor">
      <a:schemeClr val="tx1"/>
    </cs:fontRef>
    <cs:defRPr sz="1000" kern="1200"/>
  </cs:dataLabel>
  <cs:dataLabelCallout>
    <cs:lnRef idx="0"/>
    <cs:fillRef idx="0"/>
    <cs:effectRef idx="0"/>
    <cs:fontRef idx="minor">
      <a:schemeClr val="dk1"/>
    </cs:fontRef>
    <cs:spPr>
      <a:solidFill>
        <a:schemeClr val="lt1"/>
      </a:solidFill>
      <a:ln>
        <a:solidFill>
          <a:schemeClr val="dk1">
            <a:lumMod val="65000"/>
            <a:lumOff val="35000"/>
          </a:schemeClr>
        </a:solidFill>
      </a:ln>
    </cs:spPr>
    <cs:defRPr sz="1000" kern="1200"/>
  </cs:dataLabelCallout>
  <cs:dataPoint>
    <cs:lnRef idx="1">
      <a:schemeClr val="lt1"/>
    </cs:lnRef>
    <cs:fillRef idx="1">
      <cs:styleClr val="auto"/>
    </cs:fillRef>
    <cs:effectRef idx="1">
      <a:schemeClr val="dk1"/>
    </cs:effectRef>
    <cs:fontRef idx="minor">
      <a:schemeClr val="tx1"/>
    </cs:fontRef>
    <cs:spPr>
      <a:ln>
        <a:round/>
      </a:ln>
    </cs:spPr>
  </cs:dataPoint>
  <cs:dataPoint3D>
    <cs:lnRef idx="1">
      <a:schemeClr val="lt1"/>
    </cs:lnRef>
    <cs:fillRef idx="1">
      <cs:styleClr val="auto"/>
    </cs:fillRef>
    <cs:effectRef idx="1">
      <a:schemeClr val="dk1"/>
    </cs:effectRef>
    <cs:fontRef idx="minor">
      <a:schemeClr val="tx1"/>
    </cs:fontRef>
    <cs:spPr>
      <a:ln>
        <a:round/>
      </a:ln>
    </cs:spPr>
  </cs:dataPoint3D>
  <cs:dataPointLine>
    <cs:lnRef idx="1">
      <cs:styleClr val="auto"/>
    </cs:lnRef>
    <cs:lineWidthScale>5</cs:lineWidthScale>
    <cs:fillRef idx="0"/>
    <cs:effectRef idx="0"/>
    <cs:fontRef idx="minor">
      <a:schemeClr val="tx1"/>
    </cs:fontRef>
    <cs:spPr>
      <a:ln cap="rnd">
        <a:round/>
      </a:ln>
    </cs:spPr>
  </cs:dataPointLine>
  <cs:dataPointMarker>
    <cs:lnRef idx="1">
      <cs:styleClr val="auto"/>
    </cs:lnRef>
    <cs:fillRef idx="1">
      <cs:styleClr val="auto"/>
    </cs:fillRef>
    <cs:effectRef idx="1">
      <a:schemeClr val="dk1"/>
    </cs:effectRef>
    <cs:fontRef idx="minor">
      <a:schemeClr val="tx1"/>
    </cs:fontRef>
    <cs:spPr>
      <a:ln>
        <a:round/>
      </a:ln>
    </cs:spPr>
  </cs:dataPointMarker>
  <cs:dataPointMarkerLayout/>
  <cs:dataPointWireframe>
    <cs:lnRef idx="1">
      <cs:styleClr val="auto"/>
    </cs:lnRef>
    <cs:fillRef idx="0"/>
    <cs:effectRef idx="0"/>
    <cs:fontRef idx="minor">
      <a:schemeClr val="tx1"/>
    </cs:fontRef>
    <cs:spPr>
      <a:ln>
        <a:round/>
      </a:ln>
    </cs:spPr>
  </cs:dataPointWireframe>
  <cs:dataTable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dataTable>
  <cs:downBar>
    <cs:lnRef idx="1">
      <a:schemeClr val="tx1"/>
    </cs:lnRef>
    <cs:fillRef idx="1">
      <a:schemeClr val="dk1">
        <a:tint val="85000"/>
      </a:schemeClr>
    </cs:fillRef>
    <cs:effectRef idx="1">
      <a:schemeClr val="dk1"/>
    </cs:effectRef>
    <cs:fontRef idx="minor">
      <a:schemeClr val="tx1"/>
    </cs:fontRef>
    <cs:spPr>
      <a:ln>
        <a:round/>
      </a:ln>
    </cs:spPr>
  </cs:downBar>
  <cs:drop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dropLine>
  <cs:errorBar>
    <cs:lnRef idx="1">
      <a:schemeClr val="tx1"/>
    </cs:lnRef>
    <cs:fillRef idx="1">
      <a:schemeClr val="tx1"/>
    </cs:fillRef>
    <cs:effectRef idx="0"/>
    <cs:fontRef idx="minor">
      <a:schemeClr val="tx1"/>
    </cs:fontRef>
    <cs:spPr>
      <a:ln>
        <a:round/>
      </a:ln>
    </cs:spPr>
  </cs:errorBar>
  <cs:floor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</cs:floor>
  <cs:gridlineMajor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</cs:gridlineMajor>
  <cs:gridlineMinor>
    <cs:lnRef idx="1">
      <a:schemeClr val="tx1">
        <a:tint val="50000"/>
      </a:schemeClr>
    </cs:lnRef>
    <cs:fillRef idx="0"/>
    <cs:effectRef idx="0"/>
    <cs:fontRef idx="minor">
      <a:schemeClr val="tx1"/>
    </cs:fontRef>
    <cs:spPr>
      <a:ln>
        <a:round/>
      </a:ln>
    </cs:spPr>
  </cs:gridlineMinor>
  <cs:hiLo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hiLoLine>
  <cs:leader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leaderLine>
  <cs:legend>
    <cs:lnRef idx="0"/>
    <cs:fillRef idx="0"/>
    <cs:effectRef idx="0"/>
    <cs:fontRef idx="minor">
      <a:schemeClr val="tx1"/>
    </cs:fontRef>
    <cs:defRPr sz="1000" kern="1200"/>
  </cs:legend>
  <cs:plotArea mods="allowNoFillOverride allowNoLineOverride">
    <cs:lnRef idx="0"/>
    <cs:fillRef idx="1">
      <a:schemeClr val="bg1"/>
    </cs:fillRef>
    <cs:effectRef idx="0"/>
    <cs:fontRef idx="minor">
      <a:schemeClr val="tx1"/>
    </cs:fontRef>
  </cs:plotArea>
  <cs:plotArea3D>
    <cs:lnRef idx="0"/>
    <cs:fillRef idx="0"/>
    <cs:effectRef idx="0"/>
    <cs:fontRef idx="minor">
      <a:schemeClr val="tx1"/>
    </cs:fontRef>
  </cs:plotArea3D>
  <cs:seriesAxis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seriesAxis>
  <cs:series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seriesLine>
  <cs:title>
    <cs:lnRef idx="0"/>
    <cs:fillRef idx="0"/>
    <cs:effectRef idx="0"/>
    <cs:fontRef idx="minor">
      <a:schemeClr val="tx1"/>
    </cs:fontRef>
    <cs:defRPr sz="1800" b="1" kern="1200"/>
  </cs:title>
  <cs:trendline>
    <cs:lnRef idx="1">
      <a:schemeClr val="tx1"/>
    </cs:lnRef>
    <cs:fillRef idx="0"/>
    <cs:effectRef idx="0"/>
    <cs:fontRef idx="minor">
      <a:schemeClr val="tx1"/>
    </cs:fontRef>
    <cs:spPr>
      <a:ln cap="rnd">
        <a:round/>
      </a:ln>
    </cs:spPr>
  </cs:trendline>
  <cs:trendlineLabel>
    <cs:lnRef idx="0"/>
    <cs:fillRef idx="0"/>
    <cs:effectRef idx="0"/>
    <cs:fontRef idx="minor">
      <a:schemeClr val="tx1"/>
    </cs:fontRef>
    <cs:defRPr sz="1000" kern="1200"/>
  </cs:trendlineLabel>
  <cs:upBar>
    <cs:lnRef idx="1">
      <a:schemeClr val="tx1"/>
    </cs:lnRef>
    <cs:fillRef idx="1">
      <a:schemeClr val="dk1">
        <a:tint val="25000"/>
      </a:schemeClr>
    </cs:fillRef>
    <cs:effectRef idx="1">
      <a:schemeClr val="dk1"/>
    </cs:effectRef>
    <cs:fontRef idx="minor">
      <a:schemeClr val="tx1"/>
    </cs:fontRef>
    <cs:spPr>
      <a:ln>
        <a:round/>
      </a:ln>
    </cs:spPr>
  </cs:upBar>
  <cs:valueAxis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valueAxis>
  <cs:wall>
    <cs:lnRef idx="0"/>
    <cs:fillRef idx="0"/>
    <cs:effectRef idx="0"/>
    <cs:fontRef idx="minor">
      <a:schemeClr val="tx1"/>
    </cs:fontRef>
  </cs:wall>
</cs:chartStyle>
</file>

<file path=word/charts/style2.xml><?xml version="1.0" encoding="utf-8"?>
<cs:chartStyle xmlns:cs="http://schemas.microsoft.com/office/drawing/2012/chartStyle" xmlns:a="http://schemas.openxmlformats.org/drawingml/2006/main" id="102">
  <cs:axisTitle>
    <cs:lnRef idx="0"/>
    <cs:fillRef idx="0"/>
    <cs:effectRef idx="0"/>
    <cs:fontRef idx="minor">
      <a:schemeClr val="tx1"/>
    </cs:fontRef>
    <cs:defRPr sz="1000" b="1" kern="1200"/>
  </cs:axisTitle>
  <cs:categoryAxis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categoryAxis>
  <cs:chartArea mods="allowNoFillOverride allowNoLineOverride">
    <cs:lnRef idx="1">
      <a:schemeClr val="tx1">
        <a:tint val="75000"/>
      </a:schemeClr>
    </cs:lnRef>
    <cs:fillRef idx="1">
      <a:schemeClr val="bg1"/>
    </cs:fillRef>
    <cs:effectRef idx="0"/>
    <cs:fontRef idx="minor">
      <a:schemeClr val="tx1"/>
    </cs:fontRef>
    <cs:spPr>
      <a:ln>
        <a:round/>
      </a:ln>
    </cs:spPr>
    <cs:defRPr sz="1000" kern="1200"/>
  </cs:chartArea>
  <cs:dataLabel>
    <cs:lnRef idx="0"/>
    <cs:fillRef idx="0"/>
    <cs:effectRef idx="0"/>
    <cs:fontRef idx="minor">
      <a:schemeClr val="tx1"/>
    </cs:fontRef>
    <cs:defRPr sz="1000" kern="1200"/>
  </cs:dataLabel>
  <cs:dataLabelCallout>
    <cs:lnRef idx="0"/>
    <cs:fillRef idx="0"/>
    <cs:effectRef idx="0"/>
    <cs:fontRef idx="minor">
      <a:schemeClr val="dk1"/>
    </cs:fontRef>
    <cs:spPr>
      <a:solidFill>
        <a:schemeClr val="lt1"/>
      </a:solidFill>
      <a:ln>
        <a:solidFill>
          <a:schemeClr val="dk1">
            <a:lumMod val="65000"/>
            <a:lumOff val="35000"/>
          </a:schemeClr>
        </a:solidFill>
      </a:ln>
    </cs:spPr>
    <cs:defRPr sz="1000" kern="1200"/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1">
      <cs:styleClr val="auto"/>
    </cs:lnRef>
    <cs:lineWidthScale>3</cs:lineWidthScale>
    <cs:fillRef idx="0"/>
    <cs:effectRef idx="0"/>
    <cs:fontRef idx="minor">
      <a:schemeClr val="tx1"/>
    </cs:fontRef>
    <cs:spPr>
      <a:ln cap="rnd">
        <a:round/>
      </a:ln>
    </cs:spPr>
  </cs:dataPointLine>
  <cs:dataPointMarker>
    <cs:lnRef idx="1">
      <cs:styleClr val="auto"/>
    </cs:lnRef>
    <cs:fillRef idx="1">
      <cs:styleClr val="auto"/>
    </cs:fillRef>
    <cs:effectRef idx="0"/>
    <cs:fontRef idx="minor">
      <a:schemeClr val="tx1"/>
    </cs:fontRef>
    <cs:spPr>
      <a:ln>
        <a:round/>
      </a:ln>
    </cs:spPr>
  </cs:dataPointMarker>
  <cs:dataPointMarkerLayout/>
  <cs:dataPointWireframe>
    <cs:lnRef idx="1">
      <cs:styleClr val="auto"/>
    </cs:lnRef>
    <cs:fillRef idx="0"/>
    <cs:effectRef idx="0"/>
    <cs:fontRef idx="minor">
      <a:schemeClr val="tx1"/>
    </cs:fontRef>
    <cs:spPr>
      <a:ln>
        <a:round/>
      </a:ln>
    </cs:spPr>
  </cs:dataPointWireframe>
  <cs:dataTable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dataTable>
  <cs:downBar>
    <cs:lnRef idx="1">
      <a:schemeClr val="tx1"/>
    </cs:lnRef>
    <cs:fillRef idx="1">
      <a:schemeClr val="dk1">
        <a:tint val="95000"/>
      </a:schemeClr>
    </cs:fillRef>
    <cs:effectRef idx="0"/>
    <cs:fontRef idx="minor">
      <a:schemeClr val="tx1"/>
    </cs:fontRef>
    <cs:spPr>
      <a:ln>
        <a:round/>
      </a:ln>
    </cs:spPr>
  </cs:downBar>
  <cs:drop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dropLine>
  <cs:errorBar>
    <cs:lnRef idx="1">
      <a:schemeClr val="tx1"/>
    </cs:lnRef>
    <cs:fillRef idx="1">
      <a:schemeClr val="tx1"/>
    </cs:fillRef>
    <cs:effectRef idx="0"/>
    <cs:fontRef idx="minor">
      <a:schemeClr val="tx1"/>
    </cs:fontRef>
    <cs:spPr>
      <a:ln>
        <a:round/>
      </a:ln>
    </cs:spPr>
  </cs:errorBar>
  <cs:floor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</cs:floor>
  <cs:gridlineMajor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</cs:gridlineMajor>
  <cs:gridlineMinor>
    <cs:lnRef idx="1">
      <a:schemeClr val="tx1">
        <a:tint val="50000"/>
      </a:schemeClr>
    </cs:lnRef>
    <cs:fillRef idx="0"/>
    <cs:effectRef idx="0"/>
    <cs:fontRef idx="minor">
      <a:schemeClr val="tx1"/>
    </cs:fontRef>
    <cs:spPr>
      <a:ln>
        <a:round/>
      </a:ln>
    </cs:spPr>
  </cs:gridlineMinor>
  <cs:hiLo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hiLoLine>
  <cs:leader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leaderLine>
  <cs:legend>
    <cs:lnRef idx="0"/>
    <cs:fillRef idx="0"/>
    <cs:effectRef idx="0"/>
    <cs:fontRef idx="minor">
      <a:schemeClr val="tx1"/>
    </cs:fontRef>
    <cs:defRPr sz="1000" kern="1200"/>
  </cs:legend>
  <cs:plotArea mods="allowNoFillOverride allowNoLineOverride">
    <cs:lnRef idx="0"/>
    <cs:fillRef idx="1">
      <a:schemeClr val="bg1"/>
    </cs:fillRef>
    <cs:effectRef idx="0"/>
    <cs:fontRef idx="minor">
      <a:schemeClr val="tx1"/>
    </cs:fontRef>
  </cs:plotArea>
  <cs:plotArea3D>
    <cs:lnRef idx="0"/>
    <cs:fillRef idx="0"/>
    <cs:effectRef idx="0"/>
    <cs:fontRef idx="minor">
      <a:schemeClr val="tx1"/>
    </cs:fontRef>
  </cs:plotArea3D>
  <cs:seriesAxis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seriesAxis>
  <cs:series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seriesLine>
  <cs:title>
    <cs:lnRef idx="0"/>
    <cs:fillRef idx="0"/>
    <cs:effectRef idx="0"/>
    <cs:fontRef idx="minor">
      <a:schemeClr val="tx1"/>
    </cs:fontRef>
    <cs:defRPr sz="1800" b="1" kern="1200"/>
  </cs:title>
  <cs:trendline>
    <cs:lnRef idx="1">
      <a:schemeClr val="tx1"/>
    </cs:lnRef>
    <cs:fillRef idx="0"/>
    <cs:effectRef idx="0"/>
    <cs:fontRef idx="minor">
      <a:schemeClr val="tx1"/>
    </cs:fontRef>
    <cs:spPr>
      <a:ln cap="rnd">
        <a:round/>
      </a:ln>
    </cs:spPr>
  </cs:trendline>
  <cs:trendlineLabel>
    <cs:lnRef idx="0"/>
    <cs:fillRef idx="0"/>
    <cs:effectRef idx="0"/>
    <cs:fontRef idx="minor">
      <a:schemeClr val="tx1"/>
    </cs:fontRef>
    <cs:defRPr sz="1000" kern="1200"/>
  </cs:trendlineLabel>
  <cs:upBar>
    <cs:lnRef idx="1">
      <a:schemeClr val="tx1"/>
    </cs:lnRef>
    <cs:fillRef idx="1">
      <a:schemeClr val="dk1">
        <a:tint val="5000"/>
      </a:schemeClr>
    </cs:fillRef>
    <cs:effectRef idx="0"/>
    <cs:fontRef idx="minor">
      <a:schemeClr val="tx1"/>
    </cs:fontRef>
    <cs:spPr>
      <a:ln>
        <a:round/>
      </a:ln>
    </cs:spPr>
  </cs:upBar>
  <cs:valueAxis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valueAxis>
  <cs:wall>
    <cs:lnRef idx="0"/>
    <cs:fillRef idx="0"/>
    <cs:effectRef idx="0"/>
    <cs:fontRef idx="minor">
      <a:schemeClr val="tx1"/>
    </cs:fontRef>
  </cs:wall>
</cs:chartStyl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0.8</cdr:x>
      <cdr:y>0.80208</cdr:y>
    </cdr:from>
    <cdr:to>
      <cdr:x>1</cdr:x>
      <cdr:y>1</cdr:y>
    </cdr:to>
    <cdr:sp macro="" textlink="">
      <cdr:nvSpPr>
        <cdr:cNvPr id="2" name="TextovéPole 1"/>
        <cdr:cNvSpPr txBox="1"/>
      </cdr:nvSpPr>
      <cdr:spPr>
        <a:xfrm xmlns:a="http://schemas.openxmlformats.org/drawingml/2006/main">
          <a:off x="3657600" y="2200274"/>
          <a:ext cx="914400" cy="5429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  <cdr:relSizeAnchor xmlns:cdr="http://schemas.openxmlformats.org/drawingml/2006/chartDrawing">
    <cdr:from>
      <cdr:x>0.83285</cdr:x>
      <cdr:y>0.875</cdr:y>
    </cdr:from>
    <cdr:to>
      <cdr:x>1</cdr:x>
      <cdr:y>1</cdr:y>
    </cdr:to>
    <cdr:sp macro="" textlink="">
      <cdr:nvSpPr>
        <cdr:cNvPr id="3" name="TextovéPole 2"/>
        <cdr:cNvSpPr txBox="1"/>
      </cdr:nvSpPr>
      <cdr:spPr>
        <a:xfrm xmlns:a="http://schemas.openxmlformats.org/drawingml/2006/main">
          <a:off x="5457824" y="2892028"/>
          <a:ext cx="1095375" cy="41314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r>
            <a:rPr lang="cs-CZ" sz="800">
              <a:latin typeface="Arial" panose="020B0604020202020204" pitchFamily="34" charset="0"/>
              <a:cs typeface="Arial" panose="020B0604020202020204" pitchFamily="34" charset="0"/>
            </a:rPr>
            <a:t>Zdroj:</a:t>
          </a:r>
          <a:r>
            <a:rPr lang="cs-CZ" sz="800" baseline="0">
              <a:latin typeface="Arial" panose="020B0604020202020204" pitchFamily="34" charset="0"/>
              <a:cs typeface="Arial" panose="020B0604020202020204" pitchFamily="34" charset="0"/>
            </a:rPr>
            <a:t> ŘSCP</a:t>
          </a:r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0.8</cdr:x>
      <cdr:y>0.80208</cdr:y>
    </cdr:from>
    <cdr:to>
      <cdr:x>1</cdr:x>
      <cdr:y>1</cdr:y>
    </cdr:to>
    <cdr:sp macro="" textlink="">
      <cdr:nvSpPr>
        <cdr:cNvPr id="4" name="TextovéPole 1"/>
        <cdr:cNvSpPr txBox="1"/>
      </cdr:nvSpPr>
      <cdr:spPr>
        <a:xfrm xmlns:a="http://schemas.openxmlformats.org/drawingml/2006/main">
          <a:off x="3657600" y="2200274"/>
          <a:ext cx="914400" cy="5429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  <cdr:relSizeAnchor xmlns:cdr="http://schemas.openxmlformats.org/drawingml/2006/chartDrawing">
    <cdr:from>
      <cdr:x>0.86598</cdr:x>
      <cdr:y>0.91935</cdr:y>
    </cdr:from>
    <cdr:to>
      <cdr:x>1</cdr:x>
      <cdr:y>1</cdr:y>
    </cdr:to>
    <cdr:sp macro="" textlink="">
      <cdr:nvSpPr>
        <cdr:cNvPr id="5" name="TextovéPole 2"/>
        <cdr:cNvSpPr txBox="1"/>
      </cdr:nvSpPr>
      <cdr:spPr>
        <a:xfrm xmlns:a="http://schemas.openxmlformats.org/drawingml/2006/main">
          <a:off x="6048672" y="4104456"/>
          <a:ext cx="936104" cy="36004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1100" dirty="0"/>
        </a:p>
      </cdr:txBody>
    </cdr:sp>
  </cdr:relSizeAnchor>
</c:userShapes>
</file>

<file path=word/drawings/drawing2.xml><?xml version="1.0" encoding="utf-8"?>
<c:userShapes xmlns:c="http://schemas.openxmlformats.org/drawingml/2006/chart">
  <cdr:relSizeAnchor xmlns:cdr="http://schemas.openxmlformats.org/drawingml/2006/chartDrawing">
    <cdr:from>
      <cdr:x>0.77333</cdr:x>
      <cdr:y>0.93264</cdr:y>
    </cdr:from>
    <cdr:to>
      <cdr:x>1</cdr:x>
      <cdr:y>1</cdr:y>
    </cdr:to>
    <cdr:sp macro="" textlink="">
      <cdr:nvSpPr>
        <cdr:cNvPr id="2" name="TextovéPole 1"/>
        <cdr:cNvSpPr txBox="1"/>
      </cdr:nvSpPr>
      <cdr:spPr>
        <a:xfrm xmlns:a="http://schemas.openxmlformats.org/drawingml/2006/main">
          <a:off x="4419599" y="3428991"/>
          <a:ext cx="1295401" cy="247659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Verdana" panose="020B0604030504040204" pitchFamily="34" charset="0"/>
            <a:ea typeface="Verdana" panose="020B0604030504040204" pitchFamily="34" charset="0"/>
            <a:cs typeface="Verdana" panose="020B0604030504040204" pitchFamily="34" charset="0"/>
          </a:endParaRPr>
        </a:p>
      </cdr:txBody>
    </cdr:sp>
  </cdr:relSizeAnchor>
  <cdr:relSizeAnchor xmlns:cdr="http://schemas.openxmlformats.org/drawingml/2006/chartDrawing">
    <cdr:from>
      <cdr:x>0.84</cdr:x>
      <cdr:y>0.92402</cdr:y>
    </cdr:from>
    <cdr:to>
      <cdr:x>1</cdr:x>
      <cdr:y>1</cdr:y>
    </cdr:to>
    <cdr:sp macro="" textlink="">
      <cdr:nvSpPr>
        <cdr:cNvPr id="3" name="TextovéPole 2"/>
        <cdr:cNvSpPr txBox="1"/>
      </cdr:nvSpPr>
      <cdr:spPr>
        <a:xfrm xmlns:a="http://schemas.openxmlformats.org/drawingml/2006/main">
          <a:off x="4800600" y="3590925"/>
          <a:ext cx="914400" cy="295274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r>
            <a:rPr lang="cs-CZ" sz="1000"/>
            <a:t>Zdroj: ŘSCP</a:t>
          </a:r>
        </a:p>
      </cdr:txBody>
    </cdr:sp>
  </cdr:relSizeAnchor>
</c:userShape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E68B0E-6427-4A29-9F57-AC2DD39375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1169</Words>
  <Characters>6899</Characters>
  <Application>Microsoft Office Word</Application>
  <DocSecurity>0</DocSecurity>
  <Lines>57</Lines>
  <Paragraphs>16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8052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Jarmila Marešová</dc:creator>
  <cp:keywords>cizinci</cp:keywords>
  <cp:lastModifiedBy>Marešová Jarmila</cp:lastModifiedBy>
  <cp:revision>4</cp:revision>
  <cp:lastPrinted>2024-12-05T12:07:00Z</cp:lastPrinted>
  <dcterms:created xsi:type="dcterms:W3CDTF">2024-12-09T09:38:00Z</dcterms:created>
  <dcterms:modified xsi:type="dcterms:W3CDTF">2024-12-09T11:41:00Z</dcterms:modified>
</cp:coreProperties>
</file>