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E1CD" w14:textId="47852D70" w:rsidR="006E7983" w:rsidRDefault="00224C30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32"/>
        </w:rPr>
      </w:pPr>
      <w:r w:rsidRPr="00AD565B">
        <w:rPr>
          <w:rFonts w:ascii="Arial" w:hAnsi="Arial" w:cs="Arial"/>
          <w:sz w:val="32"/>
        </w:rPr>
        <w:t>Vývoj</w:t>
      </w:r>
      <w:r w:rsidRPr="00AD565B">
        <w:rPr>
          <w:rFonts w:ascii="Arial" w:hAnsi="Arial" w:cs="Arial"/>
          <w:b/>
          <w:bCs/>
          <w:sz w:val="32"/>
        </w:rPr>
        <w:t xml:space="preserve"> </w:t>
      </w:r>
      <w:r w:rsidRPr="00AD565B">
        <w:rPr>
          <w:rFonts w:ascii="Arial" w:hAnsi="Arial" w:cs="Arial"/>
          <w:sz w:val="32"/>
        </w:rPr>
        <w:t>cen průmyslových výrobců v</w:t>
      </w:r>
      <w:r w:rsidR="00F17CA8">
        <w:rPr>
          <w:rFonts w:ascii="Arial" w:hAnsi="Arial" w:cs="Arial"/>
          <w:sz w:val="32"/>
        </w:rPr>
        <w:t> </w:t>
      </w:r>
      <w:r w:rsidR="00450DC6">
        <w:rPr>
          <w:rFonts w:ascii="Arial" w:hAnsi="Arial" w:cs="Arial"/>
          <w:sz w:val="32"/>
        </w:rPr>
        <w:t>květnu</w:t>
      </w:r>
      <w:r w:rsidR="00F17CA8">
        <w:rPr>
          <w:rFonts w:ascii="Arial" w:hAnsi="Arial" w:cs="Arial"/>
          <w:sz w:val="32"/>
        </w:rPr>
        <w:t xml:space="preserve"> 2026</w:t>
      </w:r>
    </w:p>
    <w:p w14:paraId="6E05524E" w14:textId="77777777" w:rsidR="00B74C74" w:rsidRPr="00A238DA" w:rsidRDefault="00B74C74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20"/>
          <w:szCs w:val="20"/>
        </w:rPr>
      </w:pPr>
    </w:p>
    <w:p w14:paraId="5D337C8F" w14:textId="77777777" w:rsidR="00FF2040" w:rsidRPr="00735F55" w:rsidRDefault="00FF2040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  <w:r w:rsidRPr="00735F55">
        <w:rPr>
          <w:rFonts w:ascii="Arial" w:hAnsi="Arial" w:cs="Arial"/>
          <w:b/>
          <w:sz w:val="20"/>
          <w:szCs w:val="20"/>
        </w:rPr>
        <w:t>Meziměsíční srovnání:</w:t>
      </w:r>
    </w:p>
    <w:p w14:paraId="02BD0989" w14:textId="77777777" w:rsidR="00257749" w:rsidRPr="00735F55" w:rsidRDefault="00257749" w:rsidP="00257749">
      <w:pPr>
        <w:rPr>
          <w:rFonts w:ascii="Arial" w:hAnsi="Arial" w:cs="Arial"/>
          <w:sz w:val="20"/>
          <w:szCs w:val="20"/>
        </w:rPr>
      </w:pPr>
    </w:p>
    <w:p w14:paraId="72BA55F4" w14:textId="6C9FBBE4" w:rsidR="00735F55" w:rsidRPr="00735F55" w:rsidRDefault="00735F55" w:rsidP="00735F55">
      <w:pPr>
        <w:rPr>
          <w:rFonts w:ascii="Arial" w:hAnsi="Arial" w:cs="Arial"/>
          <w:sz w:val="20"/>
          <w:szCs w:val="20"/>
        </w:rPr>
      </w:pPr>
      <w:r w:rsidRPr="00735F55">
        <w:rPr>
          <w:rFonts w:ascii="Arial" w:hAnsi="Arial" w:cs="Arial"/>
          <w:sz w:val="20"/>
          <w:szCs w:val="20"/>
        </w:rPr>
        <w:t xml:space="preserve">Ceny </w:t>
      </w:r>
      <w:r w:rsidRPr="00735F55">
        <w:rPr>
          <w:rFonts w:ascii="Arial" w:hAnsi="Arial" w:cs="Arial"/>
          <w:b/>
          <w:sz w:val="20"/>
          <w:szCs w:val="20"/>
        </w:rPr>
        <w:t xml:space="preserve">průmyslových výrobců meziměsíčně </w:t>
      </w:r>
      <w:r w:rsidRPr="00735F55">
        <w:rPr>
          <w:rFonts w:ascii="Arial" w:hAnsi="Arial" w:cs="Arial"/>
          <w:sz w:val="20"/>
          <w:szCs w:val="20"/>
        </w:rPr>
        <w:t>klesly o 0,1 %.</w:t>
      </w:r>
    </w:p>
    <w:p w14:paraId="156DDD8F" w14:textId="77777777" w:rsidR="00B00A26" w:rsidRPr="00735F55" w:rsidRDefault="00B00A26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2D07F0C1" w14:textId="5B2CF861" w:rsidR="005872FA" w:rsidRPr="00735F55" w:rsidRDefault="005872FA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318C2A43" w14:textId="4E8C18BF" w:rsidR="00B00A26" w:rsidRPr="00735F55" w:rsidRDefault="00A403C8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735F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F9E35A5" wp14:editId="1D4C9AF9">
            <wp:extent cx="5760720" cy="3926205"/>
            <wp:effectExtent l="0" t="0" r="11430" b="17145"/>
            <wp:docPr id="184323279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0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3DECE0F" w14:textId="77777777" w:rsidR="00A403C8" w:rsidRPr="00735F55" w:rsidRDefault="00A403C8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5AC31819" w14:textId="77777777" w:rsidR="005872FA" w:rsidRPr="00735F55" w:rsidRDefault="005872FA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16DF3BBE" w14:textId="77777777" w:rsidR="00735F55" w:rsidRPr="00735F55" w:rsidRDefault="00735F55" w:rsidP="00735F55">
      <w:pPr>
        <w:rPr>
          <w:rFonts w:ascii="Arial" w:hAnsi="Arial" w:cs="Arial"/>
          <w:sz w:val="20"/>
          <w:szCs w:val="20"/>
        </w:rPr>
      </w:pPr>
      <w:r w:rsidRPr="00735F55">
        <w:rPr>
          <w:rFonts w:ascii="Arial" w:hAnsi="Arial" w:cs="Arial"/>
          <w:sz w:val="20"/>
          <w:szCs w:val="20"/>
        </w:rPr>
        <w:t xml:space="preserve">Ceny elektřiny, plynu, páry a klimatizovaného vzduchu byly nižší o 2,3 %. Snížily se ceny </w:t>
      </w:r>
      <w:r w:rsidRPr="00735F55">
        <w:rPr>
          <w:rFonts w:ascii="Arial" w:hAnsi="Arial" w:cs="Arial"/>
          <w:bCs/>
          <w:sz w:val="20"/>
          <w:szCs w:val="20"/>
        </w:rPr>
        <w:t xml:space="preserve">koksu a rafinovaných ropných výrobků. Klesly ceny potravinářských výrobků o 0,2 %, z toho ceny </w:t>
      </w:r>
      <w:r w:rsidRPr="00735F55">
        <w:rPr>
          <w:rFonts w:ascii="Arial" w:hAnsi="Arial" w:cs="Arial"/>
          <w:sz w:val="20"/>
          <w:szCs w:val="20"/>
        </w:rPr>
        <w:t>zpracovaného a konzervovaného masa a výrobků z masa o 0,3 % a mléčných výrobků o 0,5 %. Zvýšily se ceny chemických látek a přípravků o 6,7 %, pryžových a plastových výrobků o 3,5 % a základních kovů o 1,8 %.</w:t>
      </w:r>
    </w:p>
    <w:p w14:paraId="35F1C354" w14:textId="77777777" w:rsidR="00735F55" w:rsidRPr="00735F55" w:rsidRDefault="00735F55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4CBC2809" w14:textId="09B75EF8" w:rsidR="007536DF" w:rsidRPr="00735F55" w:rsidRDefault="007536DF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735F55">
        <w:rPr>
          <w:rFonts w:ascii="Arial" w:hAnsi="Arial" w:cs="Arial"/>
          <w:sz w:val="20"/>
          <w:szCs w:val="20"/>
        </w:rPr>
        <w:t>Vybraná odvětví, která nejvíce ovlivnila výši celkového meziměsíčního indexu:</w:t>
      </w:r>
    </w:p>
    <w:p w14:paraId="6958BB8E" w14:textId="77777777" w:rsidR="00B85F70" w:rsidRPr="00735F55" w:rsidRDefault="00B85F70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14:paraId="52F4A45D" w14:textId="217ED32B" w:rsidR="00CA0EDE" w:rsidRPr="00735F55" w:rsidRDefault="00A403C8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35F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5B64709" wp14:editId="167EE306">
            <wp:extent cx="5760720" cy="837565"/>
            <wp:effectExtent l="0" t="0" r="0" b="635"/>
            <wp:docPr id="67903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BF1F1" w14:textId="77777777" w:rsidR="00CF0CE3" w:rsidRPr="00735F55" w:rsidRDefault="00CF0CE3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AB083FF" w14:textId="77777777" w:rsidR="00CF0CE3" w:rsidRPr="00735F55" w:rsidRDefault="00CF0CE3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E5260C6" w14:textId="77777777" w:rsidR="00CA0EDE" w:rsidRPr="00735F55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58C8EE7" w14:textId="77777777" w:rsidR="00106FBA" w:rsidRPr="00735F55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C53383E" w14:textId="77777777" w:rsidR="00106FBA" w:rsidRPr="00735F55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962998B" w14:textId="77777777" w:rsidR="004058C9" w:rsidRPr="00735F55" w:rsidRDefault="004058C9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C9EBCF8" w14:textId="77777777" w:rsidR="00161FE6" w:rsidRPr="00735F55" w:rsidRDefault="00161FE6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2E0209F" w14:textId="77777777" w:rsidR="00257749" w:rsidRPr="00735F55" w:rsidRDefault="00257749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430ADEF" w14:textId="77777777" w:rsidR="00257749" w:rsidRPr="00735F55" w:rsidRDefault="00257749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2C179C3" w14:textId="77777777" w:rsidR="00257749" w:rsidRPr="00735F55" w:rsidRDefault="00257749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8C13AB5" w14:textId="3A8D88AF" w:rsidR="005E1F75" w:rsidRPr="00735F55" w:rsidRDefault="00FF2040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35F55">
        <w:rPr>
          <w:rFonts w:ascii="Arial" w:hAnsi="Arial" w:cs="Arial"/>
          <w:b/>
          <w:sz w:val="20"/>
          <w:szCs w:val="20"/>
        </w:rPr>
        <w:t>Meziroční srovnání:</w:t>
      </w:r>
    </w:p>
    <w:p w14:paraId="63E49B81" w14:textId="77777777" w:rsidR="00257749" w:rsidRPr="00735F55" w:rsidRDefault="00257749" w:rsidP="00B9177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FD0C6CC" w14:textId="5DE40C35" w:rsidR="00735F55" w:rsidRPr="00735F55" w:rsidRDefault="00735F55" w:rsidP="00735F55">
      <w:pPr>
        <w:rPr>
          <w:rFonts w:ascii="Arial" w:hAnsi="Arial" w:cs="Arial"/>
          <w:sz w:val="20"/>
          <w:szCs w:val="20"/>
        </w:rPr>
      </w:pPr>
      <w:r w:rsidRPr="00735F55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Pr="00735F55">
        <w:rPr>
          <w:rFonts w:ascii="Arial" w:hAnsi="Arial" w:cs="Arial"/>
          <w:sz w:val="20"/>
          <w:szCs w:val="20"/>
        </w:rPr>
        <w:t xml:space="preserve">ceny </w:t>
      </w:r>
      <w:r w:rsidRPr="00735F55">
        <w:rPr>
          <w:rFonts w:ascii="Arial" w:hAnsi="Arial" w:cs="Arial"/>
          <w:b/>
          <w:bCs/>
          <w:sz w:val="20"/>
          <w:szCs w:val="20"/>
        </w:rPr>
        <w:t xml:space="preserve">průmyslových výrobců </w:t>
      </w:r>
      <w:r w:rsidRPr="00735F55">
        <w:rPr>
          <w:rFonts w:ascii="Arial" w:hAnsi="Arial" w:cs="Arial"/>
          <w:bCs/>
          <w:sz w:val="20"/>
          <w:szCs w:val="20"/>
        </w:rPr>
        <w:t xml:space="preserve">vzrostly o 1,5 % (v dubnu o 1,0 %). </w:t>
      </w:r>
    </w:p>
    <w:p w14:paraId="4D1528F3" w14:textId="77777777" w:rsidR="00735F55" w:rsidRPr="00735F55" w:rsidRDefault="00735F55" w:rsidP="00B9177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EF74776" w14:textId="13B71761" w:rsidR="00B00A26" w:rsidRPr="00735F55" w:rsidRDefault="00A403C8" w:rsidP="00280EB3">
      <w:pPr>
        <w:rPr>
          <w:rFonts w:ascii="Arial" w:hAnsi="Arial" w:cs="Arial"/>
          <w:bCs/>
          <w:sz w:val="20"/>
          <w:szCs w:val="20"/>
        </w:rPr>
      </w:pPr>
      <w:r w:rsidRPr="00735F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2088E6C" wp14:editId="3B2A5FED">
            <wp:extent cx="5760720" cy="3498850"/>
            <wp:effectExtent l="0" t="0" r="11430" b="6350"/>
            <wp:docPr id="103757165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9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BC80FC0" w14:textId="77777777" w:rsidR="00A403C8" w:rsidRPr="00735F55" w:rsidRDefault="00A403C8" w:rsidP="00280EB3">
      <w:pPr>
        <w:rPr>
          <w:rFonts w:ascii="Arial" w:hAnsi="Arial" w:cs="Arial"/>
          <w:bCs/>
          <w:sz w:val="20"/>
          <w:szCs w:val="20"/>
        </w:rPr>
      </w:pPr>
    </w:p>
    <w:p w14:paraId="55FE1656" w14:textId="49AA506A" w:rsidR="00A403C8" w:rsidRPr="00735F55" w:rsidRDefault="00A403C8" w:rsidP="00280EB3">
      <w:pPr>
        <w:rPr>
          <w:rFonts w:ascii="Arial" w:hAnsi="Arial" w:cs="Arial"/>
          <w:bCs/>
          <w:sz w:val="20"/>
          <w:szCs w:val="20"/>
        </w:rPr>
      </w:pPr>
      <w:r w:rsidRPr="00735F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5DBDEEE" wp14:editId="42A81A78">
            <wp:extent cx="5760720" cy="4377055"/>
            <wp:effectExtent l="0" t="0" r="11430" b="4445"/>
            <wp:docPr id="213141104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A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ACCA72" w14:textId="77777777" w:rsidR="00B00A26" w:rsidRPr="00735F55" w:rsidRDefault="00B00A26" w:rsidP="00280EB3">
      <w:pPr>
        <w:rPr>
          <w:rFonts w:ascii="Arial" w:hAnsi="Arial" w:cs="Arial"/>
          <w:bCs/>
          <w:sz w:val="20"/>
          <w:szCs w:val="20"/>
        </w:rPr>
      </w:pPr>
    </w:p>
    <w:p w14:paraId="68181991" w14:textId="77777777" w:rsidR="00735F55" w:rsidRPr="00735F55" w:rsidRDefault="00735F55" w:rsidP="00735F55">
      <w:pPr>
        <w:rPr>
          <w:rFonts w:ascii="Arial" w:hAnsi="Arial" w:cs="Arial"/>
          <w:sz w:val="20"/>
          <w:szCs w:val="20"/>
        </w:rPr>
      </w:pPr>
      <w:r w:rsidRPr="00735F55">
        <w:rPr>
          <w:rFonts w:ascii="Arial" w:hAnsi="Arial" w:cs="Arial"/>
          <w:bCs/>
          <w:sz w:val="20"/>
          <w:szCs w:val="20"/>
        </w:rPr>
        <w:t>Významně se zvýšily ceny</w:t>
      </w:r>
      <w:r w:rsidRPr="00735F55">
        <w:rPr>
          <w:rFonts w:ascii="Arial" w:hAnsi="Arial" w:cs="Arial"/>
          <w:sz w:val="20"/>
          <w:szCs w:val="20"/>
        </w:rPr>
        <w:t xml:space="preserve"> </w:t>
      </w:r>
      <w:r w:rsidRPr="00735F55">
        <w:rPr>
          <w:rFonts w:ascii="Arial" w:hAnsi="Arial" w:cs="Arial"/>
          <w:bCs/>
          <w:sz w:val="20"/>
          <w:szCs w:val="20"/>
        </w:rPr>
        <w:t xml:space="preserve">koksu a rafinovaných ropných výrobků. Ceny </w:t>
      </w:r>
      <w:r w:rsidRPr="00735F55">
        <w:rPr>
          <w:rFonts w:ascii="Arial" w:hAnsi="Arial" w:cs="Arial"/>
          <w:sz w:val="20"/>
          <w:szCs w:val="20"/>
        </w:rPr>
        <w:t xml:space="preserve">chemických látek a přípravků byly vyšší o 14,7 %, </w:t>
      </w:r>
      <w:r w:rsidRPr="00735F55">
        <w:rPr>
          <w:rFonts w:ascii="Arial" w:hAnsi="Arial" w:cs="Arial"/>
          <w:bCs/>
          <w:sz w:val="20"/>
          <w:szCs w:val="20"/>
        </w:rPr>
        <w:t>ostatních nekovových minerálních výrobků o 3,8 % a ceny dřeva a dřevěných a korkových výrobků o 9,8 %</w:t>
      </w:r>
      <w:r w:rsidRPr="00735F55">
        <w:rPr>
          <w:rFonts w:ascii="Arial" w:hAnsi="Arial" w:cs="Arial"/>
          <w:sz w:val="20"/>
          <w:szCs w:val="20"/>
        </w:rPr>
        <w:t xml:space="preserve">. Snížily se ceny elektřiny, plynu, páry a klimatizovaného vzduchu o 6,0 %. Ceny potravinářských výrobků klesly o 4,0 %, z toho byly nižší ceny mléčných výrobků o 13,1 % a </w:t>
      </w:r>
      <w:r w:rsidRPr="00735F55">
        <w:rPr>
          <w:rFonts w:ascii="Arial" w:hAnsi="Arial" w:cs="Arial"/>
          <w:bCs/>
          <w:sz w:val="20"/>
          <w:szCs w:val="20"/>
        </w:rPr>
        <w:t xml:space="preserve">ceny </w:t>
      </w:r>
      <w:r w:rsidRPr="00735F55">
        <w:rPr>
          <w:rFonts w:ascii="Arial" w:hAnsi="Arial" w:cs="Arial"/>
          <w:sz w:val="20"/>
          <w:szCs w:val="20"/>
        </w:rPr>
        <w:t>zpracovaného a konzervovaného masa a výrobků z masa o 3,5 %.</w:t>
      </w:r>
    </w:p>
    <w:p w14:paraId="6D93F72F" w14:textId="77777777" w:rsidR="00234633" w:rsidRPr="00735F55" w:rsidRDefault="00234633" w:rsidP="00672386">
      <w:pPr>
        <w:rPr>
          <w:rFonts w:ascii="Arial" w:hAnsi="Arial" w:cs="Arial"/>
          <w:sz w:val="20"/>
          <w:szCs w:val="20"/>
        </w:rPr>
      </w:pPr>
    </w:p>
    <w:p w14:paraId="133EB7A6" w14:textId="77777777" w:rsidR="00735F55" w:rsidRPr="00735F55" w:rsidRDefault="00735F55" w:rsidP="00672386">
      <w:pPr>
        <w:rPr>
          <w:rFonts w:ascii="Arial" w:hAnsi="Arial" w:cs="Arial"/>
          <w:sz w:val="20"/>
          <w:szCs w:val="20"/>
        </w:rPr>
      </w:pPr>
    </w:p>
    <w:p w14:paraId="5AFC07E9" w14:textId="3817863C" w:rsidR="007536DF" w:rsidRPr="00735F55" w:rsidRDefault="007536DF" w:rsidP="00672386">
      <w:pPr>
        <w:rPr>
          <w:rFonts w:ascii="Arial" w:hAnsi="Arial" w:cs="Arial"/>
          <w:sz w:val="20"/>
          <w:szCs w:val="20"/>
        </w:rPr>
      </w:pPr>
      <w:r w:rsidRPr="00735F55">
        <w:rPr>
          <w:rFonts w:ascii="Arial" w:hAnsi="Arial" w:cs="Arial"/>
          <w:sz w:val="20"/>
          <w:szCs w:val="20"/>
        </w:rPr>
        <w:t>Vybraná odvětví, která nejvíce ovlivnila výši celkového meziročního indexu:</w:t>
      </w:r>
    </w:p>
    <w:p w14:paraId="15E0FD21" w14:textId="77777777" w:rsidR="00257749" w:rsidRPr="00735F55" w:rsidRDefault="00257749" w:rsidP="00672386">
      <w:pPr>
        <w:rPr>
          <w:rFonts w:ascii="Arial" w:hAnsi="Arial" w:cs="Arial"/>
          <w:sz w:val="20"/>
          <w:szCs w:val="20"/>
        </w:rPr>
      </w:pPr>
    </w:p>
    <w:p w14:paraId="2B97EB96" w14:textId="4EA23A81" w:rsidR="001738E7" w:rsidRPr="00735F55" w:rsidRDefault="00A403C8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35F5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370588F" wp14:editId="21AA460D">
            <wp:extent cx="5760720" cy="2086610"/>
            <wp:effectExtent l="0" t="0" r="0" b="8890"/>
            <wp:docPr id="24580375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AEB04" w14:textId="77777777" w:rsidR="002F1FF9" w:rsidRPr="00735F55" w:rsidRDefault="002F1FF9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D8039DC" w14:textId="77777777" w:rsidR="00257749" w:rsidRPr="00735F55" w:rsidRDefault="00257749" w:rsidP="00FB6EF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66251DD" w14:textId="4C25176D" w:rsidR="00FB6EF1" w:rsidRPr="00735F55" w:rsidRDefault="002103EA" w:rsidP="00FB6EF1">
      <w:pPr>
        <w:spacing w:line="276" w:lineRule="auto"/>
        <w:rPr>
          <w:rFonts w:ascii="Arial" w:hAnsi="Arial" w:cs="Arial"/>
          <w:sz w:val="20"/>
          <w:szCs w:val="20"/>
        </w:rPr>
      </w:pPr>
      <w:r w:rsidRPr="00735F55">
        <w:rPr>
          <w:rFonts w:ascii="Arial" w:hAnsi="Arial" w:cs="Arial"/>
          <w:b/>
          <w:sz w:val="20"/>
          <w:szCs w:val="20"/>
        </w:rPr>
        <w:t xml:space="preserve">Klouzavý průměr </w:t>
      </w:r>
      <w:r w:rsidRPr="00735F55">
        <w:rPr>
          <w:rFonts w:ascii="Arial" w:hAnsi="Arial" w:cs="Arial"/>
          <w:sz w:val="20"/>
          <w:szCs w:val="20"/>
        </w:rPr>
        <w:t>úhrnného indexu cen průmyslových výrobců (tj. podíl průměru bazických indexů za posledních 12 měsíců k průměru bazických inde</w:t>
      </w:r>
      <w:r w:rsidR="001F22D3" w:rsidRPr="00735F55">
        <w:rPr>
          <w:rFonts w:ascii="Arial" w:hAnsi="Arial" w:cs="Arial"/>
          <w:sz w:val="20"/>
          <w:szCs w:val="20"/>
        </w:rPr>
        <w:t>xů za předchozích 12 měsíců) byl</w:t>
      </w:r>
      <w:r w:rsidR="003435B8" w:rsidRPr="00735F55">
        <w:rPr>
          <w:rFonts w:ascii="Arial" w:hAnsi="Arial" w:cs="Arial"/>
          <w:sz w:val="20"/>
          <w:szCs w:val="20"/>
        </w:rPr>
        <w:t xml:space="preserve"> </w:t>
      </w:r>
      <w:r w:rsidR="00A403C8" w:rsidRPr="00735F55">
        <w:rPr>
          <w:rFonts w:ascii="Arial" w:hAnsi="Arial" w:cs="Arial"/>
          <w:sz w:val="20"/>
          <w:szCs w:val="20"/>
        </w:rPr>
        <w:t>98,9</w:t>
      </w:r>
    </w:p>
    <w:p w14:paraId="282AC64A" w14:textId="77777777" w:rsidR="000E31E6" w:rsidRPr="00735F55" w:rsidRDefault="000E31E6" w:rsidP="00FB6EF1">
      <w:pPr>
        <w:spacing w:line="276" w:lineRule="auto"/>
        <w:rPr>
          <w:rFonts w:ascii="Arial" w:hAnsi="Arial" w:cs="Arial"/>
          <w:sz w:val="20"/>
          <w:szCs w:val="20"/>
        </w:rPr>
      </w:pPr>
    </w:p>
    <w:p w14:paraId="3FCE8932" w14:textId="77777777" w:rsidR="004440BA" w:rsidRPr="00735F55" w:rsidRDefault="004440BA" w:rsidP="00257749">
      <w:pPr>
        <w:rPr>
          <w:rFonts w:ascii="Arial" w:hAnsi="Arial" w:cs="Arial"/>
          <w:sz w:val="20"/>
          <w:szCs w:val="20"/>
        </w:rPr>
      </w:pPr>
    </w:p>
    <w:p w14:paraId="0166DCFD" w14:textId="77777777" w:rsidR="00735F55" w:rsidRPr="00735F55" w:rsidRDefault="00735F55" w:rsidP="00735F55">
      <w:pPr>
        <w:rPr>
          <w:rFonts w:ascii="Arial" w:hAnsi="Arial" w:cs="Arial"/>
          <w:sz w:val="20"/>
          <w:szCs w:val="20"/>
        </w:rPr>
      </w:pPr>
      <w:r w:rsidRPr="00735F55">
        <w:rPr>
          <w:rFonts w:ascii="Arial" w:hAnsi="Arial" w:cs="Arial"/>
          <w:sz w:val="20"/>
          <w:szCs w:val="20"/>
        </w:rPr>
        <w:t xml:space="preserve">Při hodnocení podle </w:t>
      </w:r>
      <w:r w:rsidRPr="00735F55">
        <w:rPr>
          <w:rFonts w:ascii="Arial" w:hAnsi="Arial" w:cs="Arial"/>
          <w:b/>
          <w:sz w:val="20"/>
          <w:szCs w:val="20"/>
        </w:rPr>
        <w:t>hlavních průmyslových skupin</w:t>
      </w:r>
      <w:r w:rsidRPr="00735F55">
        <w:rPr>
          <w:rFonts w:ascii="Arial" w:hAnsi="Arial" w:cs="Arial"/>
          <w:sz w:val="20"/>
          <w:szCs w:val="20"/>
        </w:rPr>
        <w:t xml:space="preserve"> </w:t>
      </w:r>
      <w:r w:rsidRPr="00735F55">
        <w:rPr>
          <w:rFonts w:ascii="Arial" w:hAnsi="Arial" w:cs="Arial"/>
          <w:b/>
          <w:sz w:val="20"/>
          <w:szCs w:val="20"/>
        </w:rPr>
        <w:t xml:space="preserve">meziročně </w:t>
      </w:r>
      <w:r w:rsidRPr="00735F55">
        <w:rPr>
          <w:rFonts w:ascii="Arial" w:hAnsi="Arial" w:cs="Arial"/>
          <w:bCs/>
          <w:sz w:val="20"/>
          <w:szCs w:val="20"/>
        </w:rPr>
        <w:t>vzrostly</w:t>
      </w:r>
      <w:r w:rsidRPr="00735F55">
        <w:rPr>
          <w:rFonts w:ascii="Arial" w:hAnsi="Arial" w:cs="Arial"/>
          <w:sz w:val="20"/>
          <w:szCs w:val="20"/>
        </w:rPr>
        <w:t xml:space="preserve"> ceny meziproduktů o 3,5 % a energií 2,5 %. Klesly ceny zboží krátkodobé spotřeby o 1,9 %. Ceny </w:t>
      </w:r>
      <w:r w:rsidRPr="00735F55">
        <w:rPr>
          <w:rFonts w:ascii="Arial" w:hAnsi="Arial" w:cs="Arial"/>
          <w:b/>
          <w:sz w:val="20"/>
          <w:szCs w:val="20"/>
        </w:rPr>
        <w:t>průmyslových výrobců</w:t>
      </w:r>
      <w:r w:rsidRPr="00735F55">
        <w:rPr>
          <w:rFonts w:ascii="Arial" w:hAnsi="Arial" w:cs="Arial"/>
          <w:sz w:val="20"/>
          <w:szCs w:val="20"/>
        </w:rPr>
        <w:t xml:space="preserve"> </w:t>
      </w:r>
      <w:r w:rsidRPr="00735F55">
        <w:rPr>
          <w:rFonts w:ascii="Arial" w:hAnsi="Arial" w:cs="Arial"/>
          <w:b/>
          <w:sz w:val="20"/>
          <w:szCs w:val="20"/>
        </w:rPr>
        <w:t>bez energií</w:t>
      </w:r>
      <w:r w:rsidRPr="00735F55">
        <w:rPr>
          <w:rFonts w:ascii="Arial" w:hAnsi="Arial" w:cs="Arial"/>
          <w:sz w:val="20"/>
          <w:szCs w:val="20"/>
        </w:rPr>
        <w:t xml:space="preserve"> se zvýšily o 1,1 % (v dubnu o 0,5 %).</w:t>
      </w:r>
    </w:p>
    <w:p w14:paraId="232CE54C" w14:textId="6C9FCBF6" w:rsidR="00BC1E6D" w:rsidRPr="00735F55" w:rsidRDefault="00BC1E6D" w:rsidP="00BC1E6D">
      <w:pPr>
        <w:rPr>
          <w:rFonts w:ascii="Arial" w:hAnsi="Arial" w:cs="Arial"/>
          <w:sz w:val="20"/>
          <w:szCs w:val="20"/>
        </w:rPr>
      </w:pPr>
    </w:p>
    <w:p w14:paraId="2FA172B6" w14:textId="0C65683C" w:rsidR="004B75EB" w:rsidRPr="00735F55" w:rsidRDefault="004B75EB" w:rsidP="004B75EB">
      <w:pPr>
        <w:rPr>
          <w:rFonts w:ascii="Arial" w:hAnsi="Arial" w:cs="Arial"/>
          <w:sz w:val="20"/>
          <w:szCs w:val="20"/>
        </w:rPr>
      </w:pPr>
    </w:p>
    <w:p w14:paraId="258DE052" w14:textId="5FBA8516" w:rsidR="009072D5" w:rsidRPr="00735F55" w:rsidRDefault="009072D5" w:rsidP="009072D5">
      <w:pPr>
        <w:rPr>
          <w:rFonts w:ascii="Arial" w:hAnsi="Arial" w:cs="Arial"/>
          <w:b/>
          <w:sz w:val="20"/>
          <w:szCs w:val="20"/>
        </w:rPr>
      </w:pPr>
    </w:p>
    <w:p w14:paraId="2C7DF58B" w14:textId="0B621382" w:rsidR="00813F40" w:rsidRPr="00735F55" w:rsidRDefault="00FF2040" w:rsidP="00937F5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35F55">
        <w:rPr>
          <w:rFonts w:ascii="Arial" w:hAnsi="Arial" w:cs="Arial"/>
          <w:b/>
          <w:sz w:val="20"/>
          <w:szCs w:val="20"/>
        </w:rPr>
        <w:t xml:space="preserve">Komentář k průměrným cenám průmyslových výrobců – </w:t>
      </w:r>
      <w:r w:rsidR="00450DC6" w:rsidRPr="00735F55">
        <w:rPr>
          <w:rFonts w:ascii="Arial" w:hAnsi="Arial" w:cs="Arial"/>
          <w:b/>
          <w:sz w:val="20"/>
          <w:szCs w:val="20"/>
        </w:rPr>
        <w:t>květen</w:t>
      </w:r>
      <w:r w:rsidR="004878D9" w:rsidRPr="00735F55">
        <w:rPr>
          <w:rFonts w:ascii="Arial" w:hAnsi="Arial" w:cs="Arial"/>
          <w:b/>
          <w:sz w:val="20"/>
          <w:szCs w:val="20"/>
        </w:rPr>
        <w:t xml:space="preserve"> 2</w:t>
      </w:r>
      <w:r w:rsidR="00F17CA8" w:rsidRPr="00735F55">
        <w:rPr>
          <w:rFonts w:ascii="Arial" w:hAnsi="Arial" w:cs="Arial"/>
          <w:b/>
          <w:sz w:val="20"/>
          <w:szCs w:val="20"/>
        </w:rPr>
        <w:t>026</w:t>
      </w:r>
    </w:p>
    <w:p w14:paraId="69F0DA72" w14:textId="77777777" w:rsidR="00DD4BEB" w:rsidRDefault="00DD4BEB" w:rsidP="00DD4BEB">
      <w:pPr>
        <w:rPr>
          <w:rFonts w:ascii="Arial" w:hAnsi="Arial" w:cs="Arial"/>
          <w:b/>
          <w:bCs/>
          <w:sz w:val="20"/>
          <w:szCs w:val="20"/>
        </w:rPr>
      </w:pPr>
    </w:p>
    <w:p w14:paraId="26FBC6BB" w14:textId="0B8434F9" w:rsidR="00DD4BEB" w:rsidRDefault="00DD4BEB" w:rsidP="00DD4BEB">
      <w:pPr>
        <w:rPr>
          <w:rFonts w:ascii="Arial" w:hAnsi="Arial" w:cs="Arial"/>
          <w:sz w:val="20"/>
          <w:szCs w:val="20"/>
        </w:rPr>
      </w:pPr>
      <w:r w:rsidRPr="00C835B0">
        <w:rPr>
          <w:rFonts w:ascii="Arial" w:hAnsi="Arial" w:cs="Arial"/>
          <w:b/>
          <w:bCs/>
          <w:sz w:val="20"/>
          <w:szCs w:val="20"/>
        </w:rPr>
        <w:t>101314 Šunkový salám</w:t>
      </w:r>
      <w:r>
        <w:rPr>
          <w:rFonts w:ascii="Arial" w:hAnsi="Arial" w:cs="Arial"/>
          <w:sz w:val="20"/>
          <w:szCs w:val="20"/>
        </w:rPr>
        <w:t xml:space="preserve">: </w:t>
      </w:r>
      <w:r w:rsidRPr="00C835B0">
        <w:rPr>
          <w:rFonts w:ascii="Arial" w:hAnsi="Arial" w:cs="Arial"/>
          <w:sz w:val="20"/>
          <w:szCs w:val="20"/>
        </w:rPr>
        <w:t>návrat ceny po akci</w:t>
      </w:r>
    </w:p>
    <w:p w14:paraId="2403BF63" w14:textId="77777777" w:rsidR="00DD4BEB" w:rsidRDefault="00DD4BEB" w:rsidP="00DD4BEB">
      <w:pPr>
        <w:rPr>
          <w:rFonts w:ascii="Arial" w:hAnsi="Arial" w:cs="Arial"/>
          <w:sz w:val="20"/>
          <w:szCs w:val="20"/>
        </w:rPr>
      </w:pPr>
    </w:p>
    <w:p w14:paraId="3ED20F6F" w14:textId="77777777" w:rsidR="00DD4BEB" w:rsidRDefault="00DD4BEB" w:rsidP="00DD4BEB">
      <w:pPr>
        <w:rPr>
          <w:rFonts w:ascii="Arial" w:hAnsi="Arial" w:cs="Arial"/>
          <w:sz w:val="20"/>
          <w:szCs w:val="20"/>
        </w:rPr>
      </w:pPr>
      <w:r w:rsidRPr="00C835B0">
        <w:rPr>
          <w:rFonts w:ascii="Arial" w:hAnsi="Arial" w:cs="Arial"/>
          <w:b/>
          <w:bCs/>
          <w:sz w:val="20"/>
          <w:szCs w:val="20"/>
        </w:rPr>
        <w:t>105130 Máslo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C835B0">
        <w:rPr>
          <w:rFonts w:ascii="Arial" w:hAnsi="Arial" w:cs="Arial"/>
          <w:sz w:val="20"/>
          <w:szCs w:val="20"/>
        </w:rPr>
        <w:t>akce, stále nízká cena na trhu</w:t>
      </w:r>
    </w:p>
    <w:p w14:paraId="1BA6E054" w14:textId="77777777" w:rsidR="00DD4BEB" w:rsidRPr="00C835B0" w:rsidRDefault="00DD4BEB" w:rsidP="00DD4BEB">
      <w:pPr>
        <w:rPr>
          <w:rFonts w:ascii="Arial" w:hAnsi="Arial" w:cs="Arial"/>
          <w:sz w:val="20"/>
          <w:szCs w:val="20"/>
        </w:rPr>
      </w:pPr>
    </w:p>
    <w:p w14:paraId="6BF8C989" w14:textId="77777777" w:rsidR="00DD4BEB" w:rsidRDefault="00DD4BEB" w:rsidP="00DD4BEB">
      <w:pPr>
        <w:rPr>
          <w:rFonts w:ascii="Arial" w:hAnsi="Arial" w:cs="Arial"/>
          <w:sz w:val="20"/>
          <w:szCs w:val="20"/>
        </w:rPr>
      </w:pPr>
      <w:r w:rsidRPr="00C835B0">
        <w:rPr>
          <w:rFonts w:ascii="Arial" w:hAnsi="Arial" w:cs="Arial"/>
          <w:b/>
          <w:bCs/>
          <w:sz w:val="20"/>
          <w:szCs w:val="20"/>
        </w:rPr>
        <w:t>106121 Pšen</w:t>
      </w:r>
      <w:r>
        <w:rPr>
          <w:rFonts w:ascii="Arial" w:hAnsi="Arial" w:cs="Arial"/>
          <w:b/>
          <w:bCs/>
          <w:sz w:val="20"/>
          <w:szCs w:val="20"/>
        </w:rPr>
        <w:t xml:space="preserve">ičná </w:t>
      </w:r>
      <w:r w:rsidRPr="00C835B0">
        <w:rPr>
          <w:rFonts w:ascii="Arial" w:hAnsi="Arial" w:cs="Arial"/>
          <w:b/>
          <w:bCs/>
          <w:sz w:val="20"/>
          <w:szCs w:val="20"/>
        </w:rPr>
        <w:t>mouka hladká pekařská</w:t>
      </w:r>
      <w:r>
        <w:rPr>
          <w:rFonts w:ascii="Arial" w:hAnsi="Arial" w:cs="Arial"/>
          <w:sz w:val="20"/>
          <w:szCs w:val="20"/>
        </w:rPr>
        <w:t xml:space="preserve">: </w:t>
      </w:r>
      <w:r w:rsidRPr="00C835B0">
        <w:rPr>
          <w:rFonts w:ascii="Arial" w:hAnsi="Arial" w:cs="Arial"/>
          <w:sz w:val="20"/>
          <w:szCs w:val="20"/>
        </w:rPr>
        <w:t>snížení ceny, vliv trhu</w:t>
      </w:r>
    </w:p>
    <w:p w14:paraId="5F92FFF3" w14:textId="77777777" w:rsidR="00450DC6" w:rsidRPr="00735F55" w:rsidRDefault="00450DC6" w:rsidP="00280EB3">
      <w:pPr>
        <w:rPr>
          <w:rFonts w:ascii="Arial" w:hAnsi="Arial" w:cs="Arial"/>
          <w:b/>
          <w:bCs/>
          <w:sz w:val="20"/>
          <w:szCs w:val="20"/>
        </w:rPr>
      </w:pPr>
    </w:p>
    <w:sectPr w:rsidR="00450DC6" w:rsidRPr="00735F55" w:rsidSect="00AF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0E"/>
    <w:rsid w:val="0000106B"/>
    <w:rsid w:val="000022D7"/>
    <w:rsid w:val="0001782E"/>
    <w:rsid w:val="000202E4"/>
    <w:rsid w:val="00020BE2"/>
    <w:rsid w:val="000223F3"/>
    <w:rsid w:val="00023DA6"/>
    <w:rsid w:val="00023E59"/>
    <w:rsid w:val="000254C0"/>
    <w:rsid w:val="00032AB0"/>
    <w:rsid w:val="00033058"/>
    <w:rsid w:val="00035BE7"/>
    <w:rsid w:val="00042A37"/>
    <w:rsid w:val="00042C6B"/>
    <w:rsid w:val="00044663"/>
    <w:rsid w:val="00045708"/>
    <w:rsid w:val="00045CEE"/>
    <w:rsid w:val="00046747"/>
    <w:rsid w:val="00046FC1"/>
    <w:rsid w:val="000477C0"/>
    <w:rsid w:val="00050637"/>
    <w:rsid w:val="000550B0"/>
    <w:rsid w:val="00055F1C"/>
    <w:rsid w:val="00061AA0"/>
    <w:rsid w:val="00062B13"/>
    <w:rsid w:val="00062CF4"/>
    <w:rsid w:val="000678F4"/>
    <w:rsid w:val="0007002B"/>
    <w:rsid w:val="0007353A"/>
    <w:rsid w:val="00074098"/>
    <w:rsid w:val="0007418D"/>
    <w:rsid w:val="000741FE"/>
    <w:rsid w:val="00075487"/>
    <w:rsid w:val="00083E8E"/>
    <w:rsid w:val="00085AE9"/>
    <w:rsid w:val="00085D17"/>
    <w:rsid w:val="00086E5E"/>
    <w:rsid w:val="00087B53"/>
    <w:rsid w:val="00090D82"/>
    <w:rsid w:val="000926E5"/>
    <w:rsid w:val="00092D76"/>
    <w:rsid w:val="00093B86"/>
    <w:rsid w:val="0009716F"/>
    <w:rsid w:val="000978C7"/>
    <w:rsid w:val="000A0479"/>
    <w:rsid w:val="000A3B03"/>
    <w:rsid w:val="000A3FCB"/>
    <w:rsid w:val="000B0045"/>
    <w:rsid w:val="000B2012"/>
    <w:rsid w:val="000B40B5"/>
    <w:rsid w:val="000B474E"/>
    <w:rsid w:val="000C08CA"/>
    <w:rsid w:val="000C5DE1"/>
    <w:rsid w:val="000D0A77"/>
    <w:rsid w:val="000D1D25"/>
    <w:rsid w:val="000D28E7"/>
    <w:rsid w:val="000D380B"/>
    <w:rsid w:val="000D6552"/>
    <w:rsid w:val="000D68AA"/>
    <w:rsid w:val="000D7CFF"/>
    <w:rsid w:val="000E31E6"/>
    <w:rsid w:val="000E35E5"/>
    <w:rsid w:val="000E5FED"/>
    <w:rsid w:val="000E66A8"/>
    <w:rsid w:val="000F05A3"/>
    <w:rsid w:val="000F186E"/>
    <w:rsid w:val="001024B5"/>
    <w:rsid w:val="00103356"/>
    <w:rsid w:val="00103E6B"/>
    <w:rsid w:val="00103F92"/>
    <w:rsid w:val="0010409B"/>
    <w:rsid w:val="00105427"/>
    <w:rsid w:val="00105D75"/>
    <w:rsid w:val="00106FBA"/>
    <w:rsid w:val="00111BF2"/>
    <w:rsid w:val="00113546"/>
    <w:rsid w:val="00117006"/>
    <w:rsid w:val="001178ED"/>
    <w:rsid w:val="00117E2E"/>
    <w:rsid w:val="00120962"/>
    <w:rsid w:val="0012169E"/>
    <w:rsid w:val="00122A60"/>
    <w:rsid w:val="00122B3C"/>
    <w:rsid w:val="00126429"/>
    <w:rsid w:val="00126495"/>
    <w:rsid w:val="0012740D"/>
    <w:rsid w:val="0013275B"/>
    <w:rsid w:val="00134B24"/>
    <w:rsid w:val="0013605E"/>
    <w:rsid w:val="00136357"/>
    <w:rsid w:val="00136D6E"/>
    <w:rsid w:val="00137BD3"/>
    <w:rsid w:val="001448DC"/>
    <w:rsid w:val="00146378"/>
    <w:rsid w:val="0014757F"/>
    <w:rsid w:val="001501C2"/>
    <w:rsid w:val="001508AA"/>
    <w:rsid w:val="00150C7F"/>
    <w:rsid w:val="001511F2"/>
    <w:rsid w:val="0015155D"/>
    <w:rsid w:val="00156776"/>
    <w:rsid w:val="00156EE7"/>
    <w:rsid w:val="00157CCC"/>
    <w:rsid w:val="001602F6"/>
    <w:rsid w:val="00161FE6"/>
    <w:rsid w:val="00162B49"/>
    <w:rsid w:val="00171EF3"/>
    <w:rsid w:val="00172892"/>
    <w:rsid w:val="001738E7"/>
    <w:rsid w:val="00175755"/>
    <w:rsid w:val="00176980"/>
    <w:rsid w:val="00184992"/>
    <w:rsid w:val="00185C3D"/>
    <w:rsid w:val="00190F5B"/>
    <w:rsid w:val="0019496E"/>
    <w:rsid w:val="00196D74"/>
    <w:rsid w:val="001A0948"/>
    <w:rsid w:val="001A27C4"/>
    <w:rsid w:val="001A7E52"/>
    <w:rsid w:val="001B3D82"/>
    <w:rsid w:val="001B50F0"/>
    <w:rsid w:val="001B5D34"/>
    <w:rsid w:val="001B5ED9"/>
    <w:rsid w:val="001B6EE4"/>
    <w:rsid w:val="001C097E"/>
    <w:rsid w:val="001C3C89"/>
    <w:rsid w:val="001D3179"/>
    <w:rsid w:val="001E15AF"/>
    <w:rsid w:val="001E2575"/>
    <w:rsid w:val="001E650C"/>
    <w:rsid w:val="001F102A"/>
    <w:rsid w:val="001F12D2"/>
    <w:rsid w:val="001F22D3"/>
    <w:rsid w:val="001F5A1A"/>
    <w:rsid w:val="001F69EE"/>
    <w:rsid w:val="00200845"/>
    <w:rsid w:val="002013D1"/>
    <w:rsid w:val="0020233F"/>
    <w:rsid w:val="00202CFF"/>
    <w:rsid w:val="002033EA"/>
    <w:rsid w:val="00204A1A"/>
    <w:rsid w:val="002068D1"/>
    <w:rsid w:val="002103EA"/>
    <w:rsid w:val="002139B4"/>
    <w:rsid w:val="002227CA"/>
    <w:rsid w:val="002234D6"/>
    <w:rsid w:val="00224C30"/>
    <w:rsid w:val="0022640E"/>
    <w:rsid w:val="00234633"/>
    <w:rsid w:val="00235F74"/>
    <w:rsid w:val="002440DC"/>
    <w:rsid w:val="002442A3"/>
    <w:rsid w:val="00244757"/>
    <w:rsid w:val="00244FDA"/>
    <w:rsid w:val="00256B85"/>
    <w:rsid w:val="00257749"/>
    <w:rsid w:val="00257A86"/>
    <w:rsid w:val="00262BF3"/>
    <w:rsid w:val="00262C3B"/>
    <w:rsid w:val="002646F1"/>
    <w:rsid w:val="002660C4"/>
    <w:rsid w:val="00277979"/>
    <w:rsid w:val="00277CCD"/>
    <w:rsid w:val="0028058B"/>
    <w:rsid w:val="00280EB3"/>
    <w:rsid w:val="0028404E"/>
    <w:rsid w:val="00285A29"/>
    <w:rsid w:val="002864C3"/>
    <w:rsid w:val="00290EE2"/>
    <w:rsid w:val="00291CAE"/>
    <w:rsid w:val="00294E35"/>
    <w:rsid w:val="002A1B44"/>
    <w:rsid w:val="002A20A9"/>
    <w:rsid w:val="002A3424"/>
    <w:rsid w:val="002A3B48"/>
    <w:rsid w:val="002A3CF4"/>
    <w:rsid w:val="002A6B83"/>
    <w:rsid w:val="002B1A4A"/>
    <w:rsid w:val="002B34C4"/>
    <w:rsid w:val="002C0A0E"/>
    <w:rsid w:val="002C52BA"/>
    <w:rsid w:val="002D21CE"/>
    <w:rsid w:val="002D30AF"/>
    <w:rsid w:val="002D4A20"/>
    <w:rsid w:val="002E00B1"/>
    <w:rsid w:val="002E1BB4"/>
    <w:rsid w:val="002E37A6"/>
    <w:rsid w:val="002E424F"/>
    <w:rsid w:val="002E4B33"/>
    <w:rsid w:val="002E4D62"/>
    <w:rsid w:val="002E5AF7"/>
    <w:rsid w:val="002E6362"/>
    <w:rsid w:val="002F1FF9"/>
    <w:rsid w:val="002F380B"/>
    <w:rsid w:val="002F4EED"/>
    <w:rsid w:val="002F52EA"/>
    <w:rsid w:val="002F6771"/>
    <w:rsid w:val="0030021B"/>
    <w:rsid w:val="00300F53"/>
    <w:rsid w:val="00302EB4"/>
    <w:rsid w:val="003101B0"/>
    <w:rsid w:val="003118A9"/>
    <w:rsid w:val="00311EB7"/>
    <w:rsid w:val="003149EF"/>
    <w:rsid w:val="003159FB"/>
    <w:rsid w:val="00316C58"/>
    <w:rsid w:val="003178D3"/>
    <w:rsid w:val="003206BF"/>
    <w:rsid w:val="00322E8F"/>
    <w:rsid w:val="00325CA7"/>
    <w:rsid w:val="0032638E"/>
    <w:rsid w:val="00330357"/>
    <w:rsid w:val="00332459"/>
    <w:rsid w:val="0033347F"/>
    <w:rsid w:val="00335CBC"/>
    <w:rsid w:val="00340E6F"/>
    <w:rsid w:val="003435B8"/>
    <w:rsid w:val="003448B6"/>
    <w:rsid w:val="00350B23"/>
    <w:rsid w:val="00352062"/>
    <w:rsid w:val="00357423"/>
    <w:rsid w:val="0036165F"/>
    <w:rsid w:val="0036166C"/>
    <w:rsid w:val="0037287B"/>
    <w:rsid w:val="00375C47"/>
    <w:rsid w:val="00376E40"/>
    <w:rsid w:val="00377F2E"/>
    <w:rsid w:val="00381BD9"/>
    <w:rsid w:val="0038697C"/>
    <w:rsid w:val="003969B5"/>
    <w:rsid w:val="00396D4D"/>
    <w:rsid w:val="003A20A9"/>
    <w:rsid w:val="003B4449"/>
    <w:rsid w:val="003B47B1"/>
    <w:rsid w:val="003B4FEA"/>
    <w:rsid w:val="003B51B9"/>
    <w:rsid w:val="003C780A"/>
    <w:rsid w:val="003D4EEB"/>
    <w:rsid w:val="003D706C"/>
    <w:rsid w:val="003E2247"/>
    <w:rsid w:val="003E3523"/>
    <w:rsid w:val="003E4894"/>
    <w:rsid w:val="003E5603"/>
    <w:rsid w:val="003E6128"/>
    <w:rsid w:val="003E767F"/>
    <w:rsid w:val="003E7B1B"/>
    <w:rsid w:val="003F090B"/>
    <w:rsid w:val="003F5EA5"/>
    <w:rsid w:val="004047F7"/>
    <w:rsid w:val="00404DC9"/>
    <w:rsid w:val="004058C9"/>
    <w:rsid w:val="00406847"/>
    <w:rsid w:val="00411AE0"/>
    <w:rsid w:val="00412275"/>
    <w:rsid w:val="004124D2"/>
    <w:rsid w:val="004159F2"/>
    <w:rsid w:val="004175FF"/>
    <w:rsid w:val="00421872"/>
    <w:rsid w:val="00422C9E"/>
    <w:rsid w:val="00425B4C"/>
    <w:rsid w:val="004260D7"/>
    <w:rsid w:val="004339B8"/>
    <w:rsid w:val="00434D42"/>
    <w:rsid w:val="00435CD8"/>
    <w:rsid w:val="00436807"/>
    <w:rsid w:val="00436FA9"/>
    <w:rsid w:val="00440442"/>
    <w:rsid w:val="004440BA"/>
    <w:rsid w:val="00444463"/>
    <w:rsid w:val="00445652"/>
    <w:rsid w:val="00447BA3"/>
    <w:rsid w:val="004508AD"/>
    <w:rsid w:val="00450DC6"/>
    <w:rsid w:val="00451F0D"/>
    <w:rsid w:val="00460A69"/>
    <w:rsid w:val="00460F69"/>
    <w:rsid w:val="004614A7"/>
    <w:rsid w:val="004670F3"/>
    <w:rsid w:val="004678BA"/>
    <w:rsid w:val="004704DD"/>
    <w:rsid w:val="0047091B"/>
    <w:rsid w:val="00471D95"/>
    <w:rsid w:val="004724F3"/>
    <w:rsid w:val="004732E2"/>
    <w:rsid w:val="004825D8"/>
    <w:rsid w:val="004878D9"/>
    <w:rsid w:val="00497183"/>
    <w:rsid w:val="004A0AE2"/>
    <w:rsid w:val="004B4730"/>
    <w:rsid w:val="004B4CA5"/>
    <w:rsid w:val="004B5F23"/>
    <w:rsid w:val="004B75EB"/>
    <w:rsid w:val="004C177C"/>
    <w:rsid w:val="004C1C89"/>
    <w:rsid w:val="004C2F62"/>
    <w:rsid w:val="004D6159"/>
    <w:rsid w:val="004D706E"/>
    <w:rsid w:val="004D7DFF"/>
    <w:rsid w:val="004E200F"/>
    <w:rsid w:val="004E3373"/>
    <w:rsid w:val="004E347C"/>
    <w:rsid w:val="004E4B06"/>
    <w:rsid w:val="004E6777"/>
    <w:rsid w:val="004E74E7"/>
    <w:rsid w:val="004F11BE"/>
    <w:rsid w:val="004F142B"/>
    <w:rsid w:val="00500868"/>
    <w:rsid w:val="005025B6"/>
    <w:rsid w:val="00504F7C"/>
    <w:rsid w:val="00506963"/>
    <w:rsid w:val="00513D80"/>
    <w:rsid w:val="005161D6"/>
    <w:rsid w:val="00520709"/>
    <w:rsid w:val="0052164B"/>
    <w:rsid w:val="00535B4A"/>
    <w:rsid w:val="00546770"/>
    <w:rsid w:val="005566DB"/>
    <w:rsid w:val="00557407"/>
    <w:rsid w:val="00560EB8"/>
    <w:rsid w:val="00560F0A"/>
    <w:rsid w:val="005617F2"/>
    <w:rsid w:val="00562C5B"/>
    <w:rsid w:val="0057148E"/>
    <w:rsid w:val="005724DE"/>
    <w:rsid w:val="00572DFA"/>
    <w:rsid w:val="00573148"/>
    <w:rsid w:val="005745D1"/>
    <w:rsid w:val="00580C4A"/>
    <w:rsid w:val="00581475"/>
    <w:rsid w:val="005823AF"/>
    <w:rsid w:val="0058565A"/>
    <w:rsid w:val="00585780"/>
    <w:rsid w:val="00585E7D"/>
    <w:rsid w:val="005872FA"/>
    <w:rsid w:val="005937E4"/>
    <w:rsid w:val="0059676F"/>
    <w:rsid w:val="005A1352"/>
    <w:rsid w:val="005A29CC"/>
    <w:rsid w:val="005A78DB"/>
    <w:rsid w:val="005B024E"/>
    <w:rsid w:val="005C03F2"/>
    <w:rsid w:val="005C220D"/>
    <w:rsid w:val="005C6810"/>
    <w:rsid w:val="005C6C3B"/>
    <w:rsid w:val="005D28C5"/>
    <w:rsid w:val="005D350A"/>
    <w:rsid w:val="005D5D38"/>
    <w:rsid w:val="005E1F75"/>
    <w:rsid w:val="005E5135"/>
    <w:rsid w:val="005E70CB"/>
    <w:rsid w:val="005F0136"/>
    <w:rsid w:val="005F1F5B"/>
    <w:rsid w:val="005F56CE"/>
    <w:rsid w:val="005F5E25"/>
    <w:rsid w:val="005F700E"/>
    <w:rsid w:val="00602E58"/>
    <w:rsid w:val="0060464A"/>
    <w:rsid w:val="006058C6"/>
    <w:rsid w:val="00606D36"/>
    <w:rsid w:val="00607528"/>
    <w:rsid w:val="006164FB"/>
    <w:rsid w:val="0061659D"/>
    <w:rsid w:val="006215B4"/>
    <w:rsid w:val="00624B68"/>
    <w:rsid w:val="0062686C"/>
    <w:rsid w:val="006325DE"/>
    <w:rsid w:val="00635BF4"/>
    <w:rsid w:val="0063614F"/>
    <w:rsid w:val="00636F9A"/>
    <w:rsid w:val="006427A4"/>
    <w:rsid w:val="00644056"/>
    <w:rsid w:val="00646F2B"/>
    <w:rsid w:val="00647755"/>
    <w:rsid w:val="00650170"/>
    <w:rsid w:val="00650A06"/>
    <w:rsid w:val="006513C0"/>
    <w:rsid w:val="00651A58"/>
    <w:rsid w:val="006526A1"/>
    <w:rsid w:val="00653453"/>
    <w:rsid w:val="00663167"/>
    <w:rsid w:val="00663CE1"/>
    <w:rsid w:val="0066435D"/>
    <w:rsid w:val="00664603"/>
    <w:rsid w:val="00666FF6"/>
    <w:rsid w:val="00670F46"/>
    <w:rsid w:val="00672386"/>
    <w:rsid w:val="0067544B"/>
    <w:rsid w:val="00675EC8"/>
    <w:rsid w:val="00676E87"/>
    <w:rsid w:val="00683450"/>
    <w:rsid w:val="006856E2"/>
    <w:rsid w:val="00686095"/>
    <w:rsid w:val="00687B18"/>
    <w:rsid w:val="00690877"/>
    <w:rsid w:val="00693E11"/>
    <w:rsid w:val="00695342"/>
    <w:rsid w:val="006977A1"/>
    <w:rsid w:val="006A0D23"/>
    <w:rsid w:val="006A2D17"/>
    <w:rsid w:val="006A48C6"/>
    <w:rsid w:val="006A4C35"/>
    <w:rsid w:val="006B1973"/>
    <w:rsid w:val="006B2ED7"/>
    <w:rsid w:val="006B3B7A"/>
    <w:rsid w:val="006B483F"/>
    <w:rsid w:val="006B6B00"/>
    <w:rsid w:val="006C07A1"/>
    <w:rsid w:val="006C11CE"/>
    <w:rsid w:val="006C155A"/>
    <w:rsid w:val="006C1DCC"/>
    <w:rsid w:val="006C6809"/>
    <w:rsid w:val="006C759F"/>
    <w:rsid w:val="006C75CC"/>
    <w:rsid w:val="006D0389"/>
    <w:rsid w:val="006D0B68"/>
    <w:rsid w:val="006D1AB5"/>
    <w:rsid w:val="006D3C62"/>
    <w:rsid w:val="006D4052"/>
    <w:rsid w:val="006E0F86"/>
    <w:rsid w:val="006E2BBD"/>
    <w:rsid w:val="006E31F6"/>
    <w:rsid w:val="006E3CE5"/>
    <w:rsid w:val="006E6DEF"/>
    <w:rsid w:val="006E7305"/>
    <w:rsid w:val="006E7983"/>
    <w:rsid w:val="006F041D"/>
    <w:rsid w:val="006F04B3"/>
    <w:rsid w:val="006F1A94"/>
    <w:rsid w:val="006F244F"/>
    <w:rsid w:val="006F2662"/>
    <w:rsid w:val="006F46B4"/>
    <w:rsid w:val="00700E93"/>
    <w:rsid w:val="00704561"/>
    <w:rsid w:val="00705002"/>
    <w:rsid w:val="0071017A"/>
    <w:rsid w:val="007115EE"/>
    <w:rsid w:val="00714272"/>
    <w:rsid w:val="007144D5"/>
    <w:rsid w:val="00714746"/>
    <w:rsid w:val="007153E8"/>
    <w:rsid w:val="00715E65"/>
    <w:rsid w:val="00716B1F"/>
    <w:rsid w:val="007219F4"/>
    <w:rsid w:val="00722138"/>
    <w:rsid w:val="00730FDF"/>
    <w:rsid w:val="00732D9A"/>
    <w:rsid w:val="00735F55"/>
    <w:rsid w:val="00736BD4"/>
    <w:rsid w:val="00737FA4"/>
    <w:rsid w:val="00747CC6"/>
    <w:rsid w:val="007536DF"/>
    <w:rsid w:val="007552DF"/>
    <w:rsid w:val="007556FF"/>
    <w:rsid w:val="0076091D"/>
    <w:rsid w:val="00761F0F"/>
    <w:rsid w:val="00763E61"/>
    <w:rsid w:val="007715AF"/>
    <w:rsid w:val="00771866"/>
    <w:rsid w:val="0077335E"/>
    <w:rsid w:val="00773693"/>
    <w:rsid w:val="00774F2D"/>
    <w:rsid w:val="00784238"/>
    <w:rsid w:val="00785634"/>
    <w:rsid w:val="00794CFF"/>
    <w:rsid w:val="00797786"/>
    <w:rsid w:val="007A00FA"/>
    <w:rsid w:val="007A484F"/>
    <w:rsid w:val="007B0BBD"/>
    <w:rsid w:val="007B13E2"/>
    <w:rsid w:val="007B3BC8"/>
    <w:rsid w:val="007B642D"/>
    <w:rsid w:val="007B65F1"/>
    <w:rsid w:val="007B78FC"/>
    <w:rsid w:val="007C480F"/>
    <w:rsid w:val="007C6B13"/>
    <w:rsid w:val="007D0933"/>
    <w:rsid w:val="007D4D1C"/>
    <w:rsid w:val="007D55D5"/>
    <w:rsid w:val="007E2343"/>
    <w:rsid w:val="007E2421"/>
    <w:rsid w:val="007E28A6"/>
    <w:rsid w:val="007E351E"/>
    <w:rsid w:val="007E3F25"/>
    <w:rsid w:val="007E49A7"/>
    <w:rsid w:val="007E5E47"/>
    <w:rsid w:val="007F1FCB"/>
    <w:rsid w:val="007F515A"/>
    <w:rsid w:val="007F5A58"/>
    <w:rsid w:val="00801C1B"/>
    <w:rsid w:val="00802BDA"/>
    <w:rsid w:val="00803942"/>
    <w:rsid w:val="0080581C"/>
    <w:rsid w:val="00807AC1"/>
    <w:rsid w:val="00810BDC"/>
    <w:rsid w:val="008132F7"/>
    <w:rsid w:val="008133E3"/>
    <w:rsid w:val="008137E8"/>
    <w:rsid w:val="00813F40"/>
    <w:rsid w:val="00816C56"/>
    <w:rsid w:val="0082067F"/>
    <w:rsid w:val="00820A9F"/>
    <w:rsid w:val="00823A8F"/>
    <w:rsid w:val="008251FA"/>
    <w:rsid w:val="008256AC"/>
    <w:rsid w:val="008318CB"/>
    <w:rsid w:val="00836A4B"/>
    <w:rsid w:val="00860B9A"/>
    <w:rsid w:val="00861923"/>
    <w:rsid w:val="008620AC"/>
    <w:rsid w:val="008714A1"/>
    <w:rsid w:val="00871706"/>
    <w:rsid w:val="0087470E"/>
    <w:rsid w:val="00875BF6"/>
    <w:rsid w:val="00875F95"/>
    <w:rsid w:val="008766E9"/>
    <w:rsid w:val="008857BC"/>
    <w:rsid w:val="00887784"/>
    <w:rsid w:val="0089290C"/>
    <w:rsid w:val="00895BDA"/>
    <w:rsid w:val="0089617D"/>
    <w:rsid w:val="00897381"/>
    <w:rsid w:val="008A16DB"/>
    <w:rsid w:val="008B24A9"/>
    <w:rsid w:val="008C3B50"/>
    <w:rsid w:val="008C3DC1"/>
    <w:rsid w:val="008C4046"/>
    <w:rsid w:val="008C430C"/>
    <w:rsid w:val="008C48ED"/>
    <w:rsid w:val="008C596D"/>
    <w:rsid w:val="008C751B"/>
    <w:rsid w:val="008D4B17"/>
    <w:rsid w:val="008D76EA"/>
    <w:rsid w:val="008E0052"/>
    <w:rsid w:val="008E01DA"/>
    <w:rsid w:val="008E294B"/>
    <w:rsid w:val="008E488A"/>
    <w:rsid w:val="008E6E66"/>
    <w:rsid w:val="008E7298"/>
    <w:rsid w:val="008E7C34"/>
    <w:rsid w:val="008F025D"/>
    <w:rsid w:val="008F03D0"/>
    <w:rsid w:val="008F0728"/>
    <w:rsid w:val="008F23B3"/>
    <w:rsid w:val="008F4F04"/>
    <w:rsid w:val="008F5B73"/>
    <w:rsid w:val="00901376"/>
    <w:rsid w:val="00901972"/>
    <w:rsid w:val="009037C9"/>
    <w:rsid w:val="009072D5"/>
    <w:rsid w:val="00911F43"/>
    <w:rsid w:val="00913ECC"/>
    <w:rsid w:val="00914D16"/>
    <w:rsid w:val="00917AE3"/>
    <w:rsid w:val="00917CFF"/>
    <w:rsid w:val="009273B1"/>
    <w:rsid w:val="00930B44"/>
    <w:rsid w:val="009314B5"/>
    <w:rsid w:val="00931BB1"/>
    <w:rsid w:val="00933467"/>
    <w:rsid w:val="009343B5"/>
    <w:rsid w:val="00937F53"/>
    <w:rsid w:val="009420F1"/>
    <w:rsid w:val="0094536A"/>
    <w:rsid w:val="00946225"/>
    <w:rsid w:val="009472DD"/>
    <w:rsid w:val="00951E6E"/>
    <w:rsid w:val="00955638"/>
    <w:rsid w:val="00971276"/>
    <w:rsid w:val="0097344B"/>
    <w:rsid w:val="00973751"/>
    <w:rsid w:val="0098055F"/>
    <w:rsid w:val="00987312"/>
    <w:rsid w:val="00993ECE"/>
    <w:rsid w:val="00996B27"/>
    <w:rsid w:val="00996BBA"/>
    <w:rsid w:val="009975B6"/>
    <w:rsid w:val="009A4C74"/>
    <w:rsid w:val="009A5488"/>
    <w:rsid w:val="009A6510"/>
    <w:rsid w:val="009B2F28"/>
    <w:rsid w:val="009B6590"/>
    <w:rsid w:val="009B6CA3"/>
    <w:rsid w:val="009B6EF5"/>
    <w:rsid w:val="009C46F7"/>
    <w:rsid w:val="009D0DCE"/>
    <w:rsid w:val="009D34A0"/>
    <w:rsid w:val="009D38FD"/>
    <w:rsid w:val="009E083E"/>
    <w:rsid w:val="009E2DAF"/>
    <w:rsid w:val="009E6438"/>
    <w:rsid w:val="009F3935"/>
    <w:rsid w:val="009F5717"/>
    <w:rsid w:val="00A014FF"/>
    <w:rsid w:val="00A0182C"/>
    <w:rsid w:val="00A029D1"/>
    <w:rsid w:val="00A038D1"/>
    <w:rsid w:val="00A06D45"/>
    <w:rsid w:val="00A13216"/>
    <w:rsid w:val="00A238DA"/>
    <w:rsid w:val="00A356F1"/>
    <w:rsid w:val="00A403C8"/>
    <w:rsid w:val="00A42158"/>
    <w:rsid w:val="00A42F43"/>
    <w:rsid w:val="00A44295"/>
    <w:rsid w:val="00A44297"/>
    <w:rsid w:val="00A523C8"/>
    <w:rsid w:val="00A53EA0"/>
    <w:rsid w:val="00A60FCE"/>
    <w:rsid w:val="00A611E1"/>
    <w:rsid w:val="00A61BAD"/>
    <w:rsid w:val="00A61E69"/>
    <w:rsid w:val="00A6363C"/>
    <w:rsid w:val="00A63CF8"/>
    <w:rsid w:val="00A64D32"/>
    <w:rsid w:val="00A6766E"/>
    <w:rsid w:val="00A67C7B"/>
    <w:rsid w:val="00A70637"/>
    <w:rsid w:val="00A70E0C"/>
    <w:rsid w:val="00A72363"/>
    <w:rsid w:val="00A75009"/>
    <w:rsid w:val="00A76F65"/>
    <w:rsid w:val="00A76FFE"/>
    <w:rsid w:val="00A77F0E"/>
    <w:rsid w:val="00A80423"/>
    <w:rsid w:val="00A91A05"/>
    <w:rsid w:val="00A945B8"/>
    <w:rsid w:val="00A97E8A"/>
    <w:rsid w:val="00AA0CC0"/>
    <w:rsid w:val="00AA33DE"/>
    <w:rsid w:val="00AA350E"/>
    <w:rsid w:val="00AA576A"/>
    <w:rsid w:val="00AA7964"/>
    <w:rsid w:val="00AB1837"/>
    <w:rsid w:val="00AB3D5B"/>
    <w:rsid w:val="00AB7D40"/>
    <w:rsid w:val="00AC4DA4"/>
    <w:rsid w:val="00AC6404"/>
    <w:rsid w:val="00AD0D15"/>
    <w:rsid w:val="00AD3543"/>
    <w:rsid w:val="00AD5145"/>
    <w:rsid w:val="00AD565B"/>
    <w:rsid w:val="00AD6EDB"/>
    <w:rsid w:val="00AD7810"/>
    <w:rsid w:val="00AE7033"/>
    <w:rsid w:val="00AF208D"/>
    <w:rsid w:val="00AF7DC3"/>
    <w:rsid w:val="00B00954"/>
    <w:rsid w:val="00B00A26"/>
    <w:rsid w:val="00B01C62"/>
    <w:rsid w:val="00B03323"/>
    <w:rsid w:val="00B03691"/>
    <w:rsid w:val="00B074D1"/>
    <w:rsid w:val="00B1302C"/>
    <w:rsid w:val="00B13906"/>
    <w:rsid w:val="00B1685D"/>
    <w:rsid w:val="00B206C0"/>
    <w:rsid w:val="00B2180D"/>
    <w:rsid w:val="00B23957"/>
    <w:rsid w:val="00B24A49"/>
    <w:rsid w:val="00B31151"/>
    <w:rsid w:val="00B32C37"/>
    <w:rsid w:val="00B34E91"/>
    <w:rsid w:val="00B3603E"/>
    <w:rsid w:val="00B419F0"/>
    <w:rsid w:val="00B42510"/>
    <w:rsid w:val="00B4512F"/>
    <w:rsid w:val="00B45822"/>
    <w:rsid w:val="00B46F4E"/>
    <w:rsid w:val="00B518C8"/>
    <w:rsid w:val="00B545A0"/>
    <w:rsid w:val="00B55175"/>
    <w:rsid w:val="00B56FE7"/>
    <w:rsid w:val="00B61BD1"/>
    <w:rsid w:val="00B625C7"/>
    <w:rsid w:val="00B64EBC"/>
    <w:rsid w:val="00B6681B"/>
    <w:rsid w:val="00B74347"/>
    <w:rsid w:val="00B74C74"/>
    <w:rsid w:val="00B775B7"/>
    <w:rsid w:val="00B77F7D"/>
    <w:rsid w:val="00B80596"/>
    <w:rsid w:val="00B83258"/>
    <w:rsid w:val="00B85E1C"/>
    <w:rsid w:val="00B85F70"/>
    <w:rsid w:val="00B9071F"/>
    <w:rsid w:val="00B9177F"/>
    <w:rsid w:val="00B934B4"/>
    <w:rsid w:val="00B95695"/>
    <w:rsid w:val="00B95718"/>
    <w:rsid w:val="00B9609B"/>
    <w:rsid w:val="00B96113"/>
    <w:rsid w:val="00BA05E1"/>
    <w:rsid w:val="00BA372B"/>
    <w:rsid w:val="00BA4875"/>
    <w:rsid w:val="00BA7EAA"/>
    <w:rsid w:val="00BB5ABE"/>
    <w:rsid w:val="00BB5DD5"/>
    <w:rsid w:val="00BB5E90"/>
    <w:rsid w:val="00BB6459"/>
    <w:rsid w:val="00BC1C9D"/>
    <w:rsid w:val="00BC1E6D"/>
    <w:rsid w:val="00BC28A8"/>
    <w:rsid w:val="00BC5E10"/>
    <w:rsid w:val="00BD2AF1"/>
    <w:rsid w:val="00BD74E2"/>
    <w:rsid w:val="00BE0BBE"/>
    <w:rsid w:val="00BE56EA"/>
    <w:rsid w:val="00BE6CD3"/>
    <w:rsid w:val="00BF14A3"/>
    <w:rsid w:val="00BF4B6F"/>
    <w:rsid w:val="00BF7491"/>
    <w:rsid w:val="00C03E6D"/>
    <w:rsid w:val="00C05115"/>
    <w:rsid w:val="00C05921"/>
    <w:rsid w:val="00C12D15"/>
    <w:rsid w:val="00C22829"/>
    <w:rsid w:val="00C24BD3"/>
    <w:rsid w:val="00C26498"/>
    <w:rsid w:val="00C31D50"/>
    <w:rsid w:val="00C43795"/>
    <w:rsid w:val="00C4718D"/>
    <w:rsid w:val="00C50954"/>
    <w:rsid w:val="00C52920"/>
    <w:rsid w:val="00C5587C"/>
    <w:rsid w:val="00C6219A"/>
    <w:rsid w:val="00C86135"/>
    <w:rsid w:val="00C90D0B"/>
    <w:rsid w:val="00C959FD"/>
    <w:rsid w:val="00C9674E"/>
    <w:rsid w:val="00C969A6"/>
    <w:rsid w:val="00CA0EDE"/>
    <w:rsid w:val="00CA2B35"/>
    <w:rsid w:val="00CA4712"/>
    <w:rsid w:val="00CB1C2D"/>
    <w:rsid w:val="00CB1C3A"/>
    <w:rsid w:val="00CB71B4"/>
    <w:rsid w:val="00CD5037"/>
    <w:rsid w:val="00CD70BD"/>
    <w:rsid w:val="00CE06BA"/>
    <w:rsid w:val="00CE0CD7"/>
    <w:rsid w:val="00CE17C4"/>
    <w:rsid w:val="00CE4FC6"/>
    <w:rsid w:val="00CE5237"/>
    <w:rsid w:val="00CE587E"/>
    <w:rsid w:val="00CE606A"/>
    <w:rsid w:val="00CE690E"/>
    <w:rsid w:val="00CF0CE3"/>
    <w:rsid w:val="00CF19F5"/>
    <w:rsid w:val="00CF1A97"/>
    <w:rsid w:val="00CF43B4"/>
    <w:rsid w:val="00CF52EA"/>
    <w:rsid w:val="00CF7C57"/>
    <w:rsid w:val="00D003E1"/>
    <w:rsid w:val="00D01202"/>
    <w:rsid w:val="00D02B71"/>
    <w:rsid w:val="00D0311F"/>
    <w:rsid w:val="00D04096"/>
    <w:rsid w:val="00D06386"/>
    <w:rsid w:val="00D128E4"/>
    <w:rsid w:val="00D1395E"/>
    <w:rsid w:val="00D14FCA"/>
    <w:rsid w:val="00D21F36"/>
    <w:rsid w:val="00D2319B"/>
    <w:rsid w:val="00D24D0A"/>
    <w:rsid w:val="00D257D0"/>
    <w:rsid w:val="00D32090"/>
    <w:rsid w:val="00D327C5"/>
    <w:rsid w:val="00D37091"/>
    <w:rsid w:val="00D403E7"/>
    <w:rsid w:val="00D41624"/>
    <w:rsid w:val="00D44441"/>
    <w:rsid w:val="00D454A1"/>
    <w:rsid w:val="00D473C0"/>
    <w:rsid w:val="00D47C05"/>
    <w:rsid w:val="00D50B6B"/>
    <w:rsid w:val="00D50F55"/>
    <w:rsid w:val="00D51BB8"/>
    <w:rsid w:val="00D525D0"/>
    <w:rsid w:val="00D62716"/>
    <w:rsid w:val="00D638F5"/>
    <w:rsid w:val="00D64689"/>
    <w:rsid w:val="00D706BC"/>
    <w:rsid w:val="00D72030"/>
    <w:rsid w:val="00D72A93"/>
    <w:rsid w:val="00D77E5D"/>
    <w:rsid w:val="00D77FD3"/>
    <w:rsid w:val="00D877E1"/>
    <w:rsid w:val="00D91ACE"/>
    <w:rsid w:val="00D92AC6"/>
    <w:rsid w:val="00D95A2B"/>
    <w:rsid w:val="00DA0E4E"/>
    <w:rsid w:val="00DA1C0C"/>
    <w:rsid w:val="00DA36BA"/>
    <w:rsid w:val="00DA3E37"/>
    <w:rsid w:val="00DA42F9"/>
    <w:rsid w:val="00DA6A61"/>
    <w:rsid w:val="00DA6EFB"/>
    <w:rsid w:val="00DA6F65"/>
    <w:rsid w:val="00DB0627"/>
    <w:rsid w:val="00DB23EA"/>
    <w:rsid w:val="00DB2688"/>
    <w:rsid w:val="00DB6A75"/>
    <w:rsid w:val="00DC1C2B"/>
    <w:rsid w:val="00DC21C7"/>
    <w:rsid w:val="00DC2B03"/>
    <w:rsid w:val="00DC426B"/>
    <w:rsid w:val="00DC497A"/>
    <w:rsid w:val="00DC54E8"/>
    <w:rsid w:val="00DC5A6B"/>
    <w:rsid w:val="00DD164D"/>
    <w:rsid w:val="00DD211F"/>
    <w:rsid w:val="00DD2F7C"/>
    <w:rsid w:val="00DD47FE"/>
    <w:rsid w:val="00DD4BEB"/>
    <w:rsid w:val="00DD6369"/>
    <w:rsid w:val="00DD64C4"/>
    <w:rsid w:val="00DE24F0"/>
    <w:rsid w:val="00DE3721"/>
    <w:rsid w:val="00DE5C41"/>
    <w:rsid w:val="00DE5CAD"/>
    <w:rsid w:val="00E00327"/>
    <w:rsid w:val="00E01B84"/>
    <w:rsid w:val="00E02309"/>
    <w:rsid w:val="00E10D42"/>
    <w:rsid w:val="00E123A9"/>
    <w:rsid w:val="00E12FED"/>
    <w:rsid w:val="00E15B3F"/>
    <w:rsid w:val="00E15D60"/>
    <w:rsid w:val="00E21485"/>
    <w:rsid w:val="00E21FD7"/>
    <w:rsid w:val="00E24491"/>
    <w:rsid w:val="00E25741"/>
    <w:rsid w:val="00E257E7"/>
    <w:rsid w:val="00E3262E"/>
    <w:rsid w:val="00E351D4"/>
    <w:rsid w:val="00E35289"/>
    <w:rsid w:val="00E422AF"/>
    <w:rsid w:val="00E43A05"/>
    <w:rsid w:val="00E45195"/>
    <w:rsid w:val="00E50CD7"/>
    <w:rsid w:val="00E51712"/>
    <w:rsid w:val="00E51E1F"/>
    <w:rsid w:val="00E54FFA"/>
    <w:rsid w:val="00E62C8D"/>
    <w:rsid w:val="00E704D6"/>
    <w:rsid w:val="00E75B71"/>
    <w:rsid w:val="00E8027F"/>
    <w:rsid w:val="00E8237E"/>
    <w:rsid w:val="00E82FC8"/>
    <w:rsid w:val="00E85E0D"/>
    <w:rsid w:val="00E86A23"/>
    <w:rsid w:val="00E915E0"/>
    <w:rsid w:val="00E91922"/>
    <w:rsid w:val="00E92612"/>
    <w:rsid w:val="00E96BBC"/>
    <w:rsid w:val="00EB5F8C"/>
    <w:rsid w:val="00EB6293"/>
    <w:rsid w:val="00EB65E6"/>
    <w:rsid w:val="00EC4029"/>
    <w:rsid w:val="00ED1B7F"/>
    <w:rsid w:val="00ED2B69"/>
    <w:rsid w:val="00ED497A"/>
    <w:rsid w:val="00ED55D0"/>
    <w:rsid w:val="00ED7DC7"/>
    <w:rsid w:val="00EE1D7C"/>
    <w:rsid w:val="00EE2D46"/>
    <w:rsid w:val="00EF1BEE"/>
    <w:rsid w:val="00F054BD"/>
    <w:rsid w:val="00F11DB8"/>
    <w:rsid w:val="00F17CA8"/>
    <w:rsid w:val="00F223E9"/>
    <w:rsid w:val="00F22DB1"/>
    <w:rsid w:val="00F25ED1"/>
    <w:rsid w:val="00F33E73"/>
    <w:rsid w:val="00F41689"/>
    <w:rsid w:val="00F42105"/>
    <w:rsid w:val="00F43181"/>
    <w:rsid w:val="00F43AC8"/>
    <w:rsid w:val="00F43C0B"/>
    <w:rsid w:val="00F50BBE"/>
    <w:rsid w:val="00F5102E"/>
    <w:rsid w:val="00F52EC5"/>
    <w:rsid w:val="00F533B8"/>
    <w:rsid w:val="00F54764"/>
    <w:rsid w:val="00F55152"/>
    <w:rsid w:val="00F57858"/>
    <w:rsid w:val="00F64FA4"/>
    <w:rsid w:val="00F65A0C"/>
    <w:rsid w:val="00F66265"/>
    <w:rsid w:val="00F84973"/>
    <w:rsid w:val="00F84BAE"/>
    <w:rsid w:val="00F858F7"/>
    <w:rsid w:val="00F86D68"/>
    <w:rsid w:val="00F90E5B"/>
    <w:rsid w:val="00F92903"/>
    <w:rsid w:val="00F93A0C"/>
    <w:rsid w:val="00F952CF"/>
    <w:rsid w:val="00F963D0"/>
    <w:rsid w:val="00FA1424"/>
    <w:rsid w:val="00FA6AA2"/>
    <w:rsid w:val="00FB5C6F"/>
    <w:rsid w:val="00FB6EF1"/>
    <w:rsid w:val="00FC1F43"/>
    <w:rsid w:val="00FC4849"/>
    <w:rsid w:val="00FC4A4B"/>
    <w:rsid w:val="00FC60A0"/>
    <w:rsid w:val="00FD0365"/>
    <w:rsid w:val="00FD3534"/>
    <w:rsid w:val="00FD6627"/>
    <w:rsid w:val="00FD7AC2"/>
    <w:rsid w:val="00FE089C"/>
    <w:rsid w:val="00FE412E"/>
    <w:rsid w:val="00FE4FD8"/>
    <w:rsid w:val="00FE5357"/>
    <w:rsid w:val="00FF1036"/>
    <w:rsid w:val="00FF2040"/>
    <w:rsid w:val="00FF4375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4AF20"/>
  <w15:docId w15:val="{41890891-EA2F-4AD3-B4DA-70798086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0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51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F208D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08D"/>
    <w:pPr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semiHidden/>
    <w:rsid w:val="00AF208D"/>
    <w:rPr>
      <w:sz w:val="22"/>
    </w:rPr>
  </w:style>
  <w:style w:type="paragraph" w:styleId="Zkladntext3">
    <w:name w:val="Body Text 3"/>
    <w:basedOn w:val="Normln"/>
    <w:semiHidden/>
    <w:rsid w:val="00AF208D"/>
    <w:rPr>
      <w:rFonts w:ascii="Arial" w:hAnsi="Arial" w:cs="Arial"/>
      <w:sz w:val="20"/>
    </w:rPr>
  </w:style>
  <w:style w:type="paragraph" w:styleId="Zkladntextodsazen">
    <w:name w:val="Body Text Indent"/>
    <w:basedOn w:val="Normln"/>
    <w:semiHidden/>
    <w:rsid w:val="00AF208D"/>
    <w:pPr>
      <w:ind w:firstLine="708"/>
      <w:jc w:val="both"/>
    </w:pPr>
    <w:rPr>
      <w:rFonts w:ascii="Arial" w:hAnsi="Arial" w:cs="Arial"/>
      <w:sz w:val="20"/>
    </w:rPr>
  </w:style>
  <w:style w:type="character" w:customStyle="1" w:styleId="Nadpis1Char">
    <w:name w:val="Nadpis 1 Char"/>
    <w:link w:val="Nadpis1"/>
    <w:uiPriority w:val="9"/>
    <w:rsid w:val="005E51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8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beranek426\Documents\u\icpv\publikace\2026\05-2026\0110442605g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ranek426\Documents\u\icpv\publikace\2026\05-2026\0110442605gk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ranek426\Documents\u\icpv\publikace\2026\05-2026\0110442605gk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400"/>
              <a:t>Indexy cen průmyslových výrobců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(změna proti předchozímu měsíci v %)</a:t>
            </a:r>
          </a:p>
        </c:rich>
      </c:tx>
      <c:layout>
        <c:manualLayout>
          <c:xMode val="edge"/>
          <c:yMode val="edge"/>
          <c:x val="0.30396101275776793"/>
          <c:y val="3.8045706714406366E-2"/>
        </c:manualLayout>
      </c:layout>
      <c:overlay val="0"/>
      <c:spPr>
        <a:noFill/>
        <a:ln w="25400">
          <a:noFill/>
        </a:ln>
      </c:spPr>
    </c:title>
    <c:autoTitleDeleted val="0"/>
    <c:view3D>
      <c:rotX val="0"/>
      <c:hPercent val="100"/>
      <c:rotY val="0"/>
      <c:depthPercent val="100"/>
      <c:rAngAx val="0"/>
      <c:perspective val="0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657964896306494E-2"/>
          <c:y val="0.11145263987173416"/>
          <c:w val="0.85955841314208437"/>
          <c:h val="0.7583156768765566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List1!$A$7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BC091B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5087719298245454E-3"/>
                  <c:y val="-2.898285775436359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82-4968-BE5C-4C11093C5A96}"/>
                </c:ext>
              </c:extLst>
            </c:dLbl>
            <c:dLbl>
              <c:idx val="1"/>
              <c:layout>
                <c:manualLayout>
                  <c:x val="-3.5041611914148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82-4968-BE5C-4C11093C5A96}"/>
                </c:ext>
              </c:extLst>
            </c:dLbl>
            <c:dLbl>
              <c:idx val="2"/>
              <c:layout>
                <c:manualLayout>
                  <c:x val="-2.2793203481143804E-6"/>
                  <c:y val="6.3324504033379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86158563293909E-2"/>
                      <c:h val="3.86642145690900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FF82-4968-BE5C-4C11093C5A96}"/>
                </c:ext>
              </c:extLst>
            </c:dLbl>
            <c:dLbl>
              <c:idx val="3"/>
              <c:layout>
                <c:manualLayout>
                  <c:x val="-1.7520375742506192E-3"/>
                  <c:y val="7.7517997239940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82-4968-BE5C-4C11093C5A96}"/>
                </c:ext>
              </c:extLst>
            </c:dLbl>
            <c:dLbl>
              <c:idx val="4"/>
              <c:layout>
                <c:manualLayout>
                  <c:x val="-5.2631578947368741E-3"/>
                  <c:y val="-7.6920099125428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F82-4968-BE5C-4C11093C5A96}"/>
                </c:ext>
              </c:extLst>
            </c:dLbl>
            <c:dLbl>
              <c:idx val="5"/>
              <c:layout>
                <c:manualLayout>
                  <c:x val="-1.7543859649123128E-3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F82-4968-BE5C-4C11093C5A96}"/>
                </c:ext>
              </c:extLst>
            </c:dLbl>
            <c:dLbl>
              <c:idx val="6"/>
              <c:layout>
                <c:manualLayout>
                  <c:x val="-5.2562417871222077E-3"/>
                  <c:y val="-2.54452875227329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F82-4968-BE5C-4C11093C5A96}"/>
                </c:ext>
              </c:extLst>
            </c:dLbl>
            <c:dLbl>
              <c:idx val="7"/>
              <c:layout>
                <c:manualLayout>
                  <c:x val="1.7543859649122163E-3"/>
                  <c:y val="-5.08882232515077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F82-4968-BE5C-4C11093C5A96}"/>
                </c:ext>
              </c:extLst>
            </c:dLbl>
            <c:dLbl>
              <c:idx val="8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F82-4968-BE5C-4C11093C5A96}"/>
                </c:ext>
              </c:extLst>
            </c:dLbl>
            <c:dLbl>
              <c:idx val="9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F82-4968-BE5C-4C11093C5A96}"/>
                </c:ext>
              </c:extLst>
            </c:dLbl>
            <c:dLbl>
              <c:idx val="10"/>
              <c:layout>
                <c:manualLayout>
                  <c:x val="0"/>
                  <c:y val="5.14861213660208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F82-4968-BE5C-4C11093C5A96}"/>
                </c:ext>
              </c:extLst>
            </c:dLbl>
            <c:dLbl>
              <c:idx val="11"/>
              <c:layout>
                <c:manualLayout>
                  <c:x val="-6.4326742272101015E-17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F82-4968-BE5C-4C11093C5A96}"/>
                </c:ext>
              </c:extLst>
            </c:dLbl>
            <c:dLbl>
              <c:idx val="12"/>
              <c:layout>
                <c:manualLayout>
                  <c:x val="1.75438596491228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F82-4968-BE5C-4C11093C5A96}"/>
                </c:ext>
              </c:extLst>
            </c:dLbl>
            <c:dLbl>
              <c:idx val="14"/>
              <c:layout>
                <c:manualLayout>
                  <c:x val="6.9070313577937116E-6"/>
                  <c:y val="-7.96888172767066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F82-4968-BE5C-4C11093C5A96}"/>
                </c:ext>
              </c:extLst>
            </c:dLbl>
            <c:dLbl>
              <c:idx val="15"/>
              <c:layout>
                <c:manualLayout>
                  <c:x val="-1.7520375742505871E-3"/>
                  <c:y val="-2.6029849100650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F82-4968-BE5C-4C11093C5A96}"/>
                </c:ext>
              </c:extLst>
            </c:dLbl>
            <c:dLbl>
              <c:idx val="16"/>
              <c:layout>
                <c:manualLayout>
                  <c:x val="0"/>
                  <c:y val="7.63358625681988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F82-4968-BE5C-4C11093C5A96}"/>
                </c:ext>
              </c:extLst>
            </c:dLbl>
            <c:dLbl>
              <c:idx val="17"/>
              <c:layout>
                <c:manualLayout>
                  <c:x val="-1.7543859649124093E-3"/>
                  <c:y val="-2.574002052310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F82-4968-BE5C-4C11093C5A96}"/>
                </c:ext>
              </c:extLst>
            </c:dLbl>
            <c:dLbl>
              <c:idx val="18"/>
              <c:layout>
                <c:manualLayout>
                  <c:x val="-2.6361375880646497E-3"/>
                  <c:y val="1.1496060662134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449371460146428E-2"/>
                      <c:h val="5.6623383572313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FF82-4968-BE5C-4C11093C5A96}"/>
                </c:ext>
              </c:extLst>
            </c:dLbl>
            <c:dLbl>
              <c:idx val="19"/>
              <c:layout>
                <c:manualLayout>
                  <c:x val="1.7543859649121521E-3"/>
                  <c:y val="-5.14739607264026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F82-4968-BE5C-4C11093C5A96}"/>
                </c:ext>
              </c:extLst>
            </c:dLbl>
            <c:dLbl>
              <c:idx val="20"/>
              <c:layout>
                <c:manualLayout>
                  <c:x val="-1.7543859649122807E-3"/>
                  <c:y val="-2.837482577350281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F82-4968-BE5C-4C11093C5A96}"/>
                </c:ext>
              </c:extLst>
            </c:dLbl>
            <c:dLbl>
              <c:idx val="21"/>
              <c:layout>
                <c:manualLayout>
                  <c:x val="1.7543859649122807E-3"/>
                  <c:y val="-2.878018042741000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F82-4968-BE5C-4C11093C5A96}"/>
                </c:ext>
              </c:extLst>
            </c:dLbl>
            <c:dLbl>
              <c:idx val="22"/>
              <c:layout>
                <c:manualLayout>
                  <c:x val="1.6093383063830456E-5"/>
                  <c:y val="1.0290130566760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99889487498264E-2"/>
                      <c:h val="4.31619608707099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FF82-4968-BE5C-4C11093C5A96}"/>
                </c:ext>
              </c:extLst>
            </c:dLbl>
            <c:dLbl>
              <c:idx val="23"/>
              <c:layout>
                <c:manualLayout>
                  <c:x val="-7.0106368282913294E-3"/>
                  <c:y val="-2.57339402032975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F82-4968-BE5C-4C11093C5A96}"/>
                </c:ext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List1!$B$6:$Y$6</c:f>
              <c:strCache>
                <c:ptCount val="24"/>
                <c:pt idx="0">
                  <c:v>VI.24</c:v>
                </c:pt>
                <c:pt idx="1">
                  <c:v>VII.24</c:v>
                </c:pt>
                <c:pt idx="2">
                  <c:v>VIII.24</c:v>
                </c:pt>
                <c:pt idx="3">
                  <c:v>IX.24</c:v>
                </c:pt>
                <c:pt idx="4">
                  <c:v>X.24</c:v>
                </c:pt>
                <c:pt idx="5">
                  <c:v>XI.24</c:v>
                </c:pt>
                <c:pt idx="6">
                  <c:v>XII.24</c:v>
                </c:pt>
                <c:pt idx="7">
                  <c:v>I.25</c:v>
                </c:pt>
                <c:pt idx="8">
                  <c:v>II.25</c:v>
                </c:pt>
                <c:pt idx="9">
                  <c:v>III.25</c:v>
                </c:pt>
                <c:pt idx="10">
                  <c:v>IV.25</c:v>
                </c:pt>
                <c:pt idx="11">
                  <c:v>V.25</c:v>
                </c:pt>
                <c:pt idx="12">
                  <c:v>VI.25</c:v>
                </c:pt>
                <c:pt idx="13">
                  <c:v>VII.25</c:v>
                </c:pt>
                <c:pt idx="14">
                  <c:v>VIII.25</c:v>
                </c:pt>
                <c:pt idx="15">
                  <c:v>IX.25</c:v>
                </c:pt>
                <c:pt idx="16">
                  <c:v>X.25</c:v>
                </c:pt>
                <c:pt idx="17">
                  <c:v>XI.25</c:v>
                </c:pt>
                <c:pt idx="18">
                  <c:v>XII.25</c:v>
                </c:pt>
                <c:pt idx="19">
                  <c:v>I.26</c:v>
                </c:pt>
                <c:pt idx="20">
                  <c:v>II.26</c:v>
                </c:pt>
                <c:pt idx="21">
                  <c:v>III.26</c:v>
                </c:pt>
                <c:pt idx="22">
                  <c:v>IV.26</c:v>
                </c:pt>
                <c:pt idx="23">
                  <c:v>V.26</c:v>
                </c:pt>
              </c:strCache>
            </c:strRef>
          </c:cat>
          <c:val>
            <c:numRef>
              <c:f>List1!$B$7:$Y$7</c:f>
              <c:numCache>
                <c:formatCode>0.0</c:formatCode>
                <c:ptCount val="24"/>
                <c:pt idx="0">
                  <c:v>-0.3</c:v>
                </c:pt>
                <c:pt idx="1">
                  <c:v>0.6</c:v>
                </c:pt>
                <c:pt idx="2">
                  <c:v>-0.4</c:v>
                </c:pt>
                <c:pt idx="3">
                  <c:v>-0.2</c:v>
                </c:pt>
                <c:pt idx="4">
                  <c:v>0.1</c:v>
                </c:pt>
                <c:pt idx="5">
                  <c:v>0.4</c:v>
                </c:pt>
                <c:pt idx="6" formatCode="General">
                  <c:v>0.6</c:v>
                </c:pt>
                <c:pt idx="7">
                  <c:v>0.2</c:v>
                </c:pt>
                <c:pt idx="8">
                  <c:v>-0.1</c:v>
                </c:pt>
                <c:pt idx="9">
                  <c:v>-0.3</c:v>
                </c:pt>
                <c:pt idx="10" formatCode="General">
                  <c:v>-0.8</c:v>
                </c:pt>
                <c:pt idx="11">
                  <c:v>-0.6</c:v>
                </c:pt>
                <c:pt idx="12">
                  <c:v>-0.2</c:v>
                </c:pt>
                <c:pt idx="13">
                  <c:v>0.1</c:v>
                </c:pt>
                <c:pt idx="14">
                  <c:v>0</c:v>
                </c:pt>
                <c:pt idx="15">
                  <c:v>-0.4</c:v>
                </c:pt>
                <c:pt idx="16">
                  <c:v>-0.1</c:v>
                </c:pt>
                <c:pt idx="17">
                  <c:v>0.3</c:v>
                </c:pt>
                <c:pt idx="18">
                  <c:v>-0.2</c:v>
                </c:pt>
                <c:pt idx="19" formatCode="General">
                  <c:v>-0.7</c:v>
                </c:pt>
                <c:pt idx="20">
                  <c:v>0.1</c:v>
                </c:pt>
                <c:pt idx="21">
                  <c:v>1.5</c:v>
                </c:pt>
                <c:pt idx="22">
                  <c:v>1.4</c:v>
                </c:pt>
                <c:pt idx="23">
                  <c:v>-0.1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FF82-4968-BE5C-4C11093C5A9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608448"/>
        <c:axId val="71779456"/>
        <c:axId val="4274368"/>
      </c:bar3DChart>
      <c:dateAx>
        <c:axId val="37608448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77945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779456"/>
        <c:scaling>
          <c:orientation val="minMax"/>
          <c:max val="2"/>
          <c:min val="-1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608448"/>
        <c:crosses val="autoZero"/>
        <c:crossBetween val="between"/>
        <c:majorUnit val="0.5"/>
      </c:valAx>
      <c:serAx>
        <c:axId val="4274368"/>
        <c:scaling>
          <c:orientation val="minMax"/>
        </c:scaling>
        <c:delete val="1"/>
        <c:axPos val="b"/>
        <c:majorTickMark val="out"/>
        <c:minorTickMark val="none"/>
        <c:tickLblPos val="none"/>
        <c:crossAx val="71779456"/>
        <c:crosses val="autoZero"/>
      </c:ser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7320103055449211"/>
          <c:y val="0.93304244483890386"/>
          <c:w val="0.2308207531877175"/>
          <c:h val="4.3836167877859197E-2"/>
        </c:manualLayout>
      </c:layout>
      <c:overlay val="0"/>
      <c:txPr>
        <a:bodyPr/>
        <a:lstStyle/>
        <a:p>
          <a:pPr>
            <a:defRPr sz="1000"/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2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Indexy cen průmyslových výrobců</a:t>
            </a:r>
          </a:p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(změna proti stejnému období předchozího roku</a:t>
            </a:r>
            <a:r>
              <a:rPr lang="cs-CZ" baseline="0"/>
              <a:t> v %)</a:t>
            </a:r>
            <a:endParaRPr lang="cs-CZ"/>
          </a:p>
        </c:rich>
      </c:tx>
      <c:layout>
        <c:manualLayout>
          <c:xMode val="edge"/>
          <c:yMode val="edge"/>
          <c:x val="0.28107374290078146"/>
          <c:y val="3.6745406824146977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341014576567757E-2"/>
          <c:y val="0.1595202541429894"/>
          <c:w val="0.85828743864644041"/>
          <c:h val="0.618259901978272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List1!$A$6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BC091B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List1!$B$5:$Y$5</c:f>
              <c:strCache>
                <c:ptCount val="24"/>
                <c:pt idx="0">
                  <c:v>VI.24</c:v>
                </c:pt>
                <c:pt idx="1">
                  <c:v>VII.24</c:v>
                </c:pt>
                <c:pt idx="2">
                  <c:v>VIII.24</c:v>
                </c:pt>
                <c:pt idx="3">
                  <c:v>IX.24</c:v>
                </c:pt>
                <c:pt idx="4">
                  <c:v>X.24</c:v>
                </c:pt>
                <c:pt idx="5">
                  <c:v>XI.24</c:v>
                </c:pt>
                <c:pt idx="6">
                  <c:v>XII.24</c:v>
                </c:pt>
                <c:pt idx="7">
                  <c:v>I.25</c:v>
                </c:pt>
                <c:pt idx="8">
                  <c:v>II.25</c:v>
                </c:pt>
                <c:pt idx="9">
                  <c:v>III.25</c:v>
                </c:pt>
                <c:pt idx="10">
                  <c:v>IV.25</c:v>
                </c:pt>
                <c:pt idx="11">
                  <c:v>V.25</c:v>
                </c:pt>
                <c:pt idx="12">
                  <c:v>VI.25</c:v>
                </c:pt>
                <c:pt idx="13">
                  <c:v>VII.25</c:v>
                </c:pt>
                <c:pt idx="14">
                  <c:v>VIII.25</c:v>
                </c:pt>
                <c:pt idx="15">
                  <c:v>IX.25</c:v>
                </c:pt>
                <c:pt idx="16">
                  <c:v>X.25</c:v>
                </c:pt>
                <c:pt idx="17">
                  <c:v>XI.25</c:v>
                </c:pt>
                <c:pt idx="18">
                  <c:v>XII.25</c:v>
                </c:pt>
                <c:pt idx="19">
                  <c:v>I.26</c:v>
                </c:pt>
                <c:pt idx="20">
                  <c:v>II.26</c:v>
                </c:pt>
                <c:pt idx="21">
                  <c:v>III.26</c:v>
                </c:pt>
                <c:pt idx="22">
                  <c:v>IV.26</c:v>
                </c:pt>
                <c:pt idx="23">
                  <c:v>V.26</c:v>
                </c:pt>
              </c:strCache>
            </c:strRef>
          </c:cat>
          <c:val>
            <c:numRef>
              <c:f>List1!$B$6:$Y$6</c:f>
              <c:numCache>
                <c:formatCode>0.0</c:formatCode>
                <c:ptCount val="24"/>
                <c:pt idx="0">
                  <c:v>1</c:v>
                </c:pt>
                <c:pt idx="1">
                  <c:v>1.7</c:v>
                </c:pt>
                <c:pt idx="2">
                  <c:v>1.1000000000000001</c:v>
                </c:pt>
                <c:pt idx="3">
                  <c:v>0.6</c:v>
                </c:pt>
                <c:pt idx="4">
                  <c:v>0.8</c:v>
                </c:pt>
                <c:pt idx="5">
                  <c:v>1.7</c:v>
                </c:pt>
                <c:pt idx="6">
                  <c:v>2.8</c:v>
                </c:pt>
                <c:pt idx="7">
                  <c:v>0.5</c:v>
                </c:pt>
                <c:pt idx="8">
                  <c:v>-0.1</c:v>
                </c:pt>
                <c:pt idx="9">
                  <c:v>-0.3</c:v>
                </c:pt>
                <c:pt idx="10">
                  <c:v>-1.3</c:v>
                </c:pt>
                <c:pt idx="11">
                  <c:v>-0.8</c:v>
                </c:pt>
                <c:pt idx="12">
                  <c:v>-0.7</c:v>
                </c:pt>
                <c:pt idx="13">
                  <c:v>-1.2</c:v>
                </c:pt>
                <c:pt idx="14">
                  <c:v>-0.8</c:v>
                </c:pt>
                <c:pt idx="15">
                  <c:v>-1</c:v>
                </c:pt>
                <c:pt idx="16">
                  <c:v>-1.2</c:v>
                </c:pt>
                <c:pt idx="17">
                  <c:v>-1.3</c:v>
                </c:pt>
                <c:pt idx="18">
                  <c:v>-2.1</c:v>
                </c:pt>
                <c:pt idx="19">
                  <c:v>-3</c:v>
                </c:pt>
                <c:pt idx="20">
                  <c:v>-2.9</c:v>
                </c:pt>
                <c:pt idx="21">
                  <c:v>-1.1000000000000001</c:v>
                </c:pt>
                <c:pt idx="22">
                  <c:v>1</c:v>
                </c:pt>
                <c:pt idx="23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62-4141-A05C-4C92070571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571584"/>
        <c:axId val="37586816"/>
      </c:barChart>
      <c:dateAx>
        <c:axId val="37571584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8681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37586816"/>
        <c:scaling>
          <c:orientation val="minMax"/>
          <c:max val="3"/>
          <c:min val="-4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2.3069679849340868E-2"/>
              <c:y val="0.22002089544632164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71584"/>
        <c:crosses val="autoZero"/>
        <c:crossBetween val="between"/>
      </c:valAx>
      <c:spPr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0860032326467666"/>
          <c:y val="0.90301144648585596"/>
          <c:w val="0.16395539540608273"/>
          <c:h val="7.3840405365995912E-2"/>
        </c:manualLayout>
      </c:layout>
      <c:overlay val="0"/>
      <c:spPr>
        <a:ln w="0" cmpd="sng"/>
      </c:sp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Indexy cen průmyslových výrobců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 b="1" i="0" baseline="0">
                <a:effectLst/>
              </a:rPr>
              <a:t>(změna proti stejnému období předchozího roku v %)</a:t>
            </a:r>
            <a:endParaRPr lang="cs-CZ" sz="10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 sz="1000"/>
          </a:p>
        </c:rich>
      </c:tx>
      <c:layout>
        <c:manualLayout>
          <c:xMode val="edge"/>
          <c:yMode val="edge"/>
          <c:x val="0.27674097075893683"/>
          <c:y val="1.4587142124475819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8372851280913831E-2"/>
          <c:y val="9.2429385720724302E-2"/>
          <c:w val="0.85972111936712137"/>
          <c:h val="0.6666393942136543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List1!$A$11</c:f>
              <c:strCache>
                <c:ptCount val="1"/>
                <c:pt idx="0">
                  <c:v>Výrobky a služby zprac. průmyslu</c:v>
                </c:pt>
              </c:strCache>
            </c:strRef>
          </c:tx>
          <c:spPr>
            <a:solidFill>
              <a:srgbClr val="009471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VI.24</c:v>
                </c:pt>
                <c:pt idx="1">
                  <c:v>VII.24</c:v>
                </c:pt>
                <c:pt idx="2">
                  <c:v>VIII.24</c:v>
                </c:pt>
                <c:pt idx="3">
                  <c:v>IX.24</c:v>
                </c:pt>
                <c:pt idx="4">
                  <c:v>X.24</c:v>
                </c:pt>
                <c:pt idx="5">
                  <c:v>XI.24</c:v>
                </c:pt>
                <c:pt idx="6">
                  <c:v>XII.24</c:v>
                </c:pt>
                <c:pt idx="7">
                  <c:v>I.25</c:v>
                </c:pt>
                <c:pt idx="8">
                  <c:v>II.25</c:v>
                </c:pt>
                <c:pt idx="9">
                  <c:v>III.25</c:v>
                </c:pt>
                <c:pt idx="10">
                  <c:v>IV.25</c:v>
                </c:pt>
                <c:pt idx="11">
                  <c:v>V.25</c:v>
                </c:pt>
                <c:pt idx="12">
                  <c:v>VI.25</c:v>
                </c:pt>
                <c:pt idx="13">
                  <c:v>VII.25</c:v>
                </c:pt>
                <c:pt idx="14">
                  <c:v>VIII.25</c:v>
                </c:pt>
                <c:pt idx="15">
                  <c:v>IX.25</c:v>
                </c:pt>
                <c:pt idx="16">
                  <c:v>X.25</c:v>
                </c:pt>
                <c:pt idx="17">
                  <c:v>XI.25</c:v>
                </c:pt>
                <c:pt idx="18">
                  <c:v>XII.25</c:v>
                </c:pt>
                <c:pt idx="19">
                  <c:v>I.26</c:v>
                </c:pt>
                <c:pt idx="20">
                  <c:v>II.26</c:v>
                </c:pt>
                <c:pt idx="21">
                  <c:v>III.26</c:v>
                </c:pt>
                <c:pt idx="22">
                  <c:v>IV.26</c:v>
                </c:pt>
                <c:pt idx="23">
                  <c:v>V.26</c:v>
                </c:pt>
              </c:strCache>
            </c:strRef>
          </c:cat>
          <c:val>
            <c:numRef>
              <c:f>List1!$B$11:$Y$11</c:f>
              <c:numCache>
                <c:formatCode>0.0</c:formatCode>
                <c:ptCount val="24"/>
                <c:pt idx="0">
                  <c:v>0</c:v>
                </c:pt>
                <c:pt idx="1">
                  <c:v>1</c:v>
                </c:pt>
                <c:pt idx="2">
                  <c:v>0.2</c:v>
                </c:pt>
                <c:pt idx="3">
                  <c:v>-0.8</c:v>
                </c:pt>
                <c:pt idx="4">
                  <c:v>-0.3</c:v>
                </c:pt>
                <c:pt idx="5">
                  <c:v>0.5</c:v>
                </c:pt>
                <c:pt idx="6">
                  <c:v>1</c:v>
                </c:pt>
                <c:pt idx="7">
                  <c:v>1.3</c:v>
                </c:pt>
                <c:pt idx="8">
                  <c:v>0.4</c:v>
                </c:pt>
                <c:pt idx="9">
                  <c:v>-0.4</c:v>
                </c:pt>
                <c:pt idx="10">
                  <c:v>-0.9</c:v>
                </c:pt>
                <c:pt idx="11">
                  <c:v>0</c:v>
                </c:pt>
                <c:pt idx="12">
                  <c:v>0.3</c:v>
                </c:pt>
                <c:pt idx="13">
                  <c:v>-0.4</c:v>
                </c:pt>
                <c:pt idx="14">
                  <c:v>-0.4</c:v>
                </c:pt>
                <c:pt idx="15">
                  <c:v>-0.1</c:v>
                </c:pt>
                <c:pt idx="16">
                  <c:v>-0.7</c:v>
                </c:pt>
                <c:pt idx="17">
                  <c:v>-0.8</c:v>
                </c:pt>
                <c:pt idx="18">
                  <c:v>-1.1000000000000001</c:v>
                </c:pt>
                <c:pt idx="19">
                  <c:v>-1.8</c:v>
                </c:pt>
                <c:pt idx="20">
                  <c:v>-1.7000000000000028</c:v>
                </c:pt>
                <c:pt idx="21">
                  <c:v>1.2</c:v>
                </c:pt>
                <c:pt idx="22">
                  <c:v>3.1</c:v>
                </c:pt>
                <c:pt idx="23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E0-42A9-8356-53FB777A10C2}"/>
            </c:ext>
          </c:extLst>
        </c:ser>
        <c:ser>
          <c:idx val="2"/>
          <c:order val="2"/>
          <c:tx>
            <c:strRef>
              <c:f>List1!$A$12</c:f>
              <c:strCache>
                <c:ptCount val="1"/>
                <c:pt idx="0">
                  <c:v>Elektřina, plyn, pára a klimat. vzduch</c:v>
                </c:pt>
              </c:strCache>
            </c:strRef>
          </c:tx>
          <c:spPr>
            <a:solidFill>
              <a:srgbClr val="CC961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VI.24</c:v>
                </c:pt>
                <c:pt idx="1">
                  <c:v>VII.24</c:v>
                </c:pt>
                <c:pt idx="2">
                  <c:v>VIII.24</c:v>
                </c:pt>
                <c:pt idx="3">
                  <c:v>IX.24</c:v>
                </c:pt>
                <c:pt idx="4">
                  <c:v>X.24</c:v>
                </c:pt>
                <c:pt idx="5">
                  <c:v>XI.24</c:v>
                </c:pt>
                <c:pt idx="6">
                  <c:v>XII.24</c:v>
                </c:pt>
                <c:pt idx="7">
                  <c:v>I.25</c:v>
                </c:pt>
                <c:pt idx="8">
                  <c:v>II.25</c:v>
                </c:pt>
                <c:pt idx="9">
                  <c:v>III.25</c:v>
                </c:pt>
                <c:pt idx="10">
                  <c:v>IV.25</c:v>
                </c:pt>
                <c:pt idx="11">
                  <c:v>V.25</c:v>
                </c:pt>
                <c:pt idx="12">
                  <c:v>VI.25</c:v>
                </c:pt>
                <c:pt idx="13">
                  <c:v>VII.25</c:v>
                </c:pt>
                <c:pt idx="14">
                  <c:v>VIII.25</c:v>
                </c:pt>
                <c:pt idx="15">
                  <c:v>IX.25</c:v>
                </c:pt>
                <c:pt idx="16">
                  <c:v>X.25</c:v>
                </c:pt>
                <c:pt idx="17">
                  <c:v>XI.25</c:v>
                </c:pt>
                <c:pt idx="18">
                  <c:v>XII.25</c:v>
                </c:pt>
                <c:pt idx="19">
                  <c:v>I.26</c:v>
                </c:pt>
                <c:pt idx="20">
                  <c:v>II.26</c:v>
                </c:pt>
                <c:pt idx="21">
                  <c:v>III.26</c:v>
                </c:pt>
                <c:pt idx="22">
                  <c:v>IV.26</c:v>
                </c:pt>
                <c:pt idx="23">
                  <c:v>V.26</c:v>
                </c:pt>
              </c:strCache>
            </c:strRef>
          </c:cat>
          <c:val>
            <c:numRef>
              <c:f>List1!$B$12:$Y$12</c:f>
              <c:numCache>
                <c:formatCode>0.0</c:formatCode>
                <c:ptCount val="24"/>
                <c:pt idx="0">
                  <c:v>4.2</c:v>
                </c:pt>
                <c:pt idx="1">
                  <c:v>4</c:v>
                </c:pt>
                <c:pt idx="2">
                  <c:v>3.7</c:v>
                </c:pt>
                <c:pt idx="3">
                  <c:v>5</c:v>
                </c:pt>
                <c:pt idx="4">
                  <c:v>4.7</c:v>
                </c:pt>
                <c:pt idx="5">
                  <c:v>6</c:v>
                </c:pt>
                <c:pt idx="6">
                  <c:v>9.3000000000000007</c:v>
                </c:pt>
                <c:pt idx="7">
                  <c:v>-2</c:v>
                </c:pt>
                <c:pt idx="8">
                  <c:v>-1.6</c:v>
                </c:pt>
                <c:pt idx="9">
                  <c:v>0</c:v>
                </c:pt>
                <c:pt idx="10">
                  <c:v>-2.9</c:v>
                </c:pt>
                <c:pt idx="11">
                  <c:v>-3.5</c:v>
                </c:pt>
                <c:pt idx="12">
                  <c:v>-3.7</c:v>
                </c:pt>
                <c:pt idx="13">
                  <c:v>-4</c:v>
                </c:pt>
                <c:pt idx="14">
                  <c:v>-2</c:v>
                </c:pt>
                <c:pt idx="15">
                  <c:v>-3.8</c:v>
                </c:pt>
                <c:pt idx="16">
                  <c:v>-2.6</c:v>
                </c:pt>
                <c:pt idx="17">
                  <c:v>-3.2</c:v>
                </c:pt>
                <c:pt idx="18">
                  <c:v>-5.6</c:v>
                </c:pt>
                <c:pt idx="19">
                  <c:v>-7.4</c:v>
                </c:pt>
                <c:pt idx="20">
                  <c:v>-7.1</c:v>
                </c:pt>
                <c:pt idx="21">
                  <c:v>-9.1999999999999993</c:v>
                </c:pt>
                <c:pt idx="22">
                  <c:v>-6.4</c:v>
                </c:pt>
                <c:pt idx="23">
                  <c:v>-6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E0-42A9-8356-53FB777A10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836800"/>
        <c:axId val="71878144"/>
      </c:barChart>
      <c:lineChart>
        <c:grouping val="standard"/>
        <c:varyColors val="0"/>
        <c:ser>
          <c:idx val="0"/>
          <c:order val="0"/>
          <c:tx>
            <c:strRef>
              <c:f>List1!$A$10</c:f>
              <c:strCache>
                <c:ptCount val="1"/>
                <c:pt idx="0">
                  <c:v>Těžba a dobývání</c:v>
                </c:pt>
              </c:strCache>
            </c:strRef>
          </c:tx>
          <c:spPr>
            <a:ln w="25400">
              <a:solidFill>
                <a:srgbClr val="0071BC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VI.24</c:v>
                </c:pt>
                <c:pt idx="1">
                  <c:v>VII.24</c:v>
                </c:pt>
                <c:pt idx="2">
                  <c:v>VIII.24</c:v>
                </c:pt>
                <c:pt idx="3">
                  <c:v>IX.24</c:v>
                </c:pt>
                <c:pt idx="4">
                  <c:v>X.24</c:v>
                </c:pt>
                <c:pt idx="5">
                  <c:v>XI.24</c:v>
                </c:pt>
                <c:pt idx="6">
                  <c:v>XII.24</c:v>
                </c:pt>
                <c:pt idx="7">
                  <c:v>I.25</c:v>
                </c:pt>
                <c:pt idx="8">
                  <c:v>II.25</c:v>
                </c:pt>
                <c:pt idx="9">
                  <c:v>III.25</c:v>
                </c:pt>
                <c:pt idx="10">
                  <c:v>IV.25</c:v>
                </c:pt>
                <c:pt idx="11">
                  <c:v>V.25</c:v>
                </c:pt>
                <c:pt idx="12">
                  <c:v>VI.25</c:v>
                </c:pt>
                <c:pt idx="13">
                  <c:v>VII.25</c:v>
                </c:pt>
                <c:pt idx="14">
                  <c:v>VIII.25</c:v>
                </c:pt>
                <c:pt idx="15">
                  <c:v>IX.25</c:v>
                </c:pt>
                <c:pt idx="16">
                  <c:v>X.25</c:v>
                </c:pt>
                <c:pt idx="17">
                  <c:v>XI.25</c:v>
                </c:pt>
                <c:pt idx="18">
                  <c:v>XII.25</c:v>
                </c:pt>
                <c:pt idx="19">
                  <c:v>I.26</c:v>
                </c:pt>
                <c:pt idx="20">
                  <c:v>II.26</c:v>
                </c:pt>
                <c:pt idx="21">
                  <c:v>III.26</c:v>
                </c:pt>
                <c:pt idx="22">
                  <c:v>IV.26</c:v>
                </c:pt>
                <c:pt idx="23">
                  <c:v>V.26</c:v>
                </c:pt>
              </c:strCache>
            </c:strRef>
          </c:cat>
          <c:val>
            <c:numRef>
              <c:f>List1!$B$10:$Y$10</c:f>
              <c:numCache>
                <c:formatCode>0.0</c:formatCode>
                <c:ptCount val="24"/>
                <c:pt idx="0">
                  <c:v>-1.9</c:v>
                </c:pt>
                <c:pt idx="1">
                  <c:v>-0.3</c:v>
                </c:pt>
                <c:pt idx="2">
                  <c:v>-0.1</c:v>
                </c:pt>
                <c:pt idx="3">
                  <c:v>-1.1000000000000001</c:v>
                </c:pt>
                <c:pt idx="4">
                  <c:v>-1.8</c:v>
                </c:pt>
                <c:pt idx="5">
                  <c:v>-1.9</c:v>
                </c:pt>
                <c:pt idx="6">
                  <c:v>-1.6</c:v>
                </c:pt>
                <c:pt idx="7">
                  <c:v>-0.8</c:v>
                </c:pt>
                <c:pt idx="8">
                  <c:v>-2.8</c:v>
                </c:pt>
                <c:pt idx="9">
                  <c:v>-4</c:v>
                </c:pt>
                <c:pt idx="10">
                  <c:v>-4.5</c:v>
                </c:pt>
                <c:pt idx="11">
                  <c:v>-4.2</c:v>
                </c:pt>
                <c:pt idx="12">
                  <c:v>-3.9</c:v>
                </c:pt>
                <c:pt idx="13">
                  <c:v>-4.2</c:v>
                </c:pt>
                <c:pt idx="14">
                  <c:v>-4.4000000000000004</c:v>
                </c:pt>
                <c:pt idx="15">
                  <c:v>-4.0999999999999996</c:v>
                </c:pt>
                <c:pt idx="16">
                  <c:v>-4.0999999999999996</c:v>
                </c:pt>
                <c:pt idx="17">
                  <c:v>-4.0999999999999996</c:v>
                </c:pt>
                <c:pt idx="18">
                  <c:v>-4.2</c:v>
                </c:pt>
                <c:pt idx="19">
                  <c:v>-1.9</c:v>
                </c:pt>
                <c:pt idx="20">
                  <c:v>-1.5</c:v>
                </c:pt>
                <c:pt idx="21">
                  <c:v>0.4</c:v>
                </c:pt>
                <c:pt idx="22">
                  <c:v>1.7</c:v>
                </c:pt>
                <c:pt idx="23">
                  <c:v>2.2999999999999998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9E0-42A9-8356-53FB777A10C2}"/>
            </c:ext>
          </c:extLst>
        </c:ser>
        <c:ser>
          <c:idx val="3"/>
          <c:order val="3"/>
          <c:tx>
            <c:strRef>
              <c:f>List1!$A$13</c:f>
              <c:strCache>
                <c:ptCount val="1"/>
                <c:pt idx="0">
                  <c:v>Zásobování vodou, služby souv. s odpad. vodami</c:v>
                </c:pt>
              </c:strCache>
            </c:strRef>
          </c:tx>
          <c:spPr>
            <a:ln w="25400">
              <a:solidFill>
                <a:srgbClr val="685B7A"/>
              </a:solidFill>
              <a:prstDash val="solid"/>
            </a:ln>
          </c:spPr>
          <c:marker>
            <c:symbol val="x"/>
            <c:size val="3"/>
            <c:spPr>
              <a:noFill/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VI.24</c:v>
                </c:pt>
                <c:pt idx="1">
                  <c:v>VII.24</c:v>
                </c:pt>
                <c:pt idx="2">
                  <c:v>VIII.24</c:v>
                </c:pt>
                <c:pt idx="3">
                  <c:v>IX.24</c:v>
                </c:pt>
                <c:pt idx="4">
                  <c:v>X.24</c:v>
                </c:pt>
                <c:pt idx="5">
                  <c:v>XI.24</c:v>
                </c:pt>
                <c:pt idx="6">
                  <c:v>XII.24</c:v>
                </c:pt>
                <c:pt idx="7">
                  <c:v>I.25</c:v>
                </c:pt>
                <c:pt idx="8">
                  <c:v>II.25</c:v>
                </c:pt>
                <c:pt idx="9">
                  <c:v>III.25</c:v>
                </c:pt>
                <c:pt idx="10">
                  <c:v>IV.25</c:v>
                </c:pt>
                <c:pt idx="11">
                  <c:v>V.25</c:v>
                </c:pt>
                <c:pt idx="12">
                  <c:v>VI.25</c:v>
                </c:pt>
                <c:pt idx="13">
                  <c:v>VII.25</c:v>
                </c:pt>
                <c:pt idx="14">
                  <c:v>VIII.25</c:v>
                </c:pt>
                <c:pt idx="15">
                  <c:v>IX.25</c:v>
                </c:pt>
                <c:pt idx="16">
                  <c:v>X.25</c:v>
                </c:pt>
                <c:pt idx="17">
                  <c:v>XI.25</c:v>
                </c:pt>
                <c:pt idx="18">
                  <c:v>XII.25</c:v>
                </c:pt>
                <c:pt idx="19">
                  <c:v>I.26</c:v>
                </c:pt>
                <c:pt idx="20">
                  <c:v>II.26</c:v>
                </c:pt>
                <c:pt idx="21">
                  <c:v>III.26</c:v>
                </c:pt>
                <c:pt idx="22">
                  <c:v>IV.26</c:v>
                </c:pt>
                <c:pt idx="23">
                  <c:v>V.26</c:v>
                </c:pt>
              </c:strCache>
            </c:strRef>
          </c:cat>
          <c:val>
            <c:numRef>
              <c:f>List1!$B$13:$Y$13</c:f>
              <c:numCache>
                <c:formatCode>0.0</c:formatCode>
                <c:ptCount val="24"/>
                <c:pt idx="0">
                  <c:v>9.1999999999999993</c:v>
                </c:pt>
                <c:pt idx="1">
                  <c:v>9.1999999999999993</c:v>
                </c:pt>
                <c:pt idx="2">
                  <c:v>9.1999999999999993</c:v>
                </c:pt>
                <c:pt idx="3">
                  <c:v>9.1999999999999993</c:v>
                </c:pt>
                <c:pt idx="4">
                  <c:v>9.1999999999999993</c:v>
                </c:pt>
                <c:pt idx="5">
                  <c:v>9.1999999999999993</c:v>
                </c:pt>
                <c:pt idx="6">
                  <c:v>9.1999999999999993</c:v>
                </c:pt>
                <c:pt idx="7">
                  <c:v>4.0999999999999996</c:v>
                </c:pt>
                <c:pt idx="8">
                  <c:v>4.0999999999999996</c:v>
                </c:pt>
                <c:pt idx="9">
                  <c:v>4.0999999999999996</c:v>
                </c:pt>
                <c:pt idx="10">
                  <c:v>4.0999999999999996</c:v>
                </c:pt>
                <c:pt idx="11">
                  <c:v>4.0999999999999996</c:v>
                </c:pt>
                <c:pt idx="12">
                  <c:v>4.0999999999999996</c:v>
                </c:pt>
                <c:pt idx="13">
                  <c:v>4.0999999999999996</c:v>
                </c:pt>
                <c:pt idx="14">
                  <c:v>4.0999999999999996</c:v>
                </c:pt>
                <c:pt idx="15">
                  <c:v>4.0999999999999996</c:v>
                </c:pt>
                <c:pt idx="16">
                  <c:v>4.0999999999999996</c:v>
                </c:pt>
                <c:pt idx="17">
                  <c:v>4.0999999999999996</c:v>
                </c:pt>
                <c:pt idx="18">
                  <c:v>4.0999999999999996</c:v>
                </c:pt>
                <c:pt idx="19">
                  <c:v>3.9</c:v>
                </c:pt>
                <c:pt idx="20">
                  <c:v>3.9</c:v>
                </c:pt>
                <c:pt idx="21">
                  <c:v>3.9</c:v>
                </c:pt>
                <c:pt idx="22">
                  <c:v>3.9</c:v>
                </c:pt>
                <c:pt idx="23">
                  <c:v>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9E0-42A9-8356-53FB777A10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836800"/>
        <c:axId val="71878144"/>
      </c:lineChart>
      <c:dateAx>
        <c:axId val="71836800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78144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878144"/>
        <c:scaling>
          <c:orientation val="minMax"/>
          <c:max val="10"/>
          <c:min val="-1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1.5536726923219104E-2"/>
              <c:y val="0.278287869188769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36800"/>
        <c:crosses val="autoZero"/>
        <c:crossBetween val="between"/>
        <c:majorUnit val="2"/>
      </c:valAx>
      <c:spPr>
        <a:solidFill>
          <a:schemeClr val="bg1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7683782484935876E-2"/>
          <c:y val="0.87699082486484059"/>
          <c:w val="0.88841920816235243"/>
          <c:h val="0.1164921657520082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0.00657</cdr:x>
      <cdr:y>0.30512</cdr:y>
    </cdr:from>
    <cdr:to>
      <cdr:x>0.03942</cdr:x>
      <cdr:y>0.68182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47624" y="1476376"/>
          <a:ext cx="238126" cy="18227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none" rtlCol="0"/>
        <a:lstStyle xmlns:a="http://schemas.openxmlformats.org/drawingml/2006/main"/>
        <a:p xmlns:a="http://schemas.openxmlformats.org/drawingml/2006/main">
          <a:r>
            <a:rPr lang="cs-CZ" sz="880" b="1">
              <a:latin typeface="Arial" pitchFamily="34" charset="0"/>
              <a:cs typeface="Arial" pitchFamily="34" charset="0"/>
            </a:rPr>
            <a:t>meziměsíční tempo růstu (%)</a:t>
          </a:r>
        </a:p>
        <a:p xmlns:a="http://schemas.openxmlformats.org/drawingml/2006/main">
          <a:endParaRPr lang="cs-CZ" sz="88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DC14-2A78-4E7C-83AE-D7F413EB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</TotalTime>
  <Pages>3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cen průmyslových výrobců v říjnu 2007</vt:lpstr>
    </vt:vector>
  </TitlesOfParts>
  <Company>CSU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cen průmyslových výrobců v říjnu 2007</dc:title>
  <dc:subject/>
  <dc:creator>simakova</dc:creator>
  <cp:keywords/>
  <dc:description/>
  <cp:lastModifiedBy>Beránek Miloslav</cp:lastModifiedBy>
  <cp:revision>68</cp:revision>
  <cp:lastPrinted>2024-11-13T08:41:00Z</cp:lastPrinted>
  <dcterms:created xsi:type="dcterms:W3CDTF">2024-10-10T07:26:00Z</dcterms:created>
  <dcterms:modified xsi:type="dcterms:W3CDTF">2026-06-12T06:50:00Z</dcterms:modified>
</cp:coreProperties>
</file>