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2DB7E" w14:textId="0EB6AD60" w:rsidR="006E3D63" w:rsidRPr="000D5505" w:rsidRDefault="000D5505" w:rsidP="000D5505">
      <w:pPr>
        <w:tabs>
          <w:tab w:val="left" w:pos="14400"/>
          <w:tab w:val="left" w:pos="14520"/>
        </w:tabs>
        <w:jc w:val="both"/>
        <w:rPr>
          <w:rFonts w:ascii="Arial" w:hAnsi="Arial" w:cs="Arial"/>
          <w:color w:val="0071BC"/>
        </w:rPr>
      </w:pPr>
      <w:bookmarkStart w:id="0" w:name="_GoBack"/>
      <w:proofErr w:type="gramStart"/>
      <w:r w:rsidRPr="000D5505">
        <w:rPr>
          <w:rFonts w:ascii="Arial" w:hAnsi="Arial" w:cs="Arial"/>
          <w:b/>
          <w:bCs/>
          <w:color w:val="0071BC"/>
        </w:rPr>
        <w:t xml:space="preserve">6 </w:t>
      </w:r>
      <w:r w:rsidR="006E3D63" w:rsidRPr="000D5505">
        <w:rPr>
          <w:rFonts w:ascii="Arial" w:hAnsi="Arial" w:cs="Arial"/>
          <w:b/>
          <w:bCs/>
          <w:color w:val="0071BC"/>
        </w:rPr>
        <w:t xml:space="preserve"> FINANCE</w:t>
      </w:r>
      <w:proofErr w:type="gramEnd"/>
    </w:p>
    <w:bookmarkEnd w:id="0"/>
    <w:p w14:paraId="0B7B5435" w14:textId="27DAA637" w:rsidR="006E3D63" w:rsidRDefault="006E3D63" w:rsidP="000D5505">
      <w:pPr>
        <w:tabs>
          <w:tab w:val="left" w:pos="10320"/>
          <w:tab w:val="left" w:pos="14400"/>
          <w:tab w:val="left" w:pos="14520"/>
        </w:tabs>
        <w:ind w:right="-49"/>
        <w:jc w:val="both"/>
        <w:rPr>
          <w:rFonts w:ascii="Arial" w:hAnsi="Arial" w:cs="Arial"/>
          <w:sz w:val="18"/>
          <w:szCs w:val="18"/>
        </w:rPr>
      </w:pPr>
    </w:p>
    <w:p w14:paraId="20AEF6EF" w14:textId="77777777" w:rsidR="00ED5529" w:rsidRPr="00ED5529" w:rsidRDefault="00ED5529" w:rsidP="00ED5529">
      <w:pPr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ED5529">
        <w:rPr>
          <w:rFonts w:ascii="Arial" w:hAnsi="Arial" w:cs="Arial"/>
          <w:b/>
          <w:color w:val="0071BC"/>
          <w:sz w:val="20"/>
          <w:szCs w:val="20"/>
        </w:rPr>
        <w:t>Metodické vysvětlivky</w:t>
      </w:r>
    </w:p>
    <w:p w14:paraId="7343F148" w14:textId="77777777" w:rsidR="00ED5529" w:rsidRPr="00ED5529" w:rsidRDefault="00ED5529" w:rsidP="00ED5529">
      <w:pPr>
        <w:jc w:val="both"/>
        <w:rPr>
          <w:rFonts w:ascii="Arial" w:hAnsi="Arial" w:cs="Arial"/>
          <w:sz w:val="18"/>
          <w:szCs w:val="18"/>
        </w:rPr>
      </w:pPr>
    </w:p>
    <w:p w14:paraId="155A2A28" w14:textId="645536B0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>Údaje uvedené</w:t>
      </w:r>
      <w:r w:rsidR="00A43C7E" w:rsidRPr="000D5505">
        <w:rPr>
          <w:rFonts w:ascii="Arial" w:hAnsi="Arial" w:cs="Arial"/>
          <w:sz w:val="18"/>
          <w:szCs w:val="18"/>
        </w:rPr>
        <w:t xml:space="preserve"> v </w:t>
      </w:r>
      <w:r w:rsidRPr="000D5505">
        <w:rPr>
          <w:rFonts w:ascii="Arial" w:hAnsi="Arial" w:cs="Arial"/>
          <w:sz w:val="18"/>
          <w:szCs w:val="18"/>
        </w:rPr>
        <w:t xml:space="preserve">tabulkách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</w:t>
      </w:r>
      <w:r w:rsidRPr="000D5505">
        <w:rPr>
          <w:rFonts w:ascii="Arial" w:hAnsi="Arial" w:cs="Arial"/>
          <w:sz w:val="18"/>
          <w:szCs w:val="18"/>
        </w:rPr>
        <w:t xml:space="preserve"> až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-12</w:t>
      </w:r>
      <w:r w:rsidRPr="000D5505">
        <w:rPr>
          <w:rFonts w:ascii="Arial" w:hAnsi="Arial" w:cs="Arial"/>
          <w:sz w:val="18"/>
          <w:szCs w:val="18"/>
        </w:rPr>
        <w:t xml:space="preserve"> byly převzaty z Ministerstva financí </w:t>
      </w:r>
      <w:r w:rsidR="00A43C7E" w:rsidRPr="000D5505">
        <w:rPr>
          <w:rFonts w:ascii="Arial" w:hAnsi="Arial" w:cs="Arial"/>
          <w:sz w:val="18"/>
          <w:szCs w:val="18"/>
        </w:rPr>
        <w:t>a </w:t>
      </w:r>
      <w:r w:rsidRPr="000D5505">
        <w:rPr>
          <w:rFonts w:ascii="Arial" w:hAnsi="Arial" w:cs="Arial"/>
          <w:sz w:val="18"/>
          <w:szCs w:val="18"/>
        </w:rPr>
        <w:t>údaje</w:t>
      </w:r>
      <w:r w:rsidR="00A43C7E" w:rsidRPr="000D5505">
        <w:rPr>
          <w:rFonts w:ascii="Arial" w:hAnsi="Arial" w:cs="Arial"/>
          <w:sz w:val="18"/>
          <w:szCs w:val="18"/>
        </w:rPr>
        <w:t xml:space="preserve"> v </w:t>
      </w:r>
      <w:r w:rsidRPr="000D5505">
        <w:rPr>
          <w:rFonts w:ascii="Arial" w:hAnsi="Arial" w:cs="Arial"/>
          <w:sz w:val="18"/>
          <w:szCs w:val="18"/>
        </w:rPr>
        <w:t xml:space="preserve">tabulce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-13</w:t>
      </w:r>
      <w:r w:rsidRPr="000D5505">
        <w:rPr>
          <w:rFonts w:ascii="Arial" w:hAnsi="Arial" w:cs="Arial"/>
          <w:sz w:val="18"/>
          <w:szCs w:val="18"/>
        </w:rPr>
        <w:t xml:space="preserve"> z Ministerstva obrany.</w:t>
      </w:r>
    </w:p>
    <w:p w14:paraId="3F0FFD26" w14:textId="77777777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</w:p>
    <w:p w14:paraId="458D131B" w14:textId="77777777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</w:p>
    <w:p w14:paraId="5022C860" w14:textId="4FE4AE3B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color w:val="0071BC"/>
          <w:sz w:val="20"/>
          <w:szCs w:val="20"/>
        </w:rPr>
      </w:pP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Poznámky</w:t>
      </w:r>
      <w:r w:rsidR="00A43C7E" w:rsidRPr="000D5505">
        <w:rPr>
          <w:rFonts w:ascii="Arial" w:hAnsi="Arial" w:cs="Arial"/>
          <w:b/>
          <w:bCs/>
          <w:color w:val="0071BC"/>
          <w:sz w:val="20"/>
          <w:szCs w:val="20"/>
        </w:rPr>
        <w:t xml:space="preserve"> k 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tabulkám</w:t>
      </w:r>
    </w:p>
    <w:p w14:paraId="526A3571" w14:textId="77777777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</w:p>
    <w:p w14:paraId="4F910F49" w14:textId="36F4DE7C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0D5505">
        <w:rPr>
          <w:rFonts w:ascii="Arial" w:hAnsi="Arial" w:cs="Arial"/>
          <w:b/>
          <w:color w:val="0071BC"/>
          <w:sz w:val="20"/>
          <w:szCs w:val="20"/>
        </w:rPr>
        <w:t xml:space="preserve">Tab. 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6</w:t>
      </w:r>
      <w:r w:rsidRPr="000D5505">
        <w:rPr>
          <w:rFonts w:ascii="Arial" w:hAnsi="Arial" w:cs="Arial"/>
          <w:b/>
          <w:color w:val="0071BC"/>
          <w:sz w:val="20"/>
          <w:szCs w:val="20"/>
        </w:rPr>
        <w:t xml:space="preserve">-1 až 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6</w:t>
      </w:r>
      <w:r w:rsidR="000D5505">
        <w:rPr>
          <w:rFonts w:ascii="Arial" w:hAnsi="Arial" w:cs="Arial"/>
          <w:b/>
          <w:color w:val="0071BC"/>
          <w:sz w:val="20"/>
          <w:szCs w:val="20"/>
        </w:rPr>
        <w:t xml:space="preserve">-4 </w:t>
      </w:r>
      <w:r w:rsidRPr="000D5505">
        <w:rPr>
          <w:rFonts w:ascii="Arial" w:hAnsi="Arial" w:cs="Arial"/>
          <w:b/>
          <w:color w:val="0071BC"/>
          <w:sz w:val="20"/>
          <w:szCs w:val="20"/>
        </w:rPr>
        <w:t xml:space="preserve"> 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Hospodaření veřejných rozpočtů</w:t>
      </w:r>
    </w:p>
    <w:p w14:paraId="0B043831" w14:textId="24DEA30F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 xml:space="preserve">V tabulkách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</w:t>
      </w:r>
      <w:r w:rsidRPr="000D5505">
        <w:rPr>
          <w:rFonts w:ascii="Arial" w:hAnsi="Arial" w:cs="Arial"/>
          <w:sz w:val="18"/>
          <w:szCs w:val="18"/>
        </w:rPr>
        <w:t xml:space="preserve"> až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-4</w:t>
      </w:r>
      <w:r w:rsidRPr="000D5505">
        <w:rPr>
          <w:rFonts w:ascii="Arial" w:hAnsi="Arial" w:cs="Arial"/>
          <w:sz w:val="18"/>
          <w:szCs w:val="18"/>
        </w:rPr>
        <w:t xml:space="preserve"> jsou uvedeny konsolidované výsledky hospodaření</w:t>
      </w:r>
      <w:r w:rsidR="00E321BC" w:rsidRPr="000D5505">
        <w:rPr>
          <w:rFonts w:ascii="Arial" w:hAnsi="Arial" w:cs="Arial"/>
          <w:sz w:val="18"/>
          <w:szCs w:val="18"/>
        </w:rPr>
        <w:t xml:space="preserve"> </w:t>
      </w:r>
      <w:r w:rsidRPr="000D5505">
        <w:rPr>
          <w:rFonts w:ascii="Arial" w:hAnsi="Arial" w:cs="Arial"/>
          <w:sz w:val="18"/>
          <w:szCs w:val="18"/>
        </w:rPr>
        <w:t xml:space="preserve">veřejných rozpočtů, tj. </w:t>
      </w:r>
      <w:r w:rsidRPr="000D5505">
        <w:rPr>
          <w:rFonts w:ascii="Arial" w:hAnsi="Arial" w:cs="Arial"/>
          <w:b/>
          <w:bCs/>
          <w:sz w:val="18"/>
          <w:szCs w:val="18"/>
        </w:rPr>
        <w:t>státního rozpočtu</w:t>
      </w:r>
      <w:r w:rsidRPr="000D5505">
        <w:rPr>
          <w:rFonts w:ascii="Arial" w:hAnsi="Arial" w:cs="Arial"/>
          <w:sz w:val="18"/>
          <w:szCs w:val="18"/>
        </w:rPr>
        <w:t xml:space="preserve"> (vč</w:t>
      </w:r>
      <w:r w:rsidR="00C07583" w:rsidRPr="000D5505">
        <w:rPr>
          <w:rFonts w:ascii="Arial" w:hAnsi="Arial" w:cs="Arial"/>
          <w:sz w:val="18"/>
          <w:szCs w:val="18"/>
        </w:rPr>
        <w:t>etně</w:t>
      </w:r>
      <w:r w:rsidRPr="000D5505">
        <w:rPr>
          <w:rFonts w:ascii="Arial" w:hAnsi="Arial" w:cs="Arial"/>
          <w:sz w:val="18"/>
          <w:szCs w:val="18"/>
        </w:rPr>
        <w:t> operací na účtech Národního fondu, který spravuje prostředky EU</w:t>
      </w:r>
      <w:r w:rsidR="00D90BD0" w:rsidRPr="000D5505">
        <w:rPr>
          <w:rFonts w:ascii="Arial" w:hAnsi="Arial" w:cs="Arial"/>
          <w:sz w:val="18"/>
          <w:szCs w:val="18"/>
        </w:rPr>
        <w:t>,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sz w:val="18"/>
          <w:szCs w:val="18"/>
        </w:rPr>
        <w:t xml:space="preserve">zdrojů z privatizace), </w:t>
      </w:r>
      <w:r w:rsidRPr="000D5505">
        <w:rPr>
          <w:rFonts w:ascii="Arial" w:hAnsi="Arial" w:cs="Arial"/>
          <w:b/>
          <w:bCs/>
          <w:sz w:val="18"/>
          <w:szCs w:val="18"/>
        </w:rPr>
        <w:t xml:space="preserve">mimorozpočtových fondů: </w:t>
      </w:r>
      <w:r w:rsidRPr="000D5505">
        <w:rPr>
          <w:rFonts w:ascii="Arial" w:hAnsi="Arial" w:cs="Arial"/>
          <w:iCs/>
          <w:sz w:val="18"/>
          <w:szCs w:val="18"/>
        </w:rPr>
        <w:t>tj. státních fondů</w:t>
      </w:r>
      <w:r w:rsidRPr="000D5505">
        <w:rPr>
          <w:rFonts w:ascii="Arial" w:hAnsi="Arial" w:cs="Arial"/>
          <w:sz w:val="18"/>
          <w:szCs w:val="18"/>
        </w:rPr>
        <w:t xml:space="preserve"> (Státní zemědělský intervenční fond, Státní fond životního prostředí, Státní fond kultury, Státní fond kinematografie</w:t>
      </w:r>
      <w:r w:rsidR="00DB3B07" w:rsidRPr="000D5505">
        <w:rPr>
          <w:rFonts w:ascii="Arial" w:hAnsi="Arial" w:cs="Arial"/>
          <w:sz w:val="18"/>
          <w:szCs w:val="18"/>
        </w:rPr>
        <w:t xml:space="preserve"> </w:t>
      </w:r>
      <w:r w:rsidR="000E31AC" w:rsidRPr="000D5505">
        <w:rPr>
          <w:rFonts w:ascii="Arial" w:hAnsi="Arial" w:cs="Arial"/>
          <w:sz w:val="18"/>
          <w:szCs w:val="18"/>
        </w:rPr>
        <w:t>(</w:t>
      </w:r>
      <w:r w:rsidR="00C26446" w:rsidRPr="000D5505">
        <w:rPr>
          <w:rFonts w:ascii="Arial" w:hAnsi="Arial" w:cs="Arial"/>
          <w:sz w:val="18"/>
          <w:szCs w:val="18"/>
        </w:rPr>
        <w:t>do 31.</w:t>
      </w:r>
      <w:r w:rsidR="005A4EF5" w:rsidRPr="000D5505">
        <w:rPr>
          <w:rFonts w:ascii="Arial" w:hAnsi="Arial" w:cs="Arial"/>
          <w:sz w:val="18"/>
          <w:szCs w:val="18"/>
        </w:rPr>
        <w:t> </w:t>
      </w:r>
      <w:r w:rsidR="00C26446" w:rsidRPr="000D5505">
        <w:rPr>
          <w:rFonts w:ascii="Arial" w:hAnsi="Arial" w:cs="Arial"/>
          <w:sz w:val="18"/>
          <w:szCs w:val="18"/>
        </w:rPr>
        <w:t>prosince 2012</w:t>
      </w:r>
      <w:r w:rsidR="00894483" w:rsidRPr="000D5505">
        <w:rPr>
          <w:rFonts w:ascii="Arial" w:hAnsi="Arial" w:cs="Arial"/>
          <w:sz w:val="18"/>
          <w:szCs w:val="18"/>
        </w:rPr>
        <w:t xml:space="preserve"> Státní fond</w:t>
      </w:r>
      <w:r w:rsidR="00C26446" w:rsidRPr="000D5505">
        <w:rPr>
          <w:rFonts w:ascii="Arial" w:hAnsi="Arial" w:cs="Arial"/>
          <w:sz w:val="18"/>
          <w:szCs w:val="18"/>
        </w:rPr>
        <w:t xml:space="preserve"> pro podporu a</w:t>
      </w:r>
      <w:r w:rsidR="005A4EF5" w:rsidRPr="000D5505">
        <w:rPr>
          <w:rFonts w:ascii="Arial" w:hAnsi="Arial" w:cs="Arial"/>
          <w:sz w:val="18"/>
          <w:szCs w:val="18"/>
        </w:rPr>
        <w:t> </w:t>
      </w:r>
      <w:r w:rsidR="00C26446" w:rsidRPr="000D5505">
        <w:rPr>
          <w:rFonts w:ascii="Arial" w:hAnsi="Arial" w:cs="Arial"/>
          <w:sz w:val="18"/>
          <w:szCs w:val="18"/>
        </w:rPr>
        <w:t>rozvoj české</w:t>
      </w:r>
      <w:r w:rsidR="00894483" w:rsidRPr="000D5505">
        <w:rPr>
          <w:rFonts w:ascii="Arial" w:hAnsi="Arial" w:cs="Arial"/>
          <w:sz w:val="18"/>
          <w:szCs w:val="18"/>
        </w:rPr>
        <w:t xml:space="preserve"> kinematografie</w:t>
      </w:r>
      <w:r w:rsidR="000E31AC" w:rsidRPr="000D5505">
        <w:rPr>
          <w:rFonts w:ascii="Arial" w:hAnsi="Arial" w:cs="Arial"/>
          <w:sz w:val="18"/>
          <w:szCs w:val="18"/>
        </w:rPr>
        <w:t>)</w:t>
      </w:r>
      <w:r w:rsidR="00894483" w:rsidRPr="000D5505">
        <w:rPr>
          <w:rFonts w:ascii="Arial" w:hAnsi="Arial" w:cs="Arial"/>
          <w:sz w:val="18"/>
          <w:szCs w:val="18"/>
        </w:rPr>
        <w:t>,</w:t>
      </w:r>
      <w:r w:rsidRPr="000D5505">
        <w:rPr>
          <w:rFonts w:ascii="Arial" w:hAnsi="Arial" w:cs="Arial"/>
          <w:sz w:val="18"/>
          <w:szCs w:val="18"/>
        </w:rPr>
        <w:t xml:space="preserve"> </w:t>
      </w:r>
      <w:r w:rsidR="003C772B" w:rsidRPr="000D5505">
        <w:rPr>
          <w:rFonts w:ascii="Arial" w:hAnsi="Arial" w:cs="Arial"/>
          <w:sz w:val="18"/>
          <w:szCs w:val="18"/>
        </w:rPr>
        <w:t xml:space="preserve">Státní fond podpory investic </w:t>
      </w:r>
      <w:r w:rsidR="009814B3" w:rsidRPr="000D5505">
        <w:rPr>
          <w:rFonts w:ascii="Arial" w:hAnsi="Arial" w:cs="Arial"/>
          <w:sz w:val="18"/>
          <w:szCs w:val="18"/>
        </w:rPr>
        <w:t>(do 31.</w:t>
      </w:r>
      <w:r w:rsidR="00DF2985" w:rsidRPr="000D5505">
        <w:rPr>
          <w:rFonts w:ascii="Arial" w:hAnsi="Arial" w:cs="Arial"/>
          <w:sz w:val="18"/>
          <w:szCs w:val="18"/>
        </w:rPr>
        <w:t> </w:t>
      </w:r>
      <w:r w:rsidR="00E1042E" w:rsidRPr="000D5505">
        <w:rPr>
          <w:rFonts w:ascii="Arial" w:hAnsi="Arial" w:cs="Arial"/>
          <w:sz w:val="18"/>
          <w:szCs w:val="18"/>
        </w:rPr>
        <w:t>května</w:t>
      </w:r>
      <w:r w:rsidR="009814B3" w:rsidRPr="000D5505">
        <w:rPr>
          <w:rFonts w:ascii="Arial" w:hAnsi="Arial" w:cs="Arial"/>
          <w:sz w:val="18"/>
          <w:szCs w:val="18"/>
        </w:rPr>
        <w:t xml:space="preserve"> 2020 Státní fond rozvoje bydlení)</w:t>
      </w:r>
      <w:r w:rsidR="00426AE2" w:rsidRPr="000D5505">
        <w:rPr>
          <w:rFonts w:ascii="Arial" w:hAnsi="Arial" w:cs="Arial"/>
          <w:sz w:val="18"/>
          <w:szCs w:val="18"/>
        </w:rPr>
        <w:t xml:space="preserve"> </w:t>
      </w:r>
      <w:r w:rsidR="005A4EF5" w:rsidRPr="000D5505">
        <w:rPr>
          <w:rFonts w:ascii="Arial" w:hAnsi="Arial" w:cs="Arial"/>
          <w:sz w:val="18"/>
          <w:szCs w:val="18"/>
        </w:rPr>
        <w:t>a </w:t>
      </w:r>
      <w:r w:rsidRPr="000D5505">
        <w:rPr>
          <w:rFonts w:ascii="Arial" w:hAnsi="Arial" w:cs="Arial"/>
          <w:sz w:val="18"/>
          <w:szCs w:val="18"/>
        </w:rPr>
        <w:t>Státní fond dopravní infrastruktury</w:t>
      </w:r>
      <w:r w:rsidR="00B15F53" w:rsidRPr="000D5505">
        <w:rPr>
          <w:rFonts w:ascii="Arial" w:hAnsi="Arial" w:cs="Arial"/>
          <w:sz w:val="18"/>
          <w:szCs w:val="18"/>
        </w:rPr>
        <w:t xml:space="preserve">) </w:t>
      </w:r>
      <w:r w:rsidR="005A4EF5" w:rsidRPr="000D5505">
        <w:rPr>
          <w:rFonts w:ascii="Arial" w:hAnsi="Arial" w:cs="Arial"/>
          <w:sz w:val="18"/>
          <w:szCs w:val="18"/>
        </w:rPr>
        <w:t>a </w:t>
      </w:r>
      <w:r w:rsidRPr="000D5505">
        <w:rPr>
          <w:rFonts w:ascii="Arial" w:hAnsi="Arial" w:cs="Arial"/>
          <w:iCs/>
          <w:sz w:val="18"/>
          <w:szCs w:val="18"/>
        </w:rPr>
        <w:t>Pozemkového fondu</w:t>
      </w:r>
      <w:r w:rsidR="00A43C7E" w:rsidRPr="000D5505">
        <w:rPr>
          <w:rFonts w:ascii="Arial" w:hAnsi="Arial" w:cs="Arial"/>
          <w:sz w:val="18"/>
          <w:szCs w:val="18"/>
        </w:rPr>
        <w:t xml:space="preserve"> </w:t>
      </w:r>
      <w:r w:rsidR="000D6495" w:rsidRPr="000D5505">
        <w:rPr>
          <w:rFonts w:ascii="Arial" w:hAnsi="Arial" w:cs="Arial"/>
          <w:sz w:val="18"/>
          <w:szCs w:val="18"/>
        </w:rPr>
        <w:t>(zrušen k 31.</w:t>
      </w:r>
      <w:r w:rsidR="00002B97" w:rsidRPr="000D5505">
        <w:rPr>
          <w:rFonts w:ascii="Arial" w:hAnsi="Arial" w:cs="Arial"/>
          <w:sz w:val="18"/>
          <w:szCs w:val="18"/>
        </w:rPr>
        <w:t> p</w:t>
      </w:r>
      <w:r w:rsidR="000D6495" w:rsidRPr="000D5505">
        <w:rPr>
          <w:rFonts w:ascii="Arial" w:hAnsi="Arial" w:cs="Arial"/>
          <w:sz w:val="18"/>
          <w:szCs w:val="18"/>
        </w:rPr>
        <w:t>rosinci 2012</w:t>
      </w:r>
      <w:r w:rsidR="00747B09" w:rsidRPr="000D5505">
        <w:rPr>
          <w:rFonts w:ascii="Arial" w:hAnsi="Arial" w:cs="Arial"/>
          <w:sz w:val="18"/>
          <w:szCs w:val="18"/>
        </w:rPr>
        <w:t>;</w:t>
      </w:r>
      <w:r w:rsidR="00002B97" w:rsidRPr="000D5505">
        <w:rPr>
          <w:rFonts w:ascii="Arial" w:hAnsi="Arial" w:cs="Arial"/>
          <w:sz w:val="18"/>
          <w:szCs w:val="18"/>
        </w:rPr>
        <w:t xml:space="preserve"> jeho právním nástupcem je</w:t>
      </w:r>
      <w:r w:rsidR="00747B09" w:rsidRPr="000D5505">
        <w:rPr>
          <w:rFonts w:ascii="Arial" w:hAnsi="Arial" w:cs="Arial"/>
          <w:sz w:val="18"/>
          <w:szCs w:val="18"/>
        </w:rPr>
        <w:t xml:space="preserve"> k 1.</w:t>
      </w:r>
      <w:r w:rsidR="004B3364" w:rsidRPr="000D5505">
        <w:rPr>
          <w:rFonts w:ascii="Arial" w:hAnsi="Arial" w:cs="Arial"/>
          <w:sz w:val="18"/>
          <w:szCs w:val="18"/>
        </w:rPr>
        <w:t> </w:t>
      </w:r>
      <w:r w:rsidR="00747B09" w:rsidRPr="000D5505">
        <w:rPr>
          <w:rFonts w:ascii="Arial" w:hAnsi="Arial" w:cs="Arial"/>
          <w:sz w:val="18"/>
          <w:szCs w:val="18"/>
        </w:rPr>
        <w:t>lednu 2013</w:t>
      </w:r>
      <w:r w:rsidR="00DC6113" w:rsidRPr="000D5505">
        <w:rPr>
          <w:rFonts w:ascii="Arial" w:hAnsi="Arial" w:cs="Arial"/>
          <w:sz w:val="18"/>
          <w:szCs w:val="18"/>
        </w:rPr>
        <w:t xml:space="preserve"> Státní pozemkový </w:t>
      </w:r>
      <w:r w:rsidR="00002B97" w:rsidRPr="000D5505">
        <w:rPr>
          <w:rFonts w:ascii="Arial" w:hAnsi="Arial" w:cs="Arial"/>
          <w:sz w:val="18"/>
          <w:szCs w:val="18"/>
        </w:rPr>
        <w:t>úřad</w:t>
      </w:r>
      <w:r w:rsidR="00357EFD" w:rsidRPr="000D5505">
        <w:rPr>
          <w:rFonts w:ascii="Arial" w:hAnsi="Arial" w:cs="Arial"/>
          <w:sz w:val="18"/>
          <w:szCs w:val="18"/>
        </w:rPr>
        <w:t>)</w:t>
      </w:r>
      <w:r w:rsidRPr="000D5505">
        <w:rPr>
          <w:rFonts w:ascii="Arial" w:hAnsi="Arial" w:cs="Arial"/>
          <w:iCs/>
          <w:sz w:val="18"/>
          <w:szCs w:val="18"/>
        </w:rPr>
        <w:t>,</w:t>
      </w:r>
      <w:r w:rsidRPr="000D5505">
        <w:rPr>
          <w:rFonts w:ascii="Arial" w:hAnsi="Arial" w:cs="Arial"/>
          <w:sz w:val="18"/>
          <w:szCs w:val="18"/>
        </w:rPr>
        <w:t xml:space="preserve"> </w:t>
      </w:r>
      <w:r w:rsidRPr="000D5505">
        <w:rPr>
          <w:rFonts w:ascii="Arial" w:hAnsi="Arial" w:cs="Arial"/>
          <w:b/>
          <w:bCs/>
          <w:sz w:val="18"/>
          <w:szCs w:val="18"/>
        </w:rPr>
        <w:t>fondů sociálního zabezpečení</w:t>
      </w:r>
      <w:r w:rsidRPr="000D5505">
        <w:rPr>
          <w:rFonts w:ascii="Arial" w:hAnsi="Arial" w:cs="Arial"/>
          <w:sz w:val="18"/>
          <w:szCs w:val="18"/>
        </w:rPr>
        <w:t xml:space="preserve"> (veřejné zdravotní pojištění)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="001D39EE" w:rsidRPr="000D5505">
        <w:rPr>
          <w:rFonts w:ascii="Arial" w:hAnsi="Arial" w:cs="Arial"/>
          <w:b/>
          <w:bCs/>
          <w:sz w:val="18"/>
          <w:szCs w:val="18"/>
        </w:rPr>
        <w:t xml:space="preserve">místních </w:t>
      </w:r>
      <w:r w:rsidRPr="000D5505">
        <w:rPr>
          <w:rFonts w:ascii="Arial" w:hAnsi="Arial" w:cs="Arial"/>
          <w:b/>
          <w:bCs/>
          <w:sz w:val="18"/>
          <w:szCs w:val="18"/>
        </w:rPr>
        <w:t xml:space="preserve">rozpočtů </w:t>
      </w:r>
      <w:r w:rsidRPr="000D5505">
        <w:rPr>
          <w:rFonts w:ascii="Arial" w:hAnsi="Arial" w:cs="Arial"/>
          <w:sz w:val="18"/>
          <w:szCs w:val="18"/>
        </w:rPr>
        <w:t>(tj. krajů, obcí, dobrovolných svazků obcí</w:t>
      </w:r>
      <w:r w:rsidR="00A43C7E" w:rsidRPr="000D5505">
        <w:rPr>
          <w:rFonts w:ascii="Arial" w:hAnsi="Arial" w:cs="Arial"/>
          <w:sz w:val="18"/>
          <w:szCs w:val="18"/>
        </w:rPr>
        <w:t xml:space="preserve"> a</w:t>
      </w:r>
      <w:r w:rsidR="00C22151">
        <w:rPr>
          <w:rFonts w:ascii="Arial" w:hAnsi="Arial" w:cs="Arial"/>
          <w:sz w:val="18"/>
          <w:szCs w:val="18"/>
        </w:rPr>
        <w:t xml:space="preserve"> do roku 2021</w:t>
      </w:r>
      <w:r w:rsidR="00A43C7E" w:rsidRPr="000D5505">
        <w:rPr>
          <w:rFonts w:ascii="Arial" w:hAnsi="Arial" w:cs="Arial"/>
          <w:sz w:val="18"/>
          <w:szCs w:val="18"/>
        </w:rPr>
        <w:t> </w:t>
      </w:r>
      <w:r w:rsidRPr="000D5505">
        <w:rPr>
          <w:rFonts w:ascii="Arial" w:hAnsi="Arial" w:cs="Arial"/>
          <w:sz w:val="18"/>
          <w:szCs w:val="18"/>
        </w:rPr>
        <w:t>Regionálních rad regionů soudržnosti).</w:t>
      </w:r>
    </w:p>
    <w:p w14:paraId="3BEC6D05" w14:textId="77777777" w:rsidR="006E3D63" w:rsidRPr="000D5505" w:rsidRDefault="006E3D63" w:rsidP="000D5505">
      <w:pPr>
        <w:pStyle w:val="Zkladntext"/>
        <w:tabs>
          <w:tab w:val="left" w:pos="10320"/>
          <w:tab w:val="left" w:pos="14400"/>
          <w:tab w:val="left" w:pos="14520"/>
        </w:tabs>
        <w:spacing w:before="120"/>
        <w:rPr>
          <w:sz w:val="18"/>
          <w:szCs w:val="18"/>
        </w:rPr>
      </w:pPr>
      <w:r w:rsidRPr="000D5505">
        <w:rPr>
          <w:sz w:val="18"/>
          <w:szCs w:val="18"/>
        </w:rPr>
        <w:t>Konsolidace výsledků hospodaření veřejných rozpočtů je postup, při němž dochází k vyloučení vzájemných přerozdělovacích operací mezi složkami vlády tak, aby byla získána nezkreslená informace</w:t>
      </w:r>
      <w:r w:rsidR="00A43C7E" w:rsidRPr="000D5505">
        <w:rPr>
          <w:sz w:val="18"/>
          <w:szCs w:val="18"/>
        </w:rPr>
        <w:t xml:space="preserve"> o </w:t>
      </w:r>
      <w:r w:rsidRPr="000D5505">
        <w:rPr>
          <w:sz w:val="18"/>
          <w:szCs w:val="18"/>
        </w:rPr>
        <w:t xml:space="preserve">celkových objemech všech vládních transakcí provedených pouze vůči zbytku ekonomiky. </w:t>
      </w:r>
    </w:p>
    <w:p w14:paraId="781F1BA6" w14:textId="7193150F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>Zdrojová data pro zpracování jsou čerpána z účetních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sz w:val="18"/>
          <w:szCs w:val="18"/>
        </w:rPr>
        <w:t>finančních výkazů jednotlivých složek</w:t>
      </w:r>
      <w:r w:rsidR="00E321BC" w:rsidRPr="000D5505">
        <w:rPr>
          <w:rFonts w:ascii="Arial" w:hAnsi="Arial" w:cs="Arial"/>
          <w:sz w:val="18"/>
          <w:szCs w:val="18"/>
        </w:rPr>
        <w:t xml:space="preserve"> </w:t>
      </w:r>
      <w:r w:rsidRPr="000D5505">
        <w:rPr>
          <w:rFonts w:ascii="Arial" w:hAnsi="Arial" w:cs="Arial"/>
          <w:sz w:val="18"/>
          <w:szCs w:val="18"/>
        </w:rPr>
        <w:t>veřejných rozpočtů, údajů státního závěrečného účtu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sz w:val="18"/>
          <w:szCs w:val="18"/>
        </w:rPr>
        <w:t>výročních zpráv mimorozpočtových fondů. Údaje jsou kompilovány</w:t>
      </w:r>
      <w:r w:rsidR="00A43C7E" w:rsidRPr="000D5505">
        <w:rPr>
          <w:rFonts w:ascii="Arial" w:hAnsi="Arial" w:cs="Arial"/>
          <w:sz w:val="18"/>
          <w:szCs w:val="18"/>
        </w:rPr>
        <w:t xml:space="preserve"> </w:t>
      </w:r>
      <w:r w:rsidR="007627A7" w:rsidRPr="000D5505">
        <w:rPr>
          <w:rFonts w:ascii="Arial" w:hAnsi="Arial" w:cs="Arial"/>
          <w:sz w:val="18"/>
          <w:szCs w:val="18"/>
        </w:rPr>
        <w:t>podle metodiky</w:t>
      </w:r>
      <w:r w:rsidRPr="000D5505">
        <w:rPr>
          <w:rFonts w:ascii="Arial" w:hAnsi="Arial" w:cs="Arial"/>
          <w:sz w:val="18"/>
          <w:szCs w:val="18"/>
        </w:rPr>
        <w:t xml:space="preserve"> Mezinárodního měnového fondu</w:t>
      </w:r>
      <w:r w:rsidR="00A43C7E" w:rsidRPr="000D5505">
        <w:rPr>
          <w:rFonts w:ascii="Arial" w:hAnsi="Arial" w:cs="Arial"/>
          <w:sz w:val="18"/>
          <w:szCs w:val="18"/>
        </w:rPr>
        <w:t xml:space="preserve"> v </w:t>
      </w:r>
      <w:r w:rsidRPr="000D5505">
        <w:rPr>
          <w:rFonts w:ascii="Arial" w:hAnsi="Arial" w:cs="Arial"/>
          <w:sz w:val="18"/>
          <w:szCs w:val="18"/>
        </w:rPr>
        <w:t>souladu s </w:t>
      </w:r>
      <w:proofErr w:type="spellStart"/>
      <w:r w:rsidRPr="000D5505">
        <w:rPr>
          <w:rFonts w:ascii="Arial" w:hAnsi="Arial" w:cs="Arial"/>
          <w:i/>
          <w:iCs/>
          <w:sz w:val="18"/>
          <w:szCs w:val="18"/>
        </w:rPr>
        <w:t>Government</w:t>
      </w:r>
      <w:proofErr w:type="spellEnd"/>
      <w:r w:rsidRPr="000D5505">
        <w:rPr>
          <w:rFonts w:ascii="Arial" w:hAnsi="Arial" w:cs="Arial"/>
          <w:i/>
          <w:iCs/>
          <w:sz w:val="18"/>
          <w:szCs w:val="18"/>
        </w:rPr>
        <w:t xml:space="preserve"> Finance </w:t>
      </w:r>
      <w:proofErr w:type="spellStart"/>
      <w:r w:rsidRPr="000D5505">
        <w:rPr>
          <w:rFonts w:ascii="Arial" w:hAnsi="Arial" w:cs="Arial"/>
          <w:i/>
          <w:iCs/>
          <w:sz w:val="18"/>
          <w:szCs w:val="18"/>
        </w:rPr>
        <w:t>Statistics</w:t>
      </w:r>
      <w:proofErr w:type="spellEnd"/>
      <w:r w:rsidR="00E321BC" w:rsidRPr="000D550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E321BC" w:rsidRPr="000D5505">
        <w:rPr>
          <w:rFonts w:ascii="Arial" w:hAnsi="Arial" w:cs="Arial"/>
          <w:i/>
          <w:iCs/>
          <w:sz w:val="18"/>
          <w:szCs w:val="18"/>
        </w:rPr>
        <w:t>Manual</w:t>
      </w:r>
      <w:proofErr w:type="spellEnd"/>
      <w:r w:rsidR="00A52A00" w:rsidRPr="000D5505">
        <w:rPr>
          <w:rFonts w:ascii="Arial" w:hAnsi="Arial" w:cs="Arial"/>
          <w:i/>
          <w:iCs/>
          <w:sz w:val="18"/>
          <w:szCs w:val="18"/>
        </w:rPr>
        <w:t> </w:t>
      </w:r>
      <w:r w:rsidR="00E321BC" w:rsidRPr="000D5505">
        <w:rPr>
          <w:rFonts w:ascii="Arial" w:hAnsi="Arial" w:cs="Arial"/>
          <w:i/>
          <w:iCs/>
          <w:sz w:val="18"/>
          <w:szCs w:val="18"/>
        </w:rPr>
        <w:t>20</w:t>
      </w:r>
      <w:r w:rsidR="00C96D4D" w:rsidRPr="000D5505">
        <w:rPr>
          <w:rFonts w:ascii="Arial" w:hAnsi="Arial" w:cs="Arial"/>
          <w:i/>
          <w:iCs/>
          <w:sz w:val="18"/>
          <w:szCs w:val="18"/>
        </w:rPr>
        <w:t>14</w:t>
      </w:r>
      <w:r w:rsidR="000B3382" w:rsidRPr="000D5505">
        <w:rPr>
          <w:rFonts w:ascii="Arial" w:hAnsi="Arial" w:cs="Arial"/>
          <w:i/>
          <w:iCs/>
          <w:sz w:val="18"/>
          <w:szCs w:val="18"/>
        </w:rPr>
        <w:t> </w:t>
      </w:r>
      <w:r w:rsidR="00713AAC" w:rsidRPr="000D5505">
        <w:rPr>
          <w:rFonts w:ascii="Arial" w:hAnsi="Arial" w:cs="Arial"/>
          <w:sz w:val="18"/>
          <w:szCs w:val="18"/>
        </w:rPr>
        <w:t>(GFS</w:t>
      </w:r>
      <w:r w:rsidR="00A52A00" w:rsidRPr="000D5505">
        <w:rPr>
          <w:rFonts w:ascii="Arial" w:hAnsi="Arial" w:cs="Arial"/>
          <w:sz w:val="18"/>
          <w:szCs w:val="18"/>
        </w:rPr>
        <w:t> </w:t>
      </w:r>
      <w:r w:rsidR="00713AAC" w:rsidRPr="000D5505">
        <w:rPr>
          <w:rFonts w:ascii="Arial" w:hAnsi="Arial" w:cs="Arial"/>
          <w:sz w:val="18"/>
          <w:szCs w:val="18"/>
        </w:rPr>
        <w:t>20</w:t>
      </w:r>
      <w:r w:rsidR="00C96D4D" w:rsidRPr="000D5505">
        <w:rPr>
          <w:rFonts w:ascii="Arial" w:hAnsi="Arial" w:cs="Arial"/>
          <w:sz w:val="18"/>
          <w:szCs w:val="18"/>
        </w:rPr>
        <w:t>14</w:t>
      </w:r>
      <w:r w:rsidR="00713AAC" w:rsidRPr="000D5505">
        <w:rPr>
          <w:rFonts w:ascii="Arial" w:hAnsi="Arial" w:cs="Arial"/>
          <w:sz w:val="18"/>
          <w:szCs w:val="18"/>
        </w:rPr>
        <w:t>)</w:t>
      </w:r>
      <w:r w:rsidRPr="000D5505">
        <w:rPr>
          <w:rFonts w:ascii="Arial" w:hAnsi="Arial" w:cs="Arial"/>
          <w:sz w:val="18"/>
          <w:szCs w:val="18"/>
        </w:rPr>
        <w:t>. Pokrytí veřejných rozpočtů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sz w:val="18"/>
          <w:szCs w:val="18"/>
        </w:rPr>
        <w:t>použitá metodika zpracování jsou zdrojem rozdílů ve struktuře, popř. objemech příjmů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sz w:val="18"/>
          <w:szCs w:val="18"/>
        </w:rPr>
        <w:t>výdajů</w:t>
      </w:r>
      <w:r w:rsidR="00A43C7E" w:rsidRPr="000D5505">
        <w:rPr>
          <w:rFonts w:ascii="Arial" w:hAnsi="Arial" w:cs="Arial"/>
          <w:sz w:val="18"/>
          <w:szCs w:val="18"/>
        </w:rPr>
        <w:t xml:space="preserve"> v </w:t>
      </w:r>
      <w:r w:rsidRPr="000D5505">
        <w:rPr>
          <w:rFonts w:ascii="Arial" w:hAnsi="Arial" w:cs="Arial"/>
          <w:sz w:val="18"/>
          <w:szCs w:val="18"/>
        </w:rPr>
        <w:t xml:space="preserve">tabulkách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</w:t>
      </w:r>
      <w:r w:rsidRPr="000D5505">
        <w:rPr>
          <w:rFonts w:ascii="Arial" w:hAnsi="Arial" w:cs="Arial"/>
          <w:sz w:val="18"/>
          <w:szCs w:val="18"/>
        </w:rPr>
        <w:t xml:space="preserve"> až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-4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-5</w:t>
      </w:r>
      <w:r w:rsidRPr="000D5505">
        <w:rPr>
          <w:rFonts w:ascii="Arial" w:hAnsi="Arial" w:cs="Arial"/>
          <w:sz w:val="18"/>
          <w:szCs w:val="18"/>
        </w:rPr>
        <w:t xml:space="preserve"> až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-12</w:t>
      </w:r>
      <w:r w:rsidRPr="000D5505">
        <w:rPr>
          <w:rFonts w:ascii="Arial" w:hAnsi="Arial" w:cs="Arial"/>
          <w:sz w:val="18"/>
          <w:szCs w:val="18"/>
        </w:rPr>
        <w:t xml:space="preserve"> (</w:t>
      </w:r>
      <w:r w:rsidR="006602F6" w:rsidRPr="000D5505">
        <w:rPr>
          <w:rFonts w:ascii="Arial" w:hAnsi="Arial" w:cs="Arial"/>
          <w:sz w:val="18"/>
          <w:szCs w:val="18"/>
        </w:rPr>
        <w:t>M</w:t>
      </w:r>
      <w:r w:rsidRPr="000D5505">
        <w:rPr>
          <w:rFonts w:ascii="Arial" w:hAnsi="Arial" w:cs="Arial"/>
          <w:sz w:val="18"/>
          <w:szCs w:val="18"/>
        </w:rPr>
        <w:t>etodika GFS</w:t>
      </w:r>
      <w:r w:rsidR="00A52A00" w:rsidRPr="000D5505">
        <w:rPr>
          <w:rFonts w:ascii="Arial" w:hAnsi="Arial" w:cs="Arial"/>
          <w:sz w:val="18"/>
          <w:szCs w:val="18"/>
        </w:rPr>
        <w:t> </w:t>
      </w:r>
      <w:r w:rsidR="00A905C9" w:rsidRPr="000D5505">
        <w:rPr>
          <w:rFonts w:ascii="Arial" w:hAnsi="Arial" w:cs="Arial"/>
          <w:sz w:val="18"/>
          <w:szCs w:val="18"/>
        </w:rPr>
        <w:t>20</w:t>
      </w:r>
      <w:r w:rsidR="00C96D4D" w:rsidRPr="000D5505">
        <w:rPr>
          <w:rFonts w:ascii="Arial" w:hAnsi="Arial" w:cs="Arial"/>
          <w:sz w:val="18"/>
          <w:szCs w:val="18"/>
        </w:rPr>
        <w:t>14</w:t>
      </w:r>
      <w:r w:rsidRPr="000D5505">
        <w:rPr>
          <w:rFonts w:ascii="Arial" w:hAnsi="Arial" w:cs="Arial"/>
          <w:sz w:val="18"/>
          <w:szCs w:val="18"/>
        </w:rPr>
        <w:t xml:space="preserve"> vylučuje </w:t>
      </w:r>
      <w:r w:rsidR="006602F6" w:rsidRPr="000D5505">
        <w:rPr>
          <w:rFonts w:ascii="Arial" w:hAnsi="Arial" w:cs="Arial"/>
          <w:sz w:val="18"/>
          <w:szCs w:val="18"/>
        </w:rPr>
        <w:t>z příjmů splátky půjček a z výdajů poskytnuté půjčky, které jsou klasifikovány jako financování. D</w:t>
      </w:r>
      <w:r w:rsidR="00383C22" w:rsidRPr="000D5505">
        <w:rPr>
          <w:rFonts w:ascii="Arial" w:hAnsi="Arial" w:cs="Arial"/>
          <w:sz w:val="18"/>
          <w:szCs w:val="18"/>
        </w:rPr>
        <w:t xml:space="preserve">ále klasifikuje </w:t>
      </w:r>
      <w:r w:rsidR="00A522C1" w:rsidRPr="000D5505">
        <w:rPr>
          <w:rFonts w:ascii="Arial" w:hAnsi="Arial" w:cs="Arial"/>
          <w:sz w:val="18"/>
          <w:szCs w:val="18"/>
        </w:rPr>
        <w:t>poplatky za ukládání odpadů</w:t>
      </w:r>
      <w:r w:rsidR="00D969E3" w:rsidRPr="000D5505">
        <w:rPr>
          <w:rFonts w:ascii="Arial" w:hAnsi="Arial" w:cs="Arial"/>
          <w:sz w:val="18"/>
          <w:szCs w:val="18"/>
        </w:rPr>
        <w:t xml:space="preserve"> </w:t>
      </w:r>
      <w:r w:rsidR="00383C22" w:rsidRPr="000D5505">
        <w:rPr>
          <w:rFonts w:ascii="Arial" w:hAnsi="Arial" w:cs="Arial"/>
          <w:sz w:val="18"/>
          <w:szCs w:val="18"/>
        </w:rPr>
        <w:t>jako ne</w:t>
      </w:r>
      <w:r w:rsidRPr="000D5505">
        <w:rPr>
          <w:rFonts w:ascii="Arial" w:hAnsi="Arial" w:cs="Arial"/>
          <w:sz w:val="18"/>
          <w:szCs w:val="18"/>
        </w:rPr>
        <w:t>daňov</w:t>
      </w:r>
      <w:r w:rsidR="00383C22" w:rsidRPr="000D5505">
        <w:rPr>
          <w:rFonts w:ascii="Arial" w:hAnsi="Arial" w:cs="Arial"/>
          <w:sz w:val="18"/>
          <w:szCs w:val="18"/>
        </w:rPr>
        <w:t>é</w:t>
      </w:r>
      <w:r w:rsidRPr="000D5505">
        <w:rPr>
          <w:rFonts w:ascii="Arial" w:hAnsi="Arial" w:cs="Arial"/>
          <w:sz w:val="18"/>
          <w:szCs w:val="18"/>
        </w:rPr>
        <w:t xml:space="preserve"> příjm</w:t>
      </w:r>
      <w:r w:rsidR="00383C22" w:rsidRPr="000D5505">
        <w:rPr>
          <w:rFonts w:ascii="Arial" w:hAnsi="Arial" w:cs="Arial"/>
          <w:sz w:val="18"/>
          <w:szCs w:val="18"/>
        </w:rPr>
        <w:t>y.</w:t>
      </w:r>
      <w:r w:rsidR="00B75BE4" w:rsidRPr="000D5505">
        <w:rPr>
          <w:rFonts w:ascii="Arial" w:hAnsi="Arial" w:cs="Arial"/>
          <w:sz w:val="18"/>
          <w:szCs w:val="18"/>
        </w:rPr>
        <w:t>)</w:t>
      </w:r>
    </w:p>
    <w:p w14:paraId="5C74B068" w14:textId="00F0C6E5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>Metodika GFS</w:t>
      </w:r>
      <w:r w:rsidR="00A52A00" w:rsidRPr="000D5505">
        <w:rPr>
          <w:rFonts w:ascii="Arial" w:hAnsi="Arial" w:cs="Arial"/>
          <w:sz w:val="18"/>
          <w:szCs w:val="18"/>
        </w:rPr>
        <w:t> </w:t>
      </w:r>
      <w:r w:rsidR="00A522C1" w:rsidRPr="000D5505">
        <w:rPr>
          <w:rFonts w:ascii="Arial" w:hAnsi="Arial" w:cs="Arial"/>
          <w:sz w:val="18"/>
          <w:szCs w:val="18"/>
        </w:rPr>
        <w:t>20</w:t>
      </w:r>
      <w:r w:rsidR="000B6E6F" w:rsidRPr="000D5505">
        <w:rPr>
          <w:rFonts w:ascii="Arial" w:hAnsi="Arial" w:cs="Arial"/>
          <w:sz w:val="18"/>
          <w:szCs w:val="18"/>
        </w:rPr>
        <w:t>14</w:t>
      </w:r>
      <w:r w:rsidR="00A522C1" w:rsidRPr="000D5505">
        <w:rPr>
          <w:rFonts w:ascii="Arial" w:hAnsi="Arial" w:cs="Arial"/>
          <w:sz w:val="18"/>
          <w:szCs w:val="18"/>
        </w:rPr>
        <w:t xml:space="preserve"> využívá akruální i</w:t>
      </w:r>
      <w:r w:rsidR="006107DE" w:rsidRPr="000D5505">
        <w:rPr>
          <w:rFonts w:ascii="Arial" w:hAnsi="Arial" w:cs="Arial"/>
          <w:sz w:val="18"/>
          <w:szCs w:val="18"/>
        </w:rPr>
        <w:t> </w:t>
      </w:r>
      <w:r w:rsidR="00A522C1" w:rsidRPr="000D5505">
        <w:rPr>
          <w:rFonts w:ascii="Arial" w:hAnsi="Arial" w:cs="Arial"/>
          <w:sz w:val="18"/>
          <w:szCs w:val="18"/>
        </w:rPr>
        <w:t>cash princip.</w:t>
      </w:r>
      <w:r w:rsidR="00A43C7E" w:rsidRPr="000D5505">
        <w:rPr>
          <w:rFonts w:ascii="Arial" w:hAnsi="Arial" w:cs="Arial"/>
          <w:sz w:val="18"/>
          <w:szCs w:val="18"/>
        </w:rPr>
        <w:t xml:space="preserve"> </w:t>
      </w:r>
      <w:r w:rsidR="0043180A" w:rsidRPr="000D5505">
        <w:rPr>
          <w:rFonts w:ascii="Arial" w:hAnsi="Arial" w:cs="Arial"/>
          <w:sz w:val="18"/>
          <w:szCs w:val="18"/>
        </w:rPr>
        <w:t>T</w:t>
      </w:r>
      <w:r w:rsidR="00A522C1" w:rsidRPr="000D5505">
        <w:rPr>
          <w:rFonts w:ascii="Arial" w:hAnsi="Arial" w:cs="Arial"/>
          <w:sz w:val="18"/>
          <w:szCs w:val="18"/>
        </w:rPr>
        <w:t xml:space="preserve">abulky </w:t>
      </w:r>
      <w:r w:rsidR="00A522C1" w:rsidRPr="000D5505">
        <w:rPr>
          <w:rFonts w:ascii="Arial" w:hAnsi="Arial" w:cs="Arial"/>
          <w:b/>
          <w:sz w:val="18"/>
          <w:szCs w:val="18"/>
        </w:rPr>
        <w:t>6-1</w:t>
      </w:r>
      <w:r w:rsidR="00A522C1" w:rsidRPr="000D5505">
        <w:rPr>
          <w:rFonts w:ascii="Arial" w:hAnsi="Arial" w:cs="Arial"/>
          <w:sz w:val="18"/>
          <w:szCs w:val="18"/>
        </w:rPr>
        <w:t xml:space="preserve"> až </w:t>
      </w:r>
      <w:r w:rsidR="00A522C1" w:rsidRPr="000D5505">
        <w:rPr>
          <w:rFonts w:ascii="Arial" w:hAnsi="Arial" w:cs="Arial"/>
          <w:b/>
          <w:sz w:val="18"/>
          <w:szCs w:val="18"/>
        </w:rPr>
        <w:t>6-</w:t>
      </w:r>
      <w:r w:rsidR="00D56915" w:rsidRPr="000D5505">
        <w:rPr>
          <w:rFonts w:ascii="Arial" w:hAnsi="Arial" w:cs="Arial"/>
          <w:b/>
          <w:sz w:val="18"/>
          <w:szCs w:val="18"/>
        </w:rPr>
        <w:t>3</w:t>
      </w:r>
      <w:r w:rsidR="00A522C1" w:rsidRPr="000D5505">
        <w:rPr>
          <w:rFonts w:ascii="Arial" w:hAnsi="Arial" w:cs="Arial"/>
          <w:sz w:val="18"/>
          <w:szCs w:val="18"/>
        </w:rPr>
        <w:t xml:space="preserve"> zachycují peněžní toky.</w:t>
      </w:r>
      <w:r w:rsidR="007A2FD7" w:rsidRPr="000D5505">
        <w:rPr>
          <w:rFonts w:ascii="Arial" w:hAnsi="Arial" w:cs="Arial"/>
          <w:sz w:val="18"/>
          <w:szCs w:val="18"/>
        </w:rPr>
        <w:t xml:space="preserve"> </w:t>
      </w:r>
      <w:r w:rsidR="008A5B0C" w:rsidRPr="000D5505">
        <w:rPr>
          <w:rFonts w:ascii="Arial" w:hAnsi="Arial" w:cs="Arial"/>
          <w:sz w:val="18"/>
          <w:szCs w:val="18"/>
        </w:rPr>
        <w:t>V</w:t>
      </w:r>
      <w:r w:rsidR="00355D28" w:rsidRPr="000D5505">
        <w:rPr>
          <w:rFonts w:ascii="Arial" w:hAnsi="Arial" w:cs="Arial"/>
          <w:sz w:val="18"/>
          <w:szCs w:val="18"/>
        </w:rPr>
        <w:t xml:space="preserve">ymezení institucí </w:t>
      </w:r>
      <w:r w:rsidR="004D10F1" w:rsidRPr="000D5505">
        <w:rPr>
          <w:rFonts w:ascii="Arial" w:hAnsi="Arial" w:cs="Arial"/>
          <w:sz w:val="18"/>
          <w:szCs w:val="18"/>
        </w:rPr>
        <w:t>pro tabulk</w:t>
      </w:r>
      <w:r w:rsidR="00535645" w:rsidRPr="000D5505">
        <w:rPr>
          <w:rFonts w:ascii="Arial" w:hAnsi="Arial" w:cs="Arial"/>
          <w:sz w:val="18"/>
          <w:szCs w:val="18"/>
        </w:rPr>
        <w:t>u</w:t>
      </w:r>
      <w:r w:rsidR="004D10F1" w:rsidRPr="000D5505">
        <w:rPr>
          <w:rFonts w:ascii="Arial" w:hAnsi="Arial" w:cs="Arial"/>
          <w:sz w:val="18"/>
          <w:szCs w:val="18"/>
        </w:rPr>
        <w:t xml:space="preserve"> hotovostních toků </w:t>
      </w:r>
      <w:r w:rsidR="00355D28" w:rsidRPr="000D5505">
        <w:rPr>
          <w:rFonts w:ascii="Arial" w:hAnsi="Arial" w:cs="Arial"/>
          <w:sz w:val="18"/>
          <w:szCs w:val="18"/>
        </w:rPr>
        <w:t>je v současné době užší, než jak je stanoveno plné pokrytí v GFS 20</w:t>
      </w:r>
      <w:r w:rsidR="000B6E6F" w:rsidRPr="000D5505">
        <w:rPr>
          <w:rFonts w:ascii="Arial" w:hAnsi="Arial" w:cs="Arial"/>
          <w:sz w:val="18"/>
          <w:szCs w:val="18"/>
        </w:rPr>
        <w:t>14</w:t>
      </w:r>
      <w:r w:rsidR="00355D28" w:rsidRPr="000D5505">
        <w:rPr>
          <w:rFonts w:ascii="Arial" w:hAnsi="Arial" w:cs="Arial"/>
          <w:sz w:val="18"/>
          <w:szCs w:val="18"/>
        </w:rPr>
        <w:t xml:space="preserve"> (shodné s ESA 2010). </w:t>
      </w:r>
      <w:r w:rsidRPr="000D5505">
        <w:rPr>
          <w:rFonts w:ascii="Arial" w:hAnsi="Arial" w:cs="Arial"/>
          <w:sz w:val="18"/>
          <w:szCs w:val="18"/>
        </w:rPr>
        <w:t>Dluh</w:t>
      </w:r>
      <w:r w:rsidR="00A43C7E" w:rsidRPr="000D5505">
        <w:rPr>
          <w:rFonts w:ascii="Arial" w:hAnsi="Arial" w:cs="Arial"/>
          <w:sz w:val="18"/>
          <w:szCs w:val="18"/>
        </w:rPr>
        <w:t xml:space="preserve"> v </w:t>
      </w:r>
      <w:r w:rsidR="00D56915" w:rsidRPr="000D5505">
        <w:rPr>
          <w:rFonts w:ascii="Arial" w:hAnsi="Arial" w:cs="Arial"/>
          <w:sz w:val="18"/>
          <w:szCs w:val="18"/>
        </w:rPr>
        <w:t xml:space="preserve">tabulce </w:t>
      </w:r>
      <w:r w:rsidR="00D56915" w:rsidRPr="000D5505">
        <w:rPr>
          <w:rFonts w:ascii="Arial" w:hAnsi="Arial" w:cs="Arial"/>
          <w:b/>
          <w:sz w:val="18"/>
          <w:szCs w:val="18"/>
        </w:rPr>
        <w:t>6-4</w:t>
      </w:r>
      <w:r w:rsidRPr="000D5505">
        <w:rPr>
          <w:rFonts w:ascii="Arial" w:hAnsi="Arial" w:cs="Arial"/>
          <w:sz w:val="18"/>
          <w:szCs w:val="18"/>
        </w:rPr>
        <w:t xml:space="preserve"> je uveden</w:t>
      </w:r>
      <w:r w:rsidR="00A43C7E" w:rsidRPr="000D5505">
        <w:rPr>
          <w:rFonts w:ascii="Arial" w:hAnsi="Arial" w:cs="Arial"/>
          <w:sz w:val="18"/>
          <w:szCs w:val="18"/>
        </w:rPr>
        <w:t xml:space="preserve"> v </w:t>
      </w:r>
      <w:r w:rsidRPr="000D5505">
        <w:rPr>
          <w:rFonts w:ascii="Arial" w:hAnsi="Arial" w:cs="Arial"/>
          <w:sz w:val="18"/>
          <w:szCs w:val="18"/>
        </w:rPr>
        <w:t>nominální hodnotě.</w:t>
      </w:r>
    </w:p>
    <w:p w14:paraId="03A05E6D" w14:textId="1941E08F" w:rsidR="002A2264" w:rsidRPr="000D5505" w:rsidRDefault="0094065C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>Vzhledem</w:t>
      </w:r>
      <w:r w:rsidR="00A43C7E" w:rsidRPr="000D5505">
        <w:rPr>
          <w:rFonts w:ascii="Arial" w:hAnsi="Arial" w:cs="Arial"/>
          <w:sz w:val="18"/>
          <w:szCs w:val="18"/>
        </w:rPr>
        <w:t xml:space="preserve"> k </w:t>
      </w:r>
      <w:r w:rsidRPr="000D5505">
        <w:rPr>
          <w:rFonts w:ascii="Arial" w:hAnsi="Arial" w:cs="Arial"/>
          <w:sz w:val="18"/>
          <w:szCs w:val="18"/>
        </w:rPr>
        <w:t xml:space="preserve">metodickým změnám </w:t>
      </w:r>
      <w:r w:rsidR="00015AFE" w:rsidRPr="000D5505">
        <w:rPr>
          <w:rFonts w:ascii="Arial" w:hAnsi="Arial" w:cs="Arial"/>
          <w:sz w:val="18"/>
          <w:szCs w:val="18"/>
        </w:rPr>
        <w:t xml:space="preserve">(implementace GFS 2014) </w:t>
      </w:r>
      <w:r w:rsidRPr="000D5505">
        <w:rPr>
          <w:rFonts w:ascii="Arial" w:hAnsi="Arial" w:cs="Arial"/>
          <w:sz w:val="18"/>
          <w:szCs w:val="18"/>
        </w:rPr>
        <w:t>od 1.</w:t>
      </w:r>
      <w:r w:rsidR="00997AA5" w:rsidRPr="000D5505">
        <w:rPr>
          <w:rFonts w:ascii="Arial" w:hAnsi="Arial" w:cs="Arial"/>
          <w:sz w:val="18"/>
          <w:szCs w:val="18"/>
        </w:rPr>
        <w:t> </w:t>
      </w:r>
      <w:r w:rsidR="000A481A" w:rsidRPr="000D5505">
        <w:rPr>
          <w:rFonts w:ascii="Arial" w:hAnsi="Arial" w:cs="Arial"/>
          <w:sz w:val="18"/>
          <w:szCs w:val="18"/>
        </w:rPr>
        <w:t>z</w:t>
      </w:r>
      <w:r w:rsidR="00874C7C" w:rsidRPr="000D5505">
        <w:rPr>
          <w:rFonts w:ascii="Arial" w:hAnsi="Arial" w:cs="Arial"/>
          <w:sz w:val="18"/>
          <w:szCs w:val="18"/>
        </w:rPr>
        <w:t>á</w:t>
      </w:r>
      <w:r w:rsidR="000A481A" w:rsidRPr="000D5505">
        <w:rPr>
          <w:rFonts w:ascii="Arial" w:hAnsi="Arial" w:cs="Arial"/>
          <w:sz w:val="18"/>
          <w:szCs w:val="18"/>
        </w:rPr>
        <w:t>ří </w:t>
      </w:r>
      <w:r w:rsidRPr="000D5505">
        <w:rPr>
          <w:rFonts w:ascii="Arial" w:hAnsi="Arial" w:cs="Arial"/>
          <w:sz w:val="18"/>
          <w:szCs w:val="18"/>
        </w:rPr>
        <w:t>201</w:t>
      </w:r>
      <w:r w:rsidR="000B6E6F" w:rsidRPr="000D5505">
        <w:rPr>
          <w:rFonts w:ascii="Arial" w:hAnsi="Arial" w:cs="Arial"/>
          <w:sz w:val="18"/>
          <w:szCs w:val="18"/>
        </w:rPr>
        <w:t xml:space="preserve">6 </w:t>
      </w:r>
      <w:r w:rsidR="005E70E5" w:rsidRPr="000D5505">
        <w:rPr>
          <w:rFonts w:ascii="Arial" w:hAnsi="Arial" w:cs="Arial"/>
          <w:sz w:val="18"/>
          <w:szCs w:val="18"/>
        </w:rPr>
        <w:t xml:space="preserve">nejsou </w:t>
      </w:r>
      <w:r w:rsidRPr="000D5505">
        <w:rPr>
          <w:rFonts w:ascii="Arial" w:hAnsi="Arial" w:cs="Arial"/>
          <w:sz w:val="18"/>
          <w:szCs w:val="18"/>
        </w:rPr>
        <w:t>údaje</w:t>
      </w:r>
      <w:r w:rsidR="00A43C7E" w:rsidRPr="000D5505">
        <w:rPr>
          <w:rFonts w:ascii="Arial" w:hAnsi="Arial" w:cs="Arial"/>
          <w:sz w:val="18"/>
          <w:szCs w:val="18"/>
        </w:rPr>
        <w:t xml:space="preserve"> v </w:t>
      </w:r>
      <w:r w:rsidRPr="000D5505">
        <w:rPr>
          <w:rFonts w:ascii="Arial" w:hAnsi="Arial" w:cs="Arial"/>
          <w:sz w:val="18"/>
          <w:szCs w:val="18"/>
        </w:rPr>
        <w:t xml:space="preserve">tabulkách </w:t>
      </w:r>
      <w:r w:rsidRPr="000D5505">
        <w:rPr>
          <w:rFonts w:ascii="Arial" w:hAnsi="Arial" w:cs="Arial"/>
          <w:b/>
          <w:sz w:val="18"/>
          <w:szCs w:val="18"/>
        </w:rPr>
        <w:t>6-1</w:t>
      </w:r>
      <w:r w:rsidRPr="000D5505">
        <w:rPr>
          <w:rFonts w:ascii="Arial" w:hAnsi="Arial" w:cs="Arial"/>
          <w:sz w:val="18"/>
          <w:szCs w:val="18"/>
        </w:rPr>
        <w:t xml:space="preserve"> až </w:t>
      </w:r>
      <w:r w:rsidRPr="000D5505">
        <w:rPr>
          <w:rFonts w:ascii="Arial" w:hAnsi="Arial" w:cs="Arial"/>
          <w:b/>
          <w:sz w:val="18"/>
          <w:szCs w:val="18"/>
        </w:rPr>
        <w:t>6-</w:t>
      </w:r>
      <w:r w:rsidR="00AA3CD9" w:rsidRPr="000D5505">
        <w:rPr>
          <w:rFonts w:ascii="Arial" w:hAnsi="Arial" w:cs="Arial"/>
          <w:b/>
          <w:sz w:val="18"/>
          <w:szCs w:val="18"/>
        </w:rPr>
        <w:t>4</w:t>
      </w:r>
      <w:r w:rsidR="00015AFE" w:rsidRPr="000D5505">
        <w:rPr>
          <w:rFonts w:ascii="Arial" w:hAnsi="Arial" w:cs="Arial"/>
          <w:sz w:val="18"/>
          <w:szCs w:val="18"/>
        </w:rPr>
        <w:t xml:space="preserve"> </w:t>
      </w:r>
      <w:r w:rsidRPr="000D5505">
        <w:rPr>
          <w:rFonts w:ascii="Arial" w:hAnsi="Arial" w:cs="Arial"/>
          <w:sz w:val="18"/>
          <w:szCs w:val="18"/>
        </w:rPr>
        <w:t>plně srovnatelné</w:t>
      </w:r>
      <w:r w:rsidR="00A43C7E" w:rsidRPr="000D5505">
        <w:rPr>
          <w:rFonts w:ascii="Arial" w:hAnsi="Arial" w:cs="Arial"/>
          <w:sz w:val="18"/>
          <w:szCs w:val="18"/>
        </w:rPr>
        <w:t xml:space="preserve"> s</w:t>
      </w:r>
      <w:r w:rsidR="00B63449" w:rsidRPr="000D5505">
        <w:rPr>
          <w:rFonts w:ascii="Arial" w:hAnsi="Arial" w:cs="Arial"/>
          <w:sz w:val="18"/>
          <w:szCs w:val="18"/>
        </w:rPr>
        <w:t> </w:t>
      </w:r>
      <w:r w:rsidR="005E70E5" w:rsidRPr="000D5505">
        <w:rPr>
          <w:rFonts w:ascii="Arial" w:hAnsi="Arial" w:cs="Arial"/>
          <w:sz w:val="18"/>
          <w:szCs w:val="18"/>
        </w:rPr>
        <w:t xml:space="preserve">údaji </w:t>
      </w:r>
      <w:r w:rsidRPr="000D5505">
        <w:rPr>
          <w:rFonts w:ascii="Arial" w:hAnsi="Arial" w:cs="Arial"/>
          <w:sz w:val="18"/>
          <w:szCs w:val="18"/>
        </w:rPr>
        <w:t>publikovanými</w:t>
      </w:r>
      <w:r w:rsidR="00A43C7E" w:rsidRPr="000D5505">
        <w:rPr>
          <w:rFonts w:ascii="Arial" w:hAnsi="Arial" w:cs="Arial"/>
          <w:sz w:val="18"/>
          <w:szCs w:val="18"/>
        </w:rPr>
        <w:t xml:space="preserve"> </w:t>
      </w:r>
      <w:r w:rsidR="005E70E5" w:rsidRPr="000D5505">
        <w:rPr>
          <w:rFonts w:ascii="Arial" w:hAnsi="Arial" w:cs="Arial"/>
          <w:sz w:val="18"/>
          <w:szCs w:val="18"/>
        </w:rPr>
        <w:t>ve statistických ročenkách předcházejících Statistické ročence České republiky 2017</w:t>
      </w:r>
      <w:r w:rsidRPr="000D5505">
        <w:rPr>
          <w:rFonts w:ascii="Arial" w:hAnsi="Arial" w:cs="Arial"/>
          <w:sz w:val="18"/>
          <w:szCs w:val="18"/>
        </w:rPr>
        <w:t>.</w:t>
      </w:r>
      <w:r w:rsidR="001B2FD6" w:rsidRPr="000D5505">
        <w:rPr>
          <w:rFonts w:ascii="Arial" w:hAnsi="Arial" w:cs="Arial"/>
          <w:sz w:val="18"/>
          <w:szCs w:val="18"/>
        </w:rPr>
        <w:t xml:space="preserve"> </w:t>
      </w:r>
    </w:p>
    <w:p w14:paraId="3A532A81" w14:textId="5B18A678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 xml:space="preserve">Tabulky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-2</w:t>
      </w:r>
      <w:r w:rsidRPr="000D5505">
        <w:rPr>
          <w:rFonts w:ascii="Arial" w:hAnsi="Arial" w:cs="Arial"/>
          <w:sz w:val="18"/>
          <w:szCs w:val="18"/>
        </w:rPr>
        <w:t xml:space="preserve"> obsahují druhové třídění příjmů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sz w:val="18"/>
          <w:szCs w:val="18"/>
        </w:rPr>
        <w:t>výdajů veřejných rozpočtů.</w:t>
      </w:r>
    </w:p>
    <w:p w14:paraId="23926577" w14:textId="1EE507D2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 xml:space="preserve">Tabulka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-3</w:t>
      </w:r>
      <w:r w:rsidRPr="000D5505">
        <w:rPr>
          <w:rFonts w:ascii="Arial" w:hAnsi="Arial" w:cs="Arial"/>
          <w:sz w:val="18"/>
          <w:szCs w:val="18"/>
        </w:rPr>
        <w:t xml:space="preserve"> obsahuje výdaje tříděné podle funkcí veřejných rozpočtů</w:t>
      </w:r>
      <w:r w:rsidR="00A43C7E" w:rsidRPr="000D5505">
        <w:rPr>
          <w:rFonts w:ascii="Arial" w:hAnsi="Arial" w:cs="Arial"/>
          <w:sz w:val="18"/>
          <w:szCs w:val="18"/>
        </w:rPr>
        <w:t xml:space="preserve"> </w:t>
      </w:r>
      <w:r w:rsidR="00C318F4" w:rsidRPr="000D5505">
        <w:rPr>
          <w:rFonts w:ascii="Arial" w:hAnsi="Arial" w:cs="Arial"/>
          <w:sz w:val="18"/>
          <w:szCs w:val="18"/>
        </w:rPr>
        <w:t>podle metodiky</w:t>
      </w:r>
      <w:r w:rsidRPr="000D5505">
        <w:rPr>
          <w:rFonts w:ascii="Arial" w:hAnsi="Arial" w:cs="Arial"/>
          <w:sz w:val="18"/>
          <w:szCs w:val="18"/>
        </w:rPr>
        <w:t xml:space="preserve"> schválené Statistickou komisí Spojených národů </w:t>
      </w:r>
      <w:r w:rsidR="00177C78" w:rsidRPr="000D5505">
        <w:rPr>
          <w:rFonts w:ascii="Arial" w:hAnsi="Arial" w:cs="Arial"/>
          <w:sz w:val="18"/>
          <w:szCs w:val="18"/>
        </w:rPr>
        <w:t>–</w:t>
      </w:r>
      <w:r w:rsidRPr="000D55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D5505">
        <w:rPr>
          <w:rFonts w:ascii="Arial" w:hAnsi="Arial" w:cs="Arial"/>
          <w:i/>
          <w:iCs/>
          <w:sz w:val="18"/>
          <w:szCs w:val="18"/>
        </w:rPr>
        <w:t>Classification</w:t>
      </w:r>
      <w:proofErr w:type="spellEnd"/>
      <w:r w:rsidRPr="000D550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D5505">
        <w:rPr>
          <w:rFonts w:ascii="Arial" w:hAnsi="Arial" w:cs="Arial"/>
          <w:i/>
          <w:iCs/>
          <w:sz w:val="18"/>
          <w:szCs w:val="18"/>
        </w:rPr>
        <w:t>of</w:t>
      </w:r>
      <w:proofErr w:type="spellEnd"/>
      <w:r w:rsidRPr="000D550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D5505">
        <w:rPr>
          <w:rFonts w:ascii="Arial" w:hAnsi="Arial" w:cs="Arial"/>
          <w:i/>
          <w:iCs/>
          <w:sz w:val="18"/>
          <w:szCs w:val="18"/>
        </w:rPr>
        <w:t>the</w:t>
      </w:r>
      <w:proofErr w:type="spellEnd"/>
      <w:r w:rsidRPr="000D550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D5505">
        <w:rPr>
          <w:rFonts w:ascii="Arial" w:hAnsi="Arial" w:cs="Arial"/>
          <w:i/>
          <w:iCs/>
          <w:sz w:val="18"/>
          <w:szCs w:val="18"/>
        </w:rPr>
        <w:t>Functions</w:t>
      </w:r>
      <w:proofErr w:type="spellEnd"/>
      <w:r w:rsidRPr="000D550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D5505">
        <w:rPr>
          <w:rFonts w:ascii="Arial" w:hAnsi="Arial" w:cs="Arial"/>
          <w:i/>
          <w:iCs/>
          <w:sz w:val="18"/>
          <w:szCs w:val="18"/>
        </w:rPr>
        <w:t>of</w:t>
      </w:r>
      <w:proofErr w:type="spellEnd"/>
      <w:r w:rsidRPr="000D5505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0D5505">
        <w:rPr>
          <w:rFonts w:ascii="Arial" w:hAnsi="Arial" w:cs="Arial"/>
          <w:i/>
          <w:iCs/>
          <w:sz w:val="18"/>
          <w:szCs w:val="18"/>
        </w:rPr>
        <w:t>Government</w:t>
      </w:r>
      <w:proofErr w:type="spellEnd"/>
      <w:r w:rsidR="00D969E3" w:rsidRPr="000D5505">
        <w:rPr>
          <w:rFonts w:ascii="Arial" w:hAnsi="Arial" w:cs="Arial"/>
          <w:i/>
          <w:iCs/>
          <w:sz w:val="18"/>
          <w:szCs w:val="18"/>
        </w:rPr>
        <w:t> </w:t>
      </w:r>
      <w:r w:rsidRPr="000D5505">
        <w:rPr>
          <w:rFonts w:ascii="Arial" w:hAnsi="Arial" w:cs="Arial"/>
          <w:iCs/>
          <w:sz w:val="18"/>
          <w:szCs w:val="18"/>
        </w:rPr>
        <w:t>(COFOG)</w:t>
      </w:r>
      <w:r w:rsidRPr="000D5505">
        <w:rPr>
          <w:rFonts w:ascii="Arial" w:hAnsi="Arial" w:cs="Arial"/>
          <w:sz w:val="18"/>
          <w:szCs w:val="18"/>
        </w:rPr>
        <w:t>.</w:t>
      </w:r>
    </w:p>
    <w:p w14:paraId="424B4E76" w14:textId="1E01DBEC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 xml:space="preserve">V tabulce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-4</w:t>
      </w:r>
      <w:r w:rsidRPr="000D5505">
        <w:rPr>
          <w:rFonts w:ascii="Arial" w:hAnsi="Arial" w:cs="Arial"/>
          <w:sz w:val="18"/>
          <w:szCs w:val="18"/>
        </w:rPr>
        <w:t xml:space="preserve"> je zachycena zadluženost jednotlivých složek veřejných rozpočtů, respektive celkový konsolidovaný vládní dluh k</w:t>
      </w:r>
      <w:r w:rsidR="00A52A00" w:rsidRPr="000D5505">
        <w:rPr>
          <w:rFonts w:ascii="Arial" w:hAnsi="Arial" w:cs="Arial"/>
          <w:sz w:val="18"/>
          <w:szCs w:val="18"/>
        </w:rPr>
        <w:t> </w:t>
      </w:r>
      <w:r w:rsidRPr="000D5505">
        <w:rPr>
          <w:rFonts w:ascii="Arial" w:hAnsi="Arial" w:cs="Arial"/>
          <w:sz w:val="18"/>
          <w:szCs w:val="18"/>
        </w:rPr>
        <w:t>31. </w:t>
      </w:r>
      <w:r w:rsidR="0043180A" w:rsidRPr="000D5505">
        <w:rPr>
          <w:rFonts w:ascii="Arial" w:hAnsi="Arial" w:cs="Arial"/>
          <w:sz w:val="18"/>
          <w:szCs w:val="18"/>
        </w:rPr>
        <w:t>prosinc</w:t>
      </w:r>
      <w:r w:rsidR="000D6495" w:rsidRPr="000D5505">
        <w:rPr>
          <w:rFonts w:ascii="Arial" w:hAnsi="Arial" w:cs="Arial"/>
          <w:sz w:val="18"/>
          <w:szCs w:val="18"/>
        </w:rPr>
        <w:t>i</w:t>
      </w:r>
      <w:r w:rsidRPr="000D5505">
        <w:rPr>
          <w:rFonts w:ascii="Arial" w:hAnsi="Arial" w:cs="Arial"/>
          <w:sz w:val="18"/>
          <w:szCs w:val="18"/>
        </w:rPr>
        <w:t> </w:t>
      </w:r>
      <w:r w:rsidR="000D6495" w:rsidRPr="000D5505">
        <w:rPr>
          <w:rFonts w:ascii="Arial" w:hAnsi="Arial" w:cs="Arial"/>
          <w:sz w:val="18"/>
          <w:szCs w:val="18"/>
        </w:rPr>
        <w:t xml:space="preserve">vykazovaného roku </w:t>
      </w:r>
      <w:r w:rsidRPr="000D5505">
        <w:rPr>
          <w:rFonts w:ascii="Arial" w:hAnsi="Arial" w:cs="Arial"/>
          <w:sz w:val="18"/>
          <w:szCs w:val="18"/>
        </w:rPr>
        <w:t>podle dluhových nástrojů.</w:t>
      </w:r>
      <w:r w:rsidR="00793AC2" w:rsidRPr="000D5505">
        <w:rPr>
          <w:rFonts w:ascii="Arial" w:hAnsi="Arial" w:cs="Arial"/>
          <w:sz w:val="18"/>
          <w:szCs w:val="18"/>
        </w:rPr>
        <w:t xml:space="preserve"> </w:t>
      </w:r>
    </w:p>
    <w:p w14:paraId="5E0DE29A" w14:textId="77777777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</w:p>
    <w:p w14:paraId="55BB10B3" w14:textId="77777777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</w:p>
    <w:p w14:paraId="047C8C4E" w14:textId="3CBA7596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0D5505">
        <w:rPr>
          <w:rFonts w:ascii="Arial" w:hAnsi="Arial" w:cs="Arial"/>
          <w:b/>
          <w:color w:val="0071BC"/>
          <w:sz w:val="20"/>
          <w:szCs w:val="20"/>
        </w:rPr>
        <w:t xml:space="preserve">Tab. 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6</w:t>
      </w:r>
      <w:r w:rsidR="000D5505">
        <w:rPr>
          <w:rFonts w:ascii="Arial" w:hAnsi="Arial" w:cs="Arial"/>
          <w:b/>
          <w:color w:val="0071BC"/>
          <w:sz w:val="20"/>
          <w:szCs w:val="20"/>
        </w:rPr>
        <w:t>-5</w:t>
      </w:r>
      <w:r w:rsidRPr="000D5505">
        <w:rPr>
          <w:rFonts w:ascii="Arial" w:hAnsi="Arial" w:cs="Arial"/>
          <w:b/>
          <w:color w:val="0071BC"/>
          <w:sz w:val="20"/>
          <w:szCs w:val="20"/>
        </w:rPr>
        <w:t xml:space="preserve"> až 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6</w:t>
      </w:r>
      <w:r w:rsidR="000D5505">
        <w:rPr>
          <w:rFonts w:ascii="Arial" w:hAnsi="Arial" w:cs="Arial"/>
          <w:b/>
          <w:color w:val="0071BC"/>
          <w:sz w:val="20"/>
          <w:szCs w:val="20"/>
        </w:rPr>
        <w:t xml:space="preserve">-12 </w:t>
      </w:r>
      <w:r w:rsidRPr="000D5505">
        <w:rPr>
          <w:rFonts w:ascii="Arial" w:hAnsi="Arial" w:cs="Arial"/>
          <w:b/>
          <w:color w:val="0071BC"/>
          <w:sz w:val="20"/>
          <w:szCs w:val="20"/>
        </w:rPr>
        <w:t xml:space="preserve"> 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Rozpočet</w:t>
      </w:r>
      <w:r w:rsidR="00A43C7E" w:rsidRPr="000D5505">
        <w:rPr>
          <w:rFonts w:ascii="Arial" w:hAnsi="Arial" w:cs="Arial"/>
          <w:b/>
          <w:bCs/>
          <w:color w:val="0071BC"/>
          <w:sz w:val="20"/>
          <w:szCs w:val="20"/>
        </w:rPr>
        <w:t xml:space="preserve"> a 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státní fondy</w:t>
      </w:r>
    </w:p>
    <w:p w14:paraId="391F47AE" w14:textId="1036D81A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>Údaje uváděné</w:t>
      </w:r>
      <w:r w:rsidR="00A43C7E" w:rsidRPr="000D5505">
        <w:rPr>
          <w:rFonts w:ascii="Arial" w:hAnsi="Arial" w:cs="Arial"/>
          <w:sz w:val="18"/>
          <w:szCs w:val="18"/>
        </w:rPr>
        <w:t xml:space="preserve"> v </w:t>
      </w:r>
      <w:r w:rsidRPr="000D5505">
        <w:rPr>
          <w:rFonts w:ascii="Arial" w:hAnsi="Arial" w:cs="Arial"/>
          <w:sz w:val="18"/>
          <w:szCs w:val="18"/>
        </w:rPr>
        <w:t xml:space="preserve">tabulkách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-5</w:t>
      </w:r>
      <w:r w:rsidRPr="000D5505">
        <w:rPr>
          <w:rFonts w:ascii="Arial" w:hAnsi="Arial" w:cs="Arial"/>
          <w:sz w:val="18"/>
          <w:szCs w:val="18"/>
        </w:rPr>
        <w:t xml:space="preserve"> až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-12</w:t>
      </w:r>
      <w:r w:rsidRPr="000D5505">
        <w:rPr>
          <w:rFonts w:ascii="Arial" w:hAnsi="Arial" w:cs="Arial"/>
          <w:sz w:val="18"/>
          <w:szCs w:val="18"/>
        </w:rPr>
        <w:t xml:space="preserve"> jsou každoročně přebírány ze státního závěrečného účtu České republiky. Vyjadřují dosažené výsledky hospodaření </w:t>
      </w:r>
      <w:r w:rsidRPr="000D5505">
        <w:rPr>
          <w:rFonts w:ascii="Arial" w:hAnsi="Arial" w:cs="Arial"/>
          <w:b/>
          <w:bCs/>
          <w:sz w:val="18"/>
          <w:szCs w:val="18"/>
        </w:rPr>
        <w:t>státního rozpočtu</w:t>
      </w:r>
      <w:r w:rsidRPr="000D5505">
        <w:rPr>
          <w:rFonts w:ascii="Arial" w:hAnsi="Arial" w:cs="Arial"/>
          <w:sz w:val="18"/>
          <w:szCs w:val="18"/>
        </w:rPr>
        <w:t xml:space="preserve"> České republiky, </w:t>
      </w:r>
      <w:r w:rsidR="001D39EE" w:rsidRPr="000D5505">
        <w:rPr>
          <w:rFonts w:ascii="Arial" w:hAnsi="Arial" w:cs="Arial"/>
          <w:b/>
          <w:bCs/>
          <w:sz w:val="18"/>
          <w:szCs w:val="18"/>
        </w:rPr>
        <w:t xml:space="preserve">místních </w:t>
      </w:r>
      <w:r w:rsidRPr="000D5505">
        <w:rPr>
          <w:rFonts w:ascii="Arial" w:hAnsi="Arial" w:cs="Arial"/>
          <w:b/>
          <w:bCs/>
          <w:sz w:val="18"/>
          <w:szCs w:val="18"/>
        </w:rPr>
        <w:t>rozpočtů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b/>
          <w:bCs/>
          <w:sz w:val="18"/>
          <w:szCs w:val="18"/>
        </w:rPr>
        <w:t>státních fondů</w:t>
      </w:r>
      <w:r w:rsidRPr="000D5505">
        <w:rPr>
          <w:rFonts w:ascii="Arial" w:hAnsi="Arial" w:cs="Arial"/>
          <w:sz w:val="18"/>
          <w:szCs w:val="18"/>
        </w:rPr>
        <w:t>.</w:t>
      </w:r>
    </w:p>
    <w:p w14:paraId="000DB2A9" w14:textId="77777777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>Výsledky hospodaření státního rozpočtu uvedené ve státním závěrečném účtu navazují na údaje finančních výkazů organizačních složek státu</w:t>
      </w:r>
      <w:r w:rsidRPr="000D5505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5505">
        <w:rPr>
          <w:rFonts w:ascii="Arial" w:hAnsi="Arial" w:cs="Arial"/>
          <w:sz w:val="18"/>
          <w:szCs w:val="18"/>
        </w:rPr>
        <w:t>k 31. </w:t>
      </w:r>
      <w:r w:rsidR="004B3364" w:rsidRPr="000D5505">
        <w:rPr>
          <w:rFonts w:ascii="Arial" w:hAnsi="Arial" w:cs="Arial"/>
          <w:sz w:val="18"/>
          <w:szCs w:val="18"/>
        </w:rPr>
        <w:t>prosinci</w:t>
      </w:r>
      <w:r w:rsidRPr="000D5505">
        <w:rPr>
          <w:rFonts w:ascii="Arial" w:hAnsi="Arial" w:cs="Arial"/>
          <w:sz w:val="18"/>
          <w:szCs w:val="18"/>
        </w:rPr>
        <w:t xml:space="preserve"> příslušného roku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sz w:val="18"/>
          <w:szCs w:val="18"/>
        </w:rPr>
        <w:t>na údaje České národní banky o pokladním plnění státního rozpočtu ke stejnému datu.</w:t>
      </w:r>
    </w:p>
    <w:p w14:paraId="288BA5B5" w14:textId="481FCD73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 xml:space="preserve">V tabulkách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-5</w:t>
      </w:r>
      <w:r w:rsidRPr="000D5505">
        <w:rPr>
          <w:rFonts w:ascii="Arial" w:hAnsi="Arial" w:cs="Arial"/>
          <w:sz w:val="18"/>
          <w:szCs w:val="18"/>
        </w:rPr>
        <w:t xml:space="preserve"> až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-8</w:t>
      </w:r>
      <w:r w:rsidRPr="000D5505">
        <w:rPr>
          <w:rFonts w:ascii="Arial" w:hAnsi="Arial" w:cs="Arial"/>
          <w:sz w:val="18"/>
          <w:szCs w:val="18"/>
        </w:rPr>
        <w:t xml:space="preserve"> jsou uvedeny výsledky hospodaření státního rozpočtu</w:t>
      </w:r>
      <w:r w:rsidR="00187757" w:rsidRPr="000D5505">
        <w:rPr>
          <w:rFonts w:ascii="Arial" w:hAnsi="Arial" w:cs="Arial"/>
          <w:sz w:val="18"/>
          <w:szCs w:val="18"/>
        </w:rPr>
        <w:t xml:space="preserve"> v členění podle platné rozpočtové skladby,</w:t>
      </w:r>
      <w:r w:rsidR="00A43C7E" w:rsidRPr="000D5505">
        <w:rPr>
          <w:rFonts w:ascii="Arial" w:hAnsi="Arial" w:cs="Arial"/>
          <w:sz w:val="18"/>
          <w:szCs w:val="18"/>
        </w:rPr>
        <w:t xml:space="preserve"> v </w:t>
      </w:r>
      <w:r w:rsidRPr="000D5505">
        <w:rPr>
          <w:rFonts w:ascii="Arial" w:hAnsi="Arial" w:cs="Arial"/>
          <w:sz w:val="18"/>
          <w:szCs w:val="18"/>
        </w:rPr>
        <w:t xml:space="preserve">tabulkách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-9</w:t>
      </w:r>
      <w:r w:rsidRPr="000D5505">
        <w:rPr>
          <w:rFonts w:ascii="Arial" w:hAnsi="Arial" w:cs="Arial"/>
          <w:sz w:val="18"/>
          <w:szCs w:val="18"/>
        </w:rPr>
        <w:t xml:space="preserve"> až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-11</w:t>
      </w:r>
      <w:r w:rsidRPr="000D5505">
        <w:rPr>
          <w:rFonts w:ascii="Arial" w:hAnsi="Arial" w:cs="Arial"/>
          <w:sz w:val="18"/>
          <w:szCs w:val="18"/>
        </w:rPr>
        <w:t xml:space="preserve"> jsou uvedeny výsledky hospodaření </w:t>
      </w:r>
      <w:r w:rsidR="001D39EE" w:rsidRPr="000D5505">
        <w:rPr>
          <w:rFonts w:ascii="Arial" w:hAnsi="Arial" w:cs="Arial"/>
          <w:sz w:val="18"/>
          <w:szCs w:val="18"/>
        </w:rPr>
        <w:t xml:space="preserve">místních </w:t>
      </w:r>
      <w:r w:rsidRPr="000D5505">
        <w:rPr>
          <w:rFonts w:ascii="Arial" w:hAnsi="Arial" w:cs="Arial"/>
          <w:sz w:val="18"/>
          <w:szCs w:val="18"/>
        </w:rPr>
        <w:t>rozpočtů (tj. krajů, obcí</w:t>
      </w:r>
      <w:r w:rsidR="00A43C7E" w:rsidRPr="000D5505">
        <w:rPr>
          <w:rFonts w:ascii="Arial" w:hAnsi="Arial" w:cs="Arial"/>
          <w:sz w:val="18"/>
          <w:szCs w:val="18"/>
        </w:rPr>
        <w:t xml:space="preserve"> a </w:t>
      </w:r>
      <w:r w:rsidRPr="000D5505">
        <w:rPr>
          <w:rFonts w:ascii="Arial" w:hAnsi="Arial" w:cs="Arial"/>
          <w:sz w:val="18"/>
          <w:szCs w:val="18"/>
        </w:rPr>
        <w:t xml:space="preserve">dobrovolných svazků obcí celkem, </w:t>
      </w:r>
      <w:r w:rsidR="00D73E2C">
        <w:rPr>
          <w:rFonts w:ascii="Arial" w:hAnsi="Arial" w:cs="Arial"/>
          <w:sz w:val="18"/>
          <w:szCs w:val="18"/>
        </w:rPr>
        <w:t xml:space="preserve">do roku 2021 pak </w:t>
      </w:r>
      <w:r w:rsidRPr="000D5505">
        <w:rPr>
          <w:rFonts w:ascii="Arial" w:hAnsi="Arial" w:cs="Arial"/>
          <w:sz w:val="18"/>
          <w:szCs w:val="18"/>
        </w:rPr>
        <w:t xml:space="preserve">včetně Regionálních rad regionů soudržnosti). </w:t>
      </w:r>
    </w:p>
    <w:p w14:paraId="1060DFF5" w14:textId="6B45B4BD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D5505">
        <w:rPr>
          <w:rFonts w:ascii="Arial" w:hAnsi="Arial" w:cs="Arial"/>
          <w:sz w:val="18"/>
          <w:szCs w:val="18"/>
        </w:rPr>
        <w:t xml:space="preserve">Tab. </w:t>
      </w:r>
      <w:r w:rsidRPr="000D5505">
        <w:rPr>
          <w:rFonts w:ascii="Arial" w:hAnsi="Arial" w:cs="Arial"/>
          <w:b/>
          <w:bCs/>
          <w:sz w:val="18"/>
          <w:szCs w:val="18"/>
        </w:rPr>
        <w:t>6</w:t>
      </w:r>
      <w:r w:rsidRPr="000D5505">
        <w:rPr>
          <w:rFonts w:ascii="Arial" w:hAnsi="Arial" w:cs="Arial"/>
          <w:b/>
          <w:sz w:val="18"/>
          <w:szCs w:val="18"/>
        </w:rPr>
        <w:t>-12</w:t>
      </w:r>
      <w:r w:rsidRPr="000D5505">
        <w:rPr>
          <w:rFonts w:ascii="Arial" w:hAnsi="Arial" w:cs="Arial"/>
          <w:sz w:val="18"/>
          <w:szCs w:val="18"/>
        </w:rPr>
        <w:t xml:space="preserve"> obsahuje přehled hospodaření státních fondů, vč</w:t>
      </w:r>
      <w:r w:rsidR="00C07583" w:rsidRPr="000D5505">
        <w:rPr>
          <w:rFonts w:ascii="Arial" w:hAnsi="Arial" w:cs="Arial"/>
          <w:sz w:val="18"/>
          <w:szCs w:val="18"/>
        </w:rPr>
        <w:t>etně</w:t>
      </w:r>
      <w:r w:rsidRPr="000D5505">
        <w:rPr>
          <w:rFonts w:ascii="Arial" w:hAnsi="Arial" w:cs="Arial"/>
          <w:sz w:val="18"/>
          <w:szCs w:val="18"/>
        </w:rPr>
        <w:t> dotací poskytnutých ze státního rozpočtu.</w:t>
      </w:r>
    </w:p>
    <w:p w14:paraId="6F7C7AE4" w14:textId="77777777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</w:p>
    <w:p w14:paraId="15836236" w14:textId="77777777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</w:p>
    <w:p w14:paraId="6C5B5BF3" w14:textId="21BD313D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0D5505">
        <w:rPr>
          <w:rFonts w:ascii="Arial" w:hAnsi="Arial" w:cs="Arial"/>
          <w:b/>
          <w:color w:val="0071BC"/>
          <w:sz w:val="20"/>
          <w:szCs w:val="20"/>
        </w:rPr>
        <w:t xml:space="preserve">Tab. 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6</w:t>
      </w:r>
      <w:r w:rsidR="000D5505">
        <w:rPr>
          <w:rFonts w:ascii="Arial" w:hAnsi="Arial" w:cs="Arial"/>
          <w:b/>
          <w:color w:val="0071BC"/>
          <w:sz w:val="20"/>
          <w:szCs w:val="20"/>
        </w:rPr>
        <w:t xml:space="preserve">-13 </w:t>
      </w:r>
      <w:r w:rsidRPr="000D5505">
        <w:rPr>
          <w:rFonts w:ascii="Arial" w:hAnsi="Arial" w:cs="Arial"/>
          <w:b/>
          <w:color w:val="0071BC"/>
          <w:sz w:val="20"/>
          <w:szCs w:val="20"/>
        </w:rPr>
        <w:t xml:space="preserve"> 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Vojenské výdaje podle druhů nákladů</w:t>
      </w:r>
      <w:r w:rsidR="00A43C7E" w:rsidRPr="000D5505">
        <w:rPr>
          <w:rFonts w:ascii="Arial" w:hAnsi="Arial" w:cs="Arial"/>
          <w:b/>
          <w:bCs/>
          <w:color w:val="0071BC"/>
          <w:sz w:val="20"/>
          <w:szCs w:val="20"/>
        </w:rPr>
        <w:t xml:space="preserve"> a </w:t>
      </w:r>
      <w:r w:rsidRPr="000D5505">
        <w:rPr>
          <w:rFonts w:ascii="Arial" w:hAnsi="Arial" w:cs="Arial"/>
          <w:b/>
          <w:bCs/>
          <w:color w:val="0071BC"/>
          <w:sz w:val="20"/>
          <w:szCs w:val="20"/>
        </w:rPr>
        <w:t>směrů určení</w:t>
      </w:r>
    </w:p>
    <w:p w14:paraId="07E36B2C" w14:textId="577E97D3" w:rsidR="006E3D63" w:rsidRPr="000D5505" w:rsidRDefault="006E3D63" w:rsidP="000D5505">
      <w:pPr>
        <w:pStyle w:val="Zkladntextodsazen"/>
        <w:tabs>
          <w:tab w:val="left" w:pos="10320"/>
          <w:tab w:val="left" w:pos="14400"/>
          <w:tab w:val="left" w:pos="14520"/>
        </w:tabs>
        <w:spacing w:before="120"/>
        <w:ind w:firstLine="0"/>
        <w:rPr>
          <w:sz w:val="18"/>
          <w:szCs w:val="18"/>
        </w:rPr>
      </w:pPr>
      <w:r w:rsidRPr="000D5505">
        <w:rPr>
          <w:sz w:val="18"/>
          <w:szCs w:val="18"/>
        </w:rPr>
        <w:t xml:space="preserve">Údaje </w:t>
      </w:r>
      <w:r w:rsidR="006F0B3D" w:rsidRPr="000D5505">
        <w:rPr>
          <w:sz w:val="18"/>
          <w:szCs w:val="18"/>
        </w:rPr>
        <w:t>jsou v souladu se standardizovaným hlášením vo</w:t>
      </w:r>
      <w:r w:rsidR="005F42B2" w:rsidRPr="000D5505">
        <w:rPr>
          <w:sz w:val="18"/>
          <w:szCs w:val="18"/>
        </w:rPr>
        <w:t xml:space="preserve">jenských výdajů podle metodiky </w:t>
      </w:r>
      <w:r w:rsidR="006F0B3D" w:rsidRPr="000D5505">
        <w:rPr>
          <w:sz w:val="18"/>
          <w:szCs w:val="18"/>
        </w:rPr>
        <w:t>OSN a</w:t>
      </w:r>
      <w:r w:rsidR="006107DE" w:rsidRPr="000D5505">
        <w:rPr>
          <w:sz w:val="18"/>
          <w:szCs w:val="18"/>
        </w:rPr>
        <w:t> </w:t>
      </w:r>
      <w:r w:rsidRPr="000D5505">
        <w:rPr>
          <w:sz w:val="18"/>
          <w:szCs w:val="18"/>
        </w:rPr>
        <w:t>vychází ze státního závěrečného účtu České republiky za rok</w:t>
      </w:r>
      <w:r w:rsidR="00A52A00" w:rsidRPr="000D5505">
        <w:rPr>
          <w:sz w:val="18"/>
          <w:szCs w:val="18"/>
        </w:rPr>
        <w:t> </w:t>
      </w:r>
      <w:r w:rsidR="000E4246" w:rsidRPr="000D5505">
        <w:rPr>
          <w:sz w:val="18"/>
          <w:szCs w:val="18"/>
        </w:rPr>
        <w:t>202</w:t>
      </w:r>
      <w:r w:rsidR="00C22151">
        <w:rPr>
          <w:sz w:val="18"/>
          <w:szCs w:val="18"/>
        </w:rPr>
        <w:t>2</w:t>
      </w:r>
      <w:r w:rsidRPr="000D5505">
        <w:rPr>
          <w:sz w:val="18"/>
          <w:szCs w:val="18"/>
        </w:rPr>
        <w:t>, kapitol</w:t>
      </w:r>
      <w:r w:rsidR="000E3B4C" w:rsidRPr="000D5505">
        <w:rPr>
          <w:sz w:val="18"/>
          <w:szCs w:val="18"/>
        </w:rPr>
        <w:t>a</w:t>
      </w:r>
      <w:r w:rsidRPr="000D5505">
        <w:rPr>
          <w:sz w:val="18"/>
          <w:szCs w:val="18"/>
        </w:rPr>
        <w:t xml:space="preserve"> </w:t>
      </w:r>
      <w:r w:rsidR="000E3B4C" w:rsidRPr="000D5505">
        <w:rPr>
          <w:sz w:val="18"/>
          <w:szCs w:val="18"/>
        </w:rPr>
        <w:t>M</w:t>
      </w:r>
      <w:r w:rsidRPr="000D5505">
        <w:rPr>
          <w:sz w:val="18"/>
          <w:szCs w:val="18"/>
        </w:rPr>
        <w:t>inisterstvo obrany.</w:t>
      </w:r>
    </w:p>
    <w:p w14:paraId="3A932E0F" w14:textId="77777777" w:rsidR="006E3D63" w:rsidRPr="000D5505" w:rsidRDefault="006E3D63" w:rsidP="000D5505">
      <w:pPr>
        <w:pStyle w:val="Zkladntext"/>
        <w:tabs>
          <w:tab w:val="left" w:pos="10320"/>
          <w:tab w:val="left" w:pos="14400"/>
          <w:tab w:val="left" w:pos="14520"/>
        </w:tabs>
        <w:rPr>
          <w:sz w:val="18"/>
          <w:szCs w:val="18"/>
        </w:rPr>
      </w:pPr>
    </w:p>
    <w:p w14:paraId="3B5ABC55" w14:textId="77777777" w:rsidR="006E3D63" w:rsidRPr="000D5505" w:rsidRDefault="006E3D63" w:rsidP="000D5505">
      <w:pPr>
        <w:pStyle w:val="Zkladntext"/>
        <w:tabs>
          <w:tab w:val="left" w:pos="10320"/>
          <w:tab w:val="left" w:pos="14400"/>
          <w:tab w:val="left" w:pos="14520"/>
        </w:tabs>
        <w:rPr>
          <w:sz w:val="18"/>
          <w:szCs w:val="18"/>
        </w:rPr>
      </w:pPr>
    </w:p>
    <w:p w14:paraId="22F7DC47" w14:textId="77777777" w:rsidR="006E3D63" w:rsidRPr="000D5505" w:rsidRDefault="006E3D63" w:rsidP="000D5505">
      <w:pPr>
        <w:tabs>
          <w:tab w:val="left" w:pos="10320"/>
          <w:tab w:val="left" w:pos="14400"/>
          <w:tab w:val="left" w:pos="14520"/>
        </w:tabs>
        <w:jc w:val="center"/>
        <w:rPr>
          <w:rFonts w:ascii="Arial" w:hAnsi="Arial" w:cs="Arial"/>
          <w:color w:val="0071BC"/>
          <w:sz w:val="20"/>
          <w:szCs w:val="20"/>
        </w:rPr>
      </w:pPr>
      <w:proofErr w:type="gramStart"/>
      <w:r w:rsidRPr="000D5505">
        <w:rPr>
          <w:rFonts w:ascii="Arial" w:hAnsi="Arial" w:cs="Arial"/>
          <w:color w:val="0071BC"/>
          <w:sz w:val="20"/>
          <w:szCs w:val="20"/>
        </w:rPr>
        <w:t>*          *          *</w:t>
      </w:r>
      <w:proofErr w:type="gramEnd"/>
    </w:p>
    <w:p w14:paraId="19CA49A4" w14:textId="77777777" w:rsidR="006E3D63" w:rsidRPr="000D5505" w:rsidRDefault="006E3D63" w:rsidP="000D5505">
      <w:pPr>
        <w:tabs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</w:p>
    <w:p w14:paraId="0077D4C0" w14:textId="77777777" w:rsidR="006E3D63" w:rsidRPr="000D5505" w:rsidRDefault="006E3D63" w:rsidP="000D5505">
      <w:pPr>
        <w:tabs>
          <w:tab w:val="left" w:pos="14400"/>
          <w:tab w:val="left" w:pos="14520"/>
        </w:tabs>
        <w:jc w:val="both"/>
        <w:rPr>
          <w:rFonts w:ascii="Arial" w:hAnsi="Arial" w:cs="Arial"/>
          <w:sz w:val="18"/>
          <w:szCs w:val="18"/>
        </w:rPr>
      </w:pPr>
    </w:p>
    <w:p w14:paraId="102977C2" w14:textId="77777777" w:rsidR="006E3D63" w:rsidRPr="000D5505" w:rsidRDefault="006E3D63" w:rsidP="000D5505">
      <w:pPr>
        <w:pStyle w:val="Zkladntext2"/>
        <w:ind w:right="0"/>
        <w:rPr>
          <w:sz w:val="18"/>
          <w:szCs w:val="18"/>
        </w:rPr>
      </w:pPr>
      <w:r w:rsidRPr="000D5505">
        <w:rPr>
          <w:sz w:val="18"/>
          <w:szCs w:val="18"/>
        </w:rPr>
        <w:t xml:space="preserve">Údaje o plnění státního rozpočtu jsou průběžně zveřejňovány na internetové stránce Ministerstva financí: </w:t>
      </w:r>
    </w:p>
    <w:p w14:paraId="21E41530" w14:textId="3DDE5648" w:rsidR="00177C78" w:rsidRPr="000D5505" w:rsidRDefault="00434119" w:rsidP="000D5505">
      <w:pPr>
        <w:tabs>
          <w:tab w:val="left" w:pos="10320"/>
          <w:tab w:val="left" w:pos="14400"/>
          <w:tab w:val="left" w:pos="14520"/>
        </w:tabs>
        <w:spacing w:before="120"/>
        <w:jc w:val="both"/>
        <w:rPr>
          <w:rFonts w:ascii="Arial" w:hAnsi="Arial" w:cs="Arial"/>
          <w:sz w:val="18"/>
          <w:szCs w:val="18"/>
          <w:highlight w:val="yellow"/>
        </w:rPr>
      </w:pPr>
      <w:r w:rsidRPr="000D5505">
        <w:rPr>
          <w:rFonts w:ascii="Arial" w:hAnsi="Arial" w:cs="Arial"/>
          <w:sz w:val="18"/>
          <w:szCs w:val="18"/>
        </w:rPr>
        <w:lastRenderedPageBreak/>
        <w:t>– </w:t>
      </w:r>
      <w:hyperlink r:id="rId6" w:history="1">
        <w:r w:rsidR="00244BA4" w:rsidRPr="000D5505">
          <w:rPr>
            <w:rStyle w:val="Hypertextovodkaz"/>
            <w:rFonts w:ascii="Arial" w:hAnsi="Arial" w:cs="Arial"/>
            <w:sz w:val="18"/>
            <w:szCs w:val="18"/>
          </w:rPr>
          <w:t>www.mfcr.cz/cs/verejny-sektor/statni-rozpocet/plneni-statniho-rozpoctu</w:t>
        </w:r>
      </w:hyperlink>
      <w:r w:rsidR="00244BA4" w:rsidRPr="000D5505">
        <w:rPr>
          <w:rFonts w:ascii="Arial" w:hAnsi="Arial" w:cs="Arial"/>
          <w:sz w:val="18"/>
          <w:szCs w:val="18"/>
        </w:rPr>
        <w:t xml:space="preserve"> </w:t>
      </w:r>
      <w:r w:rsidR="00EB60F4" w:rsidRPr="000D5505">
        <w:rPr>
          <w:rFonts w:ascii="Arial" w:hAnsi="Arial" w:cs="Arial"/>
          <w:sz w:val="18"/>
          <w:szCs w:val="18"/>
        </w:rPr>
        <w:t xml:space="preserve"> </w:t>
      </w:r>
    </w:p>
    <w:p w14:paraId="460D8AE5" w14:textId="77777777" w:rsidR="006E3D63" w:rsidRPr="000D5505" w:rsidRDefault="006E3D63" w:rsidP="000D5505">
      <w:pPr>
        <w:pStyle w:val="Zkladntextodsazen"/>
        <w:spacing w:before="120"/>
        <w:ind w:firstLine="0"/>
        <w:rPr>
          <w:sz w:val="18"/>
          <w:szCs w:val="18"/>
        </w:rPr>
      </w:pPr>
      <w:r w:rsidRPr="000D5505">
        <w:rPr>
          <w:sz w:val="18"/>
          <w:szCs w:val="18"/>
        </w:rPr>
        <w:t xml:space="preserve">Výsledky hospodaření </w:t>
      </w:r>
      <w:r w:rsidR="00C1475E" w:rsidRPr="000D5505">
        <w:rPr>
          <w:sz w:val="18"/>
          <w:szCs w:val="18"/>
        </w:rPr>
        <w:t>veřejných rozpočtů</w:t>
      </w:r>
      <w:r w:rsidRPr="000D5505">
        <w:rPr>
          <w:sz w:val="18"/>
          <w:szCs w:val="18"/>
        </w:rPr>
        <w:t xml:space="preserve"> jsou uveřejňovány na internetové stránce Ministerstva financí: </w:t>
      </w:r>
    </w:p>
    <w:p w14:paraId="10965B15" w14:textId="49569D44" w:rsidR="009E15A0" w:rsidRPr="000D5505" w:rsidRDefault="00434119" w:rsidP="000D5505">
      <w:pPr>
        <w:pStyle w:val="Zkladntextodsazen"/>
        <w:spacing w:before="120"/>
        <w:ind w:left="170" w:hanging="170"/>
        <w:rPr>
          <w:sz w:val="18"/>
          <w:szCs w:val="18"/>
        </w:rPr>
      </w:pPr>
      <w:r w:rsidRPr="000D5505">
        <w:rPr>
          <w:sz w:val="18"/>
          <w:szCs w:val="18"/>
        </w:rPr>
        <w:t>– </w:t>
      </w:r>
      <w:hyperlink r:id="rId7" w:history="1">
        <w:r w:rsidR="00375ACC">
          <w:rPr>
            <w:rStyle w:val="Hypertextovodkaz"/>
            <w:sz w:val="18"/>
            <w:szCs w:val="18"/>
          </w:rPr>
          <w:t>https://www.mfcr.cz/cs/verejny-sektor/makroekonomika/statistika-vladniho-sektoru/2022/vladni-financni-statistika-2022-51823</w:t>
        </w:r>
      </w:hyperlink>
      <w:r w:rsidR="00DF2985" w:rsidRPr="000D5505">
        <w:rPr>
          <w:sz w:val="18"/>
          <w:szCs w:val="18"/>
          <w:highlight w:val="yellow"/>
        </w:rPr>
        <w:t xml:space="preserve"> </w:t>
      </w:r>
    </w:p>
    <w:sectPr w:rsidR="009E15A0" w:rsidRPr="000D5505" w:rsidSect="000D5505">
      <w:pgSz w:w="11907" w:h="16840" w:code="9"/>
      <w:pgMar w:top="1134" w:right="964" w:bottom="1418" w:left="964" w:header="709" w:footer="709" w:gutter="0"/>
      <w:cols w:space="708" w:equalWidth="0">
        <w:col w:w="952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4DB8"/>
    <w:multiLevelType w:val="hybridMultilevel"/>
    <w:tmpl w:val="82F0BE28"/>
    <w:lvl w:ilvl="0" w:tplc="A3D22E3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BC"/>
    <w:rsid w:val="00002B97"/>
    <w:rsid w:val="00015AFE"/>
    <w:rsid w:val="000322E7"/>
    <w:rsid w:val="00033A27"/>
    <w:rsid w:val="00065033"/>
    <w:rsid w:val="000827AA"/>
    <w:rsid w:val="000A0609"/>
    <w:rsid w:val="000A1C62"/>
    <w:rsid w:val="000A481A"/>
    <w:rsid w:val="000B3382"/>
    <w:rsid w:val="000B6E6F"/>
    <w:rsid w:val="000D5505"/>
    <w:rsid w:val="000D6495"/>
    <w:rsid w:val="000E16D2"/>
    <w:rsid w:val="000E2E7A"/>
    <w:rsid w:val="000E31AC"/>
    <w:rsid w:val="000E3B4C"/>
    <w:rsid w:val="000E4246"/>
    <w:rsid w:val="00110F6F"/>
    <w:rsid w:val="0012239F"/>
    <w:rsid w:val="0014672C"/>
    <w:rsid w:val="001479F9"/>
    <w:rsid w:val="001678D8"/>
    <w:rsid w:val="00176B05"/>
    <w:rsid w:val="00177C78"/>
    <w:rsid w:val="00187757"/>
    <w:rsid w:val="00187F40"/>
    <w:rsid w:val="001B2FD6"/>
    <w:rsid w:val="001C24EB"/>
    <w:rsid w:val="001C31F1"/>
    <w:rsid w:val="001C4530"/>
    <w:rsid w:val="001D39EE"/>
    <w:rsid w:val="001E6DF9"/>
    <w:rsid w:val="002150D6"/>
    <w:rsid w:val="00222D05"/>
    <w:rsid w:val="002255C2"/>
    <w:rsid w:val="00232CD0"/>
    <w:rsid w:val="00234CDD"/>
    <w:rsid w:val="00244BA4"/>
    <w:rsid w:val="00280D86"/>
    <w:rsid w:val="00285F32"/>
    <w:rsid w:val="00294679"/>
    <w:rsid w:val="00297DA5"/>
    <w:rsid w:val="002A2264"/>
    <w:rsid w:val="002B5C0B"/>
    <w:rsid w:val="00306A25"/>
    <w:rsid w:val="00310268"/>
    <w:rsid w:val="0031425E"/>
    <w:rsid w:val="00315F04"/>
    <w:rsid w:val="00321AD2"/>
    <w:rsid w:val="00343A6E"/>
    <w:rsid w:val="0035414B"/>
    <w:rsid w:val="00355D28"/>
    <w:rsid w:val="00356959"/>
    <w:rsid w:val="00357EFD"/>
    <w:rsid w:val="00360BFD"/>
    <w:rsid w:val="00362D3F"/>
    <w:rsid w:val="00375ACC"/>
    <w:rsid w:val="00383C22"/>
    <w:rsid w:val="00383C6B"/>
    <w:rsid w:val="00392DC7"/>
    <w:rsid w:val="003936F3"/>
    <w:rsid w:val="003A0A67"/>
    <w:rsid w:val="003B76DD"/>
    <w:rsid w:val="003C41BD"/>
    <w:rsid w:val="003C772B"/>
    <w:rsid w:val="003C784E"/>
    <w:rsid w:val="003D48CD"/>
    <w:rsid w:val="003E37CC"/>
    <w:rsid w:val="003E3B38"/>
    <w:rsid w:val="003E7373"/>
    <w:rsid w:val="003F26CB"/>
    <w:rsid w:val="00400172"/>
    <w:rsid w:val="004052FE"/>
    <w:rsid w:val="0041284D"/>
    <w:rsid w:val="00414083"/>
    <w:rsid w:val="00426AE2"/>
    <w:rsid w:val="0043180A"/>
    <w:rsid w:val="00433AF3"/>
    <w:rsid w:val="00434119"/>
    <w:rsid w:val="00450681"/>
    <w:rsid w:val="004714A5"/>
    <w:rsid w:val="004756BC"/>
    <w:rsid w:val="00482615"/>
    <w:rsid w:val="004A52F3"/>
    <w:rsid w:val="004B0FAF"/>
    <w:rsid w:val="004B3364"/>
    <w:rsid w:val="004C38F1"/>
    <w:rsid w:val="004D10F1"/>
    <w:rsid w:val="004D6B6C"/>
    <w:rsid w:val="005204B5"/>
    <w:rsid w:val="00530F1F"/>
    <w:rsid w:val="00535645"/>
    <w:rsid w:val="00541472"/>
    <w:rsid w:val="00560D34"/>
    <w:rsid w:val="005614EB"/>
    <w:rsid w:val="00565DF9"/>
    <w:rsid w:val="00575F0A"/>
    <w:rsid w:val="00577A3B"/>
    <w:rsid w:val="00577CF9"/>
    <w:rsid w:val="005825A9"/>
    <w:rsid w:val="005A4EF5"/>
    <w:rsid w:val="005D2436"/>
    <w:rsid w:val="005E14E2"/>
    <w:rsid w:val="005E70E5"/>
    <w:rsid w:val="005F42B2"/>
    <w:rsid w:val="006074A7"/>
    <w:rsid w:val="006107DE"/>
    <w:rsid w:val="00617361"/>
    <w:rsid w:val="00640093"/>
    <w:rsid w:val="006602F6"/>
    <w:rsid w:val="00662593"/>
    <w:rsid w:val="0066793B"/>
    <w:rsid w:val="006712A0"/>
    <w:rsid w:val="00691342"/>
    <w:rsid w:val="006923BD"/>
    <w:rsid w:val="00692CEE"/>
    <w:rsid w:val="00694592"/>
    <w:rsid w:val="006B3D17"/>
    <w:rsid w:val="006C4B86"/>
    <w:rsid w:val="006D6B9C"/>
    <w:rsid w:val="006E3D63"/>
    <w:rsid w:val="006F0B3D"/>
    <w:rsid w:val="006F2334"/>
    <w:rsid w:val="006F52C7"/>
    <w:rsid w:val="006F6118"/>
    <w:rsid w:val="00713AAC"/>
    <w:rsid w:val="0072073A"/>
    <w:rsid w:val="007268B2"/>
    <w:rsid w:val="0073723E"/>
    <w:rsid w:val="00747B09"/>
    <w:rsid w:val="007513E5"/>
    <w:rsid w:val="00754616"/>
    <w:rsid w:val="007627A7"/>
    <w:rsid w:val="00793AC2"/>
    <w:rsid w:val="007A2FD7"/>
    <w:rsid w:val="007B5B1D"/>
    <w:rsid w:val="007C6004"/>
    <w:rsid w:val="007E013F"/>
    <w:rsid w:val="007E1B4C"/>
    <w:rsid w:val="00801855"/>
    <w:rsid w:val="008032B5"/>
    <w:rsid w:val="00804A1E"/>
    <w:rsid w:val="00814EE2"/>
    <w:rsid w:val="00820204"/>
    <w:rsid w:val="00824C1C"/>
    <w:rsid w:val="00845309"/>
    <w:rsid w:val="00850466"/>
    <w:rsid w:val="00874C7C"/>
    <w:rsid w:val="0088106A"/>
    <w:rsid w:val="00886F0E"/>
    <w:rsid w:val="00894483"/>
    <w:rsid w:val="008A2A3A"/>
    <w:rsid w:val="008A5B0C"/>
    <w:rsid w:val="008F45B2"/>
    <w:rsid w:val="00916532"/>
    <w:rsid w:val="0092559F"/>
    <w:rsid w:val="0094065C"/>
    <w:rsid w:val="00943F35"/>
    <w:rsid w:val="009703F8"/>
    <w:rsid w:val="009814B3"/>
    <w:rsid w:val="00987AD5"/>
    <w:rsid w:val="00997AA5"/>
    <w:rsid w:val="009B5329"/>
    <w:rsid w:val="009D3206"/>
    <w:rsid w:val="009D3D6F"/>
    <w:rsid w:val="009E0AEC"/>
    <w:rsid w:val="009E15A0"/>
    <w:rsid w:val="00A05CA8"/>
    <w:rsid w:val="00A139A5"/>
    <w:rsid w:val="00A21005"/>
    <w:rsid w:val="00A3143C"/>
    <w:rsid w:val="00A40DF5"/>
    <w:rsid w:val="00A43C7E"/>
    <w:rsid w:val="00A460AA"/>
    <w:rsid w:val="00A522C1"/>
    <w:rsid w:val="00A52A00"/>
    <w:rsid w:val="00A54034"/>
    <w:rsid w:val="00A55CB6"/>
    <w:rsid w:val="00A60E9D"/>
    <w:rsid w:val="00A811A3"/>
    <w:rsid w:val="00A86141"/>
    <w:rsid w:val="00A87B4D"/>
    <w:rsid w:val="00A905C9"/>
    <w:rsid w:val="00A9641B"/>
    <w:rsid w:val="00AA3CD9"/>
    <w:rsid w:val="00AB70ED"/>
    <w:rsid w:val="00AD7BEB"/>
    <w:rsid w:val="00AE5B8A"/>
    <w:rsid w:val="00AF4732"/>
    <w:rsid w:val="00B15F53"/>
    <w:rsid w:val="00B20A26"/>
    <w:rsid w:val="00B25FC7"/>
    <w:rsid w:val="00B574A8"/>
    <w:rsid w:val="00B63449"/>
    <w:rsid w:val="00B64787"/>
    <w:rsid w:val="00B75009"/>
    <w:rsid w:val="00B75BE4"/>
    <w:rsid w:val="00B80704"/>
    <w:rsid w:val="00B93107"/>
    <w:rsid w:val="00BD5CA0"/>
    <w:rsid w:val="00BE435A"/>
    <w:rsid w:val="00BF308F"/>
    <w:rsid w:val="00C07583"/>
    <w:rsid w:val="00C105AE"/>
    <w:rsid w:val="00C1475E"/>
    <w:rsid w:val="00C22151"/>
    <w:rsid w:val="00C26446"/>
    <w:rsid w:val="00C318F4"/>
    <w:rsid w:val="00C40EFB"/>
    <w:rsid w:val="00C458C6"/>
    <w:rsid w:val="00C93F99"/>
    <w:rsid w:val="00C96D4D"/>
    <w:rsid w:val="00CA0D7B"/>
    <w:rsid w:val="00CA5174"/>
    <w:rsid w:val="00CB2F5C"/>
    <w:rsid w:val="00CB3C55"/>
    <w:rsid w:val="00CC3DAC"/>
    <w:rsid w:val="00CC5AE9"/>
    <w:rsid w:val="00CD4F64"/>
    <w:rsid w:val="00CE501F"/>
    <w:rsid w:val="00D02976"/>
    <w:rsid w:val="00D03C3C"/>
    <w:rsid w:val="00D22B6B"/>
    <w:rsid w:val="00D24661"/>
    <w:rsid w:val="00D250F6"/>
    <w:rsid w:val="00D317BE"/>
    <w:rsid w:val="00D345DF"/>
    <w:rsid w:val="00D56915"/>
    <w:rsid w:val="00D5770F"/>
    <w:rsid w:val="00D6089C"/>
    <w:rsid w:val="00D73E2C"/>
    <w:rsid w:val="00D8452A"/>
    <w:rsid w:val="00D86692"/>
    <w:rsid w:val="00D86B11"/>
    <w:rsid w:val="00D90524"/>
    <w:rsid w:val="00D90BD0"/>
    <w:rsid w:val="00D92548"/>
    <w:rsid w:val="00D969E3"/>
    <w:rsid w:val="00DA510F"/>
    <w:rsid w:val="00DB3B07"/>
    <w:rsid w:val="00DB5CCA"/>
    <w:rsid w:val="00DC00D0"/>
    <w:rsid w:val="00DC6113"/>
    <w:rsid w:val="00DE600B"/>
    <w:rsid w:val="00DE619F"/>
    <w:rsid w:val="00DF1E75"/>
    <w:rsid w:val="00DF2985"/>
    <w:rsid w:val="00DF31AB"/>
    <w:rsid w:val="00E0511D"/>
    <w:rsid w:val="00E1042E"/>
    <w:rsid w:val="00E137DB"/>
    <w:rsid w:val="00E17C07"/>
    <w:rsid w:val="00E321BC"/>
    <w:rsid w:val="00E41355"/>
    <w:rsid w:val="00E53A1D"/>
    <w:rsid w:val="00E57789"/>
    <w:rsid w:val="00EA01F2"/>
    <w:rsid w:val="00EA11A3"/>
    <w:rsid w:val="00EB1B8E"/>
    <w:rsid w:val="00EB305F"/>
    <w:rsid w:val="00EB60F4"/>
    <w:rsid w:val="00EC5076"/>
    <w:rsid w:val="00ED5529"/>
    <w:rsid w:val="00EF5923"/>
    <w:rsid w:val="00F005D2"/>
    <w:rsid w:val="00F24543"/>
    <w:rsid w:val="00F25C08"/>
    <w:rsid w:val="00F30A5A"/>
    <w:rsid w:val="00F43299"/>
    <w:rsid w:val="00F534C8"/>
    <w:rsid w:val="00F61A2F"/>
    <w:rsid w:val="00FB4640"/>
    <w:rsid w:val="00FB58A1"/>
    <w:rsid w:val="00FD4139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FFBF1"/>
  <w15:docId w15:val="{5ECC5B76-77C7-4AA6-BB7A-79C9B20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0AEC"/>
    <w:rPr>
      <w:sz w:val="24"/>
      <w:szCs w:val="24"/>
    </w:rPr>
  </w:style>
  <w:style w:type="paragraph" w:styleId="Nadpis1">
    <w:name w:val="heading 1"/>
    <w:basedOn w:val="Normln"/>
    <w:next w:val="Normln"/>
    <w:qFormat/>
    <w:rsid w:val="009E0AEC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0AEC"/>
    <w:rPr>
      <w:color w:val="0000FF"/>
      <w:u w:val="single"/>
    </w:rPr>
  </w:style>
  <w:style w:type="paragraph" w:styleId="Textpoznpodarou">
    <w:name w:val="footnote text"/>
    <w:basedOn w:val="Normln"/>
    <w:semiHidden/>
    <w:rsid w:val="009E0AEC"/>
    <w:rPr>
      <w:sz w:val="20"/>
      <w:szCs w:val="20"/>
    </w:rPr>
  </w:style>
  <w:style w:type="character" w:styleId="Znakapoznpodarou">
    <w:name w:val="footnote reference"/>
    <w:semiHidden/>
    <w:rsid w:val="009E0AEC"/>
    <w:rPr>
      <w:vertAlign w:val="superscript"/>
    </w:rPr>
  </w:style>
  <w:style w:type="paragraph" w:styleId="Rozloendokumentu">
    <w:name w:val="Document Map"/>
    <w:basedOn w:val="Normln"/>
    <w:semiHidden/>
    <w:rsid w:val="009E0AEC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9E0AEC"/>
    <w:pPr>
      <w:jc w:val="both"/>
    </w:pPr>
    <w:rPr>
      <w:rFonts w:ascii="Arial" w:hAnsi="Arial" w:cs="Arial"/>
      <w:sz w:val="20"/>
    </w:rPr>
  </w:style>
  <w:style w:type="character" w:styleId="Sledovanodkaz">
    <w:name w:val="FollowedHyperlink"/>
    <w:rsid w:val="009E0AEC"/>
    <w:rPr>
      <w:color w:val="800080"/>
      <w:u w:val="single"/>
    </w:rPr>
  </w:style>
  <w:style w:type="paragraph" w:styleId="Zkladntextodsazen">
    <w:name w:val="Body Text Indent"/>
    <w:basedOn w:val="Normln"/>
    <w:rsid w:val="009E0AEC"/>
    <w:pPr>
      <w:ind w:firstLine="709"/>
      <w:jc w:val="both"/>
    </w:pPr>
    <w:rPr>
      <w:rFonts w:ascii="Arial" w:hAnsi="Arial" w:cs="Arial"/>
      <w:sz w:val="20"/>
    </w:rPr>
  </w:style>
  <w:style w:type="paragraph" w:customStyle="1" w:styleId="Standardnte">
    <w:name w:val="Standardní te"/>
    <w:rsid w:val="009E0AEC"/>
    <w:pPr>
      <w:widowControl w:val="0"/>
      <w:snapToGrid w:val="0"/>
    </w:pPr>
    <w:rPr>
      <w:color w:val="000000"/>
      <w:sz w:val="24"/>
    </w:rPr>
  </w:style>
  <w:style w:type="paragraph" w:styleId="Textbubliny">
    <w:name w:val="Balloon Text"/>
    <w:basedOn w:val="Normln"/>
    <w:semiHidden/>
    <w:rsid w:val="009E0AE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E0AEC"/>
    <w:pPr>
      <w:tabs>
        <w:tab w:val="left" w:pos="10320"/>
        <w:tab w:val="left" w:pos="14400"/>
        <w:tab w:val="left" w:pos="14520"/>
      </w:tabs>
      <w:ind w:right="-49"/>
      <w:jc w:val="both"/>
    </w:pPr>
    <w:rPr>
      <w:rFonts w:ascii="Arial" w:hAnsi="Arial" w:cs="Arial"/>
      <w:sz w:val="20"/>
    </w:rPr>
  </w:style>
  <w:style w:type="character" w:styleId="Odkaznakoment">
    <w:name w:val="annotation reference"/>
    <w:rsid w:val="004318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18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180A"/>
  </w:style>
  <w:style w:type="paragraph" w:styleId="Pedmtkomente">
    <w:name w:val="annotation subject"/>
    <w:basedOn w:val="Textkomente"/>
    <w:next w:val="Textkomente"/>
    <w:link w:val="PedmtkomenteChar"/>
    <w:rsid w:val="0043180A"/>
    <w:rPr>
      <w:b/>
      <w:bCs/>
    </w:rPr>
  </w:style>
  <w:style w:type="character" w:customStyle="1" w:styleId="PedmtkomenteChar">
    <w:name w:val="Předmět komentáře Char"/>
    <w:link w:val="Pedmtkomente"/>
    <w:rsid w:val="0043180A"/>
    <w:rPr>
      <w:b/>
      <w:bCs/>
    </w:rPr>
  </w:style>
  <w:style w:type="paragraph" w:styleId="Revize">
    <w:name w:val="Revision"/>
    <w:hidden/>
    <w:uiPriority w:val="99"/>
    <w:semiHidden/>
    <w:rsid w:val="000827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fcr.cz/cs/verejny-sektor/makroekonomika/statistika-vladniho-sektoru/2022/vladni-financni-statistika-2022-518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cr.cz/cs/verejny-sektor/statni-rozpocet/plneni-statniho-rozpoct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14D6-CA52-471F-9C8B-BDE1A60B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</vt:lpstr>
    </vt:vector>
  </TitlesOfParts>
  <Company>ČSU</Company>
  <LinksUpToDate>false</LinksUpToDate>
  <CharactersWithSpaces>4850</CharactersWithSpaces>
  <SharedDoc>false</SharedDoc>
  <HLinks>
    <vt:vector size="12" baseType="variant">
      <vt:variant>
        <vt:i4>2818087</vt:i4>
      </vt:variant>
      <vt:variant>
        <vt:i4>3</vt:i4>
      </vt:variant>
      <vt:variant>
        <vt:i4>0</vt:i4>
      </vt:variant>
      <vt:variant>
        <vt:i4>5</vt:i4>
      </vt:variant>
      <vt:variant>
        <vt:lpwstr>http://www.mfcr.cz/cs/verejny-sektor/monitoring/statistika-vladniho-sektoru/2012/vladni-financni-stattistika-12809</vt:lpwstr>
      </vt:variant>
      <vt:variant>
        <vt:lpwstr/>
      </vt:variant>
      <vt:variant>
        <vt:i4>589851</vt:i4>
      </vt:variant>
      <vt:variant>
        <vt:i4>0</vt:i4>
      </vt:variant>
      <vt:variant>
        <vt:i4>0</vt:i4>
      </vt:variant>
      <vt:variant>
        <vt:i4>5</vt:i4>
      </vt:variant>
      <vt:variant>
        <vt:lpwstr>http://www.mfcr.cz/cs/verejny-sektor/monitoring/plneni-statniho-rozpoctu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 FINANCE, Metodické vysvětlivky, Statistická ročenka ČR 2023</dc:title>
  <dc:creator>Český statistický úřad</dc:creator>
  <cp:lastModifiedBy>Zadák Rostislav</cp:lastModifiedBy>
  <cp:revision>23</cp:revision>
  <cp:lastPrinted>2021-01-27T07:38:00Z</cp:lastPrinted>
  <dcterms:created xsi:type="dcterms:W3CDTF">2021-02-05T12:22:00Z</dcterms:created>
  <dcterms:modified xsi:type="dcterms:W3CDTF">2023-11-09T13:48:00Z</dcterms:modified>
</cp:coreProperties>
</file>