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91A" w:rsidRPr="00150F64" w:rsidRDefault="0003591A" w:rsidP="0003591A">
      <w:pPr>
        <w:pStyle w:val="Mnadpis2"/>
      </w:pPr>
      <w:bookmarkStart w:id="0" w:name="_Toc385594786"/>
      <w:r w:rsidRPr="00150F64">
        <w:t>2.3.  Narození v okrese bydliště</w:t>
      </w:r>
      <w:bookmarkEnd w:id="0"/>
    </w:p>
    <w:p w:rsidR="0003591A" w:rsidRDefault="0003591A" w:rsidP="0003591A">
      <w:pPr>
        <w:widowControl w:val="0"/>
        <w:rPr>
          <w:rFonts w:ascii="Arial" w:hAnsi="Arial" w:cs="Arial"/>
        </w:rPr>
      </w:pPr>
    </w:p>
    <w:p w:rsidR="0003591A" w:rsidRDefault="0003591A" w:rsidP="0003591A">
      <w:pPr>
        <w:widowControl w:val="0"/>
        <w:spacing w:after="120"/>
        <w:jc w:val="both"/>
        <w:rPr>
          <w:rFonts w:ascii="Arial" w:hAnsi="Arial" w:cs="Arial"/>
        </w:rPr>
      </w:pPr>
      <w:r>
        <w:rPr>
          <w:rFonts w:ascii="Arial" w:hAnsi="Arial" w:cs="Arial"/>
        </w:rPr>
        <w:t xml:space="preserve">Jako alternativní charakteristiku migrace na kratší vzdálenost je možno sledovat podíl osob narozených v jiné obci okresu bydliště. Členění území do okresů je výrazně hrubší než podle SO ORP (počet SO ORP je více než 2,5krát vyšší než počet okresů), neposkytuje proto tak detailní obraz územních rozdílů. Na druhé straně je v souboru okresů méně extrémních hodnot počtu obcí nebo rozlohy území, které hodnocení vlastní migrace zkreslují. </w:t>
      </w:r>
    </w:p>
    <w:p w:rsidR="0003591A" w:rsidRDefault="0003591A" w:rsidP="0003591A">
      <w:pPr>
        <w:widowControl w:val="0"/>
        <w:spacing w:after="120"/>
        <w:jc w:val="both"/>
        <w:rPr>
          <w:rFonts w:ascii="Arial" w:hAnsi="Arial" w:cs="Arial"/>
        </w:rPr>
      </w:pPr>
      <w:r>
        <w:rPr>
          <w:rFonts w:ascii="Arial" w:hAnsi="Arial" w:cs="Arial"/>
          <w:noProof/>
        </w:rPr>
        <w:drawing>
          <wp:inline distT="0" distB="0" distL="0" distR="0">
            <wp:extent cx="6120130" cy="4308475"/>
            <wp:effectExtent l="19050" t="19050" r="13970" b="15875"/>
            <wp:docPr id="19" name="Obrázek 18" descr="jina_obec_ok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ina_obec_okr2.jpg"/>
                    <pic:cNvPicPr/>
                  </pic:nvPicPr>
                  <pic:blipFill>
                    <a:blip r:embed="rId4" cstate="print"/>
                    <a:stretch>
                      <a:fillRect/>
                    </a:stretch>
                  </pic:blipFill>
                  <pic:spPr>
                    <a:xfrm>
                      <a:off x="0" y="0"/>
                      <a:ext cx="6120130" cy="4308475"/>
                    </a:xfrm>
                    <a:prstGeom prst="rect">
                      <a:avLst/>
                    </a:prstGeom>
                    <a:ln>
                      <a:solidFill>
                        <a:schemeClr val="tx1">
                          <a:lumMod val="75000"/>
                          <a:lumOff val="25000"/>
                        </a:schemeClr>
                      </a:solidFill>
                    </a:ln>
                  </pic:spPr>
                </pic:pic>
              </a:graphicData>
            </a:graphic>
          </wp:inline>
        </w:drawing>
      </w:r>
    </w:p>
    <w:p w:rsidR="0003591A" w:rsidRPr="000165DD" w:rsidRDefault="0003591A" w:rsidP="0003591A">
      <w:pPr>
        <w:widowControl w:val="0"/>
        <w:spacing w:after="120"/>
        <w:jc w:val="both"/>
        <w:rPr>
          <w:rFonts w:ascii="Arial" w:hAnsi="Arial" w:cs="Arial"/>
        </w:rPr>
      </w:pPr>
      <w:r>
        <w:rPr>
          <w:rFonts w:ascii="Arial" w:hAnsi="Arial" w:cs="Arial"/>
        </w:rPr>
        <w:t>Vzhledem k větší průměrné velikosti okresu oproti SO ORP je pochopitelně větší i zastoupení tohoto typu změny bydliště mezi obyvatelstvem</w:t>
      </w:r>
      <w:r w:rsidRPr="000165DD">
        <w:rPr>
          <w:rFonts w:ascii="Arial" w:hAnsi="Arial" w:cs="Arial"/>
        </w:rPr>
        <w:t xml:space="preserve">. Přibližně 1,5 mil. osob, tj. 14,4 % obyvatel ČR při sčítání jako obec svého narození uvedlo jinou obec ležící v okresu jejich bydliště. Tento podíl se tedy od roku 2001 mírně snížil; podobně jako u </w:t>
      </w:r>
      <w:r>
        <w:rPr>
          <w:rFonts w:ascii="Arial" w:hAnsi="Arial" w:cs="Arial"/>
        </w:rPr>
        <w:t>narozených v obci bydliště</w:t>
      </w:r>
      <w:r w:rsidRPr="000165DD">
        <w:rPr>
          <w:rFonts w:ascii="Arial" w:hAnsi="Arial" w:cs="Arial"/>
        </w:rPr>
        <w:t xml:space="preserve"> i zde je však obtížné určit, zda se jedná o skutečný pokles, nebo vliv odlišné metodiky sčítání či většího podílu nepřesných údajů.</w:t>
      </w:r>
    </w:p>
    <w:p w:rsidR="0003591A" w:rsidRDefault="0003591A" w:rsidP="0003591A">
      <w:pPr>
        <w:widowControl w:val="0"/>
        <w:spacing w:after="120"/>
        <w:jc w:val="both"/>
        <w:rPr>
          <w:rFonts w:ascii="Arial" w:hAnsi="Arial" w:cs="Arial"/>
        </w:rPr>
      </w:pPr>
      <w:r>
        <w:rPr>
          <w:rFonts w:ascii="Arial" w:hAnsi="Arial" w:cs="Arial"/>
        </w:rPr>
        <w:t>Nejvyšší podíly osob narozených v jiné obci okresu bydliště – přibližně pětina až čtvrtina obyvatel – se vyskytují v širokém pásu okresů na pomezí Čech a Moravy, na střední Moravě a při hranicích se Slovenskem, v Čechách pak v okresech Domažlice, Klatovy a Litoměřice. Vůbec nejvyšší podíl této kategorie má okres Šumperk – 25,3 % obyvatel. Pětinovému podílu se ale blíží i řada dalších okresů z jižních, středních a východních Čech.</w:t>
      </w:r>
    </w:p>
    <w:p w:rsidR="0003591A" w:rsidRDefault="0003591A" w:rsidP="0003591A">
      <w:pPr>
        <w:widowControl w:val="0"/>
        <w:spacing w:after="120"/>
        <w:jc w:val="both"/>
        <w:rPr>
          <w:rFonts w:ascii="Arial" w:hAnsi="Arial" w:cs="Arial"/>
        </w:rPr>
      </w:pPr>
      <w:r>
        <w:rPr>
          <w:rFonts w:ascii="Arial" w:hAnsi="Arial" w:cs="Arial"/>
        </w:rPr>
        <w:t>Na opačném pólu stojí především městské okresy. Praha a Brno-město, kde jiná obec okresu neexistuje, mají tento ukazatel nulový, u okresů Plzeň-město a Ostrava, které mají velmi malý počet obcí, dosahuje necelých 3 %. Velmi nízký podíl narozených v jiné obci stejného okresu mají také okresy v zázemí Prahy – Praha-západ 5,0 %, Praha-východ 6,4 % a Ústí nad Labem 8,5 %. Podprůměrné hodnoty se vyskytují i v některých okresech západních a severních Čech.</w:t>
      </w:r>
    </w:p>
    <w:p w:rsidR="0003591A" w:rsidRDefault="0003591A" w:rsidP="0003591A">
      <w:pPr>
        <w:widowControl w:val="0"/>
        <w:spacing w:after="120"/>
        <w:jc w:val="both"/>
        <w:rPr>
          <w:rFonts w:ascii="Arial" w:hAnsi="Arial" w:cs="Arial"/>
        </w:rPr>
      </w:pPr>
      <w:r w:rsidRPr="007139E3">
        <w:rPr>
          <w:rFonts w:ascii="Arial" w:hAnsi="Arial" w:cs="Arial"/>
        </w:rPr>
        <w:t xml:space="preserve">V úhrnu 6,4 mil. - více než tři pětiny obyvatel ČR žijí v okrese svého rodiště (ve stejné nebo jiné obci v okrese). </w:t>
      </w:r>
      <w:r>
        <w:rPr>
          <w:rFonts w:ascii="Arial" w:hAnsi="Arial" w:cs="Arial"/>
        </w:rPr>
        <w:t>Podíl osob narozených v okrese bydliště se pohybuje téměř ve stejném rozmezí jako u SO ORP. Prostorový vzorec je přitom velmi podobný jako v roce 2001, došlo pouze ke snížení hodnot.</w:t>
      </w:r>
    </w:p>
    <w:p w:rsidR="0003591A" w:rsidRDefault="0003591A" w:rsidP="0003591A">
      <w:pPr>
        <w:widowControl w:val="0"/>
        <w:spacing w:after="120"/>
        <w:jc w:val="both"/>
        <w:rPr>
          <w:rFonts w:ascii="Arial" w:hAnsi="Arial" w:cs="Arial"/>
        </w:rPr>
      </w:pPr>
    </w:p>
    <w:p w:rsidR="0003591A" w:rsidRDefault="0003591A" w:rsidP="0003591A">
      <w:pPr>
        <w:widowControl w:val="0"/>
        <w:spacing w:after="120"/>
        <w:jc w:val="both"/>
        <w:rPr>
          <w:rFonts w:ascii="Arial" w:hAnsi="Arial" w:cs="Arial"/>
        </w:rPr>
      </w:pPr>
    </w:p>
    <w:p w:rsidR="0003591A" w:rsidRDefault="0003591A" w:rsidP="0003591A">
      <w:pPr>
        <w:widowControl w:val="0"/>
        <w:spacing w:after="120"/>
        <w:jc w:val="both"/>
        <w:rPr>
          <w:rFonts w:ascii="Arial" w:hAnsi="Arial" w:cs="Arial"/>
        </w:rPr>
      </w:pPr>
    </w:p>
    <w:p w:rsidR="0003591A" w:rsidRDefault="0003591A" w:rsidP="0003591A">
      <w:pPr>
        <w:widowControl w:val="0"/>
        <w:spacing w:after="60"/>
        <w:jc w:val="both"/>
        <w:rPr>
          <w:rFonts w:ascii="Arial" w:hAnsi="Arial" w:cs="Arial"/>
          <w:b/>
        </w:rPr>
      </w:pPr>
      <w:r w:rsidRPr="007E7A29">
        <w:rPr>
          <w:rFonts w:ascii="Arial" w:hAnsi="Arial" w:cs="Arial"/>
          <w:b/>
        </w:rPr>
        <w:lastRenderedPageBreak/>
        <w:t>Obyvatelstvo podle krajů a místa bydliště v době narození k 26. 3. 2011</w:t>
      </w:r>
    </w:p>
    <w:tbl>
      <w:tblPr>
        <w:tblW w:w="9020" w:type="dxa"/>
        <w:tblInd w:w="55" w:type="dxa"/>
        <w:tblCellMar>
          <w:left w:w="70" w:type="dxa"/>
          <w:right w:w="70" w:type="dxa"/>
        </w:tblCellMar>
        <w:tblLook w:val="04A0"/>
      </w:tblPr>
      <w:tblGrid>
        <w:gridCol w:w="1740"/>
        <w:gridCol w:w="980"/>
        <w:gridCol w:w="900"/>
        <w:gridCol w:w="900"/>
        <w:gridCol w:w="900"/>
        <w:gridCol w:w="900"/>
        <w:gridCol w:w="900"/>
        <w:gridCol w:w="900"/>
        <w:gridCol w:w="900"/>
      </w:tblGrid>
      <w:tr w:rsidR="0003591A" w:rsidRPr="00E564A2" w:rsidTr="000F3DF8">
        <w:trPr>
          <w:trHeight w:val="225"/>
        </w:trPr>
        <w:tc>
          <w:tcPr>
            <w:tcW w:w="1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591A" w:rsidRPr="00E564A2" w:rsidRDefault="0003591A" w:rsidP="000F3DF8">
            <w:pPr>
              <w:widowControl w:val="0"/>
              <w:jc w:val="center"/>
              <w:rPr>
                <w:rFonts w:ascii="Arial" w:hAnsi="Arial" w:cs="Arial"/>
                <w:color w:val="000000"/>
                <w:sz w:val="16"/>
                <w:szCs w:val="16"/>
              </w:rPr>
            </w:pPr>
            <w:r w:rsidRPr="00E564A2">
              <w:rPr>
                <w:rFonts w:ascii="Arial" w:hAnsi="Arial" w:cs="Arial"/>
                <w:color w:val="000000"/>
                <w:sz w:val="16"/>
                <w:szCs w:val="16"/>
              </w:rPr>
              <w:t> </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591A" w:rsidRPr="00E564A2" w:rsidRDefault="0003591A" w:rsidP="000F3DF8">
            <w:pPr>
              <w:widowControl w:val="0"/>
              <w:jc w:val="center"/>
              <w:rPr>
                <w:rFonts w:ascii="Arial" w:hAnsi="Arial" w:cs="Arial"/>
                <w:color w:val="000000"/>
                <w:sz w:val="16"/>
                <w:szCs w:val="16"/>
              </w:rPr>
            </w:pPr>
            <w:r w:rsidRPr="00E564A2">
              <w:rPr>
                <w:rFonts w:ascii="Arial" w:hAnsi="Arial" w:cs="Arial"/>
                <w:color w:val="000000"/>
                <w:sz w:val="16"/>
                <w:szCs w:val="16"/>
              </w:rPr>
              <w:t>Počet obyvatel</w:t>
            </w:r>
          </w:p>
        </w:tc>
        <w:tc>
          <w:tcPr>
            <w:tcW w:w="6300" w:type="dxa"/>
            <w:gridSpan w:val="7"/>
            <w:tcBorders>
              <w:top w:val="single" w:sz="4" w:space="0" w:color="auto"/>
              <w:left w:val="nil"/>
              <w:bottom w:val="single" w:sz="4" w:space="0" w:color="auto"/>
              <w:right w:val="single" w:sz="4" w:space="0" w:color="auto"/>
            </w:tcBorders>
            <w:shd w:val="clear" w:color="auto" w:fill="auto"/>
            <w:noWrap/>
            <w:vAlign w:val="bottom"/>
            <w:hideMark/>
          </w:tcPr>
          <w:p w:rsidR="0003591A" w:rsidRPr="00E564A2" w:rsidRDefault="0003591A" w:rsidP="000F3DF8">
            <w:pPr>
              <w:widowControl w:val="0"/>
              <w:jc w:val="center"/>
              <w:rPr>
                <w:rFonts w:ascii="Arial" w:hAnsi="Arial" w:cs="Arial"/>
                <w:color w:val="000000"/>
                <w:sz w:val="16"/>
                <w:szCs w:val="16"/>
              </w:rPr>
            </w:pPr>
            <w:r w:rsidRPr="00E564A2">
              <w:rPr>
                <w:rFonts w:ascii="Arial" w:hAnsi="Arial" w:cs="Arial"/>
                <w:color w:val="000000"/>
                <w:sz w:val="16"/>
                <w:szCs w:val="16"/>
              </w:rPr>
              <w:t>z toho bydliště v době narození (v %)</w:t>
            </w:r>
          </w:p>
        </w:tc>
      </w:tr>
      <w:tr w:rsidR="0003591A" w:rsidRPr="00E564A2" w:rsidTr="000F3DF8">
        <w:trPr>
          <w:trHeight w:val="225"/>
        </w:trPr>
        <w:tc>
          <w:tcPr>
            <w:tcW w:w="1740" w:type="dxa"/>
            <w:vMerge/>
            <w:tcBorders>
              <w:top w:val="single" w:sz="4" w:space="0" w:color="auto"/>
              <w:left w:val="single" w:sz="4" w:space="0" w:color="auto"/>
              <w:bottom w:val="single" w:sz="4" w:space="0" w:color="auto"/>
              <w:right w:val="single" w:sz="4" w:space="0" w:color="auto"/>
            </w:tcBorders>
            <w:vAlign w:val="center"/>
            <w:hideMark/>
          </w:tcPr>
          <w:p w:rsidR="0003591A" w:rsidRPr="00E564A2" w:rsidRDefault="0003591A" w:rsidP="000F3DF8">
            <w:pPr>
              <w:widowControl w:val="0"/>
              <w:rPr>
                <w:rFonts w:ascii="Arial" w:hAnsi="Arial" w:cs="Arial"/>
                <w:color w:val="000000"/>
                <w:sz w:val="16"/>
                <w:szCs w:val="16"/>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03591A" w:rsidRPr="00E564A2" w:rsidRDefault="0003591A" w:rsidP="000F3DF8">
            <w:pPr>
              <w:widowControl w:val="0"/>
              <w:rPr>
                <w:rFonts w:ascii="Arial" w:hAnsi="Arial" w:cs="Arial"/>
                <w:color w:val="000000"/>
                <w:sz w:val="16"/>
                <w:szCs w:val="16"/>
              </w:rPr>
            </w:pP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03591A" w:rsidRPr="00E564A2" w:rsidRDefault="0003591A" w:rsidP="000F3DF8">
            <w:pPr>
              <w:widowControl w:val="0"/>
              <w:jc w:val="center"/>
              <w:rPr>
                <w:rFonts w:ascii="Arial" w:hAnsi="Arial" w:cs="Arial"/>
                <w:color w:val="000000"/>
                <w:sz w:val="16"/>
                <w:szCs w:val="16"/>
              </w:rPr>
            </w:pPr>
            <w:r w:rsidRPr="00E564A2">
              <w:rPr>
                <w:rFonts w:ascii="Arial" w:hAnsi="Arial" w:cs="Arial"/>
                <w:color w:val="000000"/>
                <w:sz w:val="16"/>
                <w:szCs w:val="16"/>
              </w:rPr>
              <w:t>v obci bydliště</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03591A" w:rsidRPr="00E564A2" w:rsidRDefault="0003591A" w:rsidP="000F3DF8">
            <w:pPr>
              <w:widowControl w:val="0"/>
              <w:jc w:val="center"/>
              <w:rPr>
                <w:rFonts w:ascii="Arial" w:hAnsi="Arial" w:cs="Arial"/>
                <w:color w:val="000000"/>
                <w:sz w:val="16"/>
                <w:szCs w:val="16"/>
              </w:rPr>
            </w:pPr>
            <w:r w:rsidRPr="00E564A2">
              <w:rPr>
                <w:rFonts w:ascii="Arial" w:hAnsi="Arial" w:cs="Arial"/>
                <w:color w:val="000000"/>
                <w:sz w:val="16"/>
                <w:szCs w:val="16"/>
              </w:rPr>
              <w:t>v jiné obci okresu</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03591A" w:rsidRPr="00E564A2" w:rsidRDefault="0003591A" w:rsidP="000F3DF8">
            <w:pPr>
              <w:widowControl w:val="0"/>
              <w:jc w:val="center"/>
              <w:rPr>
                <w:rFonts w:ascii="Arial" w:hAnsi="Arial" w:cs="Arial"/>
                <w:color w:val="000000"/>
                <w:sz w:val="16"/>
                <w:szCs w:val="16"/>
              </w:rPr>
            </w:pPr>
            <w:r w:rsidRPr="00E564A2">
              <w:rPr>
                <w:rFonts w:ascii="Arial" w:hAnsi="Arial" w:cs="Arial"/>
                <w:color w:val="000000"/>
                <w:sz w:val="16"/>
                <w:szCs w:val="16"/>
              </w:rPr>
              <w:t>v jiném okrese kraje</w:t>
            </w:r>
          </w:p>
        </w:tc>
        <w:tc>
          <w:tcPr>
            <w:tcW w:w="900" w:type="dxa"/>
            <w:vMerge w:val="restart"/>
            <w:tcBorders>
              <w:top w:val="nil"/>
              <w:left w:val="single" w:sz="4" w:space="0" w:color="auto"/>
              <w:bottom w:val="single" w:sz="4" w:space="0" w:color="auto"/>
              <w:right w:val="double" w:sz="6" w:space="0" w:color="auto"/>
            </w:tcBorders>
            <w:shd w:val="clear" w:color="auto" w:fill="auto"/>
            <w:vAlign w:val="center"/>
            <w:hideMark/>
          </w:tcPr>
          <w:p w:rsidR="0003591A" w:rsidRPr="00E564A2" w:rsidRDefault="0003591A" w:rsidP="000F3DF8">
            <w:pPr>
              <w:widowControl w:val="0"/>
              <w:jc w:val="center"/>
              <w:rPr>
                <w:rFonts w:ascii="Arial" w:hAnsi="Arial" w:cs="Arial"/>
                <w:color w:val="000000"/>
                <w:sz w:val="16"/>
                <w:szCs w:val="16"/>
              </w:rPr>
            </w:pPr>
            <w:r w:rsidRPr="00E564A2">
              <w:rPr>
                <w:rFonts w:ascii="Arial" w:hAnsi="Arial" w:cs="Arial"/>
                <w:color w:val="000000"/>
                <w:sz w:val="16"/>
                <w:szCs w:val="16"/>
              </w:rPr>
              <w:t>v jiném kraji</w:t>
            </w:r>
          </w:p>
        </w:tc>
        <w:tc>
          <w:tcPr>
            <w:tcW w:w="900" w:type="dxa"/>
            <w:vMerge w:val="restart"/>
            <w:tcBorders>
              <w:top w:val="nil"/>
              <w:left w:val="nil"/>
              <w:bottom w:val="single" w:sz="4" w:space="0" w:color="auto"/>
              <w:right w:val="single" w:sz="4" w:space="0" w:color="auto"/>
            </w:tcBorders>
            <w:shd w:val="clear" w:color="auto" w:fill="auto"/>
            <w:vAlign w:val="center"/>
            <w:hideMark/>
          </w:tcPr>
          <w:p w:rsidR="0003591A" w:rsidRPr="00E564A2" w:rsidRDefault="0003591A" w:rsidP="000F3DF8">
            <w:pPr>
              <w:widowControl w:val="0"/>
              <w:jc w:val="center"/>
              <w:rPr>
                <w:rFonts w:ascii="Arial" w:hAnsi="Arial" w:cs="Arial"/>
                <w:color w:val="000000"/>
                <w:sz w:val="16"/>
                <w:szCs w:val="16"/>
              </w:rPr>
            </w:pPr>
            <w:r w:rsidRPr="00E564A2">
              <w:rPr>
                <w:rFonts w:ascii="Arial" w:hAnsi="Arial" w:cs="Arial"/>
                <w:color w:val="000000"/>
                <w:sz w:val="16"/>
                <w:szCs w:val="16"/>
              </w:rPr>
              <w:t>v okrese bydliště celkem</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03591A" w:rsidRPr="00E564A2" w:rsidRDefault="0003591A" w:rsidP="000F3DF8">
            <w:pPr>
              <w:widowControl w:val="0"/>
              <w:jc w:val="center"/>
              <w:rPr>
                <w:rFonts w:ascii="Arial" w:hAnsi="Arial" w:cs="Arial"/>
                <w:color w:val="000000"/>
                <w:sz w:val="16"/>
                <w:szCs w:val="16"/>
              </w:rPr>
            </w:pPr>
            <w:r w:rsidRPr="00E564A2">
              <w:rPr>
                <w:rFonts w:ascii="Arial" w:hAnsi="Arial" w:cs="Arial"/>
                <w:color w:val="000000"/>
                <w:sz w:val="16"/>
                <w:szCs w:val="16"/>
              </w:rPr>
              <w:t>v kraji bydliště celkem</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03591A" w:rsidRPr="00E564A2" w:rsidRDefault="0003591A" w:rsidP="000F3DF8">
            <w:pPr>
              <w:widowControl w:val="0"/>
              <w:jc w:val="center"/>
              <w:rPr>
                <w:rFonts w:ascii="Arial" w:hAnsi="Arial" w:cs="Arial"/>
                <w:color w:val="000000"/>
                <w:sz w:val="16"/>
                <w:szCs w:val="16"/>
              </w:rPr>
            </w:pPr>
            <w:r w:rsidRPr="00E564A2">
              <w:rPr>
                <w:rFonts w:ascii="Arial" w:hAnsi="Arial" w:cs="Arial"/>
                <w:color w:val="000000"/>
                <w:sz w:val="16"/>
                <w:szCs w:val="16"/>
              </w:rPr>
              <w:t>v ČR celkem</w:t>
            </w:r>
          </w:p>
        </w:tc>
      </w:tr>
      <w:tr w:rsidR="0003591A" w:rsidRPr="00E564A2" w:rsidTr="000F3DF8">
        <w:trPr>
          <w:trHeight w:val="225"/>
        </w:trPr>
        <w:tc>
          <w:tcPr>
            <w:tcW w:w="1740" w:type="dxa"/>
            <w:vMerge/>
            <w:tcBorders>
              <w:top w:val="single" w:sz="4" w:space="0" w:color="auto"/>
              <w:left w:val="single" w:sz="4" w:space="0" w:color="auto"/>
              <w:bottom w:val="single" w:sz="4" w:space="0" w:color="auto"/>
              <w:right w:val="single" w:sz="4" w:space="0" w:color="auto"/>
            </w:tcBorders>
            <w:vAlign w:val="center"/>
            <w:hideMark/>
          </w:tcPr>
          <w:p w:rsidR="0003591A" w:rsidRPr="00E564A2" w:rsidRDefault="0003591A" w:rsidP="000F3DF8">
            <w:pPr>
              <w:widowControl w:val="0"/>
              <w:rPr>
                <w:rFonts w:ascii="Arial" w:hAnsi="Arial" w:cs="Arial"/>
                <w:color w:val="000000"/>
                <w:sz w:val="16"/>
                <w:szCs w:val="16"/>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03591A" w:rsidRPr="00E564A2" w:rsidRDefault="0003591A" w:rsidP="000F3DF8">
            <w:pPr>
              <w:widowControl w:val="0"/>
              <w:rPr>
                <w:rFonts w:ascii="Arial" w:hAnsi="Arial" w:cs="Arial"/>
                <w:color w:val="000000"/>
                <w:sz w:val="16"/>
                <w:szCs w:val="16"/>
              </w:rPr>
            </w:pPr>
          </w:p>
        </w:tc>
        <w:tc>
          <w:tcPr>
            <w:tcW w:w="900" w:type="dxa"/>
            <w:vMerge/>
            <w:tcBorders>
              <w:top w:val="nil"/>
              <w:left w:val="single" w:sz="4" w:space="0" w:color="auto"/>
              <w:bottom w:val="single" w:sz="4" w:space="0" w:color="auto"/>
              <w:right w:val="single" w:sz="4" w:space="0" w:color="auto"/>
            </w:tcBorders>
            <w:vAlign w:val="center"/>
            <w:hideMark/>
          </w:tcPr>
          <w:p w:rsidR="0003591A" w:rsidRPr="00E564A2" w:rsidRDefault="0003591A" w:rsidP="000F3DF8">
            <w:pPr>
              <w:widowControl w:val="0"/>
              <w:rPr>
                <w:rFonts w:ascii="Arial" w:hAnsi="Arial" w:cs="Arial"/>
                <w:color w:val="000000"/>
                <w:sz w:val="16"/>
                <w:szCs w:val="16"/>
              </w:rPr>
            </w:pPr>
          </w:p>
        </w:tc>
        <w:tc>
          <w:tcPr>
            <w:tcW w:w="900" w:type="dxa"/>
            <w:vMerge/>
            <w:tcBorders>
              <w:top w:val="nil"/>
              <w:left w:val="single" w:sz="4" w:space="0" w:color="auto"/>
              <w:bottom w:val="single" w:sz="4" w:space="0" w:color="auto"/>
              <w:right w:val="single" w:sz="4" w:space="0" w:color="auto"/>
            </w:tcBorders>
            <w:vAlign w:val="center"/>
            <w:hideMark/>
          </w:tcPr>
          <w:p w:rsidR="0003591A" w:rsidRPr="00E564A2" w:rsidRDefault="0003591A" w:rsidP="000F3DF8">
            <w:pPr>
              <w:widowControl w:val="0"/>
              <w:rPr>
                <w:rFonts w:ascii="Arial" w:hAnsi="Arial" w:cs="Arial"/>
                <w:color w:val="000000"/>
                <w:sz w:val="16"/>
                <w:szCs w:val="16"/>
              </w:rPr>
            </w:pPr>
          </w:p>
        </w:tc>
        <w:tc>
          <w:tcPr>
            <w:tcW w:w="900" w:type="dxa"/>
            <w:vMerge/>
            <w:tcBorders>
              <w:top w:val="nil"/>
              <w:left w:val="single" w:sz="4" w:space="0" w:color="auto"/>
              <w:bottom w:val="single" w:sz="4" w:space="0" w:color="auto"/>
              <w:right w:val="single" w:sz="4" w:space="0" w:color="auto"/>
            </w:tcBorders>
            <w:vAlign w:val="center"/>
            <w:hideMark/>
          </w:tcPr>
          <w:p w:rsidR="0003591A" w:rsidRPr="00E564A2" w:rsidRDefault="0003591A" w:rsidP="000F3DF8">
            <w:pPr>
              <w:widowControl w:val="0"/>
              <w:rPr>
                <w:rFonts w:ascii="Arial" w:hAnsi="Arial" w:cs="Arial"/>
                <w:color w:val="000000"/>
                <w:sz w:val="16"/>
                <w:szCs w:val="16"/>
              </w:rPr>
            </w:pPr>
          </w:p>
        </w:tc>
        <w:tc>
          <w:tcPr>
            <w:tcW w:w="900" w:type="dxa"/>
            <w:vMerge/>
            <w:tcBorders>
              <w:top w:val="nil"/>
              <w:left w:val="single" w:sz="4" w:space="0" w:color="auto"/>
              <w:bottom w:val="single" w:sz="4" w:space="0" w:color="auto"/>
              <w:right w:val="double" w:sz="6" w:space="0" w:color="auto"/>
            </w:tcBorders>
            <w:vAlign w:val="center"/>
            <w:hideMark/>
          </w:tcPr>
          <w:p w:rsidR="0003591A" w:rsidRPr="00E564A2" w:rsidRDefault="0003591A" w:rsidP="000F3DF8">
            <w:pPr>
              <w:widowControl w:val="0"/>
              <w:rPr>
                <w:rFonts w:ascii="Arial" w:hAnsi="Arial" w:cs="Arial"/>
                <w:color w:val="000000"/>
                <w:sz w:val="16"/>
                <w:szCs w:val="16"/>
              </w:rPr>
            </w:pPr>
          </w:p>
        </w:tc>
        <w:tc>
          <w:tcPr>
            <w:tcW w:w="900" w:type="dxa"/>
            <w:vMerge/>
            <w:tcBorders>
              <w:top w:val="nil"/>
              <w:left w:val="nil"/>
              <w:bottom w:val="single" w:sz="4" w:space="0" w:color="auto"/>
              <w:right w:val="single" w:sz="4" w:space="0" w:color="auto"/>
            </w:tcBorders>
            <w:vAlign w:val="center"/>
            <w:hideMark/>
          </w:tcPr>
          <w:p w:rsidR="0003591A" w:rsidRPr="00E564A2" w:rsidRDefault="0003591A" w:rsidP="000F3DF8">
            <w:pPr>
              <w:widowControl w:val="0"/>
              <w:rPr>
                <w:rFonts w:ascii="Arial" w:hAnsi="Arial" w:cs="Arial"/>
                <w:color w:val="000000"/>
                <w:sz w:val="16"/>
                <w:szCs w:val="16"/>
              </w:rPr>
            </w:pPr>
          </w:p>
        </w:tc>
        <w:tc>
          <w:tcPr>
            <w:tcW w:w="900" w:type="dxa"/>
            <w:vMerge/>
            <w:tcBorders>
              <w:top w:val="nil"/>
              <w:left w:val="single" w:sz="4" w:space="0" w:color="auto"/>
              <w:bottom w:val="single" w:sz="4" w:space="0" w:color="auto"/>
              <w:right w:val="single" w:sz="4" w:space="0" w:color="auto"/>
            </w:tcBorders>
            <w:vAlign w:val="center"/>
            <w:hideMark/>
          </w:tcPr>
          <w:p w:rsidR="0003591A" w:rsidRPr="00E564A2" w:rsidRDefault="0003591A" w:rsidP="000F3DF8">
            <w:pPr>
              <w:widowControl w:val="0"/>
              <w:rPr>
                <w:rFonts w:ascii="Arial" w:hAnsi="Arial" w:cs="Arial"/>
                <w:color w:val="000000"/>
                <w:sz w:val="16"/>
                <w:szCs w:val="16"/>
              </w:rPr>
            </w:pPr>
          </w:p>
        </w:tc>
        <w:tc>
          <w:tcPr>
            <w:tcW w:w="900" w:type="dxa"/>
            <w:vMerge/>
            <w:tcBorders>
              <w:top w:val="nil"/>
              <w:left w:val="single" w:sz="4" w:space="0" w:color="auto"/>
              <w:bottom w:val="single" w:sz="4" w:space="0" w:color="auto"/>
              <w:right w:val="single" w:sz="4" w:space="0" w:color="auto"/>
            </w:tcBorders>
            <w:vAlign w:val="center"/>
            <w:hideMark/>
          </w:tcPr>
          <w:p w:rsidR="0003591A" w:rsidRPr="00E564A2" w:rsidRDefault="0003591A" w:rsidP="000F3DF8">
            <w:pPr>
              <w:widowControl w:val="0"/>
              <w:rPr>
                <w:rFonts w:ascii="Arial" w:hAnsi="Arial" w:cs="Arial"/>
                <w:color w:val="000000"/>
                <w:sz w:val="16"/>
                <w:szCs w:val="16"/>
              </w:rPr>
            </w:pPr>
          </w:p>
        </w:tc>
      </w:tr>
      <w:tr w:rsidR="0003591A" w:rsidRPr="00E564A2" w:rsidTr="000F3DF8">
        <w:trPr>
          <w:trHeight w:val="225"/>
        </w:trPr>
        <w:tc>
          <w:tcPr>
            <w:tcW w:w="1740" w:type="dxa"/>
            <w:vMerge/>
            <w:tcBorders>
              <w:top w:val="single" w:sz="4" w:space="0" w:color="auto"/>
              <w:left w:val="single" w:sz="4" w:space="0" w:color="auto"/>
              <w:bottom w:val="single" w:sz="4" w:space="0" w:color="auto"/>
              <w:right w:val="single" w:sz="4" w:space="0" w:color="auto"/>
            </w:tcBorders>
            <w:vAlign w:val="center"/>
            <w:hideMark/>
          </w:tcPr>
          <w:p w:rsidR="0003591A" w:rsidRPr="00E564A2" w:rsidRDefault="0003591A" w:rsidP="000F3DF8">
            <w:pPr>
              <w:widowControl w:val="0"/>
              <w:rPr>
                <w:rFonts w:ascii="Arial" w:hAnsi="Arial" w:cs="Arial"/>
                <w:color w:val="000000"/>
                <w:sz w:val="16"/>
                <w:szCs w:val="16"/>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03591A" w:rsidRPr="00E564A2" w:rsidRDefault="0003591A" w:rsidP="000F3DF8">
            <w:pPr>
              <w:widowControl w:val="0"/>
              <w:rPr>
                <w:rFonts w:ascii="Arial" w:hAnsi="Arial" w:cs="Arial"/>
                <w:color w:val="000000"/>
                <w:sz w:val="16"/>
                <w:szCs w:val="16"/>
              </w:rPr>
            </w:pPr>
          </w:p>
        </w:tc>
        <w:tc>
          <w:tcPr>
            <w:tcW w:w="900" w:type="dxa"/>
            <w:vMerge/>
            <w:tcBorders>
              <w:top w:val="nil"/>
              <w:left w:val="single" w:sz="4" w:space="0" w:color="auto"/>
              <w:bottom w:val="single" w:sz="4" w:space="0" w:color="auto"/>
              <w:right w:val="single" w:sz="4" w:space="0" w:color="auto"/>
            </w:tcBorders>
            <w:vAlign w:val="center"/>
            <w:hideMark/>
          </w:tcPr>
          <w:p w:rsidR="0003591A" w:rsidRPr="00E564A2" w:rsidRDefault="0003591A" w:rsidP="000F3DF8">
            <w:pPr>
              <w:widowControl w:val="0"/>
              <w:rPr>
                <w:rFonts w:ascii="Arial" w:hAnsi="Arial" w:cs="Arial"/>
                <w:color w:val="000000"/>
                <w:sz w:val="16"/>
                <w:szCs w:val="16"/>
              </w:rPr>
            </w:pPr>
          </w:p>
        </w:tc>
        <w:tc>
          <w:tcPr>
            <w:tcW w:w="900" w:type="dxa"/>
            <w:vMerge/>
            <w:tcBorders>
              <w:top w:val="nil"/>
              <w:left w:val="single" w:sz="4" w:space="0" w:color="auto"/>
              <w:bottom w:val="single" w:sz="4" w:space="0" w:color="auto"/>
              <w:right w:val="single" w:sz="4" w:space="0" w:color="auto"/>
            </w:tcBorders>
            <w:vAlign w:val="center"/>
            <w:hideMark/>
          </w:tcPr>
          <w:p w:rsidR="0003591A" w:rsidRPr="00E564A2" w:rsidRDefault="0003591A" w:rsidP="000F3DF8">
            <w:pPr>
              <w:widowControl w:val="0"/>
              <w:rPr>
                <w:rFonts w:ascii="Arial" w:hAnsi="Arial" w:cs="Arial"/>
                <w:color w:val="000000"/>
                <w:sz w:val="16"/>
                <w:szCs w:val="16"/>
              </w:rPr>
            </w:pPr>
          </w:p>
        </w:tc>
        <w:tc>
          <w:tcPr>
            <w:tcW w:w="900" w:type="dxa"/>
            <w:vMerge/>
            <w:tcBorders>
              <w:top w:val="nil"/>
              <w:left w:val="single" w:sz="4" w:space="0" w:color="auto"/>
              <w:bottom w:val="single" w:sz="4" w:space="0" w:color="auto"/>
              <w:right w:val="single" w:sz="4" w:space="0" w:color="auto"/>
            </w:tcBorders>
            <w:vAlign w:val="center"/>
            <w:hideMark/>
          </w:tcPr>
          <w:p w:rsidR="0003591A" w:rsidRPr="00E564A2" w:rsidRDefault="0003591A" w:rsidP="000F3DF8">
            <w:pPr>
              <w:widowControl w:val="0"/>
              <w:rPr>
                <w:rFonts w:ascii="Arial" w:hAnsi="Arial" w:cs="Arial"/>
                <w:color w:val="000000"/>
                <w:sz w:val="16"/>
                <w:szCs w:val="16"/>
              </w:rPr>
            </w:pPr>
          </w:p>
        </w:tc>
        <w:tc>
          <w:tcPr>
            <w:tcW w:w="900" w:type="dxa"/>
            <w:vMerge/>
            <w:tcBorders>
              <w:top w:val="nil"/>
              <w:left w:val="single" w:sz="4" w:space="0" w:color="auto"/>
              <w:bottom w:val="single" w:sz="4" w:space="0" w:color="auto"/>
              <w:right w:val="double" w:sz="6" w:space="0" w:color="auto"/>
            </w:tcBorders>
            <w:vAlign w:val="center"/>
            <w:hideMark/>
          </w:tcPr>
          <w:p w:rsidR="0003591A" w:rsidRPr="00E564A2" w:rsidRDefault="0003591A" w:rsidP="000F3DF8">
            <w:pPr>
              <w:widowControl w:val="0"/>
              <w:rPr>
                <w:rFonts w:ascii="Arial" w:hAnsi="Arial" w:cs="Arial"/>
                <w:color w:val="000000"/>
                <w:sz w:val="16"/>
                <w:szCs w:val="16"/>
              </w:rPr>
            </w:pPr>
          </w:p>
        </w:tc>
        <w:tc>
          <w:tcPr>
            <w:tcW w:w="900" w:type="dxa"/>
            <w:vMerge/>
            <w:tcBorders>
              <w:top w:val="nil"/>
              <w:left w:val="nil"/>
              <w:bottom w:val="single" w:sz="4" w:space="0" w:color="auto"/>
              <w:right w:val="single" w:sz="4" w:space="0" w:color="auto"/>
            </w:tcBorders>
            <w:vAlign w:val="center"/>
            <w:hideMark/>
          </w:tcPr>
          <w:p w:rsidR="0003591A" w:rsidRPr="00E564A2" w:rsidRDefault="0003591A" w:rsidP="000F3DF8">
            <w:pPr>
              <w:widowControl w:val="0"/>
              <w:rPr>
                <w:rFonts w:ascii="Arial" w:hAnsi="Arial" w:cs="Arial"/>
                <w:color w:val="000000"/>
                <w:sz w:val="16"/>
                <w:szCs w:val="16"/>
              </w:rPr>
            </w:pPr>
          </w:p>
        </w:tc>
        <w:tc>
          <w:tcPr>
            <w:tcW w:w="900" w:type="dxa"/>
            <w:vMerge/>
            <w:tcBorders>
              <w:top w:val="nil"/>
              <w:left w:val="single" w:sz="4" w:space="0" w:color="auto"/>
              <w:bottom w:val="single" w:sz="4" w:space="0" w:color="auto"/>
              <w:right w:val="single" w:sz="4" w:space="0" w:color="auto"/>
            </w:tcBorders>
            <w:vAlign w:val="center"/>
            <w:hideMark/>
          </w:tcPr>
          <w:p w:rsidR="0003591A" w:rsidRPr="00E564A2" w:rsidRDefault="0003591A" w:rsidP="000F3DF8">
            <w:pPr>
              <w:widowControl w:val="0"/>
              <w:rPr>
                <w:rFonts w:ascii="Arial" w:hAnsi="Arial" w:cs="Arial"/>
                <w:color w:val="000000"/>
                <w:sz w:val="16"/>
                <w:szCs w:val="16"/>
              </w:rPr>
            </w:pPr>
          </w:p>
        </w:tc>
        <w:tc>
          <w:tcPr>
            <w:tcW w:w="900" w:type="dxa"/>
            <w:vMerge/>
            <w:tcBorders>
              <w:top w:val="nil"/>
              <w:left w:val="single" w:sz="4" w:space="0" w:color="auto"/>
              <w:bottom w:val="single" w:sz="4" w:space="0" w:color="auto"/>
              <w:right w:val="single" w:sz="4" w:space="0" w:color="auto"/>
            </w:tcBorders>
            <w:vAlign w:val="center"/>
            <w:hideMark/>
          </w:tcPr>
          <w:p w:rsidR="0003591A" w:rsidRPr="00E564A2" w:rsidRDefault="0003591A" w:rsidP="000F3DF8">
            <w:pPr>
              <w:widowControl w:val="0"/>
              <w:rPr>
                <w:rFonts w:ascii="Arial" w:hAnsi="Arial" w:cs="Arial"/>
                <w:color w:val="000000"/>
                <w:sz w:val="16"/>
                <w:szCs w:val="16"/>
              </w:rPr>
            </w:pPr>
          </w:p>
        </w:tc>
      </w:tr>
      <w:tr w:rsidR="0003591A" w:rsidRPr="00E564A2" w:rsidTr="000F3DF8">
        <w:trPr>
          <w:trHeight w:val="225"/>
        </w:trPr>
        <w:tc>
          <w:tcPr>
            <w:tcW w:w="1740" w:type="dxa"/>
            <w:tcBorders>
              <w:top w:val="nil"/>
              <w:left w:val="single" w:sz="4" w:space="0" w:color="auto"/>
              <w:bottom w:val="nil"/>
              <w:right w:val="single" w:sz="4" w:space="0" w:color="auto"/>
            </w:tcBorders>
            <w:shd w:val="clear" w:color="auto" w:fill="auto"/>
            <w:noWrap/>
            <w:vAlign w:val="bottom"/>
            <w:hideMark/>
          </w:tcPr>
          <w:p w:rsidR="0003591A" w:rsidRPr="00E564A2" w:rsidRDefault="0003591A" w:rsidP="000F3DF8">
            <w:pPr>
              <w:widowControl w:val="0"/>
              <w:rPr>
                <w:rFonts w:ascii="Arial" w:hAnsi="Arial" w:cs="Arial"/>
                <w:color w:val="000000"/>
                <w:sz w:val="16"/>
                <w:szCs w:val="16"/>
              </w:rPr>
            </w:pPr>
            <w:r w:rsidRPr="00E564A2">
              <w:rPr>
                <w:rFonts w:ascii="Arial" w:hAnsi="Arial" w:cs="Arial"/>
                <w:color w:val="000000"/>
                <w:sz w:val="16"/>
                <w:szCs w:val="16"/>
              </w:rPr>
              <w:t>ČR celkem</w:t>
            </w:r>
          </w:p>
        </w:tc>
        <w:tc>
          <w:tcPr>
            <w:tcW w:w="980" w:type="dxa"/>
            <w:tcBorders>
              <w:top w:val="nil"/>
              <w:left w:val="nil"/>
              <w:bottom w:val="nil"/>
              <w:right w:val="single" w:sz="4"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10 436 560</w:t>
            </w:r>
          </w:p>
        </w:tc>
        <w:tc>
          <w:tcPr>
            <w:tcW w:w="900" w:type="dxa"/>
            <w:tcBorders>
              <w:top w:val="nil"/>
              <w:left w:val="nil"/>
              <w:bottom w:val="nil"/>
              <w:right w:val="single" w:sz="4"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47,1</w:t>
            </w:r>
          </w:p>
        </w:tc>
        <w:tc>
          <w:tcPr>
            <w:tcW w:w="900" w:type="dxa"/>
            <w:tcBorders>
              <w:top w:val="nil"/>
              <w:left w:val="nil"/>
              <w:bottom w:val="nil"/>
              <w:right w:val="single" w:sz="4"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14,4</w:t>
            </w:r>
          </w:p>
        </w:tc>
        <w:tc>
          <w:tcPr>
            <w:tcW w:w="900" w:type="dxa"/>
            <w:tcBorders>
              <w:top w:val="nil"/>
              <w:left w:val="nil"/>
              <w:bottom w:val="nil"/>
              <w:right w:val="single" w:sz="4"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8,0</w:t>
            </w:r>
          </w:p>
        </w:tc>
        <w:tc>
          <w:tcPr>
            <w:tcW w:w="900" w:type="dxa"/>
            <w:tcBorders>
              <w:top w:val="nil"/>
              <w:left w:val="nil"/>
              <w:bottom w:val="nil"/>
              <w:right w:val="double" w:sz="6"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17,4</w:t>
            </w:r>
          </w:p>
        </w:tc>
        <w:tc>
          <w:tcPr>
            <w:tcW w:w="900" w:type="dxa"/>
            <w:tcBorders>
              <w:top w:val="nil"/>
              <w:left w:val="nil"/>
              <w:bottom w:val="nil"/>
              <w:right w:val="single" w:sz="4"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62,1</w:t>
            </w:r>
          </w:p>
        </w:tc>
        <w:tc>
          <w:tcPr>
            <w:tcW w:w="900" w:type="dxa"/>
            <w:tcBorders>
              <w:top w:val="nil"/>
              <w:left w:val="nil"/>
              <w:bottom w:val="nil"/>
              <w:right w:val="single" w:sz="4"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70,1</w:t>
            </w:r>
          </w:p>
        </w:tc>
        <w:tc>
          <w:tcPr>
            <w:tcW w:w="900" w:type="dxa"/>
            <w:tcBorders>
              <w:top w:val="nil"/>
              <w:left w:val="nil"/>
              <w:bottom w:val="nil"/>
              <w:right w:val="single" w:sz="4"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92,9</w:t>
            </w:r>
          </w:p>
        </w:tc>
      </w:tr>
      <w:tr w:rsidR="0003591A" w:rsidRPr="00E564A2" w:rsidTr="000F3DF8">
        <w:trPr>
          <w:trHeight w:val="225"/>
        </w:trPr>
        <w:tc>
          <w:tcPr>
            <w:tcW w:w="1740" w:type="dxa"/>
            <w:tcBorders>
              <w:top w:val="nil"/>
              <w:left w:val="single" w:sz="4" w:space="0" w:color="auto"/>
              <w:bottom w:val="nil"/>
              <w:right w:val="single" w:sz="4" w:space="0" w:color="auto"/>
            </w:tcBorders>
            <w:shd w:val="clear" w:color="auto" w:fill="auto"/>
            <w:noWrap/>
            <w:vAlign w:val="bottom"/>
            <w:hideMark/>
          </w:tcPr>
          <w:p w:rsidR="0003591A" w:rsidRPr="00E564A2" w:rsidRDefault="0003591A" w:rsidP="000F3DF8">
            <w:pPr>
              <w:widowControl w:val="0"/>
              <w:rPr>
                <w:rFonts w:ascii="Arial" w:hAnsi="Arial" w:cs="Arial"/>
                <w:color w:val="000000"/>
                <w:sz w:val="16"/>
                <w:szCs w:val="16"/>
              </w:rPr>
            </w:pPr>
            <w:r w:rsidRPr="00E564A2">
              <w:rPr>
                <w:rFonts w:ascii="Arial" w:hAnsi="Arial" w:cs="Arial"/>
                <w:color w:val="000000"/>
                <w:sz w:val="16"/>
                <w:szCs w:val="16"/>
              </w:rPr>
              <w:t>Hlavní město Praha</w:t>
            </w:r>
          </w:p>
        </w:tc>
        <w:tc>
          <w:tcPr>
            <w:tcW w:w="980" w:type="dxa"/>
            <w:tcBorders>
              <w:top w:val="nil"/>
              <w:left w:val="nil"/>
              <w:bottom w:val="nil"/>
              <w:right w:val="single" w:sz="4"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1 268 796</w:t>
            </w:r>
          </w:p>
        </w:tc>
        <w:tc>
          <w:tcPr>
            <w:tcW w:w="900" w:type="dxa"/>
            <w:tcBorders>
              <w:top w:val="nil"/>
              <w:left w:val="nil"/>
              <w:bottom w:val="nil"/>
              <w:right w:val="single" w:sz="4"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50,8</w:t>
            </w:r>
          </w:p>
        </w:tc>
        <w:tc>
          <w:tcPr>
            <w:tcW w:w="900" w:type="dxa"/>
            <w:tcBorders>
              <w:top w:val="nil"/>
              <w:left w:val="nil"/>
              <w:bottom w:val="nil"/>
              <w:right w:val="single" w:sz="4"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x</w:t>
            </w:r>
          </w:p>
        </w:tc>
        <w:tc>
          <w:tcPr>
            <w:tcW w:w="900" w:type="dxa"/>
            <w:tcBorders>
              <w:top w:val="nil"/>
              <w:left w:val="nil"/>
              <w:bottom w:val="nil"/>
              <w:right w:val="single" w:sz="4"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x</w:t>
            </w:r>
          </w:p>
        </w:tc>
        <w:tc>
          <w:tcPr>
            <w:tcW w:w="900" w:type="dxa"/>
            <w:tcBorders>
              <w:top w:val="nil"/>
              <w:left w:val="nil"/>
              <w:bottom w:val="nil"/>
              <w:right w:val="double" w:sz="6"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28,3</w:t>
            </w:r>
          </w:p>
        </w:tc>
        <w:tc>
          <w:tcPr>
            <w:tcW w:w="900" w:type="dxa"/>
            <w:tcBorders>
              <w:top w:val="nil"/>
              <w:left w:val="nil"/>
              <w:bottom w:val="nil"/>
              <w:right w:val="single" w:sz="4"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50,8</w:t>
            </w:r>
          </w:p>
        </w:tc>
        <w:tc>
          <w:tcPr>
            <w:tcW w:w="900" w:type="dxa"/>
            <w:tcBorders>
              <w:top w:val="nil"/>
              <w:left w:val="nil"/>
              <w:bottom w:val="nil"/>
              <w:right w:val="single" w:sz="4"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50,8</w:t>
            </w:r>
          </w:p>
        </w:tc>
        <w:tc>
          <w:tcPr>
            <w:tcW w:w="900" w:type="dxa"/>
            <w:tcBorders>
              <w:top w:val="nil"/>
              <w:left w:val="nil"/>
              <w:bottom w:val="nil"/>
              <w:right w:val="single" w:sz="4"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83,8</w:t>
            </w:r>
          </w:p>
        </w:tc>
      </w:tr>
      <w:tr w:rsidR="0003591A" w:rsidRPr="00E564A2" w:rsidTr="000F3DF8">
        <w:trPr>
          <w:trHeight w:val="225"/>
        </w:trPr>
        <w:tc>
          <w:tcPr>
            <w:tcW w:w="1740" w:type="dxa"/>
            <w:tcBorders>
              <w:top w:val="nil"/>
              <w:left w:val="single" w:sz="4" w:space="0" w:color="auto"/>
              <w:bottom w:val="nil"/>
              <w:right w:val="single" w:sz="4" w:space="0" w:color="auto"/>
            </w:tcBorders>
            <w:shd w:val="clear" w:color="auto" w:fill="auto"/>
            <w:noWrap/>
            <w:vAlign w:val="bottom"/>
            <w:hideMark/>
          </w:tcPr>
          <w:p w:rsidR="0003591A" w:rsidRPr="00E564A2" w:rsidRDefault="0003591A" w:rsidP="000F3DF8">
            <w:pPr>
              <w:widowControl w:val="0"/>
              <w:rPr>
                <w:rFonts w:ascii="Arial" w:hAnsi="Arial" w:cs="Arial"/>
                <w:color w:val="000000"/>
                <w:sz w:val="16"/>
                <w:szCs w:val="16"/>
              </w:rPr>
            </w:pPr>
            <w:r w:rsidRPr="00E564A2">
              <w:rPr>
                <w:rFonts w:ascii="Arial" w:hAnsi="Arial" w:cs="Arial"/>
                <w:color w:val="000000"/>
                <w:sz w:val="16"/>
                <w:szCs w:val="16"/>
              </w:rPr>
              <w:t>Středočeský kraj</w:t>
            </w:r>
          </w:p>
        </w:tc>
        <w:tc>
          <w:tcPr>
            <w:tcW w:w="980" w:type="dxa"/>
            <w:tcBorders>
              <w:top w:val="nil"/>
              <w:left w:val="nil"/>
              <w:bottom w:val="nil"/>
              <w:right w:val="single" w:sz="4"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1 289 211</w:t>
            </w:r>
          </w:p>
        </w:tc>
        <w:tc>
          <w:tcPr>
            <w:tcW w:w="900" w:type="dxa"/>
            <w:tcBorders>
              <w:top w:val="nil"/>
              <w:left w:val="nil"/>
              <w:bottom w:val="nil"/>
              <w:right w:val="single" w:sz="4"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39,7</w:t>
            </w:r>
          </w:p>
        </w:tc>
        <w:tc>
          <w:tcPr>
            <w:tcW w:w="900" w:type="dxa"/>
            <w:tcBorders>
              <w:top w:val="nil"/>
              <w:left w:val="nil"/>
              <w:bottom w:val="nil"/>
              <w:right w:val="single" w:sz="4"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15,1</w:t>
            </w:r>
          </w:p>
        </w:tc>
        <w:tc>
          <w:tcPr>
            <w:tcW w:w="900" w:type="dxa"/>
            <w:tcBorders>
              <w:top w:val="nil"/>
              <w:left w:val="nil"/>
              <w:bottom w:val="nil"/>
              <w:right w:val="single" w:sz="4"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7,6</w:t>
            </w:r>
          </w:p>
        </w:tc>
        <w:tc>
          <w:tcPr>
            <w:tcW w:w="900" w:type="dxa"/>
            <w:tcBorders>
              <w:top w:val="nil"/>
              <w:left w:val="nil"/>
              <w:bottom w:val="nil"/>
              <w:right w:val="double" w:sz="6"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25,0</w:t>
            </w:r>
          </w:p>
        </w:tc>
        <w:tc>
          <w:tcPr>
            <w:tcW w:w="900" w:type="dxa"/>
            <w:tcBorders>
              <w:top w:val="nil"/>
              <w:left w:val="nil"/>
              <w:bottom w:val="nil"/>
              <w:right w:val="single" w:sz="4"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55,3</w:t>
            </w:r>
          </w:p>
        </w:tc>
        <w:tc>
          <w:tcPr>
            <w:tcW w:w="900" w:type="dxa"/>
            <w:tcBorders>
              <w:top w:val="nil"/>
              <w:left w:val="nil"/>
              <w:bottom w:val="nil"/>
              <w:right w:val="single" w:sz="4"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62,9</w:t>
            </w:r>
          </w:p>
        </w:tc>
        <w:tc>
          <w:tcPr>
            <w:tcW w:w="900" w:type="dxa"/>
            <w:tcBorders>
              <w:top w:val="nil"/>
              <w:left w:val="nil"/>
              <w:bottom w:val="nil"/>
              <w:right w:val="single" w:sz="4"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93,2</w:t>
            </w:r>
          </w:p>
        </w:tc>
      </w:tr>
      <w:tr w:rsidR="0003591A" w:rsidRPr="00E564A2" w:rsidTr="000F3DF8">
        <w:trPr>
          <w:trHeight w:val="225"/>
        </w:trPr>
        <w:tc>
          <w:tcPr>
            <w:tcW w:w="1740" w:type="dxa"/>
            <w:tcBorders>
              <w:top w:val="nil"/>
              <w:left w:val="single" w:sz="4" w:space="0" w:color="auto"/>
              <w:bottom w:val="nil"/>
              <w:right w:val="single" w:sz="4" w:space="0" w:color="auto"/>
            </w:tcBorders>
            <w:shd w:val="clear" w:color="auto" w:fill="auto"/>
            <w:noWrap/>
            <w:vAlign w:val="bottom"/>
            <w:hideMark/>
          </w:tcPr>
          <w:p w:rsidR="0003591A" w:rsidRPr="00E564A2" w:rsidRDefault="0003591A" w:rsidP="000F3DF8">
            <w:pPr>
              <w:widowControl w:val="0"/>
              <w:rPr>
                <w:rFonts w:ascii="Arial" w:hAnsi="Arial" w:cs="Arial"/>
                <w:color w:val="000000"/>
                <w:sz w:val="16"/>
                <w:szCs w:val="16"/>
              </w:rPr>
            </w:pPr>
            <w:r w:rsidRPr="00E564A2">
              <w:rPr>
                <w:rFonts w:ascii="Arial" w:hAnsi="Arial" w:cs="Arial"/>
                <w:color w:val="000000"/>
                <w:sz w:val="16"/>
                <w:szCs w:val="16"/>
              </w:rPr>
              <w:t>Jihočeský kraj</w:t>
            </w:r>
          </w:p>
        </w:tc>
        <w:tc>
          <w:tcPr>
            <w:tcW w:w="980" w:type="dxa"/>
            <w:tcBorders>
              <w:top w:val="nil"/>
              <w:left w:val="nil"/>
              <w:bottom w:val="nil"/>
              <w:right w:val="single" w:sz="4"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628 336</w:t>
            </w:r>
          </w:p>
        </w:tc>
        <w:tc>
          <w:tcPr>
            <w:tcW w:w="900" w:type="dxa"/>
            <w:tcBorders>
              <w:top w:val="nil"/>
              <w:left w:val="nil"/>
              <w:bottom w:val="nil"/>
              <w:right w:val="single" w:sz="4"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44,1</w:t>
            </w:r>
          </w:p>
        </w:tc>
        <w:tc>
          <w:tcPr>
            <w:tcW w:w="900" w:type="dxa"/>
            <w:tcBorders>
              <w:top w:val="nil"/>
              <w:left w:val="nil"/>
              <w:bottom w:val="nil"/>
              <w:right w:val="single" w:sz="4"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18,9</w:t>
            </w:r>
          </w:p>
        </w:tc>
        <w:tc>
          <w:tcPr>
            <w:tcW w:w="900" w:type="dxa"/>
            <w:tcBorders>
              <w:top w:val="nil"/>
              <w:left w:val="nil"/>
              <w:bottom w:val="nil"/>
              <w:right w:val="single" w:sz="4"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10,4</w:t>
            </w:r>
          </w:p>
        </w:tc>
        <w:tc>
          <w:tcPr>
            <w:tcW w:w="900" w:type="dxa"/>
            <w:tcBorders>
              <w:top w:val="nil"/>
              <w:left w:val="nil"/>
              <w:bottom w:val="nil"/>
              <w:right w:val="double" w:sz="6"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15,6</w:t>
            </w:r>
          </w:p>
        </w:tc>
        <w:tc>
          <w:tcPr>
            <w:tcW w:w="900" w:type="dxa"/>
            <w:tcBorders>
              <w:top w:val="nil"/>
              <w:left w:val="nil"/>
              <w:bottom w:val="nil"/>
              <w:right w:val="single" w:sz="4"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64,0</w:t>
            </w:r>
          </w:p>
        </w:tc>
        <w:tc>
          <w:tcPr>
            <w:tcW w:w="900" w:type="dxa"/>
            <w:tcBorders>
              <w:top w:val="nil"/>
              <w:left w:val="nil"/>
              <w:bottom w:val="nil"/>
              <w:right w:val="single" w:sz="4"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74,4</w:t>
            </w:r>
          </w:p>
        </w:tc>
        <w:tc>
          <w:tcPr>
            <w:tcW w:w="900" w:type="dxa"/>
            <w:tcBorders>
              <w:top w:val="nil"/>
              <w:left w:val="nil"/>
              <w:bottom w:val="nil"/>
              <w:right w:val="single" w:sz="4"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95,5</w:t>
            </w:r>
          </w:p>
        </w:tc>
      </w:tr>
      <w:tr w:rsidR="0003591A" w:rsidRPr="00E564A2" w:rsidTr="000F3DF8">
        <w:trPr>
          <w:trHeight w:val="225"/>
        </w:trPr>
        <w:tc>
          <w:tcPr>
            <w:tcW w:w="1740" w:type="dxa"/>
            <w:tcBorders>
              <w:top w:val="nil"/>
              <w:left w:val="single" w:sz="4" w:space="0" w:color="auto"/>
              <w:bottom w:val="nil"/>
              <w:right w:val="single" w:sz="4" w:space="0" w:color="auto"/>
            </w:tcBorders>
            <w:shd w:val="clear" w:color="auto" w:fill="auto"/>
            <w:noWrap/>
            <w:vAlign w:val="bottom"/>
            <w:hideMark/>
          </w:tcPr>
          <w:p w:rsidR="0003591A" w:rsidRPr="00E564A2" w:rsidRDefault="0003591A" w:rsidP="000F3DF8">
            <w:pPr>
              <w:widowControl w:val="0"/>
              <w:rPr>
                <w:rFonts w:ascii="Arial" w:hAnsi="Arial" w:cs="Arial"/>
                <w:color w:val="000000"/>
                <w:sz w:val="16"/>
                <w:szCs w:val="16"/>
              </w:rPr>
            </w:pPr>
            <w:r w:rsidRPr="00E564A2">
              <w:rPr>
                <w:rFonts w:ascii="Arial" w:hAnsi="Arial" w:cs="Arial"/>
                <w:color w:val="000000"/>
                <w:sz w:val="16"/>
                <w:szCs w:val="16"/>
              </w:rPr>
              <w:t>Plzeňský kraj</w:t>
            </w:r>
          </w:p>
        </w:tc>
        <w:tc>
          <w:tcPr>
            <w:tcW w:w="980" w:type="dxa"/>
            <w:tcBorders>
              <w:top w:val="nil"/>
              <w:left w:val="nil"/>
              <w:bottom w:val="nil"/>
              <w:right w:val="single" w:sz="4"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570 401</w:t>
            </w:r>
          </w:p>
        </w:tc>
        <w:tc>
          <w:tcPr>
            <w:tcW w:w="900" w:type="dxa"/>
            <w:tcBorders>
              <w:top w:val="nil"/>
              <w:left w:val="nil"/>
              <w:bottom w:val="nil"/>
              <w:right w:val="single" w:sz="4"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44,9</w:t>
            </w:r>
          </w:p>
        </w:tc>
        <w:tc>
          <w:tcPr>
            <w:tcW w:w="900" w:type="dxa"/>
            <w:tcBorders>
              <w:top w:val="nil"/>
              <w:left w:val="nil"/>
              <w:bottom w:val="nil"/>
              <w:right w:val="single" w:sz="4"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13,5</w:t>
            </w:r>
          </w:p>
        </w:tc>
        <w:tc>
          <w:tcPr>
            <w:tcW w:w="900" w:type="dxa"/>
            <w:tcBorders>
              <w:top w:val="nil"/>
              <w:left w:val="nil"/>
              <w:bottom w:val="nil"/>
              <w:right w:val="single" w:sz="4"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14,5</w:t>
            </w:r>
          </w:p>
        </w:tc>
        <w:tc>
          <w:tcPr>
            <w:tcW w:w="900" w:type="dxa"/>
            <w:tcBorders>
              <w:top w:val="nil"/>
              <w:left w:val="nil"/>
              <w:bottom w:val="nil"/>
              <w:right w:val="double" w:sz="6"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13,8</w:t>
            </w:r>
          </w:p>
        </w:tc>
        <w:tc>
          <w:tcPr>
            <w:tcW w:w="900" w:type="dxa"/>
            <w:tcBorders>
              <w:top w:val="nil"/>
              <w:left w:val="nil"/>
              <w:bottom w:val="nil"/>
              <w:right w:val="single" w:sz="4"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59,2</w:t>
            </w:r>
          </w:p>
        </w:tc>
        <w:tc>
          <w:tcPr>
            <w:tcW w:w="900" w:type="dxa"/>
            <w:tcBorders>
              <w:top w:val="nil"/>
              <w:left w:val="nil"/>
              <w:bottom w:val="nil"/>
              <w:right w:val="single" w:sz="4"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73,7</w:t>
            </w:r>
          </w:p>
        </w:tc>
        <w:tc>
          <w:tcPr>
            <w:tcW w:w="900" w:type="dxa"/>
            <w:tcBorders>
              <w:top w:val="nil"/>
              <w:left w:val="nil"/>
              <w:bottom w:val="nil"/>
              <w:right w:val="single" w:sz="4"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92,7</w:t>
            </w:r>
          </w:p>
        </w:tc>
      </w:tr>
      <w:tr w:rsidR="0003591A" w:rsidRPr="00E564A2" w:rsidTr="000F3DF8">
        <w:trPr>
          <w:trHeight w:val="225"/>
        </w:trPr>
        <w:tc>
          <w:tcPr>
            <w:tcW w:w="1740" w:type="dxa"/>
            <w:tcBorders>
              <w:top w:val="nil"/>
              <w:left w:val="single" w:sz="4" w:space="0" w:color="auto"/>
              <w:bottom w:val="nil"/>
              <w:right w:val="single" w:sz="4" w:space="0" w:color="auto"/>
            </w:tcBorders>
            <w:shd w:val="clear" w:color="auto" w:fill="auto"/>
            <w:noWrap/>
            <w:vAlign w:val="bottom"/>
            <w:hideMark/>
          </w:tcPr>
          <w:p w:rsidR="0003591A" w:rsidRPr="00E564A2" w:rsidRDefault="0003591A" w:rsidP="000F3DF8">
            <w:pPr>
              <w:widowControl w:val="0"/>
              <w:rPr>
                <w:rFonts w:ascii="Arial" w:hAnsi="Arial" w:cs="Arial"/>
                <w:color w:val="000000"/>
                <w:sz w:val="16"/>
                <w:szCs w:val="16"/>
              </w:rPr>
            </w:pPr>
            <w:r w:rsidRPr="00E564A2">
              <w:rPr>
                <w:rFonts w:ascii="Arial" w:hAnsi="Arial" w:cs="Arial"/>
                <w:color w:val="000000"/>
                <w:sz w:val="16"/>
                <w:szCs w:val="16"/>
              </w:rPr>
              <w:t>Karlovarský kraj</w:t>
            </w:r>
          </w:p>
        </w:tc>
        <w:tc>
          <w:tcPr>
            <w:tcW w:w="980" w:type="dxa"/>
            <w:tcBorders>
              <w:top w:val="nil"/>
              <w:left w:val="nil"/>
              <w:bottom w:val="nil"/>
              <w:right w:val="single" w:sz="4"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295 595</w:t>
            </w:r>
          </w:p>
        </w:tc>
        <w:tc>
          <w:tcPr>
            <w:tcW w:w="900" w:type="dxa"/>
            <w:tcBorders>
              <w:top w:val="nil"/>
              <w:left w:val="nil"/>
              <w:bottom w:val="nil"/>
              <w:right w:val="single" w:sz="4"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38,8</w:t>
            </w:r>
          </w:p>
        </w:tc>
        <w:tc>
          <w:tcPr>
            <w:tcW w:w="900" w:type="dxa"/>
            <w:tcBorders>
              <w:top w:val="nil"/>
              <w:left w:val="nil"/>
              <w:bottom w:val="nil"/>
              <w:right w:val="single" w:sz="4"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13,8</w:t>
            </w:r>
          </w:p>
        </w:tc>
        <w:tc>
          <w:tcPr>
            <w:tcW w:w="900" w:type="dxa"/>
            <w:tcBorders>
              <w:top w:val="nil"/>
              <w:left w:val="nil"/>
              <w:bottom w:val="nil"/>
              <w:right w:val="single" w:sz="4"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5,2</w:t>
            </w:r>
          </w:p>
        </w:tc>
        <w:tc>
          <w:tcPr>
            <w:tcW w:w="900" w:type="dxa"/>
            <w:tcBorders>
              <w:top w:val="nil"/>
              <w:left w:val="nil"/>
              <w:bottom w:val="nil"/>
              <w:right w:val="double" w:sz="6"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21,8</w:t>
            </w:r>
          </w:p>
        </w:tc>
        <w:tc>
          <w:tcPr>
            <w:tcW w:w="900" w:type="dxa"/>
            <w:tcBorders>
              <w:top w:val="nil"/>
              <w:left w:val="nil"/>
              <w:bottom w:val="nil"/>
              <w:right w:val="single" w:sz="4"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53,1</w:t>
            </w:r>
          </w:p>
        </w:tc>
        <w:tc>
          <w:tcPr>
            <w:tcW w:w="900" w:type="dxa"/>
            <w:tcBorders>
              <w:top w:val="nil"/>
              <w:left w:val="nil"/>
              <w:bottom w:val="nil"/>
              <w:right w:val="single" w:sz="4"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58,3</w:t>
            </w:r>
          </w:p>
        </w:tc>
        <w:tc>
          <w:tcPr>
            <w:tcW w:w="900" w:type="dxa"/>
            <w:tcBorders>
              <w:top w:val="nil"/>
              <w:left w:val="nil"/>
              <w:bottom w:val="nil"/>
              <w:right w:val="single" w:sz="4"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88,1</w:t>
            </w:r>
          </w:p>
        </w:tc>
      </w:tr>
      <w:tr w:rsidR="0003591A" w:rsidRPr="00E564A2" w:rsidTr="000F3DF8">
        <w:trPr>
          <w:trHeight w:val="225"/>
        </w:trPr>
        <w:tc>
          <w:tcPr>
            <w:tcW w:w="1740" w:type="dxa"/>
            <w:tcBorders>
              <w:top w:val="nil"/>
              <w:left w:val="single" w:sz="4" w:space="0" w:color="auto"/>
              <w:bottom w:val="nil"/>
              <w:right w:val="single" w:sz="4" w:space="0" w:color="auto"/>
            </w:tcBorders>
            <w:shd w:val="clear" w:color="auto" w:fill="auto"/>
            <w:noWrap/>
            <w:vAlign w:val="bottom"/>
            <w:hideMark/>
          </w:tcPr>
          <w:p w:rsidR="0003591A" w:rsidRPr="00E564A2" w:rsidRDefault="0003591A" w:rsidP="000F3DF8">
            <w:pPr>
              <w:widowControl w:val="0"/>
              <w:rPr>
                <w:rFonts w:ascii="Arial" w:hAnsi="Arial" w:cs="Arial"/>
                <w:color w:val="000000"/>
                <w:sz w:val="16"/>
                <w:szCs w:val="16"/>
              </w:rPr>
            </w:pPr>
            <w:r w:rsidRPr="00E564A2">
              <w:rPr>
                <w:rFonts w:ascii="Arial" w:hAnsi="Arial" w:cs="Arial"/>
                <w:color w:val="000000"/>
                <w:sz w:val="16"/>
                <w:szCs w:val="16"/>
              </w:rPr>
              <w:t>Ústecký kraj</w:t>
            </w:r>
          </w:p>
        </w:tc>
        <w:tc>
          <w:tcPr>
            <w:tcW w:w="980" w:type="dxa"/>
            <w:tcBorders>
              <w:top w:val="nil"/>
              <w:left w:val="nil"/>
              <w:bottom w:val="nil"/>
              <w:right w:val="single" w:sz="4"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808 961</w:t>
            </w:r>
          </w:p>
        </w:tc>
        <w:tc>
          <w:tcPr>
            <w:tcW w:w="900" w:type="dxa"/>
            <w:tcBorders>
              <w:top w:val="nil"/>
              <w:left w:val="nil"/>
              <w:bottom w:val="nil"/>
              <w:right w:val="single" w:sz="4"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42,7</w:t>
            </w:r>
          </w:p>
        </w:tc>
        <w:tc>
          <w:tcPr>
            <w:tcW w:w="900" w:type="dxa"/>
            <w:tcBorders>
              <w:top w:val="nil"/>
              <w:left w:val="nil"/>
              <w:bottom w:val="nil"/>
              <w:right w:val="single" w:sz="4"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15,6</w:t>
            </w:r>
          </w:p>
        </w:tc>
        <w:tc>
          <w:tcPr>
            <w:tcW w:w="900" w:type="dxa"/>
            <w:tcBorders>
              <w:top w:val="nil"/>
              <w:left w:val="nil"/>
              <w:bottom w:val="nil"/>
              <w:right w:val="single" w:sz="4"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8,4</w:t>
            </w:r>
          </w:p>
        </w:tc>
        <w:tc>
          <w:tcPr>
            <w:tcW w:w="900" w:type="dxa"/>
            <w:tcBorders>
              <w:top w:val="nil"/>
              <w:left w:val="nil"/>
              <w:bottom w:val="nil"/>
              <w:right w:val="double" w:sz="6"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16,4</w:t>
            </w:r>
          </w:p>
        </w:tc>
        <w:tc>
          <w:tcPr>
            <w:tcW w:w="900" w:type="dxa"/>
            <w:tcBorders>
              <w:top w:val="nil"/>
              <w:left w:val="nil"/>
              <w:bottom w:val="nil"/>
              <w:right w:val="single" w:sz="4"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59,2</w:t>
            </w:r>
          </w:p>
        </w:tc>
        <w:tc>
          <w:tcPr>
            <w:tcW w:w="900" w:type="dxa"/>
            <w:tcBorders>
              <w:top w:val="nil"/>
              <w:left w:val="nil"/>
              <w:bottom w:val="nil"/>
              <w:right w:val="single" w:sz="4"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67,6</w:t>
            </w:r>
          </w:p>
        </w:tc>
        <w:tc>
          <w:tcPr>
            <w:tcW w:w="900" w:type="dxa"/>
            <w:tcBorders>
              <w:top w:val="nil"/>
              <w:left w:val="nil"/>
              <w:bottom w:val="nil"/>
              <w:right w:val="single" w:sz="4"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92,3</w:t>
            </w:r>
          </w:p>
        </w:tc>
      </w:tr>
      <w:tr w:rsidR="0003591A" w:rsidRPr="00E564A2" w:rsidTr="000F3DF8">
        <w:trPr>
          <w:trHeight w:val="225"/>
        </w:trPr>
        <w:tc>
          <w:tcPr>
            <w:tcW w:w="1740" w:type="dxa"/>
            <w:tcBorders>
              <w:top w:val="nil"/>
              <w:left w:val="single" w:sz="4" w:space="0" w:color="auto"/>
              <w:bottom w:val="nil"/>
              <w:right w:val="single" w:sz="4" w:space="0" w:color="auto"/>
            </w:tcBorders>
            <w:shd w:val="clear" w:color="auto" w:fill="auto"/>
            <w:noWrap/>
            <w:vAlign w:val="bottom"/>
            <w:hideMark/>
          </w:tcPr>
          <w:p w:rsidR="0003591A" w:rsidRPr="00E564A2" w:rsidRDefault="0003591A" w:rsidP="000F3DF8">
            <w:pPr>
              <w:widowControl w:val="0"/>
              <w:rPr>
                <w:rFonts w:ascii="Arial" w:hAnsi="Arial" w:cs="Arial"/>
                <w:color w:val="000000"/>
                <w:sz w:val="16"/>
                <w:szCs w:val="16"/>
              </w:rPr>
            </w:pPr>
            <w:r w:rsidRPr="00E564A2">
              <w:rPr>
                <w:rFonts w:ascii="Arial" w:hAnsi="Arial" w:cs="Arial"/>
                <w:color w:val="000000"/>
                <w:sz w:val="16"/>
                <w:szCs w:val="16"/>
              </w:rPr>
              <w:t>Liberecký kraj</w:t>
            </w:r>
          </w:p>
        </w:tc>
        <w:tc>
          <w:tcPr>
            <w:tcW w:w="980" w:type="dxa"/>
            <w:tcBorders>
              <w:top w:val="nil"/>
              <w:left w:val="nil"/>
              <w:bottom w:val="nil"/>
              <w:right w:val="single" w:sz="4"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432 439</w:t>
            </w:r>
          </w:p>
        </w:tc>
        <w:tc>
          <w:tcPr>
            <w:tcW w:w="900" w:type="dxa"/>
            <w:tcBorders>
              <w:top w:val="nil"/>
              <w:left w:val="nil"/>
              <w:bottom w:val="nil"/>
              <w:right w:val="single" w:sz="4"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43,4</w:t>
            </w:r>
          </w:p>
        </w:tc>
        <w:tc>
          <w:tcPr>
            <w:tcW w:w="900" w:type="dxa"/>
            <w:tcBorders>
              <w:top w:val="nil"/>
              <w:left w:val="nil"/>
              <w:bottom w:val="nil"/>
              <w:right w:val="single" w:sz="4"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14,1</w:t>
            </w:r>
          </w:p>
        </w:tc>
        <w:tc>
          <w:tcPr>
            <w:tcW w:w="900" w:type="dxa"/>
            <w:tcBorders>
              <w:top w:val="nil"/>
              <w:left w:val="nil"/>
              <w:bottom w:val="nil"/>
              <w:right w:val="single" w:sz="4"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6,1</w:t>
            </w:r>
          </w:p>
        </w:tc>
        <w:tc>
          <w:tcPr>
            <w:tcW w:w="900" w:type="dxa"/>
            <w:tcBorders>
              <w:top w:val="nil"/>
              <w:left w:val="nil"/>
              <w:bottom w:val="nil"/>
              <w:right w:val="double" w:sz="6"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21,7</w:t>
            </w:r>
          </w:p>
        </w:tc>
        <w:tc>
          <w:tcPr>
            <w:tcW w:w="900" w:type="dxa"/>
            <w:tcBorders>
              <w:top w:val="nil"/>
              <w:left w:val="nil"/>
              <w:bottom w:val="nil"/>
              <w:right w:val="single" w:sz="4"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58,0</w:t>
            </w:r>
          </w:p>
        </w:tc>
        <w:tc>
          <w:tcPr>
            <w:tcW w:w="900" w:type="dxa"/>
            <w:tcBorders>
              <w:top w:val="nil"/>
              <w:left w:val="nil"/>
              <w:bottom w:val="nil"/>
              <w:right w:val="single" w:sz="4"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64,2</w:t>
            </w:r>
          </w:p>
        </w:tc>
        <w:tc>
          <w:tcPr>
            <w:tcW w:w="900" w:type="dxa"/>
            <w:tcBorders>
              <w:top w:val="nil"/>
              <w:left w:val="nil"/>
              <w:bottom w:val="nil"/>
              <w:right w:val="single" w:sz="4"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93,1</w:t>
            </w:r>
          </w:p>
        </w:tc>
      </w:tr>
      <w:tr w:rsidR="0003591A" w:rsidRPr="00E564A2" w:rsidTr="000F3DF8">
        <w:trPr>
          <w:trHeight w:val="225"/>
        </w:trPr>
        <w:tc>
          <w:tcPr>
            <w:tcW w:w="1740" w:type="dxa"/>
            <w:tcBorders>
              <w:top w:val="nil"/>
              <w:left w:val="single" w:sz="4" w:space="0" w:color="auto"/>
              <w:bottom w:val="nil"/>
              <w:right w:val="single" w:sz="4" w:space="0" w:color="auto"/>
            </w:tcBorders>
            <w:shd w:val="clear" w:color="auto" w:fill="auto"/>
            <w:noWrap/>
            <w:vAlign w:val="bottom"/>
            <w:hideMark/>
          </w:tcPr>
          <w:p w:rsidR="0003591A" w:rsidRPr="00E564A2" w:rsidRDefault="0003591A" w:rsidP="000F3DF8">
            <w:pPr>
              <w:widowControl w:val="0"/>
              <w:rPr>
                <w:rFonts w:ascii="Arial" w:hAnsi="Arial" w:cs="Arial"/>
                <w:color w:val="000000"/>
                <w:sz w:val="16"/>
                <w:szCs w:val="16"/>
              </w:rPr>
            </w:pPr>
            <w:r w:rsidRPr="00E564A2">
              <w:rPr>
                <w:rFonts w:ascii="Arial" w:hAnsi="Arial" w:cs="Arial"/>
                <w:color w:val="000000"/>
                <w:sz w:val="16"/>
                <w:szCs w:val="16"/>
              </w:rPr>
              <w:t>Královéhradecký kraj</w:t>
            </w:r>
          </w:p>
        </w:tc>
        <w:tc>
          <w:tcPr>
            <w:tcW w:w="980" w:type="dxa"/>
            <w:tcBorders>
              <w:top w:val="nil"/>
              <w:left w:val="nil"/>
              <w:bottom w:val="nil"/>
              <w:right w:val="single" w:sz="4"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547 916</w:t>
            </w:r>
          </w:p>
        </w:tc>
        <w:tc>
          <w:tcPr>
            <w:tcW w:w="900" w:type="dxa"/>
            <w:tcBorders>
              <w:top w:val="nil"/>
              <w:left w:val="nil"/>
              <w:bottom w:val="nil"/>
              <w:right w:val="single" w:sz="4"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45,6</w:t>
            </w:r>
          </w:p>
        </w:tc>
        <w:tc>
          <w:tcPr>
            <w:tcW w:w="900" w:type="dxa"/>
            <w:tcBorders>
              <w:top w:val="nil"/>
              <w:left w:val="nil"/>
              <w:bottom w:val="nil"/>
              <w:right w:val="single" w:sz="4"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18,3</w:t>
            </w:r>
          </w:p>
        </w:tc>
        <w:tc>
          <w:tcPr>
            <w:tcW w:w="900" w:type="dxa"/>
            <w:tcBorders>
              <w:top w:val="nil"/>
              <w:left w:val="nil"/>
              <w:bottom w:val="nil"/>
              <w:right w:val="single" w:sz="4"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8,5</w:t>
            </w:r>
          </w:p>
        </w:tc>
        <w:tc>
          <w:tcPr>
            <w:tcW w:w="900" w:type="dxa"/>
            <w:tcBorders>
              <w:top w:val="nil"/>
              <w:left w:val="nil"/>
              <w:bottom w:val="nil"/>
              <w:right w:val="double" w:sz="6"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15,9</w:t>
            </w:r>
          </w:p>
        </w:tc>
        <w:tc>
          <w:tcPr>
            <w:tcW w:w="900" w:type="dxa"/>
            <w:tcBorders>
              <w:top w:val="nil"/>
              <w:left w:val="nil"/>
              <w:bottom w:val="nil"/>
              <w:right w:val="single" w:sz="4"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64,4</w:t>
            </w:r>
          </w:p>
        </w:tc>
        <w:tc>
          <w:tcPr>
            <w:tcW w:w="900" w:type="dxa"/>
            <w:tcBorders>
              <w:top w:val="nil"/>
              <w:left w:val="nil"/>
              <w:bottom w:val="nil"/>
              <w:right w:val="single" w:sz="4"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72,8</w:t>
            </w:r>
          </w:p>
        </w:tc>
        <w:tc>
          <w:tcPr>
            <w:tcW w:w="900" w:type="dxa"/>
            <w:tcBorders>
              <w:top w:val="nil"/>
              <w:left w:val="nil"/>
              <w:bottom w:val="nil"/>
              <w:right w:val="single" w:sz="4"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94,6</w:t>
            </w:r>
          </w:p>
        </w:tc>
      </w:tr>
      <w:tr w:rsidR="0003591A" w:rsidRPr="00E564A2" w:rsidTr="000F3DF8">
        <w:trPr>
          <w:trHeight w:val="225"/>
        </w:trPr>
        <w:tc>
          <w:tcPr>
            <w:tcW w:w="1740" w:type="dxa"/>
            <w:tcBorders>
              <w:top w:val="nil"/>
              <w:left w:val="single" w:sz="4" w:space="0" w:color="auto"/>
              <w:bottom w:val="nil"/>
              <w:right w:val="single" w:sz="4" w:space="0" w:color="auto"/>
            </w:tcBorders>
            <w:shd w:val="clear" w:color="auto" w:fill="auto"/>
            <w:noWrap/>
            <w:vAlign w:val="bottom"/>
            <w:hideMark/>
          </w:tcPr>
          <w:p w:rsidR="0003591A" w:rsidRPr="00E564A2" w:rsidRDefault="0003591A" w:rsidP="000F3DF8">
            <w:pPr>
              <w:widowControl w:val="0"/>
              <w:rPr>
                <w:rFonts w:ascii="Arial" w:hAnsi="Arial" w:cs="Arial"/>
                <w:color w:val="000000"/>
                <w:sz w:val="16"/>
                <w:szCs w:val="16"/>
              </w:rPr>
            </w:pPr>
            <w:r w:rsidRPr="00E564A2">
              <w:rPr>
                <w:rFonts w:ascii="Arial" w:hAnsi="Arial" w:cs="Arial"/>
                <w:color w:val="000000"/>
                <w:sz w:val="16"/>
                <w:szCs w:val="16"/>
              </w:rPr>
              <w:t>Pardubický kraj</w:t>
            </w:r>
          </w:p>
        </w:tc>
        <w:tc>
          <w:tcPr>
            <w:tcW w:w="980" w:type="dxa"/>
            <w:tcBorders>
              <w:top w:val="nil"/>
              <w:left w:val="nil"/>
              <w:bottom w:val="nil"/>
              <w:right w:val="single" w:sz="4"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511 627</w:t>
            </w:r>
          </w:p>
        </w:tc>
        <w:tc>
          <w:tcPr>
            <w:tcW w:w="900" w:type="dxa"/>
            <w:tcBorders>
              <w:top w:val="nil"/>
              <w:left w:val="nil"/>
              <w:bottom w:val="nil"/>
              <w:right w:val="single" w:sz="4"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47,1</w:t>
            </w:r>
          </w:p>
        </w:tc>
        <w:tc>
          <w:tcPr>
            <w:tcW w:w="900" w:type="dxa"/>
            <w:tcBorders>
              <w:top w:val="nil"/>
              <w:left w:val="nil"/>
              <w:bottom w:val="nil"/>
              <w:right w:val="single" w:sz="4"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19,8</w:t>
            </w:r>
          </w:p>
        </w:tc>
        <w:tc>
          <w:tcPr>
            <w:tcW w:w="900" w:type="dxa"/>
            <w:tcBorders>
              <w:top w:val="nil"/>
              <w:left w:val="nil"/>
              <w:bottom w:val="nil"/>
              <w:right w:val="single" w:sz="4"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6,8</w:t>
            </w:r>
          </w:p>
        </w:tc>
        <w:tc>
          <w:tcPr>
            <w:tcW w:w="900" w:type="dxa"/>
            <w:tcBorders>
              <w:top w:val="nil"/>
              <w:left w:val="nil"/>
              <w:bottom w:val="nil"/>
              <w:right w:val="double" w:sz="6"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16,2</w:t>
            </w:r>
          </w:p>
        </w:tc>
        <w:tc>
          <w:tcPr>
            <w:tcW w:w="900" w:type="dxa"/>
            <w:tcBorders>
              <w:top w:val="nil"/>
              <w:left w:val="nil"/>
              <w:bottom w:val="nil"/>
              <w:right w:val="single" w:sz="4"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67,5</w:t>
            </w:r>
          </w:p>
        </w:tc>
        <w:tc>
          <w:tcPr>
            <w:tcW w:w="900" w:type="dxa"/>
            <w:tcBorders>
              <w:top w:val="nil"/>
              <w:left w:val="nil"/>
              <w:bottom w:val="nil"/>
              <w:right w:val="single" w:sz="4"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74,4</w:t>
            </w:r>
          </w:p>
        </w:tc>
        <w:tc>
          <w:tcPr>
            <w:tcW w:w="900" w:type="dxa"/>
            <w:tcBorders>
              <w:top w:val="nil"/>
              <w:left w:val="nil"/>
              <w:bottom w:val="nil"/>
              <w:right w:val="single" w:sz="4"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95,3</w:t>
            </w:r>
          </w:p>
        </w:tc>
      </w:tr>
      <w:tr w:rsidR="0003591A" w:rsidRPr="00E564A2" w:rsidTr="000F3DF8">
        <w:trPr>
          <w:trHeight w:val="225"/>
        </w:trPr>
        <w:tc>
          <w:tcPr>
            <w:tcW w:w="1740" w:type="dxa"/>
            <w:tcBorders>
              <w:top w:val="nil"/>
              <w:left w:val="single" w:sz="4" w:space="0" w:color="auto"/>
              <w:bottom w:val="nil"/>
              <w:right w:val="single" w:sz="4" w:space="0" w:color="auto"/>
            </w:tcBorders>
            <w:shd w:val="clear" w:color="auto" w:fill="auto"/>
            <w:noWrap/>
            <w:vAlign w:val="bottom"/>
            <w:hideMark/>
          </w:tcPr>
          <w:p w:rsidR="0003591A" w:rsidRPr="00E564A2" w:rsidRDefault="0003591A" w:rsidP="000F3DF8">
            <w:pPr>
              <w:widowControl w:val="0"/>
              <w:rPr>
                <w:rFonts w:ascii="Arial" w:hAnsi="Arial" w:cs="Arial"/>
                <w:color w:val="000000"/>
                <w:sz w:val="16"/>
                <w:szCs w:val="16"/>
              </w:rPr>
            </w:pPr>
            <w:r w:rsidRPr="00E564A2">
              <w:rPr>
                <w:rFonts w:ascii="Arial" w:hAnsi="Arial" w:cs="Arial"/>
                <w:color w:val="000000"/>
                <w:sz w:val="16"/>
                <w:szCs w:val="16"/>
              </w:rPr>
              <w:t>Kraj Vysočina</w:t>
            </w:r>
          </w:p>
        </w:tc>
        <w:tc>
          <w:tcPr>
            <w:tcW w:w="980" w:type="dxa"/>
            <w:tcBorders>
              <w:top w:val="nil"/>
              <w:left w:val="nil"/>
              <w:bottom w:val="nil"/>
              <w:right w:val="single" w:sz="4"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505 565</w:t>
            </w:r>
          </w:p>
        </w:tc>
        <w:tc>
          <w:tcPr>
            <w:tcW w:w="900" w:type="dxa"/>
            <w:tcBorders>
              <w:top w:val="nil"/>
              <w:left w:val="nil"/>
              <w:bottom w:val="nil"/>
              <w:right w:val="single" w:sz="4"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51,0</w:t>
            </w:r>
          </w:p>
        </w:tc>
        <w:tc>
          <w:tcPr>
            <w:tcW w:w="900" w:type="dxa"/>
            <w:tcBorders>
              <w:top w:val="nil"/>
              <w:left w:val="nil"/>
              <w:bottom w:val="nil"/>
              <w:right w:val="single" w:sz="4"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22,0</w:t>
            </w:r>
          </w:p>
        </w:tc>
        <w:tc>
          <w:tcPr>
            <w:tcW w:w="900" w:type="dxa"/>
            <w:tcBorders>
              <w:top w:val="nil"/>
              <w:left w:val="nil"/>
              <w:bottom w:val="nil"/>
              <w:right w:val="single" w:sz="4"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5,6</w:t>
            </w:r>
          </w:p>
        </w:tc>
        <w:tc>
          <w:tcPr>
            <w:tcW w:w="900" w:type="dxa"/>
            <w:tcBorders>
              <w:top w:val="nil"/>
              <w:left w:val="nil"/>
              <w:bottom w:val="nil"/>
              <w:right w:val="double" w:sz="6"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13,6</w:t>
            </w:r>
          </w:p>
        </w:tc>
        <w:tc>
          <w:tcPr>
            <w:tcW w:w="900" w:type="dxa"/>
            <w:tcBorders>
              <w:top w:val="nil"/>
              <w:left w:val="nil"/>
              <w:bottom w:val="nil"/>
              <w:right w:val="single" w:sz="4"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73,9</w:t>
            </w:r>
          </w:p>
        </w:tc>
        <w:tc>
          <w:tcPr>
            <w:tcW w:w="900" w:type="dxa"/>
            <w:tcBorders>
              <w:top w:val="nil"/>
              <w:left w:val="nil"/>
              <w:bottom w:val="nil"/>
              <w:right w:val="single" w:sz="4"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79,5</w:t>
            </w:r>
          </w:p>
        </w:tc>
        <w:tc>
          <w:tcPr>
            <w:tcW w:w="900" w:type="dxa"/>
            <w:tcBorders>
              <w:top w:val="nil"/>
              <w:left w:val="nil"/>
              <w:bottom w:val="nil"/>
              <w:right w:val="single" w:sz="4"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97,1</w:t>
            </w:r>
          </w:p>
        </w:tc>
      </w:tr>
      <w:tr w:rsidR="0003591A" w:rsidRPr="00E564A2" w:rsidTr="000F3DF8">
        <w:trPr>
          <w:trHeight w:val="225"/>
        </w:trPr>
        <w:tc>
          <w:tcPr>
            <w:tcW w:w="1740" w:type="dxa"/>
            <w:tcBorders>
              <w:top w:val="nil"/>
              <w:left w:val="single" w:sz="4" w:space="0" w:color="auto"/>
              <w:bottom w:val="nil"/>
              <w:right w:val="single" w:sz="4" w:space="0" w:color="auto"/>
            </w:tcBorders>
            <w:shd w:val="clear" w:color="auto" w:fill="auto"/>
            <w:noWrap/>
            <w:vAlign w:val="bottom"/>
            <w:hideMark/>
          </w:tcPr>
          <w:p w:rsidR="0003591A" w:rsidRPr="00E564A2" w:rsidRDefault="0003591A" w:rsidP="000F3DF8">
            <w:pPr>
              <w:widowControl w:val="0"/>
              <w:rPr>
                <w:rFonts w:ascii="Arial" w:hAnsi="Arial" w:cs="Arial"/>
                <w:color w:val="000000"/>
                <w:sz w:val="16"/>
                <w:szCs w:val="16"/>
              </w:rPr>
            </w:pPr>
            <w:r w:rsidRPr="00E564A2">
              <w:rPr>
                <w:rFonts w:ascii="Arial" w:hAnsi="Arial" w:cs="Arial"/>
                <w:color w:val="000000"/>
                <w:sz w:val="16"/>
                <w:szCs w:val="16"/>
              </w:rPr>
              <w:t>Jihomoravský kraj</w:t>
            </w:r>
          </w:p>
        </w:tc>
        <w:tc>
          <w:tcPr>
            <w:tcW w:w="980" w:type="dxa"/>
            <w:tcBorders>
              <w:top w:val="nil"/>
              <w:left w:val="nil"/>
              <w:bottom w:val="nil"/>
              <w:right w:val="single" w:sz="4"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1 163 508</w:t>
            </w:r>
          </w:p>
        </w:tc>
        <w:tc>
          <w:tcPr>
            <w:tcW w:w="900" w:type="dxa"/>
            <w:tcBorders>
              <w:top w:val="nil"/>
              <w:left w:val="nil"/>
              <w:bottom w:val="nil"/>
              <w:right w:val="single" w:sz="4"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51,2</w:t>
            </w:r>
          </w:p>
        </w:tc>
        <w:tc>
          <w:tcPr>
            <w:tcW w:w="900" w:type="dxa"/>
            <w:tcBorders>
              <w:top w:val="nil"/>
              <w:left w:val="nil"/>
              <w:bottom w:val="nil"/>
              <w:right w:val="single" w:sz="4"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13,1</w:t>
            </w:r>
          </w:p>
        </w:tc>
        <w:tc>
          <w:tcPr>
            <w:tcW w:w="900" w:type="dxa"/>
            <w:tcBorders>
              <w:top w:val="nil"/>
              <w:left w:val="nil"/>
              <w:bottom w:val="nil"/>
              <w:right w:val="single" w:sz="4"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12,3</w:t>
            </w:r>
          </w:p>
        </w:tc>
        <w:tc>
          <w:tcPr>
            <w:tcW w:w="900" w:type="dxa"/>
            <w:tcBorders>
              <w:top w:val="nil"/>
              <w:left w:val="nil"/>
              <w:bottom w:val="nil"/>
              <w:right w:val="double" w:sz="6"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13,1</w:t>
            </w:r>
          </w:p>
        </w:tc>
        <w:tc>
          <w:tcPr>
            <w:tcW w:w="900" w:type="dxa"/>
            <w:tcBorders>
              <w:top w:val="nil"/>
              <w:left w:val="nil"/>
              <w:bottom w:val="nil"/>
              <w:right w:val="single" w:sz="4"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64,6</w:t>
            </w:r>
          </w:p>
        </w:tc>
        <w:tc>
          <w:tcPr>
            <w:tcW w:w="900" w:type="dxa"/>
            <w:tcBorders>
              <w:top w:val="nil"/>
              <w:left w:val="nil"/>
              <w:bottom w:val="nil"/>
              <w:right w:val="single" w:sz="4"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76,9</w:t>
            </w:r>
          </w:p>
        </w:tc>
        <w:tc>
          <w:tcPr>
            <w:tcW w:w="900" w:type="dxa"/>
            <w:tcBorders>
              <w:top w:val="nil"/>
              <w:left w:val="nil"/>
              <w:bottom w:val="nil"/>
              <w:right w:val="single" w:sz="4"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94,3</w:t>
            </w:r>
          </w:p>
        </w:tc>
      </w:tr>
      <w:tr w:rsidR="0003591A" w:rsidRPr="00E564A2" w:rsidTr="000F3DF8">
        <w:trPr>
          <w:trHeight w:val="225"/>
        </w:trPr>
        <w:tc>
          <w:tcPr>
            <w:tcW w:w="1740" w:type="dxa"/>
            <w:tcBorders>
              <w:top w:val="nil"/>
              <w:left w:val="single" w:sz="4" w:space="0" w:color="auto"/>
              <w:bottom w:val="nil"/>
              <w:right w:val="single" w:sz="4" w:space="0" w:color="auto"/>
            </w:tcBorders>
            <w:shd w:val="clear" w:color="auto" w:fill="auto"/>
            <w:noWrap/>
            <w:vAlign w:val="bottom"/>
            <w:hideMark/>
          </w:tcPr>
          <w:p w:rsidR="0003591A" w:rsidRPr="00E564A2" w:rsidRDefault="0003591A" w:rsidP="000F3DF8">
            <w:pPr>
              <w:widowControl w:val="0"/>
              <w:rPr>
                <w:rFonts w:ascii="Arial" w:hAnsi="Arial" w:cs="Arial"/>
                <w:color w:val="000000"/>
                <w:sz w:val="16"/>
                <w:szCs w:val="16"/>
              </w:rPr>
            </w:pPr>
            <w:r w:rsidRPr="00E564A2">
              <w:rPr>
                <w:rFonts w:ascii="Arial" w:hAnsi="Arial" w:cs="Arial"/>
                <w:color w:val="000000"/>
                <w:sz w:val="16"/>
                <w:szCs w:val="16"/>
              </w:rPr>
              <w:t>Olomoucký kraj</w:t>
            </w:r>
          </w:p>
        </w:tc>
        <w:tc>
          <w:tcPr>
            <w:tcW w:w="980" w:type="dxa"/>
            <w:tcBorders>
              <w:top w:val="nil"/>
              <w:left w:val="nil"/>
              <w:bottom w:val="nil"/>
              <w:right w:val="single" w:sz="4"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628 427</w:t>
            </w:r>
          </w:p>
        </w:tc>
        <w:tc>
          <w:tcPr>
            <w:tcW w:w="900" w:type="dxa"/>
            <w:tcBorders>
              <w:top w:val="nil"/>
              <w:left w:val="nil"/>
              <w:bottom w:val="nil"/>
              <w:right w:val="single" w:sz="4"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48,2</w:t>
            </w:r>
          </w:p>
        </w:tc>
        <w:tc>
          <w:tcPr>
            <w:tcW w:w="900" w:type="dxa"/>
            <w:tcBorders>
              <w:top w:val="nil"/>
              <w:left w:val="nil"/>
              <w:bottom w:val="nil"/>
              <w:right w:val="single" w:sz="4"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20,7</w:t>
            </w:r>
          </w:p>
        </w:tc>
        <w:tc>
          <w:tcPr>
            <w:tcW w:w="900" w:type="dxa"/>
            <w:tcBorders>
              <w:top w:val="nil"/>
              <w:left w:val="nil"/>
              <w:bottom w:val="nil"/>
              <w:right w:val="single" w:sz="4"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7,2</w:t>
            </w:r>
          </w:p>
        </w:tc>
        <w:tc>
          <w:tcPr>
            <w:tcW w:w="900" w:type="dxa"/>
            <w:tcBorders>
              <w:top w:val="nil"/>
              <w:left w:val="nil"/>
              <w:bottom w:val="nil"/>
              <w:right w:val="double" w:sz="6"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14,1</w:t>
            </w:r>
          </w:p>
        </w:tc>
        <w:tc>
          <w:tcPr>
            <w:tcW w:w="900" w:type="dxa"/>
            <w:tcBorders>
              <w:top w:val="nil"/>
              <w:left w:val="nil"/>
              <w:bottom w:val="nil"/>
              <w:right w:val="single" w:sz="4"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69,6</w:t>
            </w:r>
          </w:p>
        </w:tc>
        <w:tc>
          <w:tcPr>
            <w:tcW w:w="900" w:type="dxa"/>
            <w:tcBorders>
              <w:top w:val="nil"/>
              <w:left w:val="nil"/>
              <w:bottom w:val="nil"/>
              <w:right w:val="single" w:sz="4"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76,8</w:t>
            </w:r>
          </w:p>
        </w:tc>
        <w:tc>
          <w:tcPr>
            <w:tcW w:w="900" w:type="dxa"/>
            <w:tcBorders>
              <w:top w:val="nil"/>
              <w:left w:val="nil"/>
              <w:bottom w:val="nil"/>
              <w:right w:val="single" w:sz="4"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95,7</w:t>
            </w:r>
          </w:p>
        </w:tc>
      </w:tr>
      <w:tr w:rsidR="0003591A" w:rsidRPr="00E564A2" w:rsidTr="000F3DF8">
        <w:trPr>
          <w:trHeight w:val="225"/>
        </w:trPr>
        <w:tc>
          <w:tcPr>
            <w:tcW w:w="1740" w:type="dxa"/>
            <w:tcBorders>
              <w:top w:val="nil"/>
              <w:left w:val="single" w:sz="4" w:space="0" w:color="auto"/>
              <w:bottom w:val="nil"/>
              <w:right w:val="single" w:sz="4" w:space="0" w:color="auto"/>
            </w:tcBorders>
            <w:shd w:val="clear" w:color="auto" w:fill="auto"/>
            <w:noWrap/>
            <w:vAlign w:val="bottom"/>
            <w:hideMark/>
          </w:tcPr>
          <w:p w:rsidR="0003591A" w:rsidRPr="00E564A2" w:rsidRDefault="0003591A" w:rsidP="000F3DF8">
            <w:pPr>
              <w:widowControl w:val="0"/>
              <w:rPr>
                <w:rFonts w:ascii="Arial" w:hAnsi="Arial" w:cs="Arial"/>
                <w:color w:val="000000"/>
                <w:sz w:val="16"/>
                <w:szCs w:val="16"/>
              </w:rPr>
            </w:pPr>
            <w:r w:rsidRPr="00E564A2">
              <w:rPr>
                <w:rFonts w:ascii="Arial" w:hAnsi="Arial" w:cs="Arial"/>
                <w:color w:val="000000"/>
                <w:sz w:val="16"/>
                <w:szCs w:val="16"/>
              </w:rPr>
              <w:t>Zlínský kraj</w:t>
            </w:r>
          </w:p>
        </w:tc>
        <w:tc>
          <w:tcPr>
            <w:tcW w:w="980" w:type="dxa"/>
            <w:tcBorders>
              <w:top w:val="nil"/>
              <w:left w:val="nil"/>
              <w:bottom w:val="nil"/>
              <w:right w:val="single" w:sz="4"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579 944</w:t>
            </w:r>
          </w:p>
        </w:tc>
        <w:tc>
          <w:tcPr>
            <w:tcW w:w="900" w:type="dxa"/>
            <w:tcBorders>
              <w:top w:val="nil"/>
              <w:left w:val="nil"/>
              <w:bottom w:val="nil"/>
              <w:right w:val="single" w:sz="4"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53,0</w:t>
            </w:r>
          </w:p>
        </w:tc>
        <w:tc>
          <w:tcPr>
            <w:tcW w:w="900" w:type="dxa"/>
            <w:tcBorders>
              <w:top w:val="nil"/>
              <w:left w:val="nil"/>
              <w:bottom w:val="nil"/>
              <w:right w:val="single" w:sz="4"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21,1</w:t>
            </w:r>
          </w:p>
        </w:tc>
        <w:tc>
          <w:tcPr>
            <w:tcW w:w="900" w:type="dxa"/>
            <w:tcBorders>
              <w:top w:val="nil"/>
              <w:left w:val="nil"/>
              <w:bottom w:val="nil"/>
              <w:right w:val="single" w:sz="4"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5,9</w:t>
            </w:r>
          </w:p>
        </w:tc>
        <w:tc>
          <w:tcPr>
            <w:tcW w:w="900" w:type="dxa"/>
            <w:tcBorders>
              <w:top w:val="nil"/>
              <w:left w:val="nil"/>
              <w:bottom w:val="nil"/>
              <w:right w:val="double" w:sz="6"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11,9</w:t>
            </w:r>
          </w:p>
        </w:tc>
        <w:tc>
          <w:tcPr>
            <w:tcW w:w="900" w:type="dxa"/>
            <w:tcBorders>
              <w:top w:val="nil"/>
              <w:left w:val="nil"/>
              <w:bottom w:val="nil"/>
              <w:right w:val="single" w:sz="4"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74,7</w:t>
            </w:r>
          </w:p>
        </w:tc>
        <w:tc>
          <w:tcPr>
            <w:tcW w:w="900" w:type="dxa"/>
            <w:tcBorders>
              <w:top w:val="nil"/>
              <w:left w:val="nil"/>
              <w:bottom w:val="nil"/>
              <w:right w:val="single" w:sz="4"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80,7</w:t>
            </w:r>
          </w:p>
        </w:tc>
        <w:tc>
          <w:tcPr>
            <w:tcW w:w="900" w:type="dxa"/>
            <w:tcBorders>
              <w:top w:val="nil"/>
              <w:left w:val="nil"/>
              <w:bottom w:val="nil"/>
              <w:right w:val="single" w:sz="4"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96,5</w:t>
            </w:r>
          </w:p>
        </w:tc>
      </w:tr>
      <w:tr w:rsidR="0003591A" w:rsidRPr="00E564A2" w:rsidTr="000F3DF8">
        <w:trPr>
          <w:trHeight w:val="225"/>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03591A" w:rsidRPr="00E564A2" w:rsidRDefault="0003591A" w:rsidP="000F3DF8">
            <w:pPr>
              <w:widowControl w:val="0"/>
              <w:rPr>
                <w:rFonts w:ascii="Arial" w:hAnsi="Arial" w:cs="Arial"/>
                <w:color w:val="000000"/>
                <w:sz w:val="16"/>
                <w:szCs w:val="16"/>
              </w:rPr>
            </w:pPr>
            <w:r w:rsidRPr="00E564A2">
              <w:rPr>
                <w:rFonts w:ascii="Arial" w:hAnsi="Arial" w:cs="Arial"/>
                <w:color w:val="000000"/>
                <w:sz w:val="16"/>
                <w:szCs w:val="16"/>
              </w:rPr>
              <w:t>Moravskoslezský kraj</w:t>
            </w:r>
          </w:p>
        </w:tc>
        <w:tc>
          <w:tcPr>
            <w:tcW w:w="980" w:type="dxa"/>
            <w:tcBorders>
              <w:top w:val="nil"/>
              <w:left w:val="nil"/>
              <w:bottom w:val="single" w:sz="4" w:space="0" w:color="auto"/>
              <w:right w:val="single" w:sz="4"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1 205 834</w:t>
            </w:r>
          </w:p>
        </w:tc>
        <w:tc>
          <w:tcPr>
            <w:tcW w:w="900" w:type="dxa"/>
            <w:tcBorders>
              <w:top w:val="nil"/>
              <w:left w:val="nil"/>
              <w:bottom w:val="single" w:sz="4" w:space="0" w:color="auto"/>
              <w:right w:val="single" w:sz="4"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51,5</w:t>
            </w:r>
          </w:p>
        </w:tc>
        <w:tc>
          <w:tcPr>
            <w:tcW w:w="900" w:type="dxa"/>
            <w:tcBorders>
              <w:top w:val="nil"/>
              <w:left w:val="nil"/>
              <w:bottom w:val="single" w:sz="4" w:space="0" w:color="auto"/>
              <w:right w:val="single" w:sz="4"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14,0</w:t>
            </w:r>
          </w:p>
        </w:tc>
        <w:tc>
          <w:tcPr>
            <w:tcW w:w="900" w:type="dxa"/>
            <w:tcBorders>
              <w:top w:val="nil"/>
              <w:left w:val="nil"/>
              <w:bottom w:val="single" w:sz="4" w:space="0" w:color="auto"/>
              <w:right w:val="single" w:sz="4"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12,0</w:t>
            </w:r>
          </w:p>
        </w:tc>
        <w:tc>
          <w:tcPr>
            <w:tcW w:w="900" w:type="dxa"/>
            <w:tcBorders>
              <w:top w:val="nil"/>
              <w:left w:val="nil"/>
              <w:bottom w:val="single" w:sz="4" w:space="0" w:color="auto"/>
              <w:right w:val="double" w:sz="6"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9,7</w:t>
            </w:r>
          </w:p>
        </w:tc>
        <w:tc>
          <w:tcPr>
            <w:tcW w:w="900" w:type="dxa"/>
            <w:tcBorders>
              <w:top w:val="nil"/>
              <w:left w:val="nil"/>
              <w:bottom w:val="single" w:sz="4" w:space="0" w:color="auto"/>
              <w:right w:val="single" w:sz="4"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66,7</w:t>
            </w:r>
          </w:p>
        </w:tc>
        <w:tc>
          <w:tcPr>
            <w:tcW w:w="900" w:type="dxa"/>
            <w:tcBorders>
              <w:top w:val="nil"/>
              <w:left w:val="nil"/>
              <w:bottom w:val="single" w:sz="4" w:space="0" w:color="auto"/>
              <w:right w:val="single" w:sz="4"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78,7</w:t>
            </w:r>
          </w:p>
        </w:tc>
        <w:tc>
          <w:tcPr>
            <w:tcW w:w="900" w:type="dxa"/>
            <w:tcBorders>
              <w:top w:val="nil"/>
              <w:left w:val="nil"/>
              <w:bottom w:val="single" w:sz="4" w:space="0" w:color="auto"/>
              <w:right w:val="single" w:sz="4" w:space="0" w:color="auto"/>
            </w:tcBorders>
            <w:shd w:val="clear" w:color="auto" w:fill="auto"/>
            <w:noWrap/>
            <w:vAlign w:val="bottom"/>
            <w:hideMark/>
          </w:tcPr>
          <w:p w:rsidR="0003591A" w:rsidRPr="00E564A2" w:rsidRDefault="0003591A" w:rsidP="000F3DF8">
            <w:pPr>
              <w:widowControl w:val="0"/>
              <w:jc w:val="right"/>
              <w:rPr>
                <w:rFonts w:ascii="Arial" w:hAnsi="Arial" w:cs="Arial"/>
                <w:color w:val="000000"/>
                <w:sz w:val="16"/>
                <w:szCs w:val="16"/>
              </w:rPr>
            </w:pPr>
            <w:r w:rsidRPr="00E564A2">
              <w:rPr>
                <w:rFonts w:ascii="Arial" w:hAnsi="Arial" w:cs="Arial"/>
                <w:color w:val="000000"/>
                <w:sz w:val="16"/>
                <w:szCs w:val="16"/>
              </w:rPr>
              <w:t>93,9</w:t>
            </w:r>
          </w:p>
        </w:tc>
      </w:tr>
    </w:tbl>
    <w:p w:rsidR="0003591A" w:rsidRDefault="0003591A" w:rsidP="0003591A">
      <w:pPr>
        <w:widowControl w:val="0"/>
        <w:spacing w:after="120"/>
        <w:jc w:val="both"/>
        <w:rPr>
          <w:rFonts w:ascii="Arial" w:hAnsi="Arial" w:cs="Arial"/>
        </w:rPr>
      </w:pPr>
    </w:p>
    <w:p w:rsidR="0003591A" w:rsidRDefault="0003591A" w:rsidP="0003591A">
      <w:pPr>
        <w:widowControl w:val="0"/>
        <w:spacing w:after="120"/>
        <w:jc w:val="both"/>
        <w:rPr>
          <w:rFonts w:ascii="Arial" w:hAnsi="Arial" w:cs="Arial"/>
        </w:rPr>
      </w:pPr>
      <w:r>
        <w:rPr>
          <w:rFonts w:ascii="Arial" w:hAnsi="Arial" w:cs="Arial"/>
        </w:rPr>
        <w:t xml:space="preserve">Ve východní polovině republiky podíl osob narozených v okrese bydliště u naprosté většiny okresů neklesá pod dvě třetiny. Ve 4 okresech dokonce tvoří v okrese narození obyvatelé více než tři čtvrtiny: Uherské Hradiště (nejvyšší hodnota v republice – 79,0 %), Hodonín, </w:t>
      </w:r>
      <w:r w:rsidRPr="00DD11D6">
        <w:rPr>
          <w:rFonts w:ascii="Arial" w:hAnsi="Arial" w:cs="Arial"/>
        </w:rPr>
        <w:t>Žďár nad Sázavou</w:t>
      </w:r>
      <w:r>
        <w:rPr>
          <w:rFonts w:ascii="Arial" w:hAnsi="Arial" w:cs="Arial"/>
        </w:rPr>
        <w:t xml:space="preserve"> a Vsetín. Tyto 4 okresy (dokonce i ve stejném pořadí) měly nejvyšší podíl narozených v okrese bydliště i při sčítání v roce 2001, tehdy ovšem s podíly více než čtyři pětiny obyvatelstva. Nižší než dvoutřetinový podíl této kategorie mají na Moravě jen Brno a okolí, </w:t>
      </w:r>
      <w:proofErr w:type="spellStart"/>
      <w:r>
        <w:rPr>
          <w:rFonts w:ascii="Arial" w:hAnsi="Arial" w:cs="Arial"/>
        </w:rPr>
        <w:t>Ostravsko</w:t>
      </w:r>
      <w:proofErr w:type="spellEnd"/>
      <w:r>
        <w:rPr>
          <w:rFonts w:ascii="Arial" w:hAnsi="Arial" w:cs="Arial"/>
        </w:rPr>
        <w:t xml:space="preserve">-Karvinsko a oblast Jeseníků. Vůbec nejnižší podíl narozených v okrese bydliště má z moravských okresů </w:t>
      </w:r>
      <w:r w:rsidRPr="007139E3">
        <w:rPr>
          <w:rFonts w:ascii="Arial" w:hAnsi="Arial" w:cs="Arial"/>
        </w:rPr>
        <w:t>Brno-město</w:t>
      </w:r>
      <w:r>
        <w:rPr>
          <w:rFonts w:ascii="Arial" w:hAnsi="Arial" w:cs="Arial"/>
        </w:rPr>
        <w:t>, jelikož zde je tato hodnota shodná s podílem narozených v obci bydliště (53,8 %), a okres Jeseník (56,0 %).</w:t>
      </w:r>
    </w:p>
    <w:p w:rsidR="0003591A" w:rsidRDefault="0003591A" w:rsidP="0003591A">
      <w:pPr>
        <w:widowControl w:val="0"/>
        <w:spacing w:after="120"/>
        <w:jc w:val="both"/>
        <w:rPr>
          <w:rFonts w:ascii="Arial" w:hAnsi="Arial" w:cs="Arial"/>
        </w:rPr>
      </w:pPr>
      <w:r w:rsidRPr="00275A6E">
        <w:rPr>
          <w:rFonts w:ascii="Arial" w:hAnsi="Arial" w:cs="Arial"/>
          <w:noProof/>
        </w:rPr>
        <w:drawing>
          <wp:inline distT="0" distB="0" distL="0" distR="0">
            <wp:extent cx="6120130" cy="4308475"/>
            <wp:effectExtent l="19050" t="19050" r="13970" b="15875"/>
            <wp:docPr id="6" name="Obrázek 20" descr="v_okres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_okrese3.jpg"/>
                    <pic:cNvPicPr/>
                  </pic:nvPicPr>
                  <pic:blipFill>
                    <a:blip r:embed="rId5" cstate="print"/>
                    <a:stretch>
                      <a:fillRect/>
                    </a:stretch>
                  </pic:blipFill>
                  <pic:spPr>
                    <a:xfrm>
                      <a:off x="0" y="0"/>
                      <a:ext cx="6120130" cy="4308475"/>
                    </a:xfrm>
                    <a:prstGeom prst="rect">
                      <a:avLst/>
                    </a:prstGeom>
                    <a:ln>
                      <a:solidFill>
                        <a:schemeClr val="tx1">
                          <a:lumMod val="75000"/>
                          <a:lumOff val="25000"/>
                        </a:schemeClr>
                      </a:solidFill>
                    </a:ln>
                  </pic:spPr>
                </pic:pic>
              </a:graphicData>
            </a:graphic>
          </wp:inline>
        </w:drawing>
      </w:r>
    </w:p>
    <w:p w:rsidR="0003591A" w:rsidRDefault="0003591A" w:rsidP="0003591A">
      <w:pPr>
        <w:spacing w:after="120"/>
        <w:jc w:val="both"/>
        <w:rPr>
          <w:rFonts w:ascii="Arial" w:hAnsi="Arial" w:cs="Arial"/>
        </w:rPr>
      </w:pPr>
      <w:r>
        <w:rPr>
          <w:rFonts w:ascii="Arial" w:hAnsi="Arial" w:cs="Arial"/>
        </w:rPr>
        <w:lastRenderedPageBreak/>
        <w:t xml:space="preserve">V Čechách mají nejvyšší - více než dvoutřetinový podíl osob narozených v okrese bydliště především okresy v okrajových částech Vysočiny a ve východních Čechách – téměř všechny okresy Pardubického kraje, Rychnov nad Kněžnou, Náchod, Jindřichův Hradec, a dále okresy Klatovy a Domažlice. </w:t>
      </w:r>
    </w:p>
    <w:p w:rsidR="00B62D0F" w:rsidRDefault="0003591A" w:rsidP="0003591A">
      <w:pPr>
        <w:jc w:val="both"/>
        <w:rPr>
          <w:rFonts w:ascii="Arial" w:hAnsi="Arial" w:cs="Arial"/>
        </w:rPr>
      </w:pPr>
      <w:r>
        <w:rPr>
          <w:rFonts w:ascii="Arial" w:hAnsi="Arial" w:cs="Arial"/>
        </w:rPr>
        <w:t xml:space="preserve">Nízké zastoupení narozených v okrese bydliště – mezi 50 – 55 % mají kromě velkoměst Prahy a Plzně především západní Čechy – celý Karlovarský kraj a přilehlý okres Tachov, a dále oblast severně od Prahy - okresy Mělník a Česká Lípa. Za nimi se pak řadí, ovšem se skokovým odstupem 10-15 procentních bodů, vůbec nejnižší hodnoty z okresů v těsném zázemí Prahy, kde osoby narozené v okrese bydliště nepředstavují ani dvě pětiny populace - </w:t>
      </w:r>
      <w:r w:rsidRPr="00DD11D6">
        <w:rPr>
          <w:rFonts w:ascii="Arial" w:hAnsi="Arial" w:cs="Arial"/>
        </w:rPr>
        <w:t>Praha-západ</w:t>
      </w:r>
      <w:r>
        <w:rPr>
          <w:rFonts w:ascii="Arial" w:hAnsi="Arial" w:cs="Arial"/>
        </w:rPr>
        <w:t xml:space="preserve"> 35,4 % a Praha-východ 39,8 %.</w:t>
      </w:r>
    </w:p>
    <w:p w:rsidR="0003591A" w:rsidRDefault="0003591A" w:rsidP="0003591A">
      <w:pPr>
        <w:jc w:val="both"/>
      </w:pPr>
    </w:p>
    <w:sectPr w:rsidR="0003591A" w:rsidSect="0003591A">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00"/>
  <w:displayHorizontalDrawingGridEvery w:val="2"/>
  <w:characterSpacingControl w:val="doNotCompress"/>
  <w:compat/>
  <w:rsids>
    <w:rsidRoot w:val="0003591A"/>
    <w:rsid w:val="0003591A"/>
    <w:rsid w:val="00B62D0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591A"/>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nadpis2">
    <w:name w:val="Mnadpis2"/>
    <w:basedOn w:val="Normln"/>
    <w:link w:val="Mnadpis2Char"/>
    <w:qFormat/>
    <w:rsid w:val="0003591A"/>
    <w:pPr>
      <w:widowControl w:val="0"/>
      <w:ind w:left="709" w:hanging="709"/>
    </w:pPr>
    <w:rPr>
      <w:rFonts w:ascii="Arial" w:hAnsi="Arial" w:cs="Arial"/>
      <w:b/>
      <w:color w:val="000000"/>
      <w:sz w:val="24"/>
      <w:szCs w:val="24"/>
    </w:rPr>
  </w:style>
  <w:style w:type="character" w:customStyle="1" w:styleId="Mnadpis2Char">
    <w:name w:val="Mnadpis2 Char"/>
    <w:basedOn w:val="Standardnpsmoodstavce"/>
    <w:link w:val="Mnadpis2"/>
    <w:rsid w:val="0003591A"/>
    <w:rPr>
      <w:rFonts w:ascii="Arial" w:eastAsia="Times New Roman" w:hAnsi="Arial" w:cs="Arial"/>
      <w:b/>
      <w:color w:val="000000"/>
      <w:sz w:val="24"/>
      <w:szCs w:val="24"/>
      <w:lang w:eastAsia="cs-CZ"/>
    </w:rPr>
  </w:style>
  <w:style w:type="paragraph" w:styleId="Textbubliny">
    <w:name w:val="Balloon Text"/>
    <w:basedOn w:val="Normln"/>
    <w:link w:val="TextbublinyChar"/>
    <w:uiPriority w:val="99"/>
    <w:semiHidden/>
    <w:unhideWhenUsed/>
    <w:rsid w:val="0003591A"/>
    <w:rPr>
      <w:rFonts w:ascii="Tahoma" w:hAnsi="Tahoma" w:cs="Tahoma"/>
      <w:sz w:val="16"/>
      <w:szCs w:val="16"/>
    </w:rPr>
  </w:style>
  <w:style w:type="character" w:customStyle="1" w:styleId="TextbublinyChar">
    <w:name w:val="Text bubliny Char"/>
    <w:basedOn w:val="Standardnpsmoodstavce"/>
    <w:link w:val="Textbubliny"/>
    <w:uiPriority w:val="99"/>
    <w:semiHidden/>
    <w:rsid w:val="0003591A"/>
    <w:rPr>
      <w:rFonts w:ascii="Tahoma" w:eastAsia="Times New Roman" w:hAnsi="Tahoma" w:cs="Tahoma"/>
      <w:sz w:val="16"/>
      <w:szCs w:val="16"/>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708</Words>
  <Characters>4179</Characters>
  <Application>Microsoft Office Word</Application>
  <DocSecurity>0</DocSecurity>
  <Lines>34</Lines>
  <Paragraphs>9</Paragraphs>
  <ScaleCrop>false</ScaleCrop>
  <Company>ČSÚ</Company>
  <LinksUpToDate>false</LinksUpToDate>
  <CharactersWithSpaces>4878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Radolfová</dc:creator>
  <cp:lastModifiedBy>Marie Radolfová</cp:lastModifiedBy>
  <cp:revision>1</cp:revision>
  <dcterms:created xsi:type="dcterms:W3CDTF">2014-04-18T13:38:00Z</dcterms:created>
  <dcterms:modified xsi:type="dcterms:W3CDTF">2014-04-18T13:40:00Z</dcterms:modified>
</cp:coreProperties>
</file>