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463" w:rsidRPr="00CB5887" w:rsidRDefault="00121463">
      <w:pPr>
        <w:jc w:val="center"/>
        <w:rPr>
          <w:rFonts w:ascii="Arial" w:hAnsi="Arial" w:cs="Arial"/>
          <w:b/>
          <w:bCs/>
          <w:i/>
          <w:iCs/>
        </w:rPr>
      </w:pPr>
      <w:r w:rsidRPr="00CB5887">
        <w:rPr>
          <w:rFonts w:ascii="Arial" w:hAnsi="Arial" w:cs="Arial"/>
          <w:b/>
          <w:bCs/>
          <w:i/>
          <w:iCs/>
        </w:rPr>
        <w:t>5. NATIONAL ACCOUNTS</w:t>
      </w:r>
    </w:p>
    <w:p w:rsidR="00121463" w:rsidRPr="00CB5887" w:rsidRDefault="00121463">
      <w:pPr>
        <w:rPr>
          <w:rFonts w:ascii="Arial" w:hAnsi="Arial" w:cs="Arial"/>
          <w:sz w:val="20"/>
        </w:rPr>
      </w:pPr>
    </w:p>
    <w:p w:rsidR="002322D3" w:rsidRPr="00CB5887" w:rsidRDefault="00CD1804" w:rsidP="002322D3">
      <w:pPr>
        <w:ind w:firstLine="709"/>
        <w:rPr>
          <w:rFonts w:ascii="Arial" w:hAnsi="Arial" w:cs="Arial"/>
          <w:i/>
          <w:sz w:val="20"/>
          <w:szCs w:val="20"/>
        </w:rPr>
      </w:pPr>
      <w:r w:rsidRPr="00CB5887">
        <w:rPr>
          <w:rFonts w:ascii="Arial" w:hAnsi="Arial" w:cs="Arial"/>
          <w:i/>
          <w:sz w:val="20"/>
          <w:szCs w:val="20"/>
        </w:rPr>
        <w:t>National accounts compiled in</w:t>
      </w:r>
      <w:r w:rsidR="00CB5887">
        <w:rPr>
          <w:rFonts w:ascii="Arial" w:hAnsi="Arial" w:cs="Arial"/>
          <w:i/>
          <w:sz w:val="20"/>
          <w:szCs w:val="20"/>
        </w:rPr>
        <w:t xml:space="preserve"> the </w:t>
      </w:r>
      <w:r w:rsidRPr="00CB5887">
        <w:rPr>
          <w:rFonts w:ascii="Arial" w:hAnsi="Arial" w:cs="Arial"/>
          <w:i/>
          <w:sz w:val="20"/>
          <w:szCs w:val="20"/>
        </w:rPr>
        <w:t xml:space="preserve">Czech Republic </w:t>
      </w:r>
      <w:r w:rsidR="00CD54F6" w:rsidRPr="00CB5887">
        <w:rPr>
          <w:rFonts w:ascii="Arial" w:hAnsi="Arial" w:cs="Arial"/>
          <w:i/>
          <w:sz w:val="20"/>
          <w:szCs w:val="20"/>
        </w:rPr>
        <w:t>are based on</w:t>
      </w:r>
      <w:r w:rsidR="00CB5887">
        <w:rPr>
          <w:rFonts w:ascii="Arial" w:hAnsi="Arial" w:cs="Arial"/>
          <w:i/>
          <w:sz w:val="20"/>
          <w:szCs w:val="20"/>
        </w:rPr>
        <w:t xml:space="preserve"> the </w:t>
      </w:r>
      <w:r w:rsidR="00CD54F6" w:rsidRPr="00CB5887">
        <w:rPr>
          <w:rFonts w:ascii="Arial" w:hAnsi="Arial" w:cs="Arial"/>
          <w:i/>
          <w:sz w:val="20"/>
          <w:szCs w:val="20"/>
        </w:rPr>
        <w:t>ESA</w:t>
      </w:r>
      <w:r w:rsidR="00E33CE3">
        <w:rPr>
          <w:rFonts w:ascii="Arial" w:hAnsi="Arial" w:cs="Arial"/>
          <w:i/>
          <w:sz w:val="20"/>
          <w:szCs w:val="20"/>
        </w:rPr>
        <w:t> </w:t>
      </w:r>
      <w:r w:rsidR="00CD54F6" w:rsidRPr="00CB5887">
        <w:rPr>
          <w:rFonts w:ascii="Arial" w:hAnsi="Arial" w:cs="Arial"/>
          <w:i/>
          <w:sz w:val="20"/>
          <w:szCs w:val="20"/>
        </w:rPr>
        <w:t>2010 European standard (the Regulation (EU) No</w:t>
      </w:r>
      <w:r w:rsidR="00BB0144" w:rsidRPr="00CB5887">
        <w:rPr>
          <w:rFonts w:ascii="Arial" w:hAnsi="Arial" w:cs="Arial"/>
          <w:i/>
          <w:sz w:val="20"/>
          <w:szCs w:val="20"/>
        </w:rPr>
        <w:t> </w:t>
      </w:r>
      <w:r w:rsidR="00CD54F6" w:rsidRPr="00CB5887">
        <w:rPr>
          <w:rFonts w:ascii="Arial" w:hAnsi="Arial" w:cs="Arial"/>
          <w:i/>
          <w:sz w:val="20"/>
          <w:szCs w:val="20"/>
        </w:rPr>
        <w:t>549/2013 on</w:t>
      </w:r>
      <w:r w:rsidR="00CB5887">
        <w:rPr>
          <w:rFonts w:ascii="Arial" w:hAnsi="Arial" w:cs="Arial"/>
          <w:i/>
          <w:sz w:val="20"/>
          <w:szCs w:val="20"/>
        </w:rPr>
        <w:t xml:space="preserve"> the </w:t>
      </w:r>
      <w:r w:rsidR="00CD54F6" w:rsidRPr="00CB5887">
        <w:rPr>
          <w:rFonts w:ascii="Arial" w:hAnsi="Arial" w:cs="Arial"/>
          <w:i/>
          <w:sz w:val="20"/>
          <w:szCs w:val="20"/>
        </w:rPr>
        <w:t>European system of national and regional accounts in the European Union) and many additional and specifying regulations.</w:t>
      </w:r>
    </w:p>
    <w:p w:rsidR="00FD2980" w:rsidRPr="00CB5887" w:rsidRDefault="00CD54F6" w:rsidP="00E654DB">
      <w:pPr>
        <w:spacing w:before="120"/>
        <w:ind w:firstLine="709"/>
        <w:rPr>
          <w:rFonts w:ascii="Arial" w:hAnsi="Arial" w:cs="Arial"/>
          <w:i/>
          <w:sz w:val="20"/>
          <w:szCs w:val="20"/>
        </w:rPr>
      </w:pPr>
      <w:r w:rsidRPr="00CB5887">
        <w:rPr>
          <w:rFonts w:ascii="Arial" w:hAnsi="Arial" w:cs="Arial"/>
          <w:i/>
          <w:sz w:val="20"/>
          <w:szCs w:val="20"/>
        </w:rPr>
        <w:t xml:space="preserve">The skeleton of the Czech national accounts consists of a set of sector accounts followed by other tables and balances, especially supply and use tables and balances of non-financial assets </w:t>
      </w:r>
      <w:r w:rsidR="00D51B9A">
        <w:rPr>
          <w:rFonts w:ascii="Arial" w:hAnsi="Arial" w:cs="Arial"/>
          <w:i/>
          <w:sz w:val="20"/>
          <w:szCs w:val="20"/>
        </w:rPr>
        <w:t>and</w:t>
      </w:r>
      <w:r w:rsidR="00D51B9A" w:rsidRPr="00CB5887">
        <w:rPr>
          <w:rFonts w:ascii="Arial" w:hAnsi="Arial" w:cs="Arial"/>
          <w:i/>
          <w:sz w:val="20"/>
          <w:szCs w:val="20"/>
        </w:rPr>
        <w:t xml:space="preserve"> </w:t>
      </w:r>
      <w:r w:rsidR="00BB0144" w:rsidRPr="00CB5887">
        <w:rPr>
          <w:rFonts w:ascii="Arial" w:hAnsi="Arial" w:cs="Arial"/>
          <w:i/>
          <w:sz w:val="20"/>
          <w:szCs w:val="20"/>
        </w:rPr>
        <w:t>a </w:t>
      </w:r>
      <w:r w:rsidRPr="00CB5887">
        <w:rPr>
          <w:rFonts w:ascii="Arial" w:hAnsi="Arial" w:cs="Arial"/>
          <w:i/>
          <w:sz w:val="20"/>
          <w:szCs w:val="20"/>
        </w:rPr>
        <w:t xml:space="preserve">detailed overview of tax receipts and social contribution receipts. </w:t>
      </w:r>
    </w:p>
    <w:p w:rsidR="00AD75B0" w:rsidRPr="00CB5887" w:rsidRDefault="00CD54F6" w:rsidP="00E654DB">
      <w:pPr>
        <w:spacing w:before="120"/>
        <w:ind w:firstLine="709"/>
        <w:rPr>
          <w:rFonts w:ascii="Arial" w:hAnsi="Arial" w:cs="Arial"/>
          <w:i/>
          <w:sz w:val="20"/>
          <w:szCs w:val="20"/>
        </w:rPr>
      </w:pPr>
      <w:r w:rsidRPr="00CB5887">
        <w:rPr>
          <w:rFonts w:ascii="Arial" w:hAnsi="Arial" w:cs="Arial"/>
          <w:i/>
          <w:sz w:val="20"/>
          <w:szCs w:val="20"/>
        </w:rPr>
        <w:t xml:space="preserve">Sector accounts capture all material, income, financial, and other flows among all businesses in the national economy as well as in relation to foreign countries and also results of these flows. The capture of such a complex economic mechanism as the national economy in its complexity and in a rather simple form is enabled by grouping of all businesses in the national economy to several groups according to their prevailing role in the economy (to the so-called institutional sectors) and by arrangement of all the various flow and stock quantities to a system of accounts and tables. </w:t>
      </w:r>
    </w:p>
    <w:p w:rsidR="00E654DB" w:rsidRPr="00CB5887" w:rsidRDefault="00E654DB" w:rsidP="00E654DB">
      <w:pPr>
        <w:rPr>
          <w:rFonts w:ascii="Arial" w:hAnsi="Arial" w:cs="Arial"/>
          <w:i/>
          <w:sz w:val="20"/>
          <w:szCs w:val="20"/>
        </w:rPr>
      </w:pPr>
    </w:p>
    <w:p w:rsidR="00E654DB" w:rsidRPr="00CB5887" w:rsidRDefault="00CD54F6" w:rsidP="00467448">
      <w:pPr>
        <w:pStyle w:val="Normlnweb"/>
        <w:spacing w:before="0" w:beforeAutospacing="0" w:after="0" w:afterAutospacing="0"/>
        <w:jc w:val="both"/>
        <w:rPr>
          <w:rFonts w:ascii="Arial" w:hAnsi="Arial" w:cs="Arial"/>
          <w:i/>
          <w:iCs/>
          <w:color w:val="auto"/>
          <w:sz w:val="20"/>
          <w:szCs w:val="20"/>
          <w:lang w:val="en-GB"/>
        </w:rPr>
      </w:pPr>
      <w:r w:rsidRPr="00CB5887">
        <w:rPr>
          <w:rFonts w:ascii="Arial" w:hAnsi="Arial" w:cs="Arial"/>
          <w:b/>
          <w:i/>
          <w:color w:val="auto"/>
          <w:sz w:val="20"/>
          <w:szCs w:val="20"/>
          <w:lang w:val="en-GB"/>
        </w:rPr>
        <w:t>Institutional sectors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National accounts describe the economic process broken down by institutional sector and subsector. Each sector/subsector comprises units similar in basic activities, functions</w:t>
      </w:r>
      <w:r w:rsidR="00502954">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economic behaviour and belonging to the same type of producer. Each unit is classified only to one sector/subsector. The total economy </w:t>
      </w:r>
      <w:r w:rsidRPr="00CB5887">
        <w:rPr>
          <w:rFonts w:ascii="Arial" w:hAnsi="Arial" w:cs="Arial"/>
          <w:b/>
          <w:i/>
          <w:iCs/>
          <w:color w:val="auto"/>
          <w:sz w:val="20"/>
          <w:szCs w:val="17"/>
          <w:lang w:val="en-GB"/>
        </w:rPr>
        <w:t>(S.1)</w:t>
      </w:r>
      <w:r w:rsidRPr="00CB5887">
        <w:rPr>
          <w:rFonts w:ascii="Arial" w:hAnsi="Arial" w:cs="Arial"/>
          <w:i/>
          <w:iCs/>
          <w:color w:val="auto"/>
          <w:sz w:val="20"/>
          <w:szCs w:val="17"/>
          <w:lang w:val="en-GB"/>
        </w:rPr>
        <w:t xml:space="preserve"> consists of </w:t>
      </w:r>
      <w:r w:rsidRPr="00CB5887">
        <w:rPr>
          <w:rFonts w:ascii="Arial" w:hAnsi="Arial" w:cs="Arial"/>
          <w:b/>
          <w:bCs/>
          <w:i/>
          <w:iCs/>
          <w:color w:val="auto"/>
          <w:sz w:val="20"/>
          <w:szCs w:val="17"/>
          <w:lang w:val="en-GB"/>
        </w:rPr>
        <w:t>resident institutional sectors</w:t>
      </w:r>
      <w:r w:rsidR="00BD68CE">
        <w:rPr>
          <w:rFonts w:ascii="Arial" w:hAnsi="Arial" w:cs="Arial"/>
          <w:i/>
          <w:iCs/>
          <w:color w:val="auto"/>
          <w:sz w:val="20"/>
          <w:szCs w:val="17"/>
          <w:lang w:val="en-GB"/>
        </w:rPr>
        <w:t xml:space="preserve"> as follows</w:t>
      </w:r>
      <w:r w:rsidRPr="00CB5887">
        <w:rPr>
          <w:rFonts w:ascii="Arial" w:hAnsi="Arial" w:cs="Arial"/>
          <w:i/>
          <w:iCs/>
          <w:color w:val="auto"/>
          <w:sz w:val="20"/>
          <w:szCs w:val="17"/>
          <w:lang w:val="en-GB"/>
        </w:rPr>
        <w:t xml:space="preserv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non-financial corporations (S.11)</w:t>
      </w:r>
      <w:r w:rsidRPr="00CB5887">
        <w:rPr>
          <w:rFonts w:ascii="Arial" w:hAnsi="Arial" w:cs="Arial"/>
          <w:i/>
          <w:iCs/>
          <w:color w:val="auto"/>
          <w:sz w:val="20"/>
          <w:szCs w:val="17"/>
          <w:lang w:val="en-GB"/>
        </w:rPr>
        <w:t xml:space="preserve"> principal activity of which is production of goods and non-financial services; they include e.g. agricultural, industrial, construction and transport corporations, schools and health establishments (joint-stock companies, cooperatives, state-owned corporations, etc</w:t>
      </w:r>
      <w:r w:rsidR="008A54CA">
        <w:rPr>
          <w:rFonts w:ascii="Arial" w:hAnsi="Arial" w:cs="Arial"/>
          <w:i/>
          <w:iCs/>
          <w:color w:val="auto"/>
          <w:sz w:val="20"/>
          <w:szCs w:val="17"/>
          <w:lang w:val="en-GB"/>
        </w:rPr>
        <w:t>.</w:t>
      </w:r>
      <w:r w:rsidRPr="00CB5887">
        <w:rPr>
          <w:rFonts w:ascii="Arial" w:hAnsi="Arial" w:cs="Arial"/>
          <w:i/>
          <w:iCs/>
          <w:color w:val="auto"/>
          <w:sz w:val="20"/>
          <w:szCs w:val="17"/>
          <w:lang w:val="en-GB"/>
        </w:rPr>
        <w:t>);</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financial corporations (S.12)</w:t>
      </w:r>
      <w:r w:rsidRPr="00CB5887">
        <w:rPr>
          <w:rFonts w:ascii="Arial" w:hAnsi="Arial" w:cs="Arial"/>
          <w:i/>
          <w:iCs/>
          <w:color w:val="auto"/>
          <w:sz w:val="20"/>
          <w:szCs w:val="17"/>
          <w:lang w:val="en-GB"/>
        </w:rPr>
        <w:t xml:space="preserve">, which are primarily engaged in financial intermediation or auxiliary financial activities; they include e.g. banks, credit cooperatives, money market funds, investment funds, investment companies, financial leasing companies, captive companies (e.g. holding financial companies), auxiliary financial institutions (stock exchanges or investment companies), insurance companies, and pension funds; </w:t>
      </w:r>
    </w:p>
    <w:p w:rsidR="00470E34" w:rsidRPr="00CB5887" w:rsidRDefault="00CD54F6">
      <w:pPr>
        <w:pStyle w:val="Normlnweb"/>
        <w:spacing w:before="120" w:beforeAutospacing="0" w:after="0" w:afterAutospacing="0"/>
        <w:ind w:left="170" w:hanging="170"/>
        <w:jc w:val="both"/>
        <w:rPr>
          <w:rFonts w:ascii="Arial" w:hAnsi="Arial" w:cs="Arial"/>
          <w:i/>
          <w:color w:val="auto"/>
          <w:sz w:val="20"/>
          <w:szCs w:val="20"/>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general government (S.13)</w:t>
      </w:r>
      <w:r w:rsidRPr="00CB5887">
        <w:rPr>
          <w:rFonts w:ascii="Arial" w:hAnsi="Arial" w:cs="Arial"/>
          <w:i/>
          <w:iCs/>
          <w:color w:val="auto"/>
          <w:sz w:val="20"/>
          <w:szCs w:val="17"/>
          <w:lang w:val="en-GB"/>
        </w:rPr>
        <w:t xml:space="preserve">, output of which is designed for individual and collective consumption and that are financed particularly by obligatory payments from units classified to other sectors; they are organisational units of the state (e.g. ministries, central authorities and organizations managed by the authorities), extra-budgetary funds and other central institutions, territorial self-governing units </w:t>
      </w:r>
      <w:r w:rsidRPr="00272AD0">
        <w:rPr>
          <w:rFonts w:ascii="Arial" w:hAnsi="Arial" w:cs="Arial"/>
          <w:i/>
          <w:iCs/>
          <w:color w:val="auto"/>
          <w:sz w:val="20"/>
          <w:szCs w:val="17"/>
          <w:lang w:val="en-GB"/>
        </w:rPr>
        <w:t xml:space="preserve">(regions, municipalities, towns, voluntary </w:t>
      </w:r>
      <w:r w:rsidR="00272AD0">
        <w:rPr>
          <w:rFonts w:ascii="Arial" w:hAnsi="Arial" w:cs="Arial"/>
          <w:i/>
          <w:iCs/>
          <w:color w:val="auto"/>
          <w:sz w:val="20"/>
          <w:szCs w:val="17"/>
          <w:lang w:val="en-GB"/>
        </w:rPr>
        <w:t>unions</w:t>
      </w:r>
      <w:r w:rsidR="00272AD0" w:rsidRPr="00272AD0">
        <w:rPr>
          <w:rFonts w:ascii="Arial" w:hAnsi="Arial" w:cs="Arial"/>
          <w:i/>
          <w:iCs/>
          <w:color w:val="auto"/>
          <w:sz w:val="20"/>
          <w:szCs w:val="17"/>
          <w:lang w:val="en-GB"/>
        </w:rPr>
        <w:t xml:space="preserve"> </w:t>
      </w:r>
      <w:r w:rsidRPr="00272AD0">
        <w:rPr>
          <w:rFonts w:ascii="Arial" w:hAnsi="Arial" w:cs="Arial"/>
          <w:i/>
          <w:iCs/>
          <w:color w:val="auto"/>
          <w:sz w:val="20"/>
          <w:szCs w:val="17"/>
          <w:lang w:val="en-GB"/>
        </w:rPr>
        <w:t xml:space="preserve">of municipalities, </w:t>
      </w:r>
      <w:r w:rsidR="005539A6" w:rsidRPr="00272AD0">
        <w:rPr>
          <w:rFonts w:ascii="Arial" w:hAnsi="Arial" w:cs="Arial"/>
          <w:i/>
          <w:iCs/>
          <w:color w:val="auto"/>
          <w:sz w:val="20"/>
          <w:szCs w:val="17"/>
          <w:lang w:val="en-GB"/>
        </w:rPr>
        <w:t xml:space="preserve">and </w:t>
      </w:r>
      <w:r w:rsidRPr="00272AD0">
        <w:rPr>
          <w:rFonts w:ascii="Arial" w:hAnsi="Arial" w:cs="Arial"/>
          <w:i/>
          <w:iCs/>
          <w:color w:val="auto"/>
          <w:sz w:val="20"/>
          <w:szCs w:val="17"/>
          <w:lang w:val="en-GB"/>
        </w:rPr>
        <w:t>regional councils of</w:t>
      </w:r>
      <w:r w:rsidRPr="00CB5887">
        <w:rPr>
          <w:rFonts w:ascii="Arial" w:hAnsi="Arial" w:cs="Arial"/>
          <w:i/>
          <w:iCs/>
          <w:color w:val="auto"/>
          <w:sz w:val="20"/>
          <w:szCs w:val="17"/>
          <w:lang w:val="en-GB"/>
        </w:rPr>
        <w:t xml:space="preserve"> cohesion regions), semi-budgetary organizations, and social security funds (health insurance companies</w:t>
      </w:r>
      <w:r w:rsidRPr="00CB5887">
        <w:rPr>
          <w:rFonts w:ascii="Arial" w:hAnsi="Arial" w:cs="Arial"/>
          <w:i/>
          <w:iCs/>
          <w:color w:val="auto"/>
          <w:sz w:val="20"/>
          <w:szCs w:val="20"/>
          <w:lang w:val="en-GB"/>
        </w:rPr>
        <w:t xml:space="preserve">). </w:t>
      </w:r>
      <w:r w:rsidRPr="00CB5887">
        <w:rPr>
          <w:rFonts w:ascii="Arial" w:hAnsi="Arial" w:cs="Arial"/>
          <w:i/>
          <w:color w:val="auto"/>
          <w:sz w:val="20"/>
          <w:szCs w:val="20"/>
          <w:lang w:val="en-GB"/>
        </w:rPr>
        <w:t xml:space="preserve">There are also non-profit institutions and </w:t>
      </w:r>
      <w:r w:rsidR="00CD1AF5">
        <w:rPr>
          <w:rFonts w:ascii="Arial" w:hAnsi="Arial" w:cs="Arial"/>
          <w:i/>
          <w:color w:val="auto"/>
          <w:sz w:val="20"/>
          <w:szCs w:val="20"/>
          <w:lang w:val="en-GB"/>
        </w:rPr>
        <w:t xml:space="preserve">non-financial and financial </w:t>
      </w:r>
      <w:r w:rsidRPr="00CB5887">
        <w:rPr>
          <w:rFonts w:ascii="Arial" w:hAnsi="Arial" w:cs="Arial"/>
          <w:i/>
          <w:color w:val="auto"/>
          <w:sz w:val="20"/>
          <w:szCs w:val="20"/>
          <w:lang w:val="en-GB"/>
        </w:rPr>
        <w:t>corporations</w:t>
      </w:r>
      <w:r w:rsidR="004650DA">
        <w:rPr>
          <w:rFonts w:ascii="Arial" w:hAnsi="Arial" w:cs="Arial"/>
          <w:i/>
          <w:color w:val="auto"/>
          <w:sz w:val="20"/>
          <w:szCs w:val="20"/>
          <w:lang w:val="en-GB"/>
        </w:rPr>
        <w:t>, which are</w:t>
      </w:r>
      <w:r w:rsidR="004615D8">
        <w:rPr>
          <w:rFonts w:ascii="Arial" w:hAnsi="Arial" w:cs="Arial"/>
          <w:i/>
          <w:color w:val="auto"/>
          <w:sz w:val="20"/>
          <w:szCs w:val="20"/>
          <w:lang w:val="en-GB"/>
        </w:rPr>
        <w:t xml:space="preserve"> dealt with as non-market units</w:t>
      </w:r>
      <w:r w:rsidR="004650DA">
        <w:rPr>
          <w:rFonts w:ascii="Arial" w:hAnsi="Arial" w:cs="Arial"/>
          <w:i/>
          <w:color w:val="auto"/>
          <w:sz w:val="20"/>
          <w:szCs w:val="20"/>
          <w:lang w:val="en-GB"/>
        </w:rPr>
        <w:t>,</w:t>
      </w:r>
      <w:r w:rsidRPr="00CB5887">
        <w:rPr>
          <w:rFonts w:ascii="Arial" w:hAnsi="Arial" w:cs="Arial"/>
          <w:i/>
          <w:color w:val="auto"/>
          <w:sz w:val="20"/>
          <w:szCs w:val="20"/>
          <w:lang w:val="en-GB"/>
        </w:rPr>
        <w:t xml:space="preserve"> classified in S.13 in accordance with the </w:t>
      </w:r>
      <w:r w:rsidR="00F96C23">
        <w:rPr>
          <w:rFonts w:ascii="Arial" w:hAnsi="Arial" w:cs="Arial"/>
          <w:i/>
          <w:color w:val="auto"/>
          <w:sz w:val="20"/>
          <w:szCs w:val="20"/>
          <w:lang w:val="en-GB"/>
        </w:rPr>
        <w:t xml:space="preserve">qualitative and quantitative </w:t>
      </w:r>
      <w:r w:rsidRPr="00CB5887">
        <w:rPr>
          <w:rFonts w:ascii="Arial" w:hAnsi="Arial" w:cs="Arial"/>
          <w:i/>
          <w:color w:val="auto"/>
          <w:sz w:val="20"/>
          <w:szCs w:val="20"/>
          <w:lang w:val="en-GB"/>
        </w:rPr>
        <w:t>criteria of the ESA</w:t>
      </w:r>
      <w:r w:rsidR="00E33CE3">
        <w:rPr>
          <w:rFonts w:ascii="Arial" w:hAnsi="Arial" w:cs="Arial"/>
          <w:i/>
          <w:color w:val="auto"/>
          <w:sz w:val="20"/>
          <w:szCs w:val="20"/>
          <w:lang w:val="en-GB"/>
        </w:rPr>
        <w:t> </w:t>
      </w:r>
      <w:r w:rsidRPr="00CB5887">
        <w:rPr>
          <w:rFonts w:ascii="Arial" w:hAnsi="Arial" w:cs="Arial"/>
          <w:i/>
          <w:color w:val="auto"/>
          <w:sz w:val="20"/>
          <w:szCs w:val="20"/>
          <w:lang w:val="en-GB"/>
        </w:rPr>
        <w:t>2010;</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households (S.14)</w:t>
      </w:r>
      <w:r w:rsidRPr="00CB5887">
        <w:rPr>
          <w:rFonts w:ascii="Arial" w:hAnsi="Arial" w:cs="Arial"/>
          <w:i/>
          <w:iCs/>
          <w:color w:val="auto"/>
          <w:sz w:val="20"/>
          <w:szCs w:val="17"/>
          <w:lang w:val="en-GB"/>
        </w:rPr>
        <w:t>, which include individuals or groups of individuals as final consumers and small entrepreneurs producing market goods and services (craftsmen, self-employed</w:t>
      </w:r>
      <w:r w:rsidR="005B3C22">
        <w:rPr>
          <w:rFonts w:ascii="Arial" w:hAnsi="Arial" w:cs="Arial"/>
          <w:i/>
          <w:iCs/>
          <w:color w:val="auto"/>
          <w:sz w:val="20"/>
          <w:szCs w:val="17"/>
          <w:lang w:val="en-GB"/>
        </w:rPr>
        <w:t xml:space="preserve"> own-account</w:t>
      </w:r>
      <w:r w:rsidRPr="00CB5887">
        <w:rPr>
          <w:rFonts w:ascii="Arial" w:hAnsi="Arial" w:cs="Arial"/>
          <w:i/>
          <w:iCs/>
          <w:color w:val="auto"/>
          <w:sz w:val="20"/>
          <w:szCs w:val="17"/>
          <w:lang w:val="en-GB"/>
        </w:rPr>
        <w:t xml:space="preserve"> </w:t>
      </w:r>
      <w:r w:rsidR="00133655">
        <w:rPr>
          <w:rFonts w:ascii="Arial" w:hAnsi="Arial" w:cs="Arial"/>
          <w:i/>
          <w:iCs/>
          <w:color w:val="auto"/>
          <w:sz w:val="20"/>
          <w:szCs w:val="17"/>
          <w:lang w:val="en-GB"/>
        </w:rPr>
        <w:t>farmers, physicians, barristers, solicitors, tax advis</w:t>
      </w:r>
      <w:r w:rsidR="00886AE4">
        <w:rPr>
          <w:rFonts w:ascii="Arial" w:hAnsi="Arial" w:cs="Arial"/>
          <w:i/>
          <w:iCs/>
          <w:color w:val="auto"/>
          <w:sz w:val="20"/>
          <w:szCs w:val="17"/>
          <w:lang w:val="en-GB"/>
        </w:rPr>
        <w:t>e</w:t>
      </w:r>
      <w:r w:rsidR="00133655">
        <w:rPr>
          <w:rFonts w:ascii="Arial" w:hAnsi="Arial" w:cs="Arial"/>
          <w:i/>
          <w:iCs/>
          <w:color w:val="auto"/>
          <w:sz w:val="20"/>
          <w:szCs w:val="17"/>
          <w:lang w:val="en-GB"/>
        </w:rPr>
        <w:t>rs, etc.), and</w:t>
      </w:r>
      <w:r w:rsidR="006D4ED7">
        <w:rPr>
          <w:rFonts w:ascii="Arial" w:hAnsi="Arial" w:cs="Arial"/>
          <w:i/>
          <w:iCs/>
          <w:color w:val="auto"/>
          <w:sz w:val="20"/>
          <w:szCs w:val="17"/>
          <w:lang w:val="en-GB"/>
        </w:rPr>
        <w:t xml:space="preserve"> dwelling unit owners associations;</w:t>
      </w:r>
      <w:r w:rsidRPr="00CB5887">
        <w:rPr>
          <w:rFonts w:ascii="Arial" w:hAnsi="Arial" w:cs="Arial"/>
          <w:i/>
          <w:iCs/>
          <w:color w:val="auto"/>
          <w:sz w:val="20"/>
          <w:szCs w:val="17"/>
          <w:lang w:val="en-GB"/>
        </w:rPr>
        <w:t xml:space="preserv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non-profit institutions serving households (S.15)</w:t>
      </w:r>
      <w:r w:rsidRPr="00CB5887">
        <w:rPr>
          <w:rFonts w:ascii="Arial" w:hAnsi="Arial" w:cs="Arial"/>
          <w:i/>
          <w:iCs/>
          <w:color w:val="auto"/>
          <w:sz w:val="20"/>
          <w:szCs w:val="17"/>
          <w:lang w:val="en-GB"/>
        </w:rPr>
        <w:t xml:space="preserve">, which are non-market producers; they include political parties, churches or religious societies, foundations, trade unions, professional or learned societies, interest organizations or charities, etc. </w:t>
      </w:r>
    </w:p>
    <w:p w:rsidR="00386E69"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National accounts also describe economic transactions with the rest of the world (also referred to as non-residents), i.e. with units seated outside the economic territory of the Czech Republic for at least one year. The </w:t>
      </w:r>
      <w:r w:rsidRPr="00CB5887">
        <w:rPr>
          <w:rFonts w:ascii="Arial" w:hAnsi="Arial" w:cs="Arial"/>
          <w:b/>
          <w:bCs/>
          <w:i/>
          <w:iCs/>
          <w:color w:val="auto"/>
          <w:sz w:val="20"/>
          <w:szCs w:val="17"/>
          <w:lang w:val="en-GB"/>
        </w:rPr>
        <w:t>rest of the world (S.2)</w:t>
      </w:r>
      <w:r w:rsidRPr="00CB5887">
        <w:rPr>
          <w:rFonts w:ascii="Arial" w:hAnsi="Arial" w:cs="Arial"/>
          <w:i/>
          <w:iCs/>
          <w:color w:val="auto"/>
          <w:sz w:val="20"/>
          <w:szCs w:val="17"/>
          <w:lang w:val="en-GB"/>
        </w:rPr>
        <w:t xml:space="preserve"> is a grouping of units (whatever their function and resources are), which is divided to Member States</w:t>
      </w:r>
      <w:r w:rsidR="00CB5887" w:rsidRPr="00CB5887">
        <w:rPr>
          <w:rFonts w:ascii="Arial" w:hAnsi="Arial" w:cs="Arial"/>
          <w:i/>
          <w:iCs/>
          <w:color w:val="auto"/>
          <w:sz w:val="20"/>
          <w:szCs w:val="17"/>
          <w:lang w:val="en-GB"/>
        </w:rPr>
        <w:t xml:space="preserve"> and institutions of the </w:t>
      </w:r>
      <w:r w:rsidR="000852B1">
        <w:rPr>
          <w:rFonts w:ascii="Arial" w:hAnsi="Arial" w:cs="Arial"/>
          <w:i/>
          <w:iCs/>
          <w:color w:val="auto"/>
          <w:sz w:val="20"/>
          <w:szCs w:val="17"/>
          <w:lang w:val="en-GB"/>
        </w:rPr>
        <w:t>European Union (</w:t>
      </w:r>
      <w:r w:rsidRPr="00CB5887">
        <w:rPr>
          <w:rFonts w:ascii="Arial" w:hAnsi="Arial" w:cs="Arial"/>
          <w:i/>
          <w:iCs/>
          <w:color w:val="auto"/>
          <w:sz w:val="20"/>
          <w:szCs w:val="17"/>
          <w:lang w:val="en-GB"/>
        </w:rPr>
        <w:t>EU</w:t>
      </w:r>
      <w:r w:rsidR="000852B1">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w:t>
      </w:r>
      <w:r w:rsidR="00D231D7">
        <w:rPr>
          <w:rFonts w:ascii="Arial" w:hAnsi="Arial" w:cs="Arial"/>
          <w:i/>
          <w:iCs/>
          <w:color w:val="auto"/>
          <w:sz w:val="20"/>
          <w:szCs w:val="17"/>
          <w:lang w:val="en-GB"/>
        </w:rPr>
        <w:t>states</w:t>
      </w:r>
      <w:r w:rsidR="00D231D7"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outside </w:t>
      </w:r>
      <w:r w:rsidR="00CB5887">
        <w:rPr>
          <w:rFonts w:ascii="Arial" w:hAnsi="Arial" w:cs="Arial"/>
          <w:i/>
          <w:iCs/>
          <w:color w:val="auto"/>
          <w:sz w:val="20"/>
          <w:szCs w:val="17"/>
          <w:lang w:val="en-GB"/>
        </w:rPr>
        <w:t>the </w:t>
      </w:r>
      <w:r w:rsidRPr="00CB5887">
        <w:rPr>
          <w:rFonts w:ascii="Arial" w:hAnsi="Arial" w:cs="Arial"/>
          <w:i/>
          <w:iCs/>
          <w:color w:val="auto"/>
          <w:sz w:val="20"/>
          <w:szCs w:val="17"/>
          <w:lang w:val="en-GB"/>
        </w:rPr>
        <w:t>EU. They include e.g. embassies of foreign countries or international organizations, which were founded and operate under international agreements, or detached parts of parent companies (e.g. branches of manufacturing enterprises, banks</w:t>
      </w:r>
      <w:r w:rsidR="001A2A86">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insurance companies). Data for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rest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world are not included in items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total economy (S.1).</w:t>
      </w:r>
    </w:p>
    <w:p w:rsidR="00352FF6" w:rsidRPr="00CB5887" w:rsidRDefault="00CD54F6" w:rsidP="004203D8">
      <w:pPr>
        <w:spacing w:before="120"/>
        <w:ind w:firstLine="709"/>
        <w:rPr>
          <w:rFonts w:ascii="Arial" w:hAnsi="Arial" w:cs="Arial"/>
          <w:i/>
          <w:sz w:val="20"/>
          <w:szCs w:val="20"/>
        </w:rPr>
      </w:pPr>
      <w:r w:rsidRPr="00CB5887">
        <w:rPr>
          <w:rFonts w:ascii="Arial" w:hAnsi="Arial" w:cs="Arial"/>
          <w:i/>
          <w:sz w:val="20"/>
          <w:szCs w:val="20"/>
        </w:rPr>
        <w:t>In</w:t>
      </w:r>
      <w:r w:rsidR="00956D42">
        <w:rPr>
          <w:rFonts w:ascii="Arial" w:hAnsi="Arial" w:cs="Arial"/>
          <w:i/>
          <w:sz w:val="20"/>
          <w:szCs w:val="20"/>
        </w:rPr>
        <w:t xml:space="preserve"> Czech national accounts, in</w:t>
      </w:r>
      <w:r w:rsidRPr="00CB5887">
        <w:rPr>
          <w:rFonts w:ascii="Arial" w:hAnsi="Arial" w:cs="Arial"/>
          <w:i/>
          <w:sz w:val="20"/>
          <w:szCs w:val="20"/>
        </w:rPr>
        <w:t xml:space="preserve"> each institutional sector, all production units are grouped to economic activities</w:t>
      </w:r>
      <w:r w:rsidR="00F07C84">
        <w:rPr>
          <w:rFonts w:ascii="Arial" w:hAnsi="Arial" w:cs="Arial"/>
          <w:i/>
          <w:sz w:val="20"/>
          <w:szCs w:val="20"/>
        </w:rPr>
        <w:t xml:space="preserve"> </w:t>
      </w:r>
      <w:r w:rsidR="00F07C84" w:rsidRPr="00CB5887">
        <w:rPr>
          <w:rFonts w:ascii="Arial" w:hAnsi="Arial" w:cs="Arial"/>
          <w:i/>
          <w:sz w:val="20"/>
          <w:szCs w:val="20"/>
        </w:rPr>
        <w:t>also according to</w:t>
      </w:r>
      <w:r w:rsidR="00F07C84">
        <w:rPr>
          <w:rFonts w:ascii="Arial" w:hAnsi="Arial" w:cs="Arial"/>
          <w:i/>
          <w:sz w:val="20"/>
          <w:szCs w:val="20"/>
        </w:rPr>
        <w:t xml:space="preserve"> the </w:t>
      </w:r>
      <w:r w:rsidR="00F07C84" w:rsidRPr="00CB5887">
        <w:rPr>
          <w:rFonts w:ascii="Arial" w:hAnsi="Arial" w:cs="Arial"/>
          <w:i/>
          <w:sz w:val="20"/>
          <w:szCs w:val="20"/>
        </w:rPr>
        <w:t>character of their prevailing activity</w:t>
      </w:r>
      <w:r w:rsidRPr="00CB5887">
        <w:rPr>
          <w:rFonts w:ascii="Arial" w:hAnsi="Arial" w:cs="Arial"/>
          <w:i/>
          <w:sz w:val="20"/>
          <w:szCs w:val="20"/>
        </w:rPr>
        <w:t>. For classification of each production unit to an</w:t>
      </w:r>
      <w:r w:rsidR="00BB0144" w:rsidRPr="00CB5887">
        <w:rPr>
          <w:rFonts w:ascii="Arial" w:hAnsi="Arial" w:cs="Arial"/>
          <w:i/>
          <w:sz w:val="20"/>
          <w:szCs w:val="20"/>
        </w:rPr>
        <w:t> </w:t>
      </w:r>
      <w:r w:rsidRPr="00CB5887">
        <w:rPr>
          <w:rFonts w:ascii="Arial" w:hAnsi="Arial" w:cs="Arial"/>
          <w:i/>
          <w:sz w:val="20"/>
          <w:szCs w:val="20"/>
        </w:rPr>
        <w:t>economic activity</w:t>
      </w:r>
      <w:r w:rsidR="00CB5887">
        <w:rPr>
          <w:rFonts w:ascii="Arial" w:hAnsi="Arial" w:cs="Arial"/>
          <w:i/>
          <w:sz w:val="20"/>
          <w:szCs w:val="20"/>
        </w:rPr>
        <w:t xml:space="preserve"> the </w:t>
      </w:r>
      <w:r w:rsidRPr="00CB5887">
        <w:rPr>
          <w:rFonts w:ascii="Arial" w:hAnsi="Arial" w:cs="Arial"/>
          <w:i/>
          <w:sz w:val="20"/>
          <w:szCs w:val="20"/>
        </w:rPr>
        <w:t xml:space="preserve">Classification of Economic Activities (CZ-NACE) is used, </w:t>
      </w:r>
      <w:r w:rsidRPr="00CB5887">
        <w:rPr>
          <w:rFonts w:ascii="Arial" w:hAnsi="Arial" w:cs="Arial"/>
          <w:i/>
          <w:sz w:val="20"/>
          <w:szCs w:val="20"/>
        </w:rPr>
        <w:lastRenderedPageBreak/>
        <w:t xml:space="preserve">which </w:t>
      </w:r>
      <w:r w:rsidR="00D8580F" w:rsidRPr="00DD7EB0">
        <w:rPr>
          <w:rFonts w:ascii="Arial" w:hAnsi="Arial" w:cs="Arial"/>
          <w:i/>
          <w:iCs/>
          <w:sz w:val="20"/>
          <w:szCs w:val="20"/>
        </w:rPr>
        <w:t xml:space="preserve">corresponds to </w:t>
      </w:r>
      <w:r w:rsidR="00D8580F">
        <w:rPr>
          <w:rFonts w:ascii="Arial" w:hAnsi="Arial" w:cs="Arial"/>
          <w:i/>
          <w:iCs/>
          <w:sz w:val="20"/>
          <w:szCs w:val="20"/>
        </w:rPr>
        <w:t>the </w:t>
      </w:r>
      <w:r w:rsidR="00D8580F" w:rsidRPr="00DD7EB0">
        <w:rPr>
          <w:rFonts w:ascii="Arial" w:hAnsi="Arial" w:cs="Arial"/>
          <w:i/>
          <w:iCs/>
          <w:sz w:val="20"/>
          <w:szCs w:val="20"/>
        </w:rPr>
        <w:t xml:space="preserve">European standard of </w:t>
      </w:r>
      <w:r w:rsidR="00D8580F">
        <w:rPr>
          <w:rFonts w:ascii="Arial" w:hAnsi="Arial" w:cs="Arial"/>
          <w:i/>
          <w:iCs/>
          <w:sz w:val="20"/>
          <w:szCs w:val="20"/>
        </w:rPr>
        <w:t>the </w:t>
      </w:r>
      <w:r w:rsidR="00D8580F" w:rsidRPr="00DD7EB0">
        <w:rPr>
          <w:rFonts w:ascii="Arial" w:hAnsi="Arial" w:cs="Arial"/>
          <w:i/>
          <w:iCs/>
          <w:sz w:val="20"/>
          <w:szCs w:val="20"/>
        </w:rPr>
        <w:t xml:space="preserve">Statistical Classification of Economic Activities in </w:t>
      </w:r>
      <w:r w:rsidR="00D8580F">
        <w:rPr>
          <w:rFonts w:ascii="Arial" w:hAnsi="Arial" w:cs="Arial"/>
          <w:i/>
          <w:iCs/>
          <w:sz w:val="20"/>
          <w:szCs w:val="20"/>
        </w:rPr>
        <w:t>the </w:t>
      </w:r>
      <w:r w:rsidR="00D8580F" w:rsidRPr="00DD7EB0">
        <w:rPr>
          <w:rFonts w:ascii="Arial" w:hAnsi="Arial" w:cs="Arial"/>
          <w:i/>
          <w:iCs/>
          <w:sz w:val="20"/>
          <w:szCs w:val="20"/>
        </w:rPr>
        <w:t>European Community, Rev.</w:t>
      </w:r>
      <w:r w:rsidR="00D8580F">
        <w:rPr>
          <w:rFonts w:ascii="Arial" w:hAnsi="Arial" w:cs="Arial"/>
          <w:i/>
          <w:iCs/>
          <w:sz w:val="20"/>
          <w:szCs w:val="20"/>
        </w:rPr>
        <w:t> </w:t>
      </w:r>
      <w:r w:rsidR="00D8580F" w:rsidRPr="00DD7EB0">
        <w:rPr>
          <w:rFonts w:ascii="Arial" w:hAnsi="Arial" w:cs="Arial"/>
          <w:i/>
          <w:iCs/>
          <w:sz w:val="20"/>
          <w:szCs w:val="20"/>
        </w:rPr>
        <w:t>2 (NACE Rev.</w:t>
      </w:r>
      <w:r w:rsidR="00D8580F">
        <w:rPr>
          <w:rFonts w:ascii="Arial" w:hAnsi="Arial" w:cs="Arial"/>
          <w:i/>
          <w:iCs/>
          <w:sz w:val="20"/>
          <w:szCs w:val="20"/>
        </w:rPr>
        <w:t> </w:t>
      </w:r>
      <w:r w:rsidR="00D8580F" w:rsidRPr="00DD7EB0">
        <w:rPr>
          <w:rFonts w:ascii="Arial" w:hAnsi="Arial" w:cs="Arial"/>
          <w:i/>
          <w:iCs/>
          <w:sz w:val="20"/>
          <w:szCs w:val="20"/>
        </w:rPr>
        <w:t>2)</w:t>
      </w:r>
      <w:r w:rsidRPr="00CB5887">
        <w:rPr>
          <w:rFonts w:ascii="Arial" w:hAnsi="Arial" w:cs="Arial"/>
          <w:i/>
          <w:sz w:val="20"/>
          <w:szCs w:val="20"/>
        </w:rPr>
        <w:t xml:space="preserve">. </w:t>
      </w:r>
    </w:p>
    <w:p w:rsidR="00386E69" w:rsidRPr="00CB5887" w:rsidRDefault="00386E69" w:rsidP="00386E69">
      <w:pPr>
        <w:rPr>
          <w:rFonts w:ascii="Arial" w:hAnsi="Arial" w:cs="Arial"/>
          <w:i/>
          <w:sz w:val="20"/>
          <w:szCs w:val="20"/>
        </w:rPr>
      </w:pPr>
    </w:p>
    <w:p w:rsidR="00386E69" w:rsidRPr="00CB5887" w:rsidRDefault="00CD54F6" w:rsidP="00386E69">
      <w:pPr>
        <w:rPr>
          <w:rFonts w:ascii="Arial" w:hAnsi="Arial" w:cs="Arial"/>
          <w:b/>
          <w:i/>
          <w:sz w:val="20"/>
          <w:szCs w:val="20"/>
        </w:rPr>
      </w:pPr>
      <w:r w:rsidRPr="00CB5887">
        <w:rPr>
          <w:rFonts w:ascii="Arial" w:hAnsi="Arial" w:cs="Arial"/>
          <w:b/>
          <w:i/>
          <w:sz w:val="20"/>
          <w:szCs w:val="20"/>
        </w:rPr>
        <w:t>Sequence of accounts</w:t>
      </w:r>
    </w:p>
    <w:p w:rsidR="009A4074" w:rsidRPr="00CB5887" w:rsidRDefault="00CD54F6" w:rsidP="00386E69">
      <w:pPr>
        <w:spacing w:before="120"/>
        <w:ind w:firstLine="709"/>
        <w:rPr>
          <w:rFonts w:ascii="Arial" w:hAnsi="Arial" w:cs="Arial"/>
          <w:i/>
          <w:sz w:val="20"/>
          <w:szCs w:val="20"/>
        </w:rPr>
      </w:pPr>
      <w:r w:rsidRPr="00CB5887">
        <w:rPr>
          <w:rFonts w:ascii="Arial" w:hAnsi="Arial" w:cs="Arial"/>
          <w:i/>
          <w:sz w:val="20"/>
          <w:szCs w:val="20"/>
        </w:rPr>
        <w:t>Another characteristic of</w:t>
      </w:r>
      <w:r w:rsidR="00CB5887">
        <w:rPr>
          <w:rFonts w:ascii="Arial" w:hAnsi="Arial" w:cs="Arial"/>
          <w:i/>
          <w:sz w:val="20"/>
          <w:szCs w:val="20"/>
        </w:rPr>
        <w:t xml:space="preserve"> the </w:t>
      </w:r>
      <w:r w:rsidRPr="00CB5887">
        <w:rPr>
          <w:rFonts w:ascii="Arial" w:hAnsi="Arial" w:cs="Arial"/>
          <w:i/>
          <w:sz w:val="20"/>
          <w:szCs w:val="20"/>
        </w:rPr>
        <w:t xml:space="preserve">national accounts is that all flow and stock quantities are grouped according to their economic character and </w:t>
      </w:r>
      <w:r w:rsidR="00AD7A99">
        <w:rPr>
          <w:rFonts w:ascii="Arial" w:hAnsi="Arial" w:cs="Arial"/>
          <w:i/>
          <w:sz w:val="20"/>
          <w:szCs w:val="20"/>
        </w:rPr>
        <w:t>they are arranged</w:t>
      </w:r>
      <w:r w:rsidRPr="00CB5887">
        <w:rPr>
          <w:rFonts w:ascii="Arial" w:hAnsi="Arial" w:cs="Arial"/>
          <w:i/>
          <w:sz w:val="20"/>
          <w:szCs w:val="20"/>
        </w:rPr>
        <w:t xml:space="preserve"> to a system of accounts and tables. General principles of</w:t>
      </w:r>
      <w:r w:rsidR="00CB5887">
        <w:rPr>
          <w:rFonts w:ascii="Arial" w:hAnsi="Arial" w:cs="Arial"/>
          <w:i/>
          <w:sz w:val="20"/>
          <w:szCs w:val="20"/>
        </w:rPr>
        <w:t xml:space="preserve"> the </w:t>
      </w:r>
      <w:r w:rsidRPr="00CB5887">
        <w:rPr>
          <w:rFonts w:ascii="Arial" w:hAnsi="Arial" w:cs="Arial"/>
          <w:i/>
          <w:sz w:val="20"/>
          <w:szCs w:val="20"/>
        </w:rPr>
        <w:t>arrangement and records in</w:t>
      </w:r>
      <w:r w:rsidR="00CB5887">
        <w:rPr>
          <w:rFonts w:ascii="Arial" w:hAnsi="Arial" w:cs="Arial"/>
          <w:i/>
          <w:sz w:val="20"/>
          <w:szCs w:val="20"/>
        </w:rPr>
        <w:t xml:space="preserve"> the </w:t>
      </w:r>
      <w:r w:rsidRPr="00CB5887">
        <w:rPr>
          <w:rFonts w:ascii="Arial" w:hAnsi="Arial" w:cs="Arial"/>
          <w:i/>
          <w:sz w:val="20"/>
          <w:szCs w:val="20"/>
        </w:rPr>
        <w:t>national accounts are basically similar to general principles known from</w:t>
      </w:r>
      <w:r w:rsidR="00CB5887">
        <w:rPr>
          <w:rFonts w:ascii="Arial" w:hAnsi="Arial" w:cs="Arial"/>
          <w:i/>
          <w:sz w:val="20"/>
          <w:szCs w:val="20"/>
        </w:rPr>
        <w:t xml:space="preserve"> the </w:t>
      </w:r>
      <w:r w:rsidRPr="00CB5887">
        <w:rPr>
          <w:rFonts w:ascii="Arial" w:hAnsi="Arial" w:cs="Arial"/>
          <w:i/>
          <w:sz w:val="20"/>
          <w:szCs w:val="20"/>
        </w:rPr>
        <w:t xml:space="preserve">business accounting. </w:t>
      </w:r>
    </w:p>
    <w:p w:rsidR="002E3552" w:rsidRPr="00CB5887" w:rsidRDefault="00CD54F6" w:rsidP="00386E69">
      <w:pPr>
        <w:spacing w:before="120"/>
        <w:ind w:firstLine="709"/>
        <w:rPr>
          <w:rFonts w:ascii="Arial" w:hAnsi="Arial" w:cs="Arial"/>
          <w:i/>
          <w:sz w:val="20"/>
          <w:szCs w:val="20"/>
        </w:rPr>
      </w:pPr>
      <w:r w:rsidRPr="00CB5887">
        <w:rPr>
          <w:rFonts w:ascii="Arial" w:hAnsi="Arial" w:cs="Arial"/>
          <w:i/>
          <w:sz w:val="20"/>
          <w:szCs w:val="20"/>
        </w:rPr>
        <w:t>Each of</w:t>
      </w:r>
      <w:r w:rsidR="00CB5887">
        <w:rPr>
          <w:rFonts w:ascii="Arial" w:hAnsi="Arial" w:cs="Arial"/>
          <w:i/>
          <w:sz w:val="20"/>
          <w:szCs w:val="20"/>
        </w:rPr>
        <w:t xml:space="preserve"> the </w:t>
      </w:r>
      <w:r w:rsidRPr="00CB5887">
        <w:rPr>
          <w:rFonts w:ascii="Arial" w:hAnsi="Arial" w:cs="Arial"/>
          <w:i/>
          <w:sz w:val="20"/>
          <w:szCs w:val="20"/>
        </w:rPr>
        <w:t>accounts in</w:t>
      </w:r>
      <w:r w:rsidR="00CB5887">
        <w:rPr>
          <w:rFonts w:ascii="Arial" w:hAnsi="Arial" w:cs="Arial"/>
          <w:i/>
          <w:sz w:val="20"/>
          <w:szCs w:val="20"/>
        </w:rPr>
        <w:t xml:space="preserve"> the </w:t>
      </w:r>
      <w:r w:rsidRPr="00CB5887">
        <w:rPr>
          <w:rFonts w:ascii="Arial" w:hAnsi="Arial" w:cs="Arial"/>
          <w:i/>
          <w:sz w:val="20"/>
          <w:szCs w:val="20"/>
        </w:rPr>
        <w:t>system is balanced. It results either from</w:t>
      </w:r>
      <w:r w:rsidR="00CB5887">
        <w:rPr>
          <w:rFonts w:ascii="Arial" w:hAnsi="Arial" w:cs="Arial"/>
          <w:i/>
          <w:sz w:val="20"/>
          <w:szCs w:val="20"/>
        </w:rPr>
        <w:t xml:space="preserve"> the </w:t>
      </w:r>
      <w:r w:rsidRPr="00CB5887">
        <w:rPr>
          <w:rFonts w:ascii="Arial" w:hAnsi="Arial" w:cs="Arial"/>
          <w:i/>
          <w:sz w:val="20"/>
          <w:szCs w:val="20"/>
        </w:rPr>
        <w:t>definition of</w:t>
      </w:r>
      <w:r w:rsidR="00CB5887">
        <w:rPr>
          <w:rFonts w:ascii="Arial" w:hAnsi="Arial" w:cs="Arial"/>
          <w:i/>
          <w:sz w:val="20"/>
          <w:szCs w:val="20"/>
        </w:rPr>
        <w:t xml:space="preserve"> the </w:t>
      </w:r>
      <w:r w:rsidRPr="00CB5887">
        <w:rPr>
          <w:rFonts w:ascii="Arial" w:hAnsi="Arial" w:cs="Arial"/>
          <w:i/>
          <w:sz w:val="20"/>
          <w:szCs w:val="20"/>
        </w:rPr>
        <w:t>accounts (goods and services account) or a balancing item is used, which is then transferred to</w:t>
      </w:r>
      <w:r w:rsidR="00CB5887">
        <w:rPr>
          <w:rFonts w:ascii="Arial" w:hAnsi="Arial" w:cs="Arial"/>
          <w:i/>
          <w:sz w:val="20"/>
          <w:szCs w:val="20"/>
        </w:rPr>
        <w:t xml:space="preserve"> the </w:t>
      </w:r>
      <w:r w:rsidRPr="00CB5887">
        <w:rPr>
          <w:rFonts w:ascii="Arial" w:hAnsi="Arial" w:cs="Arial"/>
          <w:i/>
          <w:sz w:val="20"/>
          <w:szCs w:val="20"/>
        </w:rPr>
        <w:t>next account. Balancing items are recorded in</w:t>
      </w:r>
      <w:r w:rsidR="00CB5887">
        <w:rPr>
          <w:rFonts w:ascii="Arial" w:hAnsi="Arial" w:cs="Arial"/>
          <w:i/>
          <w:sz w:val="20"/>
          <w:szCs w:val="20"/>
        </w:rPr>
        <w:t xml:space="preserve"> the </w:t>
      </w:r>
      <w:r w:rsidRPr="00CB5887">
        <w:rPr>
          <w:rFonts w:ascii="Arial" w:hAnsi="Arial" w:cs="Arial"/>
          <w:i/>
          <w:sz w:val="20"/>
          <w:szCs w:val="20"/>
        </w:rPr>
        <w:t>accounts either as net or gross.</w:t>
      </w:r>
      <w:r w:rsidR="00CB5887">
        <w:rPr>
          <w:rFonts w:ascii="Arial" w:hAnsi="Arial" w:cs="Arial"/>
          <w:i/>
          <w:sz w:val="20"/>
          <w:szCs w:val="20"/>
        </w:rPr>
        <w:t xml:space="preserve"> The </w:t>
      </w:r>
      <w:r w:rsidRPr="00CB5887">
        <w:rPr>
          <w:rFonts w:ascii="Arial" w:hAnsi="Arial" w:cs="Arial"/>
          <w:i/>
          <w:sz w:val="20"/>
          <w:szCs w:val="20"/>
        </w:rPr>
        <w:t xml:space="preserve">difference in both concepts lies in consumption of fixed capital. The goods and services account is compiled only for the total national economy, while all other accounts are compiled for each institutional sector and subsector, and, naturally, also for the national economy in total. </w:t>
      </w:r>
    </w:p>
    <w:p w:rsidR="00A2149F"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 xml:space="preserve">Goods and services account </w:t>
      </w:r>
      <w:r w:rsidRPr="00CB5887">
        <w:rPr>
          <w:rFonts w:ascii="Arial" w:hAnsi="Arial" w:cs="Arial"/>
          <w:i/>
          <w:sz w:val="20"/>
          <w:szCs w:val="20"/>
        </w:rPr>
        <w:t xml:space="preserve">shows how total sources (production, imports, and net taxes on products) for the total national economy are used (for intermediate consumption, final consumption, capital formation, and for exports). In accordance with the general definition, the total volume of sources is </w:t>
      </w:r>
      <w:r w:rsidR="00BD465B">
        <w:rPr>
          <w:rFonts w:ascii="Arial" w:hAnsi="Arial" w:cs="Arial"/>
          <w:i/>
          <w:sz w:val="20"/>
          <w:szCs w:val="20"/>
        </w:rPr>
        <w:t>balanced</w:t>
      </w:r>
      <w:r w:rsidRPr="00CB5887">
        <w:rPr>
          <w:rFonts w:ascii="Arial" w:hAnsi="Arial" w:cs="Arial"/>
          <w:i/>
          <w:sz w:val="20"/>
          <w:szCs w:val="20"/>
        </w:rPr>
        <w:t xml:space="preserve"> with their uses. Since this account captures flows of goods and services, which have the opposite direction in an economy than flows of money paid for them, the sources and uses are shown on the opposite sides than it is in sector accounts. </w:t>
      </w:r>
    </w:p>
    <w:p w:rsidR="00BF68F9" w:rsidRPr="00CB5887" w:rsidRDefault="00CD54F6" w:rsidP="005D5104">
      <w:pPr>
        <w:spacing w:before="120"/>
        <w:ind w:firstLine="709"/>
        <w:rPr>
          <w:rFonts w:ascii="Arial" w:hAnsi="Arial" w:cs="Arial"/>
          <w:i/>
          <w:sz w:val="20"/>
          <w:szCs w:val="20"/>
        </w:rPr>
      </w:pPr>
      <w:r w:rsidRPr="00CB5887">
        <w:rPr>
          <w:rFonts w:ascii="Arial" w:hAnsi="Arial" w:cs="Arial"/>
          <w:b/>
          <w:i/>
          <w:sz w:val="20"/>
          <w:szCs w:val="20"/>
        </w:rPr>
        <w:t>Current accounts</w:t>
      </w:r>
      <w:r w:rsidRPr="00CB5887">
        <w:rPr>
          <w:rFonts w:ascii="Arial" w:hAnsi="Arial" w:cs="Arial"/>
          <w:i/>
          <w:sz w:val="20"/>
          <w:szCs w:val="20"/>
        </w:rPr>
        <w:t xml:space="preserve"> capture generation, allocation, and redistribution of income and its uses for final consumption. The resulting balancing item is saving (B.8), which is a newly created source for accumulation. Current accounts are: production account, generation of income account, primary distribution of income account (it is further broken down to entrepreneurial income account and allocation of other primary income account), secondary distribution of income account, redistribution of income in kind account, and use of income account. The use of income account has the form of two accounts that are different in their contents </w:t>
      </w:r>
      <w:r w:rsidR="00DC43EB">
        <w:rPr>
          <w:rFonts w:ascii="Arial" w:hAnsi="Arial" w:cs="Arial"/>
          <w:i/>
          <w:sz w:val="20"/>
          <w:szCs w:val="20"/>
        </w:rPr>
        <w:t>–</w:t>
      </w:r>
      <w:r w:rsidRPr="00CB5887">
        <w:rPr>
          <w:rFonts w:ascii="Arial" w:hAnsi="Arial" w:cs="Arial"/>
          <w:i/>
          <w:sz w:val="20"/>
          <w:szCs w:val="20"/>
        </w:rPr>
        <w:t xml:space="preserve"> the use of disposable income account and the use of adjusted disposable income account. </w:t>
      </w:r>
    </w:p>
    <w:p w:rsidR="00DF3272" w:rsidRPr="00CB5887" w:rsidRDefault="00CD54F6" w:rsidP="00205DF0">
      <w:pPr>
        <w:spacing w:before="120"/>
        <w:ind w:firstLine="709"/>
        <w:rPr>
          <w:rFonts w:ascii="Arial" w:hAnsi="Arial" w:cs="Arial"/>
          <w:i/>
          <w:sz w:val="20"/>
          <w:szCs w:val="20"/>
        </w:rPr>
      </w:pPr>
      <w:r w:rsidRPr="00CB5887">
        <w:rPr>
          <w:rFonts w:ascii="Arial" w:hAnsi="Arial" w:cs="Arial"/>
          <w:b/>
          <w:i/>
          <w:sz w:val="20"/>
          <w:szCs w:val="20"/>
        </w:rPr>
        <w:t>Accumulation accounts</w:t>
      </w:r>
      <w:r w:rsidRPr="00CB5887">
        <w:rPr>
          <w:rFonts w:ascii="Arial" w:hAnsi="Arial" w:cs="Arial"/>
          <w:i/>
          <w:sz w:val="20"/>
          <w:szCs w:val="20"/>
        </w:rPr>
        <w:t xml:space="preserve"> show for each sector changes in volume and valuation of respective components of its assets and liabilities. The entire set of accumulation accounts consists of the following accounts: capital account (broken down to the change in net worth due to saving and capital transfer</w:t>
      </w:r>
      <w:r w:rsidR="00807BEF">
        <w:rPr>
          <w:rFonts w:ascii="Arial" w:hAnsi="Arial" w:cs="Arial"/>
          <w:i/>
          <w:sz w:val="20"/>
          <w:szCs w:val="20"/>
        </w:rPr>
        <w:t>s</w:t>
      </w:r>
      <w:r w:rsidRPr="00CB5887">
        <w:rPr>
          <w:rFonts w:ascii="Arial" w:hAnsi="Arial" w:cs="Arial"/>
          <w:i/>
          <w:sz w:val="20"/>
          <w:szCs w:val="20"/>
        </w:rPr>
        <w:t xml:space="preserve"> account and the acquisition of non-financial assets account), financial account, and other changes of assets accounts (broken down to the other changes in volume of assets account and the revaluation accounts – nominal, neutral, and real holding gains/losses accounts). </w:t>
      </w:r>
    </w:p>
    <w:p w:rsidR="00D817A1"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Balance sheets</w:t>
      </w:r>
      <w:r w:rsidRPr="00CB5887">
        <w:rPr>
          <w:rFonts w:ascii="Arial" w:hAnsi="Arial" w:cs="Arial"/>
          <w:i/>
          <w:sz w:val="20"/>
          <w:szCs w:val="20"/>
        </w:rPr>
        <w:t xml:space="preserve"> capture values of assets and liabilities, which are at a certain moment (</w:t>
      </w:r>
      <w:r w:rsidR="00BB0144" w:rsidRPr="00CB5887">
        <w:rPr>
          <w:rFonts w:ascii="Arial" w:hAnsi="Arial" w:cs="Arial"/>
          <w:i/>
          <w:sz w:val="20"/>
          <w:szCs w:val="20"/>
        </w:rPr>
        <w:t>at </w:t>
      </w:r>
      <w:r w:rsidRPr="00CB5887">
        <w:rPr>
          <w:rFonts w:ascii="Arial" w:hAnsi="Arial" w:cs="Arial"/>
          <w:i/>
          <w:sz w:val="20"/>
          <w:szCs w:val="20"/>
        </w:rPr>
        <w:t>the beginning and the end of a calendar year) in holding of a given sector or subsector and changes in the</w:t>
      </w:r>
      <w:r w:rsidR="00CB5887">
        <w:rPr>
          <w:rFonts w:ascii="Arial" w:hAnsi="Arial" w:cs="Arial"/>
          <w:i/>
          <w:sz w:val="20"/>
          <w:szCs w:val="20"/>
        </w:rPr>
        <w:t> </w:t>
      </w:r>
      <w:r w:rsidRPr="00CB5887">
        <w:rPr>
          <w:rFonts w:ascii="Arial" w:hAnsi="Arial" w:cs="Arial"/>
          <w:i/>
          <w:sz w:val="20"/>
          <w:szCs w:val="20"/>
        </w:rPr>
        <w:t>balance sheet. The balancing item is net worth (B.90), which in the total for the national economy expresses the national wealth, i.e.</w:t>
      </w:r>
      <w:r w:rsidR="00CB5887">
        <w:rPr>
          <w:rFonts w:ascii="Arial" w:hAnsi="Arial" w:cs="Arial"/>
          <w:i/>
          <w:sz w:val="20"/>
          <w:szCs w:val="20"/>
        </w:rPr>
        <w:t> </w:t>
      </w:r>
      <w:r w:rsidRPr="00CB5887">
        <w:rPr>
          <w:rFonts w:ascii="Arial" w:hAnsi="Arial" w:cs="Arial"/>
          <w:i/>
          <w:sz w:val="20"/>
          <w:szCs w:val="20"/>
        </w:rPr>
        <w:t>all non-financial and financial assets after deduction of financial liabilities in relationship to the</w:t>
      </w:r>
      <w:r w:rsidR="00DC6386">
        <w:rPr>
          <w:rFonts w:ascii="Arial" w:hAnsi="Arial" w:cs="Arial"/>
          <w:i/>
          <w:sz w:val="20"/>
          <w:szCs w:val="20"/>
        </w:rPr>
        <w:t xml:space="preserve"> rest of the world</w:t>
      </w:r>
      <w:r w:rsidRPr="00CB5887">
        <w:rPr>
          <w:rFonts w:ascii="Arial" w:hAnsi="Arial" w:cs="Arial"/>
          <w:i/>
          <w:sz w:val="20"/>
          <w:szCs w:val="20"/>
        </w:rPr>
        <w:t> </w:t>
      </w:r>
      <w:r w:rsidR="00DC6386">
        <w:rPr>
          <w:rFonts w:ascii="Arial" w:hAnsi="Arial" w:cs="Arial"/>
          <w:i/>
          <w:sz w:val="20"/>
          <w:szCs w:val="20"/>
        </w:rPr>
        <w:t>(</w:t>
      </w:r>
      <w:r w:rsidRPr="00CB5887">
        <w:rPr>
          <w:rFonts w:ascii="Arial" w:hAnsi="Arial" w:cs="Arial"/>
          <w:i/>
          <w:sz w:val="20"/>
          <w:szCs w:val="20"/>
        </w:rPr>
        <w:t>ROW</w:t>
      </w:r>
      <w:r w:rsidR="00DC6386">
        <w:rPr>
          <w:rFonts w:ascii="Arial" w:hAnsi="Arial" w:cs="Arial"/>
          <w:i/>
          <w:sz w:val="20"/>
          <w:szCs w:val="20"/>
        </w:rPr>
        <w:t>,</w:t>
      </w:r>
      <w:r w:rsidRPr="00CB5887">
        <w:rPr>
          <w:rFonts w:ascii="Arial" w:hAnsi="Arial" w:cs="Arial"/>
          <w:i/>
          <w:sz w:val="20"/>
          <w:szCs w:val="20"/>
        </w:rPr>
        <w:t xml:space="preserve"> </w:t>
      </w:r>
      <w:r w:rsidR="0061546B">
        <w:rPr>
          <w:rFonts w:ascii="Arial" w:hAnsi="Arial" w:cs="Arial"/>
          <w:i/>
          <w:sz w:val="20"/>
          <w:szCs w:val="20"/>
        </w:rPr>
        <w:t xml:space="preserve">or </w:t>
      </w:r>
      <w:r w:rsidRPr="00CB5887">
        <w:rPr>
          <w:rFonts w:ascii="Arial" w:hAnsi="Arial" w:cs="Arial"/>
          <w:i/>
          <w:sz w:val="20"/>
          <w:szCs w:val="20"/>
        </w:rPr>
        <w:t>non-residents). The importance of a balance</w:t>
      </w:r>
      <w:r w:rsidR="00FA55B5">
        <w:rPr>
          <w:rFonts w:ascii="Arial" w:hAnsi="Arial" w:cs="Arial"/>
          <w:i/>
          <w:sz w:val="20"/>
          <w:szCs w:val="20"/>
        </w:rPr>
        <w:t xml:space="preserve"> sheet</w:t>
      </w:r>
      <w:r w:rsidRPr="00CB5887">
        <w:rPr>
          <w:rFonts w:ascii="Arial" w:hAnsi="Arial" w:cs="Arial"/>
          <w:i/>
          <w:sz w:val="20"/>
          <w:szCs w:val="20"/>
        </w:rPr>
        <w:t xml:space="preserve"> for the entire national accounts system is that it makes the sequence of accounts complete, because it shows the final result of records in current and accumulation accounts. </w:t>
      </w:r>
      <w:r w:rsidR="00367B39">
        <w:rPr>
          <w:rFonts w:ascii="Arial" w:hAnsi="Arial" w:cs="Arial"/>
          <w:i/>
          <w:sz w:val="20"/>
          <w:szCs w:val="20"/>
        </w:rPr>
        <w:t>Balance sheet</w:t>
      </w:r>
      <w:r w:rsidR="00367B39" w:rsidRPr="00CB5887">
        <w:rPr>
          <w:rFonts w:ascii="Arial" w:hAnsi="Arial" w:cs="Arial"/>
          <w:i/>
          <w:sz w:val="20"/>
          <w:szCs w:val="20"/>
        </w:rPr>
        <w:t xml:space="preserve"> </w:t>
      </w:r>
      <w:r w:rsidRPr="00CB5887">
        <w:rPr>
          <w:rFonts w:ascii="Arial" w:hAnsi="Arial" w:cs="Arial"/>
          <w:i/>
          <w:sz w:val="20"/>
          <w:szCs w:val="20"/>
        </w:rPr>
        <w:t xml:space="preserve">accounts are: opening balance, changes in balance, and closing balance. </w:t>
      </w:r>
    </w:p>
    <w:p w:rsidR="00EB298B" w:rsidRPr="00CB5887" w:rsidRDefault="00CD54F6" w:rsidP="00386E69">
      <w:pPr>
        <w:spacing w:before="120"/>
        <w:ind w:firstLine="709"/>
        <w:rPr>
          <w:rFonts w:ascii="Arial" w:hAnsi="Arial" w:cs="Arial"/>
          <w:i/>
          <w:sz w:val="20"/>
          <w:szCs w:val="20"/>
        </w:rPr>
      </w:pPr>
      <w:r w:rsidRPr="00CB5887">
        <w:rPr>
          <w:rFonts w:ascii="Arial" w:hAnsi="Arial" w:cs="Arial"/>
          <w:b/>
          <w:i/>
          <w:sz w:val="20"/>
          <w:szCs w:val="20"/>
        </w:rPr>
        <w:t xml:space="preserve">Accounts of the rest of the world (non-residents) </w:t>
      </w:r>
      <w:r w:rsidRPr="00CB5887">
        <w:rPr>
          <w:rFonts w:ascii="Arial" w:hAnsi="Arial" w:cs="Arial"/>
          <w:i/>
          <w:sz w:val="20"/>
          <w:szCs w:val="20"/>
        </w:rPr>
        <w:t>are used to capture transactions between resident units and the rest of the world (non-resident units); thus what is</w:t>
      </w:r>
      <w:r w:rsidR="00BB0144" w:rsidRPr="00CB5887">
        <w:rPr>
          <w:rFonts w:ascii="Arial" w:hAnsi="Arial" w:cs="Arial"/>
          <w:i/>
          <w:sz w:val="20"/>
          <w:szCs w:val="20"/>
        </w:rPr>
        <w:t xml:space="preserve"> a </w:t>
      </w:r>
      <w:r w:rsidRPr="00CB5887">
        <w:rPr>
          <w:rFonts w:ascii="Arial" w:hAnsi="Arial" w:cs="Arial"/>
          <w:i/>
          <w:sz w:val="20"/>
          <w:szCs w:val="20"/>
        </w:rPr>
        <w:t>resource for</w:t>
      </w:r>
      <w:r w:rsidR="00CB5887">
        <w:rPr>
          <w:rFonts w:ascii="Arial" w:hAnsi="Arial" w:cs="Arial"/>
          <w:i/>
          <w:sz w:val="20"/>
          <w:szCs w:val="20"/>
        </w:rPr>
        <w:t xml:space="preserve"> the </w:t>
      </w:r>
      <w:r w:rsidRPr="00CB5887">
        <w:rPr>
          <w:rFonts w:ascii="Arial" w:hAnsi="Arial" w:cs="Arial"/>
          <w:i/>
          <w:sz w:val="20"/>
          <w:szCs w:val="20"/>
        </w:rPr>
        <w:t>non-</w:t>
      </w:r>
      <w:r w:rsidR="000D44FD">
        <w:rPr>
          <w:rFonts w:ascii="Arial" w:hAnsi="Arial" w:cs="Arial"/>
          <w:i/>
          <w:sz w:val="20"/>
          <w:szCs w:val="20"/>
        </w:rPr>
        <w:t>residents is a use for the residents. The sequence of accounts is similar as for accounts of resident</w:t>
      </w:r>
      <w:r w:rsidRPr="00CB5887">
        <w:rPr>
          <w:rFonts w:ascii="Arial" w:hAnsi="Arial" w:cs="Arial"/>
          <w:i/>
          <w:sz w:val="20"/>
          <w:szCs w:val="20"/>
        </w:rPr>
        <w:t xml:space="preserve"> institutional sectors</w:t>
      </w:r>
      <w:r w:rsidR="00F41EAB">
        <w:rPr>
          <w:rFonts w:ascii="Arial" w:hAnsi="Arial" w:cs="Arial"/>
          <w:i/>
          <w:sz w:val="20"/>
          <w:szCs w:val="20"/>
        </w:rPr>
        <w:t>, i.e.</w:t>
      </w:r>
      <w:r w:rsidRPr="00CB5887">
        <w:rPr>
          <w:rFonts w:ascii="Arial" w:hAnsi="Arial" w:cs="Arial"/>
          <w:i/>
          <w:sz w:val="20"/>
          <w:szCs w:val="20"/>
        </w:rPr>
        <w:t xml:space="preserve"> goods and services account of the ROW, primary income account and current transfers account of the ROW, accumulation accounts of the ROW (</w:t>
      </w:r>
      <w:r w:rsidRPr="007A52D2">
        <w:rPr>
          <w:rFonts w:ascii="Arial" w:hAnsi="Arial" w:cs="Arial"/>
          <w:i/>
          <w:sz w:val="20"/>
          <w:szCs w:val="20"/>
        </w:rPr>
        <w:t xml:space="preserve">split into </w:t>
      </w:r>
      <w:r w:rsidR="00E86A6D" w:rsidRPr="007A52D2">
        <w:rPr>
          <w:rFonts w:ascii="Arial" w:hAnsi="Arial" w:cs="Arial"/>
          <w:i/>
          <w:sz w:val="20"/>
          <w:szCs w:val="20"/>
        </w:rPr>
        <w:t>a capital account and a financial account</w:t>
      </w:r>
      <w:r w:rsidRPr="007A52D2">
        <w:rPr>
          <w:rFonts w:ascii="Arial" w:hAnsi="Arial" w:cs="Arial"/>
          <w:i/>
          <w:sz w:val="20"/>
          <w:szCs w:val="20"/>
        </w:rPr>
        <w:t xml:space="preserve"> of the ROW, other changes of assets account of the ROW, </w:t>
      </w:r>
      <w:r w:rsidR="00EE5A74" w:rsidRPr="007A52D2">
        <w:rPr>
          <w:rFonts w:ascii="Arial" w:hAnsi="Arial" w:cs="Arial"/>
          <w:i/>
          <w:sz w:val="20"/>
          <w:szCs w:val="20"/>
        </w:rPr>
        <w:t xml:space="preserve">i.e. </w:t>
      </w:r>
      <w:r w:rsidRPr="007A52D2">
        <w:rPr>
          <w:rFonts w:ascii="Arial" w:hAnsi="Arial" w:cs="Arial"/>
          <w:i/>
          <w:sz w:val="20"/>
          <w:szCs w:val="20"/>
        </w:rPr>
        <w:t>other changes in volume of assets account of the ROW</w:t>
      </w:r>
      <w:r w:rsidR="00E86A6D" w:rsidRPr="007A52D2">
        <w:rPr>
          <w:rFonts w:ascii="Arial" w:hAnsi="Arial" w:cs="Arial"/>
          <w:i/>
          <w:sz w:val="20"/>
          <w:szCs w:val="20"/>
        </w:rPr>
        <w:t xml:space="preserve"> and a</w:t>
      </w:r>
      <w:r w:rsidR="00A036AD" w:rsidRPr="007A52D2">
        <w:rPr>
          <w:rFonts w:ascii="Arial" w:hAnsi="Arial" w:cs="Arial"/>
          <w:i/>
          <w:sz w:val="20"/>
          <w:szCs w:val="20"/>
        </w:rPr>
        <w:t xml:space="preserve"> </w:t>
      </w:r>
      <w:r w:rsidRPr="007A52D2">
        <w:rPr>
          <w:rFonts w:ascii="Arial" w:hAnsi="Arial" w:cs="Arial"/>
          <w:i/>
          <w:sz w:val="20"/>
          <w:szCs w:val="20"/>
        </w:rPr>
        <w:t>revaluation account)</w:t>
      </w:r>
      <w:r w:rsidR="000E536E" w:rsidRPr="007A52D2">
        <w:rPr>
          <w:rFonts w:ascii="Arial" w:hAnsi="Arial" w:cs="Arial"/>
          <w:i/>
          <w:sz w:val="20"/>
          <w:szCs w:val="20"/>
        </w:rPr>
        <w:t>,</w:t>
      </w:r>
      <w:r w:rsidRPr="007A52D2">
        <w:rPr>
          <w:rFonts w:ascii="Arial" w:hAnsi="Arial" w:cs="Arial"/>
          <w:i/>
          <w:sz w:val="20"/>
          <w:szCs w:val="20"/>
        </w:rPr>
        <w:t xml:space="preserve"> and balances of the ROW.</w:t>
      </w:r>
      <w:r w:rsidRPr="00CB5887">
        <w:rPr>
          <w:rFonts w:ascii="Arial" w:hAnsi="Arial" w:cs="Arial"/>
          <w:i/>
          <w:sz w:val="20"/>
          <w:szCs w:val="20"/>
        </w:rPr>
        <w:t xml:space="preserve"> </w:t>
      </w:r>
    </w:p>
    <w:p w:rsidR="00C31B51" w:rsidRPr="00CB5887" w:rsidRDefault="00CD54F6" w:rsidP="00386E69">
      <w:pPr>
        <w:pStyle w:val="Normlnweb"/>
        <w:spacing w:before="120" w:beforeAutospacing="0" w:after="0" w:afterAutospacing="0"/>
        <w:ind w:firstLine="708"/>
        <w:jc w:val="both"/>
        <w:rPr>
          <w:rFonts w:ascii="Arial" w:hAnsi="Arial" w:cs="Arial"/>
          <w:i/>
          <w:color w:val="auto"/>
          <w:sz w:val="20"/>
          <w:szCs w:val="20"/>
          <w:lang w:val="en-GB"/>
        </w:rPr>
      </w:pPr>
      <w:r w:rsidRPr="00CB5887">
        <w:rPr>
          <w:rFonts w:ascii="Arial" w:hAnsi="Arial" w:cs="Arial"/>
          <w:i/>
          <w:color w:val="auto"/>
          <w:sz w:val="20"/>
          <w:szCs w:val="20"/>
          <w:lang w:val="en-GB"/>
        </w:rPr>
        <w:t xml:space="preserve">Accounts of the ROW (non-residents) capture flows and stocks between non-residents and residents; they do not capture relationships among non-residents, i.e. they do not show the total for the rest of the entire world. </w:t>
      </w:r>
      <w:r w:rsidRPr="00CB5887">
        <w:rPr>
          <w:rFonts w:ascii="Arial" w:hAnsi="Arial"/>
          <w:i/>
          <w:color w:val="auto"/>
          <w:sz w:val="20"/>
          <w:lang w:val="en-GB"/>
        </w:rPr>
        <w:t>Therefore, the same detailed breakdown of individual flows and stocks in the accounts of the ROW is used in the Czech practice as at resident sectors including detailed breakdown of accumulation accounts and balance accounts.</w:t>
      </w:r>
      <w:r w:rsidRPr="00CB5887">
        <w:rPr>
          <w:rFonts w:ascii="Arial" w:hAnsi="Arial" w:cs="Arial"/>
          <w:i/>
          <w:color w:val="auto"/>
          <w:sz w:val="20"/>
          <w:szCs w:val="20"/>
          <w:lang w:val="en-GB"/>
        </w:rPr>
        <w:t xml:space="preserve"> </w:t>
      </w: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lastRenderedPageBreak/>
        <w:t xml:space="preserve">Characteristics of indicators </w:t>
      </w:r>
    </w:p>
    <w:p w:rsidR="00121463"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Each indicator in the system of national accounts (transactions, other flows, and stocks) is marked with a code, which is consistent with the ESA</w:t>
      </w:r>
      <w:r w:rsidR="00E33CE3">
        <w:rPr>
          <w:rFonts w:ascii="Arial" w:hAnsi="Arial" w:cs="Arial"/>
          <w:i/>
          <w:iCs/>
          <w:color w:val="auto"/>
          <w:sz w:val="20"/>
          <w:szCs w:val="17"/>
          <w:lang w:val="en-GB"/>
        </w:rPr>
        <w:t> </w:t>
      </w:r>
      <w:r w:rsidRPr="00CB5887">
        <w:rPr>
          <w:rFonts w:ascii="Arial" w:hAnsi="Arial" w:cs="Arial"/>
          <w:i/>
          <w:iCs/>
          <w:color w:val="auto"/>
          <w:sz w:val="20"/>
          <w:szCs w:val="17"/>
          <w:lang w:val="en-GB"/>
        </w:rPr>
        <w:t>2010</w:t>
      </w:r>
      <w:r w:rsidR="00E33CE3">
        <w:rPr>
          <w:rFonts w:ascii="Arial" w:hAnsi="Arial" w:cs="Arial"/>
          <w:i/>
          <w:iCs/>
          <w:color w:val="auto"/>
          <w:sz w:val="20"/>
          <w:szCs w:val="17"/>
          <w:lang w:val="en-GB"/>
        </w:rPr>
        <w:t xml:space="preserve"> </w:t>
      </w:r>
      <w:r w:rsidRPr="00CB5887">
        <w:rPr>
          <w:rFonts w:ascii="Arial" w:hAnsi="Arial" w:cs="Arial"/>
          <w:i/>
          <w:iCs/>
          <w:color w:val="auto"/>
          <w:sz w:val="20"/>
          <w:szCs w:val="17"/>
          <w:lang w:val="en-GB"/>
        </w:rPr>
        <w:t>international standard or results from it. Transactions in goods and services are designated with </w:t>
      </w:r>
      <w:r w:rsidRPr="00CB5887">
        <w:rPr>
          <w:rFonts w:ascii="Arial" w:hAnsi="Arial" w:cs="Arial"/>
          <w:b/>
          <w:bCs/>
          <w:i/>
          <w:iCs/>
          <w:color w:val="auto"/>
          <w:sz w:val="20"/>
          <w:szCs w:val="17"/>
          <w:lang w:val="en-GB"/>
        </w:rPr>
        <w:t>P</w:t>
      </w:r>
      <w:r w:rsidR="003D490B">
        <w:rPr>
          <w:rFonts w:ascii="Arial" w:hAnsi="Arial" w:cs="Arial"/>
          <w:b/>
          <w:bCs/>
          <w:i/>
          <w:iCs/>
          <w:color w:val="auto"/>
          <w:sz w:val="20"/>
          <w:szCs w:val="17"/>
          <w:lang w:val="en-GB"/>
        </w:rPr>
        <w:t xml:space="preserve"> </w:t>
      </w:r>
      <w:r w:rsidR="00176CDE" w:rsidRPr="00176CDE">
        <w:rPr>
          <w:rFonts w:ascii="Arial" w:hAnsi="Arial" w:cs="Arial"/>
          <w:bCs/>
          <w:i/>
          <w:iCs/>
          <w:color w:val="auto"/>
          <w:sz w:val="20"/>
          <w:szCs w:val="17"/>
          <w:lang w:val="en-GB"/>
        </w:rPr>
        <w:t>code</w:t>
      </w:r>
      <w:r w:rsidR="002E5AB9">
        <w:rPr>
          <w:rFonts w:ascii="Arial" w:hAnsi="Arial" w:cs="Arial"/>
          <w:bCs/>
          <w:i/>
          <w:iCs/>
          <w:color w:val="auto"/>
          <w:sz w:val="20"/>
          <w:szCs w:val="17"/>
          <w:lang w:val="en-GB"/>
        </w:rPr>
        <w:t>s</w:t>
      </w:r>
      <w:r w:rsidR="00CF2ADC">
        <w:rPr>
          <w:rFonts w:ascii="Arial" w:hAnsi="Arial" w:cs="Arial"/>
          <w:b/>
          <w:bCs/>
          <w:i/>
          <w:iCs/>
          <w:color w:val="auto"/>
          <w:sz w:val="20"/>
          <w:szCs w:val="17"/>
          <w:lang w:val="en-GB"/>
        </w:rPr>
        <w:t xml:space="preserve"> </w:t>
      </w:r>
      <w:r w:rsidR="00DB00F0" w:rsidRPr="00DB00F0">
        <w:rPr>
          <w:rFonts w:ascii="Arial" w:hAnsi="Arial" w:cs="Arial"/>
          <w:bCs/>
          <w:i/>
          <w:iCs/>
          <w:color w:val="auto"/>
          <w:sz w:val="20"/>
          <w:szCs w:val="17"/>
          <w:lang w:val="en-GB"/>
        </w:rPr>
        <w:t>(and in non-produced assets with</w:t>
      </w:r>
      <w:r w:rsidR="004330D8">
        <w:rPr>
          <w:rFonts w:ascii="Arial" w:hAnsi="Arial" w:cs="Arial"/>
          <w:bCs/>
          <w:i/>
          <w:iCs/>
          <w:color w:val="auto"/>
          <w:sz w:val="20"/>
          <w:szCs w:val="17"/>
          <w:lang w:val="en-GB"/>
        </w:rPr>
        <w:t> </w:t>
      </w:r>
      <w:r w:rsidR="00DB00F0" w:rsidRPr="00DB00F0">
        <w:rPr>
          <w:rFonts w:ascii="Arial" w:hAnsi="Arial" w:cs="Arial"/>
          <w:bCs/>
          <w:i/>
          <w:iCs/>
          <w:color w:val="auto"/>
          <w:sz w:val="20"/>
          <w:szCs w:val="17"/>
          <w:lang w:val="en-GB"/>
        </w:rPr>
        <w:t>NP</w:t>
      </w:r>
      <w:r w:rsidR="003D490B">
        <w:rPr>
          <w:rFonts w:ascii="Arial" w:hAnsi="Arial" w:cs="Arial"/>
          <w:bCs/>
          <w:i/>
          <w:iCs/>
          <w:color w:val="auto"/>
          <w:sz w:val="20"/>
          <w:szCs w:val="17"/>
          <w:lang w:val="en-GB"/>
        </w:rPr>
        <w:t xml:space="preserve"> codes</w:t>
      </w:r>
      <w:r w:rsidR="00764933">
        <w:rPr>
          <w:rFonts w:ascii="Arial" w:hAnsi="Arial" w:cs="Arial"/>
          <w:bCs/>
          <w:i/>
          <w:iCs/>
          <w:color w:val="auto"/>
          <w:sz w:val="20"/>
          <w:szCs w:val="17"/>
          <w:lang w:val="en-GB"/>
        </w:rPr>
        <w:t>)</w:t>
      </w:r>
      <w:r w:rsidRPr="00CB5887">
        <w:rPr>
          <w:rFonts w:ascii="Arial" w:hAnsi="Arial" w:cs="Arial"/>
          <w:i/>
          <w:iCs/>
          <w:color w:val="auto"/>
          <w:sz w:val="20"/>
          <w:szCs w:val="17"/>
          <w:lang w:val="en-GB"/>
        </w:rPr>
        <w:t>, distributive transactions with </w:t>
      </w:r>
      <w:r w:rsidRPr="00CB5887">
        <w:rPr>
          <w:rFonts w:ascii="Arial" w:hAnsi="Arial" w:cs="Arial"/>
          <w:b/>
          <w:bCs/>
          <w:i/>
          <w:iCs/>
          <w:color w:val="auto"/>
          <w:sz w:val="20"/>
          <w:szCs w:val="17"/>
          <w:lang w:val="en-GB"/>
        </w:rPr>
        <w:t>D</w:t>
      </w:r>
      <w:r w:rsidRPr="00CB5887">
        <w:rPr>
          <w:rFonts w:ascii="Arial" w:hAnsi="Arial" w:cs="Arial"/>
          <w:i/>
          <w:iCs/>
          <w:color w:val="auto"/>
          <w:sz w:val="20"/>
          <w:szCs w:val="17"/>
          <w:lang w:val="en-GB"/>
        </w:rPr>
        <w:t xml:space="preserve">, balancing items with </w:t>
      </w:r>
      <w:r w:rsidRPr="00CB5887">
        <w:rPr>
          <w:rFonts w:ascii="Arial" w:hAnsi="Arial" w:cs="Arial"/>
          <w:b/>
          <w:bCs/>
          <w:i/>
          <w:iCs/>
          <w:color w:val="auto"/>
          <w:sz w:val="20"/>
          <w:szCs w:val="17"/>
          <w:lang w:val="en-GB"/>
        </w:rPr>
        <w:t xml:space="preserve">Bg </w:t>
      </w:r>
      <w:r w:rsidRPr="00CB5887">
        <w:rPr>
          <w:rFonts w:ascii="Arial" w:hAnsi="Arial" w:cs="Arial"/>
          <w:i/>
          <w:iCs/>
          <w:color w:val="auto"/>
          <w:sz w:val="20"/>
          <w:szCs w:val="17"/>
          <w:lang w:val="en-GB"/>
        </w:rPr>
        <w:t xml:space="preserve">(gross approach incl. consumption of fixed capital) or </w:t>
      </w:r>
      <w:r w:rsidRPr="00CB5887">
        <w:rPr>
          <w:rFonts w:ascii="Arial" w:hAnsi="Arial" w:cs="Arial"/>
          <w:b/>
          <w:bCs/>
          <w:i/>
          <w:iCs/>
          <w:color w:val="auto"/>
          <w:sz w:val="20"/>
          <w:szCs w:val="17"/>
          <w:lang w:val="en-GB"/>
        </w:rPr>
        <w:t>Bn</w:t>
      </w:r>
      <w:r w:rsidRPr="00CB5887">
        <w:rPr>
          <w:rFonts w:ascii="Arial" w:hAnsi="Arial" w:cs="Arial"/>
          <w:i/>
          <w:iCs/>
          <w:color w:val="auto"/>
          <w:sz w:val="20"/>
          <w:szCs w:val="17"/>
          <w:lang w:val="en-GB"/>
        </w:rPr>
        <w:t xml:space="preserve"> (net approach excl. consumption of fixed capital), transactions in financial instruments with </w:t>
      </w:r>
      <w:r w:rsidRPr="00CB5887">
        <w:rPr>
          <w:rFonts w:ascii="Arial" w:hAnsi="Arial" w:cs="Arial"/>
          <w:b/>
          <w:bCs/>
          <w:i/>
          <w:iCs/>
          <w:color w:val="auto"/>
          <w:sz w:val="20"/>
          <w:szCs w:val="17"/>
          <w:lang w:val="en-GB"/>
        </w:rPr>
        <w:t>F</w:t>
      </w:r>
      <w:r w:rsidRPr="00CB5887">
        <w:rPr>
          <w:rFonts w:ascii="Arial" w:hAnsi="Arial" w:cs="Arial"/>
          <w:i/>
          <w:iCs/>
          <w:color w:val="auto"/>
          <w:sz w:val="20"/>
          <w:szCs w:val="17"/>
          <w:lang w:val="en-GB"/>
        </w:rPr>
        <w:t xml:space="preserve">, and other </w:t>
      </w:r>
      <w:r w:rsidR="0021237C">
        <w:rPr>
          <w:rFonts w:ascii="Arial" w:hAnsi="Arial" w:cs="Arial"/>
          <w:i/>
          <w:iCs/>
          <w:color w:val="auto"/>
          <w:sz w:val="20"/>
          <w:szCs w:val="17"/>
          <w:lang w:val="en-GB"/>
        </w:rPr>
        <w:t>changes in assets, liabilities</w:t>
      </w:r>
      <w:r w:rsidR="00AE2900">
        <w:rPr>
          <w:rFonts w:ascii="Arial" w:hAnsi="Arial" w:cs="Arial"/>
          <w:i/>
          <w:iCs/>
          <w:color w:val="auto"/>
          <w:sz w:val="20"/>
          <w:szCs w:val="17"/>
          <w:lang w:val="en-GB"/>
        </w:rPr>
        <w:t>,</w:t>
      </w:r>
      <w:r w:rsidR="0021237C">
        <w:rPr>
          <w:rFonts w:ascii="Arial" w:hAnsi="Arial" w:cs="Arial"/>
          <w:i/>
          <w:iCs/>
          <w:color w:val="auto"/>
          <w:sz w:val="20"/>
          <w:szCs w:val="17"/>
          <w:lang w:val="en-GB"/>
        </w:rPr>
        <w:t xml:space="preserve"> and net worth </w:t>
      </w:r>
      <w:r w:rsidRPr="00CB5887">
        <w:rPr>
          <w:rFonts w:ascii="Arial" w:hAnsi="Arial" w:cs="Arial"/>
          <w:i/>
          <w:iCs/>
          <w:color w:val="auto"/>
          <w:sz w:val="20"/>
          <w:szCs w:val="17"/>
          <w:lang w:val="en-GB"/>
        </w:rPr>
        <w:t>with </w:t>
      </w:r>
      <w:r w:rsidRPr="00CB5887">
        <w:rPr>
          <w:rFonts w:ascii="Arial" w:hAnsi="Arial" w:cs="Arial"/>
          <w:b/>
          <w:bCs/>
          <w:i/>
          <w:iCs/>
          <w:color w:val="auto"/>
          <w:sz w:val="20"/>
          <w:szCs w:val="17"/>
          <w:lang w:val="en-GB"/>
        </w:rPr>
        <w:t>K</w:t>
      </w:r>
      <w:r w:rsidRPr="00CB5887">
        <w:rPr>
          <w:rFonts w:ascii="Arial" w:hAnsi="Arial" w:cs="Arial"/>
          <w:i/>
          <w:iCs/>
          <w:color w:val="auto"/>
          <w:sz w:val="20"/>
          <w:szCs w:val="17"/>
          <w:lang w:val="en-GB"/>
        </w:rPr>
        <w:t xml:space="preserve">. Stocks of non-financial assets presented in opening and closing balance sheets are designated with </w:t>
      </w:r>
      <w:r w:rsidRPr="00CB5887">
        <w:rPr>
          <w:rFonts w:ascii="Arial" w:hAnsi="Arial" w:cs="Arial"/>
          <w:b/>
          <w:bCs/>
          <w:i/>
          <w:iCs/>
          <w:color w:val="auto"/>
          <w:sz w:val="20"/>
          <w:szCs w:val="17"/>
          <w:lang w:val="en-GB"/>
        </w:rPr>
        <w:t>AN</w:t>
      </w:r>
      <w:r w:rsidR="003D490B">
        <w:rPr>
          <w:rFonts w:ascii="Arial" w:hAnsi="Arial" w:cs="Arial"/>
          <w:b/>
          <w:bCs/>
          <w:i/>
          <w:iCs/>
          <w:color w:val="auto"/>
          <w:sz w:val="20"/>
          <w:szCs w:val="17"/>
          <w:lang w:val="en-GB"/>
        </w:rPr>
        <w:t xml:space="preserve"> </w:t>
      </w:r>
      <w:r w:rsidR="00176CDE" w:rsidRPr="00176CDE">
        <w:rPr>
          <w:rFonts w:ascii="Arial" w:hAnsi="Arial" w:cs="Arial"/>
          <w:bCs/>
          <w:i/>
          <w:iCs/>
          <w:color w:val="auto"/>
          <w:sz w:val="20"/>
          <w:szCs w:val="17"/>
          <w:lang w:val="en-GB"/>
        </w:rPr>
        <w:t>codes</w:t>
      </w:r>
      <w:r w:rsidR="009424AB">
        <w:rPr>
          <w:rFonts w:ascii="Arial" w:hAnsi="Arial" w:cs="Arial"/>
          <w:i/>
          <w:iCs/>
          <w:color w:val="auto"/>
          <w:sz w:val="20"/>
          <w:szCs w:val="17"/>
          <w:lang w:val="en-GB"/>
        </w:rPr>
        <w:t xml:space="preserve"> </w:t>
      </w:r>
      <w:r w:rsidRPr="00CB5887">
        <w:rPr>
          <w:rFonts w:ascii="Arial" w:hAnsi="Arial" w:cs="Arial"/>
          <w:i/>
          <w:iCs/>
          <w:color w:val="auto"/>
          <w:sz w:val="20"/>
          <w:szCs w:val="17"/>
          <w:lang w:val="en-GB"/>
        </w:rPr>
        <w:t>and stocks of financial assets including other accounts receivable/payable with </w:t>
      </w:r>
      <w:r w:rsidRPr="00CB5887">
        <w:rPr>
          <w:rFonts w:ascii="Arial" w:hAnsi="Arial" w:cs="Arial"/>
          <w:b/>
          <w:bCs/>
          <w:i/>
          <w:iCs/>
          <w:color w:val="auto"/>
          <w:sz w:val="20"/>
          <w:szCs w:val="17"/>
          <w:lang w:val="en-GB"/>
        </w:rPr>
        <w:t>AF</w:t>
      </w:r>
      <w:r w:rsidR="00C5421C">
        <w:rPr>
          <w:rFonts w:ascii="Arial" w:hAnsi="Arial" w:cs="Arial"/>
          <w:b/>
          <w:bCs/>
          <w:i/>
          <w:iCs/>
          <w:color w:val="auto"/>
          <w:sz w:val="20"/>
          <w:szCs w:val="17"/>
          <w:lang w:val="en-GB"/>
        </w:rPr>
        <w:t xml:space="preserve"> </w:t>
      </w:r>
      <w:r w:rsidR="00176CDE" w:rsidRPr="00176CDE">
        <w:rPr>
          <w:rFonts w:ascii="Arial" w:hAnsi="Arial" w:cs="Arial"/>
          <w:bCs/>
          <w:i/>
          <w:iCs/>
          <w:color w:val="auto"/>
          <w:sz w:val="20"/>
          <w:szCs w:val="17"/>
          <w:lang w:val="en-GB"/>
        </w:rPr>
        <w:t>codes</w:t>
      </w:r>
      <w:r w:rsidR="009424AB">
        <w:rPr>
          <w:rFonts w:ascii="Arial" w:hAnsi="Arial" w:cs="Arial"/>
          <w:i/>
          <w:iCs/>
          <w:color w:val="auto"/>
          <w:sz w:val="20"/>
          <w:szCs w:val="17"/>
          <w:lang w:val="en-GB"/>
        </w:rPr>
        <w:t>.</w:t>
      </w:r>
      <w:r w:rsidRPr="00CB5887">
        <w:rPr>
          <w:rFonts w:ascii="Arial" w:hAnsi="Arial" w:cs="Arial"/>
          <w:i/>
          <w:iCs/>
          <w:color w:val="auto"/>
          <w:sz w:val="20"/>
          <w:szCs w:val="17"/>
          <w:lang w:val="en-GB"/>
        </w:rPr>
        <w:t xml:space="preserve"> </w:t>
      </w:r>
      <w:r w:rsidR="004330D8">
        <w:rPr>
          <w:rFonts w:ascii="Arial" w:hAnsi="Arial" w:cs="Arial"/>
          <w:i/>
          <w:iCs/>
          <w:color w:val="auto"/>
          <w:sz w:val="20"/>
          <w:szCs w:val="17"/>
          <w:lang w:val="en-GB"/>
        </w:rPr>
        <w:t>A </w:t>
      </w:r>
      <w:r w:rsidR="00F40F19">
        <w:rPr>
          <w:rFonts w:ascii="Arial" w:hAnsi="Arial" w:cs="Arial"/>
          <w:i/>
          <w:iCs/>
          <w:color w:val="auto"/>
          <w:sz w:val="20"/>
          <w:szCs w:val="17"/>
          <w:lang w:val="en-GB"/>
        </w:rPr>
        <w:t xml:space="preserve">more detailed </w:t>
      </w:r>
      <w:r w:rsidR="00AD3B34">
        <w:rPr>
          <w:rFonts w:ascii="Arial" w:hAnsi="Arial" w:cs="Arial"/>
          <w:i/>
          <w:iCs/>
          <w:color w:val="auto"/>
          <w:sz w:val="20"/>
          <w:szCs w:val="17"/>
          <w:lang w:val="en-GB"/>
        </w:rPr>
        <w:t>breakdown</w:t>
      </w:r>
      <w:r w:rsidR="00F40F19">
        <w:rPr>
          <w:rFonts w:ascii="Arial" w:hAnsi="Arial" w:cs="Arial"/>
          <w:i/>
          <w:iCs/>
          <w:color w:val="auto"/>
          <w:sz w:val="20"/>
          <w:szCs w:val="17"/>
          <w:lang w:val="en-GB"/>
        </w:rPr>
        <w:t xml:space="preserve"> of the</w:t>
      </w:r>
      <w:r w:rsidR="004330D8">
        <w:rPr>
          <w:rFonts w:ascii="Arial" w:hAnsi="Arial" w:cs="Arial"/>
          <w:i/>
          <w:iCs/>
          <w:color w:val="auto"/>
          <w:sz w:val="20"/>
          <w:szCs w:val="17"/>
          <w:lang w:val="en-GB"/>
        </w:rPr>
        <w:t> </w:t>
      </w:r>
      <w:r w:rsidR="00F40F19">
        <w:rPr>
          <w:rFonts w:ascii="Arial" w:hAnsi="Arial" w:cs="Arial"/>
          <w:i/>
          <w:iCs/>
          <w:color w:val="auto"/>
          <w:sz w:val="20"/>
          <w:szCs w:val="17"/>
          <w:lang w:val="en-GB"/>
        </w:rPr>
        <w:t xml:space="preserve">standard national accounts items is supplemented by </w:t>
      </w:r>
      <w:r w:rsidR="004E6899">
        <w:rPr>
          <w:rFonts w:ascii="Arial" w:hAnsi="Arial" w:cs="Arial"/>
          <w:i/>
          <w:iCs/>
          <w:color w:val="auto"/>
          <w:sz w:val="20"/>
          <w:szCs w:val="17"/>
          <w:lang w:val="en-GB"/>
        </w:rPr>
        <w:t xml:space="preserve">an </w:t>
      </w:r>
      <w:r w:rsidR="00F40F19">
        <w:rPr>
          <w:rFonts w:ascii="Arial" w:hAnsi="Arial" w:cs="Arial"/>
          <w:i/>
          <w:iCs/>
          <w:color w:val="auto"/>
          <w:sz w:val="20"/>
          <w:szCs w:val="17"/>
          <w:lang w:val="en-GB"/>
        </w:rPr>
        <w:t>X</w:t>
      </w:r>
      <w:r w:rsidR="003D490B">
        <w:rPr>
          <w:rFonts w:ascii="Arial" w:hAnsi="Arial" w:cs="Arial"/>
          <w:i/>
          <w:iCs/>
          <w:color w:val="auto"/>
          <w:sz w:val="20"/>
          <w:szCs w:val="17"/>
          <w:lang w:val="en-GB"/>
        </w:rPr>
        <w:t xml:space="preserve"> code</w:t>
      </w:r>
      <w:r w:rsidR="00F40F19">
        <w:rPr>
          <w:rFonts w:ascii="Arial" w:hAnsi="Arial" w:cs="Arial"/>
          <w:i/>
          <w:iCs/>
          <w:color w:val="auto"/>
          <w:sz w:val="20"/>
          <w:szCs w:val="17"/>
          <w:lang w:val="en-GB"/>
        </w:rPr>
        <w:t>, e.g.</w:t>
      </w:r>
      <w:r w:rsidR="004330D8">
        <w:rPr>
          <w:rFonts w:ascii="Arial" w:hAnsi="Arial" w:cs="Arial"/>
          <w:i/>
          <w:iCs/>
          <w:color w:val="auto"/>
          <w:sz w:val="20"/>
          <w:szCs w:val="17"/>
          <w:lang w:val="en-GB"/>
        </w:rPr>
        <w:t> </w:t>
      </w:r>
      <w:r w:rsidR="00F40F19">
        <w:rPr>
          <w:rFonts w:ascii="Arial" w:hAnsi="Arial" w:cs="Arial"/>
          <w:i/>
          <w:iCs/>
          <w:color w:val="auto"/>
          <w:sz w:val="20"/>
          <w:szCs w:val="17"/>
          <w:lang w:val="en-GB"/>
        </w:rPr>
        <w:t>XAF.</w:t>
      </w:r>
    </w:p>
    <w:p w:rsidR="00413987" w:rsidRPr="00BA496A" w:rsidRDefault="008B5BF2">
      <w:pPr>
        <w:pStyle w:val="Normlnweb"/>
        <w:spacing w:before="120" w:beforeAutospacing="0" w:after="0" w:afterAutospacing="0"/>
        <w:ind w:firstLine="708"/>
        <w:jc w:val="both"/>
        <w:rPr>
          <w:rFonts w:ascii="Arial" w:hAnsi="Arial" w:cs="Arial"/>
          <w:i/>
          <w:iCs/>
          <w:color w:val="auto"/>
          <w:sz w:val="20"/>
          <w:szCs w:val="17"/>
          <w:lang w:val="en-GB"/>
        </w:rPr>
      </w:pPr>
      <w:r w:rsidRPr="00BA496A">
        <w:rPr>
          <w:rFonts w:ascii="Arial" w:hAnsi="Arial" w:cs="Arial"/>
          <w:i/>
          <w:iCs/>
          <w:color w:val="auto"/>
          <w:sz w:val="20"/>
          <w:szCs w:val="17"/>
          <w:lang w:val="en-GB"/>
        </w:rPr>
        <w:t>The</w:t>
      </w:r>
      <w:r w:rsidR="004330D8" w:rsidRPr="00BA496A">
        <w:rPr>
          <w:rFonts w:ascii="Arial" w:hAnsi="Arial" w:cs="Arial"/>
          <w:i/>
          <w:iCs/>
          <w:color w:val="auto"/>
          <w:sz w:val="20"/>
          <w:szCs w:val="17"/>
          <w:lang w:val="en-GB"/>
        </w:rPr>
        <w:t> ESA </w:t>
      </w:r>
      <w:r w:rsidR="006006AC" w:rsidRPr="00BA496A">
        <w:rPr>
          <w:rFonts w:ascii="Arial" w:hAnsi="Arial" w:cs="Arial"/>
          <w:i/>
          <w:iCs/>
          <w:color w:val="auto"/>
          <w:sz w:val="20"/>
          <w:szCs w:val="17"/>
          <w:lang w:val="en-GB"/>
        </w:rPr>
        <w:t>2010 cover</w:t>
      </w:r>
      <w:r w:rsidR="00DB00F0" w:rsidRPr="00BA496A">
        <w:rPr>
          <w:rFonts w:ascii="Arial" w:hAnsi="Arial" w:cs="Arial"/>
          <w:i/>
          <w:iCs/>
          <w:color w:val="auto"/>
          <w:sz w:val="20"/>
          <w:szCs w:val="17"/>
          <w:lang w:val="en-GB"/>
        </w:rPr>
        <w:t>s</w:t>
      </w:r>
      <w:r w:rsidR="006006AC" w:rsidRPr="00BA496A">
        <w:rPr>
          <w:rFonts w:ascii="Arial" w:hAnsi="Arial" w:cs="Arial"/>
          <w:i/>
          <w:iCs/>
          <w:color w:val="auto"/>
          <w:sz w:val="20"/>
          <w:szCs w:val="17"/>
          <w:lang w:val="en-GB"/>
        </w:rPr>
        <w:t xml:space="preserve"> also functional classifications: COFOG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w:t>
      </w:r>
      <w:r w:rsidR="004330D8" w:rsidRPr="00BA496A">
        <w:rPr>
          <w:rFonts w:ascii="Arial" w:hAnsi="Arial" w:cs="Arial"/>
          <w:i/>
          <w:iCs/>
          <w:color w:val="auto"/>
          <w:sz w:val="20"/>
          <w:szCs w:val="17"/>
          <w:lang w:val="en-GB"/>
        </w:rPr>
        <w:t>of the </w:t>
      </w:r>
      <w:r w:rsidR="00DB00F0" w:rsidRPr="00BA496A">
        <w:rPr>
          <w:rFonts w:ascii="Arial" w:hAnsi="Arial" w:cs="Arial"/>
          <w:i/>
          <w:iCs/>
          <w:color w:val="auto"/>
          <w:sz w:val="20"/>
          <w:szCs w:val="17"/>
          <w:lang w:val="en-GB"/>
        </w:rPr>
        <w:t>Functions</w:t>
      </w:r>
      <w:r w:rsidR="006006AC" w:rsidRPr="00BA496A">
        <w:rPr>
          <w:rFonts w:ascii="Arial" w:hAnsi="Arial" w:cs="Arial"/>
          <w:i/>
          <w:iCs/>
          <w:color w:val="auto"/>
          <w:sz w:val="20"/>
          <w:szCs w:val="17"/>
          <w:lang w:val="en-GB"/>
        </w:rPr>
        <w:t xml:space="preserve"> of </w:t>
      </w:r>
      <w:r w:rsidR="00DB00F0" w:rsidRPr="00BA496A">
        <w:rPr>
          <w:rFonts w:ascii="Arial" w:hAnsi="Arial" w:cs="Arial"/>
          <w:i/>
          <w:iCs/>
          <w:color w:val="auto"/>
          <w:sz w:val="20"/>
          <w:szCs w:val="17"/>
          <w:lang w:val="en-GB"/>
        </w:rPr>
        <w:t>G</w:t>
      </w:r>
      <w:r w:rsidR="006006AC" w:rsidRPr="00BA496A">
        <w:rPr>
          <w:rFonts w:ascii="Arial" w:hAnsi="Arial" w:cs="Arial"/>
          <w:i/>
          <w:iCs/>
          <w:color w:val="auto"/>
          <w:sz w:val="20"/>
          <w:szCs w:val="17"/>
          <w:lang w:val="en-GB"/>
        </w:rPr>
        <w:t>overnment), COPNI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of </w:t>
      </w:r>
      <w:r w:rsidR="004330D8" w:rsidRPr="00BA496A">
        <w:rPr>
          <w:rFonts w:ascii="Arial" w:hAnsi="Arial" w:cs="Arial"/>
          <w:i/>
          <w:iCs/>
          <w:color w:val="auto"/>
          <w:sz w:val="20"/>
          <w:szCs w:val="17"/>
          <w:lang w:val="en-GB"/>
        </w:rPr>
        <w:t>the </w:t>
      </w:r>
      <w:r w:rsidR="00DB00F0" w:rsidRPr="00BA496A">
        <w:rPr>
          <w:rFonts w:ascii="Arial" w:hAnsi="Arial" w:cs="Arial"/>
          <w:i/>
          <w:iCs/>
          <w:color w:val="auto"/>
          <w:sz w:val="20"/>
          <w:szCs w:val="17"/>
          <w:lang w:val="en-GB"/>
        </w:rPr>
        <w:t>Purposes</w:t>
      </w:r>
      <w:r w:rsidR="006006AC" w:rsidRPr="00BA496A">
        <w:rPr>
          <w:rFonts w:ascii="Arial" w:hAnsi="Arial" w:cs="Arial"/>
          <w:i/>
          <w:iCs/>
          <w:color w:val="auto"/>
          <w:sz w:val="20"/>
          <w:szCs w:val="17"/>
          <w:lang w:val="en-GB"/>
        </w:rPr>
        <w:t xml:space="preserve"> of </w:t>
      </w:r>
      <w:r w:rsidR="00DB00F0" w:rsidRPr="00BA496A">
        <w:rPr>
          <w:rFonts w:ascii="Arial" w:hAnsi="Arial" w:cs="Arial"/>
          <w:i/>
          <w:iCs/>
          <w:color w:val="auto"/>
          <w:sz w:val="20"/>
          <w:szCs w:val="17"/>
          <w:lang w:val="en-GB"/>
        </w:rPr>
        <w:t>N</w:t>
      </w:r>
      <w:r w:rsidR="006006AC" w:rsidRPr="00BA496A">
        <w:rPr>
          <w:rFonts w:ascii="Arial" w:hAnsi="Arial" w:cs="Arial"/>
          <w:i/>
          <w:iCs/>
          <w:color w:val="auto"/>
          <w:sz w:val="20"/>
          <w:szCs w:val="17"/>
          <w:lang w:val="en-GB"/>
        </w:rPr>
        <w:t>on-</w:t>
      </w:r>
      <w:r w:rsidR="00DB00F0" w:rsidRPr="00BA496A">
        <w:rPr>
          <w:rFonts w:ascii="Arial" w:hAnsi="Arial" w:cs="Arial"/>
          <w:i/>
          <w:iCs/>
          <w:color w:val="auto"/>
          <w:sz w:val="20"/>
          <w:szCs w:val="17"/>
          <w:lang w:val="en-GB"/>
        </w:rPr>
        <w:t>P</w:t>
      </w:r>
      <w:r w:rsidR="006006AC" w:rsidRPr="00BA496A">
        <w:rPr>
          <w:rFonts w:ascii="Arial" w:hAnsi="Arial" w:cs="Arial"/>
          <w:i/>
          <w:iCs/>
          <w:color w:val="auto"/>
          <w:sz w:val="20"/>
          <w:szCs w:val="17"/>
          <w:lang w:val="en-GB"/>
        </w:rPr>
        <w:t xml:space="preserve">rofit </w:t>
      </w:r>
      <w:r w:rsidR="00DB00F0" w:rsidRPr="00BA496A">
        <w:rPr>
          <w:rFonts w:ascii="Arial" w:hAnsi="Arial" w:cs="Arial"/>
          <w:i/>
          <w:iCs/>
          <w:color w:val="auto"/>
          <w:sz w:val="20"/>
          <w:szCs w:val="17"/>
          <w:lang w:val="en-GB"/>
        </w:rPr>
        <w:t>I</w:t>
      </w:r>
      <w:r w:rsidR="006006AC" w:rsidRPr="00BA496A">
        <w:rPr>
          <w:rFonts w:ascii="Arial" w:hAnsi="Arial" w:cs="Arial"/>
          <w:i/>
          <w:iCs/>
          <w:color w:val="auto"/>
          <w:sz w:val="20"/>
          <w:szCs w:val="17"/>
          <w:lang w:val="en-GB"/>
        </w:rPr>
        <w:t xml:space="preserve">nstitutions </w:t>
      </w:r>
      <w:r w:rsidR="00ED75B8" w:rsidRPr="00BA496A">
        <w:rPr>
          <w:rFonts w:ascii="Arial" w:hAnsi="Arial" w:cs="Arial"/>
          <w:i/>
          <w:iCs/>
          <w:color w:val="auto"/>
          <w:sz w:val="20"/>
          <w:szCs w:val="17"/>
          <w:lang w:val="en-GB"/>
        </w:rPr>
        <w:t>S</w:t>
      </w:r>
      <w:r w:rsidR="006006AC" w:rsidRPr="00BA496A">
        <w:rPr>
          <w:rFonts w:ascii="Arial" w:hAnsi="Arial" w:cs="Arial"/>
          <w:i/>
          <w:iCs/>
          <w:color w:val="auto"/>
          <w:sz w:val="20"/>
          <w:szCs w:val="17"/>
          <w:lang w:val="en-GB"/>
        </w:rPr>
        <w:t xml:space="preserve">erving </w:t>
      </w:r>
      <w:r w:rsidR="00DB00F0" w:rsidRPr="00BA496A">
        <w:rPr>
          <w:rFonts w:ascii="Arial" w:hAnsi="Arial" w:cs="Arial"/>
          <w:i/>
          <w:iCs/>
          <w:color w:val="auto"/>
          <w:sz w:val="20"/>
          <w:szCs w:val="17"/>
          <w:lang w:val="en-GB"/>
        </w:rPr>
        <w:t>H</w:t>
      </w:r>
      <w:r w:rsidR="006006AC" w:rsidRPr="00BA496A">
        <w:rPr>
          <w:rFonts w:ascii="Arial" w:hAnsi="Arial" w:cs="Arial"/>
          <w:i/>
          <w:iCs/>
          <w:color w:val="auto"/>
          <w:sz w:val="20"/>
          <w:szCs w:val="17"/>
          <w:lang w:val="en-GB"/>
        </w:rPr>
        <w:t>ouseholds), COICOP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lassification of </w:t>
      </w:r>
      <w:r w:rsidR="00DB00F0" w:rsidRPr="00BA496A">
        <w:rPr>
          <w:rFonts w:ascii="Arial" w:hAnsi="Arial" w:cs="Arial"/>
          <w:i/>
          <w:iCs/>
          <w:color w:val="auto"/>
          <w:sz w:val="20"/>
          <w:szCs w:val="17"/>
          <w:lang w:val="en-GB"/>
        </w:rPr>
        <w:t>I</w:t>
      </w:r>
      <w:r w:rsidR="006006AC" w:rsidRPr="00BA496A">
        <w:rPr>
          <w:rFonts w:ascii="Arial" w:hAnsi="Arial" w:cs="Arial"/>
          <w:i/>
          <w:iCs/>
          <w:color w:val="auto"/>
          <w:sz w:val="20"/>
          <w:szCs w:val="17"/>
          <w:lang w:val="en-GB"/>
        </w:rPr>
        <w:t xml:space="preserve">ndividual </w:t>
      </w:r>
      <w:r w:rsidR="00DB00F0" w:rsidRPr="00BA496A">
        <w:rPr>
          <w:rFonts w:ascii="Arial" w:hAnsi="Arial" w:cs="Arial"/>
          <w:i/>
          <w:iCs/>
          <w:color w:val="auto"/>
          <w:sz w:val="20"/>
          <w:szCs w:val="17"/>
          <w:lang w:val="en-GB"/>
        </w:rPr>
        <w:t>C</w:t>
      </w:r>
      <w:r w:rsidR="006006AC" w:rsidRPr="00BA496A">
        <w:rPr>
          <w:rFonts w:ascii="Arial" w:hAnsi="Arial" w:cs="Arial"/>
          <w:i/>
          <w:iCs/>
          <w:color w:val="auto"/>
          <w:sz w:val="20"/>
          <w:szCs w:val="17"/>
          <w:lang w:val="en-GB"/>
        </w:rPr>
        <w:t xml:space="preserve">onsumption </w:t>
      </w:r>
      <w:r w:rsidR="00DB00F0" w:rsidRPr="00BA496A">
        <w:rPr>
          <w:rFonts w:ascii="Arial" w:hAnsi="Arial" w:cs="Arial"/>
          <w:i/>
          <w:iCs/>
          <w:color w:val="auto"/>
          <w:sz w:val="20"/>
          <w:szCs w:val="17"/>
          <w:lang w:val="en-GB"/>
        </w:rPr>
        <w:t>A</w:t>
      </w:r>
      <w:r w:rsidR="006006AC" w:rsidRPr="00BA496A">
        <w:rPr>
          <w:rFonts w:ascii="Arial" w:hAnsi="Arial" w:cs="Arial"/>
          <w:i/>
          <w:iCs/>
          <w:color w:val="auto"/>
          <w:sz w:val="20"/>
          <w:szCs w:val="17"/>
          <w:lang w:val="en-GB"/>
        </w:rPr>
        <w:t xml:space="preserve">ccording to </w:t>
      </w:r>
      <w:r w:rsidR="00DB00F0" w:rsidRPr="00BA496A">
        <w:rPr>
          <w:rFonts w:ascii="Arial" w:hAnsi="Arial" w:cs="Arial"/>
          <w:i/>
          <w:iCs/>
          <w:color w:val="auto"/>
          <w:sz w:val="20"/>
          <w:szCs w:val="17"/>
          <w:lang w:val="en-GB"/>
        </w:rPr>
        <w:t>P</w:t>
      </w:r>
      <w:r w:rsidR="006006AC" w:rsidRPr="00BA496A">
        <w:rPr>
          <w:rFonts w:ascii="Arial" w:hAnsi="Arial" w:cs="Arial"/>
          <w:i/>
          <w:iCs/>
          <w:color w:val="auto"/>
          <w:sz w:val="20"/>
          <w:szCs w:val="17"/>
          <w:lang w:val="en-GB"/>
        </w:rPr>
        <w:t>urpose),</w:t>
      </w:r>
      <w:r w:rsidR="00DB00F0" w:rsidRPr="00BA496A">
        <w:rPr>
          <w:rFonts w:ascii="Arial" w:hAnsi="Arial" w:cs="Arial"/>
          <w:i/>
          <w:iCs/>
          <w:color w:val="auto"/>
          <w:sz w:val="20"/>
          <w:szCs w:val="17"/>
          <w:lang w:val="en-GB"/>
        </w:rPr>
        <w:t xml:space="preserve"> the</w:t>
      </w:r>
      <w:r w:rsidR="004330D8" w:rsidRPr="00BA496A">
        <w:rPr>
          <w:rFonts w:ascii="Arial" w:hAnsi="Arial" w:cs="Arial"/>
          <w:i/>
          <w:iCs/>
          <w:color w:val="auto"/>
          <w:sz w:val="20"/>
          <w:szCs w:val="17"/>
          <w:lang w:val="en-GB"/>
        </w:rPr>
        <w:t> NACE Rev. </w:t>
      </w:r>
      <w:r w:rsidR="006006AC" w:rsidRPr="00BA496A">
        <w:rPr>
          <w:rFonts w:ascii="Arial" w:hAnsi="Arial" w:cs="Arial"/>
          <w:i/>
          <w:iCs/>
          <w:color w:val="auto"/>
          <w:sz w:val="20"/>
          <w:szCs w:val="17"/>
          <w:lang w:val="en-GB"/>
        </w:rPr>
        <w:t>2 for economic activities</w:t>
      </w:r>
      <w:r w:rsidR="00DB00F0" w:rsidRPr="00BA496A">
        <w:rPr>
          <w:rFonts w:ascii="Arial" w:hAnsi="Arial" w:cs="Arial"/>
          <w:i/>
          <w:iCs/>
          <w:color w:val="auto"/>
          <w:sz w:val="20"/>
          <w:szCs w:val="17"/>
          <w:lang w:val="en-GB"/>
        </w:rPr>
        <w:t>,</w:t>
      </w:r>
      <w:r w:rsidR="006006AC" w:rsidRPr="00BA496A">
        <w:rPr>
          <w:rFonts w:ascii="Arial" w:hAnsi="Arial" w:cs="Arial"/>
          <w:i/>
          <w:iCs/>
          <w:color w:val="auto"/>
          <w:sz w:val="20"/>
          <w:szCs w:val="17"/>
          <w:lang w:val="en-GB"/>
        </w:rPr>
        <w:t xml:space="preserve"> and </w:t>
      </w:r>
      <w:r w:rsidR="00DB00F0" w:rsidRPr="00BA496A">
        <w:rPr>
          <w:rFonts w:ascii="Arial" w:hAnsi="Arial" w:cs="Arial"/>
          <w:i/>
          <w:iCs/>
          <w:color w:val="auto"/>
          <w:sz w:val="20"/>
          <w:szCs w:val="17"/>
          <w:lang w:val="en-GB"/>
        </w:rPr>
        <w:t>the</w:t>
      </w:r>
      <w:r w:rsidR="004330D8" w:rsidRPr="00BA496A">
        <w:rPr>
          <w:rFonts w:ascii="Arial" w:hAnsi="Arial" w:cs="Arial"/>
          <w:i/>
          <w:iCs/>
          <w:color w:val="auto"/>
          <w:sz w:val="20"/>
          <w:szCs w:val="17"/>
          <w:lang w:val="en-GB"/>
        </w:rPr>
        <w:t> </w:t>
      </w:r>
      <w:r w:rsidR="006006AC" w:rsidRPr="00BA496A">
        <w:rPr>
          <w:rFonts w:ascii="Arial" w:hAnsi="Arial" w:cs="Arial"/>
          <w:i/>
          <w:iCs/>
          <w:color w:val="auto"/>
          <w:sz w:val="20"/>
          <w:szCs w:val="17"/>
          <w:lang w:val="en-GB"/>
        </w:rPr>
        <w:t>CPA</w:t>
      </w:r>
      <w:r w:rsidR="007764D3">
        <w:rPr>
          <w:rFonts w:ascii="Arial" w:hAnsi="Arial" w:cs="Arial"/>
          <w:i/>
          <w:iCs/>
          <w:color w:val="auto"/>
          <w:sz w:val="20"/>
          <w:szCs w:val="17"/>
          <w:lang w:val="en-GB"/>
        </w:rPr>
        <w:t xml:space="preserve"> 2008</w:t>
      </w:r>
      <w:r w:rsidR="006006AC" w:rsidRPr="00BA496A">
        <w:rPr>
          <w:rFonts w:ascii="Arial" w:hAnsi="Arial" w:cs="Arial"/>
          <w:i/>
          <w:iCs/>
          <w:color w:val="auto"/>
          <w:sz w:val="20"/>
          <w:szCs w:val="17"/>
          <w:lang w:val="en-GB"/>
        </w:rPr>
        <w:t xml:space="preserve"> </w:t>
      </w:r>
      <w:r w:rsidR="008D71F3">
        <w:rPr>
          <w:rFonts w:ascii="Arial" w:hAnsi="Arial" w:cs="Arial"/>
          <w:i/>
          <w:iCs/>
          <w:color w:val="auto"/>
          <w:sz w:val="20"/>
          <w:szCs w:val="17"/>
          <w:lang w:val="en-GB"/>
        </w:rPr>
        <w:t>(Classification of</w:t>
      </w:r>
      <w:r w:rsidR="006006AC" w:rsidRPr="00BA496A">
        <w:rPr>
          <w:rFonts w:ascii="Arial" w:hAnsi="Arial" w:cs="Arial"/>
          <w:i/>
          <w:iCs/>
          <w:color w:val="auto"/>
          <w:sz w:val="20"/>
          <w:szCs w:val="17"/>
          <w:lang w:val="en-GB"/>
        </w:rPr>
        <w:t xml:space="preserve"> </w:t>
      </w:r>
      <w:r w:rsidR="008D71F3">
        <w:rPr>
          <w:rFonts w:ascii="Arial" w:hAnsi="Arial" w:cs="Arial"/>
          <w:i/>
          <w:iCs/>
          <w:color w:val="auto"/>
          <w:sz w:val="20"/>
          <w:szCs w:val="17"/>
          <w:lang w:val="en-GB"/>
        </w:rPr>
        <w:t>P</w:t>
      </w:r>
      <w:r w:rsidR="006006AC" w:rsidRPr="00BA496A">
        <w:rPr>
          <w:rFonts w:ascii="Arial" w:hAnsi="Arial" w:cs="Arial"/>
          <w:i/>
          <w:iCs/>
          <w:color w:val="auto"/>
          <w:sz w:val="20"/>
          <w:szCs w:val="17"/>
          <w:lang w:val="en-GB"/>
        </w:rPr>
        <w:t xml:space="preserve">roducts </w:t>
      </w:r>
      <w:r w:rsidR="00DB00F0" w:rsidRPr="00BA496A">
        <w:rPr>
          <w:rFonts w:ascii="Arial" w:hAnsi="Arial" w:cs="Arial"/>
          <w:i/>
          <w:iCs/>
          <w:color w:val="auto"/>
          <w:sz w:val="20"/>
          <w:szCs w:val="17"/>
          <w:lang w:val="en-GB"/>
        </w:rPr>
        <w:t>by</w:t>
      </w:r>
      <w:r w:rsidR="006006AC" w:rsidRPr="00BA496A">
        <w:rPr>
          <w:rFonts w:ascii="Arial" w:hAnsi="Arial" w:cs="Arial"/>
          <w:i/>
          <w:iCs/>
          <w:color w:val="auto"/>
          <w:sz w:val="20"/>
          <w:szCs w:val="17"/>
          <w:lang w:val="en-GB"/>
        </w:rPr>
        <w:t xml:space="preserve"> </w:t>
      </w:r>
      <w:r w:rsidR="008D71F3">
        <w:rPr>
          <w:rFonts w:ascii="Arial" w:hAnsi="Arial" w:cs="Arial"/>
          <w:i/>
          <w:iCs/>
          <w:color w:val="auto"/>
          <w:sz w:val="20"/>
          <w:szCs w:val="17"/>
          <w:lang w:val="en-GB"/>
        </w:rPr>
        <w:t>A</w:t>
      </w:r>
      <w:r w:rsidR="006006AC" w:rsidRPr="00BA496A">
        <w:rPr>
          <w:rFonts w:ascii="Arial" w:hAnsi="Arial" w:cs="Arial"/>
          <w:i/>
          <w:iCs/>
          <w:color w:val="auto"/>
          <w:sz w:val="20"/>
          <w:szCs w:val="17"/>
          <w:lang w:val="en-GB"/>
        </w:rPr>
        <w:t>ctivit</w:t>
      </w:r>
      <w:r w:rsidR="00DB00F0" w:rsidRPr="00BA496A">
        <w:rPr>
          <w:rFonts w:ascii="Arial" w:hAnsi="Arial" w:cs="Arial"/>
          <w:i/>
          <w:iCs/>
          <w:color w:val="auto"/>
          <w:sz w:val="20"/>
          <w:szCs w:val="17"/>
          <w:lang w:val="en-GB"/>
        </w:rPr>
        <w:t>y</w:t>
      </w:r>
      <w:r w:rsidR="008D71F3">
        <w:rPr>
          <w:rFonts w:ascii="Arial" w:hAnsi="Arial" w:cs="Arial"/>
          <w:i/>
          <w:iCs/>
          <w:color w:val="auto"/>
          <w:sz w:val="20"/>
          <w:szCs w:val="17"/>
          <w:lang w:val="en-GB"/>
        </w:rPr>
        <w:t>)</w:t>
      </w:r>
      <w:r w:rsidR="006006AC" w:rsidRPr="00BA496A">
        <w:rPr>
          <w:rFonts w:ascii="Arial" w:hAnsi="Arial" w:cs="Arial"/>
          <w:i/>
          <w:iCs/>
          <w:color w:val="auto"/>
          <w:sz w:val="20"/>
          <w:szCs w:val="17"/>
          <w:lang w:val="en-GB"/>
        </w:rPr>
        <w:t>.</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Output (P.1)</w:t>
      </w:r>
      <w:r w:rsidRPr="00CB5887">
        <w:rPr>
          <w:rFonts w:ascii="Arial" w:hAnsi="Arial" w:cs="Arial"/>
          <w:i/>
          <w:iCs/>
          <w:color w:val="auto"/>
          <w:sz w:val="20"/>
          <w:szCs w:val="17"/>
          <w:lang w:val="en-GB"/>
        </w:rPr>
        <w:t xml:space="preserve"> is the value of market and non-market goods and services produced by resident units on the territory of the Czech Republic in a given period. It is composed of: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market output (P.11)</w:t>
      </w:r>
      <w:r w:rsidRPr="00CB5887">
        <w:rPr>
          <w:rFonts w:ascii="Arial" w:hAnsi="Arial" w:cs="Arial"/>
          <w:i/>
          <w:iCs/>
          <w:color w:val="auto"/>
          <w:sz w:val="20"/>
          <w:szCs w:val="17"/>
          <w:lang w:val="en-GB"/>
        </w:rPr>
        <w:t>, which includes, above all, sales of goods and services of own production, trade margin</w:t>
      </w:r>
      <w:r w:rsidR="007E2593">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changes in inventories of work in progress and goods;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output for own final use (P.12)</w:t>
      </w:r>
      <w:r w:rsidRPr="00CB5887">
        <w:rPr>
          <w:rFonts w:ascii="Arial" w:hAnsi="Arial" w:cs="Arial"/>
          <w:i/>
          <w:iCs/>
          <w:color w:val="auto"/>
          <w:sz w:val="20"/>
          <w:szCs w:val="17"/>
          <w:lang w:val="en-GB"/>
        </w:rPr>
        <w:t xml:space="preserve"> – i.e. non-market output that is retained</w:t>
      </w:r>
      <w:r w:rsidR="005A6C1D">
        <w:rPr>
          <w:rFonts w:ascii="Arial" w:hAnsi="Arial" w:cs="Arial"/>
          <w:i/>
          <w:iCs/>
          <w:color w:val="auto"/>
          <w:sz w:val="20"/>
          <w:szCs w:val="17"/>
          <w:lang w:val="en-GB"/>
        </w:rPr>
        <w:t xml:space="preserve"> by a</w:t>
      </w:r>
      <w:r w:rsidR="004330D8">
        <w:rPr>
          <w:rFonts w:ascii="Arial" w:hAnsi="Arial" w:cs="Arial"/>
          <w:i/>
          <w:iCs/>
          <w:color w:val="auto"/>
          <w:sz w:val="20"/>
          <w:szCs w:val="17"/>
          <w:lang w:val="en-GB"/>
        </w:rPr>
        <w:t> </w:t>
      </w:r>
      <w:r w:rsidR="005A6C1D">
        <w:rPr>
          <w:rFonts w:ascii="Arial" w:hAnsi="Arial" w:cs="Arial"/>
          <w:i/>
          <w:iCs/>
          <w:color w:val="auto"/>
          <w:sz w:val="20"/>
          <w:szCs w:val="17"/>
          <w:lang w:val="en-GB"/>
        </w:rPr>
        <w:t>unit</w:t>
      </w:r>
      <w:r w:rsidRPr="00CB5887">
        <w:rPr>
          <w:rFonts w:ascii="Arial" w:hAnsi="Arial" w:cs="Arial"/>
          <w:i/>
          <w:iCs/>
          <w:color w:val="auto"/>
          <w:sz w:val="20"/>
          <w:szCs w:val="17"/>
          <w:lang w:val="en-GB"/>
        </w:rPr>
        <w:t xml:space="preserve"> either for </w:t>
      </w:r>
      <w:r w:rsidR="005A6C1D">
        <w:rPr>
          <w:rFonts w:ascii="Arial" w:hAnsi="Arial" w:cs="Arial"/>
          <w:i/>
          <w:iCs/>
          <w:color w:val="auto"/>
          <w:sz w:val="20"/>
          <w:szCs w:val="17"/>
          <w:lang w:val="en-GB"/>
        </w:rPr>
        <w:t xml:space="preserve">its </w:t>
      </w:r>
      <w:r w:rsidRPr="00CB5887">
        <w:rPr>
          <w:rFonts w:ascii="Arial" w:hAnsi="Arial" w:cs="Arial"/>
          <w:i/>
          <w:iCs/>
          <w:color w:val="auto"/>
          <w:sz w:val="20"/>
          <w:szCs w:val="17"/>
          <w:lang w:val="en-GB"/>
        </w:rPr>
        <w:t>capital formation or for</w:t>
      </w:r>
      <w:r w:rsidR="005A6C1D">
        <w:rPr>
          <w:rFonts w:ascii="Arial" w:hAnsi="Arial" w:cs="Arial"/>
          <w:i/>
          <w:iCs/>
          <w:color w:val="auto"/>
          <w:sz w:val="20"/>
          <w:szCs w:val="17"/>
          <w:lang w:val="en-GB"/>
        </w:rPr>
        <w:t xml:space="preserve"> its</w:t>
      </w:r>
      <w:r w:rsidRPr="00CB5887">
        <w:rPr>
          <w:rFonts w:ascii="Arial" w:hAnsi="Arial" w:cs="Arial"/>
          <w:i/>
          <w:iCs/>
          <w:color w:val="auto"/>
          <w:sz w:val="20"/>
          <w:szCs w:val="17"/>
          <w:lang w:val="en-GB"/>
        </w:rPr>
        <w:t xml:space="preserve"> own final consumption. It includes especially the capitalization of goods and services, agricultural output of households for own consumption, individual housing construction of households, and imputed rental of households living in own houses and dwellings;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non-market output (P.13)</w:t>
      </w:r>
      <w:r w:rsidRPr="00CB5887">
        <w:rPr>
          <w:rFonts w:ascii="Arial" w:hAnsi="Arial" w:cs="Arial"/>
          <w:i/>
          <w:iCs/>
          <w:color w:val="auto"/>
          <w:sz w:val="20"/>
          <w:szCs w:val="17"/>
          <w:lang w:val="en-GB"/>
        </w:rPr>
        <w:t xml:space="preserve">, which is the sum of non-market output provided at economically insignificant prices (P.131 </w:t>
      </w:r>
      <w:r w:rsidR="001E0B25">
        <w:rPr>
          <w:rFonts w:ascii="Arial" w:hAnsi="Arial" w:cs="Arial"/>
          <w:i/>
          <w:iCs/>
          <w:color w:val="auto"/>
          <w:sz w:val="20"/>
          <w:szCs w:val="17"/>
          <w:lang w:val="en-GB"/>
        </w:rPr>
        <w:t>p</w:t>
      </w:r>
      <w:r w:rsidRPr="00CB5887">
        <w:rPr>
          <w:rFonts w:ascii="Arial" w:hAnsi="Arial" w:cs="Arial"/>
          <w:i/>
          <w:iCs/>
          <w:color w:val="auto"/>
          <w:sz w:val="20"/>
          <w:szCs w:val="17"/>
          <w:lang w:val="en-GB"/>
        </w:rPr>
        <w:t xml:space="preserve">ayments for non-market output) and non-market output provided for free (P.132 </w:t>
      </w:r>
      <w:r w:rsidR="001E0B25">
        <w:rPr>
          <w:rFonts w:ascii="Arial" w:hAnsi="Arial" w:cs="Arial"/>
          <w:i/>
          <w:iCs/>
          <w:color w:val="auto"/>
          <w:sz w:val="20"/>
          <w:szCs w:val="17"/>
          <w:lang w:val="en-GB"/>
        </w:rPr>
        <w:t>n</w:t>
      </w:r>
      <w:r w:rsidRPr="00CB5887">
        <w:rPr>
          <w:rFonts w:ascii="Arial" w:hAnsi="Arial" w:cs="Arial"/>
          <w:i/>
          <w:iCs/>
          <w:color w:val="auto"/>
          <w:sz w:val="20"/>
          <w:szCs w:val="17"/>
          <w:lang w:val="en-GB"/>
        </w:rPr>
        <w:t xml:space="preserve">on-market output, other). The latter is expressed as the difference between operating expenses, inclusive of net taxes on production and imports, spent by the general government and </w:t>
      </w:r>
      <w:r w:rsidR="006D2986">
        <w:rPr>
          <w:rFonts w:ascii="Arial" w:hAnsi="Arial" w:cs="Arial"/>
          <w:i/>
          <w:iCs/>
          <w:color w:val="auto"/>
          <w:sz w:val="20"/>
          <w:szCs w:val="17"/>
          <w:lang w:val="en-GB"/>
        </w:rPr>
        <w:t>non-profit institutions serving households (</w:t>
      </w:r>
      <w:r w:rsidRPr="00CB5887">
        <w:rPr>
          <w:rFonts w:ascii="Arial" w:hAnsi="Arial" w:cs="Arial"/>
          <w:i/>
          <w:iCs/>
          <w:color w:val="auto"/>
          <w:sz w:val="20"/>
          <w:szCs w:val="17"/>
          <w:lang w:val="en-GB"/>
        </w:rPr>
        <w:t>NPISHs</w:t>
      </w:r>
      <w:r w:rsidR="006D2986">
        <w:rPr>
          <w:rFonts w:ascii="Arial" w:hAnsi="Arial" w:cs="Arial"/>
          <w:i/>
          <w:iCs/>
          <w:color w:val="auto"/>
          <w:sz w:val="20"/>
          <w:szCs w:val="17"/>
          <w:lang w:val="en-GB"/>
        </w:rPr>
        <w:t>)</w:t>
      </w:r>
      <w:r w:rsidRPr="00CB5887">
        <w:rPr>
          <w:rFonts w:ascii="Arial" w:hAnsi="Arial" w:cs="Arial"/>
          <w:i/>
          <w:iCs/>
          <w:color w:val="auto"/>
          <w:sz w:val="20"/>
          <w:szCs w:val="17"/>
          <w:lang w:val="en-GB"/>
        </w:rPr>
        <w:t xml:space="preserve"> on the one hand and their sales of goods and services (P.11 + P.131) and output for own final use (P.12) on the other hand.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Intermediate consumption (P.2)</w:t>
      </w:r>
      <w:r w:rsidRPr="00CB5887">
        <w:rPr>
          <w:rFonts w:ascii="Arial" w:hAnsi="Arial" w:cs="Arial"/>
          <w:i/>
          <w:iCs/>
          <w:color w:val="auto"/>
          <w:sz w:val="20"/>
          <w:szCs w:val="17"/>
          <w:lang w:val="en-GB"/>
        </w:rPr>
        <w:t xml:space="preserve"> is the value of the goods and services </w:t>
      </w:r>
      <w:r w:rsidR="007705B3" w:rsidRPr="007705B3">
        <w:rPr>
          <w:rFonts w:ascii="Arial" w:hAnsi="Arial" w:cs="Arial"/>
          <w:i/>
          <w:iCs/>
          <w:color w:val="auto"/>
          <w:sz w:val="20"/>
          <w:szCs w:val="17"/>
          <w:lang w:val="en-GB"/>
        </w:rPr>
        <w:t xml:space="preserve">(including </w:t>
      </w:r>
      <w:r w:rsidR="002C272B" w:rsidRPr="00CB5887">
        <w:rPr>
          <w:rFonts w:ascii="Arial" w:hAnsi="Arial" w:cs="Arial"/>
          <w:i/>
          <w:iCs/>
          <w:color w:val="auto"/>
          <w:sz w:val="20"/>
          <w:szCs w:val="17"/>
          <w:lang w:val="en-GB"/>
        </w:rPr>
        <w:t xml:space="preserve">financial intermediation services indirectly measured </w:t>
      </w:r>
      <w:r w:rsidR="002C272B">
        <w:rPr>
          <w:rFonts w:ascii="Arial" w:hAnsi="Arial" w:cs="Arial"/>
          <w:i/>
          <w:iCs/>
          <w:color w:val="auto"/>
          <w:sz w:val="20"/>
          <w:szCs w:val="17"/>
          <w:lang w:val="en-GB"/>
        </w:rPr>
        <w:t>–</w:t>
      </w:r>
      <w:r w:rsidR="002C272B" w:rsidRPr="00CB5887">
        <w:rPr>
          <w:rFonts w:ascii="Arial" w:hAnsi="Arial" w:cs="Arial"/>
          <w:i/>
          <w:iCs/>
          <w:color w:val="auto"/>
          <w:sz w:val="20"/>
          <w:szCs w:val="17"/>
          <w:lang w:val="en-GB"/>
        </w:rPr>
        <w:t xml:space="preserve"> </w:t>
      </w:r>
      <w:r w:rsidR="007705B3" w:rsidRPr="007705B3">
        <w:rPr>
          <w:rFonts w:ascii="Arial" w:hAnsi="Arial" w:cs="Arial"/>
          <w:i/>
          <w:iCs/>
          <w:color w:val="auto"/>
          <w:sz w:val="20"/>
          <w:szCs w:val="17"/>
          <w:lang w:val="en-GB"/>
        </w:rPr>
        <w:t>FISIM)</w:t>
      </w:r>
      <w:r w:rsidR="007705B3">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used up by resident producers in the process of producing other goods (products) and services </w:t>
      </w:r>
      <w:r w:rsidR="00DA5351">
        <w:rPr>
          <w:rFonts w:ascii="Arial" w:hAnsi="Arial" w:cs="Arial"/>
          <w:i/>
          <w:iCs/>
          <w:color w:val="auto"/>
          <w:sz w:val="20"/>
          <w:szCs w:val="17"/>
          <w:lang w:val="en-GB"/>
        </w:rPr>
        <w:t>during</w:t>
      </w:r>
      <w:r w:rsidR="00DA5351"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the relevant period.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Final consumption expenditure (P.3)</w:t>
      </w:r>
      <w:r w:rsidRPr="00CB5887">
        <w:rPr>
          <w:rFonts w:ascii="Arial" w:hAnsi="Arial" w:cs="Arial"/>
          <w:b/>
          <w:i/>
          <w:color w:val="auto"/>
          <w:sz w:val="20"/>
          <w:szCs w:val="20"/>
          <w:lang w:val="en-GB"/>
        </w:rPr>
        <w:t xml:space="preserve"> </w:t>
      </w:r>
      <w:r w:rsidRPr="00CB5887">
        <w:rPr>
          <w:rFonts w:ascii="Arial" w:hAnsi="Arial" w:cs="Arial"/>
          <w:i/>
          <w:color w:val="auto"/>
          <w:sz w:val="20"/>
          <w:szCs w:val="20"/>
          <w:lang w:val="en-GB"/>
        </w:rPr>
        <w:t xml:space="preserve">includes expenditure on final consumption of households, the general government, and non-profit institutions serving households. </w:t>
      </w:r>
      <w:r w:rsidRPr="00CB5887">
        <w:rPr>
          <w:rFonts w:ascii="Arial" w:hAnsi="Arial" w:cs="Arial"/>
          <w:i/>
          <w:iCs/>
          <w:color w:val="auto"/>
          <w:sz w:val="20"/>
          <w:szCs w:val="20"/>
          <w:lang w:val="en-GB"/>
        </w:rPr>
        <w:t>Final</w:t>
      </w:r>
      <w:r w:rsidRPr="00CB5887">
        <w:rPr>
          <w:rFonts w:ascii="Arial" w:hAnsi="Arial" w:cs="Arial"/>
          <w:i/>
          <w:iCs/>
          <w:color w:val="auto"/>
          <w:sz w:val="20"/>
          <w:szCs w:val="17"/>
          <w:lang w:val="en-GB"/>
        </w:rPr>
        <w:t xml:space="preserve"> </w:t>
      </w:r>
      <w:r w:rsidRPr="00EA7156">
        <w:rPr>
          <w:rFonts w:ascii="Arial" w:hAnsi="Arial" w:cs="Arial"/>
          <w:i/>
          <w:iCs/>
          <w:color w:val="auto"/>
          <w:sz w:val="20"/>
          <w:szCs w:val="17"/>
          <w:lang w:val="en-GB"/>
        </w:rPr>
        <w:t xml:space="preserve">consumption is the value of goods (products) and services </w:t>
      </w:r>
      <w:r w:rsidRPr="00CB5887">
        <w:rPr>
          <w:rFonts w:ascii="Arial" w:hAnsi="Arial" w:cs="Arial"/>
          <w:i/>
          <w:iCs/>
          <w:color w:val="auto"/>
          <w:sz w:val="20"/>
          <w:szCs w:val="17"/>
          <w:lang w:val="en-GB"/>
        </w:rPr>
        <w:t xml:space="preserve">designed to satisfy collective and individual needs. It is broken down from the point of view of the payment (who is usually the payer) and from the point of view of the consumer. Final consumption expenditure is further split into: </w:t>
      </w:r>
    </w:p>
    <w:p w:rsidR="00121463" w:rsidRPr="00CB5887" w:rsidRDefault="00CD54F6" w:rsidP="0098227A">
      <w:pPr>
        <w:pStyle w:val="Normlnweb"/>
        <w:spacing w:before="120" w:beforeAutospacing="0" w:after="0" w:afterAutospacing="0"/>
        <w:ind w:left="170" w:hanging="170"/>
        <w:jc w:val="both"/>
        <w:rPr>
          <w:rFonts w:ascii="Arial" w:hAnsi="Arial" w:cs="Arial"/>
          <w:bCs/>
          <w:i/>
          <w:iCs/>
          <w:color w:val="auto"/>
          <w:sz w:val="20"/>
          <w:szCs w:val="20"/>
          <w:lang w:val="en-GB"/>
        </w:rPr>
      </w:pPr>
      <w:r w:rsidRPr="00CB5887">
        <w:rPr>
          <w:rFonts w:ascii="Arial" w:hAnsi="Arial" w:cs="Arial"/>
          <w:i/>
          <w:iCs/>
          <w:color w:val="auto"/>
          <w:sz w:val="20"/>
          <w:szCs w:val="20"/>
          <w:lang w:val="en-GB"/>
        </w:rPr>
        <w:t>– </w:t>
      </w:r>
      <w:r w:rsidRPr="00CB5887">
        <w:rPr>
          <w:rFonts w:ascii="Arial" w:hAnsi="Arial" w:cs="Arial"/>
          <w:b/>
          <w:bCs/>
          <w:i/>
          <w:iCs/>
          <w:color w:val="auto"/>
          <w:sz w:val="20"/>
          <w:szCs w:val="20"/>
          <w:lang w:val="en-GB"/>
        </w:rPr>
        <w:t>individual consumption expenditure (P.31)</w:t>
      </w:r>
      <w:r w:rsidRPr="00CB5887">
        <w:rPr>
          <w:rFonts w:ascii="Arial" w:hAnsi="Arial" w:cs="Arial"/>
          <w:bCs/>
          <w:i/>
          <w:iCs/>
          <w:color w:val="auto"/>
          <w:sz w:val="20"/>
          <w:szCs w:val="20"/>
          <w:lang w:val="en-GB"/>
        </w:rPr>
        <w:t>, which is the sum of individual consumption expenditure of households, the general government, and NPISHs. Household expenditure on individual consumption include especially purchases of goods and market services</w:t>
      </w:r>
      <w:r w:rsidR="003029E0">
        <w:rPr>
          <w:rFonts w:ascii="Arial" w:hAnsi="Arial" w:cs="Arial"/>
          <w:bCs/>
          <w:i/>
          <w:iCs/>
          <w:color w:val="auto"/>
          <w:sz w:val="20"/>
          <w:szCs w:val="20"/>
          <w:lang w:val="en-GB"/>
        </w:rPr>
        <w:t xml:space="preserve"> (including FISIM)</w:t>
      </w:r>
      <w:r w:rsidRPr="00CB5887">
        <w:rPr>
          <w:rFonts w:ascii="Arial" w:hAnsi="Arial" w:cs="Arial"/>
          <w:bCs/>
          <w:i/>
          <w:iCs/>
          <w:color w:val="auto"/>
          <w:sz w:val="20"/>
          <w:szCs w:val="20"/>
          <w:lang w:val="en-GB"/>
        </w:rPr>
        <w:t xml:space="preserve">, dwelling services (imputed rental for households living in their own dwellings), value of products produced by households for their own consumption, e.g. fruit and vegetables; products and services provided for free or at a discount and purchases of Czech tourists abroad. </w:t>
      </w:r>
      <w:r w:rsidRPr="00CB5887">
        <w:rPr>
          <w:rFonts w:ascii="Arial" w:hAnsi="Arial" w:cs="Arial"/>
          <w:i/>
          <w:iCs/>
          <w:color w:val="auto"/>
          <w:sz w:val="20"/>
          <w:szCs w:val="20"/>
          <w:lang w:val="en-GB"/>
        </w:rPr>
        <w:t xml:space="preserve">Expenditure covered by the general government is determined according to corresponding government functions (COFOG). </w:t>
      </w:r>
      <w:r w:rsidRPr="00CB5887">
        <w:rPr>
          <w:rFonts w:ascii="Arial" w:hAnsi="Arial" w:cs="Arial"/>
          <w:i/>
          <w:iCs/>
          <w:color w:val="auto"/>
          <w:sz w:val="20"/>
          <w:szCs w:val="17"/>
          <w:lang w:val="en-GB"/>
        </w:rPr>
        <w:t xml:space="preserve">Final consumption expenditure of non-profit institutions serving households are set at the level of the free non-market services of these institutions, and the whole of it is considered to be individual final consumption expenditure; </w:t>
      </w:r>
    </w:p>
    <w:p w:rsidR="00121463" w:rsidRPr="00CB5887" w:rsidRDefault="00CD54F6">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collective consumption expenditure (P.32)</w:t>
      </w:r>
      <w:r w:rsidRPr="00CB5887">
        <w:rPr>
          <w:rFonts w:ascii="Arial" w:hAnsi="Arial" w:cs="Arial"/>
          <w:i/>
          <w:iCs/>
          <w:color w:val="auto"/>
          <w:sz w:val="20"/>
          <w:szCs w:val="17"/>
          <w:lang w:val="en-GB"/>
        </w:rPr>
        <w:t xml:space="preserve"> of the general government is set in the scope of its expenditure on collective consumption according to the corresponding functions (COFOG). </w:t>
      </w:r>
    </w:p>
    <w:p w:rsidR="00533EF6" w:rsidRPr="00CB5887" w:rsidRDefault="00D30733" w:rsidP="00A2637A">
      <w:pPr>
        <w:pStyle w:val="Normlnweb"/>
        <w:spacing w:before="120" w:beforeAutospacing="0" w:after="0" w:afterAutospacing="0"/>
        <w:ind w:firstLine="708"/>
        <w:jc w:val="both"/>
        <w:rPr>
          <w:rFonts w:ascii="Arial" w:hAnsi="Arial" w:cs="Arial"/>
          <w:i/>
          <w:iCs/>
          <w:color w:val="auto"/>
          <w:sz w:val="20"/>
          <w:szCs w:val="17"/>
          <w:lang w:val="en-GB"/>
        </w:rPr>
      </w:pPr>
      <w:r>
        <w:rPr>
          <w:rFonts w:ascii="Arial" w:hAnsi="Arial" w:cs="Arial"/>
          <w:b/>
          <w:i/>
          <w:iCs/>
          <w:color w:val="auto"/>
          <w:sz w:val="20"/>
          <w:szCs w:val="17"/>
          <w:lang w:val="en-GB"/>
        </w:rPr>
        <w:t xml:space="preserve">Actual final consumption (P.4) </w:t>
      </w:r>
      <w:r>
        <w:rPr>
          <w:rFonts w:ascii="Arial" w:hAnsi="Arial" w:cs="Arial"/>
          <w:i/>
          <w:iCs/>
          <w:color w:val="auto"/>
          <w:sz w:val="20"/>
          <w:szCs w:val="17"/>
          <w:lang w:val="en-GB"/>
        </w:rPr>
        <w:t>is the sum of actual (final) individual consumption of households (P.41 or the sum of expenditure of households, the general government, and non-profit institutions serving households on individual consumption) and actual (final) collective consumption of</w:t>
      </w:r>
      <w:r w:rsidR="00CD54F6" w:rsidRPr="00CB5887">
        <w:rPr>
          <w:rFonts w:ascii="Arial" w:hAnsi="Arial" w:cs="Arial"/>
          <w:i/>
          <w:iCs/>
          <w:color w:val="auto"/>
          <w:sz w:val="20"/>
          <w:szCs w:val="17"/>
          <w:lang w:val="en-GB"/>
        </w:rPr>
        <w:t xml:space="preserve"> the general government (P.42, which is the expenditure of the general government on collective consumption). The actual final consumption (P.4) is thus equal to the sum of all final consumption expenditure (P.3) at the level of the national economy.</w:t>
      </w:r>
    </w:p>
    <w:p w:rsidR="00E17EFA" w:rsidRPr="00CB5887" w:rsidRDefault="00CD54F6" w:rsidP="00533EF6">
      <w:pPr>
        <w:spacing w:before="120"/>
        <w:ind w:firstLine="709"/>
        <w:rPr>
          <w:rFonts w:ascii="Arial" w:hAnsi="Arial" w:cs="Arial"/>
          <w:b/>
          <w:i/>
          <w:sz w:val="20"/>
          <w:szCs w:val="20"/>
        </w:rPr>
      </w:pPr>
      <w:r w:rsidRPr="00CB5887">
        <w:rPr>
          <w:rFonts w:ascii="Arial" w:hAnsi="Arial" w:cs="Arial"/>
          <w:b/>
          <w:bCs/>
          <w:i/>
          <w:iCs/>
          <w:sz w:val="20"/>
          <w:szCs w:val="17"/>
        </w:rPr>
        <w:lastRenderedPageBreak/>
        <w:t>Gross fixed capital formation (P.51g)</w:t>
      </w:r>
      <w:r w:rsidRPr="00CB5887">
        <w:rPr>
          <w:rFonts w:ascii="Arial" w:hAnsi="Arial" w:cs="Arial"/>
          <w:i/>
          <w:iCs/>
          <w:sz w:val="20"/>
          <w:szCs w:val="17"/>
        </w:rPr>
        <w:t xml:space="preserve"> includes acquisitions less disposals of fixed assets </w:t>
      </w:r>
      <w:r w:rsidR="000669DD">
        <w:rPr>
          <w:rFonts w:ascii="Arial" w:hAnsi="Arial" w:cs="Arial"/>
          <w:i/>
          <w:iCs/>
          <w:sz w:val="20"/>
          <w:szCs w:val="17"/>
        </w:rPr>
        <w:t>(P.511)</w:t>
      </w:r>
      <w:r w:rsidR="00F23446">
        <w:rPr>
          <w:rFonts w:ascii="Arial" w:hAnsi="Arial" w:cs="Arial"/>
          <w:i/>
          <w:iCs/>
          <w:sz w:val="20"/>
          <w:szCs w:val="17"/>
        </w:rPr>
        <w:t>,</w:t>
      </w:r>
      <w:r w:rsidR="000669DD">
        <w:rPr>
          <w:rFonts w:ascii="Arial" w:hAnsi="Arial" w:cs="Arial"/>
          <w:i/>
          <w:iCs/>
          <w:sz w:val="20"/>
          <w:szCs w:val="17"/>
        </w:rPr>
        <w:t xml:space="preserve"> costs of ownership transfer on non-produced assets (P.512)</w:t>
      </w:r>
      <w:r w:rsidR="00F23446">
        <w:rPr>
          <w:rFonts w:ascii="Arial" w:hAnsi="Arial" w:cs="Arial"/>
          <w:i/>
          <w:iCs/>
          <w:sz w:val="20"/>
          <w:szCs w:val="17"/>
        </w:rPr>
        <w:t>, and acquisitions less disposals of non-produced assets (NP)</w:t>
      </w:r>
      <w:r w:rsidR="000669DD">
        <w:rPr>
          <w:rFonts w:ascii="Arial" w:hAnsi="Arial" w:cs="Arial"/>
          <w:i/>
          <w:iCs/>
          <w:sz w:val="20"/>
          <w:szCs w:val="17"/>
        </w:rPr>
        <w:t>. The acquisitions of fixed assets include new or existing fixed assets purchased (including own account production of the assets) technical improvements (reconstruction,</w:t>
      </w:r>
      <w:r w:rsidRPr="00CB5887">
        <w:rPr>
          <w:rFonts w:ascii="Arial" w:hAnsi="Arial" w:cs="Arial"/>
          <w:i/>
          <w:iCs/>
          <w:sz w:val="20"/>
          <w:szCs w:val="17"/>
        </w:rPr>
        <w:t xml:space="preserve"> modernization, reclamation of land etc.), and free </w:t>
      </w:r>
      <w:r w:rsidR="00C42F23">
        <w:rPr>
          <w:rFonts w:ascii="Arial" w:hAnsi="Arial" w:cs="Arial"/>
          <w:i/>
          <w:iCs/>
          <w:sz w:val="20"/>
          <w:szCs w:val="17"/>
        </w:rPr>
        <w:t>of charge acquisitions of existing fixed assets. The disposals of fix</w:t>
      </w:r>
      <w:r w:rsidRPr="00D916F0">
        <w:rPr>
          <w:rFonts w:ascii="Arial" w:hAnsi="Arial" w:cs="Arial"/>
          <w:i/>
          <w:iCs/>
          <w:sz w:val="20"/>
          <w:szCs w:val="17"/>
        </w:rPr>
        <w:t>ed</w:t>
      </w:r>
      <w:r w:rsidR="00C42F23">
        <w:rPr>
          <w:rFonts w:ascii="Arial" w:hAnsi="Arial" w:cs="Arial"/>
          <w:i/>
          <w:iCs/>
          <w:sz w:val="20"/>
          <w:szCs w:val="17"/>
        </w:rPr>
        <w:t xml:space="preserve"> assets include sales and free transfers of existing fixed assets. Gross fixed capital formation comprises also</w:t>
      </w:r>
      <w:r w:rsidRPr="00CB5887">
        <w:rPr>
          <w:rFonts w:ascii="Arial" w:hAnsi="Arial" w:cs="Arial"/>
          <w:i/>
          <w:iCs/>
          <w:sz w:val="20"/>
          <w:szCs w:val="17"/>
        </w:rPr>
        <w:t xml:space="preserve"> acquisitions less disposals of military equipment (which were included in</w:t>
      </w:r>
      <w:r w:rsidR="009950A3">
        <w:rPr>
          <w:rFonts w:ascii="Arial" w:hAnsi="Arial" w:cs="Arial"/>
          <w:i/>
          <w:iCs/>
          <w:sz w:val="20"/>
          <w:szCs w:val="17"/>
        </w:rPr>
        <w:t xml:space="preserve"> the</w:t>
      </w:r>
      <w:r w:rsidRPr="00CB5887">
        <w:rPr>
          <w:rFonts w:ascii="Arial" w:hAnsi="Arial" w:cs="Arial"/>
          <w:i/>
          <w:iCs/>
          <w:sz w:val="20"/>
          <w:szCs w:val="17"/>
        </w:rPr>
        <w:t xml:space="preserve"> intermediate consumption and</w:t>
      </w:r>
      <w:r w:rsidR="00CB5887">
        <w:rPr>
          <w:rFonts w:ascii="Arial" w:hAnsi="Arial" w:cs="Arial"/>
          <w:i/>
          <w:iCs/>
          <w:sz w:val="20"/>
          <w:szCs w:val="17"/>
        </w:rPr>
        <w:t xml:space="preserve"> </w:t>
      </w:r>
      <w:r w:rsidRPr="00CB5887">
        <w:rPr>
          <w:rFonts w:ascii="Arial" w:hAnsi="Arial" w:cs="Arial"/>
          <w:i/>
          <w:iCs/>
          <w:sz w:val="20"/>
          <w:szCs w:val="17"/>
        </w:rPr>
        <w:t>final consumption</w:t>
      </w:r>
      <w:r w:rsidR="00B0679E">
        <w:rPr>
          <w:rFonts w:ascii="Arial" w:hAnsi="Arial" w:cs="Arial"/>
          <w:i/>
          <w:iCs/>
          <w:sz w:val="20"/>
          <w:szCs w:val="17"/>
        </w:rPr>
        <w:t xml:space="preserve"> of the general government</w:t>
      </w:r>
      <w:r w:rsidR="00CB5887">
        <w:rPr>
          <w:rFonts w:ascii="Arial" w:hAnsi="Arial" w:cs="Arial"/>
          <w:i/>
          <w:iCs/>
          <w:sz w:val="20"/>
          <w:szCs w:val="17"/>
        </w:rPr>
        <w:t xml:space="preserve"> in compliance with </w:t>
      </w:r>
      <w:r w:rsidR="00B0679E">
        <w:rPr>
          <w:rFonts w:ascii="Arial" w:hAnsi="Arial" w:cs="Arial"/>
          <w:i/>
          <w:iCs/>
          <w:sz w:val="20"/>
          <w:szCs w:val="17"/>
        </w:rPr>
        <w:t xml:space="preserve">the </w:t>
      </w:r>
      <w:r w:rsidR="00CB5887">
        <w:rPr>
          <w:rFonts w:ascii="Arial" w:hAnsi="Arial" w:cs="Arial"/>
          <w:i/>
          <w:iCs/>
          <w:sz w:val="20"/>
          <w:szCs w:val="17"/>
        </w:rPr>
        <w:t>ESA95</w:t>
      </w:r>
      <w:r w:rsidR="00B27A36">
        <w:rPr>
          <w:rFonts w:ascii="Arial" w:hAnsi="Arial" w:cs="Arial"/>
          <w:i/>
          <w:iCs/>
          <w:sz w:val="20"/>
          <w:szCs w:val="17"/>
        </w:rPr>
        <w:t xml:space="preserve"> methodology</w:t>
      </w:r>
      <w:r w:rsidR="00CB5887">
        <w:rPr>
          <w:rFonts w:ascii="Arial" w:hAnsi="Arial" w:cs="Arial"/>
          <w:i/>
          <w:iCs/>
          <w:sz w:val="20"/>
          <w:szCs w:val="17"/>
        </w:rPr>
        <w:t>). The </w:t>
      </w:r>
      <w:r w:rsidRPr="00CB5887">
        <w:rPr>
          <w:rFonts w:ascii="Arial" w:hAnsi="Arial" w:cs="Arial"/>
          <w:i/>
          <w:iCs/>
          <w:sz w:val="20"/>
          <w:szCs w:val="17"/>
        </w:rPr>
        <w:t>P.51g item is showed in</w:t>
      </w:r>
      <w:r w:rsidR="00CB5887">
        <w:rPr>
          <w:rFonts w:ascii="Arial" w:hAnsi="Arial" w:cs="Arial"/>
          <w:i/>
          <w:iCs/>
          <w:sz w:val="20"/>
          <w:szCs w:val="17"/>
        </w:rPr>
        <w:t xml:space="preserve"> the </w:t>
      </w:r>
      <w:r w:rsidRPr="00CB5887">
        <w:rPr>
          <w:rFonts w:ascii="Arial" w:hAnsi="Arial" w:cs="Arial"/>
          <w:i/>
          <w:iCs/>
          <w:sz w:val="20"/>
          <w:szCs w:val="17"/>
        </w:rPr>
        <w:t>breakdown by fixed asset (dwellings, buildings and structures, machinery and equipment, weapon systems etc).</w:t>
      </w:r>
    </w:p>
    <w:p w:rsidR="006200E1" w:rsidRPr="00CB5887" w:rsidRDefault="00CD54F6" w:rsidP="00533EF6">
      <w:pPr>
        <w:spacing w:before="120"/>
        <w:ind w:firstLine="709"/>
        <w:rPr>
          <w:rFonts w:ascii="Arial" w:hAnsi="Arial" w:cs="Arial"/>
          <w:b/>
          <w:i/>
          <w:sz w:val="20"/>
          <w:szCs w:val="20"/>
        </w:rPr>
      </w:pPr>
      <w:r w:rsidRPr="00CB5887">
        <w:rPr>
          <w:rFonts w:ascii="Arial" w:hAnsi="Arial" w:cs="Arial"/>
          <w:b/>
          <w:bCs/>
          <w:i/>
          <w:iCs/>
          <w:sz w:val="20"/>
          <w:szCs w:val="17"/>
        </w:rPr>
        <w:t>Changes in inventories (P.52)</w:t>
      </w:r>
      <w:r w:rsidRPr="00CB5887">
        <w:rPr>
          <w:rFonts w:ascii="Arial" w:hAnsi="Arial" w:cs="Arial"/>
          <w:i/>
          <w:iCs/>
          <w:sz w:val="20"/>
          <w:szCs w:val="17"/>
        </w:rPr>
        <w:t xml:space="preserve"> refer to the difference between additions to and withdrawals from inventories (including current losses on products) adjusted for price changes and accidental damage. </w:t>
      </w:r>
    </w:p>
    <w:p w:rsidR="00B3766C" w:rsidRPr="00CB5887" w:rsidRDefault="00CD54F6" w:rsidP="00533EF6">
      <w:pPr>
        <w:spacing w:before="120"/>
        <w:ind w:firstLine="709"/>
        <w:rPr>
          <w:rFonts w:ascii="Arial" w:hAnsi="Arial" w:cs="Arial"/>
          <w:i/>
          <w:sz w:val="20"/>
          <w:szCs w:val="20"/>
        </w:rPr>
      </w:pPr>
      <w:r w:rsidRPr="00CB5887">
        <w:rPr>
          <w:rFonts w:ascii="Arial" w:hAnsi="Arial" w:cs="Arial"/>
          <w:b/>
          <w:i/>
          <w:sz w:val="20"/>
          <w:szCs w:val="20"/>
        </w:rPr>
        <w:t>Acquisitions less disposals of valuables (P.53)</w:t>
      </w:r>
      <w:r w:rsidRPr="00CB5887">
        <w:rPr>
          <w:rFonts w:ascii="Arial" w:hAnsi="Arial" w:cs="Arial"/>
          <w:i/>
          <w:sz w:val="20"/>
          <w:szCs w:val="20"/>
        </w:rPr>
        <w:t xml:space="preserve"> is acquisition of such goods that are not used primarily for production or consumption, do not deteriorate (physically) over time under normal conditions and that are acquired and held primarily as stores of value. </w:t>
      </w:r>
    </w:p>
    <w:p w:rsidR="008731F8" w:rsidRPr="00CB5887" w:rsidRDefault="00CD54F6" w:rsidP="00472E69">
      <w:pPr>
        <w:spacing w:before="120"/>
        <w:ind w:firstLine="709"/>
        <w:rPr>
          <w:rFonts w:ascii="Arial" w:hAnsi="Arial" w:cs="Arial"/>
          <w:i/>
          <w:iCs/>
          <w:sz w:val="20"/>
          <w:szCs w:val="17"/>
        </w:rPr>
      </w:pPr>
      <w:r w:rsidRPr="00CB5887">
        <w:rPr>
          <w:rFonts w:ascii="Arial" w:hAnsi="Arial" w:cs="Arial"/>
          <w:b/>
          <w:bCs/>
          <w:i/>
          <w:iCs/>
          <w:sz w:val="20"/>
          <w:szCs w:val="17"/>
        </w:rPr>
        <w:t>Exports (P.6) and imports (P.7) of goods and services</w:t>
      </w:r>
      <w:r w:rsidRPr="00CB5887">
        <w:rPr>
          <w:rFonts w:ascii="Arial" w:hAnsi="Arial" w:cs="Arial"/>
          <w:i/>
          <w:iCs/>
          <w:sz w:val="20"/>
          <w:szCs w:val="17"/>
        </w:rPr>
        <w:t xml:space="preserve"> refer to the value of goods and services traded among resident and non-resident units. Imports include, for example, the consumption by Czech citizens abroad and, vice-versa, exports include consumption by foreigners in the Czech Republic. </w:t>
      </w:r>
      <w:r w:rsidR="00CB5887">
        <w:rPr>
          <w:rFonts w:ascii="Arial" w:hAnsi="Arial" w:cs="Arial"/>
          <w:i/>
          <w:iCs/>
          <w:sz w:val="20"/>
          <w:szCs w:val="17"/>
        </w:rPr>
        <w:t>The </w:t>
      </w:r>
      <w:r w:rsidRPr="00CB5887">
        <w:rPr>
          <w:rFonts w:ascii="Arial" w:hAnsi="Arial" w:cs="Arial"/>
          <w:i/>
          <w:iCs/>
          <w:sz w:val="20"/>
          <w:szCs w:val="17"/>
        </w:rPr>
        <w:t>transactions are recorded split by transaction in goods and in services</w:t>
      </w:r>
      <w:r w:rsidR="00856213">
        <w:rPr>
          <w:rFonts w:ascii="Arial" w:hAnsi="Arial" w:cs="Arial"/>
          <w:i/>
          <w:iCs/>
          <w:sz w:val="20"/>
          <w:szCs w:val="17"/>
        </w:rPr>
        <w:t xml:space="preserve"> (exports and imports)</w:t>
      </w:r>
      <w:r w:rsidRPr="00CB5887">
        <w:rPr>
          <w:rFonts w:ascii="Arial" w:hAnsi="Arial" w:cs="Arial"/>
          <w:i/>
          <w:iCs/>
          <w:sz w:val="20"/>
          <w:szCs w:val="17"/>
        </w:rPr>
        <w:t xml:space="preserve"> and also within EU countries and outside EU. Exports are recorded in the FOB prices (</w:t>
      </w:r>
      <w:r w:rsidR="00D20285">
        <w:rPr>
          <w:rFonts w:ascii="Arial" w:hAnsi="Arial" w:cs="Arial"/>
          <w:i/>
          <w:iCs/>
          <w:sz w:val="20"/>
          <w:szCs w:val="17"/>
        </w:rPr>
        <w:t xml:space="preserve">i.e. free on board, </w:t>
      </w:r>
      <w:r w:rsidRPr="00CB5887">
        <w:rPr>
          <w:rFonts w:ascii="Arial" w:hAnsi="Arial" w:cs="Arial"/>
          <w:i/>
          <w:iCs/>
          <w:sz w:val="20"/>
          <w:szCs w:val="17"/>
        </w:rPr>
        <w:t>prices on the border of the exporting country) and imports are recorded in the CIF prices (</w:t>
      </w:r>
      <w:r w:rsidR="00D20285">
        <w:rPr>
          <w:rFonts w:ascii="Arial" w:hAnsi="Arial" w:cs="Arial"/>
          <w:i/>
          <w:iCs/>
          <w:sz w:val="20"/>
          <w:szCs w:val="17"/>
        </w:rPr>
        <w:t xml:space="preserve">i.e. cost, insurance and freight, </w:t>
      </w:r>
      <w:r w:rsidRPr="00CB5887">
        <w:rPr>
          <w:rFonts w:ascii="Arial" w:hAnsi="Arial" w:cs="Arial"/>
          <w:i/>
          <w:iCs/>
          <w:sz w:val="20"/>
          <w:szCs w:val="17"/>
        </w:rPr>
        <w:t>prices on the border of the importing country) in the supply and use tables and for the pu</w:t>
      </w:r>
      <w:r w:rsidR="00CB5887">
        <w:rPr>
          <w:rFonts w:ascii="Arial" w:hAnsi="Arial" w:cs="Arial"/>
          <w:i/>
          <w:iCs/>
          <w:sz w:val="20"/>
          <w:szCs w:val="17"/>
        </w:rPr>
        <w:t>rposes of the</w:t>
      </w:r>
      <w:r w:rsidR="00364004">
        <w:rPr>
          <w:rFonts w:ascii="Arial" w:hAnsi="Arial" w:cs="Arial"/>
          <w:i/>
          <w:iCs/>
          <w:sz w:val="20"/>
          <w:szCs w:val="17"/>
        </w:rPr>
        <w:t xml:space="preserve"> gross domestic product</w:t>
      </w:r>
      <w:r w:rsidR="00CB5887">
        <w:rPr>
          <w:rFonts w:ascii="Arial" w:hAnsi="Arial" w:cs="Arial"/>
          <w:i/>
          <w:iCs/>
          <w:sz w:val="20"/>
          <w:szCs w:val="17"/>
        </w:rPr>
        <w:t> </w:t>
      </w:r>
      <w:r w:rsidR="00364004">
        <w:rPr>
          <w:rFonts w:ascii="Arial" w:hAnsi="Arial" w:cs="Arial"/>
          <w:i/>
          <w:iCs/>
          <w:sz w:val="20"/>
          <w:szCs w:val="17"/>
        </w:rPr>
        <w:t>(</w:t>
      </w:r>
      <w:r w:rsidR="00CB5887">
        <w:rPr>
          <w:rFonts w:ascii="Arial" w:hAnsi="Arial" w:cs="Arial"/>
          <w:i/>
          <w:iCs/>
          <w:sz w:val="20"/>
          <w:szCs w:val="17"/>
        </w:rPr>
        <w:t>GDP</w:t>
      </w:r>
      <w:r w:rsidR="00364004">
        <w:rPr>
          <w:rFonts w:ascii="Arial" w:hAnsi="Arial" w:cs="Arial"/>
          <w:i/>
          <w:iCs/>
          <w:sz w:val="20"/>
          <w:szCs w:val="17"/>
        </w:rPr>
        <w:t>)</w:t>
      </w:r>
      <w:r w:rsidR="00CB5887">
        <w:rPr>
          <w:rFonts w:ascii="Arial" w:hAnsi="Arial" w:cs="Arial"/>
          <w:i/>
          <w:iCs/>
          <w:sz w:val="20"/>
          <w:szCs w:val="17"/>
        </w:rPr>
        <w:t xml:space="preserve"> estimates. In </w:t>
      </w:r>
      <w:r w:rsidRPr="00CB5887">
        <w:rPr>
          <w:rFonts w:ascii="Arial" w:hAnsi="Arial" w:cs="Arial"/>
          <w:i/>
          <w:iCs/>
          <w:sz w:val="20"/>
          <w:szCs w:val="17"/>
        </w:rPr>
        <w:t xml:space="preserve">sector accounts, both the exports and imports are captured in the FOB prices. </w:t>
      </w:r>
      <w:r w:rsidR="00AD20D3">
        <w:rPr>
          <w:rFonts w:ascii="Arial" w:hAnsi="Arial" w:cs="Arial"/>
          <w:i/>
          <w:iCs/>
          <w:sz w:val="20"/>
          <w:szCs w:val="17"/>
        </w:rPr>
        <w:t>Data on export</w:t>
      </w:r>
      <w:r w:rsidR="00415E54">
        <w:rPr>
          <w:rFonts w:ascii="Arial" w:hAnsi="Arial" w:cs="Arial"/>
          <w:i/>
          <w:iCs/>
          <w:sz w:val="20"/>
          <w:szCs w:val="17"/>
        </w:rPr>
        <w:t>s</w:t>
      </w:r>
      <w:r w:rsidR="00AD20D3">
        <w:rPr>
          <w:rFonts w:ascii="Arial" w:hAnsi="Arial" w:cs="Arial"/>
          <w:i/>
          <w:iCs/>
          <w:sz w:val="20"/>
          <w:szCs w:val="17"/>
        </w:rPr>
        <w:t xml:space="preserve"> cover also </w:t>
      </w:r>
      <w:r w:rsidR="004330D8">
        <w:rPr>
          <w:rFonts w:ascii="Arial" w:hAnsi="Arial" w:cs="Arial"/>
          <w:i/>
          <w:iCs/>
          <w:sz w:val="20"/>
          <w:szCs w:val="17"/>
        </w:rPr>
        <w:t>the value of </w:t>
      </w:r>
      <w:r w:rsidR="00AD20D3">
        <w:rPr>
          <w:rFonts w:ascii="Arial" w:hAnsi="Arial" w:cs="Arial"/>
          <w:i/>
          <w:iCs/>
          <w:sz w:val="20"/>
          <w:szCs w:val="17"/>
        </w:rPr>
        <w:t>FISIM</w:t>
      </w:r>
      <w:r w:rsidR="000167D5">
        <w:rPr>
          <w:rFonts w:ascii="Arial" w:hAnsi="Arial" w:cs="Arial"/>
          <w:i/>
          <w:iCs/>
          <w:sz w:val="20"/>
          <w:szCs w:val="17"/>
        </w:rPr>
        <w:t>.</w:t>
      </w:r>
    </w:p>
    <w:p w:rsidR="00E45497" w:rsidRPr="00CB5887" w:rsidRDefault="00CD54F6" w:rsidP="00E45497">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Compensation of employees (D.1)</w:t>
      </w:r>
      <w:r w:rsidRPr="00CB5887">
        <w:rPr>
          <w:rFonts w:ascii="Arial" w:hAnsi="Arial" w:cs="Arial"/>
          <w:i/>
          <w:iCs/>
          <w:color w:val="auto"/>
          <w:sz w:val="20"/>
          <w:szCs w:val="17"/>
          <w:lang w:val="en-GB"/>
        </w:rPr>
        <w:t xml:space="preserve"> – both in money and kind includes wages and salaries and social contributions paid by employers: </w:t>
      </w:r>
    </w:p>
    <w:p w:rsidR="00E45497" w:rsidRPr="00CB5887" w:rsidRDefault="00CD54F6" w:rsidP="006F2FC9">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wages and salaries (D.11)</w:t>
      </w:r>
      <w:r w:rsidRPr="00CB5887">
        <w:rPr>
          <w:rFonts w:ascii="Arial" w:hAnsi="Arial" w:cs="Arial"/>
          <w:i/>
          <w:iCs/>
          <w:color w:val="auto"/>
          <w:sz w:val="20"/>
          <w:szCs w:val="17"/>
          <w:lang w:val="en-GB"/>
        </w:rPr>
        <w:t xml:space="preserve"> – total remuneration of employees (in cash or in kind) for work they have done. They include wages and salaries for work done for the employer; salaries of members of cooperatives and associates; salaries and expenditure on uniforms of professional members of the armed forces; contributions to employees for commuting to and from work, their meals, cultural and sports interests, and other; products and services provided to employees free of charge or at </w:t>
      </w:r>
      <w:r w:rsidR="008D3EFA">
        <w:rPr>
          <w:rFonts w:ascii="Arial" w:hAnsi="Arial" w:cs="Arial"/>
          <w:i/>
          <w:iCs/>
          <w:color w:val="auto"/>
          <w:sz w:val="20"/>
          <w:szCs w:val="17"/>
          <w:lang w:val="en-GB"/>
        </w:rPr>
        <w:t>a</w:t>
      </w:r>
      <w:r w:rsidR="00DB088B">
        <w:rPr>
          <w:rFonts w:ascii="Arial" w:hAnsi="Arial" w:cs="Arial"/>
          <w:i/>
          <w:iCs/>
          <w:color w:val="auto"/>
          <w:sz w:val="20"/>
          <w:szCs w:val="17"/>
          <w:lang w:val="en-GB"/>
        </w:rPr>
        <w:t> </w:t>
      </w:r>
      <w:r w:rsidRPr="00CB5887">
        <w:rPr>
          <w:rFonts w:ascii="Arial" w:hAnsi="Arial" w:cs="Arial"/>
          <w:i/>
          <w:iCs/>
          <w:color w:val="auto"/>
          <w:sz w:val="20"/>
          <w:szCs w:val="17"/>
          <w:lang w:val="en-GB"/>
        </w:rPr>
        <w:t xml:space="preserve">reduced price are also included. They are given before income tax, statutory (mandatory) contributions to general social and health insurance schemes and other deductions, if any; </w:t>
      </w:r>
    </w:p>
    <w:p w:rsidR="00E9759D" w:rsidRPr="00CB5887" w:rsidRDefault="00CD54F6" w:rsidP="00E9759D">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employers’ social contributions (D.12)</w:t>
      </w:r>
      <w:r w:rsidRPr="00CB5887">
        <w:rPr>
          <w:rFonts w:ascii="Arial" w:hAnsi="Arial" w:cs="Arial"/>
          <w:i/>
          <w:iCs/>
          <w:color w:val="auto"/>
          <w:sz w:val="20"/>
          <w:szCs w:val="17"/>
          <w:lang w:val="en-GB"/>
        </w:rPr>
        <w:t xml:space="preserve"> –</w:t>
      </w:r>
      <w:r w:rsidR="00591F29">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paid by employers for their employees to general social and health insurance, supplementary pension and health insurance, compulsory accident insurance (actual social contributions of employers) and direct social assistance provided by employers (non-recoverable assistance paid, e.g. from the social fund) </w:t>
      </w:r>
      <w:r w:rsidRPr="00CB5887">
        <w:rPr>
          <w:rFonts w:ascii="Arial" w:hAnsi="Arial" w:cs="Arial"/>
          <w:i/>
          <w:color w:val="auto"/>
          <w:sz w:val="20"/>
          <w:szCs w:val="20"/>
          <w:lang w:val="en-GB"/>
        </w:rPr>
        <w:t>and wage compensation (sickness benefit) paid by an employer in the period of incapacity for work of employees during the period stipulated by law</w:t>
      </w:r>
      <w:r w:rsidR="00280712">
        <w:rPr>
          <w:rFonts w:ascii="Arial" w:hAnsi="Arial" w:cs="Arial"/>
          <w:i/>
          <w:color w:val="auto"/>
          <w:sz w:val="20"/>
          <w:szCs w:val="20"/>
          <w:lang w:val="en-GB"/>
        </w:rPr>
        <w:t xml:space="preserve"> (imputed social contributions)</w:t>
      </w:r>
      <w:r w:rsidRPr="00CB5887">
        <w:rPr>
          <w:rFonts w:ascii="Arial" w:hAnsi="Arial" w:cs="Arial"/>
          <w:i/>
          <w:color w:val="auto"/>
          <w:sz w:val="20"/>
          <w:szCs w:val="20"/>
          <w:lang w:val="en-GB"/>
        </w:rPr>
        <w:t xml:space="preserve">. </w:t>
      </w:r>
      <w:r w:rsidR="00CB5887">
        <w:rPr>
          <w:rFonts w:ascii="Arial" w:hAnsi="Arial" w:cs="Arial"/>
          <w:i/>
          <w:color w:val="auto"/>
          <w:sz w:val="20"/>
          <w:szCs w:val="20"/>
          <w:lang w:val="en-GB"/>
        </w:rPr>
        <w:t>The </w:t>
      </w:r>
      <w:r w:rsidRPr="00CB5887">
        <w:rPr>
          <w:rFonts w:ascii="Arial" w:hAnsi="Arial" w:cs="Arial"/>
          <w:i/>
          <w:color w:val="auto"/>
          <w:sz w:val="20"/>
          <w:szCs w:val="20"/>
          <w:lang w:val="en-GB"/>
        </w:rPr>
        <w:t>item D.12 is divided to pension insurance contributions and to other social insurance contributions.</w:t>
      </w:r>
    </w:p>
    <w:p w:rsidR="00E9759D" w:rsidRPr="00CB5887" w:rsidRDefault="00CD54F6" w:rsidP="00E9759D">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Taxes on production and imports (D.2)</w:t>
      </w:r>
      <w:r w:rsidRPr="00CB5887">
        <w:rPr>
          <w:rFonts w:ascii="Arial" w:hAnsi="Arial" w:cs="Arial"/>
          <w:i/>
          <w:iCs/>
          <w:color w:val="auto"/>
          <w:sz w:val="20"/>
          <w:szCs w:val="17"/>
          <w:lang w:val="en-GB"/>
        </w:rPr>
        <w:t>: indirect taxes, which include taxes on products (e.g. </w:t>
      </w:r>
      <w:r w:rsidR="006B13BA">
        <w:rPr>
          <w:rFonts w:ascii="Arial" w:hAnsi="Arial" w:cs="Arial"/>
          <w:i/>
          <w:iCs/>
          <w:color w:val="auto"/>
          <w:sz w:val="20"/>
          <w:szCs w:val="17"/>
          <w:lang w:val="en-GB"/>
        </w:rPr>
        <w:t>value added tax (</w:t>
      </w:r>
      <w:r w:rsidRPr="00CB5887">
        <w:rPr>
          <w:rFonts w:ascii="Arial" w:hAnsi="Arial" w:cs="Arial"/>
          <w:i/>
          <w:iCs/>
          <w:color w:val="auto"/>
          <w:sz w:val="20"/>
          <w:szCs w:val="17"/>
          <w:lang w:val="en-GB"/>
        </w:rPr>
        <w:t>VAT</w:t>
      </w:r>
      <w:r w:rsidR="006B13BA">
        <w:rPr>
          <w:rFonts w:ascii="Arial" w:hAnsi="Arial" w:cs="Arial"/>
          <w:i/>
          <w:iCs/>
          <w:color w:val="auto"/>
          <w:sz w:val="20"/>
          <w:szCs w:val="17"/>
          <w:lang w:val="en-GB"/>
        </w:rPr>
        <w:t>)</w:t>
      </w:r>
      <w:r w:rsidRPr="00CB5887">
        <w:rPr>
          <w:rFonts w:ascii="Arial" w:hAnsi="Arial" w:cs="Arial"/>
          <w:i/>
          <w:iCs/>
          <w:color w:val="auto"/>
          <w:sz w:val="20"/>
          <w:szCs w:val="17"/>
          <w:lang w:val="en-GB"/>
        </w:rPr>
        <w:t xml:space="preserve">, duties, taxes on imports, excise duties, etc.) and other taxes on production (e.g. real estate taxes, road tax, air and water pollution charges, etc.). Data on tax revenue adjusted </w:t>
      </w:r>
      <w:r w:rsidRPr="00CB5887">
        <w:rPr>
          <w:rFonts w:ascii="Arial" w:hAnsi="Arial" w:cs="Arial"/>
          <w:i/>
          <w:color w:val="auto"/>
          <w:sz w:val="20"/>
          <w:szCs w:val="20"/>
          <w:lang w:val="en-GB"/>
        </w:rPr>
        <w:t>by the time-shift method (deferral) are</w:t>
      </w:r>
      <w:r w:rsidRPr="00CB5887">
        <w:rPr>
          <w:rFonts w:ascii="Arial" w:hAnsi="Arial" w:cs="Arial"/>
          <w:i/>
          <w:iCs/>
          <w:color w:val="auto"/>
          <w:sz w:val="20"/>
          <w:szCs w:val="17"/>
          <w:lang w:val="en-GB"/>
        </w:rPr>
        <w:t xml:space="preserve"> the basis for the calculation, i.e. corresponding amount is shifted to</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period, in which</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tax liability incurred.</w:t>
      </w:r>
    </w:p>
    <w:p w:rsidR="00E45497" w:rsidRPr="00CB5887" w:rsidRDefault="00CD54F6" w:rsidP="00693B5A">
      <w:pPr>
        <w:pStyle w:val="Normlnweb"/>
        <w:spacing w:before="120" w:beforeAutospacing="0" w:after="0" w:afterAutospacing="0"/>
        <w:ind w:firstLine="708"/>
        <w:jc w:val="both"/>
        <w:rPr>
          <w:rFonts w:ascii="Arial" w:hAnsi="Arial" w:cs="Arial"/>
          <w:bCs/>
          <w:i/>
          <w:iCs/>
          <w:color w:val="auto"/>
          <w:sz w:val="20"/>
          <w:szCs w:val="17"/>
          <w:lang w:val="en-GB"/>
        </w:rPr>
      </w:pPr>
      <w:r w:rsidRPr="00CB5887">
        <w:rPr>
          <w:rFonts w:ascii="Arial" w:hAnsi="Arial" w:cs="Arial"/>
          <w:b/>
          <w:bCs/>
          <w:i/>
          <w:iCs/>
          <w:color w:val="auto"/>
          <w:sz w:val="20"/>
          <w:szCs w:val="17"/>
          <w:lang w:val="en-GB"/>
        </w:rPr>
        <w:t>Subsidies (D.3)</w:t>
      </w:r>
      <w:r w:rsidRPr="00CB5887">
        <w:rPr>
          <w:rFonts w:ascii="Arial" w:hAnsi="Arial" w:cs="Arial"/>
          <w:bCs/>
          <w:i/>
          <w:iCs/>
          <w:color w:val="auto"/>
          <w:sz w:val="20"/>
          <w:szCs w:val="17"/>
          <w:lang w:val="en-GB"/>
        </w:rPr>
        <w:t xml:space="preserve"> are unrequited payments, which the general government or institutions of the European Union make to producers</w:t>
      </w:r>
      <w:r w:rsidRPr="00CB5887">
        <w:rPr>
          <w:rFonts w:ascii="Arial" w:hAnsi="Arial" w:cs="Arial"/>
          <w:i/>
          <w:color w:val="auto"/>
          <w:sz w:val="20"/>
          <w:szCs w:val="20"/>
          <w:lang w:val="en-GB"/>
        </w:rPr>
        <w:t xml:space="preserve">. </w:t>
      </w:r>
      <w:r w:rsidRPr="00CB5887">
        <w:rPr>
          <w:rFonts w:ascii="Arial" w:hAnsi="Arial" w:cs="Arial"/>
          <w:i/>
          <w:iCs/>
          <w:color w:val="auto"/>
          <w:sz w:val="20"/>
          <w:szCs w:val="17"/>
          <w:lang w:val="en-GB"/>
        </w:rPr>
        <w:t xml:space="preserve">They are split into subsidies on products and other subsidies on production: </w:t>
      </w:r>
    </w:p>
    <w:p w:rsidR="00E45497" w:rsidRPr="00CB5887" w:rsidRDefault="00CD54F6" w:rsidP="00E45497">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bCs/>
          <w:i/>
          <w:iCs/>
          <w:color w:val="auto"/>
          <w:sz w:val="20"/>
          <w:szCs w:val="17"/>
          <w:lang w:val="en-GB"/>
        </w:rPr>
        <w:t>subsidies on products (D.31)</w:t>
      </w:r>
      <w:r w:rsidRPr="00CB5887">
        <w:rPr>
          <w:rFonts w:ascii="Arial" w:hAnsi="Arial" w:cs="Arial"/>
          <w:i/>
          <w:iCs/>
          <w:color w:val="auto"/>
          <w:sz w:val="20"/>
          <w:szCs w:val="17"/>
          <w:lang w:val="en-GB"/>
        </w:rPr>
        <w:t xml:space="preserve"> – provided per unit of produced goods and provided services; mostly compensation for losses in production and providing of services; they include, e.g., subsidies on</w:t>
      </w:r>
      <w:r w:rsidR="006348A1" w:rsidRPr="006348A1">
        <w:rPr>
          <w:rFonts w:ascii="Arial" w:hAnsi="Arial" w:cs="Arial"/>
          <w:i/>
          <w:iCs/>
          <w:color w:val="auto"/>
          <w:sz w:val="20"/>
          <w:szCs w:val="17"/>
          <w:lang w:val="en-GB"/>
        </w:rPr>
        <w:t xml:space="preserve"> </w:t>
      </w:r>
      <w:r w:rsidR="006348A1" w:rsidRPr="00CB5887">
        <w:rPr>
          <w:rFonts w:ascii="Arial" w:hAnsi="Arial" w:cs="Arial"/>
          <w:i/>
          <w:iCs/>
          <w:color w:val="auto"/>
          <w:sz w:val="20"/>
          <w:szCs w:val="17"/>
          <w:lang w:val="en-GB"/>
        </w:rPr>
        <w:t>agricultural products</w:t>
      </w:r>
      <w:r w:rsidR="006348A1">
        <w:rPr>
          <w:rFonts w:ascii="Arial" w:hAnsi="Arial" w:cs="Arial"/>
          <w:i/>
          <w:iCs/>
          <w:color w:val="auto"/>
          <w:sz w:val="20"/>
          <w:szCs w:val="17"/>
          <w:lang w:val="en-GB"/>
        </w:rPr>
        <w:t>,</w:t>
      </w:r>
      <w:r w:rsidRPr="00CB5887">
        <w:rPr>
          <w:rFonts w:ascii="Arial" w:hAnsi="Arial" w:cs="Arial"/>
          <w:i/>
          <w:iCs/>
          <w:color w:val="auto"/>
          <w:sz w:val="20"/>
          <w:szCs w:val="17"/>
          <w:lang w:val="en-GB"/>
        </w:rPr>
        <w:t xml:space="preserve"> passenger transport, </w:t>
      </w:r>
      <w:r w:rsidR="001820E3">
        <w:rPr>
          <w:rFonts w:ascii="Arial" w:hAnsi="Arial" w:cs="Arial"/>
          <w:i/>
          <w:iCs/>
          <w:color w:val="auto"/>
          <w:sz w:val="20"/>
          <w:szCs w:val="17"/>
          <w:lang w:val="en-GB"/>
        </w:rPr>
        <w:t xml:space="preserve">or </w:t>
      </w:r>
      <w:r w:rsidRPr="00CB5887">
        <w:rPr>
          <w:rFonts w:ascii="Arial" w:hAnsi="Arial" w:cs="Arial"/>
          <w:i/>
          <w:iCs/>
          <w:color w:val="auto"/>
          <w:sz w:val="20"/>
          <w:szCs w:val="17"/>
          <w:lang w:val="en-GB"/>
        </w:rPr>
        <w:t>heat;</w:t>
      </w:r>
    </w:p>
    <w:p w:rsidR="00A8393D" w:rsidRPr="00CB5887" w:rsidRDefault="00CD54F6" w:rsidP="00267092">
      <w:pPr>
        <w:pStyle w:val="Normlnweb"/>
        <w:spacing w:before="120" w:beforeAutospacing="0" w:after="0" w:afterAutospacing="0"/>
        <w:ind w:left="170" w:hanging="170"/>
        <w:jc w:val="both"/>
        <w:rPr>
          <w:rFonts w:ascii="Arial" w:hAnsi="Arial" w:cs="Arial"/>
          <w:i/>
          <w:iCs/>
          <w:color w:val="auto"/>
          <w:sz w:val="20"/>
          <w:szCs w:val="17"/>
          <w:lang w:val="en-GB"/>
        </w:rPr>
      </w:pPr>
      <w:r w:rsidRPr="00CB5887">
        <w:rPr>
          <w:rFonts w:ascii="Arial" w:hAnsi="Arial" w:cs="Arial"/>
          <w:i/>
          <w:iCs/>
          <w:color w:val="auto"/>
          <w:sz w:val="20"/>
          <w:szCs w:val="17"/>
          <w:lang w:val="en-GB"/>
        </w:rPr>
        <w:t>– </w:t>
      </w:r>
      <w:r w:rsidRPr="00CB5887">
        <w:rPr>
          <w:rFonts w:ascii="Arial" w:hAnsi="Arial" w:cs="Arial"/>
          <w:b/>
          <w:i/>
          <w:iCs/>
          <w:color w:val="auto"/>
          <w:sz w:val="20"/>
          <w:szCs w:val="17"/>
          <w:lang w:val="en-GB"/>
        </w:rPr>
        <w:t>other subsidies on production (D.39)</w:t>
      </w:r>
      <w:r w:rsidRPr="00CB5887">
        <w:rPr>
          <w:rFonts w:ascii="Arial" w:hAnsi="Arial" w:cs="Arial"/>
          <w:i/>
          <w:iCs/>
          <w:color w:val="auto"/>
          <w:sz w:val="20"/>
          <w:szCs w:val="17"/>
          <w:lang w:val="en-GB"/>
        </w:rPr>
        <w:t xml:space="preserve"> </w:t>
      </w:r>
      <w:r w:rsidR="001820E3">
        <w:rPr>
          <w:rFonts w:ascii="Arial" w:hAnsi="Arial" w:cs="Arial"/>
          <w:i/>
          <w:iCs/>
          <w:color w:val="auto"/>
          <w:sz w:val="20"/>
          <w:szCs w:val="17"/>
          <w:lang w:val="en-GB"/>
        </w:rPr>
        <w:t xml:space="preserve">cover </w:t>
      </w:r>
      <w:r w:rsidR="001820E3" w:rsidRPr="00CB5887">
        <w:rPr>
          <w:rFonts w:ascii="Arial" w:hAnsi="Arial" w:cs="Arial"/>
          <w:i/>
          <w:iCs/>
          <w:color w:val="auto"/>
          <w:sz w:val="20"/>
          <w:szCs w:val="17"/>
          <w:lang w:val="en-GB"/>
        </w:rPr>
        <w:t xml:space="preserve">subsidies to businesses and subsidies to enterprises, which employ persons with reduced capacity to work, </w:t>
      </w:r>
      <w:r w:rsidRPr="00CB5887">
        <w:rPr>
          <w:rFonts w:ascii="Arial" w:hAnsi="Arial" w:cs="Arial"/>
          <w:i/>
          <w:iCs/>
          <w:color w:val="auto"/>
          <w:sz w:val="20"/>
          <w:szCs w:val="17"/>
          <w:lang w:val="en-GB"/>
        </w:rPr>
        <w:t xml:space="preserve">especially subsidies to cover current losses, </w:t>
      </w:r>
      <w:r w:rsidR="00D56A30">
        <w:rPr>
          <w:rFonts w:ascii="Arial" w:hAnsi="Arial" w:cs="Arial"/>
          <w:i/>
          <w:iCs/>
          <w:color w:val="auto"/>
          <w:sz w:val="20"/>
          <w:szCs w:val="17"/>
          <w:lang w:val="en-GB"/>
        </w:rPr>
        <w:t xml:space="preserve">or </w:t>
      </w:r>
      <w:r w:rsidRPr="00CB5887">
        <w:rPr>
          <w:rFonts w:ascii="Arial" w:hAnsi="Arial" w:cs="Arial"/>
          <w:i/>
          <w:iCs/>
          <w:color w:val="auto"/>
          <w:sz w:val="20"/>
          <w:szCs w:val="17"/>
          <w:lang w:val="en-GB"/>
        </w:rPr>
        <w:lastRenderedPageBreak/>
        <w:t xml:space="preserve">subsidies on intentional reduction of mining and quarrying activities, or subsidies to production from EU funds. </w:t>
      </w:r>
    </w:p>
    <w:p w:rsidR="00E9759D" w:rsidRPr="00CB5887" w:rsidRDefault="00CD54F6" w:rsidP="00E9759D">
      <w:pPr>
        <w:pStyle w:val="Normlnweb"/>
        <w:tabs>
          <w:tab w:val="left" w:pos="960"/>
        </w:tabs>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property income (D.4)</w:t>
      </w:r>
      <w:r w:rsidRPr="00CB5887">
        <w:rPr>
          <w:rFonts w:ascii="Arial" w:hAnsi="Arial" w:cs="Arial"/>
          <w:i/>
          <w:iCs/>
          <w:color w:val="auto"/>
          <w:sz w:val="20"/>
          <w:szCs w:val="17"/>
          <w:lang w:val="en-GB"/>
        </w:rPr>
        <w:t xml:space="preserve"> is the difference between receivable and payable income from the ownership of financial and tangible non-produced assets. It includes interest (on deposits, debt securities, loans including financial leasing, adjusted for the value of FISIM), dividends</w:t>
      </w:r>
      <w:r w:rsidR="005B4718">
        <w:rPr>
          <w:rFonts w:ascii="Arial" w:hAnsi="Arial" w:cs="Arial"/>
          <w:i/>
          <w:iCs/>
          <w:color w:val="auto"/>
          <w:sz w:val="20"/>
          <w:szCs w:val="17"/>
          <w:lang w:val="en-GB"/>
        </w:rPr>
        <w:t xml:space="preserve"> and profit share</w:t>
      </w:r>
      <w:r w:rsidRPr="00CB5887">
        <w:rPr>
          <w:rFonts w:ascii="Arial" w:hAnsi="Arial" w:cs="Arial"/>
          <w:i/>
          <w:iCs/>
          <w:color w:val="auto"/>
          <w:sz w:val="20"/>
          <w:szCs w:val="17"/>
          <w:lang w:val="en-GB"/>
        </w:rPr>
        <w:t xml:space="preserve"> (excluding </w:t>
      </w:r>
      <w:r w:rsidR="00F96C23">
        <w:rPr>
          <w:rFonts w:ascii="Arial" w:hAnsi="Arial" w:cs="Arial"/>
          <w:i/>
          <w:iCs/>
          <w:color w:val="auto"/>
          <w:sz w:val="20"/>
          <w:szCs w:val="17"/>
          <w:lang w:val="en-GB"/>
        </w:rPr>
        <w:t>superdividends</w:t>
      </w:r>
      <w:r w:rsidRPr="00F96C23">
        <w:rPr>
          <w:rFonts w:ascii="Arial" w:hAnsi="Arial" w:cs="Arial"/>
          <w:i/>
          <w:iCs/>
          <w:color w:val="auto"/>
          <w:sz w:val="20"/>
          <w:szCs w:val="17"/>
          <w:lang w:val="en-GB"/>
        </w:rPr>
        <w:t>), some other income from distributed profit, and drawing of entrepreneurial income</w:t>
      </w:r>
      <w:r w:rsidR="005B4718">
        <w:rPr>
          <w:rFonts w:ascii="Arial" w:hAnsi="Arial" w:cs="Arial"/>
          <w:i/>
          <w:iCs/>
          <w:color w:val="auto"/>
          <w:sz w:val="20"/>
          <w:szCs w:val="17"/>
          <w:lang w:val="en-GB"/>
        </w:rPr>
        <w:t xml:space="preserve"> and</w:t>
      </w:r>
      <w:r w:rsidR="005B4718" w:rsidRPr="005B4718">
        <w:rPr>
          <w:rFonts w:ascii="Arial" w:hAnsi="Arial" w:cs="Arial"/>
          <w:i/>
          <w:iCs/>
          <w:color w:val="auto"/>
          <w:sz w:val="20"/>
          <w:szCs w:val="17"/>
          <w:lang w:val="en-GB"/>
        </w:rPr>
        <w:t xml:space="preserve"> </w:t>
      </w:r>
      <w:r w:rsidR="005B4718" w:rsidRPr="00CB5887">
        <w:rPr>
          <w:rFonts w:ascii="Arial" w:hAnsi="Arial" w:cs="Arial"/>
          <w:i/>
          <w:iCs/>
          <w:color w:val="auto"/>
          <w:sz w:val="20"/>
          <w:szCs w:val="17"/>
          <w:lang w:val="en-GB"/>
        </w:rPr>
        <w:t>rents on land</w:t>
      </w:r>
      <w:r w:rsidRPr="00F96C23">
        <w:rPr>
          <w:rFonts w:ascii="Arial" w:hAnsi="Arial" w:cs="Arial"/>
          <w:i/>
          <w:iCs/>
          <w:color w:val="auto"/>
          <w:sz w:val="20"/>
          <w:szCs w:val="17"/>
          <w:lang w:val="en-GB"/>
        </w:rPr>
        <w:t>. Interest on swap and FRA (forward rate agreement) operations are recorded on</w:t>
      </w:r>
      <w:r w:rsidR="00CB5887" w:rsidRPr="00F96C23">
        <w:rPr>
          <w:rFonts w:ascii="Arial" w:hAnsi="Arial" w:cs="Arial"/>
          <w:i/>
          <w:iCs/>
          <w:color w:val="auto"/>
          <w:sz w:val="20"/>
          <w:szCs w:val="17"/>
          <w:lang w:val="en-GB"/>
        </w:rPr>
        <w:t xml:space="preserve"> the </w:t>
      </w:r>
      <w:r w:rsidRPr="00F96C23">
        <w:rPr>
          <w:rFonts w:ascii="Arial" w:hAnsi="Arial" w:cs="Arial"/>
          <w:i/>
          <w:iCs/>
          <w:color w:val="auto"/>
          <w:sz w:val="20"/>
          <w:szCs w:val="17"/>
          <w:lang w:val="en-GB"/>
        </w:rPr>
        <w:t xml:space="preserve">financial account; </w:t>
      </w:r>
      <w:r w:rsidR="00F96C23">
        <w:rPr>
          <w:rFonts w:ascii="Arial" w:hAnsi="Arial" w:cs="Arial"/>
          <w:i/>
          <w:iCs/>
          <w:color w:val="auto"/>
          <w:sz w:val="20"/>
          <w:szCs w:val="17"/>
          <w:lang w:val="en-GB"/>
        </w:rPr>
        <w:t>super</w:t>
      </w:r>
      <w:r w:rsidR="00842425" w:rsidRPr="00F96C23">
        <w:rPr>
          <w:rFonts w:ascii="Arial" w:hAnsi="Arial" w:cs="Arial"/>
          <w:i/>
          <w:iCs/>
          <w:color w:val="auto"/>
          <w:sz w:val="20"/>
          <w:szCs w:val="17"/>
          <w:lang w:val="en-GB"/>
        </w:rPr>
        <w:t>dividends</w:t>
      </w:r>
      <w:r w:rsidR="00AA6D2F" w:rsidRPr="00F96C23">
        <w:rPr>
          <w:rFonts w:ascii="Arial" w:hAnsi="Arial" w:cs="Arial"/>
          <w:i/>
          <w:iCs/>
          <w:color w:val="auto"/>
          <w:sz w:val="20"/>
          <w:szCs w:val="17"/>
          <w:lang w:val="en-GB"/>
        </w:rPr>
        <w:t xml:space="preserve"> (e.g. retained and paid </w:t>
      </w:r>
      <w:r w:rsidR="003F1221" w:rsidRPr="00F96C23">
        <w:rPr>
          <w:rFonts w:ascii="Arial" w:hAnsi="Arial" w:cs="Arial"/>
          <w:i/>
          <w:iCs/>
          <w:color w:val="auto"/>
          <w:sz w:val="20"/>
          <w:szCs w:val="17"/>
          <w:lang w:val="en-GB"/>
        </w:rPr>
        <w:t>at once</w:t>
      </w:r>
      <w:r w:rsidR="00AA6D2F" w:rsidRPr="00F96C23">
        <w:rPr>
          <w:rFonts w:ascii="Arial" w:hAnsi="Arial" w:cs="Arial"/>
          <w:i/>
          <w:iCs/>
          <w:color w:val="auto"/>
          <w:sz w:val="20"/>
          <w:szCs w:val="17"/>
          <w:lang w:val="en-GB"/>
        </w:rPr>
        <w:t xml:space="preserve"> for several years)</w:t>
      </w:r>
      <w:r w:rsidRPr="00F96C23">
        <w:rPr>
          <w:rFonts w:ascii="Arial" w:hAnsi="Arial" w:cs="Arial"/>
          <w:i/>
          <w:iCs/>
          <w:color w:val="auto"/>
          <w:sz w:val="20"/>
          <w:szCs w:val="17"/>
          <w:lang w:val="en-GB"/>
        </w:rPr>
        <w:t xml:space="preserve"> are recorded on</w:t>
      </w:r>
      <w:r w:rsidR="00CB5887" w:rsidRPr="00F96C23">
        <w:rPr>
          <w:rFonts w:ascii="Arial" w:hAnsi="Arial" w:cs="Arial"/>
          <w:i/>
          <w:iCs/>
          <w:color w:val="auto"/>
          <w:sz w:val="20"/>
          <w:szCs w:val="17"/>
          <w:lang w:val="en-GB"/>
        </w:rPr>
        <w:t xml:space="preserve"> the </w:t>
      </w:r>
      <w:r w:rsidRPr="00F96C23">
        <w:rPr>
          <w:rFonts w:ascii="Arial" w:hAnsi="Arial" w:cs="Arial"/>
          <w:i/>
          <w:iCs/>
          <w:color w:val="auto"/>
          <w:sz w:val="20"/>
          <w:szCs w:val="17"/>
          <w:lang w:val="en-GB"/>
        </w:rPr>
        <w:t>financial account</w:t>
      </w:r>
      <w:r w:rsidRPr="00CB5887">
        <w:rPr>
          <w:rFonts w:ascii="Arial" w:hAnsi="Arial" w:cs="Arial"/>
          <w:i/>
          <w:iCs/>
          <w:color w:val="auto"/>
          <w:sz w:val="20"/>
          <w:szCs w:val="17"/>
          <w:lang w:val="en-GB"/>
        </w:rPr>
        <w:t xml:space="preserve"> as withdrawal of shares by their owner.</w:t>
      </w:r>
    </w:p>
    <w:p w:rsidR="00802C8C" w:rsidRPr="00CB5887" w:rsidRDefault="00CD54F6" w:rsidP="00802C8C">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Current taxes on income, wealth, etc. (D.5)</w:t>
      </w:r>
      <w:r w:rsidRPr="00CB5887">
        <w:rPr>
          <w:rFonts w:ascii="Arial" w:hAnsi="Arial" w:cs="Arial"/>
          <w:i/>
          <w:iCs/>
          <w:color w:val="auto"/>
          <w:sz w:val="20"/>
          <w:szCs w:val="17"/>
          <w:lang w:val="en-GB"/>
        </w:rPr>
        <w:t xml:space="preserve"> are taxes on income and capital gains (direct taxes), including additional tax payments and tax penalties. They are taxes on income of natural and legal persons and also include taxes on interest, dividends, winnings from betting and lotteries and taxes on purchase and sale of real estate. Data on tax revenue adjusted </w:t>
      </w:r>
      <w:r w:rsidRPr="00CB5887">
        <w:rPr>
          <w:rFonts w:ascii="Arial" w:hAnsi="Arial" w:cs="Arial"/>
          <w:i/>
          <w:color w:val="auto"/>
          <w:sz w:val="20"/>
          <w:szCs w:val="20"/>
          <w:lang w:val="en-GB"/>
        </w:rPr>
        <w:t>by the time-shift method (deferral) are</w:t>
      </w:r>
      <w:r w:rsidRPr="00CB5887">
        <w:rPr>
          <w:rFonts w:ascii="Arial" w:hAnsi="Arial" w:cs="Arial"/>
          <w:i/>
          <w:iCs/>
          <w:color w:val="auto"/>
          <w:sz w:val="20"/>
          <w:szCs w:val="17"/>
          <w:lang w:val="en-GB"/>
        </w:rPr>
        <w:t xml:space="preserve"> the basis for the calculation. Further, they include some of administration charges (e.g. dog fees or entry fees, etc.)</w:t>
      </w:r>
      <w:r w:rsidR="00716ECF" w:rsidRPr="00764672">
        <w:rPr>
          <w:rFonts w:ascii="Arial" w:hAnsi="Arial" w:cs="Arial"/>
          <w:i/>
          <w:iCs/>
          <w:color w:val="auto"/>
          <w:sz w:val="20"/>
          <w:szCs w:val="17"/>
          <w:lang w:val="en-GB"/>
        </w:rPr>
        <w:t>.</w:t>
      </w:r>
      <w:r w:rsidR="00761B3A">
        <w:rPr>
          <w:rFonts w:ascii="Arial" w:hAnsi="Arial" w:cs="Arial"/>
          <w:i/>
          <w:iCs/>
          <w:color w:val="auto"/>
          <w:sz w:val="20"/>
          <w:szCs w:val="17"/>
          <w:lang w:val="en-GB"/>
        </w:rPr>
        <w:t xml:space="preserve"> </w:t>
      </w:r>
      <w:r w:rsidR="00716ECF" w:rsidRPr="00764672">
        <w:rPr>
          <w:rFonts w:ascii="Arial" w:hAnsi="Arial" w:cs="Arial"/>
          <w:i/>
          <w:iCs/>
          <w:color w:val="auto"/>
          <w:sz w:val="20"/>
          <w:szCs w:val="17"/>
          <w:lang w:val="en-GB"/>
        </w:rPr>
        <w:t>S</w:t>
      </w:r>
      <w:r w:rsidR="00D042AA" w:rsidRPr="00764672">
        <w:rPr>
          <w:rFonts w:ascii="Arial" w:hAnsi="Arial" w:cs="Arial"/>
          <w:i/>
          <w:iCs/>
          <w:color w:val="auto"/>
          <w:sz w:val="20"/>
          <w:szCs w:val="17"/>
          <w:lang w:val="en-GB"/>
        </w:rPr>
        <w:t>ince January</w:t>
      </w:r>
      <w:r w:rsidR="004330D8">
        <w:rPr>
          <w:rFonts w:ascii="Arial" w:hAnsi="Arial" w:cs="Arial"/>
          <w:i/>
          <w:iCs/>
          <w:color w:val="auto"/>
          <w:sz w:val="20"/>
          <w:szCs w:val="17"/>
          <w:lang w:val="en-GB"/>
        </w:rPr>
        <w:t> </w:t>
      </w:r>
      <w:r w:rsidR="00D042AA" w:rsidRPr="00764672">
        <w:rPr>
          <w:rFonts w:ascii="Arial" w:hAnsi="Arial" w:cs="Arial"/>
          <w:i/>
          <w:iCs/>
          <w:color w:val="auto"/>
          <w:sz w:val="20"/>
          <w:szCs w:val="17"/>
          <w:lang w:val="en-GB"/>
        </w:rPr>
        <w:t>2014</w:t>
      </w:r>
      <w:r w:rsidR="00486D65">
        <w:rPr>
          <w:rFonts w:ascii="Arial" w:hAnsi="Arial" w:cs="Arial"/>
          <w:i/>
          <w:iCs/>
          <w:color w:val="auto"/>
          <w:sz w:val="20"/>
          <w:szCs w:val="17"/>
          <w:lang w:val="en-GB"/>
        </w:rPr>
        <w:t>,</w:t>
      </w:r>
      <w:r w:rsidR="00D042AA" w:rsidRPr="00764672">
        <w:rPr>
          <w:rFonts w:ascii="Arial" w:hAnsi="Arial" w:cs="Arial"/>
          <w:i/>
          <w:iCs/>
          <w:color w:val="auto"/>
          <w:sz w:val="20"/>
          <w:szCs w:val="17"/>
          <w:lang w:val="en-GB"/>
        </w:rPr>
        <w:t xml:space="preserve"> taxes on income include </w:t>
      </w:r>
      <w:r w:rsidR="00486D65">
        <w:rPr>
          <w:rFonts w:ascii="Arial" w:hAnsi="Arial" w:cs="Arial"/>
          <w:i/>
          <w:iCs/>
          <w:color w:val="auto"/>
          <w:sz w:val="20"/>
          <w:szCs w:val="17"/>
          <w:lang w:val="en-GB"/>
        </w:rPr>
        <w:t xml:space="preserve">also </w:t>
      </w:r>
      <w:r w:rsidR="00D042AA" w:rsidRPr="00764672">
        <w:rPr>
          <w:rFonts w:ascii="Arial" w:hAnsi="Arial" w:cs="Arial"/>
          <w:i/>
          <w:iCs/>
          <w:color w:val="auto"/>
          <w:sz w:val="20"/>
          <w:szCs w:val="17"/>
          <w:lang w:val="en-GB"/>
        </w:rPr>
        <w:t>revenue from</w:t>
      </w:r>
      <w:r w:rsidR="00D042AA" w:rsidRPr="00764672">
        <w:t xml:space="preserve"> </w:t>
      </w:r>
      <w:r w:rsidR="00C676A9">
        <w:rPr>
          <w:rFonts w:ascii="Arial" w:hAnsi="Arial" w:cs="Arial"/>
          <w:i/>
          <w:iCs/>
          <w:color w:val="auto"/>
          <w:sz w:val="20"/>
          <w:szCs w:val="17"/>
          <w:lang w:val="en-GB"/>
        </w:rPr>
        <w:t>i</w:t>
      </w:r>
      <w:r w:rsidR="00D042AA" w:rsidRPr="00764672">
        <w:rPr>
          <w:rFonts w:ascii="Arial" w:hAnsi="Arial" w:cs="Arial"/>
          <w:i/>
          <w:iCs/>
          <w:color w:val="auto"/>
          <w:sz w:val="20"/>
          <w:szCs w:val="17"/>
          <w:lang w:val="en-GB"/>
        </w:rPr>
        <w:t>nheritance and gifts</w:t>
      </w:r>
      <w:r w:rsidR="00F24062" w:rsidRPr="00764672">
        <w:rPr>
          <w:rFonts w:ascii="Arial" w:hAnsi="Arial" w:cs="Arial"/>
          <w:i/>
          <w:iCs/>
          <w:color w:val="auto"/>
          <w:sz w:val="20"/>
          <w:szCs w:val="17"/>
          <w:lang w:val="en-GB"/>
        </w:rPr>
        <w:t xml:space="preserve"> </w:t>
      </w:r>
      <w:r w:rsidR="00C676A9">
        <w:rPr>
          <w:rFonts w:ascii="Arial" w:hAnsi="Arial" w:cs="Arial"/>
          <w:i/>
          <w:iCs/>
          <w:color w:val="auto"/>
          <w:sz w:val="20"/>
          <w:szCs w:val="17"/>
          <w:lang w:val="en-GB"/>
        </w:rPr>
        <w:t>that</w:t>
      </w:r>
      <w:r w:rsidR="007745F3" w:rsidRPr="00764672">
        <w:rPr>
          <w:rFonts w:ascii="Arial" w:hAnsi="Arial" w:cs="Arial"/>
          <w:i/>
          <w:iCs/>
          <w:color w:val="auto"/>
          <w:sz w:val="20"/>
          <w:szCs w:val="17"/>
          <w:lang w:val="en-GB"/>
        </w:rPr>
        <w:t xml:space="preserve"> cannot be </w:t>
      </w:r>
      <w:r w:rsidR="00764672" w:rsidRPr="00764672">
        <w:rPr>
          <w:rFonts w:ascii="Arial" w:hAnsi="Arial" w:cs="Arial"/>
          <w:i/>
          <w:iCs/>
          <w:color w:val="auto"/>
          <w:sz w:val="20"/>
          <w:szCs w:val="17"/>
          <w:lang w:val="en-GB"/>
        </w:rPr>
        <w:t>identifie</w:t>
      </w:r>
      <w:r w:rsidR="00764672">
        <w:rPr>
          <w:rFonts w:ascii="Arial" w:hAnsi="Arial" w:cs="Arial"/>
          <w:i/>
          <w:iCs/>
          <w:color w:val="auto"/>
          <w:sz w:val="20"/>
          <w:szCs w:val="17"/>
          <w:lang w:val="en-GB"/>
        </w:rPr>
        <w:t>d</w:t>
      </w:r>
      <w:r w:rsidR="00D042AA" w:rsidRPr="00764672">
        <w:rPr>
          <w:rFonts w:ascii="Arial" w:hAnsi="Arial" w:cs="Arial"/>
          <w:i/>
          <w:iCs/>
          <w:color w:val="auto"/>
          <w:sz w:val="20"/>
          <w:szCs w:val="17"/>
          <w:lang w:val="en-GB"/>
        </w:rPr>
        <w:t>.</w:t>
      </w:r>
      <w:r w:rsidRPr="00CB5887">
        <w:rPr>
          <w:rFonts w:ascii="Arial" w:hAnsi="Arial" w:cs="Arial"/>
          <w:i/>
          <w:iCs/>
          <w:color w:val="auto"/>
          <w:sz w:val="20"/>
          <w:szCs w:val="17"/>
          <w:lang w:val="en-GB"/>
        </w:rPr>
        <w:t xml:space="preserve"> Property taxes on financial assets have not been introduced to the tax system of the </w:t>
      </w:r>
      <w:r w:rsidR="000B58A3">
        <w:rPr>
          <w:rFonts w:ascii="Arial" w:hAnsi="Arial" w:cs="Arial"/>
          <w:i/>
          <w:iCs/>
          <w:color w:val="auto"/>
          <w:sz w:val="20"/>
          <w:szCs w:val="17"/>
          <w:lang w:val="en-GB"/>
        </w:rPr>
        <w:t>Czech Republic</w:t>
      </w:r>
      <w:r w:rsidRPr="00CB5887">
        <w:rPr>
          <w:rFonts w:ascii="Arial" w:hAnsi="Arial" w:cs="Arial"/>
          <w:i/>
          <w:iCs/>
          <w:color w:val="auto"/>
          <w:sz w:val="20"/>
          <w:szCs w:val="17"/>
          <w:lang w:val="en-GB"/>
        </w:rPr>
        <w:t>.</w:t>
      </w:r>
    </w:p>
    <w:p w:rsidR="007A0767" w:rsidRPr="00CB5887" w:rsidRDefault="00CD54F6" w:rsidP="007A0767">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social contributions (D.61)</w:t>
      </w:r>
      <w:r w:rsidRPr="00CB5887">
        <w:rPr>
          <w:rFonts w:ascii="Arial" w:hAnsi="Arial" w:cs="Arial"/>
          <w:i/>
          <w:iCs/>
          <w:color w:val="auto"/>
          <w:sz w:val="20"/>
          <w:szCs w:val="17"/>
          <w:lang w:val="en-GB"/>
        </w:rPr>
        <w:t xml:space="preserve"> – compulsory and voluntary: are split by payer (paid by employers for their employees and </w:t>
      </w:r>
      <w:r w:rsidR="00536357">
        <w:rPr>
          <w:rFonts w:ascii="Arial" w:hAnsi="Arial" w:cs="Arial"/>
          <w:i/>
          <w:iCs/>
          <w:color w:val="auto"/>
          <w:sz w:val="20"/>
          <w:szCs w:val="17"/>
          <w:lang w:val="en-GB"/>
        </w:rPr>
        <w:t xml:space="preserve">by </w:t>
      </w:r>
      <w:r w:rsidRPr="00CB5887">
        <w:rPr>
          <w:rFonts w:ascii="Arial" w:hAnsi="Arial" w:cs="Arial"/>
          <w:i/>
          <w:iCs/>
          <w:color w:val="auto"/>
          <w:sz w:val="20"/>
          <w:szCs w:val="17"/>
          <w:lang w:val="en-GB"/>
        </w:rPr>
        <w:t xml:space="preserve">households, i.e. </w:t>
      </w:r>
      <w:r w:rsidR="00536357">
        <w:rPr>
          <w:rFonts w:ascii="Arial" w:hAnsi="Arial" w:cs="Arial"/>
          <w:i/>
          <w:iCs/>
          <w:color w:val="auto"/>
          <w:sz w:val="20"/>
          <w:szCs w:val="17"/>
          <w:lang w:val="en-GB"/>
        </w:rPr>
        <w:t xml:space="preserve">by </w:t>
      </w:r>
      <w:r w:rsidRPr="00CB5887">
        <w:rPr>
          <w:rFonts w:ascii="Arial" w:hAnsi="Arial" w:cs="Arial"/>
          <w:i/>
          <w:iCs/>
          <w:color w:val="auto"/>
          <w:sz w:val="20"/>
          <w:szCs w:val="17"/>
          <w:lang w:val="en-GB"/>
        </w:rPr>
        <w:t>employees, the self-employed, and other natural persons) and by actual and imputed social contributions. Actual social contributions show in total all payments to providers of social benefits, and include contributions to compulsory social, health</w:t>
      </w:r>
      <w:r w:rsidR="007C15B6">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compulsory accident insurance and supplementary pension insurance. Imputed social contributions include direct social assistance from employers (this second imputation results from the need to balance the relation to social benefits). Within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social contributions, pension and non-pension social contributions are reported, too. Social contributions comprise also payment for services provided by corporations that administer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contributions. Social contributions revenue</w:t>
      </w:r>
      <w:r w:rsidR="000412F6">
        <w:rPr>
          <w:rFonts w:ascii="Arial" w:hAnsi="Arial" w:cs="Arial"/>
          <w:i/>
          <w:iCs/>
          <w:color w:val="auto"/>
          <w:sz w:val="20"/>
          <w:szCs w:val="17"/>
          <w:lang w:val="en-GB"/>
        </w:rPr>
        <w:t xml:space="preserve"> of </w:t>
      </w:r>
      <w:r w:rsidR="004330D8">
        <w:rPr>
          <w:rFonts w:ascii="Arial" w:hAnsi="Arial" w:cs="Arial"/>
          <w:i/>
          <w:iCs/>
          <w:color w:val="auto"/>
          <w:sz w:val="20"/>
          <w:szCs w:val="17"/>
          <w:lang w:val="en-GB"/>
        </w:rPr>
        <w:t>the </w:t>
      </w:r>
      <w:r w:rsidR="005F4892">
        <w:rPr>
          <w:rFonts w:ascii="Arial" w:hAnsi="Arial" w:cs="Arial"/>
          <w:i/>
          <w:iCs/>
          <w:color w:val="auto"/>
          <w:sz w:val="20"/>
          <w:szCs w:val="17"/>
          <w:lang w:val="en-GB"/>
        </w:rPr>
        <w:t xml:space="preserve">general </w:t>
      </w:r>
      <w:r w:rsidR="000412F6">
        <w:rPr>
          <w:rFonts w:ascii="Arial" w:hAnsi="Arial" w:cs="Arial"/>
          <w:i/>
          <w:iCs/>
          <w:color w:val="auto"/>
          <w:sz w:val="20"/>
          <w:szCs w:val="17"/>
          <w:lang w:val="en-GB"/>
        </w:rPr>
        <w:t xml:space="preserve">government </w:t>
      </w:r>
      <w:r w:rsidRPr="00CB5887">
        <w:rPr>
          <w:rFonts w:ascii="Arial" w:hAnsi="Arial" w:cs="Arial"/>
          <w:i/>
          <w:iCs/>
          <w:color w:val="auto"/>
          <w:sz w:val="20"/>
          <w:szCs w:val="17"/>
          <w:lang w:val="en-GB"/>
        </w:rPr>
        <w:t>is adjusted by time-shift method.</w:t>
      </w:r>
    </w:p>
    <w:p w:rsidR="0086013A" w:rsidRPr="00CB5887" w:rsidRDefault="00CD54F6" w:rsidP="00212272">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Social benefits other than social transfers in kind (D.62)</w:t>
      </w:r>
      <w:r w:rsidRPr="00CB5887">
        <w:rPr>
          <w:rFonts w:ascii="Arial" w:hAnsi="Arial" w:cs="Arial"/>
          <w:i/>
          <w:iCs/>
          <w:color w:val="auto"/>
          <w:sz w:val="20"/>
          <w:szCs w:val="17"/>
          <w:lang w:val="en-GB"/>
        </w:rPr>
        <w:t xml:space="preserve">: benefits resulting from participation in </w:t>
      </w:r>
      <w:r w:rsidR="00C26E9E">
        <w:rPr>
          <w:rFonts w:ascii="Arial" w:hAnsi="Arial" w:cs="Arial"/>
          <w:i/>
          <w:iCs/>
          <w:color w:val="auto"/>
          <w:sz w:val="20"/>
          <w:szCs w:val="17"/>
          <w:lang w:val="en-GB"/>
        </w:rPr>
        <w:t xml:space="preserve">the </w:t>
      </w:r>
      <w:r w:rsidRPr="00CB5887">
        <w:rPr>
          <w:rFonts w:ascii="Arial" w:hAnsi="Arial" w:cs="Arial"/>
          <w:i/>
          <w:iCs/>
          <w:color w:val="auto"/>
          <w:sz w:val="20"/>
          <w:szCs w:val="17"/>
          <w:lang w:val="en-GB"/>
        </w:rPr>
        <w:t xml:space="preserve">social insurance system, i.e. under </w:t>
      </w:r>
      <w:r w:rsidR="00C26E9E">
        <w:rPr>
          <w:rFonts w:ascii="Arial" w:hAnsi="Arial" w:cs="Arial"/>
          <w:i/>
          <w:iCs/>
          <w:color w:val="auto"/>
          <w:sz w:val="20"/>
          <w:szCs w:val="17"/>
          <w:lang w:val="en-GB"/>
        </w:rPr>
        <w:t xml:space="preserve">the </w:t>
      </w:r>
      <w:r w:rsidRPr="00CB5887">
        <w:rPr>
          <w:rFonts w:ascii="Arial" w:hAnsi="Arial" w:cs="Arial"/>
          <w:i/>
          <w:iCs/>
          <w:color w:val="auto"/>
          <w:sz w:val="20"/>
          <w:szCs w:val="17"/>
          <w:lang w:val="en-GB"/>
        </w:rPr>
        <w:t>social security system (general social insurance scheme and compulsory accident insurance schemes paid by employers for their employees) and supplementary pension insurance schemes. They also include social benefits in cash paid by municipalities (from</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budget, outside</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insurance system) in the framework of care of the family or care of senior citizens</w:t>
      </w:r>
      <w:r w:rsidRPr="00CB5887">
        <w:rPr>
          <w:rFonts w:ascii="Arial" w:hAnsi="Arial" w:cs="Arial"/>
          <w:i/>
          <w:color w:val="auto"/>
          <w:sz w:val="20"/>
          <w:szCs w:val="20"/>
          <w:lang w:val="en-GB"/>
        </w:rPr>
        <w:t xml:space="preserve"> and wage compensation (sickness benefit) paid by an employer in the period of incapacity for work of the employees. Social benefits are presented split by benefit from pension insurance, other social insurance benefits, and social assistance benefits.</w:t>
      </w:r>
    </w:p>
    <w:p w:rsidR="00533EF6" w:rsidRPr="00CB5887" w:rsidRDefault="00CD54F6" w:rsidP="000771FB">
      <w:pPr>
        <w:spacing w:before="120"/>
        <w:ind w:firstLine="709"/>
        <w:rPr>
          <w:rFonts w:ascii="Arial" w:hAnsi="Arial" w:cs="Arial"/>
          <w:b/>
          <w:i/>
          <w:sz w:val="20"/>
          <w:szCs w:val="20"/>
        </w:rPr>
      </w:pPr>
      <w:r w:rsidRPr="00CB5887">
        <w:rPr>
          <w:rFonts w:ascii="Arial" w:hAnsi="Arial" w:cs="Arial"/>
          <w:b/>
          <w:bCs/>
          <w:i/>
          <w:iCs/>
          <w:sz w:val="20"/>
          <w:szCs w:val="17"/>
        </w:rPr>
        <w:t>Other current transfers (D.7)</w:t>
      </w:r>
      <w:r w:rsidRPr="00CB5887">
        <w:rPr>
          <w:rFonts w:ascii="Arial" w:hAnsi="Arial" w:cs="Arial"/>
          <w:i/>
          <w:iCs/>
          <w:sz w:val="20"/>
          <w:szCs w:val="17"/>
        </w:rPr>
        <w:t xml:space="preserve"> include non-life insurance payments and reinsurance, non-life </w:t>
      </w:r>
      <w:r w:rsidR="00B74C3B">
        <w:rPr>
          <w:rFonts w:ascii="Arial" w:hAnsi="Arial" w:cs="Arial"/>
          <w:i/>
          <w:iCs/>
          <w:sz w:val="20"/>
          <w:szCs w:val="17"/>
        </w:rPr>
        <w:t>insurance claims, payments within the general government sector, current international cooperation, and other current transfers. Non-life insurance is recorded as net non-life insurance (i.e. insurance minus insurance services) and insurance claims. They</w:t>
      </w:r>
      <w:r w:rsidRPr="00CB5887">
        <w:rPr>
          <w:rFonts w:ascii="Arial" w:hAnsi="Arial" w:cs="Arial"/>
          <w:i/>
          <w:iCs/>
          <w:sz w:val="20"/>
          <w:szCs w:val="17"/>
        </w:rPr>
        <w:t xml:space="preserve"> exclude transactions linked to life insurance, supplementary pension insurance or general social and health insurance. Current transfers within the general government sector comprise non-investment transfers between the state budget and local government budgets; transfers between units of the same subsector</w:t>
      </w:r>
      <w:r w:rsidR="005F6D48">
        <w:rPr>
          <w:rFonts w:ascii="Arial" w:hAnsi="Arial" w:cs="Arial"/>
          <w:i/>
          <w:iCs/>
          <w:sz w:val="20"/>
          <w:szCs w:val="17"/>
        </w:rPr>
        <w:t xml:space="preserve"> of the general government sector</w:t>
      </w:r>
      <w:r w:rsidRPr="00CB5887">
        <w:rPr>
          <w:rFonts w:ascii="Arial" w:hAnsi="Arial" w:cs="Arial"/>
          <w:i/>
          <w:iCs/>
          <w:sz w:val="20"/>
          <w:szCs w:val="17"/>
        </w:rPr>
        <w:t xml:space="preserve"> are consolidated (e.g. between the state budget and public universities). Current international cooperation includes transfers between the Government of the </w:t>
      </w:r>
      <w:r w:rsidR="00A7082A">
        <w:rPr>
          <w:rFonts w:ascii="Arial" w:hAnsi="Arial" w:cs="Arial"/>
          <w:i/>
          <w:iCs/>
          <w:sz w:val="20"/>
          <w:szCs w:val="17"/>
        </w:rPr>
        <w:t>Czech Republic</w:t>
      </w:r>
      <w:r w:rsidR="00A7082A" w:rsidRPr="00CB5887">
        <w:rPr>
          <w:rFonts w:ascii="Arial" w:hAnsi="Arial" w:cs="Arial"/>
          <w:i/>
          <w:iCs/>
          <w:sz w:val="20"/>
          <w:szCs w:val="17"/>
        </w:rPr>
        <w:t xml:space="preserve"> </w:t>
      </w:r>
      <w:r w:rsidRPr="00CB5887">
        <w:rPr>
          <w:rFonts w:ascii="Arial" w:hAnsi="Arial" w:cs="Arial"/>
          <w:i/>
          <w:iCs/>
          <w:sz w:val="20"/>
          <w:szCs w:val="17"/>
        </w:rPr>
        <w:t>and governments of other countries or international organisations (e.g., payments within the European Union and the </w:t>
      </w:r>
      <w:r w:rsidR="00FF3D11">
        <w:rPr>
          <w:rFonts w:ascii="Arial" w:hAnsi="Arial" w:cs="Arial"/>
          <w:i/>
          <w:iCs/>
          <w:sz w:val="20"/>
          <w:szCs w:val="17"/>
        </w:rPr>
        <w:t>United Nations Organization</w:t>
      </w:r>
      <w:r w:rsidR="00FF3D11" w:rsidRPr="00CB5887">
        <w:rPr>
          <w:rFonts w:ascii="Arial" w:hAnsi="Arial" w:cs="Arial"/>
          <w:i/>
          <w:iCs/>
          <w:sz w:val="20"/>
          <w:szCs w:val="17"/>
        </w:rPr>
        <w:t xml:space="preserve"> </w:t>
      </w:r>
      <w:r w:rsidRPr="00CB5887">
        <w:rPr>
          <w:rFonts w:ascii="Arial" w:hAnsi="Arial" w:cs="Arial"/>
          <w:i/>
          <w:iCs/>
          <w:sz w:val="20"/>
          <w:szCs w:val="17"/>
        </w:rPr>
        <w:t>or subsidies from the EU funds, or food, technical</w:t>
      </w:r>
      <w:r w:rsidR="001B2E3A">
        <w:rPr>
          <w:rFonts w:ascii="Arial" w:hAnsi="Arial" w:cs="Arial"/>
          <w:i/>
          <w:iCs/>
          <w:sz w:val="20"/>
          <w:szCs w:val="17"/>
        </w:rPr>
        <w:t>,</w:t>
      </w:r>
      <w:r w:rsidRPr="00CB5887">
        <w:rPr>
          <w:rFonts w:ascii="Arial" w:hAnsi="Arial" w:cs="Arial"/>
          <w:i/>
          <w:iCs/>
          <w:sz w:val="20"/>
          <w:szCs w:val="17"/>
        </w:rPr>
        <w:t xml:space="preserve"> and other assistance). The other current transfers include payments to non-profit institutions serving households (membership subscriptions and financial support to political, trade union, church and similar institutions, payments for humanitarian purposes), current transfers between households (financial assistance and gifts from relatives, alimony, including private international transfers), other </w:t>
      </w:r>
      <w:r w:rsidR="006B3BB2">
        <w:rPr>
          <w:rFonts w:ascii="Arial" w:hAnsi="Arial" w:cs="Arial"/>
          <w:i/>
          <w:iCs/>
          <w:sz w:val="20"/>
          <w:szCs w:val="17"/>
        </w:rPr>
        <w:t xml:space="preserve">transfers not included above (such as fines, </w:t>
      </w:r>
      <w:r w:rsidR="00DB00F0" w:rsidRPr="00DB00F0">
        <w:rPr>
          <w:rFonts w:ascii="Arial" w:hAnsi="Arial" w:cs="Arial"/>
          <w:i/>
          <w:iCs/>
          <w:sz w:val="20"/>
          <w:szCs w:val="17"/>
        </w:rPr>
        <w:t>penalties imposed in</w:t>
      </w:r>
      <w:r w:rsidR="006B3BB2">
        <w:rPr>
          <w:rFonts w:ascii="Arial" w:hAnsi="Arial" w:cs="Arial"/>
          <w:i/>
          <w:iCs/>
          <w:sz w:val="20"/>
          <w:szCs w:val="17"/>
        </w:rPr>
        <w:t xml:space="preserve"> </w:t>
      </w:r>
      <w:r w:rsidR="00CF2319">
        <w:rPr>
          <w:rFonts w:ascii="Arial" w:hAnsi="Arial" w:cs="Arial"/>
          <w:i/>
          <w:iCs/>
          <w:sz w:val="20"/>
          <w:szCs w:val="17"/>
        </w:rPr>
        <w:t>an</w:t>
      </w:r>
      <w:r w:rsidR="004330D8">
        <w:rPr>
          <w:rFonts w:ascii="Arial" w:hAnsi="Arial" w:cs="Arial"/>
          <w:i/>
          <w:iCs/>
          <w:sz w:val="20"/>
          <w:szCs w:val="17"/>
        </w:rPr>
        <w:t> </w:t>
      </w:r>
      <w:r w:rsidR="006B3BB2">
        <w:rPr>
          <w:rFonts w:ascii="Arial" w:hAnsi="Arial" w:cs="Arial"/>
          <w:i/>
          <w:iCs/>
          <w:sz w:val="20"/>
          <w:szCs w:val="17"/>
        </w:rPr>
        <w:t>administrative procedure, on-the-</w:t>
      </w:r>
      <w:r w:rsidR="00BD767F">
        <w:rPr>
          <w:rFonts w:ascii="Arial" w:hAnsi="Arial" w:cs="Arial"/>
          <w:i/>
          <w:iCs/>
          <w:sz w:val="20"/>
          <w:szCs w:val="17"/>
        </w:rPr>
        <w:t>spot fines</w:t>
      </w:r>
      <w:r w:rsidR="004C2741">
        <w:rPr>
          <w:rFonts w:ascii="Arial" w:hAnsi="Arial" w:cs="Arial"/>
          <w:i/>
          <w:iCs/>
          <w:sz w:val="20"/>
          <w:szCs w:val="17"/>
        </w:rPr>
        <w:t>,</w:t>
      </w:r>
      <w:r w:rsidRPr="00CB5887">
        <w:rPr>
          <w:rFonts w:ascii="Arial" w:hAnsi="Arial" w:cs="Arial"/>
          <w:i/>
          <w:iCs/>
          <w:sz w:val="20"/>
          <w:szCs w:val="17"/>
        </w:rPr>
        <w:t xml:space="preserve"> winnings or bets up to the level of winnings,</w:t>
      </w:r>
      <w:r w:rsidR="00DD131B">
        <w:rPr>
          <w:rFonts w:ascii="Arial" w:hAnsi="Arial" w:cs="Arial"/>
          <w:i/>
          <w:iCs/>
          <w:sz w:val="20"/>
          <w:szCs w:val="17"/>
        </w:rPr>
        <w:t xml:space="preserve"> compensation payments –</w:t>
      </w:r>
      <w:r w:rsidRPr="00CB5887">
        <w:rPr>
          <w:rFonts w:ascii="Arial" w:hAnsi="Arial" w:cs="Arial"/>
          <w:i/>
          <w:iCs/>
          <w:sz w:val="20"/>
          <w:szCs w:val="17"/>
        </w:rPr>
        <w:t> </w:t>
      </w:r>
      <w:r w:rsidR="00B47176" w:rsidRPr="00CB5887">
        <w:rPr>
          <w:rFonts w:ascii="Arial" w:hAnsi="Arial" w:cs="Arial"/>
          <w:i/>
          <w:iCs/>
          <w:sz w:val="20"/>
          <w:szCs w:val="17"/>
        </w:rPr>
        <w:t xml:space="preserve">sanction and recourse claims, </w:t>
      </w:r>
      <w:r w:rsidRPr="00CB5887">
        <w:rPr>
          <w:rFonts w:ascii="Arial" w:hAnsi="Arial" w:cs="Arial"/>
          <w:i/>
          <w:iCs/>
          <w:sz w:val="20"/>
          <w:szCs w:val="17"/>
        </w:rPr>
        <w:t>etc.), and payments of government units to</w:t>
      </w:r>
      <w:r w:rsidR="00CB5887">
        <w:rPr>
          <w:rFonts w:ascii="Arial" w:hAnsi="Arial" w:cs="Arial"/>
          <w:i/>
          <w:iCs/>
          <w:sz w:val="20"/>
          <w:szCs w:val="17"/>
        </w:rPr>
        <w:t xml:space="preserve"> the </w:t>
      </w:r>
      <w:r w:rsidRPr="00CB5887">
        <w:rPr>
          <w:rFonts w:ascii="Arial" w:hAnsi="Arial" w:cs="Arial"/>
          <w:i/>
          <w:iCs/>
          <w:sz w:val="20"/>
          <w:szCs w:val="17"/>
        </w:rPr>
        <w:t xml:space="preserve">EU institutions (so called EU own resources derived from </w:t>
      </w:r>
      <w:r w:rsidR="001215B1">
        <w:rPr>
          <w:rFonts w:ascii="Arial" w:hAnsi="Arial" w:cs="Arial"/>
          <w:i/>
          <w:iCs/>
          <w:sz w:val="20"/>
          <w:szCs w:val="17"/>
        </w:rPr>
        <w:t xml:space="preserve">the </w:t>
      </w:r>
      <w:r w:rsidRPr="00CB5887">
        <w:rPr>
          <w:rFonts w:ascii="Arial" w:hAnsi="Arial" w:cs="Arial"/>
          <w:i/>
          <w:iCs/>
          <w:sz w:val="20"/>
          <w:szCs w:val="17"/>
        </w:rPr>
        <w:t>VAT and</w:t>
      </w:r>
      <w:r w:rsidR="00676577">
        <w:rPr>
          <w:rFonts w:ascii="Arial" w:hAnsi="Arial" w:cs="Arial"/>
          <w:i/>
          <w:iCs/>
          <w:sz w:val="20"/>
          <w:szCs w:val="17"/>
        </w:rPr>
        <w:t xml:space="preserve"> gross national income</w:t>
      </w:r>
      <w:r w:rsidRPr="00CB5887">
        <w:rPr>
          <w:rFonts w:ascii="Arial" w:hAnsi="Arial" w:cs="Arial"/>
          <w:i/>
          <w:iCs/>
          <w:sz w:val="20"/>
          <w:szCs w:val="17"/>
        </w:rPr>
        <w:t xml:space="preserve"> </w:t>
      </w:r>
      <w:r w:rsidR="00676577">
        <w:rPr>
          <w:rFonts w:ascii="Arial" w:hAnsi="Arial" w:cs="Arial"/>
          <w:i/>
          <w:iCs/>
          <w:sz w:val="20"/>
          <w:szCs w:val="17"/>
        </w:rPr>
        <w:t>(</w:t>
      </w:r>
      <w:r w:rsidRPr="00CB5887">
        <w:rPr>
          <w:rFonts w:ascii="Arial" w:hAnsi="Arial" w:cs="Arial"/>
          <w:i/>
          <w:iCs/>
          <w:sz w:val="20"/>
          <w:szCs w:val="17"/>
        </w:rPr>
        <w:t>GNI</w:t>
      </w:r>
      <w:r w:rsidR="00676577">
        <w:rPr>
          <w:rFonts w:ascii="Arial" w:hAnsi="Arial" w:cs="Arial"/>
          <w:i/>
          <w:iCs/>
          <w:sz w:val="20"/>
          <w:szCs w:val="17"/>
        </w:rPr>
        <w:t>)</w:t>
      </w:r>
      <w:r w:rsidRPr="00CB5887">
        <w:rPr>
          <w:rFonts w:ascii="Arial" w:hAnsi="Arial" w:cs="Arial"/>
          <w:i/>
          <w:iCs/>
          <w:sz w:val="20"/>
          <w:szCs w:val="17"/>
        </w:rPr>
        <w:t>).</w:t>
      </w:r>
    </w:p>
    <w:p w:rsidR="007A68F6" w:rsidRPr="00CB5887" w:rsidRDefault="00CD54F6">
      <w:pPr>
        <w:pStyle w:val="Normlnweb"/>
        <w:spacing w:before="120" w:beforeAutospacing="0" w:after="0" w:afterAutospacing="0"/>
        <w:ind w:firstLine="708"/>
        <w:jc w:val="both"/>
        <w:rPr>
          <w:rFonts w:ascii="Arial" w:hAnsi="Arial" w:cs="Arial"/>
          <w:b/>
          <w:i/>
          <w:color w:val="auto"/>
          <w:sz w:val="20"/>
          <w:szCs w:val="20"/>
          <w:lang w:val="en-GB"/>
        </w:rPr>
      </w:pPr>
      <w:r w:rsidRPr="00CB5887">
        <w:rPr>
          <w:rFonts w:ascii="Arial" w:hAnsi="Arial" w:cs="Arial"/>
          <w:b/>
          <w:bCs/>
          <w:i/>
          <w:iCs/>
          <w:color w:val="auto"/>
          <w:sz w:val="20"/>
          <w:szCs w:val="17"/>
          <w:lang w:val="en-GB"/>
        </w:rPr>
        <w:t>Social transfers in kind (D.63)</w:t>
      </w:r>
      <w:r w:rsidRPr="00CB5887">
        <w:rPr>
          <w:rFonts w:ascii="Arial" w:hAnsi="Arial" w:cs="Arial"/>
          <w:i/>
          <w:iCs/>
          <w:color w:val="auto"/>
          <w:sz w:val="20"/>
          <w:szCs w:val="17"/>
          <w:lang w:val="en-GB"/>
        </w:rPr>
        <w:t xml:space="preserve">: transfers from the general government or from non-profit institutions serving households to households. They refer to the value of goods and services provided, above all, in the form of health and social care, education, housing. They include especially benefits in </w:t>
      </w:r>
      <w:r w:rsidRPr="00CB5887">
        <w:rPr>
          <w:rFonts w:ascii="Arial" w:hAnsi="Arial" w:cs="Arial"/>
          <w:i/>
          <w:iCs/>
          <w:color w:val="auto"/>
          <w:sz w:val="20"/>
          <w:szCs w:val="17"/>
          <w:lang w:val="en-GB"/>
        </w:rPr>
        <w:lastRenderedPageBreak/>
        <w:t>kind related to health insurance (payments for health aids, medical and dental treatment, medical operations, and the like) paid by health insurance companies to providers of such goods and services. They also include benefits in kind provided by municipalities and the value of goods and services amounting to expenditure of the general government and non-profit institutions serving households on individual consumption. Social benefits in kind are divided according to whether</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goods and services were produced as non-market output produced by</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government units and NPISHs or purchased by</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units on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market (including reimbursements of approved expenditure of households for some specific goods or services).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Adjustment for the change in pension entitlements (D.8)</w:t>
      </w:r>
      <w:r w:rsidRPr="00CB5887">
        <w:rPr>
          <w:rFonts w:ascii="Arial" w:hAnsi="Arial" w:cs="Arial"/>
          <w:i/>
          <w:iCs/>
          <w:color w:val="auto"/>
          <w:sz w:val="20"/>
          <w:szCs w:val="17"/>
          <w:lang w:val="en-GB"/>
        </w:rPr>
        <w:t xml:space="preserve"> is the amount designed to adjust disposable income of households and pension funds to </w:t>
      </w:r>
      <w:r w:rsidR="0012155A">
        <w:rPr>
          <w:rFonts w:ascii="Arial" w:hAnsi="Arial" w:cs="Arial"/>
          <w:i/>
          <w:iCs/>
          <w:color w:val="auto"/>
          <w:sz w:val="20"/>
          <w:szCs w:val="17"/>
          <w:lang w:val="en-GB"/>
        </w:rPr>
        <w:t>balance</w:t>
      </w:r>
      <w:r w:rsidR="0012155A"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pension claims of households with changes in pension liabilities (“reserves”) of pension funds on the financial account. It is determined as the difference between insurance premiums received and pensions paid. Life insurance of (members of) households is understood as saving in the national accounts. </w:t>
      </w:r>
    </w:p>
    <w:p w:rsidR="00FB4E37" w:rsidRPr="00CB5887" w:rsidRDefault="00CD54F6" w:rsidP="00D042AA">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Capital transfers (D.9)</w:t>
      </w:r>
      <w:r w:rsidRPr="00CB5887">
        <w:rPr>
          <w:rFonts w:ascii="Arial" w:hAnsi="Arial" w:cs="Arial"/>
          <w:i/>
          <w:iCs/>
          <w:color w:val="auto"/>
          <w:sz w:val="20"/>
          <w:szCs w:val="17"/>
          <w:lang w:val="en-GB"/>
        </w:rPr>
        <w:t xml:space="preserve"> are unrequited transactions, which result in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change of ownership of non-financial or financial assets. They include capital taxes (inheritance tax and gift tax), investment grants (e.g. from the funds of the EU), and other capital transfers, especially inheritance and gifts of investment nature, tangible and financial restitution compensation, free transfers of property, or transfers by virtue of called government guarantees and debt cancellation.</w:t>
      </w:r>
      <w:r w:rsidR="00F24062">
        <w:rPr>
          <w:rFonts w:ascii="Arial" w:hAnsi="Arial" w:cs="Arial"/>
          <w:i/>
          <w:iCs/>
          <w:color w:val="auto"/>
          <w:sz w:val="20"/>
          <w:szCs w:val="17"/>
          <w:lang w:val="en-GB"/>
        </w:rPr>
        <w:t xml:space="preserve"> </w:t>
      </w:r>
      <w:r w:rsidR="00FB4E37" w:rsidRPr="0067180D">
        <w:rPr>
          <w:rFonts w:ascii="Arial" w:hAnsi="Arial" w:cs="Arial"/>
          <w:i/>
          <w:iCs/>
          <w:color w:val="auto"/>
          <w:sz w:val="20"/>
          <w:szCs w:val="17"/>
          <w:lang w:val="en-GB"/>
        </w:rPr>
        <w:t>Inheritance and g</w:t>
      </w:r>
      <w:r w:rsidR="004330D8">
        <w:rPr>
          <w:rFonts w:ascii="Arial" w:hAnsi="Arial" w:cs="Arial"/>
          <w:i/>
          <w:iCs/>
          <w:color w:val="auto"/>
          <w:sz w:val="20"/>
          <w:szCs w:val="17"/>
          <w:lang w:val="en-GB"/>
        </w:rPr>
        <w:t>ift taxes were cancelled at the end </w:t>
      </w:r>
      <w:r w:rsidR="0099349B">
        <w:rPr>
          <w:rFonts w:ascii="Arial" w:hAnsi="Arial" w:cs="Arial"/>
          <w:i/>
          <w:iCs/>
          <w:color w:val="auto"/>
          <w:sz w:val="20"/>
          <w:szCs w:val="17"/>
          <w:lang w:val="en-GB"/>
        </w:rPr>
        <w:t xml:space="preserve">of </w:t>
      </w:r>
      <w:r w:rsidR="00FB4E37" w:rsidRPr="0067180D">
        <w:rPr>
          <w:rFonts w:ascii="Arial" w:hAnsi="Arial" w:cs="Arial"/>
          <w:i/>
          <w:iCs/>
          <w:color w:val="auto"/>
          <w:sz w:val="20"/>
          <w:szCs w:val="17"/>
          <w:lang w:val="en-GB"/>
        </w:rPr>
        <w:t>2013 and all revenue from inheritance or gifts have become p</w:t>
      </w:r>
      <w:r w:rsidR="004330D8">
        <w:rPr>
          <w:rFonts w:ascii="Arial" w:hAnsi="Arial" w:cs="Arial"/>
          <w:i/>
          <w:iCs/>
          <w:color w:val="auto"/>
          <w:sz w:val="20"/>
          <w:szCs w:val="17"/>
          <w:lang w:val="en-GB"/>
        </w:rPr>
        <w:t>art of income tax since January </w:t>
      </w:r>
      <w:r w:rsidR="00FB4E37" w:rsidRPr="0067180D">
        <w:rPr>
          <w:rFonts w:ascii="Arial" w:hAnsi="Arial" w:cs="Arial"/>
          <w:i/>
          <w:iCs/>
          <w:color w:val="auto"/>
          <w:sz w:val="20"/>
          <w:szCs w:val="17"/>
          <w:lang w:val="en-GB"/>
        </w:rPr>
        <w:t>2014.</w:t>
      </w:r>
    </w:p>
    <w:p w:rsidR="00121463" w:rsidRPr="00CB5887" w:rsidRDefault="00CD54F6" w:rsidP="0086018E">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i/>
          <w:iCs/>
          <w:color w:val="auto"/>
          <w:sz w:val="20"/>
          <w:szCs w:val="17"/>
          <w:lang w:val="en-GB"/>
        </w:rPr>
        <w:t>Non-financial assets (AN)</w:t>
      </w:r>
      <w:r w:rsidRPr="00CB5887">
        <w:rPr>
          <w:rFonts w:ascii="Arial" w:hAnsi="Arial" w:cs="Arial"/>
          <w:i/>
          <w:iCs/>
          <w:color w:val="auto"/>
          <w:sz w:val="20"/>
          <w:szCs w:val="17"/>
          <w:lang w:val="en-GB"/>
        </w:rPr>
        <w:t xml:space="preserve"> include produced (AN.1) and non-produced non-financial assets (AN.2). The produced non-financial assets are further split to fixed assets (AN.11), inventories (AN.12), and valuables (AN.13).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The </w:t>
      </w:r>
      <w:r w:rsidRPr="00CB5887">
        <w:rPr>
          <w:rFonts w:ascii="Arial" w:hAnsi="Arial" w:cs="Arial"/>
          <w:b/>
          <w:bCs/>
          <w:i/>
          <w:iCs/>
          <w:color w:val="auto"/>
          <w:sz w:val="20"/>
          <w:szCs w:val="17"/>
          <w:lang w:val="en-GB"/>
        </w:rPr>
        <w:t>fixed assets (AN.11)</w:t>
      </w:r>
      <w:r w:rsidRPr="00CB5887">
        <w:rPr>
          <w:rFonts w:ascii="Arial" w:hAnsi="Arial" w:cs="Arial"/>
          <w:i/>
          <w:iCs/>
          <w:color w:val="auto"/>
          <w:sz w:val="20"/>
          <w:szCs w:val="17"/>
          <w:lang w:val="en-GB"/>
        </w:rPr>
        <w:t xml:space="preserve"> include non-financial (produced) assets used in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production process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period longer than one year. They include e.g. dwellings</w:t>
      </w:r>
      <w:r w:rsidR="0081706E">
        <w:rPr>
          <w:rFonts w:ascii="Arial" w:hAnsi="Arial" w:cs="Arial"/>
          <w:i/>
          <w:iCs/>
          <w:color w:val="auto"/>
          <w:sz w:val="20"/>
          <w:szCs w:val="17"/>
          <w:lang w:val="en-GB"/>
        </w:rPr>
        <w:t>,</w:t>
      </w:r>
      <w:r w:rsidRPr="00CB5887">
        <w:rPr>
          <w:rFonts w:ascii="Arial" w:hAnsi="Arial" w:cs="Arial"/>
          <w:i/>
          <w:iCs/>
          <w:color w:val="auto"/>
          <w:sz w:val="20"/>
          <w:szCs w:val="17"/>
          <w:lang w:val="en-GB"/>
        </w:rPr>
        <w:t xml:space="preserve"> other buildings and structures, machinery and equipment, weapon systems, cultivated assets, costs of ownership transfer on non-produced assets and intellectual property products.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Inventories (AN.12)</w:t>
      </w:r>
      <w:r w:rsidRPr="00CB5887">
        <w:rPr>
          <w:rFonts w:ascii="Arial" w:hAnsi="Arial" w:cs="Arial"/>
          <w:i/>
          <w:iCs/>
          <w:color w:val="auto"/>
          <w:sz w:val="20"/>
          <w:szCs w:val="17"/>
          <w:lang w:val="en-GB"/>
        </w:rPr>
        <w:t xml:space="preserve"> comprise materials and supplies intended for intermediate consumption, work in progress, </w:t>
      </w:r>
      <w:r w:rsidR="00C81860" w:rsidRPr="00CB5887">
        <w:rPr>
          <w:rFonts w:ascii="Arial" w:hAnsi="Arial" w:cs="Arial"/>
          <w:i/>
          <w:iCs/>
          <w:color w:val="auto"/>
          <w:sz w:val="20"/>
          <w:szCs w:val="17"/>
          <w:lang w:val="en-GB"/>
        </w:rPr>
        <w:t>finished goods,</w:t>
      </w:r>
      <w:r w:rsidR="00C81860">
        <w:rPr>
          <w:rFonts w:ascii="Arial" w:hAnsi="Arial" w:cs="Arial"/>
          <w:i/>
          <w:iCs/>
          <w:color w:val="auto"/>
          <w:sz w:val="20"/>
          <w:szCs w:val="17"/>
          <w:lang w:val="en-GB"/>
        </w:rPr>
        <w:t xml:space="preserve"> </w:t>
      </w:r>
      <w:r w:rsidRPr="00CB5887">
        <w:rPr>
          <w:rFonts w:ascii="Arial" w:hAnsi="Arial" w:cs="Arial"/>
          <w:i/>
          <w:iCs/>
          <w:color w:val="auto"/>
          <w:sz w:val="20"/>
          <w:szCs w:val="17"/>
          <w:lang w:val="en-GB"/>
        </w:rPr>
        <w:t>military inventories, and goods for resale. Inventories include also strategic reserves of the state, constructions reported by producers, and standing timber inventories.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Valuables (AN.13)</w:t>
      </w:r>
      <w:r w:rsidRPr="00CB5887">
        <w:rPr>
          <w:rFonts w:ascii="Arial" w:hAnsi="Arial" w:cs="Arial"/>
          <w:i/>
          <w:iCs/>
          <w:color w:val="auto"/>
          <w:sz w:val="20"/>
          <w:szCs w:val="17"/>
          <w:lang w:val="en-GB"/>
        </w:rPr>
        <w:t xml:space="preserve"> include e.g. precious stones and metals, antiques, and works of art acquired and held by their owners for the purpose of preserving value. </w:t>
      </w:r>
    </w:p>
    <w:p w:rsidR="00121463" w:rsidRPr="00CB5887" w:rsidRDefault="00CD54F6">
      <w:pPr>
        <w:pStyle w:val="Normlnweb"/>
        <w:spacing w:before="120" w:beforeAutospacing="0" w:after="0" w:afterAutospacing="0"/>
        <w:ind w:firstLine="709"/>
        <w:jc w:val="both"/>
        <w:rPr>
          <w:rFonts w:ascii="Arial" w:hAnsi="Arial" w:cs="Arial"/>
          <w:bCs/>
          <w:i/>
          <w:iCs/>
          <w:color w:val="auto"/>
          <w:sz w:val="20"/>
          <w:szCs w:val="20"/>
          <w:lang w:val="en-GB"/>
        </w:rPr>
      </w:pPr>
      <w:r w:rsidRPr="00CB5887">
        <w:rPr>
          <w:rFonts w:ascii="Arial" w:hAnsi="Arial" w:cs="Arial"/>
          <w:b/>
          <w:bCs/>
          <w:i/>
          <w:iCs/>
          <w:color w:val="auto"/>
          <w:sz w:val="20"/>
          <w:szCs w:val="17"/>
          <w:lang w:val="en-GB"/>
        </w:rPr>
        <w:t xml:space="preserve">Non-produced non-financial assets (AN.2) </w:t>
      </w:r>
      <w:r w:rsidRPr="00CB5887">
        <w:rPr>
          <w:rFonts w:ascii="Arial" w:hAnsi="Arial" w:cs="Arial"/>
          <w:i/>
          <w:iCs/>
          <w:color w:val="auto"/>
          <w:sz w:val="20"/>
          <w:szCs w:val="17"/>
          <w:lang w:val="en-GB"/>
        </w:rPr>
        <w:t>encompass tangible non-produced assets,</w:t>
      </w:r>
      <w:r w:rsidR="00B5236D">
        <w:rPr>
          <w:rFonts w:ascii="Arial" w:hAnsi="Arial" w:cs="Arial"/>
          <w:i/>
          <w:iCs/>
          <w:color w:val="auto"/>
          <w:sz w:val="20"/>
          <w:szCs w:val="17"/>
          <w:lang w:val="en-GB"/>
        </w:rPr>
        <w:t xml:space="preserve"> i.e. natural resources (AN.21) –</w:t>
      </w:r>
      <w:r w:rsidRPr="00CB5887">
        <w:rPr>
          <w:rFonts w:ascii="Arial" w:hAnsi="Arial" w:cs="Arial"/>
          <w:i/>
          <w:iCs/>
          <w:color w:val="auto"/>
          <w:sz w:val="20"/>
          <w:szCs w:val="17"/>
          <w:lang w:val="en-GB"/>
        </w:rPr>
        <w:t xml:space="preserve"> land, mineral and energy reserves, non-cultivated biological </w:t>
      </w:r>
      <w:r w:rsidRPr="00CB5887">
        <w:rPr>
          <w:rFonts w:ascii="Arial" w:hAnsi="Arial" w:cs="Arial"/>
          <w:i/>
          <w:iCs/>
          <w:color w:val="auto"/>
          <w:sz w:val="20"/>
          <w:szCs w:val="20"/>
          <w:lang w:val="en-GB"/>
        </w:rPr>
        <w:t>resources, water resources, an</w:t>
      </w:r>
      <w:r w:rsidR="00B5236D">
        <w:rPr>
          <w:rFonts w:ascii="Arial" w:hAnsi="Arial" w:cs="Arial"/>
          <w:i/>
          <w:iCs/>
          <w:color w:val="auto"/>
          <w:sz w:val="20"/>
          <w:szCs w:val="20"/>
          <w:lang w:val="en-GB"/>
        </w:rPr>
        <w:t>d other natural resources (e.g. </w:t>
      </w:r>
      <w:r w:rsidRPr="00CB5887">
        <w:rPr>
          <w:rFonts w:ascii="Arial" w:hAnsi="Arial" w:cs="Arial"/>
          <w:i/>
          <w:iCs/>
          <w:color w:val="auto"/>
          <w:sz w:val="20"/>
          <w:szCs w:val="20"/>
          <w:lang w:val="en-GB"/>
        </w:rPr>
        <w:t xml:space="preserve">radio spectra and communication frequencies) and contracts, leases and licences (AN.22) (e.g. marketable operating leases, purchased goodwill, or </w:t>
      </w:r>
      <w:r w:rsidRPr="00CB5887">
        <w:rPr>
          <w:rFonts w:ascii="Arial" w:hAnsi="Arial" w:cs="Arial"/>
          <w:i/>
          <w:color w:val="auto"/>
          <w:sz w:val="20"/>
          <w:szCs w:val="20"/>
          <w:lang w:val="en-GB"/>
        </w:rPr>
        <w:t>emission credits</w:t>
      </w:r>
      <w:r w:rsidRPr="00CB5887">
        <w:rPr>
          <w:rFonts w:ascii="Arial" w:hAnsi="Arial" w:cs="Arial"/>
          <w:i/>
          <w:iCs/>
          <w:color w:val="auto"/>
          <w:sz w:val="20"/>
          <w:szCs w:val="20"/>
          <w:lang w:val="en-GB"/>
        </w:rPr>
        <w:t>).</w:t>
      </w:r>
    </w:p>
    <w:p w:rsidR="00D713D8"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Financial assets and liabilities (F, AF)</w:t>
      </w:r>
      <w:r w:rsidRPr="00CB5887">
        <w:rPr>
          <w:rFonts w:ascii="Arial" w:hAnsi="Arial" w:cs="Arial"/>
          <w:i/>
          <w:iCs/>
          <w:color w:val="auto"/>
          <w:sz w:val="20"/>
          <w:szCs w:val="17"/>
          <w:lang w:val="en-GB"/>
        </w:rPr>
        <w:t xml:space="preserve"> comprise stores of value representing benefit accruing to</w:t>
      </w:r>
      <w:r w:rsidR="00CB5887">
        <w:rPr>
          <w:rFonts w:ascii="Arial" w:hAnsi="Arial" w:cs="Arial"/>
          <w:i/>
          <w:iCs/>
          <w:color w:val="auto"/>
          <w:sz w:val="20"/>
          <w:szCs w:val="17"/>
          <w:lang w:val="en-GB"/>
        </w:rPr>
        <w:t xml:space="preserve"> </w:t>
      </w:r>
      <w:r w:rsidR="001E2633">
        <w:rPr>
          <w:rFonts w:ascii="Arial" w:hAnsi="Arial" w:cs="Arial"/>
          <w:i/>
          <w:iCs/>
          <w:color w:val="auto"/>
          <w:sz w:val="20"/>
          <w:szCs w:val="17"/>
          <w:lang w:val="en-GB"/>
        </w:rPr>
        <w:t>an </w:t>
      </w:r>
      <w:r w:rsidRPr="00CB5887">
        <w:rPr>
          <w:rFonts w:ascii="Arial" w:hAnsi="Arial" w:cs="Arial"/>
          <w:i/>
          <w:iCs/>
          <w:color w:val="auto"/>
          <w:sz w:val="20"/>
          <w:szCs w:val="17"/>
          <w:lang w:val="en-GB"/>
        </w:rPr>
        <w:t>econom</w:t>
      </w:r>
      <w:r w:rsidR="001E2633">
        <w:rPr>
          <w:rFonts w:ascii="Arial" w:hAnsi="Arial" w:cs="Arial"/>
          <w:i/>
          <w:iCs/>
          <w:color w:val="auto"/>
          <w:sz w:val="20"/>
          <w:szCs w:val="17"/>
          <w:lang w:val="en-GB"/>
        </w:rPr>
        <w:t>ic</w:t>
      </w:r>
      <w:r w:rsidRPr="00CB5887">
        <w:rPr>
          <w:rFonts w:ascii="Arial" w:hAnsi="Arial" w:cs="Arial"/>
          <w:i/>
          <w:iCs/>
          <w:color w:val="auto"/>
          <w:sz w:val="20"/>
          <w:szCs w:val="17"/>
          <w:lang w:val="en-GB"/>
        </w:rPr>
        <w:t xml:space="preserve"> owner by holding means of payment, debt securities, provided loans, shares, financial derivatives, and other receivables. Financial assets have</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corresponding counterpart in liabilities, which represent debtor’s obligation to m</w:t>
      </w:r>
      <w:r w:rsidR="00CB5887">
        <w:rPr>
          <w:rFonts w:ascii="Arial" w:hAnsi="Arial" w:cs="Arial"/>
          <w:i/>
          <w:iCs/>
          <w:color w:val="auto"/>
          <w:sz w:val="20"/>
          <w:szCs w:val="17"/>
          <w:lang w:val="en-GB"/>
        </w:rPr>
        <w:t>ake the payment/payments to the </w:t>
      </w:r>
      <w:r w:rsidRPr="00CB5887">
        <w:rPr>
          <w:rFonts w:ascii="Arial" w:hAnsi="Arial" w:cs="Arial"/>
          <w:i/>
          <w:iCs/>
          <w:color w:val="auto"/>
          <w:sz w:val="20"/>
          <w:szCs w:val="17"/>
          <w:lang w:val="en-GB"/>
        </w:rPr>
        <w:t>creditor.</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Monetary gold and </w:t>
      </w:r>
      <w:r w:rsidR="00E75CE9">
        <w:rPr>
          <w:rFonts w:ascii="Arial" w:hAnsi="Arial" w:cs="Arial"/>
          <w:b/>
          <w:bCs/>
          <w:i/>
          <w:iCs/>
          <w:color w:val="auto"/>
          <w:sz w:val="20"/>
          <w:szCs w:val="17"/>
          <w:lang w:val="en-GB"/>
        </w:rPr>
        <w:t>S</w:t>
      </w:r>
      <w:r w:rsidRPr="00CB5887">
        <w:rPr>
          <w:rFonts w:ascii="Arial" w:hAnsi="Arial" w:cs="Arial"/>
          <w:b/>
          <w:bCs/>
          <w:i/>
          <w:iCs/>
          <w:color w:val="auto"/>
          <w:sz w:val="20"/>
          <w:szCs w:val="17"/>
          <w:lang w:val="en-GB"/>
        </w:rPr>
        <w:t xml:space="preserve">pecial </w:t>
      </w:r>
      <w:r w:rsidR="00E75CE9">
        <w:rPr>
          <w:rFonts w:ascii="Arial" w:hAnsi="Arial" w:cs="Arial"/>
          <w:b/>
          <w:bCs/>
          <w:i/>
          <w:iCs/>
          <w:color w:val="auto"/>
          <w:sz w:val="20"/>
          <w:szCs w:val="17"/>
          <w:lang w:val="en-GB"/>
        </w:rPr>
        <w:t>D</w:t>
      </w:r>
      <w:r w:rsidRPr="00CB5887">
        <w:rPr>
          <w:rFonts w:ascii="Arial" w:hAnsi="Arial" w:cs="Arial"/>
          <w:b/>
          <w:bCs/>
          <w:i/>
          <w:iCs/>
          <w:color w:val="auto"/>
          <w:sz w:val="20"/>
          <w:szCs w:val="17"/>
          <w:lang w:val="en-GB"/>
        </w:rPr>
        <w:t xml:space="preserve">rawing </w:t>
      </w:r>
      <w:r w:rsidR="00E75CE9">
        <w:rPr>
          <w:rFonts w:ascii="Arial" w:hAnsi="Arial" w:cs="Arial"/>
          <w:b/>
          <w:bCs/>
          <w:i/>
          <w:iCs/>
          <w:color w:val="auto"/>
          <w:sz w:val="20"/>
          <w:szCs w:val="17"/>
          <w:lang w:val="en-GB"/>
        </w:rPr>
        <w:t>R</w:t>
      </w:r>
      <w:r w:rsidRPr="00CB5887">
        <w:rPr>
          <w:rFonts w:ascii="Arial" w:hAnsi="Arial" w:cs="Arial"/>
          <w:b/>
          <w:bCs/>
          <w:i/>
          <w:iCs/>
          <w:color w:val="auto"/>
          <w:sz w:val="20"/>
          <w:szCs w:val="17"/>
          <w:lang w:val="en-GB"/>
        </w:rPr>
        <w:t>ights (F.1, AF.1)</w:t>
      </w:r>
      <w:r w:rsidRPr="00CB5887">
        <w:rPr>
          <w:rFonts w:ascii="Arial" w:hAnsi="Arial" w:cs="Arial"/>
          <w:i/>
          <w:iCs/>
          <w:color w:val="auto"/>
          <w:sz w:val="20"/>
          <w:szCs w:val="17"/>
          <w:lang w:val="en-GB"/>
        </w:rPr>
        <w:t>: monetary gold is a financial (reserve) asset of the Czech National Bank (F.11, AF.11) and part of the foreign currency reserves of the </w:t>
      </w:r>
      <w:r w:rsidR="005B4CBA">
        <w:rPr>
          <w:rFonts w:ascii="Arial" w:hAnsi="Arial" w:cs="Arial"/>
          <w:i/>
          <w:iCs/>
          <w:color w:val="auto"/>
          <w:sz w:val="20"/>
          <w:szCs w:val="17"/>
          <w:lang w:val="en-GB"/>
        </w:rPr>
        <w:t>Czech Republic</w:t>
      </w:r>
      <w:r w:rsidRPr="00CB5887">
        <w:rPr>
          <w:rFonts w:ascii="Arial" w:hAnsi="Arial" w:cs="Arial"/>
          <w:i/>
          <w:iCs/>
          <w:color w:val="auto"/>
          <w:sz w:val="20"/>
          <w:szCs w:val="17"/>
          <w:lang w:val="en-GB"/>
        </w:rPr>
        <w:t xml:space="preserve">. Special </w:t>
      </w:r>
      <w:r w:rsidR="00E75CE9">
        <w:rPr>
          <w:rFonts w:ascii="Arial" w:hAnsi="Arial" w:cs="Arial"/>
          <w:i/>
          <w:iCs/>
          <w:color w:val="auto"/>
          <w:sz w:val="20"/>
          <w:szCs w:val="17"/>
          <w:lang w:val="en-GB"/>
        </w:rPr>
        <w:t>D</w:t>
      </w:r>
      <w:r w:rsidRPr="00CB5887">
        <w:rPr>
          <w:rFonts w:ascii="Arial" w:hAnsi="Arial" w:cs="Arial"/>
          <w:i/>
          <w:iCs/>
          <w:color w:val="auto"/>
          <w:sz w:val="20"/>
          <w:szCs w:val="17"/>
          <w:lang w:val="en-GB"/>
        </w:rPr>
        <w:t xml:space="preserve">rawing </w:t>
      </w:r>
      <w:r w:rsidR="00E75CE9">
        <w:rPr>
          <w:rFonts w:ascii="Arial" w:hAnsi="Arial" w:cs="Arial"/>
          <w:i/>
          <w:iCs/>
          <w:color w:val="auto"/>
          <w:sz w:val="20"/>
          <w:szCs w:val="17"/>
          <w:lang w:val="en-GB"/>
        </w:rPr>
        <w:t>R</w:t>
      </w:r>
      <w:r w:rsidRPr="00CB5887">
        <w:rPr>
          <w:rFonts w:ascii="Arial" w:hAnsi="Arial" w:cs="Arial"/>
          <w:i/>
          <w:iCs/>
          <w:color w:val="auto"/>
          <w:sz w:val="20"/>
          <w:szCs w:val="17"/>
          <w:lang w:val="en-GB"/>
        </w:rPr>
        <w:t>ights</w:t>
      </w:r>
      <w:r w:rsidR="00EA64B2">
        <w:rPr>
          <w:rFonts w:ascii="Arial" w:hAnsi="Arial" w:cs="Arial"/>
          <w:i/>
          <w:iCs/>
          <w:color w:val="auto"/>
          <w:sz w:val="20"/>
          <w:szCs w:val="17"/>
          <w:lang w:val="en-GB"/>
        </w:rPr>
        <w:t xml:space="preserve"> (SDRs)</w:t>
      </w:r>
      <w:r w:rsidRPr="00CB5887">
        <w:rPr>
          <w:rFonts w:ascii="Arial" w:hAnsi="Arial" w:cs="Arial"/>
          <w:i/>
          <w:iCs/>
          <w:color w:val="auto"/>
          <w:sz w:val="20"/>
          <w:szCs w:val="17"/>
          <w:lang w:val="en-GB"/>
        </w:rPr>
        <w:t xml:space="preserve"> are international reserves of assets with the International Monetary Fund (F.12, AF.12). Their holders have exclusive and unconditional rights to acquire other reserve assets; they create framework for disposable loans.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Currency and deposits (F.2, AF.2)</w:t>
      </w:r>
      <w:r w:rsidRPr="00CB5887">
        <w:rPr>
          <w:rFonts w:ascii="Arial" w:hAnsi="Arial" w:cs="Arial"/>
          <w:i/>
          <w:iCs/>
          <w:color w:val="auto"/>
          <w:sz w:val="20"/>
          <w:szCs w:val="17"/>
          <w:lang w:val="en-GB"/>
        </w:rPr>
        <w:t xml:space="preserve"> comprise the following in national and foreign currencies: currency (notes and coins in circulation that are commonly used to make payments – F.21, AF.21), </w:t>
      </w:r>
      <w:r w:rsidR="00B93E49" w:rsidRPr="008434E2">
        <w:rPr>
          <w:rFonts w:ascii="Arial" w:hAnsi="Arial" w:cs="Arial"/>
          <w:i/>
          <w:iCs/>
          <w:color w:val="auto"/>
          <w:sz w:val="20"/>
          <w:szCs w:val="17"/>
          <w:lang w:val="en-GB"/>
        </w:rPr>
        <w:t>transferable deposits</w:t>
      </w:r>
      <w:r w:rsidRPr="008434E2">
        <w:rPr>
          <w:rFonts w:ascii="Arial" w:hAnsi="Arial" w:cs="Arial"/>
          <w:i/>
          <w:iCs/>
          <w:color w:val="auto"/>
          <w:sz w:val="20"/>
          <w:szCs w:val="17"/>
          <w:lang w:val="en-GB"/>
        </w:rPr>
        <w:t xml:space="preserve"> (deposits on current and giro accounts, savings books without notice</w:t>
      </w:r>
      <w:r w:rsidR="00356728">
        <w:rPr>
          <w:rFonts w:ascii="Arial" w:hAnsi="Arial" w:cs="Arial"/>
          <w:i/>
          <w:iCs/>
          <w:color w:val="auto"/>
          <w:sz w:val="20"/>
          <w:szCs w:val="17"/>
          <w:lang w:val="en-GB"/>
        </w:rPr>
        <w:t xml:space="preserve"> </w:t>
      </w:r>
      <w:r w:rsidR="0003783D">
        <w:rPr>
          <w:rFonts w:ascii="Arial" w:hAnsi="Arial" w:cs="Arial"/>
          <w:i/>
          <w:iCs/>
          <w:color w:val="auto"/>
          <w:sz w:val="20"/>
          <w:szCs w:val="17"/>
          <w:lang w:val="en-GB"/>
        </w:rPr>
        <w:t>– F.22, AF.22, including inter-bank deposits), and other</w:t>
      </w:r>
      <w:r w:rsidRPr="00CB5887">
        <w:rPr>
          <w:rFonts w:ascii="Arial" w:hAnsi="Arial" w:cs="Arial"/>
          <w:i/>
          <w:iCs/>
          <w:color w:val="auto"/>
          <w:sz w:val="20"/>
          <w:szCs w:val="17"/>
          <w:lang w:val="en-GB"/>
        </w:rPr>
        <w:t xml:space="preserve"> deposits (F.29, AF.29) – term deposits or deposits </w:t>
      </w:r>
      <w:r w:rsidR="00EC43DC">
        <w:rPr>
          <w:rFonts w:ascii="Arial" w:hAnsi="Arial" w:cs="Arial"/>
          <w:i/>
          <w:iCs/>
          <w:color w:val="auto"/>
          <w:sz w:val="20"/>
          <w:szCs w:val="17"/>
          <w:lang w:val="en-GB"/>
        </w:rPr>
        <w:t xml:space="preserve">restricted in any other way, including saving deposits </w:t>
      </w:r>
      <w:r w:rsidR="00EC43DC">
        <w:rPr>
          <w:rFonts w:ascii="Arial" w:hAnsi="Arial" w:cs="Arial"/>
          <w:i/>
          <w:color w:val="auto"/>
          <w:sz w:val="20"/>
          <w:lang w:val="en-GB"/>
        </w:rPr>
        <w:t>and non-negotiable</w:t>
      </w:r>
      <w:r w:rsidR="00176CDE" w:rsidRPr="00176CDE">
        <w:rPr>
          <w:rFonts w:ascii="Arial" w:hAnsi="Arial" w:cs="Arial"/>
          <w:i/>
          <w:color w:val="auto"/>
          <w:sz w:val="20"/>
          <w:lang w:val="en-GB"/>
        </w:rPr>
        <w:t xml:space="preserve"> debt</w:t>
      </w:r>
      <w:r w:rsidR="00EC43DC">
        <w:rPr>
          <w:rFonts w:ascii="Arial" w:hAnsi="Arial" w:cs="Arial"/>
          <w:i/>
          <w:color w:val="auto"/>
          <w:sz w:val="20"/>
          <w:lang w:val="en-GB"/>
        </w:rPr>
        <w:t xml:space="preserve"> securities, </w:t>
      </w:r>
      <w:r w:rsidR="00EC43DC">
        <w:rPr>
          <w:rFonts w:ascii="Arial" w:hAnsi="Arial" w:cs="Arial"/>
          <w:i/>
          <w:iCs/>
          <w:color w:val="auto"/>
          <w:sz w:val="20"/>
          <w:szCs w:val="17"/>
          <w:lang w:val="en-GB"/>
        </w:rPr>
        <w:t>deposit</w:t>
      </w:r>
      <w:r w:rsidRPr="00CB5887">
        <w:rPr>
          <w:rFonts w:ascii="Arial" w:hAnsi="Arial" w:cs="Arial"/>
          <w:i/>
          <w:iCs/>
          <w:color w:val="auto"/>
          <w:sz w:val="20"/>
          <w:szCs w:val="17"/>
          <w:lang w:val="en-GB"/>
        </w:rPr>
        <w:t xml:space="preserve"> certificates and deposit sheets.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Debt securities (F.3, AF.3)</w:t>
      </w:r>
      <w:r w:rsidRPr="00CB5887">
        <w:rPr>
          <w:rFonts w:ascii="Arial" w:hAnsi="Arial" w:cs="Arial"/>
          <w:i/>
          <w:iCs/>
          <w:color w:val="auto"/>
          <w:sz w:val="20"/>
          <w:szCs w:val="17"/>
          <w:lang w:val="en-GB"/>
        </w:rPr>
        <w:t xml:space="preserve"> comprise transferable securities showing</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issuer´s debt and</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receivable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 xml:space="preserve">creditor. They are presented split by original maturity, i.e. short-term (with maturity up to one year – F.31, AF.31) and long-term securities (maturity of which exceeds one year – </w:t>
      </w:r>
      <w:r w:rsidRPr="00CB5887">
        <w:rPr>
          <w:rFonts w:ascii="Arial" w:hAnsi="Arial" w:cs="Arial"/>
          <w:i/>
          <w:iCs/>
          <w:color w:val="auto"/>
          <w:sz w:val="20"/>
          <w:szCs w:val="17"/>
          <w:lang w:val="en-GB"/>
        </w:rPr>
        <w:lastRenderedPageBreak/>
        <w:t>F.32, AF.32). They are bills and bonds with</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fixed or floating interest rate, in national or foreign currency.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Loans (F.4, AF.4)</w:t>
      </w:r>
      <w:r w:rsidRPr="00CB5887">
        <w:rPr>
          <w:rFonts w:ascii="Arial" w:hAnsi="Arial" w:cs="Arial"/>
          <w:i/>
          <w:iCs/>
          <w:color w:val="auto"/>
          <w:sz w:val="20"/>
          <w:szCs w:val="17"/>
          <w:lang w:val="en-GB"/>
        </w:rPr>
        <w:t xml:space="preserve"> are non-transferable financial instruments. They comprise, above all, bank loans (of investment, consumer, mortgage etc. types), other loans (incl. financial leasing loans and hire purchase) and other recoverable financial assistance between institutional units, including relations to the International Monetary Fund or EU Member States. They are divided into (a) short-term loans (F.41, AF.41) with original maturity up to one year plus loans repayable on demand and (b) long-term loans (F.42, AF.42) with original maturity over one year. </w:t>
      </w:r>
    </w:p>
    <w:p w:rsidR="00121463" w:rsidRPr="00CB5887" w:rsidRDefault="009D6CF1">
      <w:pPr>
        <w:pStyle w:val="Normlnweb"/>
        <w:spacing w:before="120" w:beforeAutospacing="0" w:after="0" w:afterAutospacing="0"/>
        <w:ind w:firstLine="709"/>
        <w:jc w:val="both"/>
        <w:rPr>
          <w:rFonts w:ascii="Arial" w:hAnsi="Arial" w:cs="Arial"/>
          <w:bCs/>
          <w:i/>
          <w:iCs/>
          <w:color w:val="auto"/>
          <w:sz w:val="20"/>
          <w:szCs w:val="17"/>
          <w:lang w:val="en-GB"/>
        </w:rPr>
      </w:pPr>
      <w:r>
        <w:rPr>
          <w:rFonts w:ascii="Arial" w:hAnsi="Arial" w:cs="Arial"/>
          <w:b/>
          <w:bCs/>
          <w:i/>
          <w:iCs/>
          <w:color w:val="auto"/>
          <w:sz w:val="20"/>
          <w:szCs w:val="17"/>
          <w:lang w:val="en-GB"/>
        </w:rPr>
        <w:t>Equity (F.5, AF.5)</w:t>
      </w:r>
      <w:r>
        <w:rPr>
          <w:rFonts w:ascii="Arial" w:hAnsi="Arial" w:cs="Arial"/>
          <w:bCs/>
          <w:i/>
          <w:iCs/>
          <w:color w:val="auto"/>
          <w:sz w:val="20"/>
          <w:szCs w:val="17"/>
          <w:lang w:val="en-GB"/>
        </w:rPr>
        <w:t xml:space="preserve"> are the share in assets of</w:t>
      </w:r>
      <w:r w:rsidR="002322D3" w:rsidRPr="00CB5887">
        <w:rPr>
          <w:rFonts w:ascii="Arial" w:hAnsi="Arial" w:cs="Arial"/>
          <w:bCs/>
          <w:i/>
          <w:iCs/>
          <w:color w:val="auto"/>
          <w:sz w:val="20"/>
          <w:szCs w:val="17"/>
          <w:lang w:val="en-GB"/>
        </w:rPr>
        <w:t xml:space="preserve"> corporations and quasi-corporations and express the right to receive income from ownership. They refer to the value reported by institutional units in their assets as participating interest (shares, units) in materialised and dematerialised forms. In balance sheet of non-financial and financial corporations and quasi-corporations they are reported predominantly as registered capital on</w:t>
      </w:r>
      <w:r w:rsidR="00CB5887">
        <w:rPr>
          <w:rFonts w:ascii="Arial" w:hAnsi="Arial" w:cs="Arial"/>
          <w:bCs/>
          <w:i/>
          <w:iCs/>
          <w:color w:val="auto"/>
          <w:sz w:val="20"/>
          <w:szCs w:val="17"/>
          <w:lang w:val="en-GB"/>
        </w:rPr>
        <w:t xml:space="preserve"> the liability side. The </w:t>
      </w:r>
      <w:r w:rsidR="002322D3" w:rsidRPr="00CB5887">
        <w:rPr>
          <w:rFonts w:ascii="Arial" w:hAnsi="Arial" w:cs="Arial"/>
          <w:bCs/>
          <w:i/>
          <w:iCs/>
          <w:color w:val="auto"/>
          <w:sz w:val="20"/>
          <w:szCs w:val="17"/>
          <w:lang w:val="en-GB"/>
        </w:rPr>
        <w:t>F.5, AF.5 item is measured broken down into equity (F.51, AF.51 – in</w:t>
      </w:r>
      <w:r w:rsidR="00CB5887">
        <w:rPr>
          <w:rFonts w:ascii="Arial" w:hAnsi="Arial" w:cs="Arial"/>
          <w:bCs/>
          <w:i/>
          <w:iCs/>
          <w:color w:val="auto"/>
          <w:sz w:val="20"/>
          <w:szCs w:val="17"/>
          <w:lang w:val="en-GB"/>
        </w:rPr>
        <w:t xml:space="preserve"> the </w:t>
      </w:r>
      <w:r w:rsidR="002322D3" w:rsidRPr="00CB5887">
        <w:rPr>
          <w:rFonts w:ascii="Arial" w:hAnsi="Arial" w:cs="Arial"/>
          <w:bCs/>
          <w:i/>
          <w:iCs/>
          <w:color w:val="auto"/>
          <w:sz w:val="20"/>
          <w:szCs w:val="17"/>
          <w:lang w:val="en-GB"/>
        </w:rPr>
        <w:t xml:space="preserve">form of listed shares, </w:t>
      </w:r>
      <w:r w:rsidR="000669DD">
        <w:rPr>
          <w:rFonts w:ascii="Arial" w:hAnsi="Arial" w:cs="Arial"/>
          <w:bCs/>
          <w:i/>
          <w:iCs/>
          <w:color w:val="auto"/>
          <w:sz w:val="20"/>
          <w:szCs w:val="17"/>
          <w:lang w:val="en-GB"/>
        </w:rPr>
        <w:t xml:space="preserve">unlisted shares, and other equity) and investment fund shares (F.52, AF.52 – in the form of money market fund (MMF) shares and non-MMF investment fund shares, including units). </w:t>
      </w:r>
      <w:r w:rsidR="00B93E49" w:rsidRPr="00CE799C">
        <w:rPr>
          <w:rFonts w:ascii="Arial" w:hAnsi="Arial" w:cs="Arial"/>
          <w:bCs/>
          <w:i/>
          <w:iCs/>
          <w:color w:val="auto"/>
          <w:sz w:val="20"/>
          <w:szCs w:val="17"/>
          <w:lang w:val="en-GB"/>
        </w:rPr>
        <w:t>The item ‘other equity’ contains equity in limited liability companies, cooperatives, and</w:t>
      </w:r>
      <w:r w:rsidR="004330D8">
        <w:rPr>
          <w:rFonts w:ascii="Arial" w:hAnsi="Arial" w:cs="Arial"/>
          <w:bCs/>
          <w:i/>
          <w:iCs/>
          <w:color w:val="auto"/>
          <w:sz w:val="20"/>
          <w:szCs w:val="17"/>
          <w:lang w:val="en-GB"/>
        </w:rPr>
        <w:t xml:space="preserve"> in the </w:t>
      </w:r>
      <w:r w:rsidR="00346121">
        <w:rPr>
          <w:rFonts w:ascii="Arial" w:hAnsi="Arial" w:cs="Arial"/>
          <w:bCs/>
          <w:i/>
          <w:iCs/>
          <w:color w:val="auto"/>
          <w:sz w:val="20"/>
          <w:szCs w:val="17"/>
          <w:lang w:val="en-GB"/>
        </w:rPr>
        <w:t xml:space="preserve">general </w:t>
      </w:r>
      <w:r w:rsidR="000669DD">
        <w:rPr>
          <w:rFonts w:ascii="Arial" w:hAnsi="Arial" w:cs="Arial"/>
          <w:bCs/>
          <w:i/>
          <w:iCs/>
          <w:color w:val="auto"/>
          <w:sz w:val="20"/>
          <w:szCs w:val="17"/>
          <w:lang w:val="en-GB"/>
        </w:rPr>
        <w:t>government sector</w:t>
      </w:r>
      <w:r w:rsidR="00392D4D">
        <w:rPr>
          <w:rFonts w:ascii="Arial" w:hAnsi="Arial" w:cs="Arial"/>
          <w:bCs/>
          <w:i/>
          <w:iCs/>
          <w:color w:val="auto"/>
          <w:sz w:val="20"/>
          <w:szCs w:val="17"/>
          <w:lang w:val="en-GB"/>
        </w:rPr>
        <w:t>,</w:t>
      </w:r>
      <w:r w:rsidR="000669DD">
        <w:rPr>
          <w:rFonts w:ascii="Arial" w:hAnsi="Arial" w:cs="Arial"/>
          <w:bCs/>
          <w:i/>
          <w:iCs/>
          <w:color w:val="auto"/>
          <w:sz w:val="20"/>
          <w:szCs w:val="17"/>
          <w:lang w:val="en-GB"/>
        </w:rPr>
        <w:t xml:space="preserve"> also equity in state enterprises and equity in international banks.</w:t>
      </w:r>
      <w:r w:rsidR="002322D3" w:rsidRPr="00CB5887">
        <w:rPr>
          <w:rFonts w:ascii="Arial" w:hAnsi="Arial" w:cs="Arial"/>
          <w:bCs/>
          <w:i/>
          <w:iCs/>
          <w:color w:val="auto"/>
          <w:sz w:val="20"/>
          <w:szCs w:val="17"/>
          <w:lang w:val="en-GB"/>
        </w:rPr>
        <w:t xml:space="preserve"> </w:t>
      </w:r>
    </w:p>
    <w:p w:rsidR="008C7E8C" w:rsidRPr="00CB5887" w:rsidRDefault="009D6CF1" w:rsidP="008C7E8C">
      <w:pPr>
        <w:pStyle w:val="Normlnweb"/>
        <w:spacing w:before="120" w:beforeAutospacing="0" w:after="0" w:afterAutospacing="0"/>
        <w:ind w:firstLine="709"/>
        <w:jc w:val="both"/>
        <w:rPr>
          <w:rFonts w:ascii="Arial" w:hAnsi="Arial" w:cs="Arial"/>
          <w:i/>
          <w:iCs/>
          <w:color w:val="auto"/>
          <w:sz w:val="20"/>
          <w:szCs w:val="20"/>
          <w:lang w:val="en-GB"/>
        </w:rPr>
      </w:pPr>
      <w:r>
        <w:rPr>
          <w:rFonts w:ascii="Arial" w:hAnsi="Arial" w:cs="Arial"/>
          <w:b/>
          <w:bCs/>
          <w:i/>
          <w:iCs/>
          <w:color w:val="auto"/>
          <w:sz w:val="20"/>
          <w:szCs w:val="17"/>
          <w:lang w:val="en-GB"/>
        </w:rPr>
        <w:t>Insurance, pension and standardised guarantee schemes (F.6, AF.6</w:t>
      </w:r>
      <w:r>
        <w:rPr>
          <w:rFonts w:ascii="Arial" w:hAnsi="Arial" w:cs="Arial"/>
          <w:b/>
          <w:bCs/>
          <w:i/>
          <w:iCs/>
          <w:color w:val="auto"/>
          <w:sz w:val="20"/>
          <w:szCs w:val="20"/>
          <w:lang w:val="en-GB"/>
        </w:rPr>
        <w:t>)</w:t>
      </w:r>
      <w:r>
        <w:rPr>
          <w:rFonts w:ascii="Arial" w:hAnsi="Arial" w:cs="Arial"/>
          <w:i/>
          <w:iCs/>
          <w:color w:val="auto"/>
          <w:sz w:val="20"/>
          <w:szCs w:val="20"/>
          <w:lang w:val="en-GB"/>
        </w:rPr>
        <w:t xml:space="preserve"> reflect liabilities of</w:t>
      </w:r>
      <w:r w:rsidR="00CD54F6" w:rsidRPr="00CB5887">
        <w:rPr>
          <w:rFonts w:ascii="Arial" w:hAnsi="Arial" w:cs="Arial"/>
          <w:i/>
          <w:iCs/>
          <w:color w:val="auto"/>
          <w:sz w:val="20"/>
          <w:szCs w:val="20"/>
          <w:lang w:val="en-GB"/>
        </w:rPr>
        <w:t xml:space="preserve"> units administrating funds from</w:t>
      </w:r>
      <w:r w:rsidR="00CB5887">
        <w:rPr>
          <w:rFonts w:ascii="Arial" w:hAnsi="Arial" w:cs="Arial"/>
          <w:i/>
          <w:iCs/>
          <w:color w:val="auto"/>
          <w:sz w:val="20"/>
          <w:szCs w:val="20"/>
          <w:lang w:val="en-GB"/>
        </w:rPr>
        <w:t xml:space="preserve"> the </w:t>
      </w:r>
      <w:r w:rsidR="00CD54F6" w:rsidRPr="00CB5887">
        <w:rPr>
          <w:rFonts w:ascii="Arial" w:hAnsi="Arial" w:cs="Arial"/>
          <w:i/>
          <w:iCs/>
          <w:color w:val="auto"/>
          <w:sz w:val="20"/>
          <w:szCs w:val="20"/>
          <w:lang w:val="en-GB"/>
        </w:rPr>
        <w:t>schemes and claims of beneficiaries (for compensations for damage, payments of future pensions, or called guarantees). They are divided into six groups: non-life insurance technical reserves (F.61, AF.61), life insurance and annuity entitlements (F.62, AF.62), pension entitlements (F.63, AF.63), claims of pension funds on pension managers (F.64, AF.64), entitlements to non-pension benefits (F.65, AF.65 – representing surplus of contributions over benefits and equal adjustment on</w:t>
      </w:r>
      <w:r w:rsidR="00CB5887">
        <w:rPr>
          <w:rFonts w:ascii="Arial" w:hAnsi="Arial" w:cs="Arial"/>
          <w:i/>
          <w:iCs/>
          <w:color w:val="auto"/>
          <w:sz w:val="20"/>
          <w:szCs w:val="20"/>
          <w:lang w:val="en-GB"/>
        </w:rPr>
        <w:t xml:space="preserve"> the </w:t>
      </w:r>
      <w:r w:rsidR="00CD54F6" w:rsidRPr="00CB5887">
        <w:rPr>
          <w:rFonts w:ascii="Arial" w:hAnsi="Arial" w:cs="Arial"/>
          <w:i/>
          <w:iCs/>
          <w:color w:val="auto"/>
          <w:sz w:val="20"/>
          <w:szCs w:val="20"/>
          <w:lang w:val="en-GB"/>
        </w:rPr>
        <w:t>use of income account), and provisions for calls under standardised guarantees (F.66, AF.66).</w:t>
      </w:r>
    </w:p>
    <w:p w:rsidR="00C13A18" w:rsidRPr="00CB5887" w:rsidRDefault="009D6CF1">
      <w:pPr>
        <w:pStyle w:val="Normlnweb"/>
        <w:spacing w:before="120" w:beforeAutospacing="0" w:after="0" w:afterAutospacing="0"/>
        <w:ind w:firstLine="709"/>
        <w:jc w:val="both"/>
        <w:rPr>
          <w:rFonts w:ascii="Arial" w:hAnsi="Arial" w:cs="Arial"/>
          <w:bCs/>
          <w:i/>
          <w:iCs/>
          <w:color w:val="auto"/>
          <w:sz w:val="20"/>
          <w:szCs w:val="17"/>
          <w:lang w:val="en-GB"/>
        </w:rPr>
      </w:pPr>
      <w:r>
        <w:rPr>
          <w:rFonts w:ascii="Arial" w:hAnsi="Arial" w:cs="Arial"/>
          <w:b/>
          <w:bCs/>
          <w:i/>
          <w:iCs/>
          <w:color w:val="auto"/>
          <w:sz w:val="20"/>
          <w:szCs w:val="17"/>
          <w:lang w:val="en-GB"/>
        </w:rPr>
        <w:t xml:space="preserve">Financial derivatives and employee stock options (F.7, AF.7) </w:t>
      </w:r>
      <w:r>
        <w:rPr>
          <w:rFonts w:ascii="Arial" w:hAnsi="Arial" w:cs="Arial"/>
          <w:bCs/>
          <w:i/>
          <w:iCs/>
          <w:color w:val="auto"/>
          <w:sz w:val="20"/>
          <w:szCs w:val="17"/>
          <w:lang w:val="en-GB"/>
        </w:rPr>
        <w:t>– are financial instruments</w:t>
      </w:r>
      <w:r w:rsidR="00CD54F6" w:rsidRPr="00CB5887">
        <w:rPr>
          <w:rFonts w:ascii="Arial" w:hAnsi="Arial" w:cs="Arial"/>
          <w:bCs/>
          <w:i/>
          <w:iCs/>
          <w:color w:val="auto"/>
          <w:sz w:val="20"/>
          <w:szCs w:val="17"/>
          <w:lang w:val="en-GB"/>
        </w:rPr>
        <w:t xml:space="preserve"> (secondary assets) in</w:t>
      </w:r>
      <w:r w:rsidR="00CB5887">
        <w:rPr>
          <w:rFonts w:ascii="Arial" w:hAnsi="Arial" w:cs="Arial"/>
          <w:bCs/>
          <w:i/>
          <w:iCs/>
          <w:color w:val="auto"/>
          <w:sz w:val="20"/>
          <w:szCs w:val="17"/>
          <w:lang w:val="en-GB"/>
        </w:rPr>
        <w:t xml:space="preserve"> the </w:t>
      </w:r>
      <w:r w:rsidR="00CD54F6" w:rsidRPr="00CB5887">
        <w:rPr>
          <w:rFonts w:ascii="Arial" w:hAnsi="Arial" w:cs="Arial"/>
          <w:bCs/>
          <w:i/>
          <w:iCs/>
          <w:color w:val="auto"/>
          <w:sz w:val="20"/>
          <w:szCs w:val="17"/>
          <w:lang w:val="en-GB"/>
        </w:rPr>
        <w:t>form of contractual agreement</w:t>
      </w:r>
      <w:r w:rsidR="002322D3" w:rsidRPr="00CB5887">
        <w:rPr>
          <w:rFonts w:ascii="Arial" w:hAnsi="Arial" w:cs="Arial"/>
          <w:bCs/>
          <w:i/>
          <w:iCs/>
          <w:color w:val="auto"/>
          <w:sz w:val="20"/>
          <w:szCs w:val="17"/>
          <w:lang w:val="en-GB"/>
        </w:rPr>
        <w:t xml:space="preserve"> linked to</w:t>
      </w:r>
      <w:r w:rsidR="00BB0144" w:rsidRPr="00CB5887">
        <w:rPr>
          <w:rFonts w:ascii="Arial" w:hAnsi="Arial" w:cs="Arial"/>
          <w:bCs/>
          <w:i/>
          <w:iCs/>
          <w:color w:val="auto"/>
          <w:sz w:val="20"/>
          <w:szCs w:val="17"/>
          <w:lang w:val="en-GB"/>
        </w:rPr>
        <w:t xml:space="preserve"> a </w:t>
      </w:r>
      <w:r w:rsidR="002322D3" w:rsidRPr="00CB5887">
        <w:rPr>
          <w:rFonts w:ascii="Arial" w:hAnsi="Arial" w:cs="Arial"/>
          <w:bCs/>
          <w:i/>
          <w:iCs/>
          <w:color w:val="auto"/>
          <w:sz w:val="20"/>
          <w:szCs w:val="17"/>
          <w:lang w:val="en-GB"/>
        </w:rPr>
        <w:t xml:space="preserve">specified financial instrument (e.g. debt securities) or to an indicator or commodity (e.g. non-financial assets), which enable transferring specific financial risk to other entity. They include options, forwards, swaps, forward rate agreement </w:t>
      </w:r>
      <w:r w:rsidR="00A27B22">
        <w:rPr>
          <w:rFonts w:ascii="Arial" w:hAnsi="Arial" w:cs="Arial"/>
          <w:bCs/>
          <w:i/>
          <w:iCs/>
          <w:color w:val="auto"/>
          <w:sz w:val="20"/>
          <w:szCs w:val="17"/>
          <w:lang w:val="en-GB"/>
        </w:rPr>
        <w:t>(FRA), etc. Item F.7, AF.7 includes financial derivatives (F.71, AF.71) and employee stock options (F.72, AF.72).</w:t>
      </w:r>
      <w:r w:rsidR="00CD54F6" w:rsidRPr="00CB5887">
        <w:rPr>
          <w:rFonts w:ascii="Arial" w:hAnsi="Arial" w:cs="Arial"/>
          <w:bCs/>
          <w:i/>
          <w:iCs/>
          <w:color w:val="auto"/>
          <w:sz w:val="20"/>
          <w:szCs w:val="17"/>
          <w:lang w:val="en-GB"/>
        </w:rPr>
        <w:t xml:space="preserve"> </w:t>
      </w:r>
    </w:p>
    <w:p w:rsidR="00BE60A5"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Other accounts receivable/payable (F.8, AF.8) </w:t>
      </w:r>
      <w:r w:rsidRPr="00CB5887">
        <w:rPr>
          <w:rFonts w:ascii="Arial" w:hAnsi="Arial" w:cs="Arial"/>
          <w:i/>
          <w:iCs/>
          <w:color w:val="auto"/>
          <w:sz w:val="20"/>
          <w:szCs w:val="17"/>
          <w:lang w:val="en-GB"/>
        </w:rPr>
        <w:t>result from time delay between</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transaction and corresponding payment. They include trade credits (i.e. receivables/payables from supplier-customer relations except for bank credits and loans to pay business credits), </w:t>
      </w:r>
      <w:r w:rsidR="00975491">
        <w:rPr>
          <w:rFonts w:ascii="Arial" w:hAnsi="Arial" w:cs="Arial"/>
          <w:i/>
          <w:iCs/>
          <w:color w:val="auto"/>
          <w:sz w:val="20"/>
          <w:szCs w:val="17"/>
          <w:lang w:val="en-GB"/>
        </w:rPr>
        <w:t>trade credits and advances</w:t>
      </w:r>
      <w:r w:rsidRPr="00CB5887">
        <w:rPr>
          <w:rFonts w:ascii="Arial" w:hAnsi="Arial" w:cs="Arial"/>
          <w:i/>
          <w:iCs/>
          <w:color w:val="auto"/>
          <w:sz w:val="20"/>
          <w:szCs w:val="17"/>
          <w:lang w:val="en-GB"/>
        </w:rPr>
        <w:t xml:space="preserve"> (F.81, AF.81), and other accounts receivable/payable (F.89, AF.89), which </w:t>
      </w:r>
      <w:r w:rsidR="00483968">
        <w:rPr>
          <w:rFonts w:ascii="Arial" w:hAnsi="Arial" w:cs="Arial"/>
          <w:i/>
          <w:iCs/>
          <w:color w:val="auto"/>
          <w:sz w:val="20"/>
          <w:szCs w:val="17"/>
          <w:lang w:val="en-GB"/>
        </w:rPr>
        <w:t>were</w:t>
      </w:r>
      <w:r w:rsidR="00483968"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not accounted for in other items of the financial account and are related e.g. to taxes, social contributions, interest, wages, etc.</w:t>
      </w:r>
    </w:p>
    <w:p w:rsidR="00CF54DC" w:rsidRPr="00CB5887" w:rsidRDefault="00CD54F6" w:rsidP="00B07656">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CB5887">
        <w:rPr>
          <w:rFonts w:ascii="Arial" w:hAnsi="Arial" w:cs="Arial"/>
          <w:b/>
          <w:bCs/>
          <w:i/>
          <w:iCs/>
          <w:color w:val="auto"/>
          <w:sz w:val="20"/>
          <w:szCs w:val="17"/>
          <w:lang w:val="en-GB"/>
        </w:rPr>
        <w:t xml:space="preserve">Consumption of fixed capital (P.51c) </w:t>
      </w:r>
      <w:r w:rsidRPr="00CB5887">
        <w:rPr>
          <w:rFonts w:ascii="Arial" w:hAnsi="Arial" w:cs="Arial"/>
          <w:i/>
          <w:iCs/>
          <w:color w:val="auto"/>
          <w:sz w:val="20"/>
          <w:szCs w:val="17"/>
          <w:lang w:val="en-GB"/>
        </w:rPr>
        <w:t>is the reduction in the value of fixed assets due to wear and tear and obsolescence. For all types of fixed assets it is calculated by the perpetual inventory method (PIM) in the entire time series.</w:t>
      </w:r>
    </w:p>
    <w:p w:rsidR="00CF40F9" w:rsidRPr="00CB5887" w:rsidRDefault="00CD54F6" w:rsidP="00B07656">
      <w:pPr>
        <w:pStyle w:val="Normlnweb"/>
        <w:tabs>
          <w:tab w:val="left" w:pos="0"/>
        </w:tabs>
        <w:spacing w:before="120" w:beforeAutospacing="0" w:after="0" w:afterAutospacing="0"/>
        <w:ind w:firstLine="720"/>
        <w:jc w:val="both"/>
        <w:rPr>
          <w:rFonts w:ascii="Arial" w:hAnsi="Arial" w:cs="Arial"/>
          <w:i/>
          <w:color w:val="auto"/>
          <w:sz w:val="20"/>
          <w:szCs w:val="20"/>
          <w:lang w:val="en-GB"/>
        </w:rPr>
      </w:pPr>
      <w:r w:rsidRPr="00CB5887">
        <w:rPr>
          <w:rFonts w:ascii="Arial" w:hAnsi="Arial" w:cs="Arial"/>
          <w:b/>
          <w:i/>
          <w:color w:val="auto"/>
          <w:sz w:val="20"/>
          <w:szCs w:val="20"/>
          <w:lang w:val="en-GB"/>
        </w:rPr>
        <w:t>Acquisitions less disposals of non-produced assets (NP)</w:t>
      </w:r>
      <w:r w:rsidRPr="00CB5887">
        <w:rPr>
          <w:rFonts w:ascii="Arial" w:hAnsi="Arial" w:cs="Arial"/>
          <w:i/>
          <w:color w:val="auto"/>
          <w:sz w:val="20"/>
          <w:szCs w:val="20"/>
          <w:lang w:val="en-GB"/>
        </w:rPr>
        <w:t xml:space="preserve"> include acquisitions less disposals of tangible and intangible non-produced assets, i.e. natural resources (NP.1), contracts, leases and licences (NP.2) and purchases </w:t>
      </w:r>
      <w:r w:rsidR="00756875">
        <w:rPr>
          <w:rFonts w:ascii="Arial" w:hAnsi="Arial" w:cs="Arial"/>
          <w:i/>
          <w:color w:val="auto"/>
          <w:sz w:val="20"/>
          <w:szCs w:val="20"/>
          <w:lang w:val="en-GB"/>
        </w:rPr>
        <w:t>less</w:t>
      </w:r>
      <w:r w:rsidR="00756875" w:rsidRPr="00CB5887">
        <w:rPr>
          <w:rFonts w:ascii="Arial" w:hAnsi="Arial" w:cs="Arial"/>
          <w:i/>
          <w:color w:val="auto"/>
          <w:sz w:val="20"/>
          <w:szCs w:val="20"/>
          <w:lang w:val="en-GB"/>
        </w:rPr>
        <w:t xml:space="preserve"> </w:t>
      </w:r>
      <w:r w:rsidRPr="00CB5887">
        <w:rPr>
          <w:rFonts w:ascii="Arial" w:hAnsi="Arial" w:cs="Arial"/>
          <w:i/>
          <w:color w:val="auto"/>
          <w:sz w:val="20"/>
          <w:szCs w:val="20"/>
          <w:lang w:val="en-GB"/>
        </w:rPr>
        <w:t xml:space="preserve">sales of goodwill and marketing assets (NP.3). Costs of ownership transfers of non-produced assets are included in the gross fixed capital formation (P.51). Acquisitions less disposals of tangible non-produced assets are </w:t>
      </w:r>
      <w:r w:rsidR="00231525">
        <w:rPr>
          <w:rFonts w:ascii="Arial" w:hAnsi="Arial" w:cs="Arial"/>
          <w:i/>
          <w:color w:val="auto"/>
          <w:sz w:val="20"/>
          <w:szCs w:val="20"/>
          <w:lang w:val="en-GB"/>
        </w:rPr>
        <w:t>balanced</w:t>
      </w:r>
      <w:r w:rsidRPr="00CB5887">
        <w:rPr>
          <w:rFonts w:ascii="Arial" w:hAnsi="Arial" w:cs="Arial"/>
          <w:i/>
          <w:color w:val="auto"/>
          <w:sz w:val="20"/>
          <w:szCs w:val="20"/>
          <w:lang w:val="en-GB"/>
        </w:rPr>
        <w:t xml:space="preserve"> for the national economy as a whole because all owners of these assets are considered as residents. </w:t>
      </w:r>
    </w:p>
    <w:p w:rsidR="00645522" w:rsidRPr="00CB5887" w:rsidRDefault="00CD54F6" w:rsidP="00B07656">
      <w:pPr>
        <w:pStyle w:val="Normlnweb"/>
        <w:tabs>
          <w:tab w:val="left" w:pos="0"/>
        </w:tabs>
        <w:spacing w:before="120" w:beforeAutospacing="0" w:after="0" w:afterAutospacing="0"/>
        <w:ind w:firstLine="720"/>
        <w:jc w:val="both"/>
        <w:rPr>
          <w:rFonts w:ascii="Arial" w:hAnsi="Arial" w:cs="Arial"/>
          <w:i/>
          <w:color w:val="auto"/>
          <w:sz w:val="20"/>
          <w:szCs w:val="20"/>
          <w:lang w:val="en-GB"/>
        </w:rPr>
      </w:pPr>
      <w:r w:rsidRPr="00CB5887">
        <w:rPr>
          <w:rFonts w:ascii="Arial" w:hAnsi="Arial" w:cs="Arial"/>
          <w:i/>
          <w:color w:val="auto"/>
          <w:sz w:val="20"/>
          <w:szCs w:val="20"/>
          <w:lang w:val="en-GB"/>
        </w:rPr>
        <w:t xml:space="preserve">National accounts record also </w:t>
      </w:r>
      <w:r w:rsidR="002322D3" w:rsidRPr="00CB5887">
        <w:rPr>
          <w:rFonts w:ascii="Arial" w:hAnsi="Arial" w:cs="Arial"/>
          <w:b/>
          <w:i/>
          <w:color w:val="auto"/>
          <w:sz w:val="20"/>
          <w:szCs w:val="20"/>
          <w:lang w:val="en-GB"/>
        </w:rPr>
        <w:t>other economy flows</w:t>
      </w:r>
      <w:r w:rsidRPr="00CB5887">
        <w:rPr>
          <w:rFonts w:ascii="Arial" w:hAnsi="Arial" w:cs="Arial"/>
          <w:i/>
          <w:color w:val="auto"/>
          <w:sz w:val="20"/>
          <w:szCs w:val="20"/>
          <w:lang w:val="en-GB"/>
        </w:rPr>
        <w:t xml:space="preserve"> that effect changes in assets and liabilities</w:t>
      </w:r>
      <w:r w:rsidR="00E635FD">
        <w:rPr>
          <w:rFonts w:ascii="Arial" w:hAnsi="Arial" w:cs="Arial"/>
          <w:i/>
          <w:color w:val="auto"/>
          <w:sz w:val="20"/>
          <w:szCs w:val="20"/>
          <w:lang w:val="en-GB"/>
        </w:rPr>
        <w:t>,</w:t>
      </w:r>
      <w:r w:rsidRPr="00CB5887">
        <w:rPr>
          <w:rFonts w:ascii="Arial" w:hAnsi="Arial" w:cs="Arial"/>
          <w:i/>
          <w:color w:val="auto"/>
          <w:sz w:val="20"/>
          <w:szCs w:val="20"/>
          <w:lang w:val="en-GB"/>
        </w:rPr>
        <w:t xml:space="preserve"> which are not recorded in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form of transactions on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capital and financial account. They are other changes in</w:t>
      </w:r>
      <w:r w:rsidR="00CB5887">
        <w:rPr>
          <w:rFonts w:ascii="Arial" w:hAnsi="Arial" w:cs="Arial"/>
          <w:i/>
          <w:color w:val="auto"/>
          <w:sz w:val="20"/>
          <w:szCs w:val="20"/>
          <w:lang w:val="en-GB"/>
        </w:rPr>
        <w:t xml:space="preserve"> the </w:t>
      </w:r>
      <w:r w:rsidRPr="00CB5887">
        <w:rPr>
          <w:rFonts w:ascii="Arial" w:hAnsi="Arial" w:cs="Arial"/>
          <w:i/>
          <w:color w:val="auto"/>
          <w:sz w:val="20"/>
          <w:szCs w:val="20"/>
          <w:lang w:val="en-GB"/>
        </w:rPr>
        <w:t>volume of assets and liabilities and nominal holding gains and losses (K.7).</w:t>
      </w:r>
    </w:p>
    <w:p w:rsidR="00901239" w:rsidRPr="00CB5887" w:rsidRDefault="00CD54F6" w:rsidP="00901239">
      <w:pPr>
        <w:spacing w:before="120"/>
        <w:ind w:firstLine="709"/>
        <w:rPr>
          <w:rFonts w:ascii="Arial" w:hAnsi="Arial"/>
          <w:i/>
          <w:sz w:val="20"/>
        </w:rPr>
      </w:pPr>
      <w:r w:rsidRPr="00CB5887">
        <w:rPr>
          <w:rFonts w:ascii="Arial" w:hAnsi="Arial" w:cs="Arial"/>
          <w:b/>
          <w:bCs/>
          <w:i/>
          <w:iCs/>
          <w:sz w:val="20"/>
          <w:szCs w:val="17"/>
        </w:rPr>
        <w:t>Other changes in</w:t>
      </w:r>
      <w:r w:rsidR="00CB5887">
        <w:rPr>
          <w:rFonts w:ascii="Arial" w:hAnsi="Arial" w:cs="Arial"/>
          <w:b/>
          <w:bCs/>
          <w:i/>
          <w:iCs/>
          <w:sz w:val="20"/>
          <w:szCs w:val="17"/>
        </w:rPr>
        <w:t xml:space="preserve"> the </w:t>
      </w:r>
      <w:r w:rsidRPr="00CB5887">
        <w:rPr>
          <w:rFonts w:ascii="Arial" w:hAnsi="Arial" w:cs="Arial"/>
          <w:b/>
          <w:bCs/>
          <w:i/>
          <w:iCs/>
          <w:sz w:val="20"/>
          <w:szCs w:val="17"/>
        </w:rPr>
        <w:t>volume of assets and liabilities (K.1 to K.6)</w:t>
      </w:r>
      <w:r w:rsidR="002322D3" w:rsidRPr="00CB5887">
        <w:rPr>
          <w:rFonts w:ascii="Arial" w:hAnsi="Arial"/>
          <w:b/>
          <w:i/>
          <w:sz w:val="20"/>
        </w:rPr>
        <w:t xml:space="preserve"> </w:t>
      </w:r>
      <w:r w:rsidRPr="00CB5887">
        <w:rPr>
          <w:rFonts w:ascii="Arial" w:hAnsi="Arial" w:cs="Arial"/>
          <w:i/>
          <w:iCs/>
          <w:sz w:val="20"/>
          <w:szCs w:val="17"/>
        </w:rPr>
        <w:t xml:space="preserve">record the impact of extraordinary and unpredictable events on the volume of assets and liabilities. National accounts record </w:t>
      </w:r>
      <w:r w:rsidRPr="00CB5887">
        <w:rPr>
          <w:rFonts w:ascii="Arial" w:hAnsi="Arial" w:cs="Arial"/>
          <w:i/>
          <w:iCs/>
          <w:sz w:val="20"/>
          <w:szCs w:val="20"/>
        </w:rPr>
        <w:t xml:space="preserve">the economic appearance of assets (K.1) such as economic appearance of </w:t>
      </w:r>
      <w:r w:rsidR="00FA71BF">
        <w:rPr>
          <w:rFonts w:ascii="Arial" w:hAnsi="Arial" w:cs="Arial"/>
          <w:i/>
          <w:iCs/>
          <w:sz w:val="20"/>
          <w:szCs w:val="20"/>
        </w:rPr>
        <w:t>exploitable</w:t>
      </w:r>
      <w:r w:rsidR="00FA71BF" w:rsidRPr="00CB5887">
        <w:rPr>
          <w:rFonts w:ascii="Arial" w:hAnsi="Arial" w:cs="Arial"/>
          <w:i/>
          <w:iCs/>
          <w:sz w:val="20"/>
          <w:szCs w:val="20"/>
        </w:rPr>
        <w:t xml:space="preserve"> </w:t>
      </w:r>
      <w:r w:rsidRPr="00CB5887">
        <w:rPr>
          <w:rFonts w:ascii="Arial" w:hAnsi="Arial" w:cs="Arial"/>
          <w:i/>
          <w:iCs/>
          <w:sz w:val="20"/>
          <w:szCs w:val="20"/>
        </w:rPr>
        <w:t xml:space="preserve">natural resources </w:t>
      </w:r>
      <w:r w:rsidRPr="00CB5887">
        <w:rPr>
          <w:rFonts w:ascii="Arial" w:hAnsi="Arial" w:cs="Arial"/>
          <w:i/>
          <w:sz w:val="20"/>
          <w:szCs w:val="20"/>
        </w:rPr>
        <w:t xml:space="preserve">or introduction of emission permits, </w:t>
      </w:r>
      <w:r w:rsidRPr="00CB5887">
        <w:rPr>
          <w:rFonts w:ascii="Arial" w:hAnsi="Arial" w:cs="Arial"/>
          <w:i/>
          <w:iCs/>
          <w:sz w:val="20"/>
          <w:szCs w:val="20"/>
        </w:rPr>
        <w:t>economic disappearance of non-produced assets (K.2) such as</w:t>
      </w:r>
      <w:r w:rsidRPr="00CB5887">
        <w:rPr>
          <w:rFonts w:ascii="Arial" w:hAnsi="Arial" w:cs="Arial"/>
          <w:i/>
          <w:iCs/>
          <w:sz w:val="20"/>
          <w:szCs w:val="17"/>
        </w:rPr>
        <w:t xml:space="preserve"> depletion of natural resources, catastrophic losses (K.3), uncompensated seizures (K.4), other changes</w:t>
      </w:r>
      <w:r w:rsidR="002322D3" w:rsidRPr="00CB5887">
        <w:rPr>
          <w:rFonts w:ascii="Arial" w:hAnsi="Arial" w:cs="Arial"/>
          <w:i/>
          <w:iCs/>
          <w:sz w:val="20"/>
          <w:szCs w:val="17"/>
        </w:rPr>
        <w:t xml:space="preserve"> in volume n.e.c.</w:t>
      </w:r>
      <w:r w:rsidRPr="00CB5887">
        <w:rPr>
          <w:rFonts w:ascii="Arial" w:hAnsi="Arial" w:cs="Arial"/>
          <w:i/>
          <w:iCs/>
          <w:sz w:val="20"/>
          <w:szCs w:val="17"/>
        </w:rPr>
        <w:t xml:space="preserve"> (K.5, e.g. transfers of land</w:t>
      </w:r>
      <w:r w:rsidRPr="00CB5887">
        <w:rPr>
          <w:rFonts w:ascii="Arial" w:hAnsi="Arial" w:cs="Arial"/>
          <w:i/>
          <w:sz w:val="20"/>
          <w:szCs w:val="20"/>
        </w:rPr>
        <w:t>,</w:t>
      </w:r>
      <w:r w:rsidRPr="00CB5887">
        <w:rPr>
          <w:rFonts w:ascii="Arial" w:hAnsi="Arial" w:cs="Arial"/>
          <w:i/>
          <w:iCs/>
          <w:sz w:val="20"/>
          <w:szCs w:val="17"/>
        </w:rPr>
        <w:t> losses due to fire, theft or losses on insect-</w:t>
      </w:r>
      <w:r w:rsidRPr="00952103">
        <w:rPr>
          <w:rFonts w:ascii="Arial" w:hAnsi="Arial" w:cs="Arial"/>
          <w:i/>
          <w:iCs/>
          <w:sz w:val="20"/>
          <w:szCs w:val="17"/>
        </w:rPr>
        <w:lastRenderedPageBreak/>
        <w:t xml:space="preserve">infected inventories), and changes in classification (K.6), i.e. </w:t>
      </w:r>
      <w:r w:rsidR="00B93E49">
        <w:rPr>
          <w:rFonts w:ascii="Arial" w:hAnsi="Arial" w:cs="Arial"/>
          <w:i/>
          <w:iCs/>
          <w:sz w:val="20"/>
          <w:szCs w:val="17"/>
        </w:rPr>
        <w:t xml:space="preserve">in sector classification </w:t>
      </w:r>
      <w:r w:rsidR="00DB00F0" w:rsidRPr="00DB00F0">
        <w:rPr>
          <w:rFonts w:ascii="Arial" w:hAnsi="Arial" w:cs="Arial"/>
          <w:i/>
          <w:iCs/>
          <w:sz w:val="20"/>
          <w:szCs w:val="17"/>
        </w:rPr>
        <w:t>of institutional units</w:t>
      </w:r>
      <w:r w:rsidR="00B93E49">
        <w:rPr>
          <w:rFonts w:ascii="Arial" w:hAnsi="Arial" w:cs="Arial"/>
          <w:i/>
          <w:iCs/>
          <w:sz w:val="20"/>
          <w:szCs w:val="17"/>
        </w:rPr>
        <w:t xml:space="preserve"> and changes in classification of assets and liabilities.</w:t>
      </w:r>
    </w:p>
    <w:p w:rsidR="002322D3" w:rsidRPr="00CB5887" w:rsidRDefault="00CD54F6" w:rsidP="002322D3">
      <w:pPr>
        <w:spacing w:before="120"/>
        <w:ind w:firstLine="709"/>
        <w:rPr>
          <w:rFonts w:ascii="Arial" w:hAnsi="Arial"/>
          <w:i/>
          <w:sz w:val="20"/>
        </w:rPr>
      </w:pPr>
      <w:r w:rsidRPr="00CB5887">
        <w:rPr>
          <w:rFonts w:ascii="Arial" w:hAnsi="Arial" w:cs="Arial"/>
          <w:b/>
          <w:bCs/>
          <w:i/>
          <w:iCs/>
          <w:sz w:val="20"/>
          <w:szCs w:val="17"/>
        </w:rPr>
        <w:t>Nominal holding</w:t>
      </w:r>
      <w:r w:rsidRPr="00CB5887">
        <w:rPr>
          <w:rFonts w:ascii="Arial" w:hAnsi="Arial"/>
          <w:b/>
          <w:i/>
          <w:sz w:val="20"/>
        </w:rPr>
        <w:t xml:space="preserve"> gains/losses (K.</w:t>
      </w:r>
      <w:r w:rsidR="002322D3" w:rsidRPr="00CB5887">
        <w:rPr>
          <w:rFonts w:ascii="Arial" w:hAnsi="Arial" w:cs="Arial"/>
          <w:b/>
          <w:bCs/>
          <w:i/>
          <w:iCs/>
          <w:sz w:val="20"/>
          <w:szCs w:val="17"/>
        </w:rPr>
        <w:t>7</w:t>
      </w:r>
      <w:r w:rsidR="002322D3" w:rsidRPr="00CB5887">
        <w:rPr>
          <w:rFonts w:ascii="Arial" w:hAnsi="Arial"/>
          <w:b/>
          <w:i/>
          <w:sz w:val="20"/>
        </w:rPr>
        <w:t>)</w:t>
      </w:r>
      <w:r w:rsidR="002322D3" w:rsidRPr="00CB5887">
        <w:rPr>
          <w:rFonts w:ascii="Arial" w:hAnsi="Arial"/>
          <w:i/>
          <w:sz w:val="20"/>
        </w:rPr>
        <w:t xml:space="preserve"> show a change in the value of assets (of both liabilities and net worth) resulting from changes in the level and structure of prices. From an analytical point of view it is very important that the system splits nominal holding gains/losses (K.7) to neutral holding gains/losses (K.</w:t>
      </w:r>
      <w:r w:rsidR="002322D3" w:rsidRPr="00CB5887">
        <w:rPr>
          <w:rFonts w:ascii="Arial" w:hAnsi="Arial" w:cs="Arial"/>
          <w:i/>
          <w:iCs/>
          <w:sz w:val="20"/>
          <w:szCs w:val="17"/>
        </w:rPr>
        <w:t>71</w:t>
      </w:r>
      <w:r w:rsidR="002322D3" w:rsidRPr="00CB5887">
        <w:rPr>
          <w:rFonts w:ascii="Arial" w:hAnsi="Arial"/>
          <w:i/>
          <w:sz w:val="20"/>
        </w:rPr>
        <w:t>) and real holding gains/losses (K.</w:t>
      </w:r>
      <w:r w:rsidR="002322D3" w:rsidRPr="00CB5887">
        <w:rPr>
          <w:rFonts w:ascii="Arial" w:hAnsi="Arial" w:cs="Arial"/>
          <w:i/>
          <w:iCs/>
          <w:sz w:val="20"/>
          <w:szCs w:val="17"/>
        </w:rPr>
        <w:t>72</w:t>
      </w:r>
      <w:r w:rsidR="002322D3" w:rsidRPr="00CB5887">
        <w:rPr>
          <w:rFonts w:ascii="Arial" w:hAnsi="Arial"/>
          <w:i/>
          <w:sz w:val="20"/>
        </w:rPr>
        <w:t>). Neutral holding gains/losses express</w:t>
      </w:r>
      <w:r w:rsidR="00BB0144" w:rsidRPr="00CB5887">
        <w:rPr>
          <w:rFonts w:ascii="Arial" w:hAnsi="Arial"/>
          <w:i/>
          <w:sz w:val="20"/>
        </w:rPr>
        <w:t xml:space="preserve"> </w:t>
      </w:r>
      <w:r w:rsidR="0094654E">
        <w:rPr>
          <w:rFonts w:ascii="Arial" w:hAnsi="Arial"/>
          <w:i/>
          <w:sz w:val="20"/>
        </w:rPr>
        <w:t>a change in the general price level (for all assets and liabilities they are calculated by the same</w:t>
      </w:r>
      <w:r w:rsidR="00284B8F" w:rsidRPr="00CB5887">
        <w:rPr>
          <w:rFonts w:ascii="Arial" w:hAnsi="Arial"/>
          <w:i/>
          <w:sz w:val="20"/>
        </w:rPr>
        <w:t xml:space="preserve"> </w:t>
      </w:r>
      <w:r w:rsidR="002322D3" w:rsidRPr="00CB5887">
        <w:rPr>
          <w:rFonts w:ascii="Arial" w:hAnsi="Arial"/>
          <w:i/>
          <w:sz w:val="20"/>
        </w:rPr>
        <w:t>price index for final national use excluding change in inventories). Real holding gains/losses are calculated as the nominal minus neutral holding gains/losses and express the value, which was gained or lost by the owner of</w:t>
      </w:r>
      <w:r w:rsidR="00BB0144" w:rsidRPr="00CB5887">
        <w:rPr>
          <w:rFonts w:ascii="Arial" w:hAnsi="Arial"/>
          <w:i/>
          <w:sz w:val="20"/>
        </w:rPr>
        <w:t xml:space="preserve"> a </w:t>
      </w:r>
      <w:r w:rsidR="002322D3" w:rsidRPr="00CB5887">
        <w:rPr>
          <w:rFonts w:ascii="Arial" w:hAnsi="Arial"/>
          <w:i/>
          <w:sz w:val="20"/>
        </w:rPr>
        <w:t>given asset or liability during the reference period in relation to the </w:t>
      </w:r>
      <w:r w:rsidR="002322D3" w:rsidRPr="00CB5887">
        <w:rPr>
          <w:rFonts w:ascii="Arial" w:hAnsi="Arial" w:cs="Arial"/>
          <w:i/>
          <w:iCs/>
          <w:sz w:val="20"/>
          <w:szCs w:val="17"/>
        </w:rPr>
        <w:t xml:space="preserve">average </w:t>
      </w:r>
      <w:r w:rsidR="002322D3" w:rsidRPr="00CB5887">
        <w:rPr>
          <w:rFonts w:ascii="Arial" w:hAnsi="Arial"/>
          <w:i/>
          <w:sz w:val="20"/>
        </w:rPr>
        <w:t xml:space="preserve">price movement of other assets. </w:t>
      </w:r>
    </w:p>
    <w:p w:rsidR="00346227" w:rsidRPr="00CB5887" w:rsidRDefault="00CD54F6" w:rsidP="000E2EA1">
      <w:pPr>
        <w:spacing w:before="120"/>
        <w:ind w:firstLine="709"/>
        <w:rPr>
          <w:rFonts w:ascii="Arial" w:hAnsi="Arial" w:cs="Arial"/>
          <w:i/>
          <w:iCs/>
          <w:sz w:val="20"/>
          <w:szCs w:val="17"/>
        </w:rPr>
      </w:pPr>
      <w:r w:rsidRPr="00CB5887">
        <w:rPr>
          <w:rFonts w:ascii="Arial" w:hAnsi="Arial" w:cs="Arial"/>
          <w:b/>
          <w:bCs/>
          <w:i/>
          <w:iCs/>
          <w:sz w:val="20"/>
          <w:szCs w:val="17"/>
        </w:rPr>
        <w:t>Gross domestic product</w:t>
      </w:r>
      <w:r w:rsidRPr="00CB5887">
        <w:rPr>
          <w:rFonts w:ascii="Arial" w:hAnsi="Arial" w:cs="Arial"/>
          <w:i/>
          <w:iCs/>
          <w:sz w:val="20"/>
          <w:szCs w:val="17"/>
        </w:rPr>
        <w:t xml:space="preserve"> </w:t>
      </w:r>
      <w:r w:rsidRPr="00CB5887">
        <w:rPr>
          <w:rFonts w:ascii="Arial" w:hAnsi="Arial" w:cs="Arial"/>
          <w:b/>
          <w:bCs/>
          <w:i/>
          <w:iCs/>
          <w:sz w:val="20"/>
          <w:szCs w:val="17"/>
        </w:rPr>
        <w:t>(B.1g)</w:t>
      </w:r>
      <w:r w:rsidRPr="00CB5887">
        <w:rPr>
          <w:rFonts w:ascii="Arial" w:hAnsi="Arial" w:cs="Arial"/>
          <w:i/>
          <w:iCs/>
          <w:sz w:val="20"/>
          <w:szCs w:val="17"/>
        </w:rPr>
        <w:t xml:space="preserve"> </w:t>
      </w:r>
      <w:r w:rsidRPr="00CB5887">
        <w:rPr>
          <w:rFonts w:ascii="Arial" w:hAnsi="Arial" w:cs="Arial"/>
          <w:b/>
          <w:i/>
          <w:iCs/>
          <w:sz w:val="20"/>
          <w:szCs w:val="17"/>
        </w:rPr>
        <w:t>or net domestic product</w:t>
      </w:r>
      <w:r w:rsidRPr="00CB5887">
        <w:rPr>
          <w:rFonts w:ascii="Arial" w:hAnsi="Arial" w:cs="Arial"/>
          <w:i/>
          <w:iCs/>
          <w:sz w:val="20"/>
          <w:szCs w:val="17"/>
        </w:rPr>
        <w:t xml:space="preserve"> </w:t>
      </w:r>
      <w:r w:rsidRPr="00CB5887">
        <w:rPr>
          <w:rFonts w:ascii="Arial" w:hAnsi="Arial" w:cs="Arial"/>
          <w:b/>
          <w:bCs/>
          <w:i/>
          <w:iCs/>
          <w:sz w:val="20"/>
          <w:szCs w:val="17"/>
        </w:rPr>
        <w:t>(B.1n)</w:t>
      </w:r>
      <w:r w:rsidRPr="00CB5887">
        <w:rPr>
          <w:rFonts w:ascii="Arial" w:hAnsi="Arial" w:cs="Arial"/>
          <w:i/>
          <w:iCs/>
          <w:sz w:val="20"/>
          <w:szCs w:val="17"/>
        </w:rPr>
        <w:t xml:space="preserve"> – gross domestic product at market prices </w:t>
      </w:r>
      <w:r w:rsidR="007D49DC">
        <w:rPr>
          <w:rFonts w:ascii="Arial" w:hAnsi="Arial" w:cs="Arial"/>
          <w:i/>
          <w:iCs/>
          <w:sz w:val="20"/>
          <w:szCs w:val="17"/>
        </w:rPr>
        <w:t>– as the</w:t>
      </w:r>
      <w:r w:rsidR="007A3A0A">
        <w:rPr>
          <w:rFonts w:ascii="Arial" w:hAnsi="Arial" w:cs="Arial"/>
          <w:i/>
          <w:iCs/>
          <w:sz w:val="20"/>
          <w:szCs w:val="17"/>
        </w:rPr>
        <w:t> final result of the </w:t>
      </w:r>
      <w:r w:rsidR="007D49DC">
        <w:rPr>
          <w:rFonts w:ascii="Arial" w:hAnsi="Arial" w:cs="Arial"/>
          <w:i/>
          <w:iCs/>
          <w:sz w:val="20"/>
          <w:szCs w:val="17"/>
        </w:rPr>
        <w:t xml:space="preserve">production activity of resident producers, </w:t>
      </w:r>
      <w:r w:rsidRPr="00CB5887">
        <w:rPr>
          <w:rFonts w:ascii="Arial" w:hAnsi="Arial" w:cs="Arial"/>
          <w:i/>
          <w:iCs/>
          <w:sz w:val="20"/>
          <w:szCs w:val="17"/>
        </w:rPr>
        <w:t>is calculated on</w:t>
      </w:r>
      <w:r w:rsidR="00CB5887">
        <w:rPr>
          <w:rFonts w:ascii="Arial" w:hAnsi="Arial" w:cs="Arial"/>
          <w:i/>
          <w:iCs/>
          <w:sz w:val="20"/>
          <w:szCs w:val="17"/>
        </w:rPr>
        <w:t xml:space="preserve"> the </w:t>
      </w:r>
      <w:r w:rsidRPr="00CB5887">
        <w:rPr>
          <w:rFonts w:ascii="Arial" w:hAnsi="Arial" w:cs="Arial"/>
          <w:i/>
          <w:iCs/>
          <w:sz w:val="20"/>
          <w:szCs w:val="17"/>
        </w:rPr>
        <w:t>basis of</w:t>
      </w:r>
      <w:r w:rsidR="00BB0144" w:rsidRPr="00CB5887">
        <w:rPr>
          <w:rFonts w:ascii="Arial" w:hAnsi="Arial" w:cs="Arial"/>
          <w:i/>
          <w:iCs/>
          <w:sz w:val="20"/>
          <w:szCs w:val="17"/>
        </w:rPr>
        <w:t xml:space="preserve"> a </w:t>
      </w:r>
      <w:r w:rsidRPr="00CB5887">
        <w:rPr>
          <w:rFonts w:ascii="Arial" w:hAnsi="Arial" w:cs="Arial"/>
          <w:i/>
          <w:iCs/>
          <w:sz w:val="20"/>
          <w:szCs w:val="17"/>
        </w:rPr>
        <w:t xml:space="preserve">production, expenditure, and income method. </w:t>
      </w:r>
      <w:r w:rsidR="00413650">
        <w:rPr>
          <w:rFonts w:ascii="Arial" w:hAnsi="Arial" w:cs="Arial"/>
          <w:i/>
          <w:iCs/>
          <w:sz w:val="20"/>
          <w:szCs w:val="17"/>
        </w:rPr>
        <w:t>The production method is based on the sum of the value added and net taxes on products.</w:t>
      </w:r>
      <w:r w:rsidRPr="00CB5887">
        <w:rPr>
          <w:rFonts w:ascii="Arial" w:hAnsi="Arial" w:cs="Arial"/>
          <w:i/>
          <w:iCs/>
          <w:sz w:val="20"/>
          <w:szCs w:val="17"/>
        </w:rPr>
        <w:t xml:space="preserve"> The expenditure method is the sum of expenditure on final consumption, gross capital formation, and net exports. The income method is based on the sum of compensation of employees, gross operating surplus, and mixed income, and net taxes on production and imports.</w:t>
      </w:r>
      <w:r w:rsidR="007D5863">
        <w:rPr>
          <w:rFonts w:ascii="Arial" w:hAnsi="Arial" w:cs="Arial"/>
          <w:i/>
          <w:iCs/>
          <w:sz w:val="20"/>
          <w:szCs w:val="17"/>
        </w:rPr>
        <w:t xml:space="preserve"> </w:t>
      </w:r>
      <w:r w:rsidRPr="00CB5887">
        <w:rPr>
          <w:rFonts w:ascii="Arial" w:hAnsi="Arial" w:cs="Arial"/>
          <w:i/>
          <w:iCs/>
          <w:sz w:val="20"/>
          <w:szCs w:val="17"/>
        </w:rPr>
        <w:t>GDP is</w:t>
      </w:r>
      <w:r w:rsidR="00BB0144" w:rsidRPr="00CB5887">
        <w:rPr>
          <w:rFonts w:ascii="Arial" w:hAnsi="Arial" w:cs="Arial"/>
          <w:i/>
          <w:iCs/>
          <w:sz w:val="20"/>
          <w:szCs w:val="17"/>
        </w:rPr>
        <w:t xml:space="preserve"> a </w:t>
      </w:r>
      <w:r w:rsidRPr="00CB5887">
        <w:rPr>
          <w:rFonts w:ascii="Arial" w:hAnsi="Arial" w:cs="Arial"/>
          <w:i/>
          <w:iCs/>
          <w:sz w:val="20"/>
          <w:szCs w:val="17"/>
        </w:rPr>
        <w:t>result of</w:t>
      </w:r>
      <w:r w:rsidR="00CB5887">
        <w:rPr>
          <w:rFonts w:ascii="Arial" w:hAnsi="Arial" w:cs="Arial"/>
          <w:i/>
          <w:iCs/>
          <w:sz w:val="20"/>
          <w:szCs w:val="17"/>
        </w:rPr>
        <w:t xml:space="preserve"> the </w:t>
      </w:r>
      <w:r w:rsidRPr="00CB5887">
        <w:rPr>
          <w:rFonts w:ascii="Arial" w:hAnsi="Arial" w:cs="Arial"/>
          <w:i/>
          <w:iCs/>
          <w:sz w:val="20"/>
          <w:szCs w:val="17"/>
        </w:rPr>
        <w:t xml:space="preserve">production activity of resident units. </w:t>
      </w:r>
    </w:p>
    <w:p w:rsidR="00CD5B4D" w:rsidRPr="00CB5887" w:rsidRDefault="00CD54F6" w:rsidP="00BE60A5">
      <w:pPr>
        <w:spacing w:before="120"/>
        <w:ind w:firstLine="709"/>
        <w:rPr>
          <w:rFonts w:ascii="Arial" w:hAnsi="Arial" w:cs="Arial"/>
          <w:i/>
          <w:iCs/>
          <w:sz w:val="20"/>
          <w:szCs w:val="17"/>
        </w:rPr>
      </w:pPr>
      <w:r w:rsidRPr="00CB5887">
        <w:rPr>
          <w:rFonts w:ascii="Arial" w:hAnsi="Arial" w:cs="Arial"/>
          <w:b/>
          <w:bCs/>
          <w:i/>
          <w:iCs/>
          <w:sz w:val="20"/>
          <w:szCs w:val="17"/>
        </w:rPr>
        <w:t>Operating surplus</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(B.2g)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(B.2n)</w:t>
      </w:r>
      <w:r w:rsidRPr="00CB5887">
        <w:rPr>
          <w:rFonts w:ascii="Arial" w:hAnsi="Arial" w:cs="Arial"/>
          <w:i/>
          <w:iCs/>
          <w:sz w:val="20"/>
          <w:szCs w:val="17"/>
        </w:rPr>
        <w:t xml:space="preserve"> includes mainly profits of enterprises (adjusted e.g. by holding gains), interest and other income from ownership of capital. It is determined </w:t>
      </w:r>
      <w:r w:rsidR="00413650">
        <w:rPr>
          <w:rFonts w:ascii="Arial" w:hAnsi="Arial" w:cs="Arial"/>
          <w:i/>
          <w:iCs/>
          <w:sz w:val="20"/>
          <w:szCs w:val="17"/>
        </w:rPr>
        <w:t>as the balancing item between the gross value added, compensation of employees and net taxes on</w:t>
      </w:r>
      <w:r w:rsidRPr="00CB5887">
        <w:rPr>
          <w:rFonts w:ascii="Arial" w:hAnsi="Arial" w:cs="Arial"/>
          <w:i/>
          <w:iCs/>
          <w:sz w:val="20"/>
          <w:szCs w:val="17"/>
        </w:rPr>
        <w:t xml:space="preserve"> production and imports. The operating surplus in the sector of households includes also the activity of living in own dwelling. </w:t>
      </w:r>
    </w:p>
    <w:p w:rsidR="000E2EA1"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Mixed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(B.3g)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(B.3n)</w:t>
      </w:r>
      <w:r w:rsidRPr="00CB5887">
        <w:rPr>
          <w:rFonts w:ascii="Arial" w:hAnsi="Arial" w:cs="Arial"/>
          <w:i/>
          <w:iCs/>
          <w:sz w:val="20"/>
          <w:szCs w:val="17"/>
        </w:rPr>
        <w:t xml:space="preserve"> is the sum of income from business (profits) and income from work activities of the self-employed classified in </w:t>
      </w:r>
      <w:r w:rsidR="007A3A0A">
        <w:rPr>
          <w:rFonts w:ascii="Arial" w:hAnsi="Arial" w:cs="Arial"/>
          <w:i/>
          <w:iCs/>
          <w:sz w:val="20"/>
          <w:szCs w:val="17"/>
        </w:rPr>
        <w:t>the </w:t>
      </w:r>
      <w:r w:rsidRPr="00CB5887">
        <w:rPr>
          <w:rFonts w:ascii="Arial" w:hAnsi="Arial" w:cs="Arial"/>
          <w:i/>
          <w:iCs/>
          <w:sz w:val="20"/>
          <w:szCs w:val="17"/>
        </w:rPr>
        <w:t xml:space="preserve">households sector. </w:t>
      </w:r>
    </w:p>
    <w:p w:rsidR="00E76F17"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Entrepreneurial income – gross (B.4g) or net (B.4n)</w:t>
      </w:r>
      <w:r w:rsidRPr="00CB5887">
        <w:rPr>
          <w:rFonts w:ascii="Arial" w:hAnsi="Arial" w:cs="Arial"/>
          <w:i/>
          <w:sz w:val="20"/>
          <w:szCs w:val="20"/>
        </w:rPr>
        <w:t xml:space="preserve"> is</w:t>
      </w:r>
      <w:r w:rsidR="00BB0144" w:rsidRPr="00CB5887">
        <w:rPr>
          <w:rFonts w:ascii="Arial" w:hAnsi="Arial" w:cs="Arial"/>
          <w:i/>
          <w:sz w:val="20"/>
          <w:szCs w:val="20"/>
        </w:rPr>
        <w:t xml:space="preserve"> a </w:t>
      </w:r>
      <w:r w:rsidRPr="00CB5887">
        <w:rPr>
          <w:rFonts w:ascii="Arial" w:hAnsi="Arial" w:cs="Arial"/>
          <w:i/>
          <w:sz w:val="20"/>
          <w:szCs w:val="20"/>
        </w:rPr>
        <w:t>balancing item of the entrepreneurial income account; it correspond</w:t>
      </w:r>
      <w:r w:rsidR="008A6AE2">
        <w:rPr>
          <w:rFonts w:ascii="Arial" w:hAnsi="Arial" w:cs="Arial"/>
          <w:i/>
          <w:sz w:val="20"/>
          <w:szCs w:val="20"/>
        </w:rPr>
        <w:t>s</w:t>
      </w:r>
      <w:r w:rsidRPr="00CB5887">
        <w:rPr>
          <w:rFonts w:ascii="Arial" w:hAnsi="Arial" w:cs="Arial"/>
          <w:i/>
          <w:sz w:val="20"/>
          <w:szCs w:val="20"/>
        </w:rPr>
        <w:t xml:space="preserve"> to the concept of current profit before distribution and income tax as normally used in business accounting. </w:t>
      </w:r>
    </w:p>
    <w:p w:rsidR="00E172C3"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National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(B.5g)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(B.5n)</w:t>
      </w:r>
      <w:r w:rsidRPr="00CB5887">
        <w:rPr>
          <w:rFonts w:ascii="Arial" w:hAnsi="Arial" w:cs="Arial"/>
          <w:i/>
          <w:iCs/>
          <w:sz w:val="20"/>
          <w:szCs w:val="17"/>
        </w:rPr>
        <w:t xml:space="preserve"> is</w:t>
      </w:r>
      <w:r w:rsidR="00BB0144" w:rsidRPr="00CB5887">
        <w:rPr>
          <w:rFonts w:ascii="Arial" w:hAnsi="Arial" w:cs="Arial"/>
          <w:i/>
          <w:iCs/>
          <w:sz w:val="20"/>
          <w:szCs w:val="17"/>
        </w:rPr>
        <w:t xml:space="preserve"> a </w:t>
      </w:r>
      <w:r w:rsidRPr="00CB5887">
        <w:rPr>
          <w:rFonts w:ascii="Arial" w:hAnsi="Arial" w:cs="Arial"/>
          <w:i/>
          <w:iCs/>
          <w:sz w:val="20"/>
          <w:szCs w:val="17"/>
        </w:rPr>
        <w:t xml:space="preserve">balancing item of the distribution of primary income account, i.e. income resulting from the use of production factors (labour, land, and capital including net taxes on production and imports); it is the sum of </w:t>
      </w:r>
      <w:r w:rsidR="002322D3" w:rsidRPr="00CB5887">
        <w:rPr>
          <w:rFonts w:ascii="Arial" w:hAnsi="Arial" w:cs="Arial"/>
          <w:bCs/>
          <w:i/>
          <w:iCs/>
          <w:sz w:val="20"/>
          <w:szCs w:val="17"/>
        </w:rPr>
        <w:t>primary income balances</w:t>
      </w:r>
      <w:r w:rsidRPr="00CB5887">
        <w:rPr>
          <w:rFonts w:ascii="Arial" w:hAnsi="Arial" w:cs="Arial"/>
          <w:i/>
          <w:iCs/>
          <w:sz w:val="20"/>
          <w:szCs w:val="17"/>
        </w:rPr>
        <w:t xml:space="preserve"> for resident sectors.</w:t>
      </w:r>
    </w:p>
    <w:p w:rsidR="00B92348" w:rsidRPr="00CB5887" w:rsidRDefault="00CD54F6" w:rsidP="00BE60A5">
      <w:pPr>
        <w:spacing w:before="120"/>
        <w:ind w:firstLine="709"/>
        <w:rPr>
          <w:rFonts w:ascii="Arial" w:hAnsi="Arial" w:cs="Arial"/>
          <w:i/>
          <w:iCs/>
          <w:sz w:val="20"/>
          <w:szCs w:val="17"/>
        </w:rPr>
      </w:pPr>
      <w:r w:rsidRPr="00CB5887">
        <w:rPr>
          <w:rFonts w:ascii="Arial" w:hAnsi="Arial" w:cs="Arial"/>
          <w:b/>
          <w:bCs/>
          <w:i/>
          <w:iCs/>
          <w:sz w:val="20"/>
          <w:szCs w:val="17"/>
        </w:rPr>
        <w:t>Disposable income</w:t>
      </w:r>
      <w:r w:rsidRPr="00CB5887">
        <w:rPr>
          <w:rFonts w:ascii="Arial" w:hAnsi="Arial" w:cs="Arial"/>
          <w:i/>
          <w:iCs/>
          <w:sz w:val="20"/>
          <w:szCs w:val="17"/>
        </w:rPr>
        <w:t xml:space="preserve"> – </w:t>
      </w:r>
      <w:r w:rsidRPr="00CB5887">
        <w:rPr>
          <w:rFonts w:ascii="Arial" w:hAnsi="Arial" w:cs="Arial"/>
          <w:b/>
          <w:i/>
          <w:iCs/>
          <w:sz w:val="20"/>
          <w:szCs w:val="17"/>
        </w:rPr>
        <w:t>gross</w:t>
      </w:r>
      <w:r w:rsidRPr="00CB5887">
        <w:rPr>
          <w:rFonts w:ascii="Arial" w:hAnsi="Arial" w:cs="Arial"/>
          <w:i/>
          <w:iCs/>
          <w:sz w:val="20"/>
          <w:szCs w:val="17"/>
        </w:rPr>
        <w:t xml:space="preserve"> </w:t>
      </w:r>
      <w:r w:rsidRPr="00CB5887">
        <w:rPr>
          <w:rFonts w:ascii="Arial" w:hAnsi="Arial" w:cs="Arial"/>
          <w:b/>
          <w:bCs/>
          <w:i/>
          <w:iCs/>
          <w:sz w:val="20"/>
          <w:szCs w:val="17"/>
        </w:rPr>
        <w:t>(B.6g)</w:t>
      </w:r>
      <w:r w:rsidRPr="00CB5887">
        <w:rPr>
          <w:rFonts w:ascii="Arial" w:hAnsi="Arial" w:cs="Arial"/>
          <w:i/>
          <w:iCs/>
          <w:sz w:val="20"/>
          <w:szCs w:val="17"/>
        </w:rPr>
        <w:t xml:space="preserve"> </w:t>
      </w:r>
      <w:r w:rsidRPr="00CB5887">
        <w:rPr>
          <w:rFonts w:ascii="Arial" w:hAnsi="Arial" w:cs="Arial"/>
          <w:b/>
          <w:i/>
          <w:iCs/>
          <w:sz w:val="20"/>
          <w:szCs w:val="17"/>
        </w:rPr>
        <w:t>or net</w:t>
      </w:r>
      <w:r w:rsidRPr="00CB5887">
        <w:rPr>
          <w:rFonts w:ascii="Arial" w:hAnsi="Arial" w:cs="Arial"/>
          <w:i/>
          <w:iCs/>
          <w:sz w:val="20"/>
          <w:szCs w:val="17"/>
        </w:rPr>
        <w:t xml:space="preserve"> </w:t>
      </w:r>
      <w:r w:rsidRPr="00CB5887">
        <w:rPr>
          <w:rFonts w:ascii="Arial" w:hAnsi="Arial" w:cs="Arial"/>
          <w:b/>
          <w:bCs/>
          <w:i/>
          <w:iCs/>
          <w:sz w:val="20"/>
          <w:szCs w:val="17"/>
        </w:rPr>
        <w:t>(B.6n)</w:t>
      </w:r>
      <w:r w:rsidRPr="00CB5887">
        <w:rPr>
          <w:rFonts w:ascii="Arial" w:hAnsi="Arial" w:cs="Arial"/>
          <w:i/>
          <w:iCs/>
          <w:sz w:val="20"/>
          <w:szCs w:val="17"/>
        </w:rPr>
        <w:t xml:space="preserve"> results from the generation and distribution of income and thus it is the balancing item of the secondary distribution of income account. It is an amount, which businesses can give to final consumption and saving, i.e. to accumulation in tangible, intangible or financial assets. </w:t>
      </w:r>
    </w:p>
    <w:p w:rsidR="000D7C08" w:rsidRPr="00CB5887" w:rsidRDefault="00CD54F6" w:rsidP="006F4615">
      <w:pPr>
        <w:spacing w:before="120"/>
        <w:ind w:firstLine="709"/>
        <w:rPr>
          <w:rFonts w:ascii="Arial" w:hAnsi="Arial" w:cs="Arial"/>
          <w:i/>
          <w:sz w:val="20"/>
          <w:szCs w:val="20"/>
        </w:rPr>
      </w:pPr>
      <w:r w:rsidRPr="00CB5887">
        <w:rPr>
          <w:rFonts w:ascii="Arial" w:hAnsi="Arial" w:cs="Arial"/>
          <w:b/>
          <w:bCs/>
          <w:i/>
          <w:iCs/>
          <w:sz w:val="20"/>
          <w:szCs w:val="17"/>
        </w:rPr>
        <w:t>Adjusted disposable income – gross (B.7g) or net (B.7n)</w:t>
      </w:r>
      <w:r w:rsidRPr="00CB5887">
        <w:rPr>
          <w:rFonts w:ascii="Arial" w:hAnsi="Arial" w:cs="Arial"/>
          <w:bCs/>
          <w:i/>
          <w:iCs/>
          <w:sz w:val="20"/>
          <w:szCs w:val="17"/>
        </w:rPr>
        <w:t xml:space="preserve"> is</w:t>
      </w:r>
      <w:r w:rsidR="00BB0144" w:rsidRPr="00CB5887">
        <w:rPr>
          <w:rFonts w:ascii="Arial" w:hAnsi="Arial" w:cs="Arial"/>
          <w:bCs/>
          <w:i/>
          <w:iCs/>
          <w:sz w:val="20"/>
          <w:szCs w:val="17"/>
        </w:rPr>
        <w:t xml:space="preserve"> a </w:t>
      </w:r>
      <w:r w:rsidRPr="00CB5887">
        <w:rPr>
          <w:rFonts w:ascii="Arial" w:hAnsi="Arial" w:cs="Arial"/>
          <w:bCs/>
          <w:i/>
          <w:iCs/>
          <w:sz w:val="20"/>
          <w:szCs w:val="17"/>
        </w:rPr>
        <w:t xml:space="preserve">balancing item of the redistribution of income in kind account. It consists of disposable income of sectors adjusted for social transfers in kind between sectors. </w:t>
      </w:r>
      <w:r w:rsidRPr="00CB5887">
        <w:rPr>
          <w:rFonts w:ascii="Arial" w:hAnsi="Arial" w:cs="Arial"/>
          <w:i/>
          <w:sz w:val="20"/>
          <w:szCs w:val="20"/>
        </w:rPr>
        <w:t xml:space="preserve">In the total for the entire national economy it is the same as the disposable income (B.6). </w:t>
      </w:r>
    </w:p>
    <w:p w:rsidR="00121463" w:rsidRPr="00CB5887" w:rsidRDefault="00CD54F6" w:rsidP="000C2345">
      <w:pPr>
        <w:pStyle w:val="Normlnweb"/>
        <w:spacing w:before="120" w:beforeAutospacing="0" w:after="0" w:afterAutospacing="0"/>
        <w:ind w:firstLine="709"/>
        <w:jc w:val="both"/>
        <w:rPr>
          <w:rFonts w:ascii="Arial" w:hAnsi="Arial" w:cs="Arial"/>
          <w:i/>
          <w:color w:val="auto"/>
          <w:sz w:val="20"/>
          <w:szCs w:val="20"/>
          <w:lang w:val="en-GB"/>
        </w:rPr>
      </w:pPr>
      <w:r w:rsidRPr="00CB5887">
        <w:rPr>
          <w:rFonts w:ascii="Arial" w:hAnsi="Arial" w:cs="Arial"/>
          <w:b/>
          <w:bCs/>
          <w:i/>
          <w:iCs/>
          <w:color w:val="auto"/>
          <w:sz w:val="20"/>
          <w:szCs w:val="17"/>
          <w:lang w:val="en-GB"/>
        </w:rPr>
        <w:t>Saving</w:t>
      </w:r>
      <w:r w:rsidRPr="00CB5887">
        <w:rPr>
          <w:rFonts w:ascii="Arial" w:hAnsi="Arial" w:cs="Arial"/>
          <w:i/>
          <w:iCs/>
          <w:color w:val="auto"/>
          <w:sz w:val="20"/>
          <w:szCs w:val="17"/>
          <w:lang w:val="en-GB"/>
        </w:rPr>
        <w:t xml:space="preserve"> – </w:t>
      </w:r>
      <w:r w:rsidRPr="00CB5887">
        <w:rPr>
          <w:rFonts w:ascii="Arial" w:hAnsi="Arial" w:cs="Arial"/>
          <w:b/>
          <w:i/>
          <w:iCs/>
          <w:color w:val="auto"/>
          <w:sz w:val="20"/>
          <w:szCs w:val="17"/>
          <w:lang w:val="en-GB"/>
        </w:rPr>
        <w:t>gross</w:t>
      </w:r>
      <w:r w:rsidRPr="00CB5887">
        <w:rPr>
          <w:rFonts w:ascii="Arial" w:hAnsi="Arial" w:cs="Arial"/>
          <w:i/>
          <w:iCs/>
          <w:color w:val="auto"/>
          <w:sz w:val="20"/>
          <w:szCs w:val="17"/>
          <w:lang w:val="en-GB"/>
        </w:rPr>
        <w:t xml:space="preserve"> </w:t>
      </w:r>
      <w:r w:rsidRPr="00CB5887">
        <w:rPr>
          <w:rFonts w:ascii="Arial" w:hAnsi="Arial" w:cs="Arial"/>
          <w:b/>
          <w:bCs/>
          <w:i/>
          <w:iCs/>
          <w:color w:val="auto"/>
          <w:sz w:val="20"/>
          <w:szCs w:val="17"/>
          <w:lang w:val="en-GB"/>
        </w:rPr>
        <w:t>(B.8g)</w:t>
      </w:r>
      <w:r w:rsidRPr="00CB5887">
        <w:rPr>
          <w:rFonts w:ascii="Arial" w:hAnsi="Arial" w:cs="Arial"/>
          <w:i/>
          <w:iCs/>
          <w:color w:val="auto"/>
          <w:sz w:val="20"/>
          <w:szCs w:val="17"/>
          <w:lang w:val="en-GB"/>
        </w:rPr>
        <w:t xml:space="preserve"> </w:t>
      </w:r>
      <w:r w:rsidRPr="00CB5887">
        <w:rPr>
          <w:rFonts w:ascii="Arial" w:hAnsi="Arial" w:cs="Arial"/>
          <w:b/>
          <w:i/>
          <w:iCs/>
          <w:color w:val="auto"/>
          <w:sz w:val="20"/>
          <w:szCs w:val="17"/>
          <w:lang w:val="en-GB"/>
        </w:rPr>
        <w:t>or net</w:t>
      </w:r>
      <w:r w:rsidRPr="00CB5887">
        <w:rPr>
          <w:rFonts w:ascii="Arial" w:hAnsi="Arial" w:cs="Arial"/>
          <w:i/>
          <w:iCs/>
          <w:color w:val="auto"/>
          <w:sz w:val="20"/>
          <w:szCs w:val="17"/>
          <w:lang w:val="en-GB"/>
        </w:rPr>
        <w:t xml:space="preserve"> </w:t>
      </w:r>
      <w:r w:rsidRPr="00CB5887">
        <w:rPr>
          <w:rFonts w:ascii="Arial" w:hAnsi="Arial" w:cs="Arial"/>
          <w:b/>
          <w:bCs/>
          <w:i/>
          <w:iCs/>
          <w:color w:val="auto"/>
          <w:sz w:val="20"/>
          <w:szCs w:val="17"/>
          <w:lang w:val="en-GB"/>
        </w:rPr>
        <w:t>(B.8n)</w:t>
      </w:r>
      <w:r w:rsidRPr="00CB5887">
        <w:rPr>
          <w:rFonts w:ascii="Arial" w:hAnsi="Arial" w:cs="Arial"/>
          <w:i/>
          <w:iCs/>
          <w:color w:val="auto"/>
          <w:sz w:val="20"/>
          <w:szCs w:val="17"/>
          <w:lang w:val="en-GB"/>
        </w:rPr>
        <w:t xml:space="preserv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balancing item of the use of income account. It is an amount, which is (if the saving is positive) available for acquisition of tangible, intangible, and financial assets or for lowering of financial liabilities or which (if the saving is negative) has to be provided by lowering these assets or by an increase of the liability. Nevertheless, total resources of accumulation for respective sectors are either higher or lower by the effect of capital transfers. In the general government, NPISHs</w:t>
      </w:r>
      <w:r w:rsidR="0060163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households sectors, saving is the difference between disposable income and final consumption. It equals disposable income in other sectors.</w:t>
      </w:r>
      <w:r w:rsidR="00F777F8">
        <w:rPr>
          <w:rFonts w:ascii="Arial" w:hAnsi="Arial" w:cs="Arial"/>
          <w:i/>
          <w:iCs/>
          <w:color w:val="auto"/>
          <w:sz w:val="20"/>
          <w:szCs w:val="17"/>
          <w:lang w:val="en-GB"/>
        </w:rPr>
        <w:t xml:space="preserve"> National saving </w:t>
      </w:r>
      <w:r w:rsidR="00997B75">
        <w:rPr>
          <w:rFonts w:ascii="Arial" w:hAnsi="Arial" w:cs="Arial"/>
          <w:i/>
          <w:iCs/>
          <w:color w:val="auto"/>
          <w:sz w:val="20"/>
          <w:szCs w:val="17"/>
          <w:lang w:val="en-GB"/>
        </w:rPr>
        <w:t xml:space="preserve">is the </w:t>
      </w:r>
      <w:r w:rsidR="00F777F8">
        <w:rPr>
          <w:rFonts w:ascii="Arial" w:hAnsi="Arial" w:cs="Arial"/>
          <w:i/>
          <w:iCs/>
          <w:color w:val="auto"/>
          <w:sz w:val="20"/>
          <w:szCs w:val="17"/>
          <w:lang w:val="en-GB"/>
        </w:rPr>
        <w:t>sum of savings of resident institutional sectors.</w:t>
      </w:r>
    </w:p>
    <w:p w:rsidR="00BE60A5"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Net lending (+) or borrowing (-) (B.9)</w:t>
      </w:r>
      <w:r w:rsidRPr="00CB5887">
        <w:rPr>
          <w:rFonts w:ascii="Arial" w:hAnsi="Arial" w:cs="Arial"/>
          <w:i/>
          <w:iCs/>
          <w:color w:val="auto"/>
          <w:sz w:val="20"/>
          <w:szCs w:val="17"/>
          <w:lang w:val="en-GB"/>
        </w:rPr>
        <w:t>: amount that</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given sector can lend to or has to borrow from another sector. For the whole national economy, net lending (+) or borrowing (-) equals to resources that the economy made available to or borrowed from the rest of the world. In the general government sector, the government surplus or deficit (B.9) is evaluated in relation to </w:t>
      </w:r>
      <w:r w:rsidR="00A410E0">
        <w:rPr>
          <w:rFonts w:ascii="Arial" w:hAnsi="Arial" w:cs="Arial"/>
          <w:i/>
          <w:iCs/>
          <w:color w:val="auto"/>
          <w:sz w:val="20"/>
          <w:szCs w:val="17"/>
          <w:lang w:val="en-GB"/>
        </w:rPr>
        <w:t xml:space="preserve">the </w:t>
      </w:r>
      <w:r w:rsidRPr="00CB5887">
        <w:rPr>
          <w:rFonts w:ascii="Arial" w:hAnsi="Arial" w:cs="Arial"/>
          <w:i/>
          <w:iCs/>
          <w:color w:val="auto"/>
          <w:sz w:val="20"/>
          <w:szCs w:val="17"/>
          <w:lang w:val="en-GB"/>
        </w:rPr>
        <w:t xml:space="preserve">GDP according to the Maastricht criteria (3%). </w:t>
      </w:r>
      <w:r w:rsidR="00A410E0">
        <w:rPr>
          <w:rFonts w:ascii="Arial" w:hAnsi="Arial" w:cs="Arial"/>
          <w:i/>
          <w:iCs/>
          <w:color w:val="auto"/>
          <w:sz w:val="20"/>
          <w:szCs w:val="17"/>
          <w:lang w:val="en-GB"/>
        </w:rPr>
        <w:t>The</w:t>
      </w:r>
      <w:r w:rsidR="00A410E0"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B.9</w:t>
      </w:r>
      <w:r w:rsidR="00A410E0">
        <w:rPr>
          <w:rFonts w:ascii="Arial" w:hAnsi="Arial" w:cs="Arial"/>
          <w:i/>
          <w:iCs/>
          <w:color w:val="auto"/>
          <w:sz w:val="20"/>
          <w:szCs w:val="17"/>
          <w:lang w:val="en-GB"/>
        </w:rPr>
        <w:t xml:space="preserve"> item</w:t>
      </w:r>
      <w:r w:rsidRPr="00CB5887">
        <w:rPr>
          <w:rFonts w:ascii="Arial" w:hAnsi="Arial" w:cs="Arial"/>
          <w:i/>
          <w:iCs/>
          <w:color w:val="auto"/>
          <w:sz w:val="20"/>
          <w:szCs w:val="17"/>
          <w:lang w:val="en-GB"/>
        </w:rPr>
        <w:t xml:space="preserve"> is </w:t>
      </w:r>
      <w:r w:rsidR="00A410E0">
        <w:rPr>
          <w:rFonts w:ascii="Arial" w:hAnsi="Arial" w:cs="Arial"/>
          <w:i/>
          <w:iCs/>
          <w:color w:val="auto"/>
          <w:sz w:val="20"/>
          <w:szCs w:val="17"/>
          <w:lang w:val="en-GB"/>
        </w:rPr>
        <w:t>a</w:t>
      </w:r>
      <w:r w:rsidR="00A410E0" w:rsidRPr="00CB5887">
        <w:rPr>
          <w:rFonts w:ascii="Arial" w:hAnsi="Arial" w:cs="Arial"/>
          <w:i/>
          <w:iCs/>
          <w:color w:val="auto"/>
          <w:sz w:val="20"/>
          <w:szCs w:val="17"/>
          <w:lang w:val="en-GB"/>
        </w:rPr>
        <w:t> </w:t>
      </w:r>
      <w:r w:rsidRPr="00CB5887">
        <w:rPr>
          <w:rFonts w:ascii="Arial" w:hAnsi="Arial" w:cs="Arial"/>
          <w:i/>
          <w:iCs/>
          <w:color w:val="auto"/>
          <w:sz w:val="20"/>
          <w:szCs w:val="17"/>
          <w:lang w:val="en-GB"/>
        </w:rPr>
        <w:t>balancing item of the capital account and should correspond to the same item in the financial account, where it shows total changes in financial assets and liabilities.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rule, there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statistical discrepancy between the two approaches to </w:t>
      </w:r>
      <w:r w:rsidRPr="00CB5887">
        <w:rPr>
          <w:rFonts w:ascii="Arial" w:hAnsi="Arial" w:cs="Arial"/>
          <w:i/>
          <w:iCs/>
          <w:color w:val="auto"/>
          <w:sz w:val="20"/>
          <w:szCs w:val="17"/>
          <w:lang w:val="en-GB"/>
        </w:rPr>
        <w:lastRenderedPageBreak/>
        <w:t>calculation of the balancing item. It reflects</w:t>
      </w:r>
      <w:r w:rsidR="00B03294" w:rsidRPr="00B03294">
        <w:rPr>
          <w:rFonts w:ascii="Arial" w:hAnsi="Arial" w:cs="Arial"/>
          <w:i/>
          <w:iCs/>
          <w:color w:val="auto"/>
          <w:sz w:val="20"/>
          <w:szCs w:val="17"/>
          <w:lang w:val="en-GB"/>
        </w:rPr>
        <w:t xml:space="preserve"> </w:t>
      </w:r>
      <w:r w:rsidR="00B03294" w:rsidRPr="00CB5887">
        <w:rPr>
          <w:rFonts w:ascii="Arial" w:hAnsi="Arial" w:cs="Arial"/>
          <w:i/>
          <w:iCs/>
          <w:color w:val="auto"/>
          <w:sz w:val="20"/>
          <w:szCs w:val="17"/>
          <w:lang w:val="en-GB"/>
        </w:rPr>
        <w:t>the use of different information sources</w:t>
      </w:r>
      <w:r w:rsidR="00B03294">
        <w:rPr>
          <w:rFonts w:ascii="Arial" w:hAnsi="Arial" w:cs="Arial"/>
          <w:i/>
          <w:iCs/>
          <w:color w:val="auto"/>
          <w:sz w:val="20"/>
          <w:szCs w:val="17"/>
          <w:lang w:val="en-GB"/>
        </w:rPr>
        <w:t>,</w:t>
      </w:r>
      <w:r w:rsidRPr="00CB5887">
        <w:rPr>
          <w:rFonts w:ascii="Arial" w:hAnsi="Arial" w:cs="Arial"/>
          <w:i/>
          <w:iCs/>
          <w:color w:val="auto"/>
          <w:sz w:val="20"/>
          <w:szCs w:val="17"/>
          <w:lang w:val="en-GB"/>
        </w:rPr>
        <w:t xml:space="preserve"> inaccuracies, errors, </w:t>
      </w:r>
      <w:r w:rsidR="00B03294">
        <w:rPr>
          <w:rFonts w:ascii="Arial" w:hAnsi="Arial" w:cs="Arial"/>
          <w:i/>
          <w:iCs/>
          <w:color w:val="auto"/>
          <w:sz w:val="20"/>
          <w:szCs w:val="17"/>
          <w:lang w:val="en-GB"/>
        </w:rPr>
        <w:t xml:space="preserve">and </w:t>
      </w:r>
      <w:r w:rsidRPr="00CB5887">
        <w:rPr>
          <w:rFonts w:ascii="Arial" w:hAnsi="Arial" w:cs="Arial"/>
          <w:i/>
          <w:iCs/>
          <w:color w:val="auto"/>
          <w:sz w:val="20"/>
          <w:szCs w:val="17"/>
          <w:lang w:val="en-GB"/>
        </w:rPr>
        <w:t>mistakes involved in compiling and processing of data from accounting statements or statistical reports. There is also an influence of inconsistent adherence to methodology for individual items. In the process of balancing, the final statistical discrepancy of respective non-financial and financial transactions is minimized and, in the end,</w:t>
      </w:r>
      <w:r w:rsidR="0079169B">
        <w:rPr>
          <w:rFonts w:ascii="Arial" w:hAnsi="Arial" w:cs="Arial"/>
          <w:i/>
          <w:iCs/>
          <w:color w:val="auto"/>
          <w:sz w:val="20"/>
          <w:szCs w:val="17"/>
          <w:lang w:val="en-GB"/>
        </w:rPr>
        <w:t xml:space="preserve"> usually</w:t>
      </w:r>
      <w:r w:rsidRPr="00CB5887">
        <w:rPr>
          <w:rFonts w:ascii="Arial" w:hAnsi="Arial" w:cs="Arial"/>
          <w:i/>
          <w:iCs/>
          <w:color w:val="auto"/>
          <w:sz w:val="20"/>
          <w:szCs w:val="17"/>
          <w:lang w:val="en-GB"/>
        </w:rPr>
        <w:t xml:space="preserve"> placed to other accounts receivable/payable (F.8). </w:t>
      </w:r>
    </w:p>
    <w:p w:rsidR="00993144"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Changes in net worth (B.10)</w:t>
      </w:r>
      <w:r w:rsidRPr="00CB5887">
        <w:rPr>
          <w:rFonts w:ascii="Arial" w:hAnsi="Arial" w:cs="Arial"/>
          <w:i/>
          <w:sz w:val="20"/>
          <w:szCs w:val="20"/>
        </w:rPr>
        <w:t xml:space="preserve"> express changes in the value of assets and liabilities during the accounting period and summarize amounts captured in the accumulation accounts, i.e. changes in net worth due to saving and capital transfers, changes in net worth due to other changes in the volume of assets and changes in net worth due to nominal holding gains/losses. </w:t>
      </w:r>
    </w:p>
    <w:p w:rsidR="006B4125" w:rsidRPr="00CB5887" w:rsidRDefault="00CD54F6" w:rsidP="00BE60A5">
      <w:pPr>
        <w:spacing w:before="120"/>
        <w:ind w:firstLine="709"/>
        <w:rPr>
          <w:rFonts w:ascii="Arial" w:hAnsi="Arial" w:cs="Arial"/>
          <w:i/>
          <w:sz w:val="20"/>
          <w:szCs w:val="20"/>
        </w:rPr>
      </w:pPr>
      <w:r w:rsidRPr="00CB5887">
        <w:rPr>
          <w:rFonts w:ascii="Arial" w:hAnsi="Arial" w:cs="Arial"/>
          <w:b/>
          <w:i/>
          <w:sz w:val="20"/>
          <w:szCs w:val="20"/>
        </w:rPr>
        <w:t>External balance of goods and services (B.11)</w:t>
      </w:r>
      <w:r w:rsidRPr="00CB5887">
        <w:rPr>
          <w:rFonts w:ascii="Arial" w:hAnsi="Arial" w:cs="Arial"/>
          <w:i/>
          <w:sz w:val="20"/>
          <w:szCs w:val="20"/>
        </w:rPr>
        <w:t xml:space="preserve"> – when it is positive there is</w:t>
      </w:r>
      <w:r w:rsidR="00BB0144" w:rsidRPr="00CB5887">
        <w:rPr>
          <w:rFonts w:ascii="Arial" w:hAnsi="Arial" w:cs="Arial"/>
          <w:i/>
          <w:sz w:val="20"/>
          <w:szCs w:val="20"/>
        </w:rPr>
        <w:t xml:space="preserve"> a </w:t>
      </w:r>
      <w:r w:rsidRPr="00CB5887">
        <w:rPr>
          <w:rFonts w:ascii="Arial" w:hAnsi="Arial" w:cs="Arial"/>
          <w:i/>
          <w:sz w:val="20"/>
          <w:szCs w:val="20"/>
        </w:rPr>
        <w:t>surplus for non-residents and</w:t>
      </w:r>
      <w:r w:rsidR="00BB0144" w:rsidRPr="00CB5887">
        <w:rPr>
          <w:rFonts w:ascii="Arial" w:hAnsi="Arial" w:cs="Arial"/>
          <w:i/>
          <w:sz w:val="20"/>
          <w:szCs w:val="20"/>
        </w:rPr>
        <w:t xml:space="preserve"> a </w:t>
      </w:r>
      <w:r w:rsidRPr="00CB5887">
        <w:rPr>
          <w:rFonts w:ascii="Arial" w:hAnsi="Arial" w:cs="Arial"/>
          <w:i/>
          <w:sz w:val="20"/>
          <w:szCs w:val="20"/>
        </w:rPr>
        <w:t xml:space="preserve">deficit for the domestic national economy and the vice-versa when it is negative. </w:t>
      </w:r>
    </w:p>
    <w:p w:rsidR="00EB3F14" w:rsidRPr="00CB5887" w:rsidRDefault="00CD54F6" w:rsidP="00BE60A5">
      <w:pPr>
        <w:spacing w:before="120"/>
        <w:ind w:firstLine="709"/>
        <w:rPr>
          <w:rFonts w:ascii="Arial" w:hAnsi="Arial" w:cs="Arial"/>
          <w:b/>
          <w:i/>
          <w:sz w:val="20"/>
          <w:szCs w:val="20"/>
        </w:rPr>
      </w:pPr>
      <w:r w:rsidRPr="00CB5887">
        <w:rPr>
          <w:rFonts w:ascii="Arial" w:hAnsi="Arial" w:cs="Arial"/>
          <w:b/>
          <w:bCs/>
          <w:i/>
          <w:iCs/>
          <w:sz w:val="20"/>
          <w:szCs w:val="17"/>
        </w:rPr>
        <w:t>Current external balance (B.12)</w:t>
      </w:r>
      <w:r w:rsidR="00314056">
        <w:rPr>
          <w:rFonts w:ascii="Arial" w:hAnsi="Arial" w:cs="Arial"/>
          <w:bCs/>
          <w:i/>
          <w:iCs/>
          <w:sz w:val="20"/>
          <w:szCs w:val="17"/>
        </w:rPr>
        <w:t>, positive or negative,</w:t>
      </w:r>
      <w:r w:rsidRPr="00CB5887">
        <w:rPr>
          <w:rFonts w:ascii="Arial" w:hAnsi="Arial" w:cs="Arial"/>
          <w:i/>
          <w:iCs/>
          <w:sz w:val="20"/>
          <w:szCs w:val="17"/>
        </w:rPr>
        <w:t xml:space="preserve"> is the result of transactions between resident and non-resident institutional units in primary and secondary distribution of income.</w:t>
      </w:r>
    </w:p>
    <w:p w:rsidR="00121463" w:rsidRPr="00CB5887" w:rsidRDefault="00CD54F6" w:rsidP="00D76474">
      <w:pPr>
        <w:pStyle w:val="Normlnweb"/>
        <w:spacing w:before="120" w:beforeAutospacing="0" w:after="0" w:afterAutospacing="0"/>
        <w:ind w:firstLine="709"/>
        <w:jc w:val="both"/>
        <w:rPr>
          <w:rFonts w:ascii="Arial" w:hAnsi="Arial" w:cs="Arial"/>
          <w:bCs/>
          <w:i/>
          <w:iCs/>
          <w:color w:val="auto"/>
          <w:sz w:val="20"/>
          <w:szCs w:val="20"/>
          <w:lang w:val="en-GB"/>
        </w:rPr>
      </w:pPr>
      <w:r w:rsidRPr="00CB5887">
        <w:rPr>
          <w:rFonts w:ascii="Arial" w:hAnsi="Arial" w:cs="Arial"/>
          <w:b/>
          <w:bCs/>
          <w:i/>
          <w:iCs/>
          <w:color w:val="auto"/>
          <w:sz w:val="20"/>
          <w:szCs w:val="17"/>
          <w:lang w:val="en-GB"/>
        </w:rPr>
        <w:t>Net worth (B.90)</w:t>
      </w:r>
      <w:r w:rsidRPr="00CB5887">
        <w:rPr>
          <w:rFonts w:ascii="Arial" w:hAnsi="Arial" w:cs="Arial"/>
          <w:bCs/>
          <w:i/>
          <w:iCs/>
          <w:color w:val="auto"/>
          <w:sz w:val="20"/>
          <w:szCs w:val="17"/>
          <w:lang w:val="en-GB"/>
        </w:rPr>
        <w:t xml:space="preserve">: for the national economy in total also the term national wealth is used. The net worth of the national economy in total is the sum of net worth of institutional sectors. It is the value of non-financial assets of the national economy in total plus the balance of financial assets and liabilities to the rest of the world (non-residents). </w:t>
      </w:r>
    </w:p>
    <w:p w:rsidR="00121463" w:rsidRPr="00CB5887" w:rsidRDefault="00121463">
      <w:pPr>
        <w:pStyle w:val="Normlnweb"/>
        <w:spacing w:before="0" w:beforeAutospacing="0" w:after="0" w:afterAutospacing="0"/>
        <w:jc w:val="both"/>
        <w:rPr>
          <w:rFonts w:ascii="Arial" w:hAnsi="Arial" w:cs="Arial"/>
          <w:bCs/>
          <w:i/>
          <w:iCs/>
          <w:color w:val="auto"/>
          <w:sz w:val="20"/>
          <w:szCs w:val="20"/>
          <w:lang w:val="en-GB"/>
        </w:rPr>
      </w:pPr>
    </w:p>
    <w:p w:rsidR="001F6477" w:rsidRPr="00CB5887" w:rsidRDefault="001F6477">
      <w:pPr>
        <w:pStyle w:val="Normlnweb"/>
        <w:spacing w:before="0" w:beforeAutospacing="0" w:after="0" w:afterAutospacing="0"/>
        <w:jc w:val="both"/>
        <w:rPr>
          <w:rFonts w:ascii="Arial" w:hAnsi="Arial" w:cs="Arial"/>
          <w:bCs/>
          <w:i/>
          <w:iCs/>
          <w:color w:val="auto"/>
          <w:sz w:val="20"/>
          <w:szCs w:val="20"/>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t>Valuation</w:t>
      </w:r>
      <w:r w:rsidRPr="00CB5887">
        <w:rPr>
          <w:rFonts w:ascii="Arial" w:hAnsi="Arial" w:cs="Arial"/>
          <w:i/>
          <w:iCs/>
          <w:color w:val="auto"/>
          <w:sz w:val="20"/>
          <w:szCs w:val="17"/>
          <w:lang w:val="en-GB"/>
        </w:rPr>
        <w:t xml:space="preserve"> </w:t>
      </w:r>
    </w:p>
    <w:p w:rsidR="002322D3" w:rsidRPr="00CB5887" w:rsidRDefault="00CD54F6" w:rsidP="002322D3">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Flows and stocks are valued at market prices; when no market prices are available (e.g. in</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case of non-market services provided by</w:t>
      </w:r>
      <w:r w:rsidR="00CB5887">
        <w:rPr>
          <w:rFonts w:ascii="Arial" w:hAnsi="Arial" w:cs="Arial"/>
          <w:i/>
          <w:iCs/>
          <w:color w:val="auto"/>
          <w:sz w:val="20"/>
          <w:szCs w:val="17"/>
          <w:lang w:val="en-GB"/>
        </w:rPr>
        <w:t xml:space="preserve"> the</w:t>
      </w:r>
      <w:r w:rsidR="009F6C99">
        <w:rPr>
          <w:rFonts w:ascii="Arial" w:hAnsi="Arial" w:cs="Arial"/>
          <w:i/>
          <w:iCs/>
          <w:color w:val="auto"/>
          <w:sz w:val="20"/>
          <w:szCs w:val="17"/>
          <w:lang w:val="en-GB"/>
        </w:rPr>
        <w:t xml:space="preserve"> general</w:t>
      </w:r>
      <w:r w:rsidR="00CB5887">
        <w:rPr>
          <w:rFonts w:ascii="Arial" w:hAnsi="Arial" w:cs="Arial"/>
          <w:i/>
          <w:iCs/>
          <w:color w:val="auto"/>
          <w:sz w:val="20"/>
          <w:szCs w:val="17"/>
          <w:lang w:val="en-GB"/>
        </w:rPr>
        <w:t> </w:t>
      </w:r>
      <w:r w:rsidRPr="00CB5887">
        <w:rPr>
          <w:rFonts w:ascii="Arial" w:hAnsi="Arial" w:cs="Arial"/>
          <w:i/>
          <w:iCs/>
          <w:color w:val="auto"/>
          <w:sz w:val="20"/>
          <w:szCs w:val="17"/>
          <w:lang w:val="en-GB"/>
        </w:rPr>
        <w:t>government) valuation is made by summing production costs; they are expressed at current prices. Moreover, flows and stocks are also expressed at constant prices (i.e. at</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prices of</w:t>
      </w:r>
      <w:r w:rsidR="00CB5887">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previous period).</w:t>
      </w:r>
    </w:p>
    <w:p w:rsidR="002322D3" w:rsidRPr="00CB5887" w:rsidRDefault="00CD54F6" w:rsidP="002322D3">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Due to transport costs, trade margins</w:t>
      </w:r>
      <w:r w:rsidR="00B934A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taxes on products less subsidies on products, the producer and the user of</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given product usually perceive its value differently. In order to be as close to the views of both producers and customers as possible, the system records all uses at purchaser prices, which include transport costs, trade margins</w:t>
      </w:r>
      <w:r w:rsidR="00B934AA">
        <w:rPr>
          <w:rFonts w:ascii="Arial" w:hAnsi="Arial" w:cs="Arial"/>
          <w:i/>
          <w:iCs/>
          <w:color w:val="auto"/>
          <w:sz w:val="20"/>
          <w:szCs w:val="17"/>
          <w:lang w:val="en-GB"/>
        </w:rPr>
        <w:t>,</w:t>
      </w:r>
      <w:r w:rsidRPr="00CB5887">
        <w:rPr>
          <w:rFonts w:ascii="Arial" w:hAnsi="Arial" w:cs="Arial"/>
          <w:i/>
          <w:iCs/>
          <w:color w:val="auto"/>
          <w:sz w:val="20"/>
          <w:szCs w:val="17"/>
          <w:lang w:val="en-GB"/>
        </w:rPr>
        <w:t xml:space="preserve"> and taxes less subsidies on products, while output is recorded at basic prices, which exclude these components. Imports and exports of commodities are measured at prices at the </w:t>
      </w:r>
      <w:r w:rsidR="00BC0858">
        <w:rPr>
          <w:rFonts w:ascii="Arial" w:hAnsi="Arial" w:cs="Arial"/>
          <w:i/>
          <w:iCs/>
          <w:color w:val="auto"/>
          <w:sz w:val="20"/>
          <w:szCs w:val="17"/>
          <w:lang w:val="en-GB"/>
        </w:rPr>
        <w:t>border</w:t>
      </w:r>
      <w:r w:rsidRPr="00CB5887">
        <w:rPr>
          <w:rFonts w:ascii="Arial" w:hAnsi="Arial" w:cs="Arial"/>
          <w:i/>
          <w:iCs/>
          <w:color w:val="auto"/>
          <w:sz w:val="20"/>
          <w:szCs w:val="17"/>
          <w:lang w:val="en-GB"/>
        </w:rPr>
        <w:t xml:space="preserve">. Total imports and exports are valued at the exporter’s customs </w:t>
      </w:r>
      <w:r w:rsidR="00BC0858">
        <w:rPr>
          <w:rFonts w:ascii="Arial" w:hAnsi="Arial" w:cs="Arial"/>
          <w:i/>
          <w:iCs/>
          <w:color w:val="auto"/>
          <w:sz w:val="20"/>
          <w:szCs w:val="17"/>
          <w:lang w:val="en-GB"/>
        </w:rPr>
        <w:t>border</w:t>
      </w:r>
      <w:r w:rsidRPr="00CB5887">
        <w:rPr>
          <w:rFonts w:ascii="Arial" w:hAnsi="Arial" w:cs="Arial"/>
          <w:i/>
          <w:iCs/>
          <w:color w:val="auto"/>
          <w:sz w:val="20"/>
          <w:szCs w:val="17"/>
          <w:lang w:val="en-GB"/>
        </w:rPr>
        <w:t xml:space="preserve">, </w:t>
      </w:r>
      <w:r w:rsidR="007927B4">
        <w:rPr>
          <w:rFonts w:ascii="Arial" w:hAnsi="Arial" w:cs="Arial"/>
          <w:i/>
          <w:iCs/>
          <w:color w:val="auto"/>
          <w:sz w:val="20"/>
          <w:szCs w:val="17"/>
          <w:lang w:val="en-GB"/>
        </w:rPr>
        <w:t>i.e.</w:t>
      </w:r>
      <w:r w:rsidR="007927B4"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free on board (FOB). Foreign transport and insurance services between the importer</w:t>
      </w:r>
      <w:r w:rsidR="005537B9" w:rsidRPr="00CB5887">
        <w:rPr>
          <w:rFonts w:ascii="Arial" w:hAnsi="Arial" w:cs="Arial"/>
          <w:i/>
          <w:iCs/>
          <w:color w:val="auto"/>
          <w:sz w:val="20"/>
          <w:szCs w:val="17"/>
          <w:lang w:val="en-GB"/>
        </w:rPr>
        <w:t>’s</w:t>
      </w:r>
      <w:r w:rsidRPr="00CB5887">
        <w:rPr>
          <w:rFonts w:ascii="Arial" w:hAnsi="Arial" w:cs="Arial"/>
          <w:i/>
          <w:iCs/>
          <w:color w:val="auto"/>
          <w:sz w:val="20"/>
          <w:szCs w:val="17"/>
          <w:lang w:val="en-GB"/>
        </w:rPr>
        <w:t xml:space="preserve"> and exporter’s </w:t>
      </w:r>
      <w:r w:rsidR="00BC0858">
        <w:rPr>
          <w:rFonts w:ascii="Arial" w:hAnsi="Arial" w:cs="Arial"/>
          <w:i/>
          <w:iCs/>
          <w:color w:val="auto"/>
          <w:sz w:val="20"/>
          <w:szCs w:val="17"/>
          <w:lang w:val="en-GB"/>
        </w:rPr>
        <w:t>borders</w:t>
      </w:r>
      <w:r w:rsidR="00BC0858" w:rsidRPr="00CB5887">
        <w:rPr>
          <w:rFonts w:ascii="Arial" w:hAnsi="Arial" w:cs="Arial"/>
          <w:i/>
          <w:iCs/>
          <w:color w:val="auto"/>
          <w:sz w:val="20"/>
          <w:szCs w:val="17"/>
          <w:lang w:val="en-GB"/>
        </w:rPr>
        <w:t xml:space="preserve"> </w:t>
      </w:r>
      <w:r w:rsidRPr="00CB5887">
        <w:rPr>
          <w:rFonts w:ascii="Arial" w:hAnsi="Arial" w:cs="Arial"/>
          <w:i/>
          <w:iCs/>
          <w:color w:val="auto"/>
          <w:sz w:val="20"/>
          <w:szCs w:val="17"/>
          <w:lang w:val="en-GB"/>
        </w:rPr>
        <w:t xml:space="preserve">are not included in the value of goods but are recorded under services.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Basic price</w:t>
      </w:r>
      <w:r w:rsidRPr="00CB5887">
        <w:rPr>
          <w:rFonts w:ascii="Arial" w:hAnsi="Arial" w:cs="Arial"/>
          <w:i/>
          <w:iCs/>
          <w:color w:val="auto"/>
          <w:sz w:val="20"/>
          <w:szCs w:val="17"/>
          <w:lang w:val="en-GB"/>
        </w:rPr>
        <w:t xml:space="preserve"> is the price receivable by the producer from the purchaser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unit of</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good or service produced as output excluding tax payable on that unit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consequence of its production or sale (i.e. taxes on products), but inclusive of subsidy received on that unit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consequence of its production or sale (i.e. subsidies on products). It excludes transport charges invoiced separately by the producer and holding gains and losses from non-financial and financial assets. It includes all transport margins charged by the producer on the same invoice, even if they are included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separate item on the invoice.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b/>
          <w:bCs/>
          <w:i/>
          <w:iCs/>
          <w:color w:val="auto"/>
          <w:sz w:val="20"/>
          <w:szCs w:val="17"/>
          <w:lang w:val="en-GB"/>
        </w:rPr>
        <w:t>Purchaser price</w:t>
      </w:r>
      <w:r w:rsidRPr="00CB5887">
        <w:rPr>
          <w:rFonts w:ascii="Arial" w:hAnsi="Arial" w:cs="Arial"/>
          <w:i/>
          <w:iCs/>
          <w:color w:val="auto"/>
          <w:sz w:val="20"/>
          <w:szCs w:val="17"/>
          <w:lang w:val="en-GB"/>
        </w:rPr>
        <w:t xml:space="preserve"> is the price the purchaser actually pays for</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product at the time of purchase. It is composed of the basic price plus and minus the following items: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plus taxes less subsidies on </w:t>
      </w:r>
      <w:r w:rsidR="00412568">
        <w:rPr>
          <w:rFonts w:ascii="Arial" w:hAnsi="Arial" w:cs="Arial"/>
          <w:i/>
          <w:iCs/>
          <w:color w:val="auto"/>
          <w:sz w:val="20"/>
          <w:szCs w:val="17"/>
          <w:lang w:val="en-GB"/>
        </w:rPr>
        <w:t xml:space="preserve">the </w:t>
      </w:r>
      <w:r w:rsidRPr="00CB5887">
        <w:rPr>
          <w:rFonts w:ascii="Arial" w:hAnsi="Arial" w:cs="Arial"/>
          <w:i/>
          <w:iCs/>
          <w:color w:val="auto"/>
          <w:sz w:val="20"/>
          <w:szCs w:val="17"/>
          <w:lang w:val="en-GB"/>
        </w:rPr>
        <w:t>products (but exclud</w:t>
      </w:r>
      <w:r w:rsidR="00412568">
        <w:rPr>
          <w:rFonts w:ascii="Arial" w:hAnsi="Arial" w:cs="Arial"/>
          <w:i/>
          <w:iCs/>
          <w:color w:val="auto"/>
          <w:sz w:val="20"/>
          <w:szCs w:val="17"/>
          <w:lang w:val="en-GB"/>
        </w:rPr>
        <w:t>ing</w:t>
      </w:r>
      <w:r w:rsidRPr="00CB5887">
        <w:rPr>
          <w:rFonts w:ascii="Arial" w:hAnsi="Arial" w:cs="Arial"/>
          <w:i/>
          <w:iCs/>
          <w:color w:val="auto"/>
          <w:sz w:val="20"/>
          <w:szCs w:val="17"/>
          <w:lang w:val="en-GB"/>
        </w:rPr>
        <w:t xml:space="preserve"> deductible taxes like VAT on the products);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plus transport charges paid separately by the purchaser to take</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delivery at the required time and place;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minus deductions for any discounts for bulk or off-peak purchases from standard prices or charges;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minus interest or service charges added under credit arrangements; </w:t>
      </w:r>
    </w:p>
    <w:p w:rsidR="00121463" w:rsidRPr="00CB5887" w:rsidRDefault="00CD54F6">
      <w:pPr>
        <w:pStyle w:val="Normlnweb"/>
        <w:spacing w:before="12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minus extra charges incurred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result of failing to pay within the period fixed at the time the purchases were made. </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This valuation is in compliance with the methodology of the European System of Accounts, </w:t>
      </w:r>
      <w:r w:rsidR="00D359B5" w:rsidRPr="00CB5887">
        <w:rPr>
          <w:rFonts w:ascii="Arial" w:hAnsi="Arial" w:cs="Arial"/>
          <w:i/>
          <w:iCs/>
          <w:color w:val="auto"/>
          <w:sz w:val="20"/>
          <w:szCs w:val="17"/>
          <w:lang w:val="en-GB"/>
        </w:rPr>
        <w:t>see Chapter </w:t>
      </w:r>
      <w:r w:rsidRPr="00CB5887">
        <w:rPr>
          <w:rFonts w:ascii="Arial" w:hAnsi="Arial" w:cs="Arial"/>
          <w:i/>
          <w:iCs/>
          <w:color w:val="auto"/>
          <w:sz w:val="20"/>
          <w:szCs w:val="17"/>
          <w:lang w:val="en-GB"/>
        </w:rPr>
        <w:t>1 (points 1.9</w:t>
      </w:r>
      <w:r w:rsidR="00CC1FAC">
        <w:rPr>
          <w:rFonts w:ascii="Arial" w:hAnsi="Arial" w:cs="Arial"/>
          <w:i/>
          <w:iCs/>
          <w:color w:val="auto"/>
          <w:sz w:val="20"/>
          <w:szCs w:val="17"/>
          <w:lang w:val="en-GB"/>
        </w:rPr>
        <w:t>4</w:t>
      </w:r>
      <w:r w:rsidR="00D359B5" w:rsidRPr="00CB5887">
        <w:rPr>
          <w:rFonts w:ascii="Arial" w:hAnsi="Arial" w:cs="Arial"/>
          <w:i/>
          <w:iCs/>
          <w:color w:val="auto"/>
          <w:sz w:val="20"/>
          <w:szCs w:val="17"/>
          <w:lang w:val="en-GB"/>
        </w:rPr>
        <w:t xml:space="preserve"> </w:t>
      </w:r>
      <w:r w:rsidR="00C01CEA">
        <w:rPr>
          <w:rFonts w:ascii="Arial" w:hAnsi="Arial" w:cs="Arial"/>
          <w:i/>
          <w:iCs/>
          <w:color w:val="auto"/>
          <w:sz w:val="20"/>
          <w:szCs w:val="17"/>
          <w:lang w:val="en-GB"/>
        </w:rPr>
        <w:t>to</w:t>
      </w:r>
      <w:r w:rsidR="00C01CEA" w:rsidRPr="00CB5887">
        <w:rPr>
          <w:rFonts w:ascii="Arial" w:hAnsi="Arial" w:cs="Arial"/>
          <w:i/>
          <w:iCs/>
          <w:color w:val="auto"/>
          <w:sz w:val="20"/>
          <w:szCs w:val="17"/>
          <w:lang w:val="en-GB"/>
        </w:rPr>
        <w:t> </w:t>
      </w:r>
      <w:r w:rsidRPr="00CB5887">
        <w:rPr>
          <w:rFonts w:ascii="Arial" w:hAnsi="Arial" w:cs="Arial"/>
          <w:i/>
          <w:iCs/>
          <w:color w:val="auto"/>
          <w:sz w:val="20"/>
          <w:szCs w:val="17"/>
          <w:lang w:val="en-GB"/>
        </w:rPr>
        <w:t>1.</w:t>
      </w:r>
      <w:r w:rsidR="00CC1FAC">
        <w:rPr>
          <w:rFonts w:ascii="Arial" w:hAnsi="Arial" w:cs="Arial"/>
          <w:i/>
          <w:iCs/>
          <w:color w:val="auto"/>
          <w:sz w:val="20"/>
          <w:szCs w:val="17"/>
          <w:lang w:val="en-GB"/>
        </w:rPr>
        <w:t>100</w:t>
      </w:r>
      <w:r w:rsidR="00D359B5" w:rsidRPr="00CB5887">
        <w:rPr>
          <w:rFonts w:ascii="Arial" w:hAnsi="Arial" w:cs="Arial"/>
          <w:i/>
          <w:iCs/>
          <w:color w:val="auto"/>
          <w:sz w:val="20"/>
          <w:szCs w:val="17"/>
          <w:lang w:val="en-GB"/>
        </w:rPr>
        <w:t>) and Chapter 3 (points 3.06 and </w:t>
      </w:r>
      <w:r w:rsidR="00E33CE3">
        <w:rPr>
          <w:rFonts w:ascii="Arial" w:hAnsi="Arial" w:cs="Arial"/>
          <w:i/>
          <w:iCs/>
          <w:color w:val="auto"/>
          <w:sz w:val="20"/>
          <w:szCs w:val="17"/>
          <w:lang w:val="en-GB"/>
        </w:rPr>
        <w:t>3.44) of the ESA </w:t>
      </w:r>
      <w:r w:rsidRPr="00CB5887">
        <w:rPr>
          <w:rFonts w:ascii="Arial" w:hAnsi="Arial" w:cs="Arial"/>
          <w:i/>
          <w:iCs/>
          <w:color w:val="auto"/>
          <w:sz w:val="20"/>
          <w:szCs w:val="17"/>
          <w:lang w:val="en-GB"/>
        </w:rPr>
        <w:t xml:space="preserve">2010 for details. </w:t>
      </w: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bCs/>
          <w:i/>
          <w:iCs/>
          <w:color w:val="auto"/>
          <w:sz w:val="20"/>
          <w:szCs w:val="17"/>
          <w:lang w:val="en-GB"/>
        </w:rPr>
      </w:pPr>
    </w:p>
    <w:p w:rsidR="00121463" w:rsidRPr="00CB5887" w:rsidRDefault="00CD54F6" w:rsidP="00F43AB8">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b/>
          <w:bCs/>
          <w:i/>
          <w:iCs/>
          <w:color w:val="auto"/>
          <w:sz w:val="20"/>
          <w:szCs w:val="17"/>
          <w:lang w:val="en-GB"/>
        </w:rPr>
        <w:t>Notes on Tables</w:t>
      </w:r>
      <w:r w:rsidRPr="00CB5887">
        <w:rPr>
          <w:rFonts w:ascii="Arial" w:hAnsi="Arial" w:cs="Arial"/>
          <w:i/>
          <w:iCs/>
          <w:color w:val="auto"/>
          <w:sz w:val="20"/>
          <w:szCs w:val="17"/>
          <w:lang w:val="en-GB"/>
        </w:rPr>
        <w:t xml:space="preserve"> </w:t>
      </w:r>
    </w:p>
    <w:p w:rsidR="00121463" w:rsidRPr="00CB5887" w:rsidRDefault="00121463" w:rsidP="00F43AB8">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rsidP="00F43AB8">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pStyle w:val="Normlnweb"/>
        <w:spacing w:before="0" w:beforeAutospacing="0" w:after="0" w:afterAutospacing="0"/>
        <w:ind w:left="709" w:hanging="709"/>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-1 to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w:t>
      </w:r>
      <w:r w:rsidR="00593755">
        <w:rPr>
          <w:rFonts w:ascii="Arial" w:hAnsi="Arial" w:cs="Arial"/>
          <w:i/>
          <w:iCs/>
          <w:color w:val="auto"/>
          <w:sz w:val="20"/>
          <w:szCs w:val="17"/>
          <w:lang w:val="en-GB"/>
        </w:rPr>
        <w:t>19</w:t>
      </w:r>
      <w:r w:rsidRPr="00593755">
        <w:rPr>
          <w:rFonts w:ascii="Arial" w:hAnsi="Arial" w:cs="Arial"/>
          <w:bCs/>
          <w:i/>
          <w:iCs/>
          <w:color w:val="auto"/>
          <w:sz w:val="20"/>
          <w:szCs w:val="17"/>
          <w:lang w:val="en-GB"/>
        </w:rPr>
        <w:t xml:space="preserve"> </w:t>
      </w:r>
      <w:r w:rsidRPr="00CB5887">
        <w:rPr>
          <w:rFonts w:ascii="Arial" w:hAnsi="Arial" w:cs="Arial"/>
          <w:b/>
          <w:bCs/>
          <w:i/>
          <w:iCs/>
          <w:color w:val="auto"/>
          <w:sz w:val="20"/>
          <w:szCs w:val="17"/>
          <w:lang w:val="en-GB"/>
        </w:rPr>
        <w:t>Income generation, distribution</w:t>
      </w:r>
      <w:r w:rsidR="00F40581">
        <w:rPr>
          <w:rFonts w:ascii="Arial" w:hAnsi="Arial" w:cs="Arial"/>
          <w:b/>
          <w:bCs/>
          <w:i/>
          <w:iCs/>
          <w:color w:val="auto"/>
          <w:sz w:val="20"/>
          <w:szCs w:val="17"/>
          <w:lang w:val="en-GB"/>
        </w:rPr>
        <w:t>,</w:t>
      </w:r>
      <w:r w:rsidRPr="00CB5887">
        <w:rPr>
          <w:rFonts w:ascii="Arial" w:hAnsi="Arial" w:cs="Arial"/>
          <w:b/>
          <w:bCs/>
          <w:i/>
          <w:iCs/>
          <w:color w:val="auto"/>
          <w:sz w:val="20"/>
          <w:szCs w:val="17"/>
          <w:lang w:val="en-GB"/>
        </w:rPr>
        <w:t xml:space="preserve"> and use indicators, assets and liabilities</w:t>
      </w:r>
      <w:r w:rsidRPr="00CB5887">
        <w:rPr>
          <w:rFonts w:ascii="Arial" w:hAnsi="Arial" w:cs="Arial"/>
          <w:i/>
          <w:iCs/>
          <w:color w:val="auto"/>
          <w:sz w:val="20"/>
          <w:szCs w:val="17"/>
          <w:lang w:val="en-GB"/>
        </w:rPr>
        <w:t xml:space="preserve"> </w:t>
      </w:r>
      <w:r w:rsidRPr="00CB5887">
        <w:rPr>
          <w:rFonts w:ascii="Arial" w:hAnsi="Arial" w:cs="Arial"/>
          <w:b/>
          <w:i/>
          <w:iCs/>
          <w:color w:val="auto"/>
          <w:sz w:val="20"/>
          <w:szCs w:val="17"/>
          <w:lang w:val="en-GB"/>
        </w:rPr>
        <w:t>indicators</w:t>
      </w:r>
    </w:p>
    <w:p w:rsidR="00121463" w:rsidRPr="00CB5887" w:rsidRDefault="00CD54F6">
      <w:pPr>
        <w:pStyle w:val="Normlnweb"/>
        <w:spacing w:before="120" w:beforeAutospacing="0" w:after="0" w:afterAutospacing="0"/>
        <w:ind w:firstLine="709"/>
        <w:jc w:val="both"/>
        <w:rPr>
          <w:rFonts w:ascii="Arial" w:hAnsi="Arial" w:cs="Arial"/>
          <w:i/>
          <w:iCs/>
          <w:color w:val="auto"/>
          <w:sz w:val="20"/>
          <w:szCs w:val="17"/>
          <w:lang w:val="en-GB"/>
        </w:rPr>
      </w:pPr>
      <w:r w:rsidRPr="00CB5887">
        <w:rPr>
          <w:rFonts w:ascii="Arial" w:hAnsi="Arial" w:cs="Arial"/>
          <w:b/>
          <w:bCs/>
          <w:i/>
          <w:iCs/>
          <w:color w:val="auto"/>
          <w:sz w:val="20"/>
          <w:szCs w:val="17"/>
          <w:lang w:val="en-GB"/>
        </w:rPr>
        <w:t>Goods and services account</w:t>
      </w:r>
      <w:r w:rsidRPr="00CB5887">
        <w:rPr>
          <w:rFonts w:ascii="Arial" w:hAnsi="Arial" w:cs="Arial"/>
          <w:i/>
          <w:iCs/>
          <w:color w:val="auto"/>
          <w:sz w:val="20"/>
          <w:szCs w:val="17"/>
          <w:lang w:val="en-GB"/>
        </w:rPr>
        <w:t xml:space="preserve"> (Tables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-1 and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-2) shows real flows of goods and services in the economy. It covers total resources (output and imports) of goods and services and their use</w:t>
      </w:r>
      <w:r w:rsidR="000D7D19">
        <w:rPr>
          <w:rFonts w:ascii="Arial" w:hAnsi="Arial" w:cs="Arial"/>
          <w:i/>
          <w:iCs/>
          <w:color w:val="auto"/>
          <w:sz w:val="20"/>
          <w:szCs w:val="17"/>
          <w:lang w:val="en-GB"/>
        </w:rPr>
        <w:t>s</w:t>
      </w:r>
      <w:r w:rsidRPr="00CB5887">
        <w:rPr>
          <w:rFonts w:ascii="Arial" w:hAnsi="Arial" w:cs="Arial"/>
          <w:i/>
          <w:iCs/>
          <w:color w:val="auto"/>
          <w:sz w:val="20"/>
          <w:szCs w:val="17"/>
          <w:lang w:val="en-GB"/>
        </w:rPr>
        <w:t xml:space="preserve"> broken down </w:t>
      </w:r>
      <w:r w:rsidR="000D7D19">
        <w:rPr>
          <w:rFonts w:ascii="Arial" w:hAnsi="Arial" w:cs="Arial"/>
          <w:i/>
          <w:iCs/>
          <w:color w:val="auto"/>
          <w:sz w:val="20"/>
          <w:szCs w:val="17"/>
          <w:lang w:val="en-GB"/>
        </w:rPr>
        <w:t xml:space="preserve">by </w:t>
      </w:r>
      <w:r w:rsidRPr="00CB5887">
        <w:rPr>
          <w:rFonts w:ascii="Arial" w:hAnsi="Arial" w:cs="Arial"/>
          <w:i/>
          <w:iCs/>
          <w:color w:val="auto"/>
          <w:sz w:val="20"/>
          <w:szCs w:val="17"/>
          <w:lang w:val="en-GB"/>
        </w:rPr>
        <w:t>intermediate consumption, final consumption, gross capital formation (of fixed capital, changes in inventories</w:t>
      </w:r>
      <w:r w:rsidR="00943E44">
        <w:rPr>
          <w:rFonts w:ascii="Arial" w:hAnsi="Arial" w:cs="Arial"/>
          <w:i/>
          <w:iCs/>
          <w:color w:val="auto"/>
          <w:sz w:val="20"/>
          <w:szCs w:val="17"/>
          <w:lang w:val="en-GB"/>
        </w:rPr>
        <w:t xml:space="preserve"> </w:t>
      </w:r>
      <w:r w:rsidR="00943E44" w:rsidRPr="00CB5887">
        <w:rPr>
          <w:rFonts w:ascii="Arial" w:hAnsi="Arial" w:cs="Arial"/>
          <w:i/>
          <w:iCs/>
          <w:color w:val="auto"/>
          <w:sz w:val="20"/>
          <w:szCs w:val="17"/>
          <w:lang w:val="en-GB"/>
        </w:rPr>
        <w:t>including valuables</w:t>
      </w:r>
      <w:r w:rsidRPr="00CB5887">
        <w:rPr>
          <w:rFonts w:ascii="Arial" w:hAnsi="Arial" w:cs="Arial"/>
          <w:i/>
          <w:iCs/>
          <w:color w:val="auto"/>
          <w:sz w:val="20"/>
          <w:szCs w:val="17"/>
          <w:lang w:val="en-GB"/>
        </w:rPr>
        <w:t xml:space="preserve">) and exports. It also records taxes and subsidies on products, as the output is valued at basic prices and uses at purchaser prices. </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There is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balance in the goods and services account (</w:t>
      </w:r>
      <w:r w:rsidR="006015D4">
        <w:rPr>
          <w:rFonts w:ascii="Arial" w:hAnsi="Arial" w:cs="Arial"/>
          <w:i/>
          <w:iCs/>
          <w:color w:val="auto"/>
          <w:sz w:val="20"/>
          <w:szCs w:val="17"/>
          <w:lang w:val="en-GB"/>
        </w:rPr>
        <w:t xml:space="preserve">it has </w:t>
      </w:r>
      <w:r w:rsidRPr="00CB5887">
        <w:rPr>
          <w:rFonts w:ascii="Arial" w:hAnsi="Arial" w:cs="Arial"/>
          <w:i/>
          <w:iCs/>
          <w:color w:val="auto"/>
          <w:sz w:val="20"/>
          <w:szCs w:val="17"/>
          <w:lang w:val="en-GB"/>
        </w:rPr>
        <w:t>no balancing item). It is part of the national accounts for the national economy as</w:t>
      </w:r>
      <w:r w:rsidR="00BB0144" w:rsidRPr="00CB5887">
        <w:rPr>
          <w:rFonts w:ascii="Arial" w:hAnsi="Arial" w:cs="Arial"/>
          <w:i/>
          <w:iCs/>
          <w:color w:val="auto"/>
          <w:sz w:val="20"/>
          <w:szCs w:val="17"/>
          <w:lang w:val="en-GB"/>
        </w:rPr>
        <w:t xml:space="preserve"> a </w:t>
      </w:r>
      <w:r w:rsidRPr="00CB5887">
        <w:rPr>
          <w:rFonts w:ascii="Arial" w:hAnsi="Arial" w:cs="Arial"/>
          <w:i/>
          <w:iCs/>
          <w:color w:val="auto"/>
          <w:sz w:val="20"/>
          <w:szCs w:val="17"/>
          <w:lang w:val="en-GB"/>
        </w:rPr>
        <w:t xml:space="preserve">whole. </w:t>
      </w:r>
    </w:p>
    <w:p w:rsidR="007A3A0A" w:rsidRPr="00F43AB8" w:rsidRDefault="00DB00F0">
      <w:pPr>
        <w:pStyle w:val="Normlnweb"/>
        <w:spacing w:before="120" w:beforeAutospacing="0" w:after="0" w:afterAutospacing="0"/>
        <w:ind w:firstLine="708"/>
        <w:jc w:val="both"/>
        <w:rPr>
          <w:rFonts w:ascii="Arial" w:hAnsi="Arial" w:cs="Arial"/>
          <w:i/>
          <w:iCs/>
          <w:color w:val="auto"/>
          <w:sz w:val="20"/>
          <w:szCs w:val="17"/>
        </w:rPr>
      </w:pPr>
      <w:r w:rsidRPr="00DB00F0">
        <w:rPr>
          <w:rFonts w:ascii="Arial" w:hAnsi="Arial" w:cs="Arial"/>
          <w:i/>
          <w:iCs/>
          <w:color w:val="auto"/>
          <w:sz w:val="20"/>
          <w:szCs w:val="17"/>
          <w:lang w:val="en-GB"/>
        </w:rPr>
        <w:t xml:space="preserve">FISIM (P.119), i.e. financial intermediation services indirectly measured, </w:t>
      </w:r>
      <w:r w:rsidR="001D5960">
        <w:rPr>
          <w:rFonts w:ascii="Arial" w:hAnsi="Arial" w:cs="Arial"/>
          <w:i/>
          <w:iCs/>
          <w:color w:val="auto"/>
          <w:sz w:val="20"/>
          <w:szCs w:val="17"/>
          <w:lang w:val="en-GB"/>
        </w:rPr>
        <w:t>is</w:t>
      </w:r>
      <w:r w:rsidRPr="00DB00F0">
        <w:rPr>
          <w:rFonts w:ascii="Arial" w:hAnsi="Arial" w:cs="Arial"/>
          <w:i/>
          <w:iCs/>
          <w:color w:val="auto"/>
          <w:sz w:val="20"/>
          <w:szCs w:val="17"/>
          <w:lang w:val="en-GB"/>
        </w:rPr>
        <w:t xml:space="preserve"> </w:t>
      </w:r>
      <w:r w:rsidR="007A3A0A">
        <w:rPr>
          <w:rFonts w:ascii="Arial" w:hAnsi="Arial" w:cs="Arial"/>
          <w:i/>
          <w:iCs/>
          <w:color w:val="auto"/>
          <w:sz w:val="20"/>
          <w:szCs w:val="17"/>
          <w:lang w:val="en-GB"/>
        </w:rPr>
        <w:t>the </w:t>
      </w:r>
      <w:r w:rsidRPr="00DB00F0">
        <w:rPr>
          <w:rFonts w:ascii="Arial" w:hAnsi="Arial" w:cs="Arial"/>
          <w:i/>
          <w:iCs/>
          <w:color w:val="auto"/>
          <w:sz w:val="20"/>
          <w:szCs w:val="17"/>
          <w:lang w:val="en-GB"/>
        </w:rPr>
        <w:t xml:space="preserve">sum of two implicit fees paid by </w:t>
      </w:r>
      <w:r w:rsidR="007A3A0A">
        <w:rPr>
          <w:rFonts w:ascii="Arial" w:hAnsi="Arial" w:cs="Arial"/>
          <w:i/>
          <w:iCs/>
          <w:color w:val="auto"/>
          <w:sz w:val="20"/>
          <w:szCs w:val="17"/>
          <w:lang w:val="en-GB"/>
        </w:rPr>
        <w:t>the borrower and the </w:t>
      </w:r>
      <w:r w:rsidRPr="00DB00F0">
        <w:rPr>
          <w:rFonts w:ascii="Arial" w:hAnsi="Arial" w:cs="Arial"/>
          <w:i/>
          <w:iCs/>
          <w:color w:val="auto"/>
          <w:sz w:val="20"/>
          <w:szCs w:val="17"/>
          <w:lang w:val="en-GB"/>
        </w:rPr>
        <w:t xml:space="preserve">lender. FISIM is calculated as </w:t>
      </w:r>
      <w:r w:rsidRPr="00DB00F0">
        <w:rPr>
          <w:rFonts w:ascii="Arial" w:hAnsi="Arial" w:cs="Arial"/>
          <w:i/>
          <w:iCs/>
          <w:color w:val="auto"/>
          <w:sz w:val="20"/>
          <w:szCs w:val="17"/>
        </w:rPr>
        <w:t>a</w:t>
      </w:r>
      <w:r w:rsidR="007A3A0A">
        <w:rPr>
          <w:rFonts w:ascii="Arial" w:hAnsi="Arial" w:cs="Arial"/>
          <w:i/>
          <w:iCs/>
          <w:color w:val="auto"/>
          <w:sz w:val="20"/>
          <w:szCs w:val="17"/>
        </w:rPr>
        <w:t> </w:t>
      </w:r>
      <w:r w:rsidRPr="00DB00F0">
        <w:rPr>
          <w:rFonts w:ascii="Arial" w:hAnsi="Arial" w:cs="Arial"/>
          <w:i/>
          <w:iCs/>
          <w:color w:val="auto"/>
          <w:sz w:val="20"/>
          <w:szCs w:val="17"/>
          <w:lang w:val="en-GB"/>
        </w:rPr>
        <w:t>difference between the</w:t>
      </w:r>
      <w:r w:rsidR="007A3A0A">
        <w:rPr>
          <w:rFonts w:ascii="Arial" w:hAnsi="Arial" w:cs="Arial"/>
          <w:i/>
          <w:iCs/>
          <w:color w:val="auto"/>
          <w:sz w:val="20"/>
          <w:szCs w:val="17"/>
          <w:lang w:val="en-GB"/>
        </w:rPr>
        <w:t> </w:t>
      </w:r>
      <w:r w:rsidRPr="00DB00F0">
        <w:rPr>
          <w:rFonts w:ascii="Arial" w:hAnsi="Arial" w:cs="Arial"/>
          <w:i/>
          <w:iCs/>
          <w:color w:val="auto"/>
          <w:sz w:val="20"/>
          <w:szCs w:val="17"/>
          <w:lang w:val="en-GB"/>
        </w:rPr>
        <w:t>reference rate and interest rate actually paid to depositors and charged to borrowers. It</w:t>
      </w:r>
      <w:r w:rsidR="007A3A0A">
        <w:rPr>
          <w:rFonts w:ascii="Arial" w:hAnsi="Arial" w:cs="Arial"/>
          <w:i/>
          <w:iCs/>
          <w:color w:val="auto"/>
          <w:sz w:val="20"/>
          <w:szCs w:val="17"/>
          <w:lang w:val="en-GB"/>
        </w:rPr>
        <w:t> </w:t>
      </w:r>
      <w:r w:rsidRPr="00DB00F0">
        <w:rPr>
          <w:rFonts w:ascii="Arial" w:hAnsi="Arial" w:cs="Arial"/>
          <w:i/>
          <w:iCs/>
          <w:color w:val="auto"/>
          <w:sz w:val="20"/>
          <w:szCs w:val="17"/>
          <w:lang w:val="en-GB"/>
        </w:rPr>
        <w:t>applies only to loans and deposits of financial institutions (S.122 and S.125</w:t>
      </w:r>
      <w:r w:rsidR="00AF44A5">
        <w:rPr>
          <w:rFonts w:ascii="Arial" w:hAnsi="Arial" w:cs="Arial"/>
          <w:i/>
          <w:iCs/>
          <w:color w:val="auto"/>
          <w:sz w:val="20"/>
          <w:szCs w:val="17"/>
          <w:lang w:val="en-GB"/>
        </w:rPr>
        <w:t>;</w:t>
      </w:r>
      <w:r w:rsidRPr="00DB00F0">
        <w:rPr>
          <w:rFonts w:ascii="Arial" w:hAnsi="Arial" w:cs="Arial"/>
          <w:i/>
          <w:iCs/>
          <w:color w:val="auto"/>
          <w:sz w:val="20"/>
          <w:szCs w:val="17"/>
          <w:lang w:val="en-GB"/>
        </w:rPr>
        <w:t xml:space="preserve"> excluding interbank loans and deposits) and</w:t>
      </w:r>
      <w:r w:rsidR="00651F26">
        <w:rPr>
          <w:rFonts w:ascii="Arial" w:hAnsi="Arial" w:cs="Arial"/>
          <w:i/>
          <w:iCs/>
          <w:color w:val="auto"/>
          <w:sz w:val="20"/>
          <w:szCs w:val="17"/>
          <w:lang w:val="en-GB"/>
        </w:rPr>
        <w:t xml:space="preserve"> it is</w:t>
      </w:r>
      <w:r w:rsidRPr="00DB00F0">
        <w:rPr>
          <w:rFonts w:ascii="Arial" w:hAnsi="Arial" w:cs="Arial"/>
          <w:i/>
          <w:iCs/>
          <w:color w:val="auto"/>
          <w:sz w:val="20"/>
          <w:szCs w:val="17"/>
          <w:lang w:val="en-GB"/>
        </w:rPr>
        <w:t xml:space="preserve"> included in their output. </w:t>
      </w:r>
      <w:r w:rsidR="007A3A0A">
        <w:rPr>
          <w:rFonts w:ascii="Arial" w:hAnsi="Arial" w:cs="Arial"/>
          <w:i/>
          <w:iCs/>
          <w:color w:val="auto"/>
          <w:sz w:val="20"/>
          <w:szCs w:val="17"/>
          <w:lang w:val="en-GB"/>
        </w:rPr>
        <w:t>The </w:t>
      </w:r>
      <w:r w:rsidRPr="00DB00F0">
        <w:rPr>
          <w:rFonts w:ascii="Arial" w:hAnsi="Arial" w:cs="Arial"/>
          <w:i/>
          <w:iCs/>
          <w:color w:val="auto"/>
          <w:sz w:val="20"/>
          <w:szCs w:val="17"/>
          <w:lang w:val="en-GB"/>
        </w:rPr>
        <w:t>same amount is allocated to intermediate consumption</w:t>
      </w:r>
      <w:r w:rsidRPr="00DB00F0">
        <w:rPr>
          <w:rFonts w:ascii="Arial" w:hAnsi="Arial" w:cs="Arial"/>
          <w:i/>
          <w:iCs/>
          <w:color w:val="auto"/>
          <w:sz w:val="20"/>
          <w:szCs w:val="17"/>
        </w:rPr>
        <w:t xml:space="preserve"> </w:t>
      </w:r>
      <w:r w:rsidRPr="00B369AB">
        <w:rPr>
          <w:rFonts w:ascii="Arial" w:hAnsi="Arial" w:cs="Arial"/>
          <w:i/>
          <w:iCs/>
          <w:color w:val="auto"/>
          <w:sz w:val="20"/>
          <w:szCs w:val="17"/>
          <w:lang w:val="en-GB"/>
        </w:rPr>
        <w:t>of other institutional</w:t>
      </w:r>
      <w:r w:rsidRPr="00DB00F0">
        <w:rPr>
          <w:rFonts w:ascii="Arial" w:hAnsi="Arial" w:cs="Arial"/>
          <w:i/>
          <w:iCs/>
          <w:color w:val="auto"/>
          <w:sz w:val="20"/>
          <w:szCs w:val="17"/>
        </w:rPr>
        <w:t xml:space="preserve"> </w:t>
      </w:r>
      <w:r w:rsidRPr="00BA496A">
        <w:rPr>
          <w:rFonts w:ascii="Arial" w:hAnsi="Arial" w:cs="Arial"/>
          <w:i/>
          <w:iCs/>
          <w:color w:val="auto"/>
          <w:sz w:val="20"/>
          <w:szCs w:val="17"/>
          <w:lang w:val="en-GB"/>
        </w:rPr>
        <w:t>sectors/subsectors, to final</w:t>
      </w:r>
      <w:r w:rsidRPr="00DB00F0">
        <w:rPr>
          <w:rFonts w:ascii="Arial" w:hAnsi="Arial" w:cs="Arial"/>
          <w:i/>
          <w:iCs/>
          <w:color w:val="auto"/>
          <w:sz w:val="20"/>
          <w:szCs w:val="17"/>
          <w:lang w:val="en-GB"/>
        </w:rPr>
        <w:t xml:space="preserve"> consumption</w:t>
      </w:r>
      <w:r w:rsidRPr="00DB00F0">
        <w:rPr>
          <w:rFonts w:ascii="Arial" w:hAnsi="Arial" w:cs="Arial"/>
          <w:i/>
          <w:iCs/>
          <w:color w:val="auto"/>
          <w:sz w:val="20"/>
          <w:szCs w:val="17"/>
        </w:rPr>
        <w:t>,</w:t>
      </w:r>
      <w:r w:rsidRPr="00DB00F0">
        <w:rPr>
          <w:rFonts w:ascii="Arial" w:hAnsi="Arial" w:cs="Arial"/>
          <w:i/>
          <w:iCs/>
          <w:color w:val="auto"/>
          <w:sz w:val="20"/>
          <w:szCs w:val="17"/>
          <w:lang w:val="en-GB"/>
        </w:rPr>
        <w:t xml:space="preserve"> or</w:t>
      </w:r>
      <w:r w:rsidR="00305C44">
        <w:rPr>
          <w:rFonts w:ascii="Arial" w:hAnsi="Arial" w:cs="Arial"/>
          <w:i/>
          <w:iCs/>
          <w:color w:val="auto"/>
          <w:sz w:val="20"/>
          <w:szCs w:val="17"/>
          <w:lang w:val="en-GB"/>
        </w:rPr>
        <w:t xml:space="preserve"> it is</w:t>
      </w:r>
      <w:r w:rsidRPr="00DB00F0">
        <w:rPr>
          <w:rFonts w:ascii="Arial" w:hAnsi="Arial" w:cs="Arial"/>
          <w:i/>
          <w:iCs/>
          <w:color w:val="auto"/>
          <w:sz w:val="20"/>
          <w:szCs w:val="17"/>
          <w:lang w:val="en-GB"/>
        </w:rPr>
        <w:t xml:space="preserve"> </w:t>
      </w:r>
      <w:r w:rsidR="005E6121">
        <w:rPr>
          <w:rFonts w:ascii="Arial" w:hAnsi="Arial" w:cs="Arial"/>
          <w:i/>
          <w:iCs/>
          <w:color w:val="auto"/>
          <w:sz w:val="20"/>
          <w:szCs w:val="17"/>
          <w:lang w:val="en-GB"/>
        </w:rPr>
        <w:t>included in</w:t>
      </w:r>
      <w:r w:rsidRPr="00DB00F0">
        <w:rPr>
          <w:rFonts w:ascii="Arial" w:hAnsi="Arial" w:cs="Arial"/>
          <w:i/>
          <w:iCs/>
          <w:color w:val="auto"/>
          <w:sz w:val="20"/>
          <w:szCs w:val="17"/>
          <w:lang w:val="en-GB"/>
        </w:rPr>
        <w:t xml:space="preserve"> export</w:t>
      </w:r>
      <w:r w:rsidRPr="00F43AB8">
        <w:rPr>
          <w:rFonts w:ascii="Arial" w:hAnsi="Arial" w:cs="Arial"/>
          <w:i/>
          <w:iCs/>
          <w:color w:val="auto"/>
          <w:sz w:val="20"/>
          <w:szCs w:val="17"/>
          <w:lang w:val="en-GB"/>
        </w:rPr>
        <w:t>.</w:t>
      </w:r>
      <w:r w:rsidR="00B93E49" w:rsidRPr="00F43AB8">
        <w:rPr>
          <w:rFonts w:ascii="Arial" w:hAnsi="Arial" w:cs="Arial"/>
          <w:i/>
          <w:iCs/>
          <w:color w:val="auto"/>
          <w:sz w:val="20"/>
          <w:szCs w:val="17"/>
        </w:rPr>
        <w:t xml:space="preserve"> </w:t>
      </w:r>
    </w:p>
    <w:p w:rsidR="00072547" w:rsidRPr="00CB5887" w:rsidRDefault="00B93E49">
      <w:pPr>
        <w:pStyle w:val="Normlnweb"/>
        <w:spacing w:before="120" w:beforeAutospacing="0" w:after="0" w:afterAutospacing="0"/>
        <w:ind w:firstLine="708"/>
        <w:jc w:val="both"/>
        <w:rPr>
          <w:rFonts w:ascii="Arial" w:hAnsi="Arial" w:cs="Arial"/>
          <w:i/>
          <w:iCs/>
          <w:color w:val="auto"/>
          <w:sz w:val="20"/>
          <w:szCs w:val="17"/>
          <w:lang w:val="en-GB"/>
        </w:rPr>
      </w:pPr>
      <w:r>
        <w:rPr>
          <w:rFonts w:ascii="Arial" w:hAnsi="Arial" w:cs="Arial"/>
          <w:i/>
          <w:iCs/>
          <w:color w:val="auto"/>
          <w:sz w:val="20"/>
          <w:szCs w:val="17"/>
          <w:lang w:val="en-GB"/>
        </w:rPr>
        <w:t xml:space="preserve">Tables </w:t>
      </w:r>
      <w:r>
        <w:rPr>
          <w:rFonts w:ascii="Arial" w:hAnsi="Arial" w:cs="Arial"/>
          <w:b/>
          <w:bCs/>
          <w:i/>
          <w:iCs/>
          <w:color w:val="auto"/>
          <w:sz w:val="20"/>
          <w:szCs w:val="17"/>
          <w:lang w:val="en-GB"/>
        </w:rPr>
        <w:t>5</w:t>
      </w:r>
      <w:r>
        <w:rPr>
          <w:rFonts w:ascii="Arial" w:hAnsi="Arial" w:cs="Arial"/>
          <w:i/>
          <w:iCs/>
          <w:color w:val="auto"/>
          <w:sz w:val="20"/>
          <w:szCs w:val="17"/>
          <w:lang w:val="en-GB"/>
        </w:rPr>
        <w:t xml:space="preserve">-3 to </w:t>
      </w:r>
      <w:r>
        <w:rPr>
          <w:rFonts w:ascii="Arial" w:hAnsi="Arial" w:cs="Arial"/>
          <w:b/>
          <w:bCs/>
          <w:i/>
          <w:iCs/>
          <w:color w:val="auto"/>
          <w:sz w:val="20"/>
          <w:szCs w:val="17"/>
          <w:lang w:val="en-GB"/>
        </w:rPr>
        <w:t>5</w:t>
      </w:r>
      <w:r>
        <w:rPr>
          <w:rFonts w:ascii="Arial" w:hAnsi="Arial" w:cs="Arial"/>
          <w:i/>
          <w:iCs/>
          <w:color w:val="auto"/>
          <w:sz w:val="20"/>
          <w:szCs w:val="17"/>
          <w:lang w:val="en-GB"/>
        </w:rPr>
        <w:t>-17 provide an overview of key macroeconomic indicators for the total national</w:t>
      </w:r>
      <w:r w:rsidR="00CD54F6" w:rsidRPr="00CB5887">
        <w:rPr>
          <w:rFonts w:ascii="Arial" w:hAnsi="Arial" w:cs="Arial"/>
          <w:i/>
          <w:iCs/>
          <w:color w:val="auto"/>
          <w:sz w:val="20"/>
          <w:szCs w:val="17"/>
          <w:lang w:val="en-GB"/>
        </w:rPr>
        <w:t xml:space="preserve"> economy as well as broken down by economic activity and institutional sector. They characterize non-financial transactions (transactions in goods and services, distributive and capital transactions), financial transactions and balance sheet items. They also show the relation to the rest of the world, net worth including its changes, non-financial and financial assets, and liabilities.</w:t>
      </w:r>
    </w:p>
    <w:p w:rsidR="00121463" w:rsidRPr="00CB5887" w:rsidRDefault="006006AC">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F952BA">
        <w:rPr>
          <w:rFonts w:ascii="Arial" w:hAnsi="Arial" w:cs="Arial"/>
          <w:i/>
          <w:iCs/>
          <w:color w:val="auto"/>
          <w:sz w:val="20"/>
          <w:szCs w:val="17"/>
          <w:lang w:val="en-GB"/>
        </w:rPr>
        <w:t xml:space="preserve">Tables </w:t>
      </w:r>
      <w:r w:rsidRPr="00F952BA">
        <w:rPr>
          <w:rFonts w:ascii="Arial" w:hAnsi="Arial" w:cs="Arial"/>
          <w:b/>
          <w:bCs/>
          <w:i/>
          <w:iCs/>
          <w:color w:val="auto"/>
          <w:sz w:val="20"/>
          <w:szCs w:val="17"/>
          <w:lang w:val="en-GB"/>
        </w:rPr>
        <w:t>5</w:t>
      </w:r>
      <w:r w:rsidR="00413987">
        <w:rPr>
          <w:rFonts w:ascii="Arial" w:hAnsi="Arial" w:cs="Arial"/>
          <w:i/>
          <w:iCs/>
          <w:color w:val="auto"/>
          <w:sz w:val="20"/>
          <w:szCs w:val="17"/>
          <w:lang w:val="en-GB"/>
        </w:rPr>
        <w:t xml:space="preserve">-18 and </w:t>
      </w:r>
      <w:r w:rsidR="00413987">
        <w:rPr>
          <w:rFonts w:ascii="Arial" w:hAnsi="Arial" w:cs="Arial"/>
          <w:b/>
          <w:bCs/>
          <w:i/>
          <w:iCs/>
          <w:color w:val="auto"/>
          <w:sz w:val="20"/>
          <w:szCs w:val="17"/>
          <w:lang w:val="en-GB"/>
        </w:rPr>
        <w:t>5</w:t>
      </w:r>
      <w:r w:rsidR="00413987">
        <w:rPr>
          <w:rFonts w:ascii="Arial" w:hAnsi="Arial" w:cs="Arial"/>
          <w:i/>
          <w:iCs/>
          <w:color w:val="auto"/>
          <w:sz w:val="20"/>
          <w:szCs w:val="17"/>
          <w:lang w:val="en-GB"/>
        </w:rPr>
        <w:t xml:space="preserve">-19 </w:t>
      </w:r>
      <w:r w:rsidR="00F952BA">
        <w:rPr>
          <w:rFonts w:ascii="Arial" w:hAnsi="Arial" w:cs="Arial"/>
          <w:b/>
          <w:i/>
          <w:iCs/>
          <w:color w:val="auto"/>
          <w:sz w:val="20"/>
          <w:szCs w:val="17"/>
          <w:lang w:val="en-GB"/>
        </w:rPr>
        <w:t xml:space="preserve">General government </w:t>
      </w:r>
      <w:r w:rsidRPr="00F952BA">
        <w:rPr>
          <w:rFonts w:ascii="Arial" w:hAnsi="Arial" w:cs="Arial"/>
          <w:b/>
          <w:bCs/>
          <w:i/>
          <w:iCs/>
          <w:color w:val="auto"/>
          <w:sz w:val="20"/>
          <w:szCs w:val="17"/>
          <w:lang w:val="en-GB"/>
        </w:rPr>
        <w:t>deficit</w:t>
      </w:r>
      <w:r w:rsidRPr="00F952BA">
        <w:rPr>
          <w:rFonts w:ascii="Arial" w:hAnsi="Arial" w:cs="Arial"/>
          <w:i/>
          <w:iCs/>
          <w:color w:val="auto"/>
          <w:sz w:val="20"/>
          <w:szCs w:val="17"/>
          <w:lang w:val="en-GB"/>
        </w:rPr>
        <w:t xml:space="preserve"> and </w:t>
      </w:r>
      <w:r w:rsidR="00F952BA">
        <w:rPr>
          <w:rFonts w:ascii="Arial" w:hAnsi="Arial" w:cs="Arial"/>
          <w:b/>
          <w:i/>
          <w:iCs/>
          <w:color w:val="auto"/>
          <w:sz w:val="20"/>
          <w:szCs w:val="17"/>
          <w:lang w:val="en-GB"/>
        </w:rPr>
        <w:t>general government</w:t>
      </w:r>
      <w:r w:rsidRPr="00F952BA">
        <w:rPr>
          <w:rFonts w:ascii="Arial" w:hAnsi="Arial" w:cs="Arial"/>
          <w:b/>
          <w:bCs/>
          <w:i/>
          <w:iCs/>
          <w:color w:val="auto"/>
          <w:sz w:val="20"/>
          <w:szCs w:val="17"/>
          <w:lang w:val="en-GB"/>
        </w:rPr>
        <w:t xml:space="preserve"> debt</w:t>
      </w:r>
      <w:r w:rsidR="00CD54F6" w:rsidRPr="00CB5887">
        <w:rPr>
          <w:rFonts w:ascii="Arial" w:hAnsi="Arial" w:cs="Arial"/>
          <w:i/>
          <w:iCs/>
          <w:color w:val="auto"/>
          <w:sz w:val="20"/>
          <w:szCs w:val="17"/>
          <w:lang w:val="en-GB"/>
        </w:rPr>
        <w:t xml:space="preserve"> present in the form of time series an overview of indicators which affect the deficit and debt of the general government sector </w:t>
      </w:r>
      <w:r w:rsidR="00DB00F0" w:rsidRPr="007A3A0A">
        <w:rPr>
          <w:rFonts w:ascii="Arial" w:hAnsi="Arial" w:cs="Arial"/>
          <w:i/>
          <w:iCs/>
          <w:color w:val="auto"/>
          <w:sz w:val="20"/>
          <w:szCs w:val="17"/>
          <w:lang w:val="en-GB"/>
        </w:rPr>
        <w:t>(</w:t>
      </w:r>
      <w:r w:rsidR="00767FC8">
        <w:rPr>
          <w:rFonts w:ascii="Arial" w:hAnsi="Arial" w:cs="Arial"/>
          <w:i/>
          <w:iCs/>
          <w:color w:val="auto"/>
          <w:sz w:val="20"/>
          <w:szCs w:val="17"/>
          <w:lang w:val="en-GB"/>
        </w:rPr>
        <w:t xml:space="preserve">see </w:t>
      </w:r>
      <w:r w:rsidR="00DB00F0" w:rsidRPr="007A3A0A">
        <w:rPr>
          <w:rFonts w:ascii="Arial" w:hAnsi="Arial" w:cs="Arial"/>
          <w:i/>
          <w:iCs/>
          <w:color w:val="auto"/>
          <w:sz w:val="20"/>
          <w:szCs w:val="17"/>
          <w:lang w:val="en-GB"/>
        </w:rPr>
        <w:t>institutional sectors)</w:t>
      </w:r>
      <w:r w:rsidR="00CD54F6" w:rsidRPr="007A3A0A">
        <w:rPr>
          <w:rFonts w:ascii="Arial" w:hAnsi="Arial" w:cs="Arial"/>
          <w:i/>
          <w:iCs/>
          <w:color w:val="auto"/>
          <w:sz w:val="20"/>
          <w:szCs w:val="17"/>
          <w:lang w:val="en-GB"/>
        </w:rPr>
        <w:t xml:space="preserve"> broken</w:t>
      </w:r>
      <w:r w:rsidR="00CD54F6" w:rsidRPr="00CB5887">
        <w:rPr>
          <w:rFonts w:ascii="Arial" w:hAnsi="Arial" w:cs="Arial"/>
          <w:i/>
          <w:iCs/>
          <w:color w:val="auto"/>
          <w:sz w:val="20"/>
          <w:szCs w:val="17"/>
          <w:lang w:val="en-GB"/>
        </w:rPr>
        <w:t xml:space="preserve"> down by subsector. The definition of the</w:t>
      </w:r>
      <w:r w:rsidR="00AE14A9">
        <w:rPr>
          <w:rFonts w:ascii="Arial" w:hAnsi="Arial" w:cs="Arial"/>
          <w:i/>
          <w:iCs/>
          <w:color w:val="auto"/>
          <w:sz w:val="20"/>
          <w:szCs w:val="17"/>
          <w:lang w:val="en-GB"/>
        </w:rPr>
        <w:t xml:space="preserve"> general</w:t>
      </w:r>
      <w:r w:rsidR="00CD54F6" w:rsidRPr="00CB5887">
        <w:rPr>
          <w:rFonts w:ascii="Arial" w:hAnsi="Arial" w:cs="Arial"/>
          <w:i/>
          <w:iCs/>
          <w:color w:val="auto"/>
          <w:sz w:val="20"/>
          <w:szCs w:val="17"/>
          <w:lang w:val="en-GB"/>
        </w:rPr>
        <w:t xml:space="preserve"> government deficit and debt complies with international standards and regulations of the EU authorities. </w:t>
      </w:r>
    </w:p>
    <w:p w:rsidR="00121463" w:rsidRPr="00CB5887" w:rsidRDefault="00CD54F6" w:rsidP="00FD44C1">
      <w:pPr>
        <w:pStyle w:val="Normlnweb"/>
        <w:tabs>
          <w:tab w:val="left" w:pos="0"/>
        </w:tabs>
        <w:spacing w:before="120" w:beforeAutospacing="0" w:after="0" w:afterAutospacing="0"/>
        <w:ind w:firstLine="720"/>
        <w:jc w:val="both"/>
        <w:rPr>
          <w:rFonts w:ascii="Arial" w:hAnsi="Arial" w:cs="Arial"/>
          <w:i/>
          <w:iCs/>
          <w:color w:val="auto"/>
          <w:sz w:val="20"/>
          <w:szCs w:val="17"/>
          <w:lang w:val="en-GB"/>
        </w:rPr>
      </w:pPr>
      <w:r w:rsidRPr="00CB5887">
        <w:rPr>
          <w:rFonts w:ascii="Arial" w:hAnsi="Arial" w:cs="Arial"/>
          <w:i/>
          <w:iCs/>
          <w:color w:val="auto"/>
          <w:sz w:val="20"/>
          <w:szCs w:val="20"/>
          <w:lang w:val="en-GB"/>
        </w:rPr>
        <w:t>The deficit of general government budgets is the amount of net</w:t>
      </w:r>
      <w:r w:rsidR="002B5ADC">
        <w:rPr>
          <w:rFonts w:ascii="Arial" w:hAnsi="Arial" w:cs="Arial"/>
          <w:i/>
          <w:iCs/>
          <w:color w:val="auto"/>
          <w:sz w:val="20"/>
          <w:szCs w:val="20"/>
          <w:lang w:val="en-GB"/>
        </w:rPr>
        <w:t xml:space="preserve"> borrowing (-B.9) of the </w:t>
      </w:r>
      <w:r w:rsidRPr="00CB5887">
        <w:rPr>
          <w:rFonts w:ascii="Arial" w:hAnsi="Arial" w:cs="Arial"/>
          <w:i/>
          <w:iCs/>
          <w:color w:val="auto"/>
          <w:sz w:val="20"/>
          <w:szCs w:val="20"/>
          <w:lang w:val="en-GB"/>
        </w:rPr>
        <w:t>general government; the surplus of general government budgets is the amount of net lending (+B.9) of</w:t>
      </w:r>
      <w:r w:rsidR="002B5ADC">
        <w:rPr>
          <w:rFonts w:ascii="Arial" w:hAnsi="Arial" w:cs="Arial"/>
          <w:i/>
          <w:iCs/>
          <w:color w:val="auto"/>
          <w:sz w:val="20"/>
          <w:szCs w:val="20"/>
          <w:lang w:val="en-GB"/>
        </w:rPr>
        <w:t xml:space="preserve"> the </w:t>
      </w:r>
      <w:r w:rsidRPr="00CB5887">
        <w:rPr>
          <w:rFonts w:ascii="Arial" w:hAnsi="Arial" w:cs="Arial"/>
          <w:i/>
          <w:iCs/>
          <w:color w:val="auto"/>
          <w:sz w:val="20"/>
          <w:szCs w:val="20"/>
          <w:lang w:val="en-GB"/>
        </w:rPr>
        <w:t>general government. B.9 - net lending (+) or borrowing (-)</w:t>
      </w:r>
      <w:r w:rsidRPr="00CB5887">
        <w:rPr>
          <w:rFonts w:ascii="Arial" w:hAnsi="Arial" w:cs="Arial"/>
          <w:i/>
          <w:iCs/>
          <w:color w:val="auto"/>
          <w:sz w:val="20"/>
          <w:szCs w:val="17"/>
          <w:lang w:val="en-GB"/>
        </w:rPr>
        <w:t xml:space="preserve"> provides the basis for the assessment of budget implementation of the general government according to the Maastricht criteria</w:t>
      </w:r>
      <w:r w:rsidR="00286AE8">
        <w:rPr>
          <w:rFonts w:ascii="Arial" w:hAnsi="Arial" w:cs="Arial"/>
          <w:i/>
          <w:iCs/>
          <w:color w:val="auto"/>
          <w:sz w:val="20"/>
          <w:szCs w:val="17"/>
          <w:lang w:val="en-GB"/>
        </w:rPr>
        <w:t xml:space="preserve"> </w:t>
      </w:r>
      <w:r w:rsidR="006D23C1">
        <w:rPr>
          <w:rFonts w:ascii="Arial" w:hAnsi="Arial" w:cs="Arial"/>
          <w:i/>
          <w:iCs/>
          <w:color w:val="auto"/>
          <w:sz w:val="20"/>
          <w:szCs w:val="17"/>
          <w:lang w:val="en-GB"/>
        </w:rPr>
        <w:t>(3% o</w:t>
      </w:r>
      <w:r w:rsidR="00DE52AF">
        <w:rPr>
          <w:rFonts w:ascii="Arial" w:hAnsi="Arial" w:cs="Arial"/>
          <w:i/>
          <w:iCs/>
          <w:color w:val="auto"/>
          <w:sz w:val="20"/>
          <w:szCs w:val="17"/>
          <w:lang w:val="en-GB"/>
        </w:rPr>
        <w:t>f</w:t>
      </w:r>
      <w:r w:rsidR="006D23C1">
        <w:rPr>
          <w:rFonts w:ascii="Arial" w:hAnsi="Arial" w:cs="Arial"/>
          <w:i/>
          <w:iCs/>
          <w:color w:val="auto"/>
          <w:sz w:val="20"/>
          <w:szCs w:val="17"/>
          <w:lang w:val="en-GB"/>
        </w:rPr>
        <w:t xml:space="preserve"> GDP)</w:t>
      </w:r>
      <w:r w:rsidR="00286AE8">
        <w:rPr>
          <w:rFonts w:ascii="Arial" w:hAnsi="Arial" w:cs="Arial"/>
          <w:i/>
          <w:iCs/>
          <w:color w:val="auto"/>
          <w:sz w:val="20"/>
          <w:szCs w:val="17"/>
          <w:lang w:val="en-GB"/>
        </w:rPr>
        <w:t>.</w:t>
      </w:r>
      <w:r w:rsidRPr="00CB5887">
        <w:rPr>
          <w:rFonts w:ascii="Arial" w:hAnsi="Arial" w:cs="Arial"/>
          <w:i/>
          <w:iCs/>
          <w:color w:val="auto"/>
          <w:sz w:val="20"/>
          <w:szCs w:val="17"/>
          <w:lang w:val="en-GB"/>
        </w:rPr>
        <w:t xml:space="preserve"> For this purpose (Excessive Deficit Procedure</w:t>
      </w:r>
      <w:r w:rsidR="000903FA">
        <w:rPr>
          <w:rFonts w:ascii="Arial" w:hAnsi="Arial" w:cs="Arial"/>
          <w:i/>
          <w:iCs/>
          <w:color w:val="auto"/>
          <w:sz w:val="20"/>
          <w:szCs w:val="17"/>
          <w:lang w:val="en-GB"/>
        </w:rPr>
        <w:t>, EDP</w:t>
      </w:r>
      <w:r w:rsidRPr="00CB5887">
        <w:rPr>
          <w:rFonts w:ascii="Arial" w:hAnsi="Arial" w:cs="Arial"/>
          <w:i/>
          <w:iCs/>
          <w:color w:val="auto"/>
          <w:sz w:val="20"/>
          <w:szCs w:val="17"/>
          <w:lang w:val="en-GB"/>
        </w:rPr>
        <w:t>),</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B.9 indicator is not modified by interest on swap operations and operations in forward rate agreement interest (FRA) to</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so-called EDP B.9. Items D.4, D.7, and D.9 are consolidated, i.e. transfers within each of the subsectors of</w:t>
      </w:r>
      <w:r w:rsidR="002B5ADC">
        <w:rPr>
          <w:rFonts w:ascii="Arial" w:hAnsi="Arial" w:cs="Arial"/>
          <w:i/>
          <w:iCs/>
          <w:color w:val="auto"/>
          <w:sz w:val="20"/>
          <w:szCs w:val="17"/>
          <w:lang w:val="en-GB"/>
        </w:rPr>
        <w:t xml:space="preserve"> the </w:t>
      </w:r>
      <w:r w:rsidRPr="00CB5887">
        <w:rPr>
          <w:rFonts w:ascii="Arial" w:hAnsi="Arial" w:cs="Arial"/>
          <w:i/>
          <w:iCs/>
          <w:color w:val="auto"/>
          <w:sz w:val="20"/>
          <w:szCs w:val="17"/>
          <w:lang w:val="en-GB"/>
        </w:rPr>
        <w:t xml:space="preserve">general government are </w:t>
      </w:r>
      <w:r w:rsidR="00811DA3">
        <w:rPr>
          <w:rFonts w:ascii="Arial" w:hAnsi="Arial" w:cs="Arial"/>
          <w:i/>
          <w:iCs/>
          <w:color w:val="auto"/>
          <w:sz w:val="20"/>
          <w:szCs w:val="17"/>
          <w:lang w:val="en-GB"/>
        </w:rPr>
        <w:t>excluded</w:t>
      </w:r>
      <w:r w:rsidRPr="00CB5887">
        <w:rPr>
          <w:rFonts w:ascii="Arial" w:hAnsi="Arial" w:cs="Arial"/>
          <w:i/>
          <w:iCs/>
          <w:color w:val="auto"/>
          <w:sz w:val="20"/>
          <w:szCs w:val="17"/>
          <w:lang w:val="en-GB"/>
        </w:rPr>
        <w:t xml:space="preserve">. </w:t>
      </w:r>
    </w:p>
    <w:p w:rsidR="00121463" w:rsidRPr="00CB5887" w:rsidRDefault="00413987" w:rsidP="00593755">
      <w:pPr>
        <w:pStyle w:val="Normlnweb"/>
        <w:spacing w:before="120" w:beforeAutospacing="0" w:after="0" w:afterAutospacing="0"/>
        <w:ind w:firstLine="709"/>
        <w:jc w:val="both"/>
        <w:rPr>
          <w:rFonts w:ascii="Arial" w:hAnsi="Arial" w:cs="Arial"/>
          <w:i/>
          <w:iCs/>
          <w:color w:val="auto"/>
          <w:sz w:val="20"/>
          <w:szCs w:val="17"/>
          <w:lang w:val="en-GB"/>
        </w:rPr>
      </w:pPr>
      <w:r>
        <w:rPr>
          <w:rFonts w:ascii="Arial" w:hAnsi="Arial" w:cs="Arial"/>
          <w:i/>
          <w:iCs/>
          <w:color w:val="auto"/>
          <w:sz w:val="20"/>
          <w:szCs w:val="20"/>
          <w:lang w:val="en-GB"/>
        </w:rPr>
        <w:t>Calculation of the general government debt is based on the ESA 2010 methodology and on</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Manual on</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Government Deficit and Debt and it is evaluated in relation to</w:t>
      </w:r>
      <w:r w:rsidR="002B5ADC">
        <w:rPr>
          <w:rFonts w:ascii="Arial" w:hAnsi="Arial" w:cs="Arial"/>
          <w:i/>
          <w:iCs/>
          <w:color w:val="auto"/>
          <w:sz w:val="20"/>
          <w:szCs w:val="20"/>
          <w:lang w:val="en-GB"/>
        </w:rPr>
        <w:t xml:space="preserve"> the </w:t>
      </w:r>
      <w:r w:rsidR="002322D3" w:rsidRPr="00CB5887">
        <w:rPr>
          <w:rFonts w:ascii="Arial" w:hAnsi="Arial" w:cs="Arial"/>
          <w:i/>
          <w:iCs/>
          <w:color w:val="auto"/>
          <w:sz w:val="20"/>
          <w:szCs w:val="20"/>
          <w:lang w:val="en-GB"/>
        </w:rPr>
        <w:t xml:space="preserve">GDP, according </w:t>
      </w:r>
      <w:r>
        <w:rPr>
          <w:rFonts w:ascii="Arial" w:hAnsi="Arial" w:cs="Arial"/>
          <w:i/>
          <w:iCs/>
          <w:color w:val="auto"/>
          <w:sz w:val="20"/>
          <w:szCs w:val="20"/>
          <w:lang w:val="en-GB"/>
        </w:rPr>
        <w:t>to the Maastricht criteria</w:t>
      </w:r>
      <w:r>
        <w:rPr>
          <w:rFonts w:ascii="Arial" w:hAnsi="Arial" w:cs="Arial"/>
          <w:i/>
          <w:iCs/>
          <w:color w:val="auto"/>
          <w:sz w:val="20"/>
          <w:szCs w:val="17"/>
          <w:lang w:val="en-GB"/>
        </w:rPr>
        <w:t xml:space="preserve"> (60% of GDP). The</w:t>
      </w:r>
      <w:r w:rsidR="005A6C7B">
        <w:rPr>
          <w:rFonts w:ascii="Arial" w:hAnsi="Arial" w:cs="Arial"/>
          <w:i/>
          <w:iCs/>
          <w:color w:val="auto"/>
          <w:sz w:val="20"/>
          <w:szCs w:val="17"/>
          <w:lang w:val="en-GB"/>
        </w:rPr>
        <w:t xml:space="preserve"> general</w:t>
      </w:r>
      <w:r>
        <w:rPr>
          <w:rFonts w:ascii="Arial" w:hAnsi="Arial" w:cs="Arial"/>
          <w:i/>
          <w:iCs/>
          <w:color w:val="auto"/>
          <w:sz w:val="20"/>
          <w:szCs w:val="17"/>
          <w:lang w:val="en-GB"/>
        </w:rPr>
        <w:t xml:space="preserve"> government debt (in nominal value) is the sum </w:t>
      </w:r>
      <w:r w:rsidRPr="006A489E">
        <w:rPr>
          <w:rFonts w:ascii="Arial" w:hAnsi="Arial" w:cs="Arial"/>
          <w:i/>
          <w:iCs/>
          <w:color w:val="auto"/>
          <w:sz w:val="20"/>
          <w:szCs w:val="17"/>
          <w:lang w:val="en-GB"/>
        </w:rPr>
        <w:t>of</w:t>
      </w:r>
      <w:r w:rsidR="00CD54F6" w:rsidRPr="006A489E">
        <w:rPr>
          <w:rFonts w:ascii="Arial" w:hAnsi="Arial" w:cs="Arial"/>
          <w:i/>
          <w:iCs/>
          <w:color w:val="auto"/>
          <w:sz w:val="20"/>
          <w:szCs w:val="17"/>
          <w:lang w:val="en-GB"/>
        </w:rPr>
        <w:t xml:space="preserve"> payables resulting from received currency and deposits, </w:t>
      </w:r>
      <w:r w:rsidRPr="006A489E">
        <w:rPr>
          <w:rFonts w:ascii="Arial" w:hAnsi="Arial" w:cs="Arial"/>
          <w:i/>
          <w:iCs/>
          <w:color w:val="auto"/>
          <w:sz w:val="20"/>
          <w:szCs w:val="17"/>
          <w:lang w:val="en-GB"/>
        </w:rPr>
        <w:t xml:space="preserve">issued </w:t>
      </w:r>
      <w:r w:rsidR="00B93E49">
        <w:rPr>
          <w:rFonts w:ascii="Arial" w:hAnsi="Arial" w:cs="Arial"/>
          <w:i/>
          <w:iCs/>
          <w:color w:val="auto"/>
          <w:sz w:val="20"/>
          <w:szCs w:val="17"/>
          <w:lang w:val="en-GB"/>
        </w:rPr>
        <w:t>debt securities, and loans (AF.2+AF.3+AF.4). Received deposits (as part of the</w:t>
      </w:r>
      <w:r w:rsidR="005A6C7B">
        <w:rPr>
          <w:rFonts w:ascii="Arial" w:hAnsi="Arial" w:cs="Arial"/>
          <w:i/>
          <w:iCs/>
          <w:color w:val="auto"/>
          <w:sz w:val="20"/>
          <w:szCs w:val="17"/>
          <w:lang w:val="en-GB"/>
        </w:rPr>
        <w:t xml:space="preserve"> general</w:t>
      </w:r>
      <w:r w:rsidR="002B5ADC">
        <w:rPr>
          <w:rFonts w:ascii="Arial" w:hAnsi="Arial" w:cs="Arial"/>
          <w:i/>
          <w:iCs/>
          <w:color w:val="auto"/>
          <w:sz w:val="20"/>
          <w:szCs w:val="17"/>
          <w:lang w:val="en-GB"/>
        </w:rPr>
        <w:t> </w:t>
      </w:r>
      <w:r w:rsidR="00CD54F6" w:rsidRPr="00CB5887">
        <w:rPr>
          <w:rFonts w:ascii="Arial" w:hAnsi="Arial" w:cs="Arial"/>
          <w:i/>
          <w:iCs/>
          <w:color w:val="auto"/>
          <w:sz w:val="20"/>
          <w:szCs w:val="17"/>
          <w:lang w:val="en-GB"/>
        </w:rPr>
        <w:t>government debt</w:t>
      </w:r>
      <w:r w:rsidR="009F70DD">
        <w:rPr>
          <w:rFonts w:ascii="Arial" w:hAnsi="Arial" w:cs="Arial"/>
          <w:i/>
          <w:iCs/>
          <w:color w:val="auto"/>
          <w:sz w:val="20"/>
          <w:szCs w:val="17"/>
          <w:lang w:val="en-GB"/>
        </w:rPr>
        <w:t xml:space="preserve"> of the</w:t>
      </w:r>
      <w:r w:rsidR="007A3A0A">
        <w:rPr>
          <w:rFonts w:ascii="Arial" w:hAnsi="Arial" w:cs="Arial"/>
          <w:i/>
          <w:iCs/>
          <w:color w:val="auto"/>
          <w:sz w:val="20"/>
          <w:szCs w:val="17"/>
          <w:lang w:val="en-GB"/>
        </w:rPr>
        <w:t> </w:t>
      </w:r>
      <w:r w:rsidR="009F70DD">
        <w:rPr>
          <w:rFonts w:ascii="Arial" w:hAnsi="Arial" w:cs="Arial"/>
          <w:i/>
          <w:iCs/>
          <w:color w:val="auto"/>
          <w:sz w:val="20"/>
          <w:szCs w:val="17"/>
          <w:lang w:val="en-GB"/>
        </w:rPr>
        <w:t>CR</w:t>
      </w:r>
      <w:r w:rsidR="00CD54F6" w:rsidRPr="00CB5887">
        <w:rPr>
          <w:rFonts w:ascii="Arial" w:hAnsi="Arial" w:cs="Arial"/>
          <w:i/>
          <w:iCs/>
          <w:color w:val="auto"/>
          <w:sz w:val="20"/>
          <w:szCs w:val="17"/>
          <w:lang w:val="en-GB"/>
        </w:rPr>
        <w:t xml:space="preserve">) </w:t>
      </w:r>
      <w:r w:rsidR="006A5A8D">
        <w:rPr>
          <w:rFonts w:ascii="Arial" w:hAnsi="Arial" w:cs="Arial"/>
          <w:i/>
          <w:iCs/>
          <w:color w:val="auto"/>
          <w:sz w:val="20"/>
          <w:szCs w:val="17"/>
          <w:lang w:val="en-GB"/>
        </w:rPr>
        <w:t xml:space="preserve">were </w:t>
      </w:r>
      <w:r w:rsidR="00CD54F6" w:rsidRPr="00CB5887">
        <w:rPr>
          <w:rFonts w:ascii="Arial" w:hAnsi="Arial" w:cs="Arial"/>
          <w:i/>
          <w:iCs/>
          <w:color w:val="auto"/>
          <w:sz w:val="20"/>
          <w:szCs w:val="17"/>
          <w:lang w:val="en-GB"/>
        </w:rPr>
        <w:t>reported only from 2001 to 2006, due to classification of</w:t>
      </w:r>
      <w:r w:rsidR="002B5ADC">
        <w:rPr>
          <w:rFonts w:ascii="Arial" w:hAnsi="Arial" w:cs="Arial"/>
          <w:i/>
          <w:iCs/>
          <w:color w:val="auto"/>
          <w:sz w:val="20"/>
          <w:szCs w:val="17"/>
          <w:lang w:val="en-GB"/>
        </w:rPr>
        <w:t xml:space="preserve"> the </w:t>
      </w:r>
      <w:r w:rsidR="00CD54F6" w:rsidRPr="00CB5887">
        <w:rPr>
          <w:rFonts w:ascii="Arial" w:hAnsi="Arial" w:cs="Arial"/>
          <w:i/>
          <w:iCs/>
          <w:color w:val="auto"/>
          <w:sz w:val="20"/>
          <w:szCs w:val="17"/>
          <w:lang w:val="en-GB"/>
        </w:rPr>
        <w:t>Cze</w:t>
      </w:r>
      <w:r w:rsidR="00E33CE3">
        <w:rPr>
          <w:rFonts w:ascii="Arial" w:hAnsi="Arial" w:cs="Arial"/>
          <w:i/>
          <w:iCs/>
          <w:color w:val="auto"/>
          <w:sz w:val="20"/>
          <w:szCs w:val="17"/>
          <w:lang w:val="en-GB"/>
        </w:rPr>
        <w:t>ch Consolidation Agency in </w:t>
      </w:r>
      <w:r w:rsidR="00CD54F6" w:rsidRPr="00CB5887">
        <w:rPr>
          <w:rFonts w:ascii="Arial" w:hAnsi="Arial" w:cs="Arial"/>
          <w:i/>
          <w:iCs/>
          <w:color w:val="auto"/>
          <w:sz w:val="20"/>
          <w:szCs w:val="17"/>
          <w:lang w:val="en-GB"/>
        </w:rPr>
        <w:t>S.13</w:t>
      </w:r>
      <w:r w:rsidR="00B93E49">
        <w:rPr>
          <w:rFonts w:ascii="Arial" w:hAnsi="Arial" w:cs="Arial"/>
          <w:i/>
          <w:iCs/>
          <w:color w:val="auto"/>
          <w:sz w:val="20"/>
          <w:szCs w:val="17"/>
          <w:lang w:val="en-GB"/>
        </w:rPr>
        <w:t>.</w:t>
      </w:r>
      <w:r w:rsidR="007A3A0A">
        <w:rPr>
          <w:rFonts w:ascii="Arial" w:hAnsi="Arial" w:cs="Arial"/>
          <w:i/>
          <w:iCs/>
          <w:color w:val="auto"/>
          <w:sz w:val="20"/>
          <w:szCs w:val="17"/>
          <w:lang w:val="en-GB"/>
        </w:rPr>
        <w:t xml:space="preserve"> At </w:t>
      </w:r>
      <w:r w:rsidR="00B93E49">
        <w:rPr>
          <w:rFonts w:ascii="Arial" w:hAnsi="Arial" w:cs="Arial"/>
          <w:i/>
          <w:iCs/>
          <w:color w:val="auto"/>
          <w:sz w:val="20"/>
          <w:szCs w:val="17"/>
          <w:lang w:val="en-GB"/>
        </w:rPr>
        <w:t>present, received deposits are</w:t>
      </w:r>
      <w:r w:rsidR="007A3A0A">
        <w:rPr>
          <w:rFonts w:ascii="Arial" w:hAnsi="Arial" w:cs="Arial"/>
          <w:i/>
          <w:iCs/>
          <w:color w:val="auto"/>
          <w:sz w:val="20"/>
          <w:szCs w:val="17"/>
          <w:lang w:val="en-GB"/>
        </w:rPr>
        <w:t xml:space="preserve"> part of the </w:t>
      </w:r>
      <w:r w:rsidR="00DB00F0" w:rsidRPr="00DB00F0">
        <w:rPr>
          <w:rFonts w:ascii="Arial" w:hAnsi="Arial" w:cs="Arial"/>
          <w:i/>
          <w:iCs/>
          <w:color w:val="auto"/>
          <w:sz w:val="20"/>
          <w:szCs w:val="17"/>
          <w:lang w:val="en-GB"/>
        </w:rPr>
        <w:t xml:space="preserve">general </w:t>
      </w:r>
      <w:r w:rsidR="00B93E49">
        <w:rPr>
          <w:rFonts w:ascii="Arial" w:hAnsi="Arial" w:cs="Arial"/>
          <w:i/>
          <w:iCs/>
          <w:color w:val="auto"/>
          <w:sz w:val="20"/>
          <w:szCs w:val="17"/>
          <w:lang w:val="en-GB"/>
        </w:rPr>
        <w:t xml:space="preserve">government debt again, due to classification </w:t>
      </w:r>
      <w:r w:rsidR="007A3A0A">
        <w:rPr>
          <w:rFonts w:ascii="Arial" w:hAnsi="Arial" w:cs="Arial"/>
          <w:i/>
          <w:iCs/>
          <w:color w:val="auto"/>
          <w:sz w:val="20"/>
          <w:szCs w:val="17"/>
          <w:lang w:val="en-GB"/>
        </w:rPr>
        <w:t>of the </w:t>
      </w:r>
      <w:r w:rsidR="00B93E49">
        <w:rPr>
          <w:rFonts w:ascii="Arial" w:hAnsi="Arial" w:cs="Arial"/>
          <w:i/>
          <w:iCs/>
          <w:color w:val="auto"/>
          <w:sz w:val="20"/>
          <w:szCs w:val="17"/>
          <w:lang w:val="en-GB"/>
        </w:rPr>
        <w:t>Czech Export Bank, the Czech-Moravian Guarantee and Development Bank</w:t>
      </w:r>
      <w:r w:rsidR="00DB00F0" w:rsidRPr="00DB00F0">
        <w:rPr>
          <w:rFonts w:ascii="Arial" w:hAnsi="Arial" w:cs="Arial"/>
          <w:i/>
          <w:iCs/>
          <w:color w:val="auto"/>
          <w:sz w:val="20"/>
          <w:szCs w:val="17"/>
          <w:lang w:val="en-GB"/>
        </w:rPr>
        <w:t>,</w:t>
      </w:r>
      <w:r w:rsidR="007A3A0A">
        <w:rPr>
          <w:rFonts w:ascii="Arial" w:hAnsi="Arial" w:cs="Arial"/>
          <w:i/>
          <w:iCs/>
          <w:color w:val="auto"/>
          <w:sz w:val="20"/>
          <w:szCs w:val="17"/>
          <w:lang w:val="en-GB"/>
        </w:rPr>
        <w:t xml:space="preserve"> and the </w:t>
      </w:r>
      <w:r w:rsidR="00B93E49">
        <w:rPr>
          <w:rFonts w:ascii="Arial" w:hAnsi="Arial" w:cs="Arial"/>
          <w:i/>
          <w:iCs/>
          <w:color w:val="auto"/>
          <w:sz w:val="20"/>
          <w:szCs w:val="17"/>
          <w:lang w:val="en-GB"/>
        </w:rPr>
        <w:t xml:space="preserve">Deposit Insurance Fund into S.1311 </w:t>
      </w:r>
      <w:r w:rsidR="007A3A0A">
        <w:rPr>
          <w:rFonts w:ascii="Arial" w:hAnsi="Arial" w:cs="Arial"/>
          <w:i/>
          <w:iCs/>
          <w:color w:val="auto"/>
          <w:sz w:val="20"/>
          <w:szCs w:val="17"/>
          <w:lang w:val="en-GB"/>
        </w:rPr>
        <w:t>(in compliance with the ESA </w:t>
      </w:r>
      <w:r w:rsidR="00B93E49">
        <w:rPr>
          <w:rFonts w:ascii="Arial" w:hAnsi="Arial" w:cs="Arial"/>
          <w:i/>
          <w:iCs/>
          <w:color w:val="auto"/>
          <w:sz w:val="20"/>
          <w:szCs w:val="17"/>
          <w:lang w:val="en-GB"/>
        </w:rPr>
        <w:t>2010 methodology).</w:t>
      </w:r>
      <w:r w:rsidR="007A3A0A">
        <w:rPr>
          <w:rFonts w:ascii="Arial" w:hAnsi="Arial" w:cs="Arial"/>
          <w:i/>
          <w:iCs/>
          <w:color w:val="auto"/>
          <w:sz w:val="20"/>
          <w:szCs w:val="17"/>
          <w:lang w:val="en-GB"/>
        </w:rPr>
        <w:t xml:space="preserve">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D359B5" w:rsidRPr="00CB5887" w:rsidRDefault="00D359B5">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rsidP="00D76474">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Table </w:t>
      </w:r>
      <w:r w:rsidRPr="00CB5887">
        <w:rPr>
          <w:rFonts w:ascii="Arial" w:hAnsi="Arial" w:cs="Arial"/>
          <w:b/>
          <w:i/>
          <w:iCs/>
          <w:color w:val="auto"/>
          <w:sz w:val="20"/>
          <w:szCs w:val="17"/>
          <w:lang w:val="en-GB"/>
        </w:rPr>
        <w:t>5</w:t>
      </w:r>
      <w:r w:rsidRPr="00CB5887">
        <w:rPr>
          <w:rFonts w:ascii="Arial" w:hAnsi="Arial" w:cs="Arial"/>
          <w:i/>
          <w:iCs/>
          <w:color w:val="auto"/>
          <w:sz w:val="20"/>
          <w:szCs w:val="17"/>
          <w:lang w:val="en-GB"/>
        </w:rPr>
        <w:t xml:space="preserve">-20 </w:t>
      </w:r>
      <w:r w:rsidRPr="00CB5887">
        <w:rPr>
          <w:rFonts w:ascii="Arial" w:hAnsi="Arial" w:cs="Arial"/>
          <w:b/>
          <w:i/>
          <w:iCs/>
          <w:color w:val="auto"/>
          <w:sz w:val="20"/>
          <w:szCs w:val="17"/>
          <w:lang w:val="en-GB"/>
        </w:rPr>
        <w:t>Detailed tax and social contribution recei</w:t>
      </w:r>
      <w:r w:rsidR="002B5ADC">
        <w:rPr>
          <w:rFonts w:ascii="Arial" w:hAnsi="Arial" w:cs="Arial"/>
          <w:b/>
          <w:i/>
          <w:iCs/>
          <w:color w:val="auto"/>
          <w:sz w:val="20"/>
          <w:szCs w:val="17"/>
          <w:lang w:val="en-GB"/>
        </w:rPr>
        <w:t xml:space="preserve">pts of the </w:t>
      </w:r>
      <w:r w:rsidRPr="00CB5887">
        <w:rPr>
          <w:rFonts w:ascii="Arial" w:hAnsi="Arial" w:cs="Arial"/>
          <w:b/>
          <w:i/>
          <w:iCs/>
          <w:color w:val="auto"/>
          <w:sz w:val="20"/>
          <w:szCs w:val="17"/>
          <w:lang w:val="en-GB"/>
        </w:rPr>
        <w:t>general government sector</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 xml:space="preserve">Current taxes (D.2 and D.5) and capital taxes (D.91) and social and health insurance contributions (D.61), which are the source of income of the general government sector (subsectors). The data are in compliance with national accounts data for S.13 and </w:t>
      </w:r>
      <w:r w:rsidR="00D15202">
        <w:rPr>
          <w:rFonts w:ascii="Arial" w:hAnsi="Arial" w:cs="Arial"/>
          <w:i/>
          <w:iCs/>
          <w:color w:val="auto"/>
          <w:sz w:val="20"/>
          <w:szCs w:val="17"/>
          <w:lang w:val="en-GB"/>
        </w:rPr>
        <w:t xml:space="preserve">the </w:t>
      </w:r>
      <w:r w:rsidRPr="00CB5887">
        <w:rPr>
          <w:rFonts w:ascii="Arial" w:hAnsi="Arial" w:cs="Arial"/>
          <w:i/>
          <w:iCs/>
          <w:color w:val="auto"/>
          <w:sz w:val="20"/>
          <w:szCs w:val="17"/>
          <w:lang w:val="en-GB"/>
        </w:rPr>
        <w:t>ESA</w:t>
      </w:r>
      <w:r w:rsidR="00E33CE3">
        <w:rPr>
          <w:rFonts w:ascii="Arial" w:hAnsi="Arial" w:cs="Arial"/>
          <w:i/>
          <w:iCs/>
          <w:color w:val="auto"/>
          <w:sz w:val="20"/>
          <w:szCs w:val="17"/>
          <w:lang w:val="en-GB"/>
        </w:rPr>
        <w:t> 2010</w:t>
      </w:r>
      <w:r w:rsidRPr="00CB5887">
        <w:rPr>
          <w:rFonts w:ascii="Arial" w:hAnsi="Arial" w:cs="Arial"/>
          <w:i/>
          <w:iCs/>
          <w:color w:val="auto"/>
          <w:sz w:val="20"/>
          <w:szCs w:val="17"/>
          <w:lang w:val="en-GB"/>
        </w:rPr>
        <w:t xml:space="preserve"> rules. The calculation is based on the time</w:t>
      </w:r>
      <w:r w:rsidR="00814379">
        <w:rPr>
          <w:rFonts w:ascii="Arial" w:hAnsi="Arial" w:cs="Arial"/>
          <w:i/>
          <w:iCs/>
          <w:color w:val="auto"/>
          <w:sz w:val="20"/>
          <w:szCs w:val="17"/>
          <w:lang w:val="en-GB"/>
        </w:rPr>
        <w:t>-</w:t>
      </w:r>
      <w:r w:rsidRPr="00CB5887">
        <w:rPr>
          <w:rFonts w:ascii="Arial" w:hAnsi="Arial" w:cs="Arial"/>
          <w:i/>
          <w:iCs/>
          <w:color w:val="auto"/>
          <w:sz w:val="20"/>
          <w:szCs w:val="17"/>
          <w:lang w:val="en-GB"/>
        </w:rPr>
        <w:t xml:space="preserve">shift method, which allows the elimination of effect of taxes (tax “income”) that </w:t>
      </w:r>
      <w:r w:rsidR="00376B4A">
        <w:rPr>
          <w:rFonts w:ascii="Arial" w:hAnsi="Arial" w:cs="Arial"/>
          <w:i/>
          <w:iCs/>
          <w:color w:val="auto"/>
          <w:sz w:val="20"/>
          <w:szCs w:val="17"/>
          <w:lang w:val="en-GB"/>
        </w:rPr>
        <w:t>are unlikely to</w:t>
      </w:r>
      <w:r w:rsidRPr="00CB5887">
        <w:rPr>
          <w:rFonts w:ascii="Arial" w:hAnsi="Arial" w:cs="Arial"/>
          <w:i/>
          <w:iCs/>
          <w:color w:val="auto"/>
          <w:sz w:val="20"/>
          <w:szCs w:val="17"/>
          <w:lang w:val="en-GB"/>
        </w:rPr>
        <w:t xml:space="preserve"> be collected. In view of that the items under D.995</w:t>
      </w:r>
      <w:r w:rsidR="0083658E">
        <w:rPr>
          <w:rFonts w:ascii="Arial" w:hAnsi="Arial" w:cs="Arial"/>
          <w:i/>
          <w:iCs/>
          <w:color w:val="auto"/>
          <w:sz w:val="20"/>
          <w:szCs w:val="17"/>
          <w:lang w:val="en-GB"/>
        </w:rPr>
        <w:t xml:space="preserve"> code</w:t>
      </w:r>
      <w:r w:rsidRPr="00CB5887">
        <w:rPr>
          <w:rFonts w:ascii="Arial" w:hAnsi="Arial" w:cs="Arial"/>
          <w:i/>
          <w:iCs/>
          <w:color w:val="auto"/>
          <w:sz w:val="20"/>
          <w:szCs w:val="17"/>
          <w:lang w:val="en-GB"/>
        </w:rPr>
        <w:t xml:space="preserve"> are blank.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pStyle w:val="Normlnweb"/>
        <w:spacing w:before="0" w:beforeAutospacing="0" w:after="0" w:afterAutospacing="0"/>
        <w:jc w:val="both"/>
        <w:rPr>
          <w:rFonts w:ascii="Arial" w:hAnsi="Arial" w:cs="Arial"/>
          <w:i/>
          <w:iCs/>
          <w:color w:val="auto"/>
          <w:sz w:val="20"/>
          <w:szCs w:val="17"/>
          <w:lang w:val="en-GB"/>
        </w:rPr>
      </w:pPr>
      <w:r w:rsidRPr="00CB5887">
        <w:rPr>
          <w:rFonts w:ascii="Arial" w:hAnsi="Arial" w:cs="Arial"/>
          <w:i/>
          <w:iCs/>
          <w:color w:val="auto"/>
          <w:sz w:val="20"/>
          <w:szCs w:val="17"/>
          <w:lang w:val="en-GB"/>
        </w:rPr>
        <w:lastRenderedPageBreak/>
        <w:t xml:space="preserve">Tables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-21 to </w:t>
      </w:r>
      <w:r w:rsidRPr="00CB5887">
        <w:rPr>
          <w:rFonts w:ascii="Arial" w:hAnsi="Arial" w:cs="Arial"/>
          <w:b/>
          <w:bCs/>
          <w:i/>
          <w:iCs/>
          <w:color w:val="auto"/>
          <w:sz w:val="20"/>
          <w:szCs w:val="17"/>
          <w:lang w:val="en-GB"/>
        </w:rPr>
        <w:t>5</w:t>
      </w:r>
      <w:r w:rsidRPr="00CB5887">
        <w:rPr>
          <w:rFonts w:ascii="Arial" w:hAnsi="Arial" w:cs="Arial"/>
          <w:i/>
          <w:iCs/>
          <w:color w:val="auto"/>
          <w:sz w:val="20"/>
          <w:szCs w:val="17"/>
          <w:lang w:val="en-GB"/>
        </w:rPr>
        <w:t xml:space="preserve">-27 </w:t>
      </w:r>
      <w:r w:rsidRPr="00CB5887">
        <w:rPr>
          <w:rFonts w:ascii="Arial" w:hAnsi="Arial" w:cs="Arial"/>
          <w:b/>
          <w:bCs/>
          <w:i/>
          <w:iCs/>
          <w:color w:val="auto"/>
          <w:sz w:val="20"/>
          <w:szCs w:val="17"/>
          <w:lang w:val="en-GB"/>
        </w:rPr>
        <w:t>Non-financial assets indicators</w:t>
      </w:r>
    </w:p>
    <w:p w:rsidR="00121463" w:rsidRPr="00CB5887" w:rsidRDefault="00CD54F6">
      <w:pPr>
        <w:pStyle w:val="Normlnweb"/>
        <w:spacing w:before="120" w:beforeAutospacing="0" w:after="0" w:afterAutospacing="0"/>
        <w:ind w:firstLine="708"/>
        <w:jc w:val="both"/>
        <w:rPr>
          <w:rFonts w:ascii="Arial" w:hAnsi="Arial" w:cs="Arial"/>
          <w:i/>
          <w:iCs/>
          <w:color w:val="auto"/>
          <w:sz w:val="20"/>
          <w:szCs w:val="17"/>
          <w:lang w:val="en-GB"/>
        </w:rPr>
      </w:pPr>
      <w:r w:rsidRPr="00CB5887">
        <w:rPr>
          <w:rFonts w:ascii="Arial" w:hAnsi="Arial" w:cs="Arial"/>
          <w:i/>
          <w:iCs/>
          <w:color w:val="auto"/>
          <w:sz w:val="20"/>
          <w:szCs w:val="17"/>
          <w:lang w:val="en-GB"/>
        </w:rPr>
        <w:t>The tables provide a view of the structure of non-financial assets by economic activity</w:t>
      </w:r>
      <w:r w:rsidR="00C0363A">
        <w:rPr>
          <w:rFonts w:ascii="Arial" w:hAnsi="Arial" w:cs="Arial"/>
          <w:i/>
          <w:iCs/>
          <w:color w:val="auto"/>
          <w:sz w:val="20"/>
          <w:szCs w:val="17"/>
          <w:lang w:val="en-GB"/>
        </w:rPr>
        <w:t xml:space="preserve"> (in </w:t>
      </w:r>
      <w:r w:rsidR="00B93E49">
        <w:rPr>
          <w:rFonts w:ascii="Arial" w:hAnsi="Arial" w:cs="Arial"/>
          <w:i/>
          <w:iCs/>
          <w:color w:val="auto"/>
          <w:sz w:val="20"/>
          <w:szCs w:val="17"/>
          <w:lang w:val="en-GB"/>
        </w:rPr>
        <w:t>compliance with the NACE classification)</w:t>
      </w:r>
      <w:r w:rsidR="00872A82">
        <w:rPr>
          <w:rFonts w:ascii="Arial" w:hAnsi="Arial" w:cs="Arial"/>
          <w:i/>
          <w:iCs/>
          <w:color w:val="auto"/>
          <w:sz w:val="20"/>
          <w:szCs w:val="17"/>
          <w:lang w:val="en-GB"/>
        </w:rPr>
        <w:t>,</w:t>
      </w:r>
      <w:r w:rsidR="00B93E49">
        <w:rPr>
          <w:rFonts w:ascii="Arial" w:hAnsi="Arial" w:cs="Arial"/>
          <w:i/>
          <w:iCs/>
          <w:color w:val="auto"/>
          <w:sz w:val="20"/>
          <w:szCs w:val="17"/>
          <w:lang w:val="en-GB"/>
        </w:rPr>
        <w:t xml:space="preserve"> their total volume, gross fixed capital formation, acquisition of selected types of fixed assets</w:t>
      </w:r>
      <w:r w:rsidR="003B720F">
        <w:rPr>
          <w:rFonts w:ascii="Arial" w:hAnsi="Arial" w:cs="Arial"/>
          <w:i/>
          <w:iCs/>
          <w:color w:val="auto"/>
          <w:sz w:val="20"/>
          <w:szCs w:val="17"/>
          <w:lang w:val="en-GB"/>
        </w:rPr>
        <w:t>,</w:t>
      </w:r>
      <w:r w:rsidR="00B93E49">
        <w:rPr>
          <w:rFonts w:ascii="Arial" w:hAnsi="Arial" w:cs="Arial"/>
          <w:i/>
          <w:iCs/>
          <w:color w:val="auto"/>
          <w:sz w:val="20"/>
          <w:szCs w:val="17"/>
          <w:lang w:val="en-GB"/>
        </w:rPr>
        <w:t xml:space="preserve"> and changes in inventories.</w:t>
      </w:r>
      <w:r w:rsidRPr="00CB5887">
        <w:rPr>
          <w:rFonts w:ascii="Arial" w:hAnsi="Arial" w:cs="Arial"/>
          <w:i/>
          <w:iCs/>
          <w:color w:val="auto"/>
          <w:sz w:val="20"/>
          <w:szCs w:val="17"/>
          <w:lang w:val="en-GB"/>
        </w:rPr>
        <w:t xml:space="preserve"> The stocks of fixed assets are given in terms of net (book) replacement costs, i.e. in terms of purchaser prices reduced by cumulated fixed capital consumption. </w:t>
      </w: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121463">
      <w:pPr>
        <w:pStyle w:val="Normlnweb"/>
        <w:spacing w:before="0" w:beforeAutospacing="0" w:after="0" w:afterAutospacing="0"/>
        <w:jc w:val="both"/>
        <w:rPr>
          <w:rFonts w:ascii="Arial" w:hAnsi="Arial" w:cs="Arial"/>
          <w:i/>
          <w:iCs/>
          <w:color w:val="auto"/>
          <w:sz w:val="20"/>
          <w:szCs w:val="17"/>
          <w:lang w:val="en-GB"/>
        </w:rPr>
      </w:pPr>
    </w:p>
    <w:p w:rsidR="00121463" w:rsidRPr="00CB5887" w:rsidRDefault="00CD54F6">
      <w:pPr>
        <w:jc w:val="center"/>
        <w:rPr>
          <w:rFonts w:ascii="Arial" w:hAnsi="Arial" w:cs="Arial"/>
          <w:i/>
          <w:iCs/>
          <w:sz w:val="20"/>
          <w:szCs w:val="17"/>
        </w:rPr>
      </w:pPr>
      <w:r w:rsidRPr="00CB5887">
        <w:rPr>
          <w:rFonts w:ascii="Arial" w:hAnsi="Arial" w:cs="Arial"/>
          <w:i/>
          <w:iCs/>
          <w:sz w:val="20"/>
          <w:szCs w:val="17"/>
        </w:rPr>
        <w:t>*          *          *</w:t>
      </w:r>
    </w:p>
    <w:p w:rsidR="00121463" w:rsidRPr="00CB5887" w:rsidRDefault="00121463">
      <w:pPr>
        <w:rPr>
          <w:rFonts w:ascii="Arial" w:hAnsi="Arial" w:cs="Arial"/>
          <w:i/>
          <w:iCs/>
          <w:sz w:val="20"/>
          <w:szCs w:val="17"/>
        </w:rPr>
      </w:pPr>
    </w:p>
    <w:p w:rsidR="00121463" w:rsidRPr="00CB5887" w:rsidRDefault="00121463">
      <w:pPr>
        <w:rPr>
          <w:rFonts w:ascii="Arial" w:hAnsi="Arial" w:cs="Arial"/>
          <w:i/>
          <w:iCs/>
          <w:sz w:val="20"/>
          <w:szCs w:val="17"/>
        </w:rPr>
      </w:pPr>
    </w:p>
    <w:p w:rsidR="00121463" w:rsidRPr="00CB5887" w:rsidRDefault="00CD54F6" w:rsidP="00E55B28">
      <w:pPr>
        <w:pStyle w:val="Zkladntext"/>
        <w:ind w:firstLine="709"/>
        <w:jc w:val="both"/>
        <w:rPr>
          <w:rFonts w:ascii="Arial" w:hAnsi="Arial" w:cs="Arial"/>
          <w:sz w:val="20"/>
          <w:lang w:val="en-GB"/>
        </w:rPr>
      </w:pPr>
      <w:r w:rsidRPr="00CB5887">
        <w:rPr>
          <w:rFonts w:ascii="Arial" w:hAnsi="Arial" w:cs="Arial"/>
          <w:sz w:val="20"/>
          <w:lang w:val="en-GB"/>
        </w:rPr>
        <w:t>Further data on annual and quarterly national accounts can be found on the web</w:t>
      </w:r>
      <w:r w:rsidR="00584157">
        <w:rPr>
          <w:rFonts w:ascii="Arial" w:hAnsi="Arial" w:cs="Arial"/>
          <w:sz w:val="20"/>
          <w:lang w:val="en-GB"/>
        </w:rPr>
        <w:t>site</w:t>
      </w:r>
      <w:r w:rsidRPr="00CB5887">
        <w:rPr>
          <w:rFonts w:ascii="Arial" w:hAnsi="Arial" w:cs="Arial"/>
          <w:sz w:val="20"/>
          <w:lang w:val="en-GB"/>
        </w:rPr>
        <w:t xml:space="preserve"> of the Czech Statistical Office at:</w:t>
      </w:r>
    </w:p>
    <w:p w:rsidR="00F02C48" w:rsidRPr="00C854A6" w:rsidRDefault="00CD54F6" w:rsidP="0085315E">
      <w:pPr>
        <w:pStyle w:val="Zkladntext"/>
        <w:spacing w:before="120"/>
        <w:jc w:val="both"/>
        <w:rPr>
          <w:rFonts w:ascii="Arial" w:hAnsi="Arial" w:cs="Arial"/>
          <w:i w:val="0"/>
          <w:sz w:val="20"/>
          <w:szCs w:val="20"/>
        </w:rPr>
      </w:pPr>
      <w:r w:rsidRPr="00C854A6">
        <w:rPr>
          <w:rFonts w:ascii="Arial" w:hAnsi="Arial" w:cs="Arial"/>
          <w:i w:val="0"/>
          <w:iCs w:val="0"/>
          <w:sz w:val="20"/>
          <w:szCs w:val="20"/>
          <w:lang w:val="en-GB"/>
        </w:rPr>
        <w:t>–</w:t>
      </w:r>
      <w:r w:rsidR="00032B0E" w:rsidRPr="00C854A6">
        <w:rPr>
          <w:rFonts w:ascii="Arial" w:hAnsi="Arial" w:cs="Arial"/>
          <w:i w:val="0"/>
          <w:iCs w:val="0"/>
          <w:sz w:val="20"/>
          <w:szCs w:val="20"/>
          <w:lang w:val="en-GB"/>
        </w:rPr>
        <w:t> </w:t>
      </w:r>
      <w:hyperlink r:id="rId9" w:history="1">
        <w:r w:rsidR="00A55C49" w:rsidRPr="00C854A6">
          <w:rPr>
            <w:rStyle w:val="Hypertextovodkaz"/>
            <w:rFonts w:ascii="Arial" w:hAnsi="Arial" w:cs="Arial"/>
            <w:i w:val="0"/>
            <w:sz w:val="20"/>
            <w:szCs w:val="20"/>
          </w:rPr>
          <w:t>www.czso.cz/csu/czso/gdp_nati</w:t>
        </w:r>
        <w:r w:rsidR="00A55C49" w:rsidRPr="00C854A6">
          <w:rPr>
            <w:rStyle w:val="Hypertextovodkaz"/>
            <w:rFonts w:ascii="Arial" w:hAnsi="Arial" w:cs="Arial"/>
            <w:i w:val="0"/>
            <w:sz w:val="20"/>
            <w:szCs w:val="20"/>
          </w:rPr>
          <w:t>o</w:t>
        </w:r>
        <w:r w:rsidR="00A55C49" w:rsidRPr="00C854A6">
          <w:rPr>
            <w:rStyle w:val="Hypertextovodkaz"/>
            <w:rFonts w:ascii="Arial" w:hAnsi="Arial" w:cs="Arial"/>
            <w:i w:val="0"/>
            <w:sz w:val="20"/>
            <w:szCs w:val="20"/>
          </w:rPr>
          <w:t>nal_accounts_ekon</w:t>
        </w:r>
      </w:hyperlink>
      <w:r w:rsidR="00A55C49" w:rsidRPr="00C854A6">
        <w:rPr>
          <w:rFonts w:ascii="Arial" w:hAnsi="Arial" w:cs="Arial"/>
          <w:i w:val="0"/>
          <w:sz w:val="20"/>
          <w:szCs w:val="20"/>
        </w:rPr>
        <w:t xml:space="preserve"> </w:t>
      </w:r>
    </w:p>
    <w:sectPr w:rsidR="00F02C48" w:rsidRPr="00C854A6" w:rsidSect="00397EA8">
      <w:pgSz w:w="11907" w:h="16840"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5DF" w:rsidRDefault="00DE05DF">
      <w:r>
        <w:separator/>
      </w:r>
    </w:p>
  </w:endnote>
  <w:endnote w:type="continuationSeparator" w:id="0">
    <w:p w:rsidR="00DE05DF" w:rsidRDefault="00DE05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5DF" w:rsidRDefault="00DE05DF">
      <w:r>
        <w:separator/>
      </w:r>
    </w:p>
  </w:footnote>
  <w:footnote w:type="continuationSeparator" w:id="0">
    <w:p w:rsidR="00DE05DF" w:rsidRDefault="00DE05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0010E"/>
    <w:multiLevelType w:val="multilevel"/>
    <w:tmpl w:val="3F3AEB90"/>
    <w:lvl w:ilvl="0">
      <w:start w:val="1"/>
      <w:numFmt w:val="decimal"/>
      <w:pStyle w:val="Rnadpis"/>
      <w:lvlText w:val="%1 "/>
      <w:lvlJc w:val="left"/>
      <w:pPr>
        <w:ind w:left="360" w:hanging="360"/>
      </w:pPr>
      <w:rPr>
        <w:rFonts w:hint="default"/>
      </w:rPr>
    </w:lvl>
    <w:lvl w:ilvl="1">
      <w:start w:val="1"/>
      <w:numFmt w:val="decimal"/>
      <w:pStyle w:val="Tabulka"/>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D67F9"/>
    <w:rsid w:val="000003E4"/>
    <w:rsid w:val="0000089A"/>
    <w:rsid w:val="00000999"/>
    <w:rsid w:val="0000152C"/>
    <w:rsid w:val="000038D4"/>
    <w:rsid w:val="00003ADC"/>
    <w:rsid w:val="00011866"/>
    <w:rsid w:val="0001243D"/>
    <w:rsid w:val="0001559B"/>
    <w:rsid w:val="000167D5"/>
    <w:rsid w:val="00017633"/>
    <w:rsid w:val="00020C3B"/>
    <w:rsid w:val="000210D5"/>
    <w:rsid w:val="00023229"/>
    <w:rsid w:val="00023623"/>
    <w:rsid w:val="00024723"/>
    <w:rsid w:val="00024AA3"/>
    <w:rsid w:val="00025315"/>
    <w:rsid w:val="00026522"/>
    <w:rsid w:val="00031526"/>
    <w:rsid w:val="000318C3"/>
    <w:rsid w:val="00032B0E"/>
    <w:rsid w:val="00032CF1"/>
    <w:rsid w:val="00033C87"/>
    <w:rsid w:val="0003463E"/>
    <w:rsid w:val="00034756"/>
    <w:rsid w:val="00034902"/>
    <w:rsid w:val="00037705"/>
    <w:rsid w:val="0003783D"/>
    <w:rsid w:val="00037A03"/>
    <w:rsid w:val="000412F6"/>
    <w:rsid w:val="00042837"/>
    <w:rsid w:val="0004340B"/>
    <w:rsid w:val="0004493D"/>
    <w:rsid w:val="000506FF"/>
    <w:rsid w:val="0005083C"/>
    <w:rsid w:val="00050C19"/>
    <w:rsid w:val="00051E08"/>
    <w:rsid w:val="0005227D"/>
    <w:rsid w:val="000565A9"/>
    <w:rsid w:val="0005665C"/>
    <w:rsid w:val="00056749"/>
    <w:rsid w:val="00056BE9"/>
    <w:rsid w:val="00061309"/>
    <w:rsid w:val="000625B2"/>
    <w:rsid w:val="00062DE0"/>
    <w:rsid w:val="000659BE"/>
    <w:rsid w:val="000669DD"/>
    <w:rsid w:val="00067E11"/>
    <w:rsid w:val="00070242"/>
    <w:rsid w:val="00070808"/>
    <w:rsid w:val="00071FBA"/>
    <w:rsid w:val="00072547"/>
    <w:rsid w:val="00074217"/>
    <w:rsid w:val="0007460D"/>
    <w:rsid w:val="00076268"/>
    <w:rsid w:val="00076B6B"/>
    <w:rsid w:val="000771FB"/>
    <w:rsid w:val="000774F7"/>
    <w:rsid w:val="00082542"/>
    <w:rsid w:val="0008317B"/>
    <w:rsid w:val="000836CB"/>
    <w:rsid w:val="00083907"/>
    <w:rsid w:val="000852B1"/>
    <w:rsid w:val="00087551"/>
    <w:rsid w:val="000876D9"/>
    <w:rsid w:val="00087E2D"/>
    <w:rsid w:val="000903FA"/>
    <w:rsid w:val="00091276"/>
    <w:rsid w:val="00091FCA"/>
    <w:rsid w:val="00092A60"/>
    <w:rsid w:val="00095976"/>
    <w:rsid w:val="00095DCE"/>
    <w:rsid w:val="000A0ADA"/>
    <w:rsid w:val="000A14F5"/>
    <w:rsid w:val="000A2459"/>
    <w:rsid w:val="000A3F69"/>
    <w:rsid w:val="000A614E"/>
    <w:rsid w:val="000A7A28"/>
    <w:rsid w:val="000A7B4E"/>
    <w:rsid w:val="000B01E0"/>
    <w:rsid w:val="000B0421"/>
    <w:rsid w:val="000B139C"/>
    <w:rsid w:val="000B2277"/>
    <w:rsid w:val="000B36D5"/>
    <w:rsid w:val="000B4B86"/>
    <w:rsid w:val="000B58A3"/>
    <w:rsid w:val="000C2345"/>
    <w:rsid w:val="000C272B"/>
    <w:rsid w:val="000C4300"/>
    <w:rsid w:val="000C5340"/>
    <w:rsid w:val="000C53E0"/>
    <w:rsid w:val="000C541A"/>
    <w:rsid w:val="000C6399"/>
    <w:rsid w:val="000C7B6F"/>
    <w:rsid w:val="000D0EE1"/>
    <w:rsid w:val="000D1E11"/>
    <w:rsid w:val="000D2971"/>
    <w:rsid w:val="000D2F8F"/>
    <w:rsid w:val="000D3F59"/>
    <w:rsid w:val="000D44FD"/>
    <w:rsid w:val="000D562E"/>
    <w:rsid w:val="000D5F29"/>
    <w:rsid w:val="000D605C"/>
    <w:rsid w:val="000D67F9"/>
    <w:rsid w:val="000D680D"/>
    <w:rsid w:val="000D7C08"/>
    <w:rsid w:val="000D7D19"/>
    <w:rsid w:val="000D7F02"/>
    <w:rsid w:val="000E0EFF"/>
    <w:rsid w:val="000E2EA1"/>
    <w:rsid w:val="000E336A"/>
    <w:rsid w:val="000E5290"/>
    <w:rsid w:val="000E536E"/>
    <w:rsid w:val="000F0318"/>
    <w:rsid w:val="000F077D"/>
    <w:rsid w:val="000F2312"/>
    <w:rsid w:val="000F5910"/>
    <w:rsid w:val="000F64EF"/>
    <w:rsid w:val="0010049E"/>
    <w:rsid w:val="00100C78"/>
    <w:rsid w:val="00101EA3"/>
    <w:rsid w:val="0010267B"/>
    <w:rsid w:val="00102944"/>
    <w:rsid w:val="00103490"/>
    <w:rsid w:val="00104999"/>
    <w:rsid w:val="00106415"/>
    <w:rsid w:val="001119DC"/>
    <w:rsid w:val="0011401D"/>
    <w:rsid w:val="001161BA"/>
    <w:rsid w:val="00121463"/>
    <w:rsid w:val="0012155A"/>
    <w:rsid w:val="001215AF"/>
    <w:rsid w:val="001215B1"/>
    <w:rsid w:val="00121EFA"/>
    <w:rsid w:val="00123C7B"/>
    <w:rsid w:val="00123D2A"/>
    <w:rsid w:val="00124252"/>
    <w:rsid w:val="001260DF"/>
    <w:rsid w:val="00130157"/>
    <w:rsid w:val="00132B0B"/>
    <w:rsid w:val="00133655"/>
    <w:rsid w:val="00133C1F"/>
    <w:rsid w:val="00134326"/>
    <w:rsid w:val="00134FDF"/>
    <w:rsid w:val="0013549F"/>
    <w:rsid w:val="00136798"/>
    <w:rsid w:val="001408E8"/>
    <w:rsid w:val="00140B32"/>
    <w:rsid w:val="00140DC9"/>
    <w:rsid w:val="0014195D"/>
    <w:rsid w:val="001432AA"/>
    <w:rsid w:val="00143D5E"/>
    <w:rsid w:val="00146AB6"/>
    <w:rsid w:val="00155173"/>
    <w:rsid w:val="00157141"/>
    <w:rsid w:val="00157834"/>
    <w:rsid w:val="00162CB3"/>
    <w:rsid w:val="00163997"/>
    <w:rsid w:val="0016508C"/>
    <w:rsid w:val="00165F7F"/>
    <w:rsid w:val="001671C1"/>
    <w:rsid w:val="001708B0"/>
    <w:rsid w:val="00172B42"/>
    <w:rsid w:val="00173429"/>
    <w:rsid w:val="00174645"/>
    <w:rsid w:val="001755D4"/>
    <w:rsid w:val="00176CDE"/>
    <w:rsid w:val="00177FDF"/>
    <w:rsid w:val="001801DB"/>
    <w:rsid w:val="001802BD"/>
    <w:rsid w:val="00180A88"/>
    <w:rsid w:val="00181BB7"/>
    <w:rsid w:val="00181FB7"/>
    <w:rsid w:val="001820E3"/>
    <w:rsid w:val="00182FC1"/>
    <w:rsid w:val="00183625"/>
    <w:rsid w:val="0018472A"/>
    <w:rsid w:val="0018687E"/>
    <w:rsid w:val="0019054E"/>
    <w:rsid w:val="00192B24"/>
    <w:rsid w:val="001940C4"/>
    <w:rsid w:val="001941BF"/>
    <w:rsid w:val="00195C86"/>
    <w:rsid w:val="001963D8"/>
    <w:rsid w:val="00196904"/>
    <w:rsid w:val="00197BCE"/>
    <w:rsid w:val="001A0B2E"/>
    <w:rsid w:val="001A2387"/>
    <w:rsid w:val="001A2A86"/>
    <w:rsid w:val="001A313E"/>
    <w:rsid w:val="001A5777"/>
    <w:rsid w:val="001B1D2A"/>
    <w:rsid w:val="001B2C6B"/>
    <w:rsid w:val="001B2E3A"/>
    <w:rsid w:val="001B4A37"/>
    <w:rsid w:val="001B53C4"/>
    <w:rsid w:val="001B5C6D"/>
    <w:rsid w:val="001B688F"/>
    <w:rsid w:val="001C067D"/>
    <w:rsid w:val="001C0D3C"/>
    <w:rsid w:val="001C206F"/>
    <w:rsid w:val="001C2C8F"/>
    <w:rsid w:val="001C2FA5"/>
    <w:rsid w:val="001C433D"/>
    <w:rsid w:val="001C4683"/>
    <w:rsid w:val="001C66F9"/>
    <w:rsid w:val="001D2C66"/>
    <w:rsid w:val="001D30BD"/>
    <w:rsid w:val="001D5270"/>
    <w:rsid w:val="001D5960"/>
    <w:rsid w:val="001D6F3E"/>
    <w:rsid w:val="001E02FF"/>
    <w:rsid w:val="001E0B25"/>
    <w:rsid w:val="001E11B5"/>
    <w:rsid w:val="001E2633"/>
    <w:rsid w:val="001E33E6"/>
    <w:rsid w:val="001E3439"/>
    <w:rsid w:val="001E588D"/>
    <w:rsid w:val="001E6542"/>
    <w:rsid w:val="001E67FD"/>
    <w:rsid w:val="001E7DEE"/>
    <w:rsid w:val="001F240D"/>
    <w:rsid w:val="001F26EB"/>
    <w:rsid w:val="001F4EA1"/>
    <w:rsid w:val="001F5A69"/>
    <w:rsid w:val="001F6477"/>
    <w:rsid w:val="001F677F"/>
    <w:rsid w:val="001F67F4"/>
    <w:rsid w:val="001F6822"/>
    <w:rsid w:val="0020150E"/>
    <w:rsid w:val="00201F8A"/>
    <w:rsid w:val="00202D20"/>
    <w:rsid w:val="00203829"/>
    <w:rsid w:val="0020561B"/>
    <w:rsid w:val="00205DF0"/>
    <w:rsid w:val="00206020"/>
    <w:rsid w:val="0020767F"/>
    <w:rsid w:val="0020788F"/>
    <w:rsid w:val="002079C2"/>
    <w:rsid w:val="00207CE1"/>
    <w:rsid w:val="00210BC6"/>
    <w:rsid w:val="00210F07"/>
    <w:rsid w:val="00211054"/>
    <w:rsid w:val="00212272"/>
    <w:rsid w:val="0021237C"/>
    <w:rsid w:val="00213C70"/>
    <w:rsid w:val="00215F47"/>
    <w:rsid w:val="0021615D"/>
    <w:rsid w:val="002165AC"/>
    <w:rsid w:val="00216F05"/>
    <w:rsid w:val="002201C4"/>
    <w:rsid w:val="00220BF1"/>
    <w:rsid w:val="00220F89"/>
    <w:rsid w:val="0022133E"/>
    <w:rsid w:val="002230A5"/>
    <w:rsid w:val="00223A98"/>
    <w:rsid w:val="0023016A"/>
    <w:rsid w:val="0023048C"/>
    <w:rsid w:val="00230F24"/>
    <w:rsid w:val="00230F6B"/>
    <w:rsid w:val="00231525"/>
    <w:rsid w:val="002322D3"/>
    <w:rsid w:val="0023263C"/>
    <w:rsid w:val="00235F93"/>
    <w:rsid w:val="00241EE1"/>
    <w:rsid w:val="002420CD"/>
    <w:rsid w:val="00246761"/>
    <w:rsid w:val="002478B9"/>
    <w:rsid w:val="0025057F"/>
    <w:rsid w:val="00250732"/>
    <w:rsid w:val="00250790"/>
    <w:rsid w:val="00250A61"/>
    <w:rsid w:val="00251F1E"/>
    <w:rsid w:val="002549DF"/>
    <w:rsid w:val="00254ADA"/>
    <w:rsid w:val="00256754"/>
    <w:rsid w:val="00257CFC"/>
    <w:rsid w:val="002602EB"/>
    <w:rsid w:val="00260642"/>
    <w:rsid w:val="00261C6F"/>
    <w:rsid w:val="00262486"/>
    <w:rsid w:val="002624C1"/>
    <w:rsid w:val="00262C0C"/>
    <w:rsid w:val="00262E9F"/>
    <w:rsid w:val="0026386A"/>
    <w:rsid w:val="002641C3"/>
    <w:rsid w:val="00267092"/>
    <w:rsid w:val="002703E9"/>
    <w:rsid w:val="00270595"/>
    <w:rsid w:val="0027136A"/>
    <w:rsid w:val="00272A6E"/>
    <w:rsid w:val="00272AD0"/>
    <w:rsid w:val="00274A67"/>
    <w:rsid w:val="00274EFF"/>
    <w:rsid w:val="00274FC6"/>
    <w:rsid w:val="00275821"/>
    <w:rsid w:val="00276CB8"/>
    <w:rsid w:val="002771FF"/>
    <w:rsid w:val="00277E58"/>
    <w:rsid w:val="00280712"/>
    <w:rsid w:val="00281A7D"/>
    <w:rsid w:val="00282530"/>
    <w:rsid w:val="0028357C"/>
    <w:rsid w:val="00284B8F"/>
    <w:rsid w:val="00286AE8"/>
    <w:rsid w:val="00286E58"/>
    <w:rsid w:val="00287808"/>
    <w:rsid w:val="00291FE0"/>
    <w:rsid w:val="00292139"/>
    <w:rsid w:val="00293DEA"/>
    <w:rsid w:val="00293E1D"/>
    <w:rsid w:val="00294EF2"/>
    <w:rsid w:val="0029526C"/>
    <w:rsid w:val="00295A07"/>
    <w:rsid w:val="0029679C"/>
    <w:rsid w:val="002A1574"/>
    <w:rsid w:val="002A1A66"/>
    <w:rsid w:val="002A1C78"/>
    <w:rsid w:val="002A20B0"/>
    <w:rsid w:val="002A3622"/>
    <w:rsid w:val="002A778E"/>
    <w:rsid w:val="002A78FE"/>
    <w:rsid w:val="002B0293"/>
    <w:rsid w:val="002B2280"/>
    <w:rsid w:val="002B39C1"/>
    <w:rsid w:val="002B3C54"/>
    <w:rsid w:val="002B452A"/>
    <w:rsid w:val="002B4D67"/>
    <w:rsid w:val="002B4E63"/>
    <w:rsid w:val="002B547E"/>
    <w:rsid w:val="002B5ADC"/>
    <w:rsid w:val="002B5E9E"/>
    <w:rsid w:val="002B6834"/>
    <w:rsid w:val="002C04F1"/>
    <w:rsid w:val="002C0B74"/>
    <w:rsid w:val="002C147F"/>
    <w:rsid w:val="002C1554"/>
    <w:rsid w:val="002C239A"/>
    <w:rsid w:val="002C272B"/>
    <w:rsid w:val="002C281B"/>
    <w:rsid w:val="002C319F"/>
    <w:rsid w:val="002C397A"/>
    <w:rsid w:val="002C39B5"/>
    <w:rsid w:val="002C4DF5"/>
    <w:rsid w:val="002C5035"/>
    <w:rsid w:val="002C6A00"/>
    <w:rsid w:val="002C6BC0"/>
    <w:rsid w:val="002C722E"/>
    <w:rsid w:val="002C7D17"/>
    <w:rsid w:val="002D160C"/>
    <w:rsid w:val="002D2415"/>
    <w:rsid w:val="002D530E"/>
    <w:rsid w:val="002D67B0"/>
    <w:rsid w:val="002D691A"/>
    <w:rsid w:val="002D705D"/>
    <w:rsid w:val="002E1AA0"/>
    <w:rsid w:val="002E2A1D"/>
    <w:rsid w:val="002E3552"/>
    <w:rsid w:val="002E5AB9"/>
    <w:rsid w:val="002E6F6F"/>
    <w:rsid w:val="002E7DF8"/>
    <w:rsid w:val="002F090E"/>
    <w:rsid w:val="002F1D8E"/>
    <w:rsid w:val="002F3207"/>
    <w:rsid w:val="002F4EAF"/>
    <w:rsid w:val="002F568A"/>
    <w:rsid w:val="0030014E"/>
    <w:rsid w:val="003014D1"/>
    <w:rsid w:val="00301DE9"/>
    <w:rsid w:val="003029E0"/>
    <w:rsid w:val="0030439A"/>
    <w:rsid w:val="00305C44"/>
    <w:rsid w:val="00306F37"/>
    <w:rsid w:val="00311408"/>
    <w:rsid w:val="0031166B"/>
    <w:rsid w:val="00313B9C"/>
    <w:rsid w:val="00313E5F"/>
    <w:rsid w:val="00314056"/>
    <w:rsid w:val="003143C7"/>
    <w:rsid w:val="00315F66"/>
    <w:rsid w:val="00321211"/>
    <w:rsid w:val="003212DA"/>
    <w:rsid w:val="0032320B"/>
    <w:rsid w:val="00324062"/>
    <w:rsid w:val="00324B95"/>
    <w:rsid w:val="0032597A"/>
    <w:rsid w:val="00325BC0"/>
    <w:rsid w:val="00325E7D"/>
    <w:rsid w:val="00326E58"/>
    <w:rsid w:val="00332090"/>
    <w:rsid w:val="00332D15"/>
    <w:rsid w:val="00333E59"/>
    <w:rsid w:val="003349E0"/>
    <w:rsid w:val="0033580A"/>
    <w:rsid w:val="00335B6E"/>
    <w:rsid w:val="00340229"/>
    <w:rsid w:val="00341521"/>
    <w:rsid w:val="00342CFF"/>
    <w:rsid w:val="00342EC8"/>
    <w:rsid w:val="0034395F"/>
    <w:rsid w:val="00344C55"/>
    <w:rsid w:val="00346121"/>
    <w:rsid w:val="00346227"/>
    <w:rsid w:val="003466EC"/>
    <w:rsid w:val="00346B93"/>
    <w:rsid w:val="00347478"/>
    <w:rsid w:val="00351459"/>
    <w:rsid w:val="00351FF2"/>
    <w:rsid w:val="00352FF6"/>
    <w:rsid w:val="00354917"/>
    <w:rsid w:val="00356028"/>
    <w:rsid w:val="00356728"/>
    <w:rsid w:val="00357B82"/>
    <w:rsid w:val="00357CAD"/>
    <w:rsid w:val="00364004"/>
    <w:rsid w:val="00367B39"/>
    <w:rsid w:val="003704FA"/>
    <w:rsid w:val="00371507"/>
    <w:rsid w:val="0037251D"/>
    <w:rsid w:val="00374A53"/>
    <w:rsid w:val="00376B4A"/>
    <w:rsid w:val="003802A9"/>
    <w:rsid w:val="003837C7"/>
    <w:rsid w:val="0038459A"/>
    <w:rsid w:val="00384DF9"/>
    <w:rsid w:val="003858E6"/>
    <w:rsid w:val="00386E5E"/>
    <w:rsid w:val="00386E69"/>
    <w:rsid w:val="00392D4D"/>
    <w:rsid w:val="00393393"/>
    <w:rsid w:val="00394AB3"/>
    <w:rsid w:val="003972F4"/>
    <w:rsid w:val="00397EA8"/>
    <w:rsid w:val="003A03D7"/>
    <w:rsid w:val="003A18CD"/>
    <w:rsid w:val="003A1BA2"/>
    <w:rsid w:val="003A3FA0"/>
    <w:rsid w:val="003A5341"/>
    <w:rsid w:val="003A6125"/>
    <w:rsid w:val="003A792A"/>
    <w:rsid w:val="003B0BBF"/>
    <w:rsid w:val="003B0CF6"/>
    <w:rsid w:val="003B3D1C"/>
    <w:rsid w:val="003B720F"/>
    <w:rsid w:val="003B74E9"/>
    <w:rsid w:val="003B778E"/>
    <w:rsid w:val="003C0237"/>
    <w:rsid w:val="003C046D"/>
    <w:rsid w:val="003C0E4E"/>
    <w:rsid w:val="003C0EA9"/>
    <w:rsid w:val="003C29ED"/>
    <w:rsid w:val="003C3ABD"/>
    <w:rsid w:val="003C64D7"/>
    <w:rsid w:val="003D24CE"/>
    <w:rsid w:val="003D2543"/>
    <w:rsid w:val="003D3164"/>
    <w:rsid w:val="003D3C37"/>
    <w:rsid w:val="003D490B"/>
    <w:rsid w:val="003D6BB8"/>
    <w:rsid w:val="003E2C16"/>
    <w:rsid w:val="003E2DBC"/>
    <w:rsid w:val="003E5913"/>
    <w:rsid w:val="003E61A4"/>
    <w:rsid w:val="003F1221"/>
    <w:rsid w:val="003F412D"/>
    <w:rsid w:val="004005DA"/>
    <w:rsid w:val="004006A2"/>
    <w:rsid w:val="00401F9C"/>
    <w:rsid w:val="0040381E"/>
    <w:rsid w:val="00406D04"/>
    <w:rsid w:val="004105D5"/>
    <w:rsid w:val="0041133F"/>
    <w:rsid w:val="00412568"/>
    <w:rsid w:val="00412AA0"/>
    <w:rsid w:val="004134D4"/>
    <w:rsid w:val="00413650"/>
    <w:rsid w:val="00413987"/>
    <w:rsid w:val="00413A4E"/>
    <w:rsid w:val="004158A7"/>
    <w:rsid w:val="00415A4E"/>
    <w:rsid w:val="00415E54"/>
    <w:rsid w:val="00417492"/>
    <w:rsid w:val="0042002A"/>
    <w:rsid w:val="004203D8"/>
    <w:rsid w:val="004205F1"/>
    <w:rsid w:val="00420753"/>
    <w:rsid w:val="00421612"/>
    <w:rsid w:val="00421A9B"/>
    <w:rsid w:val="00422D79"/>
    <w:rsid w:val="00423C19"/>
    <w:rsid w:val="004269E6"/>
    <w:rsid w:val="00430BFE"/>
    <w:rsid w:val="00430FBF"/>
    <w:rsid w:val="00431557"/>
    <w:rsid w:val="00431588"/>
    <w:rsid w:val="004330D8"/>
    <w:rsid w:val="00433107"/>
    <w:rsid w:val="00433269"/>
    <w:rsid w:val="00435425"/>
    <w:rsid w:val="0043632C"/>
    <w:rsid w:val="0043734F"/>
    <w:rsid w:val="004403D9"/>
    <w:rsid w:val="00442660"/>
    <w:rsid w:val="00444B46"/>
    <w:rsid w:val="00445396"/>
    <w:rsid w:val="00446CCF"/>
    <w:rsid w:val="004475EA"/>
    <w:rsid w:val="004477F5"/>
    <w:rsid w:val="00447A98"/>
    <w:rsid w:val="00450019"/>
    <w:rsid w:val="0045164F"/>
    <w:rsid w:val="00451EF3"/>
    <w:rsid w:val="00455364"/>
    <w:rsid w:val="00455B6D"/>
    <w:rsid w:val="00460556"/>
    <w:rsid w:val="00460876"/>
    <w:rsid w:val="0046108A"/>
    <w:rsid w:val="004615D8"/>
    <w:rsid w:val="00463FBA"/>
    <w:rsid w:val="00464A1F"/>
    <w:rsid w:val="00464A2A"/>
    <w:rsid w:val="004650DA"/>
    <w:rsid w:val="0046574C"/>
    <w:rsid w:val="00466939"/>
    <w:rsid w:val="00467448"/>
    <w:rsid w:val="00470E34"/>
    <w:rsid w:val="004712FE"/>
    <w:rsid w:val="0047298E"/>
    <w:rsid w:val="00472E69"/>
    <w:rsid w:val="004738B2"/>
    <w:rsid w:val="00473BD1"/>
    <w:rsid w:val="00473F59"/>
    <w:rsid w:val="004743E5"/>
    <w:rsid w:val="00475743"/>
    <w:rsid w:val="0048007B"/>
    <w:rsid w:val="004801D7"/>
    <w:rsid w:val="00483968"/>
    <w:rsid w:val="00483E39"/>
    <w:rsid w:val="004847BC"/>
    <w:rsid w:val="00485145"/>
    <w:rsid w:val="004856C4"/>
    <w:rsid w:val="00486D65"/>
    <w:rsid w:val="004872E2"/>
    <w:rsid w:val="00487BC1"/>
    <w:rsid w:val="00487BD8"/>
    <w:rsid w:val="0049103F"/>
    <w:rsid w:val="00491CA0"/>
    <w:rsid w:val="00493DB4"/>
    <w:rsid w:val="00496CB5"/>
    <w:rsid w:val="00497BBA"/>
    <w:rsid w:val="004A0A3B"/>
    <w:rsid w:val="004A0F44"/>
    <w:rsid w:val="004A203A"/>
    <w:rsid w:val="004A344D"/>
    <w:rsid w:val="004A50E8"/>
    <w:rsid w:val="004A7A36"/>
    <w:rsid w:val="004B0F2B"/>
    <w:rsid w:val="004B154E"/>
    <w:rsid w:val="004B234D"/>
    <w:rsid w:val="004B2C0C"/>
    <w:rsid w:val="004B449A"/>
    <w:rsid w:val="004B4517"/>
    <w:rsid w:val="004B60E3"/>
    <w:rsid w:val="004B6ABA"/>
    <w:rsid w:val="004C1A10"/>
    <w:rsid w:val="004C1A9B"/>
    <w:rsid w:val="004C2741"/>
    <w:rsid w:val="004C2A18"/>
    <w:rsid w:val="004C5B14"/>
    <w:rsid w:val="004D00F1"/>
    <w:rsid w:val="004D034B"/>
    <w:rsid w:val="004D1140"/>
    <w:rsid w:val="004D19E5"/>
    <w:rsid w:val="004D2A6F"/>
    <w:rsid w:val="004D2B96"/>
    <w:rsid w:val="004D48F3"/>
    <w:rsid w:val="004D6FF7"/>
    <w:rsid w:val="004E09AE"/>
    <w:rsid w:val="004E1D0E"/>
    <w:rsid w:val="004E43AB"/>
    <w:rsid w:val="004E60B7"/>
    <w:rsid w:val="004E6899"/>
    <w:rsid w:val="004E6ADC"/>
    <w:rsid w:val="004F2312"/>
    <w:rsid w:val="004F55F6"/>
    <w:rsid w:val="004F75E1"/>
    <w:rsid w:val="005006FC"/>
    <w:rsid w:val="00502954"/>
    <w:rsid w:val="00503C76"/>
    <w:rsid w:val="00504014"/>
    <w:rsid w:val="0050401D"/>
    <w:rsid w:val="0050482D"/>
    <w:rsid w:val="00504FA0"/>
    <w:rsid w:val="00505A23"/>
    <w:rsid w:val="00507B07"/>
    <w:rsid w:val="005101F3"/>
    <w:rsid w:val="005108B7"/>
    <w:rsid w:val="00510C49"/>
    <w:rsid w:val="00511DF1"/>
    <w:rsid w:val="005144B4"/>
    <w:rsid w:val="005159B5"/>
    <w:rsid w:val="00517436"/>
    <w:rsid w:val="00521609"/>
    <w:rsid w:val="00521D51"/>
    <w:rsid w:val="005232A8"/>
    <w:rsid w:val="00523A85"/>
    <w:rsid w:val="00524FF1"/>
    <w:rsid w:val="00525C97"/>
    <w:rsid w:val="005260D8"/>
    <w:rsid w:val="00532E96"/>
    <w:rsid w:val="00533EF6"/>
    <w:rsid w:val="00535146"/>
    <w:rsid w:val="00536357"/>
    <w:rsid w:val="005405F9"/>
    <w:rsid w:val="00540CA5"/>
    <w:rsid w:val="00541483"/>
    <w:rsid w:val="00541B54"/>
    <w:rsid w:val="00542FDE"/>
    <w:rsid w:val="00544BC7"/>
    <w:rsid w:val="00545083"/>
    <w:rsid w:val="00545546"/>
    <w:rsid w:val="00545C6D"/>
    <w:rsid w:val="0055219F"/>
    <w:rsid w:val="005525E7"/>
    <w:rsid w:val="005530B0"/>
    <w:rsid w:val="005537B9"/>
    <w:rsid w:val="005539A6"/>
    <w:rsid w:val="0055559C"/>
    <w:rsid w:val="0055588D"/>
    <w:rsid w:val="00556B4B"/>
    <w:rsid w:val="005607F4"/>
    <w:rsid w:val="00561DEA"/>
    <w:rsid w:val="005624A9"/>
    <w:rsid w:val="00562A2C"/>
    <w:rsid w:val="0056361E"/>
    <w:rsid w:val="00563795"/>
    <w:rsid w:val="00563FCD"/>
    <w:rsid w:val="0056463D"/>
    <w:rsid w:val="00570022"/>
    <w:rsid w:val="00572180"/>
    <w:rsid w:val="00573E4F"/>
    <w:rsid w:val="005761AB"/>
    <w:rsid w:val="00577290"/>
    <w:rsid w:val="00577BCF"/>
    <w:rsid w:val="00577BD3"/>
    <w:rsid w:val="005802EF"/>
    <w:rsid w:val="005808B4"/>
    <w:rsid w:val="00581C0F"/>
    <w:rsid w:val="0058262F"/>
    <w:rsid w:val="00584157"/>
    <w:rsid w:val="005854E5"/>
    <w:rsid w:val="00585F47"/>
    <w:rsid w:val="00591716"/>
    <w:rsid w:val="00591F29"/>
    <w:rsid w:val="0059220E"/>
    <w:rsid w:val="00593027"/>
    <w:rsid w:val="0059357D"/>
    <w:rsid w:val="00593755"/>
    <w:rsid w:val="00593EC8"/>
    <w:rsid w:val="005A2009"/>
    <w:rsid w:val="005A2548"/>
    <w:rsid w:val="005A43AB"/>
    <w:rsid w:val="005A4A4A"/>
    <w:rsid w:val="005A602B"/>
    <w:rsid w:val="005A6C1D"/>
    <w:rsid w:val="005A6C7B"/>
    <w:rsid w:val="005B032E"/>
    <w:rsid w:val="005B18E4"/>
    <w:rsid w:val="005B28E6"/>
    <w:rsid w:val="005B3C22"/>
    <w:rsid w:val="005B461E"/>
    <w:rsid w:val="005B4718"/>
    <w:rsid w:val="005B4C3D"/>
    <w:rsid w:val="005B4CBA"/>
    <w:rsid w:val="005B698C"/>
    <w:rsid w:val="005C09F6"/>
    <w:rsid w:val="005C4D21"/>
    <w:rsid w:val="005C5A26"/>
    <w:rsid w:val="005C6B6C"/>
    <w:rsid w:val="005D12C0"/>
    <w:rsid w:val="005D1FAB"/>
    <w:rsid w:val="005D27B1"/>
    <w:rsid w:val="005D2B64"/>
    <w:rsid w:val="005D48BD"/>
    <w:rsid w:val="005D501B"/>
    <w:rsid w:val="005D5104"/>
    <w:rsid w:val="005D5C41"/>
    <w:rsid w:val="005D7BD5"/>
    <w:rsid w:val="005E10FD"/>
    <w:rsid w:val="005E5164"/>
    <w:rsid w:val="005E6121"/>
    <w:rsid w:val="005E6ED3"/>
    <w:rsid w:val="005F084D"/>
    <w:rsid w:val="005F0B12"/>
    <w:rsid w:val="005F311C"/>
    <w:rsid w:val="005F395E"/>
    <w:rsid w:val="005F4687"/>
    <w:rsid w:val="005F4892"/>
    <w:rsid w:val="005F4C50"/>
    <w:rsid w:val="005F6D48"/>
    <w:rsid w:val="005F6F75"/>
    <w:rsid w:val="005F7A0A"/>
    <w:rsid w:val="005F7C65"/>
    <w:rsid w:val="006006AC"/>
    <w:rsid w:val="00601443"/>
    <w:rsid w:val="006015D4"/>
    <w:rsid w:val="0060163A"/>
    <w:rsid w:val="006026CC"/>
    <w:rsid w:val="00603128"/>
    <w:rsid w:val="006032F9"/>
    <w:rsid w:val="00615077"/>
    <w:rsid w:val="00615210"/>
    <w:rsid w:val="0061546B"/>
    <w:rsid w:val="00615E1E"/>
    <w:rsid w:val="006200E1"/>
    <w:rsid w:val="00620AE4"/>
    <w:rsid w:val="006212F7"/>
    <w:rsid w:val="0062173C"/>
    <w:rsid w:val="00623B74"/>
    <w:rsid w:val="006246A7"/>
    <w:rsid w:val="00627844"/>
    <w:rsid w:val="006348A1"/>
    <w:rsid w:val="00635BA1"/>
    <w:rsid w:val="00636BDB"/>
    <w:rsid w:val="006411C0"/>
    <w:rsid w:val="00642CFF"/>
    <w:rsid w:val="00642D8C"/>
    <w:rsid w:val="00644190"/>
    <w:rsid w:val="00645522"/>
    <w:rsid w:val="00646AE4"/>
    <w:rsid w:val="00647CEA"/>
    <w:rsid w:val="006515CB"/>
    <w:rsid w:val="00651ADF"/>
    <w:rsid w:val="00651D63"/>
    <w:rsid w:val="00651F26"/>
    <w:rsid w:val="00652A63"/>
    <w:rsid w:val="00653421"/>
    <w:rsid w:val="006539E1"/>
    <w:rsid w:val="00653B66"/>
    <w:rsid w:val="00654808"/>
    <w:rsid w:val="00655D68"/>
    <w:rsid w:val="00655ED7"/>
    <w:rsid w:val="006560D2"/>
    <w:rsid w:val="00656788"/>
    <w:rsid w:val="00657044"/>
    <w:rsid w:val="00661220"/>
    <w:rsid w:val="006615AC"/>
    <w:rsid w:val="00662904"/>
    <w:rsid w:val="00663CC8"/>
    <w:rsid w:val="00664F8F"/>
    <w:rsid w:val="00665C90"/>
    <w:rsid w:val="00670383"/>
    <w:rsid w:val="00671731"/>
    <w:rsid w:val="0067180D"/>
    <w:rsid w:val="00674473"/>
    <w:rsid w:val="00674FF7"/>
    <w:rsid w:val="00676040"/>
    <w:rsid w:val="00676577"/>
    <w:rsid w:val="00676983"/>
    <w:rsid w:val="00676F53"/>
    <w:rsid w:val="006777D5"/>
    <w:rsid w:val="00677954"/>
    <w:rsid w:val="00677B04"/>
    <w:rsid w:val="00683214"/>
    <w:rsid w:val="00685BED"/>
    <w:rsid w:val="0068605A"/>
    <w:rsid w:val="00690D19"/>
    <w:rsid w:val="00691129"/>
    <w:rsid w:val="006918C5"/>
    <w:rsid w:val="00692065"/>
    <w:rsid w:val="00693B5A"/>
    <w:rsid w:val="00695109"/>
    <w:rsid w:val="0069662E"/>
    <w:rsid w:val="00696CB8"/>
    <w:rsid w:val="00697A4A"/>
    <w:rsid w:val="006A0BA6"/>
    <w:rsid w:val="006A160B"/>
    <w:rsid w:val="006A2E00"/>
    <w:rsid w:val="006A2F44"/>
    <w:rsid w:val="006A3EBF"/>
    <w:rsid w:val="006A489E"/>
    <w:rsid w:val="006A5502"/>
    <w:rsid w:val="006A5A8D"/>
    <w:rsid w:val="006A6A4E"/>
    <w:rsid w:val="006A7208"/>
    <w:rsid w:val="006B13BA"/>
    <w:rsid w:val="006B3BB2"/>
    <w:rsid w:val="006B3C26"/>
    <w:rsid w:val="006B4125"/>
    <w:rsid w:val="006B4F80"/>
    <w:rsid w:val="006B5EDA"/>
    <w:rsid w:val="006B7063"/>
    <w:rsid w:val="006B790F"/>
    <w:rsid w:val="006B7A7E"/>
    <w:rsid w:val="006C0725"/>
    <w:rsid w:val="006C18D2"/>
    <w:rsid w:val="006C1993"/>
    <w:rsid w:val="006C1E4C"/>
    <w:rsid w:val="006C4359"/>
    <w:rsid w:val="006C4BFD"/>
    <w:rsid w:val="006C52B5"/>
    <w:rsid w:val="006C61F0"/>
    <w:rsid w:val="006D11B2"/>
    <w:rsid w:val="006D23C1"/>
    <w:rsid w:val="006D2445"/>
    <w:rsid w:val="006D2986"/>
    <w:rsid w:val="006D38FB"/>
    <w:rsid w:val="006D475F"/>
    <w:rsid w:val="006D4ED7"/>
    <w:rsid w:val="006D4EF5"/>
    <w:rsid w:val="006D50D1"/>
    <w:rsid w:val="006D5A3A"/>
    <w:rsid w:val="006E3DCA"/>
    <w:rsid w:val="006E44AC"/>
    <w:rsid w:val="006E4785"/>
    <w:rsid w:val="006E5F70"/>
    <w:rsid w:val="006E7230"/>
    <w:rsid w:val="006E77A4"/>
    <w:rsid w:val="006E7A6D"/>
    <w:rsid w:val="006F2A35"/>
    <w:rsid w:val="006F2FC9"/>
    <w:rsid w:val="006F4615"/>
    <w:rsid w:val="006F7E9A"/>
    <w:rsid w:val="0070054F"/>
    <w:rsid w:val="00700FCA"/>
    <w:rsid w:val="00705130"/>
    <w:rsid w:val="007053DA"/>
    <w:rsid w:val="007055E3"/>
    <w:rsid w:val="00705E3A"/>
    <w:rsid w:val="00707394"/>
    <w:rsid w:val="00710083"/>
    <w:rsid w:val="00710203"/>
    <w:rsid w:val="00710786"/>
    <w:rsid w:val="00710AD4"/>
    <w:rsid w:val="00710BDC"/>
    <w:rsid w:val="007113A8"/>
    <w:rsid w:val="00713D46"/>
    <w:rsid w:val="00716ECF"/>
    <w:rsid w:val="0071768E"/>
    <w:rsid w:val="007177DA"/>
    <w:rsid w:val="007206A8"/>
    <w:rsid w:val="00720F55"/>
    <w:rsid w:val="007226B6"/>
    <w:rsid w:val="00722DF7"/>
    <w:rsid w:val="0072344F"/>
    <w:rsid w:val="00725D0B"/>
    <w:rsid w:val="00726D29"/>
    <w:rsid w:val="00731588"/>
    <w:rsid w:val="00731DB3"/>
    <w:rsid w:val="00733B91"/>
    <w:rsid w:val="00736CFF"/>
    <w:rsid w:val="00740728"/>
    <w:rsid w:val="00741F47"/>
    <w:rsid w:val="00741FB6"/>
    <w:rsid w:val="00743A65"/>
    <w:rsid w:val="007442EC"/>
    <w:rsid w:val="00744BC5"/>
    <w:rsid w:val="00747104"/>
    <w:rsid w:val="0075050A"/>
    <w:rsid w:val="007515A1"/>
    <w:rsid w:val="00751C34"/>
    <w:rsid w:val="0075200B"/>
    <w:rsid w:val="0075248B"/>
    <w:rsid w:val="0075654D"/>
    <w:rsid w:val="00756875"/>
    <w:rsid w:val="00760517"/>
    <w:rsid w:val="007608CA"/>
    <w:rsid w:val="00760C7C"/>
    <w:rsid w:val="00761B3A"/>
    <w:rsid w:val="00763BB9"/>
    <w:rsid w:val="0076463D"/>
    <w:rsid w:val="00764672"/>
    <w:rsid w:val="0076482F"/>
    <w:rsid w:val="00764933"/>
    <w:rsid w:val="00767FC8"/>
    <w:rsid w:val="007705B3"/>
    <w:rsid w:val="00773F5E"/>
    <w:rsid w:val="007745F3"/>
    <w:rsid w:val="00775CBE"/>
    <w:rsid w:val="007764D3"/>
    <w:rsid w:val="007773CB"/>
    <w:rsid w:val="007779DF"/>
    <w:rsid w:val="00780471"/>
    <w:rsid w:val="00782EE3"/>
    <w:rsid w:val="0078749F"/>
    <w:rsid w:val="007900E4"/>
    <w:rsid w:val="0079169B"/>
    <w:rsid w:val="0079237E"/>
    <w:rsid w:val="007927B4"/>
    <w:rsid w:val="00797375"/>
    <w:rsid w:val="007A0767"/>
    <w:rsid w:val="007A3A0A"/>
    <w:rsid w:val="007A52D2"/>
    <w:rsid w:val="007A6252"/>
    <w:rsid w:val="007A6765"/>
    <w:rsid w:val="007A68F6"/>
    <w:rsid w:val="007B0D8C"/>
    <w:rsid w:val="007B0F43"/>
    <w:rsid w:val="007B0FDE"/>
    <w:rsid w:val="007B17FC"/>
    <w:rsid w:val="007B2D6B"/>
    <w:rsid w:val="007B4484"/>
    <w:rsid w:val="007B7EA4"/>
    <w:rsid w:val="007C017E"/>
    <w:rsid w:val="007C09DF"/>
    <w:rsid w:val="007C15B6"/>
    <w:rsid w:val="007C1B80"/>
    <w:rsid w:val="007C2F88"/>
    <w:rsid w:val="007C3F7A"/>
    <w:rsid w:val="007C4856"/>
    <w:rsid w:val="007C6D4D"/>
    <w:rsid w:val="007D0055"/>
    <w:rsid w:val="007D4182"/>
    <w:rsid w:val="007D43E0"/>
    <w:rsid w:val="007D485A"/>
    <w:rsid w:val="007D49DC"/>
    <w:rsid w:val="007D5863"/>
    <w:rsid w:val="007D5E86"/>
    <w:rsid w:val="007D673F"/>
    <w:rsid w:val="007E0209"/>
    <w:rsid w:val="007E0A88"/>
    <w:rsid w:val="007E2593"/>
    <w:rsid w:val="007E289F"/>
    <w:rsid w:val="007E32D1"/>
    <w:rsid w:val="007E4E32"/>
    <w:rsid w:val="007F2D47"/>
    <w:rsid w:val="007F34EF"/>
    <w:rsid w:val="007F5F3A"/>
    <w:rsid w:val="007F7C9C"/>
    <w:rsid w:val="00802C8C"/>
    <w:rsid w:val="00802C9D"/>
    <w:rsid w:val="00803EBE"/>
    <w:rsid w:val="0080609B"/>
    <w:rsid w:val="00806E09"/>
    <w:rsid w:val="00807772"/>
    <w:rsid w:val="00807BEF"/>
    <w:rsid w:val="008108C7"/>
    <w:rsid w:val="00811DA3"/>
    <w:rsid w:val="00812BE4"/>
    <w:rsid w:val="00812D73"/>
    <w:rsid w:val="00814379"/>
    <w:rsid w:val="0081706E"/>
    <w:rsid w:val="0082270E"/>
    <w:rsid w:val="008230EA"/>
    <w:rsid w:val="00824ECC"/>
    <w:rsid w:val="00826619"/>
    <w:rsid w:val="00830349"/>
    <w:rsid w:val="00830CAB"/>
    <w:rsid w:val="00831A2A"/>
    <w:rsid w:val="0083323C"/>
    <w:rsid w:val="008364D6"/>
    <w:rsid w:val="0083658E"/>
    <w:rsid w:val="008365B8"/>
    <w:rsid w:val="00837345"/>
    <w:rsid w:val="00837579"/>
    <w:rsid w:val="00841AD8"/>
    <w:rsid w:val="00842425"/>
    <w:rsid w:val="008434E2"/>
    <w:rsid w:val="0084682A"/>
    <w:rsid w:val="008478D6"/>
    <w:rsid w:val="00847DBD"/>
    <w:rsid w:val="00850499"/>
    <w:rsid w:val="008511E4"/>
    <w:rsid w:val="00851A6D"/>
    <w:rsid w:val="0085315E"/>
    <w:rsid w:val="0085384E"/>
    <w:rsid w:val="008538A0"/>
    <w:rsid w:val="00855142"/>
    <w:rsid w:val="00856213"/>
    <w:rsid w:val="00856254"/>
    <w:rsid w:val="00856271"/>
    <w:rsid w:val="00856C99"/>
    <w:rsid w:val="0086013A"/>
    <w:rsid w:val="0086018E"/>
    <w:rsid w:val="00861372"/>
    <w:rsid w:val="00864008"/>
    <w:rsid w:val="00864FBF"/>
    <w:rsid w:val="00865FA0"/>
    <w:rsid w:val="0087001A"/>
    <w:rsid w:val="0087046E"/>
    <w:rsid w:val="00870BCA"/>
    <w:rsid w:val="008721E0"/>
    <w:rsid w:val="0087278D"/>
    <w:rsid w:val="00872A82"/>
    <w:rsid w:val="008730DD"/>
    <w:rsid w:val="008731F8"/>
    <w:rsid w:val="00873C4D"/>
    <w:rsid w:val="00874B0A"/>
    <w:rsid w:val="0087502D"/>
    <w:rsid w:val="00875222"/>
    <w:rsid w:val="008765C8"/>
    <w:rsid w:val="00877C8B"/>
    <w:rsid w:val="00885229"/>
    <w:rsid w:val="00885C54"/>
    <w:rsid w:val="00886AE4"/>
    <w:rsid w:val="0088716E"/>
    <w:rsid w:val="008879F6"/>
    <w:rsid w:val="00887BA7"/>
    <w:rsid w:val="00891582"/>
    <w:rsid w:val="00892206"/>
    <w:rsid w:val="008922BD"/>
    <w:rsid w:val="008929F4"/>
    <w:rsid w:val="00894423"/>
    <w:rsid w:val="008961A0"/>
    <w:rsid w:val="008A07E4"/>
    <w:rsid w:val="008A0C2C"/>
    <w:rsid w:val="008A3528"/>
    <w:rsid w:val="008A3650"/>
    <w:rsid w:val="008A54CA"/>
    <w:rsid w:val="008A5612"/>
    <w:rsid w:val="008A5DE0"/>
    <w:rsid w:val="008A603B"/>
    <w:rsid w:val="008A6AE2"/>
    <w:rsid w:val="008B0316"/>
    <w:rsid w:val="008B08D7"/>
    <w:rsid w:val="008B0C97"/>
    <w:rsid w:val="008B24B2"/>
    <w:rsid w:val="008B3E12"/>
    <w:rsid w:val="008B5BE2"/>
    <w:rsid w:val="008B5BF2"/>
    <w:rsid w:val="008B60D8"/>
    <w:rsid w:val="008B792E"/>
    <w:rsid w:val="008B7933"/>
    <w:rsid w:val="008C0F29"/>
    <w:rsid w:val="008C3116"/>
    <w:rsid w:val="008C381F"/>
    <w:rsid w:val="008C4DAF"/>
    <w:rsid w:val="008C6B36"/>
    <w:rsid w:val="008C7008"/>
    <w:rsid w:val="008C7E8C"/>
    <w:rsid w:val="008D2C29"/>
    <w:rsid w:val="008D31A6"/>
    <w:rsid w:val="008D3EFA"/>
    <w:rsid w:val="008D598D"/>
    <w:rsid w:val="008D71F3"/>
    <w:rsid w:val="008D7206"/>
    <w:rsid w:val="008E4AA8"/>
    <w:rsid w:val="008E7037"/>
    <w:rsid w:val="008F0D57"/>
    <w:rsid w:val="008F2606"/>
    <w:rsid w:val="008F40B4"/>
    <w:rsid w:val="008F6F3D"/>
    <w:rsid w:val="00900053"/>
    <w:rsid w:val="0090083A"/>
    <w:rsid w:val="00901239"/>
    <w:rsid w:val="00902AA9"/>
    <w:rsid w:val="00904820"/>
    <w:rsid w:val="009048B2"/>
    <w:rsid w:val="00904AA1"/>
    <w:rsid w:val="0090561E"/>
    <w:rsid w:val="0090662D"/>
    <w:rsid w:val="00911FCF"/>
    <w:rsid w:val="00914032"/>
    <w:rsid w:val="00914D12"/>
    <w:rsid w:val="00915798"/>
    <w:rsid w:val="0091621E"/>
    <w:rsid w:val="00916A8D"/>
    <w:rsid w:val="00916B88"/>
    <w:rsid w:val="0091760C"/>
    <w:rsid w:val="009262B4"/>
    <w:rsid w:val="00926F30"/>
    <w:rsid w:val="009273CF"/>
    <w:rsid w:val="00934156"/>
    <w:rsid w:val="00934F7F"/>
    <w:rsid w:val="0093551B"/>
    <w:rsid w:val="00935998"/>
    <w:rsid w:val="00937C71"/>
    <w:rsid w:val="009402B2"/>
    <w:rsid w:val="00940C44"/>
    <w:rsid w:val="00941AE5"/>
    <w:rsid w:val="009424AB"/>
    <w:rsid w:val="00942DBF"/>
    <w:rsid w:val="00943E44"/>
    <w:rsid w:val="00944996"/>
    <w:rsid w:val="009460E9"/>
    <w:rsid w:val="0094654E"/>
    <w:rsid w:val="00946BE0"/>
    <w:rsid w:val="009506FC"/>
    <w:rsid w:val="00950DAB"/>
    <w:rsid w:val="00952103"/>
    <w:rsid w:val="0095583F"/>
    <w:rsid w:val="00955FFC"/>
    <w:rsid w:val="00956D42"/>
    <w:rsid w:val="00960AC7"/>
    <w:rsid w:val="00962458"/>
    <w:rsid w:val="00964956"/>
    <w:rsid w:val="00965387"/>
    <w:rsid w:val="00966FCB"/>
    <w:rsid w:val="009674F2"/>
    <w:rsid w:val="00967F69"/>
    <w:rsid w:val="009709E7"/>
    <w:rsid w:val="00971B22"/>
    <w:rsid w:val="0097268A"/>
    <w:rsid w:val="00973364"/>
    <w:rsid w:val="00975491"/>
    <w:rsid w:val="00975EE1"/>
    <w:rsid w:val="00980674"/>
    <w:rsid w:val="0098227A"/>
    <w:rsid w:val="00982282"/>
    <w:rsid w:val="0098294B"/>
    <w:rsid w:val="00984DFB"/>
    <w:rsid w:val="00985523"/>
    <w:rsid w:val="0098721D"/>
    <w:rsid w:val="00990F1E"/>
    <w:rsid w:val="00993144"/>
    <w:rsid w:val="0099349B"/>
    <w:rsid w:val="009940E3"/>
    <w:rsid w:val="009950A3"/>
    <w:rsid w:val="009952D7"/>
    <w:rsid w:val="0099592D"/>
    <w:rsid w:val="00996DDC"/>
    <w:rsid w:val="00997B75"/>
    <w:rsid w:val="009A0871"/>
    <w:rsid w:val="009A374B"/>
    <w:rsid w:val="009A4074"/>
    <w:rsid w:val="009A4422"/>
    <w:rsid w:val="009A4C0F"/>
    <w:rsid w:val="009A5408"/>
    <w:rsid w:val="009B040A"/>
    <w:rsid w:val="009B449B"/>
    <w:rsid w:val="009B5250"/>
    <w:rsid w:val="009C0534"/>
    <w:rsid w:val="009C0879"/>
    <w:rsid w:val="009C1460"/>
    <w:rsid w:val="009C1A67"/>
    <w:rsid w:val="009C43DC"/>
    <w:rsid w:val="009C46BE"/>
    <w:rsid w:val="009C7C63"/>
    <w:rsid w:val="009D0E48"/>
    <w:rsid w:val="009D10FC"/>
    <w:rsid w:val="009D1972"/>
    <w:rsid w:val="009D1A0B"/>
    <w:rsid w:val="009D2AFD"/>
    <w:rsid w:val="009D35F8"/>
    <w:rsid w:val="009D6CF1"/>
    <w:rsid w:val="009D70B1"/>
    <w:rsid w:val="009E1E21"/>
    <w:rsid w:val="009E21F4"/>
    <w:rsid w:val="009E3D2A"/>
    <w:rsid w:val="009E3D8E"/>
    <w:rsid w:val="009E5075"/>
    <w:rsid w:val="009F2722"/>
    <w:rsid w:val="009F27DA"/>
    <w:rsid w:val="009F4574"/>
    <w:rsid w:val="009F458D"/>
    <w:rsid w:val="009F51F2"/>
    <w:rsid w:val="009F562E"/>
    <w:rsid w:val="009F5E8D"/>
    <w:rsid w:val="009F6624"/>
    <w:rsid w:val="009F6C99"/>
    <w:rsid w:val="009F70DD"/>
    <w:rsid w:val="009F7880"/>
    <w:rsid w:val="009F7CAC"/>
    <w:rsid w:val="00A0017E"/>
    <w:rsid w:val="00A00A42"/>
    <w:rsid w:val="00A00C08"/>
    <w:rsid w:val="00A00D7A"/>
    <w:rsid w:val="00A01DEF"/>
    <w:rsid w:val="00A02C59"/>
    <w:rsid w:val="00A034CE"/>
    <w:rsid w:val="00A036AD"/>
    <w:rsid w:val="00A04533"/>
    <w:rsid w:val="00A06528"/>
    <w:rsid w:val="00A06D03"/>
    <w:rsid w:val="00A06DBE"/>
    <w:rsid w:val="00A06F74"/>
    <w:rsid w:val="00A12132"/>
    <w:rsid w:val="00A12A34"/>
    <w:rsid w:val="00A12F1F"/>
    <w:rsid w:val="00A14572"/>
    <w:rsid w:val="00A14D5A"/>
    <w:rsid w:val="00A15C48"/>
    <w:rsid w:val="00A17616"/>
    <w:rsid w:val="00A2149F"/>
    <w:rsid w:val="00A23308"/>
    <w:rsid w:val="00A26005"/>
    <w:rsid w:val="00A2637A"/>
    <w:rsid w:val="00A27B22"/>
    <w:rsid w:val="00A31DC3"/>
    <w:rsid w:val="00A33520"/>
    <w:rsid w:val="00A353CE"/>
    <w:rsid w:val="00A360F3"/>
    <w:rsid w:val="00A36ED8"/>
    <w:rsid w:val="00A37102"/>
    <w:rsid w:val="00A3725D"/>
    <w:rsid w:val="00A37FBB"/>
    <w:rsid w:val="00A40C45"/>
    <w:rsid w:val="00A40D9B"/>
    <w:rsid w:val="00A410E0"/>
    <w:rsid w:val="00A412D0"/>
    <w:rsid w:val="00A41885"/>
    <w:rsid w:val="00A4223B"/>
    <w:rsid w:val="00A438F7"/>
    <w:rsid w:val="00A44AD0"/>
    <w:rsid w:val="00A459C7"/>
    <w:rsid w:val="00A46345"/>
    <w:rsid w:val="00A46AA6"/>
    <w:rsid w:val="00A510E4"/>
    <w:rsid w:val="00A529C4"/>
    <w:rsid w:val="00A540A2"/>
    <w:rsid w:val="00A55C49"/>
    <w:rsid w:val="00A56171"/>
    <w:rsid w:val="00A575EC"/>
    <w:rsid w:val="00A602BA"/>
    <w:rsid w:val="00A64AB8"/>
    <w:rsid w:val="00A654E4"/>
    <w:rsid w:val="00A66D9B"/>
    <w:rsid w:val="00A6770E"/>
    <w:rsid w:val="00A7082A"/>
    <w:rsid w:val="00A7405A"/>
    <w:rsid w:val="00A740EA"/>
    <w:rsid w:val="00A8281F"/>
    <w:rsid w:val="00A8393D"/>
    <w:rsid w:val="00A8496C"/>
    <w:rsid w:val="00A8618C"/>
    <w:rsid w:val="00A86191"/>
    <w:rsid w:val="00A90D1A"/>
    <w:rsid w:val="00A90DF4"/>
    <w:rsid w:val="00A93232"/>
    <w:rsid w:val="00A93B01"/>
    <w:rsid w:val="00A94739"/>
    <w:rsid w:val="00A94B57"/>
    <w:rsid w:val="00A96ECC"/>
    <w:rsid w:val="00A97E8F"/>
    <w:rsid w:val="00AA330A"/>
    <w:rsid w:val="00AA34EE"/>
    <w:rsid w:val="00AA4C06"/>
    <w:rsid w:val="00AA4DD0"/>
    <w:rsid w:val="00AA588E"/>
    <w:rsid w:val="00AA6D2F"/>
    <w:rsid w:val="00AA7B2B"/>
    <w:rsid w:val="00AA7C90"/>
    <w:rsid w:val="00AB0EC9"/>
    <w:rsid w:val="00AB1E03"/>
    <w:rsid w:val="00AB3269"/>
    <w:rsid w:val="00AB5A76"/>
    <w:rsid w:val="00AB5E9D"/>
    <w:rsid w:val="00AB6935"/>
    <w:rsid w:val="00AB7531"/>
    <w:rsid w:val="00AC19FF"/>
    <w:rsid w:val="00AC1DF5"/>
    <w:rsid w:val="00AC23E7"/>
    <w:rsid w:val="00AC3054"/>
    <w:rsid w:val="00AC5648"/>
    <w:rsid w:val="00AC70B1"/>
    <w:rsid w:val="00AD0148"/>
    <w:rsid w:val="00AD20D3"/>
    <w:rsid w:val="00AD252F"/>
    <w:rsid w:val="00AD2553"/>
    <w:rsid w:val="00AD2FB2"/>
    <w:rsid w:val="00AD3098"/>
    <w:rsid w:val="00AD36DA"/>
    <w:rsid w:val="00AD3B34"/>
    <w:rsid w:val="00AD497F"/>
    <w:rsid w:val="00AD5303"/>
    <w:rsid w:val="00AD67FC"/>
    <w:rsid w:val="00AD6C5C"/>
    <w:rsid w:val="00AD75B0"/>
    <w:rsid w:val="00AD7A99"/>
    <w:rsid w:val="00AD7F3F"/>
    <w:rsid w:val="00AE1307"/>
    <w:rsid w:val="00AE14A9"/>
    <w:rsid w:val="00AE1EB1"/>
    <w:rsid w:val="00AE2900"/>
    <w:rsid w:val="00AE2FC8"/>
    <w:rsid w:val="00AE3CE2"/>
    <w:rsid w:val="00AE5B67"/>
    <w:rsid w:val="00AE7FF3"/>
    <w:rsid w:val="00AF0279"/>
    <w:rsid w:val="00AF44A5"/>
    <w:rsid w:val="00AF49D9"/>
    <w:rsid w:val="00AF510A"/>
    <w:rsid w:val="00AF5123"/>
    <w:rsid w:val="00AF7C6E"/>
    <w:rsid w:val="00B00811"/>
    <w:rsid w:val="00B01FD1"/>
    <w:rsid w:val="00B029C3"/>
    <w:rsid w:val="00B02E2F"/>
    <w:rsid w:val="00B03294"/>
    <w:rsid w:val="00B034D5"/>
    <w:rsid w:val="00B03E12"/>
    <w:rsid w:val="00B03ECF"/>
    <w:rsid w:val="00B04781"/>
    <w:rsid w:val="00B04F14"/>
    <w:rsid w:val="00B05464"/>
    <w:rsid w:val="00B0566C"/>
    <w:rsid w:val="00B06664"/>
    <w:rsid w:val="00B0679E"/>
    <w:rsid w:val="00B07656"/>
    <w:rsid w:val="00B10891"/>
    <w:rsid w:val="00B10A78"/>
    <w:rsid w:val="00B1328F"/>
    <w:rsid w:val="00B13CA3"/>
    <w:rsid w:val="00B24A5C"/>
    <w:rsid w:val="00B24FDC"/>
    <w:rsid w:val="00B2774F"/>
    <w:rsid w:val="00B27A36"/>
    <w:rsid w:val="00B27FA8"/>
    <w:rsid w:val="00B30F9F"/>
    <w:rsid w:val="00B3120D"/>
    <w:rsid w:val="00B32807"/>
    <w:rsid w:val="00B369AB"/>
    <w:rsid w:val="00B3766C"/>
    <w:rsid w:val="00B3799E"/>
    <w:rsid w:val="00B41CBD"/>
    <w:rsid w:val="00B42559"/>
    <w:rsid w:val="00B43AB4"/>
    <w:rsid w:val="00B455EC"/>
    <w:rsid w:val="00B4666D"/>
    <w:rsid w:val="00B47176"/>
    <w:rsid w:val="00B47CFC"/>
    <w:rsid w:val="00B505EF"/>
    <w:rsid w:val="00B517EC"/>
    <w:rsid w:val="00B52064"/>
    <w:rsid w:val="00B5236D"/>
    <w:rsid w:val="00B545FF"/>
    <w:rsid w:val="00B55F39"/>
    <w:rsid w:val="00B5610F"/>
    <w:rsid w:val="00B602DD"/>
    <w:rsid w:val="00B61445"/>
    <w:rsid w:val="00B617C8"/>
    <w:rsid w:val="00B61FA5"/>
    <w:rsid w:val="00B6339C"/>
    <w:rsid w:val="00B63475"/>
    <w:rsid w:val="00B656BC"/>
    <w:rsid w:val="00B65780"/>
    <w:rsid w:val="00B657A9"/>
    <w:rsid w:val="00B66097"/>
    <w:rsid w:val="00B70930"/>
    <w:rsid w:val="00B7132E"/>
    <w:rsid w:val="00B742B6"/>
    <w:rsid w:val="00B742FC"/>
    <w:rsid w:val="00B74C3B"/>
    <w:rsid w:val="00B75A28"/>
    <w:rsid w:val="00B76644"/>
    <w:rsid w:val="00B77D73"/>
    <w:rsid w:val="00B80556"/>
    <w:rsid w:val="00B81808"/>
    <w:rsid w:val="00B81994"/>
    <w:rsid w:val="00B82A0F"/>
    <w:rsid w:val="00B8349E"/>
    <w:rsid w:val="00B84304"/>
    <w:rsid w:val="00B85402"/>
    <w:rsid w:val="00B855AA"/>
    <w:rsid w:val="00B86792"/>
    <w:rsid w:val="00B86AFE"/>
    <w:rsid w:val="00B900D6"/>
    <w:rsid w:val="00B92348"/>
    <w:rsid w:val="00B9241B"/>
    <w:rsid w:val="00B934AA"/>
    <w:rsid w:val="00B93E49"/>
    <w:rsid w:val="00B93E6E"/>
    <w:rsid w:val="00B962F6"/>
    <w:rsid w:val="00B964FD"/>
    <w:rsid w:val="00BA0D81"/>
    <w:rsid w:val="00BA2302"/>
    <w:rsid w:val="00BA2720"/>
    <w:rsid w:val="00BA2975"/>
    <w:rsid w:val="00BA34A7"/>
    <w:rsid w:val="00BA496A"/>
    <w:rsid w:val="00BA4EF5"/>
    <w:rsid w:val="00BA55C2"/>
    <w:rsid w:val="00BA6331"/>
    <w:rsid w:val="00BA72AB"/>
    <w:rsid w:val="00BA7AEF"/>
    <w:rsid w:val="00BB0144"/>
    <w:rsid w:val="00BB133E"/>
    <w:rsid w:val="00BB15DD"/>
    <w:rsid w:val="00BB5070"/>
    <w:rsid w:val="00BB5952"/>
    <w:rsid w:val="00BB7380"/>
    <w:rsid w:val="00BC0858"/>
    <w:rsid w:val="00BC0A75"/>
    <w:rsid w:val="00BC13BA"/>
    <w:rsid w:val="00BC1CA6"/>
    <w:rsid w:val="00BC3346"/>
    <w:rsid w:val="00BC637D"/>
    <w:rsid w:val="00BC71AC"/>
    <w:rsid w:val="00BC71D6"/>
    <w:rsid w:val="00BD33C8"/>
    <w:rsid w:val="00BD465B"/>
    <w:rsid w:val="00BD68CE"/>
    <w:rsid w:val="00BD7163"/>
    <w:rsid w:val="00BD767F"/>
    <w:rsid w:val="00BE1297"/>
    <w:rsid w:val="00BE14DC"/>
    <w:rsid w:val="00BE30EB"/>
    <w:rsid w:val="00BE3A83"/>
    <w:rsid w:val="00BE4776"/>
    <w:rsid w:val="00BE4BC8"/>
    <w:rsid w:val="00BE59AE"/>
    <w:rsid w:val="00BE600D"/>
    <w:rsid w:val="00BE60A5"/>
    <w:rsid w:val="00BE6363"/>
    <w:rsid w:val="00BF0391"/>
    <w:rsid w:val="00BF2418"/>
    <w:rsid w:val="00BF2906"/>
    <w:rsid w:val="00BF39D0"/>
    <w:rsid w:val="00BF4E80"/>
    <w:rsid w:val="00BF68F9"/>
    <w:rsid w:val="00C00043"/>
    <w:rsid w:val="00C01CEA"/>
    <w:rsid w:val="00C021F8"/>
    <w:rsid w:val="00C02C5A"/>
    <w:rsid w:val="00C0363A"/>
    <w:rsid w:val="00C0721D"/>
    <w:rsid w:val="00C10268"/>
    <w:rsid w:val="00C102FB"/>
    <w:rsid w:val="00C113E0"/>
    <w:rsid w:val="00C11C95"/>
    <w:rsid w:val="00C13A18"/>
    <w:rsid w:val="00C13FB7"/>
    <w:rsid w:val="00C1434F"/>
    <w:rsid w:val="00C159B9"/>
    <w:rsid w:val="00C167C9"/>
    <w:rsid w:val="00C16DA4"/>
    <w:rsid w:val="00C20A10"/>
    <w:rsid w:val="00C231B5"/>
    <w:rsid w:val="00C234EE"/>
    <w:rsid w:val="00C23E9D"/>
    <w:rsid w:val="00C2415A"/>
    <w:rsid w:val="00C24A5E"/>
    <w:rsid w:val="00C26E9E"/>
    <w:rsid w:val="00C31B51"/>
    <w:rsid w:val="00C32EB2"/>
    <w:rsid w:val="00C3417C"/>
    <w:rsid w:val="00C34241"/>
    <w:rsid w:val="00C34F87"/>
    <w:rsid w:val="00C37918"/>
    <w:rsid w:val="00C37BF1"/>
    <w:rsid w:val="00C37E5A"/>
    <w:rsid w:val="00C429BB"/>
    <w:rsid w:val="00C42B5E"/>
    <w:rsid w:val="00C42F23"/>
    <w:rsid w:val="00C43FB1"/>
    <w:rsid w:val="00C458E9"/>
    <w:rsid w:val="00C4701F"/>
    <w:rsid w:val="00C47152"/>
    <w:rsid w:val="00C472B2"/>
    <w:rsid w:val="00C47E9A"/>
    <w:rsid w:val="00C5085C"/>
    <w:rsid w:val="00C51F96"/>
    <w:rsid w:val="00C5421C"/>
    <w:rsid w:val="00C54FC7"/>
    <w:rsid w:val="00C576B4"/>
    <w:rsid w:val="00C5783E"/>
    <w:rsid w:val="00C6196C"/>
    <w:rsid w:val="00C625E5"/>
    <w:rsid w:val="00C629D3"/>
    <w:rsid w:val="00C646B6"/>
    <w:rsid w:val="00C64A73"/>
    <w:rsid w:val="00C66434"/>
    <w:rsid w:val="00C6648E"/>
    <w:rsid w:val="00C676A9"/>
    <w:rsid w:val="00C715CF"/>
    <w:rsid w:val="00C73F6A"/>
    <w:rsid w:val="00C7631B"/>
    <w:rsid w:val="00C7763D"/>
    <w:rsid w:val="00C81768"/>
    <w:rsid w:val="00C81860"/>
    <w:rsid w:val="00C83A56"/>
    <w:rsid w:val="00C854A6"/>
    <w:rsid w:val="00C857EB"/>
    <w:rsid w:val="00C90F48"/>
    <w:rsid w:val="00C91C32"/>
    <w:rsid w:val="00C93BC4"/>
    <w:rsid w:val="00C93E12"/>
    <w:rsid w:val="00C94BA4"/>
    <w:rsid w:val="00C94E99"/>
    <w:rsid w:val="00C9641E"/>
    <w:rsid w:val="00CA03AC"/>
    <w:rsid w:val="00CA0A21"/>
    <w:rsid w:val="00CA1EDB"/>
    <w:rsid w:val="00CA2816"/>
    <w:rsid w:val="00CA6226"/>
    <w:rsid w:val="00CB35A2"/>
    <w:rsid w:val="00CB3849"/>
    <w:rsid w:val="00CB3D9F"/>
    <w:rsid w:val="00CB5538"/>
    <w:rsid w:val="00CB5887"/>
    <w:rsid w:val="00CB5C17"/>
    <w:rsid w:val="00CB6C97"/>
    <w:rsid w:val="00CB7E2E"/>
    <w:rsid w:val="00CB7FD8"/>
    <w:rsid w:val="00CC058D"/>
    <w:rsid w:val="00CC1E74"/>
    <w:rsid w:val="00CC1FAC"/>
    <w:rsid w:val="00CC2F98"/>
    <w:rsid w:val="00CC39E3"/>
    <w:rsid w:val="00CC3A98"/>
    <w:rsid w:val="00CC44C8"/>
    <w:rsid w:val="00CC4678"/>
    <w:rsid w:val="00CC56BB"/>
    <w:rsid w:val="00CC6286"/>
    <w:rsid w:val="00CD0E3A"/>
    <w:rsid w:val="00CD1804"/>
    <w:rsid w:val="00CD1AF5"/>
    <w:rsid w:val="00CD4495"/>
    <w:rsid w:val="00CD5104"/>
    <w:rsid w:val="00CD54F6"/>
    <w:rsid w:val="00CD5B4D"/>
    <w:rsid w:val="00CE0FEC"/>
    <w:rsid w:val="00CE50FD"/>
    <w:rsid w:val="00CE7919"/>
    <w:rsid w:val="00CE799C"/>
    <w:rsid w:val="00CF03E3"/>
    <w:rsid w:val="00CF152D"/>
    <w:rsid w:val="00CF2319"/>
    <w:rsid w:val="00CF2ADC"/>
    <w:rsid w:val="00CF40F9"/>
    <w:rsid w:val="00CF54DC"/>
    <w:rsid w:val="00CF6063"/>
    <w:rsid w:val="00CF63F7"/>
    <w:rsid w:val="00CF6B56"/>
    <w:rsid w:val="00CF6D5D"/>
    <w:rsid w:val="00D005CA"/>
    <w:rsid w:val="00D0231A"/>
    <w:rsid w:val="00D02617"/>
    <w:rsid w:val="00D02E2D"/>
    <w:rsid w:val="00D03749"/>
    <w:rsid w:val="00D042AA"/>
    <w:rsid w:val="00D05095"/>
    <w:rsid w:val="00D072C6"/>
    <w:rsid w:val="00D1127E"/>
    <w:rsid w:val="00D12C86"/>
    <w:rsid w:val="00D13206"/>
    <w:rsid w:val="00D14145"/>
    <w:rsid w:val="00D1479E"/>
    <w:rsid w:val="00D15202"/>
    <w:rsid w:val="00D16BDE"/>
    <w:rsid w:val="00D17AAB"/>
    <w:rsid w:val="00D17E4F"/>
    <w:rsid w:val="00D20285"/>
    <w:rsid w:val="00D20E14"/>
    <w:rsid w:val="00D23170"/>
    <w:rsid w:val="00D231D7"/>
    <w:rsid w:val="00D24D22"/>
    <w:rsid w:val="00D24E5D"/>
    <w:rsid w:val="00D25F01"/>
    <w:rsid w:val="00D27F43"/>
    <w:rsid w:val="00D30733"/>
    <w:rsid w:val="00D3183A"/>
    <w:rsid w:val="00D31F8D"/>
    <w:rsid w:val="00D32415"/>
    <w:rsid w:val="00D32AEE"/>
    <w:rsid w:val="00D359B5"/>
    <w:rsid w:val="00D36F6B"/>
    <w:rsid w:val="00D372B9"/>
    <w:rsid w:val="00D410F6"/>
    <w:rsid w:val="00D419F6"/>
    <w:rsid w:val="00D429A1"/>
    <w:rsid w:val="00D42A32"/>
    <w:rsid w:val="00D44143"/>
    <w:rsid w:val="00D451E8"/>
    <w:rsid w:val="00D45E1C"/>
    <w:rsid w:val="00D477C3"/>
    <w:rsid w:val="00D50DC2"/>
    <w:rsid w:val="00D51B9A"/>
    <w:rsid w:val="00D520C8"/>
    <w:rsid w:val="00D54B35"/>
    <w:rsid w:val="00D55420"/>
    <w:rsid w:val="00D56A30"/>
    <w:rsid w:val="00D5710E"/>
    <w:rsid w:val="00D57E6B"/>
    <w:rsid w:val="00D57FB3"/>
    <w:rsid w:val="00D57FC0"/>
    <w:rsid w:val="00D6071B"/>
    <w:rsid w:val="00D60BC1"/>
    <w:rsid w:val="00D60BD9"/>
    <w:rsid w:val="00D60EEC"/>
    <w:rsid w:val="00D6185B"/>
    <w:rsid w:val="00D63C17"/>
    <w:rsid w:val="00D641ED"/>
    <w:rsid w:val="00D656C3"/>
    <w:rsid w:val="00D70857"/>
    <w:rsid w:val="00D713D8"/>
    <w:rsid w:val="00D71E57"/>
    <w:rsid w:val="00D734A1"/>
    <w:rsid w:val="00D750A0"/>
    <w:rsid w:val="00D75534"/>
    <w:rsid w:val="00D76474"/>
    <w:rsid w:val="00D8066E"/>
    <w:rsid w:val="00D807CB"/>
    <w:rsid w:val="00D80F05"/>
    <w:rsid w:val="00D8114E"/>
    <w:rsid w:val="00D817A1"/>
    <w:rsid w:val="00D82655"/>
    <w:rsid w:val="00D82687"/>
    <w:rsid w:val="00D8398D"/>
    <w:rsid w:val="00D84BB7"/>
    <w:rsid w:val="00D85049"/>
    <w:rsid w:val="00D8580F"/>
    <w:rsid w:val="00D86B73"/>
    <w:rsid w:val="00D916F0"/>
    <w:rsid w:val="00D91811"/>
    <w:rsid w:val="00D927B7"/>
    <w:rsid w:val="00D9327B"/>
    <w:rsid w:val="00D93E09"/>
    <w:rsid w:val="00D945FB"/>
    <w:rsid w:val="00D97D60"/>
    <w:rsid w:val="00DA0028"/>
    <w:rsid w:val="00DA38A1"/>
    <w:rsid w:val="00DA3EAE"/>
    <w:rsid w:val="00DA472B"/>
    <w:rsid w:val="00DA5351"/>
    <w:rsid w:val="00DB00F0"/>
    <w:rsid w:val="00DB088B"/>
    <w:rsid w:val="00DB121D"/>
    <w:rsid w:val="00DB1C57"/>
    <w:rsid w:val="00DB29FE"/>
    <w:rsid w:val="00DB4DFA"/>
    <w:rsid w:val="00DB51D6"/>
    <w:rsid w:val="00DB7217"/>
    <w:rsid w:val="00DC0B54"/>
    <w:rsid w:val="00DC0D40"/>
    <w:rsid w:val="00DC18D3"/>
    <w:rsid w:val="00DC21EA"/>
    <w:rsid w:val="00DC2524"/>
    <w:rsid w:val="00DC3332"/>
    <w:rsid w:val="00DC43EB"/>
    <w:rsid w:val="00DC4B9F"/>
    <w:rsid w:val="00DC6386"/>
    <w:rsid w:val="00DC65BC"/>
    <w:rsid w:val="00DC7FD5"/>
    <w:rsid w:val="00DD108D"/>
    <w:rsid w:val="00DD131B"/>
    <w:rsid w:val="00DD147F"/>
    <w:rsid w:val="00DD1A22"/>
    <w:rsid w:val="00DD5516"/>
    <w:rsid w:val="00DD5819"/>
    <w:rsid w:val="00DD7C93"/>
    <w:rsid w:val="00DE05DF"/>
    <w:rsid w:val="00DE0D03"/>
    <w:rsid w:val="00DE2D91"/>
    <w:rsid w:val="00DE34A3"/>
    <w:rsid w:val="00DE4747"/>
    <w:rsid w:val="00DE52AF"/>
    <w:rsid w:val="00DE79B0"/>
    <w:rsid w:val="00DE7A10"/>
    <w:rsid w:val="00DE7C8C"/>
    <w:rsid w:val="00DF22DE"/>
    <w:rsid w:val="00DF3272"/>
    <w:rsid w:val="00DF33DE"/>
    <w:rsid w:val="00DF45A9"/>
    <w:rsid w:val="00E04743"/>
    <w:rsid w:val="00E04F58"/>
    <w:rsid w:val="00E05469"/>
    <w:rsid w:val="00E07710"/>
    <w:rsid w:val="00E11088"/>
    <w:rsid w:val="00E11EF7"/>
    <w:rsid w:val="00E1201F"/>
    <w:rsid w:val="00E121F8"/>
    <w:rsid w:val="00E12368"/>
    <w:rsid w:val="00E13B68"/>
    <w:rsid w:val="00E14335"/>
    <w:rsid w:val="00E161B7"/>
    <w:rsid w:val="00E172C3"/>
    <w:rsid w:val="00E17EFA"/>
    <w:rsid w:val="00E2072E"/>
    <w:rsid w:val="00E228BB"/>
    <w:rsid w:val="00E23D97"/>
    <w:rsid w:val="00E25CC1"/>
    <w:rsid w:val="00E2622A"/>
    <w:rsid w:val="00E303D4"/>
    <w:rsid w:val="00E3088C"/>
    <w:rsid w:val="00E32BB4"/>
    <w:rsid w:val="00E33783"/>
    <w:rsid w:val="00E33CE3"/>
    <w:rsid w:val="00E33E2D"/>
    <w:rsid w:val="00E3515F"/>
    <w:rsid w:val="00E40A6E"/>
    <w:rsid w:val="00E40B33"/>
    <w:rsid w:val="00E422BF"/>
    <w:rsid w:val="00E43CB1"/>
    <w:rsid w:val="00E444E9"/>
    <w:rsid w:val="00E4469E"/>
    <w:rsid w:val="00E45497"/>
    <w:rsid w:val="00E4589C"/>
    <w:rsid w:val="00E45F49"/>
    <w:rsid w:val="00E46BDA"/>
    <w:rsid w:val="00E46E0B"/>
    <w:rsid w:val="00E472F6"/>
    <w:rsid w:val="00E47A44"/>
    <w:rsid w:val="00E50E1A"/>
    <w:rsid w:val="00E51A76"/>
    <w:rsid w:val="00E5283C"/>
    <w:rsid w:val="00E53C6E"/>
    <w:rsid w:val="00E55B28"/>
    <w:rsid w:val="00E577C2"/>
    <w:rsid w:val="00E6153E"/>
    <w:rsid w:val="00E621DA"/>
    <w:rsid w:val="00E63441"/>
    <w:rsid w:val="00E635FD"/>
    <w:rsid w:val="00E63CE6"/>
    <w:rsid w:val="00E6462A"/>
    <w:rsid w:val="00E65349"/>
    <w:rsid w:val="00E654DB"/>
    <w:rsid w:val="00E667B4"/>
    <w:rsid w:val="00E669FE"/>
    <w:rsid w:val="00E67EA1"/>
    <w:rsid w:val="00E71728"/>
    <w:rsid w:val="00E725C9"/>
    <w:rsid w:val="00E72FC7"/>
    <w:rsid w:val="00E73D29"/>
    <w:rsid w:val="00E7521A"/>
    <w:rsid w:val="00E75CE9"/>
    <w:rsid w:val="00E76F17"/>
    <w:rsid w:val="00E811BE"/>
    <w:rsid w:val="00E81D24"/>
    <w:rsid w:val="00E82C08"/>
    <w:rsid w:val="00E82F42"/>
    <w:rsid w:val="00E83824"/>
    <w:rsid w:val="00E83B92"/>
    <w:rsid w:val="00E83F37"/>
    <w:rsid w:val="00E84F20"/>
    <w:rsid w:val="00E857A7"/>
    <w:rsid w:val="00E85E5A"/>
    <w:rsid w:val="00E861E6"/>
    <w:rsid w:val="00E862B7"/>
    <w:rsid w:val="00E86A6D"/>
    <w:rsid w:val="00E93D39"/>
    <w:rsid w:val="00E956B8"/>
    <w:rsid w:val="00E969DF"/>
    <w:rsid w:val="00E9759D"/>
    <w:rsid w:val="00E97871"/>
    <w:rsid w:val="00EA153E"/>
    <w:rsid w:val="00EA3190"/>
    <w:rsid w:val="00EA64B2"/>
    <w:rsid w:val="00EA7156"/>
    <w:rsid w:val="00EB0DBB"/>
    <w:rsid w:val="00EB149F"/>
    <w:rsid w:val="00EB298B"/>
    <w:rsid w:val="00EB3F14"/>
    <w:rsid w:val="00EB5127"/>
    <w:rsid w:val="00EB6E31"/>
    <w:rsid w:val="00EB7620"/>
    <w:rsid w:val="00EC10B2"/>
    <w:rsid w:val="00EC1217"/>
    <w:rsid w:val="00EC3993"/>
    <w:rsid w:val="00EC43DC"/>
    <w:rsid w:val="00EC5097"/>
    <w:rsid w:val="00EC532B"/>
    <w:rsid w:val="00EC541F"/>
    <w:rsid w:val="00ED0808"/>
    <w:rsid w:val="00ED294F"/>
    <w:rsid w:val="00ED5F72"/>
    <w:rsid w:val="00ED64C7"/>
    <w:rsid w:val="00ED6761"/>
    <w:rsid w:val="00ED75B8"/>
    <w:rsid w:val="00EE00B9"/>
    <w:rsid w:val="00EE00C1"/>
    <w:rsid w:val="00EE1600"/>
    <w:rsid w:val="00EE169C"/>
    <w:rsid w:val="00EE41AE"/>
    <w:rsid w:val="00EE5A74"/>
    <w:rsid w:val="00EF04D8"/>
    <w:rsid w:val="00EF209A"/>
    <w:rsid w:val="00EF309F"/>
    <w:rsid w:val="00EF3769"/>
    <w:rsid w:val="00EF497E"/>
    <w:rsid w:val="00EF76F1"/>
    <w:rsid w:val="00EF7BCE"/>
    <w:rsid w:val="00F004EB"/>
    <w:rsid w:val="00F00538"/>
    <w:rsid w:val="00F006A1"/>
    <w:rsid w:val="00F00C4E"/>
    <w:rsid w:val="00F02C48"/>
    <w:rsid w:val="00F055A5"/>
    <w:rsid w:val="00F0706F"/>
    <w:rsid w:val="00F07C84"/>
    <w:rsid w:val="00F117C7"/>
    <w:rsid w:val="00F1290C"/>
    <w:rsid w:val="00F168C2"/>
    <w:rsid w:val="00F22453"/>
    <w:rsid w:val="00F2272A"/>
    <w:rsid w:val="00F23446"/>
    <w:rsid w:val="00F24062"/>
    <w:rsid w:val="00F24E9B"/>
    <w:rsid w:val="00F34AB7"/>
    <w:rsid w:val="00F365EC"/>
    <w:rsid w:val="00F40581"/>
    <w:rsid w:val="00F40A47"/>
    <w:rsid w:val="00F40F19"/>
    <w:rsid w:val="00F41EAB"/>
    <w:rsid w:val="00F41F85"/>
    <w:rsid w:val="00F4304B"/>
    <w:rsid w:val="00F43AB8"/>
    <w:rsid w:val="00F44F5E"/>
    <w:rsid w:val="00F463AB"/>
    <w:rsid w:val="00F50DB1"/>
    <w:rsid w:val="00F53AED"/>
    <w:rsid w:val="00F57D72"/>
    <w:rsid w:val="00F60A6B"/>
    <w:rsid w:val="00F631BA"/>
    <w:rsid w:val="00F63CAD"/>
    <w:rsid w:val="00F64B8D"/>
    <w:rsid w:val="00F653D1"/>
    <w:rsid w:val="00F66610"/>
    <w:rsid w:val="00F66D4E"/>
    <w:rsid w:val="00F70AF4"/>
    <w:rsid w:val="00F71158"/>
    <w:rsid w:val="00F7341D"/>
    <w:rsid w:val="00F777F8"/>
    <w:rsid w:val="00F80FDE"/>
    <w:rsid w:val="00F829AB"/>
    <w:rsid w:val="00F83496"/>
    <w:rsid w:val="00F848EB"/>
    <w:rsid w:val="00F84DB5"/>
    <w:rsid w:val="00F851AA"/>
    <w:rsid w:val="00F85692"/>
    <w:rsid w:val="00F8573A"/>
    <w:rsid w:val="00F85B56"/>
    <w:rsid w:val="00F900CB"/>
    <w:rsid w:val="00F90DB1"/>
    <w:rsid w:val="00F912EF"/>
    <w:rsid w:val="00F93B8A"/>
    <w:rsid w:val="00F9454A"/>
    <w:rsid w:val="00F9488C"/>
    <w:rsid w:val="00F952BA"/>
    <w:rsid w:val="00F95695"/>
    <w:rsid w:val="00F957D2"/>
    <w:rsid w:val="00F96C23"/>
    <w:rsid w:val="00FA06B5"/>
    <w:rsid w:val="00FA0A29"/>
    <w:rsid w:val="00FA55B5"/>
    <w:rsid w:val="00FA675D"/>
    <w:rsid w:val="00FA71BF"/>
    <w:rsid w:val="00FA7372"/>
    <w:rsid w:val="00FA7A98"/>
    <w:rsid w:val="00FB45D4"/>
    <w:rsid w:val="00FB48B4"/>
    <w:rsid w:val="00FB4E37"/>
    <w:rsid w:val="00FB537E"/>
    <w:rsid w:val="00FB6155"/>
    <w:rsid w:val="00FB6B8B"/>
    <w:rsid w:val="00FB7117"/>
    <w:rsid w:val="00FB7454"/>
    <w:rsid w:val="00FB7F07"/>
    <w:rsid w:val="00FC04A8"/>
    <w:rsid w:val="00FC06AC"/>
    <w:rsid w:val="00FC0776"/>
    <w:rsid w:val="00FC365A"/>
    <w:rsid w:val="00FC46C9"/>
    <w:rsid w:val="00FC4AB6"/>
    <w:rsid w:val="00FC5612"/>
    <w:rsid w:val="00FC75F0"/>
    <w:rsid w:val="00FC797D"/>
    <w:rsid w:val="00FC7D72"/>
    <w:rsid w:val="00FD24F9"/>
    <w:rsid w:val="00FD2980"/>
    <w:rsid w:val="00FD381F"/>
    <w:rsid w:val="00FD3B00"/>
    <w:rsid w:val="00FD44C1"/>
    <w:rsid w:val="00FD566D"/>
    <w:rsid w:val="00FD60DE"/>
    <w:rsid w:val="00FE0504"/>
    <w:rsid w:val="00FE051A"/>
    <w:rsid w:val="00FE053F"/>
    <w:rsid w:val="00FE16E1"/>
    <w:rsid w:val="00FE3B87"/>
    <w:rsid w:val="00FE3D37"/>
    <w:rsid w:val="00FF0141"/>
    <w:rsid w:val="00FF0470"/>
    <w:rsid w:val="00FF3B0D"/>
    <w:rsid w:val="00FF3D11"/>
    <w:rsid w:val="00FF5BA9"/>
    <w:rsid w:val="00FF63F0"/>
    <w:rsid w:val="00FF6824"/>
    <w:rsid w:val="00FF770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7EA8"/>
    <w:pPr>
      <w:jc w:val="both"/>
    </w:pPr>
    <w:rPr>
      <w:sz w:val="24"/>
      <w:szCs w:val="24"/>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rsid w:val="00397EA8"/>
    <w:pPr>
      <w:spacing w:before="100" w:beforeAutospacing="1" w:after="100" w:afterAutospacing="1"/>
      <w:jc w:val="left"/>
    </w:pPr>
    <w:rPr>
      <w:rFonts w:ascii="Arial Unicode MS" w:eastAsia="Arial Unicode MS" w:hAnsi="Arial Unicode MS" w:cs="Arial Unicode MS"/>
      <w:color w:val="0078B3"/>
      <w:lang w:val="cs-CZ"/>
    </w:rPr>
  </w:style>
  <w:style w:type="character" w:styleId="Hypertextovodkaz">
    <w:name w:val="Hyperlink"/>
    <w:basedOn w:val="Standardnpsmoodstavce"/>
    <w:semiHidden/>
    <w:rsid w:val="00397EA8"/>
    <w:rPr>
      <w:color w:val="0000FF"/>
      <w:u w:val="single"/>
    </w:rPr>
  </w:style>
  <w:style w:type="paragraph" w:styleId="Zkladntext">
    <w:name w:val="Body Text"/>
    <w:basedOn w:val="Normln"/>
    <w:semiHidden/>
    <w:rsid w:val="00397EA8"/>
    <w:pPr>
      <w:jc w:val="left"/>
    </w:pPr>
    <w:rPr>
      <w:i/>
      <w:iCs/>
      <w:lang w:val="en-US"/>
    </w:rPr>
  </w:style>
  <w:style w:type="character" w:styleId="Sledovanodkaz">
    <w:name w:val="FollowedHyperlink"/>
    <w:basedOn w:val="Standardnpsmoodstavce"/>
    <w:semiHidden/>
    <w:rsid w:val="00397EA8"/>
    <w:rPr>
      <w:color w:val="800080"/>
      <w:u w:val="single"/>
    </w:rPr>
  </w:style>
  <w:style w:type="paragraph" w:styleId="Zhlav">
    <w:name w:val="header"/>
    <w:basedOn w:val="Normln"/>
    <w:semiHidden/>
    <w:rsid w:val="00397EA8"/>
    <w:pPr>
      <w:tabs>
        <w:tab w:val="center" w:pos="4536"/>
        <w:tab w:val="right" w:pos="9072"/>
      </w:tabs>
    </w:pPr>
  </w:style>
  <w:style w:type="paragraph" w:styleId="Zpat">
    <w:name w:val="footer"/>
    <w:basedOn w:val="Normln"/>
    <w:semiHidden/>
    <w:rsid w:val="00397EA8"/>
    <w:pPr>
      <w:tabs>
        <w:tab w:val="center" w:pos="4536"/>
        <w:tab w:val="right" w:pos="9072"/>
      </w:tabs>
    </w:pPr>
  </w:style>
  <w:style w:type="paragraph" w:customStyle="1" w:styleId="Rnadpis">
    <w:name w:val="R nadpis"/>
    <w:basedOn w:val="Normln"/>
    <w:next w:val="Normln"/>
    <w:rsid w:val="00E654DB"/>
    <w:pPr>
      <w:numPr>
        <w:numId w:val="1"/>
      </w:numPr>
      <w:tabs>
        <w:tab w:val="left" w:pos="1080"/>
      </w:tabs>
      <w:spacing w:before="360" w:after="120"/>
      <w:jc w:val="left"/>
    </w:pPr>
    <w:rPr>
      <w:rFonts w:ascii="Arial" w:hAnsi="Arial"/>
      <w:b/>
      <w:caps/>
      <w:szCs w:val="20"/>
      <w:lang w:val="cs-CZ"/>
    </w:rPr>
  </w:style>
  <w:style w:type="paragraph" w:customStyle="1" w:styleId="Tabulka">
    <w:name w:val="Tabulka"/>
    <w:basedOn w:val="Normln"/>
    <w:next w:val="Normln"/>
    <w:qFormat/>
    <w:rsid w:val="00E654DB"/>
    <w:pPr>
      <w:numPr>
        <w:ilvl w:val="1"/>
        <w:numId w:val="1"/>
      </w:numPr>
      <w:spacing w:before="240" w:after="120"/>
    </w:pPr>
    <w:rPr>
      <w:rFonts w:ascii="Arial" w:hAnsi="Arial"/>
      <w:b/>
      <w:sz w:val="20"/>
      <w:szCs w:val="20"/>
      <w:lang w:val="cs-CZ"/>
    </w:rPr>
  </w:style>
  <w:style w:type="paragraph" w:styleId="Zkladntextodsazen2">
    <w:name w:val="Body Text Indent 2"/>
    <w:basedOn w:val="Normln"/>
    <w:link w:val="Zkladntextodsazen2Char"/>
    <w:uiPriority w:val="99"/>
    <w:semiHidden/>
    <w:unhideWhenUsed/>
    <w:rsid w:val="000C639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0C6399"/>
    <w:rPr>
      <w:sz w:val="24"/>
      <w:szCs w:val="24"/>
      <w:lang w:val="en-GB"/>
    </w:rPr>
  </w:style>
  <w:style w:type="character" w:styleId="Siln">
    <w:name w:val="Strong"/>
    <w:basedOn w:val="Standardnpsmoodstavce"/>
    <w:uiPriority w:val="22"/>
    <w:qFormat/>
    <w:rsid w:val="006C0725"/>
    <w:rPr>
      <w:b/>
      <w:bCs/>
    </w:rPr>
  </w:style>
  <w:style w:type="character" w:styleId="Odkaznakoment">
    <w:name w:val="annotation reference"/>
    <w:basedOn w:val="Standardnpsmoodstavce"/>
    <w:uiPriority w:val="99"/>
    <w:semiHidden/>
    <w:unhideWhenUsed/>
    <w:rsid w:val="00A412D0"/>
  </w:style>
  <w:style w:type="paragraph" w:styleId="Textbubliny">
    <w:name w:val="Balloon Text"/>
    <w:basedOn w:val="Normln"/>
    <w:link w:val="TextbublinyChar"/>
    <w:uiPriority w:val="99"/>
    <w:semiHidden/>
    <w:unhideWhenUsed/>
    <w:rsid w:val="000F0318"/>
    <w:rPr>
      <w:rFonts w:ascii="Tahoma" w:hAnsi="Tahoma" w:cs="Tahoma"/>
      <w:sz w:val="16"/>
      <w:szCs w:val="16"/>
    </w:rPr>
  </w:style>
  <w:style w:type="character" w:customStyle="1" w:styleId="TextbublinyChar">
    <w:name w:val="Text bubliny Char"/>
    <w:basedOn w:val="Standardnpsmoodstavce"/>
    <w:link w:val="Textbubliny"/>
    <w:uiPriority w:val="99"/>
    <w:semiHidden/>
    <w:rsid w:val="000F0318"/>
    <w:rPr>
      <w:rFonts w:ascii="Tahoma" w:hAnsi="Tahoma" w:cs="Tahoma"/>
      <w:sz w:val="16"/>
      <w:szCs w:val="16"/>
      <w:lang w:val="en-GB"/>
    </w:rPr>
  </w:style>
  <w:style w:type="paragraph" w:styleId="Revize">
    <w:name w:val="Revision"/>
    <w:hidden/>
    <w:uiPriority w:val="99"/>
    <w:semiHidden/>
    <w:rsid w:val="006C61F0"/>
    <w:rPr>
      <w:sz w:val="24"/>
      <w:szCs w:val="24"/>
      <w:lang w:val="en-GB"/>
    </w:rPr>
  </w:style>
  <w:style w:type="paragraph" w:styleId="Textkomente">
    <w:name w:val="annotation text"/>
    <w:basedOn w:val="Normln"/>
    <w:link w:val="TextkomenteChar"/>
    <w:uiPriority w:val="99"/>
    <w:semiHidden/>
    <w:unhideWhenUsed/>
    <w:rsid w:val="009E3D2A"/>
    <w:rPr>
      <w:sz w:val="20"/>
      <w:szCs w:val="20"/>
    </w:rPr>
  </w:style>
  <w:style w:type="character" w:customStyle="1" w:styleId="TextkomenteChar">
    <w:name w:val="Text komentáře Char"/>
    <w:basedOn w:val="Standardnpsmoodstavce"/>
    <w:link w:val="Textkomente"/>
    <w:uiPriority w:val="99"/>
    <w:semiHidden/>
    <w:rsid w:val="009E3D2A"/>
    <w:rPr>
      <w:lang w:val="en-GB"/>
    </w:rPr>
  </w:style>
  <w:style w:type="paragraph" w:styleId="Pedmtkomente">
    <w:name w:val="annotation subject"/>
    <w:basedOn w:val="Textkomente"/>
    <w:next w:val="Textkomente"/>
    <w:link w:val="PedmtkomenteChar"/>
    <w:uiPriority w:val="99"/>
    <w:semiHidden/>
    <w:unhideWhenUsed/>
    <w:rsid w:val="009E3D2A"/>
    <w:rPr>
      <w:b/>
      <w:bCs/>
    </w:rPr>
  </w:style>
  <w:style w:type="character" w:customStyle="1" w:styleId="PedmtkomenteChar">
    <w:name w:val="Předmět komentáře Char"/>
    <w:basedOn w:val="TextkomenteChar"/>
    <w:link w:val="Pedmtkomente"/>
    <w:uiPriority w:val="99"/>
    <w:semiHidden/>
    <w:rsid w:val="009E3D2A"/>
    <w:rPr>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13051236">
      <w:bodyDiv w:val="1"/>
      <w:marLeft w:val="44"/>
      <w:marRight w:val="44"/>
      <w:marTop w:val="44"/>
      <w:marBottom w:val="11"/>
      <w:divBdr>
        <w:top w:val="none" w:sz="0" w:space="0" w:color="auto"/>
        <w:left w:val="none" w:sz="0" w:space="0" w:color="auto"/>
        <w:bottom w:val="none" w:sz="0" w:space="0" w:color="auto"/>
        <w:right w:val="none" w:sz="0" w:space="0" w:color="auto"/>
      </w:divBdr>
      <w:divsChild>
        <w:div w:id="892161217">
          <w:marLeft w:val="0"/>
          <w:marRight w:val="0"/>
          <w:marTop w:val="0"/>
          <w:marBottom w:val="0"/>
          <w:divBdr>
            <w:top w:val="none" w:sz="0" w:space="0" w:color="auto"/>
            <w:left w:val="none" w:sz="0" w:space="0" w:color="auto"/>
            <w:bottom w:val="none" w:sz="0" w:space="0" w:color="auto"/>
            <w:right w:val="none" w:sz="0" w:space="0" w:color="auto"/>
          </w:divBdr>
        </w:div>
      </w:divsChild>
    </w:div>
    <w:div w:id="1080759108">
      <w:bodyDiv w:val="1"/>
      <w:marLeft w:val="44"/>
      <w:marRight w:val="44"/>
      <w:marTop w:val="44"/>
      <w:marBottom w:val="11"/>
      <w:divBdr>
        <w:top w:val="none" w:sz="0" w:space="0" w:color="auto"/>
        <w:left w:val="none" w:sz="0" w:space="0" w:color="auto"/>
        <w:bottom w:val="none" w:sz="0" w:space="0" w:color="auto"/>
        <w:right w:val="none" w:sz="0" w:space="0" w:color="auto"/>
      </w:divBdr>
      <w:divsChild>
        <w:div w:id="5157330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czso.cz/csu/czso/gdp_national_accounts_ekon"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CF2CAD-D66F-4513-9AE1-6D6EF26A82C3}">
  <ds:schemaRefs>
    <ds:schemaRef ds:uri="http://schemas.openxmlformats.org/officeDocument/2006/bibliography"/>
  </ds:schemaRefs>
</ds:datastoreItem>
</file>

<file path=customXml/itemProps2.xml><?xml version="1.0" encoding="utf-8"?>
<ds:datastoreItem xmlns:ds="http://schemas.openxmlformats.org/officeDocument/2006/customXml" ds:itemID="{EF2FB775-5CBF-48BF-A64A-B219B531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7071</Words>
  <Characters>41720</Characters>
  <Application>Microsoft Office Word</Application>
  <DocSecurity>0</DocSecurity>
  <Lines>347</Lines>
  <Paragraphs>97</Paragraphs>
  <ScaleCrop>false</ScaleCrop>
  <HeadingPairs>
    <vt:vector size="2" baseType="variant">
      <vt:variant>
        <vt:lpstr>Název</vt:lpstr>
      </vt:variant>
      <vt:variant>
        <vt:i4>1</vt:i4>
      </vt:variant>
    </vt:vector>
  </HeadingPairs>
  <TitlesOfParts>
    <vt:vector size="1" baseType="lpstr">
      <vt:lpstr>5</vt:lpstr>
    </vt:vector>
  </TitlesOfParts>
  <Company>csu</Company>
  <LinksUpToDate>false</LinksUpToDate>
  <CharactersWithSpaces>48694</CharactersWithSpaces>
  <SharedDoc>false</SharedDoc>
  <HLinks>
    <vt:vector size="6" baseType="variant">
      <vt:variant>
        <vt:i4>5439604</vt:i4>
      </vt:variant>
      <vt:variant>
        <vt:i4>0</vt:i4>
      </vt:variant>
      <vt:variant>
        <vt:i4>0</vt:i4>
      </vt:variant>
      <vt:variant>
        <vt:i4>5</vt:i4>
      </vt:variant>
      <vt:variant>
        <vt:lpwstr>http://www.czso.cz/eng/redakce.nsf/i/gdp_national_accounts_ekon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creator>csu</dc:creator>
  <cp:lastModifiedBy>Ing. Venuše Novotná</cp:lastModifiedBy>
  <cp:revision>5</cp:revision>
  <cp:lastPrinted>2016-09-08T12:06:00Z</cp:lastPrinted>
  <dcterms:created xsi:type="dcterms:W3CDTF">2016-09-08T12:12:00Z</dcterms:created>
  <dcterms:modified xsi:type="dcterms:W3CDTF">2016-10-25T06:51:00Z</dcterms:modified>
</cp:coreProperties>
</file>