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B6E451" w14:textId="77777777" w:rsidR="00010596" w:rsidRPr="00B131B0" w:rsidRDefault="00010596" w:rsidP="00010596">
      <w:pPr>
        <w:pStyle w:val="Nadpis1"/>
        <w:spacing w:after="120"/>
        <w:rPr>
          <w:lang w:val="en-GB"/>
        </w:rPr>
      </w:pPr>
      <w:bookmarkStart w:id="0" w:name="_Toc224903150"/>
      <w:bookmarkStart w:id="1" w:name="_Toc242958692"/>
      <w:bookmarkStart w:id="2" w:name="_Toc239947454"/>
      <w:r w:rsidRPr="00B131B0">
        <w:rPr>
          <w:lang w:val="en-GB"/>
        </w:rPr>
        <w:t>6. </w:t>
      </w:r>
      <w:r>
        <w:rPr>
          <w:lang w:val="en-GB"/>
        </w:rPr>
        <w:t>Labour Market</w:t>
      </w:r>
      <w:bookmarkEnd w:id="0"/>
      <w:bookmarkEnd w:id="1"/>
    </w:p>
    <w:tbl>
      <w:tblPr>
        <w:tblW w:w="9674" w:type="dxa"/>
        <w:tblInd w:w="-35" w:type="dxa"/>
        <w:tblCellMar>
          <w:left w:w="0" w:type="dxa"/>
          <w:right w:w="0" w:type="dxa"/>
        </w:tblCellMar>
        <w:tblLook w:val="00A0" w:firstRow="1" w:lastRow="0" w:firstColumn="1" w:lastColumn="0" w:noHBand="0" w:noVBand="0"/>
      </w:tblPr>
      <w:tblGrid>
        <w:gridCol w:w="1797"/>
        <w:gridCol w:w="173"/>
        <w:gridCol w:w="7704"/>
      </w:tblGrid>
      <w:tr w:rsidR="00010596" w:rsidRPr="00B131B0" w14:paraId="0740FCE3" w14:textId="77777777" w:rsidTr="00D60677">
        <w:trPr>
          <w:trHeight w:val="155"/>
        </w:trPr>
        <w:tc>
          <w:tcPr>
            <w:tcW w:w="9674" w:type="dxa"/>
            <w:gridSpan w:val="3"/>
            <w:tcMar>
              <w:left w:w="0" w:type="dxa"/>
            </w:tcMar>
          </w:tcPr>
          <w:p w14:paraId="2A61DBFB" w14:textId="77777777" w:rsidR="00010596" w:rsidRPr="00B131B0" w:rsidRDefault="00010596" w:rsidP="00D60677">
            <w:pPr>
              <w:pStyle w:val="Nadpis3"/>
              <w:rPr>
                <w:lang w:val="en-GB"/>
              </w:rPr>
            </w:pPr>
            <w:bookmarkStart w:id="3" w:name="_Toc242958693"/>
            <w:r w:rsidRPr="00B131B0">
              <w:rPr>
                <w:lang w:val="en-GB" w:eastAsia="en-US"/>
              </w:rPr>
              <w:t xml:space="preserve">6.1 </w:t>
            </w:r>
            <w:r>
              <w:rPr>
                <w:lang w:val="en-GB" w:eastAsia="en-US"/>
              </w:rPr>
              <w:t>Employment and unemployment</w:t>
            </w:r>
            <w:bookmarkEnd w:id="3"/>
          </w:p>
        </w:tc>
      </w:tr>
      <w:tr w:rsidR="00010596" w:rsidRPr="007250FE" w14:paraId="60F00094" w14:textId="77777777" w:rsidTr="00D60677">
        <w:trPr>
          <w:trHeight w:val="155"/>
        </w:trPr>
        <w:tc>
          <w:tcPr>
            <w:tcW w:w="1797" w:type="dxa"/>
            <w:tcMar>
              <w:left w:w="0" w:type="dxa"/>
            </w:tcMar>
          </w:tcPr>
          <w:p w14:paraId="633235A1" w14:textId="77777777" w:rsidR="00010596" w:rsidRPr="00B131B0" w:rsidRDefault="00010596" w:rsidP="00D60677">
            <w:pPr>
              <w:pStyle w:val="Marginlie"/>
              <w:spacing w:after="120"/>
              <w:rPr>
                <w:color w:val="EE0000"/>
                <w:spacing w:val="-4"/>
              </w:rPr>
            </w:pPr>
            <w:r w:rsidRPr="00200875">
              <w:rPr>
                <w:color w:val="0D0D0D" w:themeColor="text1" w:themeTint="F2"/>
                <w:spacing w:val="0"/>
              </w:rPr>
              <w:t xml:space="preserve">Employment and unemployment increased slightly. Wage growth maintained a brisk pace owing to more significant imbalances </w:t>
            </w:r>
            <w:r>
              <w:rPr>
                <w:color w:val="0D0D0D" w:themeColor="text1" w:themeTint="F2"/>
                <w:spacing w:val="0"/>
              </w:rPr>
              <w:t>on</w:t>
            </w:r>
            <w:r w:rsidRPr="00200875">
              <w:rPr>
                <w:color w:val="0D0D0D" w:themeColor="text1" w:themeTint="F2"/>
                <w:spacing w:val="0"/>
              </w:rPr>
              <w:t xml:space="preserve"> the labour market. The purchasing power of wages gradually approached the level of 2021.</w:t>
            </w:r>
          </w:p>
        </w:tc>
        <w:tc>
          <w:tcPr>
            <w:tcW w:w="173" w:type="dxa"/>
            <w:tcMar>
              <w:left w:w="0" w:type="dxa"/>
            </w:tcMar>
          </w:tcPr>
          <w:p w14:paraId="18403EED" w14:textId="77777777" w:rsidR="00010596" w:rsidRPr="00B131B0" w:rsidRDefault="00010596" w:rsidP="00D60677">
            <w:pPr>
              <w:pStyle w:val="Textpoznpodarou"/>
              <w:spacing w:after="120"/>
              <w:jc w:val="both"/>
              <w:rPr>
                <w:color w:val="EE0000"/>
                <w:spacing w:val="-4"/>
              </w:rPr>
            </w:pPr>
          </w:p>
        </w:tc>
        <w:tc>
          <w:tcPr>
            <w:tcW w:w="7704" w:type="dxa"/>
            <w:tcMar>
              <w:left w:w="0" w:type="dxa"/>
            </w:tcMar>
          </w:tcPr>
          <w:p w14:paraId="73BAD0FA" w14:textId="77777777" w:rsidR="00010596" w:rsidRPr="0036331C" w:rsidRDefault="00010596" w:rsidP="00D60677">
            <w:pPr>
              <w:rPr>
                <w:color w:val="0D0D0D" w:themeColor="text1" w:themeTint="F2"/>
                <w:spacing w:val="-2"/>
                <w:szCs w:val="20"/>
                <w:lang w:val="en-US"/>
              </w:rPr>
            </w:pPr>
            <w:r w:rsidRPr="00200875">
              <w:rPr>
                <w:color w:val="0D0D0D" w:themeColor="text1" w:themeTint="F2"/>
                <w:spacing w:val="-2"/>
                <w:szCs w:val="20"/>
              </w:rPr>
              <w:t xml:space="preserve">The effects of last year's </w:t>
            </w:r>
            <w:r>
              <w:rPr>
                <w:color w:val="0D0D0D" w:themeColor="text1" w:themeTint="F2"/>
                <w:spacing w:val="-2"/>
                <w:szCs w:val="20"/>
              </w:rPr>
              <w:t xml:space="preserve">mild </w:t>
            </w:r>
            <w:r w:rsidRPr="00200875">
              <w:rPr>
                <w:color w:val="0D0D0D" w:themeColor="text1" w:themeTint="F2"/>
                <w:spacing w:val="-2"/>
                <w:szCs w:val="20"/>
              </w:rPr>
              <w:t xml:space="preserve">acceleration </w:t>
            </w:r>
            <w:r>
              <w:rPr>
                <w:color w:val="0D0D0D" w:themeColor="text1" w:themeTint="F2"/>
                <w:spacing w:val="-2"/>
                <w:szCs w:val="20"/>
              </w:rPr>
              <w:t>of</w:t>
            </w:r>
            <w:r w:rsidRPr="00200875">
              <w:rPr>
                <w:color w:val="0D0D0D" w:themeColor="text1" w:themeTint="F2"/>
                <w:spacing w:val="-2"/>
                <w:szCs w:val="20"/>
              </w:rPr>
              <w:t xml:space="preserve"> economic growth were gradually reflected on the labour market. Moderate growth </w:t>
            </w:r>
            <w:r>
              <w:rPr>
                <w:color w:val="0D0D0D" w:themeColor="text1" w:themeTint="F2"/>
                <w:spacing w:val="-2"/>
                <w:szCs w:val="20"/>
              </w:rPr>
              <w:t>of</w:t>
            </w:r>
            <w:r w:rsidRPr="00200875">
              <w:rPr>
                <w:color w:val="0D0D0D" w:themeColor="text1" w:themeTint="F2"/>
                <w:spacing w:val="-2"/>
                <w:szCs w:val="20"/>
              </w:rPr>
              <w:t xml:space="preserve"> the number of employees and self-employed persons persisted, with the focus continuing to be on services, where the supply of part-time work was also expanding more. Higher investment activity in the economy was reflected in employment in construction. </w:t>
            </w:r>
            <w:r>
              <w:rPr>
                <w:color w:val="0D0D0D" w:themeColor="text1" w:themeTint="F2"/>
                <w:spacing w:val="-2"/>
                <w:szCs w:val="20"/>
              </w:rPr>
              <w:t xml:space="preserve">By contrast employment positions </w:t>
            </w:r>
            <w:r w:rsidRPr="00200875">
              <w:rPr>
                <w:color w:val="0D0D0D" w:themeColor="text1" w:themeTint="F2"/>
                <w:spacing w:val="-2"/>
                <w:szCs w:val="20"/>
              </w:rPr>
              <w:t xml:space="preserve">were declining in industry and the primary sector of the economy. The inflow of workers from abroad, in addition to Ukraine, also from distant Asian countries continued to increase in intensity. Firms' expectations for employment improved over the summer, and the impact of external geopolitical turbulence had not yet been very evident in this area. Unemployment, including its long-term component, continued to rise slightly. The supply of job vacancies rather stagnated and a long-term noticeable structural mismatch between supply and demand persisted. Nominal wages grew steadily, often more rapidly in many low-wage </w:t>
            </w:r>
            <w:r>
              <w:rPr>
                <w:color w:val="0D0D0D" w:themeColor="text1" w:themeTint="F2"/>
                <w:spacing w:val="-2"/>
                <w:szCs w:val="20"/>
              </w:rPr>
              <w:t>branches</w:t>
            </w:r>
            <w:r w:rsidRPr="00200875">
              <w:rPr>
                <w:color w:val="0D0D0D" w:themeColor="text1" w:themeTint="F2"/>
                <w:spacing w:val="-2"/>
                <w:szCs w:val="20"/>
              </w:rPr>
              <w:t xml:space="preserve">. The stabilisation of the price level in the economy led to rapid growth </w:t>
            </w:r>
            <w:r>
              <w:rPr>
                <w:color w:val="0D0D0D" w:themeColor="text1" w:themeTint="F2"/>
                <w:spacing w:val="-2"/>
                <w:szCs w:val="20"/>
              </w:rPr>
              <w:t>of</w:t>
            </w:r>
            <w:r w:rsidRPr="00200875">
              <w:rPr>
                <w:color w:val="0D0D0D" w:themeColor="text1" w:themeTint="F2"/>
                <w:spacing w:val="-2"/>
                <w:szCs w:val="20"/>
              </w:rPr>
              <w:t xml:space="preserve"> real wages, which was evident in all major </w:t>
            </w:r>
            <w:r>
              <w:rPr>
                <w:color w:val="0D0D0D" w:themeColor="text1" w:themeTint="F2"/>
                <w:spacing w:val="-2"/>
                <w:szCs w:val="20"/>
              </w:rPr>
              <w:t>branches in H1 2026.</w:t>
            </w:r>
            <w:r w:rsidRPr="00200875">
              <w:rPr>
                <w:color w:val="0D0D0D" w:themeColor="text1" w:themeTint="F2"/>
                <w:spacing w:val="-2"/>
                <w:szCs w:val="20"/>
              </w:rPr>
              <w:t xml:space="preserve"> The purchasing power of gross employment earnings still lagged slightly below the level of 2021. </w:t>
            </w:r>
          </w:p>
        </w:tc>
      </w:tr>
      <w:tr w:rsidR="00010596" w:rsidRPr="008F375E" w14:paraId="14216B25" w14:textId="77777777" w:rsidTr="00D60677">
        <w:trPr>
          <w:trHeight w:val="155"/>
        </w:trPr>
        <w:tc>
          <w:tcPr>
            <w:tcW w:w="1797" w:type="dxa"/>
            <w:tcMar>
              <w:left w:w="0" w:type="dxa"/>
            </w:tcMar>
          </w:tcPr>
          <w:p w14:paraId="72530E0C" w14:textId="77777777" w:rsidR="00010596" w:rsidRPr="00200875" w:rsidRDefault="00010596" w:rsidP="00D60677">
            <w:pPr>
              <w:pStyle w:val="Marginlie"/>
              <w:spacing w:after="120"/>
              <w:rPr>
                <w:color w:val="0D0D0D" w:themeColor="text1" w:themeTint="F2"/>
                <w:spacing w:val="-4"/>
              </w:rPr>
            </w:pPr>
            <w:r w:rsidRPr="00200875">
              <w:rPr>
                <w:color w:val="0D0D0D" w:themeColor="text1" w:themeTint="F2"/>
                <w:spacing w:val="-4"/>
              </w:rPr>
              <w:t>Moderate quarter-on-quarter employment growth accelerated this year. The number of workers in the Czech Republic has again moved to an all-time high.</w:t>
            </w:r>
          </w:p>
        </w:tc>
        <w:tc>
          <w:tcPr>
            <w:tcW w:w="173" w:type="dxa"/>
            <w:tcMar>
              <w:left w:w="0" w:type="dxa"/>
            </w:tcMar>
          </w:tcPr>
          <w:p w14:paraId="774ECBDB" w14:textId="77777777" w:rsidR="00010596" w:rsidRPr="00200875" w:rsidRDefault="00010596" w:rsidP="00D60677">
            <w:pPr>
              <w:pStyle w:val="Textpoznpodarou"/>
              <w:spacing w:after="120"/>
              <w:jc w:val="both"/>
              <w:rPr>
                <w:color w:val="0D0D0D" w:themeColor="text1" w:themeTint="F2"/>
                <w:spacing w:val="-4"/>
              </w:rPr>
            </w:pPr>
          </w:p>
        </w:tc>
        <w:tc>
          <w:tcPr>
            <w:tcW w:w="7704" w:type="dxa"/>
            <w:tcMar>
              <w:left w:w="0" w:type="dxa"/>
            </w:tcMar>
          </w:tcPr>
          <w:p w14:paraId="24EF872C" w14:textId="77777777" w:rsidR="00010596" w:rsidRPr="0007562A" w:rsidRDefault="00010596" w:rsidP="00D60677">
            <w:pPr>
              <w:rPr>
                <w:spacing w:val="-4"/>
              </w:rPr>
            </w:pPr>
            <w:r w:rsidRPr="0007562A">
              <w:rPr>
                <w:spacing w:val="-4"/>
              </w:rPr>
              <w:t>Moderate employment growth also continued at the beginning of this year. The total number of employees</w:t>
            </w:r>
            <w:r w:rsidRPr="0007562A">
              <w:rPr>
                <w:color w:val="0D0D0D" w:themeColor="text1" w:themeTint="F2"/>
                <w:spacing w:val="-4"/>
                <w:vertAlign w:val="superscript"/>
              </w:rPr>
              <w:footnoteReference w:id="1"/>
            </w:r>
            <w:r w:rsidRPr="0007562A">
              <w:rPr>
                <w:spacing w:val="-4"/>
              </w:rPr>
              <w:t xml:space="preserve"> increased by 0.1%, quarter-on-quarter, in Q1 2026, continuing the weak dynamics from last year. However, the pace accelerated markedly to 0.9% in Q2, mainly due to the improved situation in industry and growing demand for advanced business services (concentrated mainly in professional, scientific, technical and administrative activities). However, the number of workers increased in almost all major branches. Employment in the total economy currently reached a record 5.60 million people and was already 4.2% higher (+224 thousand) compared to the peak value from the last boom period (Q4 2018), which was related, among other things, to the development of public services</w:t>
            </w:r>
            <w:r w:rsidRPr="0007562A">
              <w:rPr>
                <w:rStyle w:val="Znakapoznpodarou"/>
                <w:spacing w:val="-4"/>
              </w:rPr>
              <w:footnoteReference w:id="2"/>
            </w:r>
            <w:r w:rsidRPr="0007562A">
              <w:rPr>
                <w:spacing w:val="-4"/>
              </w:rPr>
              <w:t>.</w:t>
            </w:r>
          </w:p>
        </w:tc>
      </w:tr>
      <w:tr w:rsidR="00010596" w:rsidRPr="008F375E" w14:paraId="64A7DDA4" w14:textId="77777777" w:rsidTr="00D60677">
        <w:trPr>
          <w:trHeight w:val="155"/>
        </w:trPr>
        <w:tc>
          <w:tcPr>
            <w:tcW w:w="1797" w:type="dxa"/>
            <w:tcMar>
              <w:left w:w="0" w:type="dxa"/>
            </w:tcMar>
          </w:tcPr>
          <w:p w14:paraId="61181AD8" w14:textId="77777777" w:rsidR="00010596" w:rsidRPr="008F375E" w:rsidRDefault="00010596" w:rsidP="00D60677">
            <w:pPr>
              <w:pStyle w:val="Marginlie"/>
              <w:rPr>
                <w:color w:val="0D0D0D" w:themeColor="text1" w:themeTint="F2"/>
                <w:spacing w:val="-4"/>
              </w:rPr>
            </w:pPr>
            <w:r w:rsidRPr="008F375E">
              <w:rPr>
                <w:color w:val="0D0D0D" w:themeColor="text1" w:themeTint="F2"/>
                <w:spacing w:val="-4"/>
              </w:rPr>
              <w:t>The slight year-on-year growth of the employ</w:t>
            </w:r>
            <w:r>
              <w:rPr>
                <w:color w:val="0D0D0D" w:themeColor="text1" w:themeTint="F2"/>
                <w:spacing w:val="-4"/>
              </w:rPr>
              <w:t>ment</w:t>
            </w:r>
            <w:r w:rsidRPr="008F375E">
              <w:rPr>
                <w:color w:val="0D0D0D" w:themeColor="text1" w:themeTint="F2"/>
                <w:spacing w:val="-4"/>
              </w:rPr>
              <w:t xml:space="preserve"> was </w:t>
            </w:r>
            <w:r>
              <w:rPr>
                <w:color w:val="0D0D0D" w:themeColor="text1" w:themeTint="F2"/>
                <w:spacing w:val="-4"/>
              </w:rPr>
              <w:t xml:space="preserve">mainly </w:t>
            </w:r>
            <w:r w:rsidRPr="008F375E">
              <w:rPr>
                <w:color w:val="0D0D0D" w:themeColor="text1" w:themeTint="F2"/>
                <w:spacing w:val="-4"/>
              </w:rPr>
              <w:t xml:space="preserve">due to employees, but also small entrepreneurs, whose role increased in a number of market services branches. </w:t>
            </w:r>
          </w:p>
          <w:p w14:paraId="74CAB758" w14:textId="77777777" w:rsidR="00010596" w:rsidRPr="008F375E" w:rsidRDefault="00010596" w:rsidP="00D60677">
            <w:pPr>
              <w:pStyle w:val="Marginlie"/>
              <w:rPr>
                <w:color w:val="0D0D0D" w:themeColor="text1" w:themeTint="F2"/>
                <w:spacing w:val="-4"/>
              </w:rPr>
            </w:pPr>
          </w:p>
          <w:p w14:paraId="1FE893DF" w14:textId="77777777" w:rsidR="00010596" w:rsidRPr="008F375E" w:rsidRDefault="00010596" w:rsidP="00D60677">
            <w:pPr>
              <w:pStyle w:val="Marginlie"/>
              <w:rPr>
                <w:color w:val="0D0D0D" w:themeColor="text1" w:themeTint="F2"/>
                <w:spacing w:val="-4"/>
              </w:rPr>
            </w:pPr>
          </w:p>
          <w:p w14:paraId="387D90E1" w14:textId="77777777" w:rsidR="00010596" w:rsidRDefault="00010596" w:rsidP="00D60677">
            <w:pPr>
              <w:pStyle w:val="Marginlie"/>
              <w:rPr>
                <w:color w:val="0D0D0D" w:themeColor="text1" w:themeTint="F2"/>
                <w:spacing w:val="-4"/>
              </w:rPr>
            </w:pPr>
          </w:p>
          <w:p w14:paraId="442BCA6D" w14:textId="77777777" w:rsidR="00010596" w:rsidRDefault="00010596" w:rsidP="00D60677">
            <w:pPr>
              <w:pStyle w:val="Marginlie"/>
              <w:rPr>
                <w:color w:val="0D0D0D" w:themeColor="text1" w:themeTint="F2"/>
                <w:spacing w:val="-4"/>
              </w:rPr>
            </w:pPr>
          </w:p>
          <w:p w14:paraId="5F018466" w14:textId="77777777" w:rsidR="00010596" w:rsidRDefault="00010596" w:rsidP="00D60677">
            <w:pPr>
              <w:pStyle w:val="Marginlie"/>
              <w:rPr>
                <w:color w:val="0D0D0D" w:themeColor="text1" w:themeTint="F2"/>
                <w:spacing w:val="-4"/>
              </w:rPr>
            </w:pPr>
          </w:p>
          <w:p w14:paraId="58411DDC" w14:textId="77777777" w:rsidR="00010596" w:rsidRDefault="00010596" w:rsidP="00D60677">
            <w:pPr>
              <w:pStyle w:val="Marginlie"/>
              <w:rPr>
                <w:color w:val="0D0D0D" w:themeColor="text1" w:themeTint="F2"/>
                <w:spacing w:val="-4"/>
              </w:rPr>
            </w:pPr>
          </w:p>
          <w:p w14:paraId="552374D6" w14:textId="77777777" w:rsidR="00010596" w:rsidRPr="008F375E" w:rsidRDefault="00010596" w:rsidP="00D60677">
            <w:pPr>
              <w:pStyle w:val="Marginlie"/>
              <w:rPr>
                <w:color w:val="0D0D0D" w:themeColor="text1" w:themeTint="F2"/>
                <w:spacing w:val="-4"/>
              </w:rPr>
            </w:pPr>
          </w:p>
          <w:p w14:paraId="4C460F81" w14:textId="77777777" w:rsidR="00010596" w:rsidRPr="008F375E" w:rsidRDefault="00010596" w:rsidP="00D60677">
            <w:pPr>
              <w:pStyle w:val="Marginlie"/>
              <w:rPr>
                <w:color w:val="0D0D0D" w:themeColor="text1" w:themeTint="F2"/>
                <w:spacing w:val="-4"/>
              </w:rPr>
            </w:pPr>
            <w:r w:rsidRPr="008F375E">
              <w:rPr>
                <w:color w:val="0D0D0D" w:themeColor="text1" w:themeTint="F2"/>
                <w:spacing w:val="0"/>
              </w:rPr>
              <w:lastRenderedPageBreak/>
              <w:t>Employment growth in public services was the highest in the last 4.5 years. More advanced business services, real estate and tourism-related industries also did well.</w:t>
            </w:r>
            <w:r w:rsidRPr="008F375E">
              <w:rPr>
                <w:color w:val="0D0D0D" w:themeColor="text1" w:themeTint="F2"/>
                <w:spacing w:val="-4"/>
              </w:rPr>
              <w:t xml:space="preserve"> </w:t>
            </w:r>
          </w:p>
          <w:p w14:paraId="36CDB8EE" w14:textId="77777777" w:rsidR="00010596" w:rsidRPr="008F375E" w:rsidRDefault="00010596" w:rsidP="00D60677">
            <w:pPr>
              <w:pStyle w:val="Marginlie"/>
              <w:rPr>
                <w:color w:val="0D0D0D" w:themeColor="text1" w:themeTint="F2"/>
                <w:spacing w:val="-4"/>
              </w:rPr>
            </w:pPr>
          </w:p>
          <w:p w14:paraId="0D3C5FFA" w14:textId="77777777" w:rsidR="00010596" w:rsidRPr="008F375E" w:rsidRDefault="00010596" w:rsidP="00D60677">
            <w:pPr>
              <w:pStyle w:val="Marginlie"/>
              <w:rPr>
                <w:color w:val="0D0D0D" w:themeColor="text1" w:themeTint="F2"/>
                <w:spacing w:val="-4"/>
              </w:rPr>
            </w:pPr>
          </w:p>
          <w:p w14:paraId="603AA14E" w14:textId="77777777" w:rsidR="00010596" w:rsidRPr="008F375E" w:rsidRDefault="00010596" w:rsidP="00D60677">
            <w:pPr>
              <w:pStyle w:val="Marginlie"/>
              <w:rPr>
                <w:color w:val="0D0D0D" w:themeColor="text1" w:themeTint="F2"/>
                <w:spacing w:val="0"/>
              </w:rPr>
            </w:pPr>
          </w:p>
        </w:tc>
        <w:tc>
          <w:tcPr>
            <w:tcW w:w="173" w:type="dxa"/>
            <w:tcMar>
              <w:left w:w="0" w:type="dxa"/>
            </w:tcMar>
          </w:tcPr>
          <w:p w14:paraId="444B22F9" w14:textId="77777777" w:rsidR="00010596" w:rsidRPr="008F375E" w:rsidRDefault="00010596" w:rsidP="00D60677">
            <w:pPr>
              <w:pStyle w:val="Textpoznpodarou"/>
              <w:spacing w:after="120"/>
              <w:jc w:val="both"/>
              <w:rPr>
                <w:color w:val="0D0D0D" w:themeColor="text1" w:themeTint="F2"/>
                <w:spacing w:val="-4"/>
              </w:rPr>
            </w:pPr>
          </w:p>
        </w:tc>
        <w:tc>
          <w:tcPr>
            <w:tcW w:w="7704" w:type="dxa"/>
            <w:tcMar>
              <w:left w:w="0" w:type="dxa"/>
            </w:tcMar>
          </w:tcPr>
          <w:p w14:paraId="11898B0B" w14:textId="77777777" w:rsidR="00010596" w:rsidRPr="008F375E" w:rsidRDefault="00010596" w:rsidP="00D60677">
            <w:pPr>
              <w:rPr>
                <w:spacing w:val="-2"/>
              </w:rPr>
            </w:pPr>
            <w:r w:rsidRPr="008F375E">
              <w:rPr>
                <w:spacing w:val="-2"/>
              </w:rPr>
              <w:t>Total employment increased by 1.3%</w:t>
            </w:r>
            <w:r w:rsidRPr="00F15523">
              <w:rPr>
                <w:rStyle w:val="Znakapoznpodarou"/>
                <w:spacing w:val="-2"/>
              </w:rPr>
              <w:footnoteReference w:id="3"/>
            </w:r>
            <w:r w:rsidRPr="00F15523">
              <w:rPr>
                <w:spacing w:val="-2"/>
              </w:rPr>
              <w:t>,</w:t>
            </w:r>
            <w:r w:rsidRPr="008F375E">
              <w:rPr>
                <w:spacing w:val="-2"/>
              </w:rPr>
              <w:t xml:space="preserve"> year-on-year, in H1 and it strengthened almost identically throughout last year. Two-thirds of the current growth was contributed by employees (+49 thousand, +1.0%), </w:t>
            </w:r>
            <w:r>
              <w:rPr>
                <w:spacing w:val="-2"/>
              </w:rPr>
              <w:t xml:space="preserve">nevertheless </w:t>
            </w:r>
            <w:r w:rsidRPr="008F375E">
              <w:rPr>
                <w:spacing w:val="-2"/>
              </w:rPr>
              <w:t xml:space="preserve">the number of self-employed increased at a relatively stronger pace (+2.7%), which was true for most of the period after the pandemic subsided. From the </w:t>
            </w:r>
            <w:r>
              <w:rPr>
                <w:spacing w:val="-2"/>
              </w:rPr>
              <w:t>branches</w:t>
            </w:r>
            <w:r w:rsidRPr="008F375E">
              <w:rPr>
                <w:spacing w:val="-2"/>
              </w:rPr>
              <w:t>' point of view, public services</w:t>
            </w:r>
            <w:r w:rsidRPr="008F375E">
              <w:rPr>
                <w:rStyle w:val="Znakapoznpodarou"/>
                <w:spacing w:val="-2"/>
              </w:rPr>
              <w:footnoteReference w:id="4"/>
            </w:r>
            <w:r w:rsidRPr="008F375E">
              <w:rPr>
                <w:spacing w:val="-2"/>
              </w:rPr>
              <w:t xml:space="preserve"> continued to have a crucial impact on the </w:t>
            </w:r>
            <w:r>
              <w:rPr>
                <w:spacing w:val="-2"/>
              </w:rPr>
              <w:t xml:space="preserve">total </w:t>
            </w:r>
            <w:r w:rsidRPr="008F375E">
              <w:rPr>
                <w:spacing w:val="-2"/>
              </w:rPr>
              <w:t xml:space="preserve">employment dynamics in the economy. </w:t>
            </w:r>
            <w:r w:rsidRPr="00060C1D">
              <w:rPr>
                <w:spacing w:val="-2"/>
              </w:rPr>
              <w:t>This is because 2.3% more people worked in them</w:t>
            </w:r>
            <w:r>
              <w:rPr>
                <w:spacing w:val="-2"/>
              </w:rPr>
              <w:t>,</w:t>
            </w:r>
            <w:r w:rsidRPr="00060C1D">
              <w:rPr>
                <w:spacing w:val="-2"/>
              </w:rPr>
              <w:t xml:space="preserve"> year-on-year, and all </w:t>
            </w:r>
            <w:r>
              <w:rPr>
                <w:spacing w:val="-2"/>
              </w:rPr>
              <w:t xml:space="preserve">branches </w:t>
            </w:r>
            <w:r w:rsidRPr="00060C1D">
              <w:rPr>
                <w:spacing w:val="-2"/>
              </w:rPr>
              <w:t xml:space="preserve">contributed to this increase, the highest in the last four and a half years (mostly </w:t>
            </w:r>
            <w:r>
              <w:rPr>
                <w:spacing w:val="-2"/>
              </w:rPr>
              <w:t xml:space="preserve">human </w:t>
            </w:r>
            <w:r w:rsidRPr="00060C1D">
              <w:rPr>
                <w:spacing w:val="-2"/>
              </w:rPr>
              <w:t xml:space="preserve">health and social </w:t>
            </w:r>
            <w:r>
              <w:rPr>
                <w:spacing w:val="-2"/>
              </w:rPr>
              <w:t>work together</w:t>
            </w:r>
            <w:r w:rsidRPr="00060C1D">
              <w:rPr>
                <w:spacing w:val="-2"/>
              </w:rPr>
              <w:t xml:space="preserve"> with education). Employment also increased at the same pace in long-term </w:t>
            </w:r>
            <w:r>
              <w:rPr>
                <w:spacing w:val="-2"/>
              </w:rPr>
              <w:t xml:space="preserve">developing </w:t>
            </w:r>
            <w:r w:rsidRPr="00060C1D">
              <w:rPr>
                <w:spacing w:val="-2"/>
              </w:rPr>
              <w:t>professional, scientific, technical and administrative activities, this year largely thanks to the unprecedentedly strong growth of the self-employed</w:t>
            </w:r>
            <w:r w:rsidRPr="008F375E">
              <w:rPr>
                <w:rStyle w:val="Znakapoznpodarou"/>
                <w:spacing w:val="-2"/>
              </w:rPr>
              <w:footnoteReference w:id="5"/>
            </w:r>
            <w:r w:rsidRPr="00060C1D">
              <w:rPr>
                <w:spacing w:val="-2"/>
              </w:rPr>
              <w:t xml:space="preserve">. This segment also significantly </w:t>
            </w:r>
            <w:r w:rsidRPr="0007562A">
              <w:rPr>
                <w:spacing w:val="-4"/>
              </w:rPr>
              <w:lastRenderedPageBreak/>
              <w:t>supported growth in the diverse sector of other activities</w:t>
            </w:r>
            <w:r w:rsidRPr="0007562A">
              <w:rPr>
                <w:rStyle w:val="Znakapoznpodarou"/>
                <w:spacing w:val="-4"/>
              </w:rPr>
              <w:footnoteReference w:id="6"/>
            </w:r>
            <w:r w:rsidRPr="0007562A">
              <w:rPr>
                <w:spacing w:val="-4"/>
              </w:rPr>
              <w:t xml:space="preserve"> (+3.7%) and also contributed to a slight recovery of total employment in financial and insurance activities (+2.6%).  On the contrary, in fact, only employees contributed to an increase in the number of employees in the relatively small and specific real estate sector (+5.8%)</w:t>
            </w:r>
            <w:r w:rsidRPr="0007562A">
              <w:rPr>
                <w:rStyle w:val="Znakapoznpodarou"/>
                <w:spacing w:val="-4"/>
              </w:rPr>
              <w:footnoteReference w:id="7"/>
            </w:r>
            <w:r w:rsidRPr="0007562A">
              <w:rPr>
                <w:spacing w:val="-4"/>
              </w:rPr>
              <w:t>. The increase of workers rose very gradually in the remaining service areas. Growth slowed down to 0.8% in the grouping trade, transport, accommodation and food service activities this year, i.e. the slowest pace in the last three and a half years. On the one hand, tourism-related activities continued to develop here, but at the same time, there was no increase of jobs in the more important segments (trade, transport and storage). In addition, growth in this group continued to be driven only by employees (the number of self-employed persons stagnated and still lagged behind the 2019 level). In information and communication, total employment increased by 1.3%, nevertheless it was the slowest pace in H1 this year in the last eleven years</w:t>
            </w:r>
            <w:r w:rsidRPr="0007562A">
              <w:rPr>
                <w:rStyle w:val="Znakapoznpodarou"/>
                <w:spacing w:val="-4"/>
              </w:rPr>
              <w:footnoteReference w:id="8"/>
            </w:r>
            <w:r w:rsidRPr="0007562A">
              <w:rPr>
                <w:spacing w:val="-4"/>
              </w:rPr>
              <w:t>.</w:t>
            </w:r>
          </w:p>
        </w:tc>
      </w:tr>
      <w:tr w:rsidR="00010596" w:rsidRPr="00B131B0" w14:paraId="2E864192" w14:textId="77777777" w:rsidTr="00D60677">
        <w:trPr>
          <w:trHeight w:val="155"/>
        </w:trPr>
        <w:tc>
          <w:tcPr>
            <w:tcW w:w="1797" w:type="dxa"/>
            <w:tcMar>
              <w:left w:w="0" w:type="dxa"/>
            </w:tcMar>
          </w:tcPr>
          <w:p w14:paraId="16EEC2B5" w14:textId="77777777" w:rsidR="00010596" w:rsidRPr="00F934BA" w:rsidRDefault="00010596" w:rsidP="00D60677">
            <w:pPr>
              <w:pStyle w:val="Marginlie"/>
              <w:rPr>
                <w:color w:val="0D0D0D" w:themeColor="text1" w:themeTint="F2"/>
                <w:lang w:val="en"/>
              </w:rPr>
            </w:pPr>
            <w:r>
              <w:rPr>
                <w:color w:val="0D0D0D" w:themeColor="text1" w:themeTint="F2"/>
                <w:lang w:val="en"/>
              </w:rPr>
              <w:lastRenderedPageBreak/>
              <w:t>E</w:t>
            </w:r>
            <w:r w:rsidRPr="00F934BA">
              <w:rPr>
                <w:color w:val="0D0D0D" w:themeColor="text1" w:themeTint="F2"/>
                <w:lang w:val="en"/>
              </w:rPr>
              <w:t>mployees contributed mainly to the rapid growth in construction</w:t>
            </w:r>
            <w:r>
              <w:rPr>
                <w:color w:val="0D0D0D" w:themeColor="text1" w:themeTint="F2"/>
                <w:lang w:val="en"/>
              </w:rPr>
              <w:t xml:space="preserve"> this year</w:t>
            </w:r>
            <w:r w:rsidRPr="00F934BA">
              <w:rPr>
                <w:color w:val="0D0D0D" w:themeColor="text1" w:themeTint="F2"/>
                <w:lang w:val="en"/>
              </w:rPr>
              <w:t>. Employment in manufacturing and agriculture continued to decline slightly.</w:t>
            </w:r>
          </w:p>
          <w:p w14:paraId="60B06355" w14:textId="77777777" w:rsidR="00010596" w:rsidRPr="00CF7B9A" w:rsidRDefault="00010596" w:rsidP="00D60677">
            <w:pPr>
              <w:pStyle w:val="Marginlie"/>
              <w:rPr>
                <w:color w:val="0D0D0D" w:themeColor="text1" w:themeTint="F2"/>
              </w:rPr>
            </w:pPr>
            <w:r w:rsidRPr="00CF7B9A">
              <w:rPr>
                <w:color w:val="0D0D0D" w:themeColor="text1" w:themeTint="F2"/>
                <w:spacing w:val="-4"/>
              </w:rPr>
              <w:t xml:space="preserve"> </w:t>
            </w:r>
          </w:p>
        </w:tc>
        <w:tc>
          <w:tcPr>
            <w:tcW w:w="173" w:type="dxa"/>
            <w:tcMar>
              <w:left w:w="0" w:type="dxa"/>
            </w:tcMar>
          </w:tcPr>
          <w:p w14:paraId="69DF9BF4" w14:textId="77777777" w:rsidR="00010596" w:rsidRPr="00CF7B9A" w:rsidRDefault="00010596" w:rsidP="00D60677">
            <w:pPr>
              <w:pStyle w:val="Textpoznpodarou"/>
              <w:spacing w:after="120"/>
              <w:jc w:val="both"/>
              <w:rPr>
                <w:color w:val="0D0D0D" w:themeColor="text1" w:themeTint="F2"/>
                <w:spacing w:val="-4"/>
              </w:rPr>
            </w:pPr>
          </w:p>
        </w:tc>
        <w:tc>
          <w:tcPr>
            <w:tcW w:w="7704" w:type="dxa"/>
            <w:tcMar>
              <w:left w:w="0" w:type="dxa"/>
            </w:tcMar>
          </w:tcPr>
          <w:p w14:paraId="426EC4F2" w14:textId="77777777" w:rsidR="00010596" w:rsidRPr="00CF7B9A" w:rsidRDefault="00010596" w:rsidP="00D60677">
            <w:pPr>
              <w:rPr>
                <w:color w:val="0D0D0D" w:themeColor="text1" w:themeTint="F2"/>
              </w:rPr>
            </w:pPr>
            <w:r w:rsidRPr="00CF7B9A">
              <w:rPr>
                <w:color w:val="0D0D0D" w:themeColor="text1" w:themeTint="F2"/>
              </w:rPr>
              <w:t>Outside the services sector, the number of workers increased (similarly to the total for the whole of last year) mainly in construction (+2.4%)</w:t>
            </w:r>
            <w:r>
              <w:rPr>
                <w:color w:val="0D0D0D" w:themeColor="text1" w:themeTint="F2"/>
              </w:rPr>
              <w:t xml:space="preserve"> this year</w:t>
            </w:r>
            <w:r w:rsidRPr="00CF7B9A">
              <w:rPr>
                <w:color w:val="0D0D0D" w:themeColor="text1" w:themeTint="F2"/>
              </w:rPr>
              <w:t xml:space="preserve">. While the growth in 2025 was significantly </w:t>
            </w:r>
            <w:r>
              <w:rPr>
                <w:color w:val="0D0D0D" w:themeColor="text1" w:themeTint="F2"/>
              </w:rPr>
              <w:t xml:space="preserve">aided </w:t>
            </w:r>
            <w:r w:rsidRPr="00CF7B9A">
              <w:rPr>
                <w:color w:val="0D0D0D" w:themeColor="text1" w:themeTint="F2"/>
              </w:rPr>
              <w:t xml:space="preserve">by small entrepreneurs, it was largely driven by the employees themselves, whose growth rate was among the highest in the </w:t>
            </w:r>
            <w:r>
              <w:rPr>
                <w:color w:val="0D0D0D" w:themeColor="text1" w:themeTint="F2"/>
              </w:rPr>
              <w:t>“</w:t>
            </w:r>
            <w:r w:rsidRPr="00CF7B9A">
              <w:rPr>
                <w:color w:val="0D0D0D" w:themeColor="text1" w:themeTint="F2"/>
              </w:rPr>
              <w:t>post-pandemic period</w:t>
            </w:r>
            <w:r>
              <w:rPr>
                <w:color w:val="0D0D0D" w:themeColor="text1" w:themeTint="F2"/>
              </w:rPr>
              <w:t>” this year</w:t>
            </w:r>
            <w:r w:rsidRPr="00CF7B9A">
              <w:rPr>
                <w:color w:val="0D0D0D" w:themeColor="text1" w:themeTint="F2"/>
              </w:rPr>
              <w:t>.</w:t>
            </w:r>
            <w:r>
              <w:rPr>
                <w:color w:val="0D0D0D" w:themeColor="text1" w:themeTint="F2"/>
              </w:rPr>
              <w:t xml:space="preserve"> A </w:t>
            </w:r>
            <w:r w:rsidRPr="00CF7B9A">
              <w:rPr>
                <w:color w:val="0D0D0D" w:themeColor="text1" w:themeTint="F2"/>
              </w:rPr>
              <w:t xml:space="preserve">slight but longer-term decline </w:t>
            </w:r>
            <w:r>
              <w:rPr>
                <w:color w:val="0D0D0D" w:themeColor="text1" w:themeTint="F2"/>
              </w:rPr>
              <w:t>of</w:t>
            </w:r>
            <w:r w:rsidRPr="00CF7B9A">
              <w:rPr>
                <w:color w:val="0D0D0D" w:themeColor="text1" w:themeTint="F2"/>
              </w:rPr>
              <w:t xml:space="preserve"> employment continued</w:t>
            </w:r>
            <w:r>
              <w:rPr>
                <w:color w:val="0D0D0D" w:themeColor="text1" w:themeTint="F2"/>
              </w:rPr>
              <w:t xml:space="preserve"> in manufacturing</w:t>
            </w:r>
            <w:r w:rsidRPr="00CF7B9A">
              <w:rPr>
                <w:color w:val="0D0D0D" w:themeColor="text1" w:themeTint="F2"/>
              </w:rPr>
              <w:t xml:space="preserve"> (by 0.5%</w:t>
            </w:r>
            <w:r>
              <w:rPr>
                <w:color w:val="0D0D0D" w:themeColor="text1" w:themeTint="F2"/>
              </w:rPr>
              <w:t>,</w:t>
            </w:r>
            <w:r w:rsidRPr="00CF7B9A">
              <w:rPr>
                <w:color w:val="0D0D0D" w:themeColor="text1" w:themeTint="F2"/>
              </w:rPr>
              <w:t xml:space="preserve"> year-on-year</w:t>
            </w:r>
            <w:r>
              <w:rPr>
                <w:color w:val="0D0D0D" w:themeColor="text1" w:themeTint="F2"/>
              </w:rPr>
              <w:t>,</w:t>
            </w:r>
            <w:r w:rsidRPr="00CF7B9A">
              <w:rPr>
                <w:color w:val="0D0D0D" w:themeColor="text1" w:themeTint="F2"/>
              </w:rPr>
              <w:t xml:space="preserve"> in </w:t>
            </w:r>
            <w:r>
              <w:rPr>
                <w:color w:val="0D0D0D" w:themeColor="text1" w:themeTint="F2"/>
              </w:rPr>
              <w:t>H1</w:t>
            </w:r>
            <w:r w:rsidRPr="00CF7B9A">
              <w:rPr>
                <w:color w:val="0D0D0D" w:themeColor="text1" w:themeTint="F2"/>
              </w:rPr>
              <w:t xml:space="preserve">). This did not avoid </w:t>
            </w:r>
            <w:r>
              <w:rPr>
                <w:color w:val="0D0D0D" w:themeColor="text1" w:themeTint="F2"/>
              </w:rPr>
              <w:t xml:space="preserve">even the </w:t>
            </w:r>
            <w:r w:rsidRPr="00CF7B9A">
              <w:rPr>
                <w:color w:val="0D0D0D" w:themeColor="text1" w:themeTint="F2"/>
              </w:rPr>
              <w:t>most traditional export sectors. A sign of stabilisation or a slight recovery can be observed in the small business segment</w:t>
            </w:r>
            <w:r w:rsidRPr="00CF7B9A">
              <w:rPr>
                <w:rStyle w:val="Znakapoznpodarou"/>
                <w:color w:val="0D0D0D" w:themeColor="text1" w:themeTint="F2"/>
              </w:rPr>
              <w:footnoteReference w:id="9"/>
            </w:r>
            <w:r w:rsidRPr="00CF7B9A">
              <w:rPr>
                <w:color w:val="0D0D0D" w:themeColor="text1" w:themeTint="F2"/>
              </w:rPr>
              <w:t xml:space="preserve">. </w:t>
            </w:r>
            <w:r>
              <w:rPr>
                <w:color w:val="0D0D0D" w:themeColor="text1" w:themeTint="F2"/>
              </w:rPr>
              <w:t>E</w:t>
            </w:r>
            <w:r w:rsidRPr="00CF7B9A">
              <w:rPr>
                <w:color w:val="0D0D0D" w:themeColor="text1" w:themeTint="F2"/>
              </w:rPr>
              <w:t>mployment increased slightly (+2.5%)</w:t>
            </w:r>
            <w:r>
              <w:rPr>
                <w:color w:val="0D0D0D" w:themeColor="text1" w:themeTint="F2"/>
              </w:rPr>
              <w:t xml:space="preserve"> in other industry</w:t>
            </w:r>
            <w:r w:rsidRPr="00CF7B9A">
              <w:rPr>
                <w:color w:val="0D0D0D" w:themeColor="text1" w:themeTint="F2"/>
              </w:rPr>
              <w:t xml:space="preserve">, as the effects of the deep downturn in mining and quarrying were offset by growing employment in the energy sector and in water and waste management. </w:t>
            </w:r>
            <w:r>
              <w:rPr>
                <w:color w:val="0D0D0D" w:themeColor="text1" w:themeTint="F2"/>
              </w:rPr>
              <w:t>T</w:t>
            </w:r>
            <w:r w:rsidRPr="00CF7B9A">
              <w:rPr>
                <w:color w:val="0D0D0D" w:themeColor="text1" w:themeTint="F2"/>
              </w:rPr>
              <w:t>he number of workers decreased by 2%, similarly to la</w:t>
            </w:r>
            <w:r>
              <w:rPr>
                <w:color w:val="0D0D0D" w:themeColor="text1" w:themeTint="F2"/>
              </w:rPr>
              <w:t>s</w:t>
            </w:r>
            <w:r w:rsidRPr="00CF7B9A">
              <w:rPr>
                <w:color w:val="0D0D0D" w:themeColor="text1" w:themeTint="F2"/>
              </w:rPr>
              <w:t>t year</w:t>
            </w:r>
            <w:r>
              <w:rPr>
                <w:color w:val="0D0D0D" w:themeColor="text1" w:themeTint="F2"/>
              </w:rPr>
              <w:t xml:space="preserve"> i</w:t>
            </w:r>
            <w:r w:rsidRPr="00CF7B9A">
              <w:rPr>
                <w:color w:val="0D0D0D" w:themeColor="text1" w:themeTint="F2"/>
              </w:rPr>
              <w:t>n the primary sector of agriculture, forestry and fish</w:t>
            </w:r>
            <w:r>
              <w:rPr>
                <w:color w:val="0D0D0D" w:themeColor="text1" w:themeTint="F2"/>
              </w:rPr>
              <w:t>ing</w:t>
            </w:r>
            <w:r w:rsidRPr="00CF7B9A">
              <w:rPr>
                <w:color w:val="0D0D0D" w:themeColor="text1" w:themeTint="F2"/>
              </w:rPr>
              <w:t>, mainly due to a more pronounced decline in the important category of self-employed. The sector as a whole continued to struggle with increased cost pressures and increasing import competition, which had a negative impact on the profitability of a number of types of agricultural and crop production.</w:t>
            </w:r>
            <w:r w:rsidRPr="00CF7B9A">
              <w:t xml:space="preserve"> </w:t>
            </w:r>
          </w:p>
        </w:tc>
      </w:tr>
      <w:tr w:rsidR="00010596" w:rsidRPr="00B131B0" w14:paraId="3FCEDC6F" w14:textId="77777777" w:rsidTr="00D60677">
        <w:trPr>
          <w:trHeight w:val="155"/>
        </w:trPr>
        <w:tc>
          <w:tcPr>
            <w:tcW w:w="1797" w:type="dxa"/>
            <w:tcMar>
              <w:left w:w="0" w:type="dxa"/>
            </w:tcMar>
          </w:tcPr>
          <w:p w14:paraId="6F8E46B8" w14:textId="77777777" w:rsidR="00010596" w:rsidRPr="00B131B0" w:rsidRDefault="00010596" w:rsidP="00D60677">
            <w:pPr>
              <w:pStyle w:val="Marginlie"/>
              <w:spacing w:after="120"/>
              <w:rPr>
                <w:color w:val="0D0D0D" w:themeColor="text1" w:themeTint="F2"/>
                <w:spacing w:val="-4"/>
              </w:rPr>
            </w:pPr>
            <w:r w:rsidRPr="00FA7F2F">
              <w:rPr>
                <w:color w:val="0D0D0D" w:themeColor="text1" w:themeTint="F2"/>
                <w:spacing w:val="-4"/>
              </w:rPr>
              <w:t xml:space="preserve">The number of hours worked continued to grow more rapidly than the physical number of employees in most </w:t>
            </w:r>
            <w:r>
              <w:rPr>
                <w:color w:val="0D0D0D" w:themeColor="text1" w:themeTint="F2"/>
                <w:spacing w:val="-4"/>
              </w:rPr>
              <w:t xml:space="preserve">branches. </w:t>
            </w:r>
            <w:r w:rsidRPr="00B131B0">
              <w:rPr>
                <w:color w:val="0D0D0D" w:themeColor="text1" w:themeTint="F2"/>
                <w:spacing w:val="-4"/>
              </w:rPr>
              <w:t xml:space="preserve"> </w:t>
            </w:r>
          </w:p>
        </w:tc>
        <w:tc>
          <w:tcPr>
            <w:tcW w:w="173" w:type="dxa"/>
            <w:tcMar>
              <w:left w:w="0" w:type="dxa"/>
            </w:tcMar>
          </w:tcPr>
          <w:p w14:paraId="403BE207" w14:textId="77777777" w:rsidR="00010596" w:rsidRPr="00B131B0" w:rsidRDefault="00010596" w:rsidP="00D60677">
            <w:pPr>
              <w:pStyle w:val="Textpoznpodarou"/>
              <w:spacing w:after="120"/>
              <w:jc w:val="both"/>
              <w:rPr>
                <w:color w:val="0D0D0D" w:themeColor="text1" w:themeTint="F2"/>
                <w:spacing w:val="-4"/>
              </w:rPr>
            </w:pPr>
          </w:p>
        </w:tc>
        <w:tc>
          <w:tcPr>
            <w:tcW w:w="7704" w:type="dxa"/>
            <w:tcMar>
              <w:left w:w="0" w:type="dxa"/>
            </w:tcMar>
          </w:tcPr>
          <w:p w14:paraId="545AF0A5" w14:textId="77777777" w:rsidR="00010596" w:rsidRPr="00B131B0" w:rsidRDefault="00010596" w:rsidP="00D60677">
            <w:pPr>
              <w:rPr>
                <w:color w:val="0D0D0D" w:themeColor="text1" w:themeTint="F2"/>
                <w:spacing w:val="-4"/>
              </w:rPr>
            </w:pPr>
            <w:r w:rsidRPr="00BD05F4">
              <w:rPr>
                <w:color w:val="0D0D0D" w:themeColor="text1" w:themeTint="F2"/>
              </w:rPr>
              <w:t xml:space="preserve">The year-on-year growth </w:t>
            </w:r>
            <w:r>
              <w:rPr>
                <w:color w:val="0D0D0D" w:themeColor="text1" w:themeTint="F2"/>
              </w:rPr>
              <w:t>of</w:t>
            </w:r>
            <w:r w:rsidRPr="00BD05F4">
              <w:rPr>
                <w:color w:val="0D0D0D" w:themeColor="text1" w:themeTint="F2"/>
              </w:rPr>
              <w:t xml:space="preserve"> the total number of hours worked</w:t>
            </w:r>
            <w:r w:rsidRPr="00B131B0">
              <w:rPr>
                <w:rStyle w:val="Znakapoznpodarou"/>
                <w:color w:val="0D0D0D" w:themeColor="text1" w:themeTint="F2"/>
              </w:rPr>
              <w:footnoteReference w:id="10"/>
            </w:r>
            <w:r w:rsidRPr="00BD05F4">
              <w:rPr>
                <w:color w:val="0D0D0D" w:themeColor="text1" w:themeTint="F2"/>
              </w:rPr>
              <w:t xml:space="preserve"> in the economy rose in </w:t>
            </w:r>
            <w:r>
              <w:rPr>
                <w:color w:val="0D0D0D" w:themeColor="text1" w:themeTint="F2"/>
              </w:rPr>
              <w:t xml:space="preserve">H1 </w:t>
            </w:r>
            <w:r w:rsidRPr="00BD05F4">
              <w:rPr>
                <w:color w:val="0D0D0D" w:themeColor="text1" w:themeTint="F2"/>
              </w:rPr>
              <w:t xml:space="preserve">this year by the highest </w:t>
            </w:r>
            <w:r>
              <w:rPr>
                <w:color w:val="0D0D0D" w:themeColor="text1" w:themeTint="F2"/>
              </w:rPr>
              <w:t xml:space="preserve">pace </w:t>
            </w:r>
            <w:r w:rsidRPr="00BD05F4">
              <w:rPr>
                <w:color w:val="0D0D0D" w:themeColor="text1" w:themeTint="F2"/>
              </w:rPr>
              <w:t>since the end of 2022 (+2.7%</w:t>
            </w:r>
            <w:r w:rsidRPr="00B131B0">
              <w:rPr>
                <w:rStyle w:val="Znakapoznpodarou"/>
                <w:color w:val="0D0D0D" w:themeColor="text1" w:themeTint="F2"/>
              </w:rPr>
              <w:footnoteReference w:id="11"/>
            </w:r>
            <w:r w:rsidRPr="00BD05F4">
              <w:rPr>
                <w:color w:val="0D0D0D" w:themeColor="text1" w:themeTint="F2"/>
              </w:rPr>
              <w:t xml:space="preserve">). As in previous years (since the retreat of the COVID-19 pandemic), the number of hours has grown faster than the number of employed persons (in natural persons). From the point of view of the main </w:t>
            </w:r>
            <w:r>
              <w:rPr>
                <w:color w:val="0D0D0D" w:themeColor="text1" w:themeTint="F2"/>
              </w:rPr>
              <w:t>branches</w:t>
            </w:r>
            <w:r w:rsidRPr="00BD05F4">
              <w:rPr>
                <w:color w:val="0D0D0D" w:themeColor="text1" w:themeTint="F2"/>
              </w:rPr>
              <w:t>, this disproportion is particularly evident in construction</w:t>
            </w:r>
            <w:r>
              <w:rPr>
                <w:color w:val="0D0D0D" w:themeColor="text1" w:themeTint="F2"/>
              </w:rPr>
              <w:t xml:space="preserve"> this year</w:t>
            </w:r>
            <w:r w:rsidRPr="00BD05F4">
              <w:rPr>
                <w:color w:val="0D0D0D" w:themeColor="text1" w:themeTint="F2"/>
              </w:rPr>
              <w:t xml:space="preserve"> (where hours worked have grown at more than twice the rate of employment</w:t>
            </w:r>
            <w:r w:rsidRPr="00B131B0">
              <w:rPr>
                <w:rStyle w:val="Znakapoznpodarou"/>
                <w:color w:val="0D0D0D" w:themeColor="text1" w:themeTint="F2"/>
              </w:rPr>
              <w:footnoteReference w:id="12"/>
            </w:r>
            <w:r w:rsidRPr="00BD05F4">
              <w:rPr>
                <w:color w:val="0D0D0D" w:themeColor="text1" w:themeTint="F2"/>
              </w:rPr>
              <w:t xml:space="preserve">), and to a lesser extent in most other areas of the economy, with the exception of some smaller service </w:t>
            </w:r>
            <w:r>
              <w:rPr>
                <w:color w:val="0D0D0D" w:themeColor="text1" w:themeTint="F2"/>
              </w:rPr>
              <w:t xml:space="preserve">branches </w:t>
            </w:r>
            <w:r w:rsidRPr="00BD05F4">
              <w:rPr>
                <w:color w:val="0D0D0D" w:themeColor="text1" w:themeTint="F2"/>
              </w:rPr>
              <w:t xml:space="preserve">(e.g. real estate activities). This may be related to the lack of manual workers (regardless of qualifications), but also of specialists </w:t>
            </w:r>
            <w:r>
              <w:rPr>
                <w:color w:val="0D0D0D" w:themeColor="text1" w:themeTint="F2"/>
              </w:rPr>
              <w:t>on</w:t>
            </w:r>
            <w:r w:rsidRPr="00BD05F4">
              <w:rPr>
                <w:color w:val="0D0D0D" w:themeColor="text1" w:themeTint="F2"/>
              </w:rPr>
              <w:t xml:space="preserve"> the market.</w:t>
            </w:r>
            <w:r>
              <w:rPr>
                <w:color w:val="0D0D0D" w:themeColor="text1" w:themeTint="F2"/>
              </w:rPr>
              <w:t xml:space="preserve"> </w:t>
            </w:r>
          </w:p>
        </w:tc>
      </w:tr>
      <w:tr w:rsidR="00010596" w:rsidRPr="00B131B0" w14:paraId="54B7DF40" w14:textId="77777777" w:rsidTr="00D60677">
        <w:trPr>
          <w:trHeight w:val="155"/>
        </w:trPr>
        <w:tc>
          <w:tcPr>
            <w:tcW w:w="1797" w:type="dxa"/>
            <w:tcMar>
              <w:left w:w="0" w:type="dxa"/>
            </w:tcMar>
          </w:tcPr>
          <w:p w14:paraId="7DEB56C7" w14:textId="77777777" w:rsidR="00010596" w:rsidRPr="00B131B0" w:rsidRDefault="00010596" w:rsidP="00D60677">
            <w:pPr>
              <w:pStyle w:val="Marginlie"/>
              <w:spacing w:after="120"/>
              <w:rPr>
                <w:color w:val="0D0D0D" w:themeColor="text1" w:themeTint="F2"/>
              </w:rPr>
            </w:pPr>
            <w:r w:rsidRPr="000B5F58">
              <w:rPr>
                <w:color w:val="0D0D0D" w:themeColor="text1" w:themeTint="F2"/>
              </w:rPr>
              <w:t xml:space="preserve">The year-on-year strengthening of hourly </w:t>
            </w:r>
            <w:r w:rsidRPr="000B5F58">
              <w:rPr>
                <w:color w:val="0D0D0D" w:themeColor="text1" w:themeTint="F2"/>
              </w:rPr>
              <w:lastRenderedPageBreak/>
              <w:t xml:space="preserve">labour productivity has </w:t>
            </w:r>
            <w:r>
              <w:rPr>
                <w:color w:val="0D0D0D" w:themeColor="text1" w:themeTint="F2"/>
              </w:rPr>
              <w:t xml:space="preserve">halted </w:t>
            </w:r>
            <w:r w:rsidRPr="000B5F58">
              <w:rPr>
                <w:color w:val="0D0D0D" w:themeColor="text1" w:themeTint="F2"/>
              </w:rPr>
              <w:t>this year. However, the favourable development continued in manufacturing.</w:t>
            </w:r>
            <w:r>
              <w:rPr>
                <w:color w:val="0D0D0D" w:themeColor="text1" w:themeTint="F2"/>
              </w:rPr>
              <w:t xml:space="preserve"> </w:t>
            </w:r>
          </w:p>
          <w:p w14:paraId="486D02EF" w14:textId="77777777" w:rsidR="00010596" w:rsidRPr="00B131B0" w:rsidRDefault="00010596" w:rsidP="00D60677">
            <w:pPr>
              <w:pStyle w:val="Marginlie"/>
              <w:spacing w:after="120"/>
              <w:rPr>
                <w:color w:val="0D0D0D" w:themeColor="text1" w:themeTint="F2"/>
              </w:rPr>
            </w:pPr>
          </w:p>
          <w:p w14:paraId="1916615E" w14:textId="77777777" w:rsidR="00010596" w:rsidRPr="00B131B0" w:rsidRDefault="00010596" w:rsidP="00D60677">
            <w:pPr>
              <w:pStyle w:val="Marginlie"/>
              <w:spacing w:after="120"/>
              <w:rPr>
                <w:color w:val="0D0D0D" w:themeColor="text1" w:themeTint="F2"/>
              </w:rPr>
            </w:pPr>
          </w:p>
          <w:p w14:paraId="0AA22520" w14:textId="77777777" w:rsidR="00010596" w:rsidRPr="00B131B0" w:rsidRDefault="00010596" w:rsidP="00D60677">
            <w:pPr>
              <w:pStyle w:val="Marginlie"/>
              <w:spacing w:after="120"/>
              <w:rPr>
                <w:color w:val="0D0D0D" w:themeColor="text1" w:themeTint="F2"/>
              </w:rPr>
            </w:pPr>
            <w:r w:rsidRPr="00637B2C">
              <w:rPr>
                <w:color w:val="0D0D0D" w:themeColor="text1" w:themeTint="F2"/>
              </w:rPr>
              <w:t>Labour productivity per worker continued to grow very slightly.</w:t>
            </w:r>
            <w:r w:rsidRPr="00B131B0">
              <w:rPr>
                <w:color w:val="0D0D0D" w:themeColor="text1" w:themeTint="F2"/>
              </w:rPr>
              <w:t xml:space="preserve"> </w:t>
            </w:r>
          </w:p>
        </w:tc>
        <w:tc>
          <w:tcPr>
            <w:tcW w:w="173" w:type="dxa"/>
            <w:tcMar>
              <w:left w:w="0" w:type="dxa"/>
            </w:tcMar>
          </w:tcPr>
          <w:p w14:paraId="0976E52A" w14:textId="77777777" w:rsidR="00010596" w:rsidRPr="00B131B0" w:rsidRDefault="00010596" w:rsidP="00D60677">
            <w:pPr>
              <w:pStyle w:val="Textpoznpodarou"/>
              <w:spacing w:after="120"/>
              <w:jc w:val="both"/>
              <w:rPr>
                <w:color w:val="0D0D0D" w:themeColor="text1" w:themeTint="F2"/>
                <w:spacing w:val="-4"/>
              </w:rPr>
            </w:pPr>
          </w:p>
        </w:tc>
        <w:tc>
          <w:tcPr>
            <w:tcW w:w="7704" w:type="dxa"/>
            <w:tcMar>
              <w:left w:w="0" w:type="dxa"/>
            </w:tcMar>
          </w:tcPr>
          <w:p w14:paraId="31423A00" w14:textId="77777777" w:rsidR="00010596" w:rsidRPr="00B131B0" w:rsidRDefault="00010596" w:rsidP="00D60677">
            <w:pPr>
              <w:rPr>
                <w:color w:val="0D0D0D" w:themeColor="text1" w:themeTint="F2"/>
                <w:spacing w:val="-4"/>
              </w:rPr>
            </w:pPr>
            <w:r w:rsidRPr="0062054C">
              <w:rPr>
                <w:color w:val="0D0D0D" w:themeColor="text1" w:themeTint="F2"/>
                <w:spacing w:val="-4"/>
              </w:rPr>
              <w:t xml:space="preserve">The moderate year-on-year growth </w:t>
            </w:r>
            <w:r>
              <w:rPr>
                <w:color w:val="0D0D0D" w:themeColor="text1" w:themeTint="F2"/>
                <w:spacing w:val="-4"/>
              </w:rPr>
              <w:t>of</w:t>
            </w:r>
            <w:r w:rsidRPr="0062054C">
              <w:rPr>
                <w:color w:val="0D0D0D" w:themeColor="text1" w:themeTint="F2"/>
                <w:spacing w:val="-4"/>
              </w:rPr>
              <w:t xml:space="preserve"> hourly labour productivity</w:t>
            </w:r>
            <w:r w:rsidRPr="00B131B0">
              <w:rPr>
                <w:rStyle w:val="Znakapoznpodarou"/>
                <w:color w:val="0D0D0D" w:themeColor="text1" w:themeTint="F2"/>
                <w:spacing w:val="-4"/>
              </w:rPr>
              <w:footnoteReference w:id="13"/>
            </w:r>
            <w:r w:rsidRPr="0062054C">
              <w:rPr>
                <w:color w:val="0D0D0D" w:themeColor="text1" w:themeTint="F2"/>
                <w:spacing w:val="-4"/>
              </w:rPr>
              <w:t xml:space="preserve"> in the domestic economy, which resumed last year after a three-year hiatus, did not continue in </w:t>
            </w:r>
            <w:r>
              <w:rPr>
                <w:color w:val="0D0D0D" w:themeColor="text1" w:themeTint="F2"/>
                <w:spacing w:val="-4"/>
              </w:rPr>
              <w:t>H</w:t>
            </w:r>
            <w:r w:rsidRPr="0062054C">
              <w:rPr>
                <w:color w:val="0D0D0D" w:themeColor="text1" w:themeTint="F2"/>
                <w:spacing w:val="-4"/>
              </w:rPr>
              <w:t>1</w:t>
            </w:r>
            <w:r>
              <w:rPr>
                <w:color w:val="0D0D0D" w:themeColor="text1" w:themeTint="F2"/>
                <w:spacing w:val="-4"/>
              </w:rPr>
              <w:t xml:space="preserve"> </w:t>
            </w:r>
            <w:r w:rsidRPr="0062054C">
              <w:rPr>
                <w:color w:val="0D0D0D" w:themeColor="text1" w:themeTint="F2"/>
                <w:spacing w:val="-4"/>
              </w:rPr>
              <w:t>2026 (</w:t>
            </w:r>
            <w:r w:rsidRPr="0007562A">
              <w:rPr>
                <w:szCs w:val="20"/>
                <w:lang w:val="en"/>
              </w:rPr>
              <w:t>−</w:t>
            </w:r>
            <w:r w:rsidRPr="0062054C">
              <w:rPr>
                <w:color w:val="0D0D0D" w:themeColor="text1" w:themeTint="F2"/>
                <w:spacing w:val="-4"/>
              </w:rPr>
              <w:t xml:space="preserve">0.8%). </w:t>
            </w:r>
            <w:r w:rsidRPr="006166D8">
              <w:rPr>
                <w:color w:val="0D0D0D" w:themeColor="text1" w:themeTint="F2"/>
                <w:spacing w:val="-4"/>
              </w:rPr>
              <w:t xml:space="preserve">Of </w:t>
            </w:r>
            <w:r w:rsidRPr="00762A37">
              <w:rPr>
                <w:color w:val="0D0D0D" w:themeColor="text1" w:themeTint="F2"/>
                <w:spacing w:val="-5"/>
              </w:rPr>
              <w:lastRenderedPageBreak/>
              <w:t>the market sectors, advanced business services and construction had the most significant effect against the strengthening of productivity. Information communication activities in particular had the opposite effect. Productivity growth also continued in manufacturing (+0.5%), trade, transport, accommodation and food service activities (+0.4%) and the primary sector of the economy (+1.8%). Compared to the pre-crisis year of 2019, the current level of labour productivity in total economy was 2.4% higher. This was mainly due to manufacturing (with an increase of 11%) and information and communication activities (+26%), followed by financial and insurance activities or the primary sector of the economy. Labour productivity per worker (in natural persons) increased by 0.6%, year-on-year, in the total economy in H1. Its growth thus continued, albeit at a slower pace than in the whole of last year.</w:t>
            </w:r>
            <w:r>
              <w:rPr>
                <w:color w:val="0D0D0D" w:themeColor="text1" w:themeTint="F2"/>
                <w:spacing w:val="-4"/>
              </w:rPr>
              <w:t xml:space="preserve"> </w:t>
            </w:r>
          </w:p>
        </w:tc>
      </w:tr>
      <w:tr w:rsidR="00010596" w:rsidRPr="00B131B0" w14:paraId="63FDB497" w14:textId="77777777" w:rsidTr="00D60677">
        <w:trPr>
          <w:trHeight w:val="155"/>
        </w:trPr>
        <w:tc>
          <w:tcPr>
            <w:tcW w:w="1797" w:type="dxa"/>
            <w:tcMar>
              <w:left w:w="0" w:type="dxa"/>
            </w:tcMar>
          </w:tcPr>
          <w:p w14:paraId="2CFC7E81" w14:textId="77777777" w:rsidR="00010596" w:rsidRPr="00B131B0" w:rsidRDefault="00010596" w:rsidP="00D60677">
            <w:pPr>
              <w:pStyle w:val="Marginlie"/>
              <w:spacing w:after="120"/>
              <w:rPr>
                <w:color w:val="0D0D0D" w:themeColor="text1" w:themeTint="F2"/>
                <w:spacing w:val="-4"/>
              </w:rPr>
            </w:pPr>
            <w:r w:rsidRPr="005A262D">
              <w:rPr>
                <w:color w:val="0D0D0D" w:themeColor="text1" w:themeTint="F2"/>
                <w:spacing w:val="-4"/>
              </w:rPr>
              <w:lastRenderedPageBreak/>
              <w:t xml:space="preserve">The rapid growth </w:t>
            </w:r>
            <w:r>
              <w:rPr>
                <w:color w:val="0D0D0D" w:themeColor="text1" w:themeTint="F2"/>
                <w:spacing w:val="-4"/>
              </w:rPr>
              <w:t>of</w:t>
            </w:r>
            <w:r w:rsidRPr="005A262D">
              <w:rPr>
                <w:color w:val="0D0D0D" w:themeColor="text1" w:themeTint="F2"/>
                <w:spacing w:val="-4"/>
              </w:rPr>
              <w:t xml:space="preserve"> the number of working foreigners in the Czech Republic continued. Their increase was still driven mainly by Ukrainian citizens, while </w:t>
            </w:r>
            <w:r>
              <w:rPr>
                <w:color w:val="0D0D0D" w:themeColor="text1" w:themeTint="F2"/>
                <w:spacing w:val="-4"/>
              </w:rPr>
              <w:t xml:space="preserve">the number of </w:t>
            </w:r>
            <w:r w:rsidRPr="005A262D">
              <w:rPr>
                <w:color w:val="0D0D0D" w:themeColor="text1" w:themeTint="F2"/>
                <w:spacing w:val="-4"/>
              </w:rPr>
              <w:t>Slovaks and Filipinos also increased.</w:t>
            </w:r>
          </w:p>
          <w:p w14:paraId="6D8DF60C" w14:textId="77777777" w:rsidR="00010596" w:rsidRPr="00B131B0" w:rsidRDefault="00010596" w:rsidP="00D60677">
            <w:pPr>
              <w:pStyle w:val="Marginlie"/>
              <w:spacing w:after="120"/>
              <w:rPr>
                <w:color w:val="0D0D0D" w:themeColor="text1" w:themeTint="F2"/>
                <w:spacing w:val="-4"/>
              </w:rPr>
            </w:pPr>
          </w:p>
          <w:p w14:paraId="7A252CBB" w14:textId="77777777" w:rsidR="00010596" w:rsidRPr="00B131B0" w:rsidRDefault="00010596" w:rsidP="00D60677">
            <w:pPr>
              <w:pStyle w:val="Marginlie"/>
              <w:spacing w:after="120"/>
              <w:rPr>
                <w:color w:val="0D0D0D" w:themeColor="text1" w:themeTint="F2"/>
                <w:spacing w:val="-4"/>
              </w:rPr>
            </w:pPr>
            <w:r w:rsidRPr="006F398D">
              <w:rPr>
                <w:color w:val="0D0D0D" w:themeColor="text1" w:themeTint="F2"/>
                <w:spacing w:val="-4"/>
              </w:rPr>
              <w:t>The influx of people from some Asian countries accelerated. The number of workers from Central and Eastern Europe increased only moderately or even decreased.</w:t>
            </w:r>
          </w:p>
          <w:p w14:paraId="7F32043B" w14:textId="77777777" w:rsidR="00010596" w:rsidRPr="00B131B0" w:rsidRDefault="00010596" w:rsidP="00D60677">
            <w:pPr>
              <w:pStyle w:val="Marginlie"/>
              <w:rPr>
                <w:color w:val="0D0D0D" w:themeColor="text1" w:themeTint="F2"/>
                <w:spacing w:val="-4"/>
              </w:rPr>
            </w:pPr>
          </w:p>
          <w:p w14:paraId="3CD946D7" w14:textId="77777777" w:rsidR="00010596" w:rsidRPr="00B131B0" w:rsidRDefault="00010596" w:rsidP="00D60677">
            <w:pPr>
              <w:pStyle w:val="Marginlie"/>
              <w:rPr>
                <w:color w:val="0D0D0D" w:themeColor="text1" w:themeTint="F2"/>
                <w:spacing w:val="-4"/>
              </w:rPr>
            </w:pPr>
          </w:p>
          <w:p w14:paraId="767F863C" w14:textId="77777777" w:rsidR="00010596" w:rsidRPr="00B131B0" w:rsidRDefault="00010596" w:rsidP="00D60677">
            <w:pPr>
              <w:pStyle w:val="Marginlie"/>
              <w:rPr>
                <w:color w:val="0D0D0D" w:themeColor="text1" w:themeTint="F2"/>
                <w:spacing w:val="-4"/>
              </w:rPr>
            </w:pPr>
          </w:p>
          <w:p w14:paraId="154DADBA" w14:textId="77777777" w:rsidR="00010596" w:rsidRPr="00B131B0" w:rsidRDefault="00010596" w:rsidP="00D60677">
            <w:pPr>
              <w:pStyle w:val="Marginlie"/>
              <w:rPr>
                <w:color w:val="0D0D0D" w:themeColor="text1" w:themeTint="F2"/>
                <w:spacing w:val="-4"/>
              </w:rPr>
            </w:pPr>
          </w:p>
          <w:p w14:paraId="600E6AD8" w14:textId="77777777" w:rsidR="00010596" w:rsidRPr="00B131B0" w:rsidRDefault="00010596" w:rsidP="00D60677">
            <w:pPr>
              <w:pStyle w:val="Marginlie"/>
              <w:spacing w:after="120"/>
              <w:rPr>
                <w:color w:val="0D0D0D" w:themeColor="text1" w:themeTint="F2"/>
                <w:spacing w:val="-4"/>
              </w:rPr>
            </w:pPr>
            <w:r w:rsidRPr="003E6A39">
              <w:rPr>
                <w:color w:val="0D0D0D" w:themeColor="text1" w:themeTint="F2"/>
                <w:spacing w:val="-8"/>
              </w:rPr>
              <w:t xml:space="preserve">The number of foreigners </w:t>
            </w:r>
            <w:r>
              <w:rPr>
                <w:color w:val="0D0D0D" w:themeColor="text1" w:themeTint="F2"/>
                <w:spacing w:val="-8"/>
              </w:rPr>
              <w:t xml:space="preserve">holding </w:t>
            </w:r>
            <w:r w:rsidRPr="003E6A39">
              <w:rPr>
                <w:color w:val="0D0D0D" w:themeColor="text1" w:themeTint="F2"/>
                <w:spacing w:val="-8"/>
              </w:rPr>
              <w:t xml:space="preserve">employment </w:t>
            </w:r>
            <w:r>
              <w:rPr>
                <w:color w:val="0D0D0D" w:themeColor="text1" w:themeTint="F2"/>
                <w:spacing w:val="-8"/>
              </w:rPr>
              <w:t xml:space="preserve">position </w:t>
            </w:r>
            <w:r w:rsidRPr="003E6A39">
              <w:rPr>
                <w:color w:val="0D0D0D" w:themeColor="text1" w:themeTint="F2"/>
                <w:spacing w:val="-8"/>
              </w:rPr>
              <w:t xml:space="preserve">has </w:t>
            </w:r>
            <w:r w:rsidRPr="001C1F96">
              <w:rPr>
                <w:color w:val="0D0D0D" w:themeColor="text1" w:themeTint="F2"/>
                <w:spacing w:val="-8"/>
              </w:rPr>
              <w:t>noticeably increased in all regions</w:t>
            </w:r>
            <w:r>
              <w:rPr>
                <w:color w:val="0D0D0D" w:themeColor="text1" w:themeTint="F2"/>
                <w:spacing w:val="-8"/>
              </w:rPr>
              <w:t xml:space="preserve">. </w:t>
            </w:r>
          </w:p>
        </w:tc>
        <w:tc>
          <w:tcPr>
            <w:tcW w:w="173" w:type="dxa"/>
            <w:tcMar>
              <w:left w:w="0" w:type="dxa"/>
            </w:tcMar>
          </w:tcPr>
          <w:p w14:paraId="2425DC1A" w14:textId="77777777" w:rsidR="00010596" w:rsidRPr="00B131B0" w:rsidRDefault="00010596" w:rsidP="00D60677">
            <w:pPr>
              <w:pStyle w:val="Textpoznpodarou"/>
              <w:spacing w:after="120"/>
              <w:jc w:val="both"/>
              <w:rPr>
                <w:color w:val="0D0D0D" w:themeColor="text1" w:themeTint="F2"/>
                <w:spacing w:val="-4"/>
              </w:rPr>
            </w:pPr>
          </w:p>
        </w:tc>
        <w:tc>
          <w:tcPr>
            <w:tcW w:w="7704" w:type="dxa"/>
            <w:tcMar>
              <w:left w:w="0" w:type="dxa"/>
            </w:tcMar>
          </w:tcPr>
          <w:p w14:paraId="5B79A00B" w14:textId="77777777" w:rsidR="00010596" w:rsidRPr="00B131B0" w:rsidRDefault="00010596" w:rsidP="00D60677">
            <w:pPr>
              <w:spacing w:after="200"/>
              <w:rPr>
                <w:color w:val="0D0D0D" w:themeColor="text1" w:themeTint="F2"/>
                <w:spacing w:val="-5"/>
              </w:rPr>
            </w:pPr>
            <w:r w:rsidRPr="0023672F">
              <w:rPr>
                <w:color w:val="0D0D0D" w:themeColor="text1" w:themeTint="F2"/>
                <w:spacing w:val="-5"/>
              </w:rPr>
              <w:t>Due to demographic ageing and the long-term persistence of low birth rates, the domestic labour market is struggling with a low supply of available labour</w:t>
            </w:r>
            <w:r>
              <w:rPr>
                <w:color w:val="0D0D0D" w:themeColor="text1" w:themeTint="F2"/>
                <w:spacing w:val="-5"/>
              </w:rPr>
              <w:t xml:space="preserve"> force</w:t>
            </w:r>
            <w:r w:rsidRPr="00B131B0">
              <w:rPr>
                <w:rStyle w:val="Znakapoznpodarou"/>
                <w:color w:val="0D0D0D" w:themeColor="text1" w:themeTint="F2"/>
                <w:spacing w:val="-5"/>
              </w:rPr>
              <w:footnoteReference w:id="14"/>
            </w:r>
            <w:r w:rsidRPr="00B131B0">
              <w:rPr>
                <w:color w:val="0D0D0D" w:themeColor="text1" w:themeTint="F2"/>
                <w:spacing w:val="-5"/>
              </w:rPr>
              <w:t>.</w:t>
            </w:r>
            <w:r w:rsidRPr="0023672F">
              <w:rPr>
                <w:color w:val="0D0D0D" w:themeColor="text1" w:themeTint="F2"/>
                <w:spacing w:val="-5"/>
              </w:rPr>
              <w:t xml:space="preserve"> This, together with the growing pressure of companies to optimise production costs, is stimulating the demand of domestic employers for workers from abroad.</w:t>
            </w:r>
            <w:r>
              <w:rPr>
                <w:color w:val="0D0D0D" w:themeColor="text1" w:themeTint="F2"/>
                <w:spacing w:val="-5"/>
              </w:rPr>
              <w:t xml:space="preserve"> L</w:t>
            </w:r>
            <w:r w:rsidRPr="0023672F">
              <w:rPr>
                <w:color w:val="0D0D0D" w:themeColor="text1" w:themeTint="F2"/>
                <w:spacing w:val="-5"/>
              </w:rPr>
              <w:t>egislative changes reducing administrative demands in this area have helped to facilitate the employment of foreigners</w:t>
            </w:r>
            <w:r>
              <w:rPr>
                <w:color w:val="0D0D0D" w:themeColor="text1" w:themeTint="F2"/>
                <w:spacing w:val="-5"/>
              </w:rPr>
              <w:t xml:space="preserve"> i</w:t>
            </w:r>
            <w:r w:rsidRPr="0023672F">
              <w:rPr>
                <w:color w:val="0D0D0D" w:themeColor="text1" w:themeTint="F2"/>
                <w:spacing w:val="-5"/>
              </w:rPr>
              <w:t>n the recent period. The long-term influx of foreign workers to the Czech Republic has therefore continued. According to the current qualified estimates of the Ministry of Labour and Social Affairs, a record 957 thousand of them were registered at labour offices in the dominant group of employees in March this year. This was 11.5% more</w:t>
            </w:r>
            <w:r w:rsidRPr="00B131B0">
              <w:rPr>
                <w:rStyle w:val="Znakapoznpodarou"/>
                <w:color w:val="0D0D0D" w:themeColor="text1" w:themeTint="F2"/>
                <w:spacing w:val="-5"/>
              </w:rPr>
              <w:footnoteReference w:id="15"/>
            </w:r>
            <w:r>
              <w:rPr>
                <w:color w:val="0D0D0D" w:themeColor="text1" w:themeTint="F2"/>
                <w:spacing w:val="-5"/>
              </w:rPr>
              <w:t>,</w:t>
            </w:r>
            <w:r w:rsidRPr="0023672F">
              <w:rPr>
                <w:color w:val="0D0D0D" w:themeColor="text1" w:themeTint="F2"/>
                <w:spacing w:val="-5"/>
              </w:rPr>
              <w:t xml:space="preserve"> year-on-year</w:t>
            </w:r>
            <w:r>
              <w:rPr>
                <w:color w:val="0D0D0D" w:themeColor="text1" w:themeTint="F2"/>
                <w:spacing w:val="-5"/>
              </w:rPr>
              <w:t>,</w:t>
            </w:r>
            <w:r w:rsidRPr="0023672F">
              <w:rPr>
                <w:color w:val="0D0D0D" w:themeColor="text1" w:themeTint="F2"/>
                <w:spacing w:val="-5"/>
              </w:rPr>
              <w:t xml:space="preserve"> and the growth rate accelerated slightly. Traditionally, the largest year-on-year increase was recorded in the number of citizens of Ukraine (+62 thousand to 374 thousand, </w:t>
            </w:r>
            <w:r>
              <w:rPr>
                <w:color w:val="0D0D0D" w:themeColor="text1" w:themeTint="F2"/>
                <w:spacing w:val="-5"/>
              </w:rPr>
              <w:t xml:space="preserve">in that females </w:t>
            </w:r>
            <w:r w:rsidRPr="0023672F">
              <w:rPr>
                <w:color w:val="0D0D0D" w:themeColor="text1" w:themeTint="F2"/>
                <w:spacing w:val="-5"/>
              </w:rPr>
              <w:t xml:space="preserve">+30 thousand, to 199 thousand), followed by Slovakia (+14 thousand, to 230 thousand), the Philippines (+4.4 thousand, to 14.9 thousand) and Vietnam (+2.3 thousand, to 23.5 thousand). Of the more important groups of foreigners, the number of citizens of India, China, Kazakhstan, Uzbekistan and Azerbaijan grew rapidly (between 11 and 17%). On the </w:t>
            </w:r>
            <w:r>
              <w:rPr>
                <w:color w:val="0D0D0D" w:themeColor="text1" w:themeTint="F2"/>
                <w:spacing w:val="-5"/>
              </w:rPr>
              <w:t>contrary</w:t>
            </w:r>
            <w:r w:rsidRPr="0023672F">
              <w:rPr>
                <w:color w:val="0D0D0D" w:themeColor="text1" w:themeTint="F2"/>
                <w:spacing w:val="-5"/>
              </w:rPr>
              <w:t>, in a number</w:t>
            </w:r>
            <w:r>
              <w:rPr>
                <w:color w:val="0D0D0D" w:themeColor="text1" w:themeTint="F2"/>
                <w:spacing w:val="-5"/>
              </w:rPr>
              <w:t xml:space="preserve"> </w:t>
            </w:r>
            <w:r w:rsidRPr="0023672F">
              <w:rPr>
                <w:color w:val="0D0D0D" w:themeColor="text1" w:themeTint="F2"/>
                <w:spacing w:val="-5"/>
              </w:rPr>
              <w:t>of large groups of workers from relatively poorer countries of Central and Eastern Europe – mainly from Poland, Bulgaria, Romania – their number grew minimally (up to 3%) or even slightly decreased</w:t>
            </w:r>
            <w:r w:rsidRPr="00B131B0">
              <w:rPr>
                <w:rStyle w:val="Znakapoznpodarou"/>
                <w:color w:val="0D0D0D" w:themeColor="text1" w:themeTint="F2"/>
                <w:spacing w:val="-5"/>
              </w:rPr>
              <w:footnoteReference w:id="16"/>
            </w:r>
            <w:r w:rsidRPr="0023672F">
              <w:rPr>
                <w:color w:val="0D0D0D" w:themeColor="text1" w:themeTint="F2"/>
                <w:spacing w:val="-5"/>
              </w:rPr>
              <w:t xml:space="preserve">. This is related to the gradual equalization of the wage level in this region. A third of all foreigners in employment status in the Czech Republic were registered in Prague in March this year (together with </w:t>
            </w:r>
            <w:r w:rsidRPr="00454F11">
              <w:rPr>
                <w:color w:val="0D0D0D" w:themeColor="text1" w:themeTint="F2"/>
                <w:spacing w:val="-5"/>
              </w:rPr>
              <w:t>the “</w:t>
            </w:r>
            <w:r w:rsidRPr="00454F11">
              <w:rPr>
                <w:i/>
                <w:iCs/>
                <w:color w:val="0D0D0D" w:themeColor="text1" w:themeTint="F2"/>
                <w:spacing w:val="-5"/>
              </w:rPr>
              <w:t xml:space="preserve">Středočeský </w:t>
            </w:r>
            <w:r w:rsidRPr="00454F11">
              <w:rPr>
                <w:color w:val="0D0D0D" w:themeColor="text1" w:themeTint="F2"/>
                <w:spacing w:val="-5"/>
              </w:rPr>
              <w:t>region”, half of them). Year-on-year, the number of foreigners increased in all regions – most in the “</w:t>
            </w:r>
            <w:r w:rsidRPr="00454F11">
              <w:rPr>
                <w:i/>
                <w:iCs/>
                <w:color w:val="0D0D0D" w:themeColor="text1" w:themeTint="F2"/>
                <w:spacing w:val="-5"/>
              </w:rPr>
              <w:t>Olomoucký</w:t>
            </w:r>
            <w:r w:rsidRPr="00454F11">
              <w:rPr>
                <w:color w:val="0D0D0D" w:themeColor="text1" w:themeTint="F2"/>
                <w:spacing w:val="-5"/>
              </w:rPr>
              <w:t xml:space="preserve"> region” (+18%), Prague (+14%), the least in the </w:t>
            </w:r>
            <w:r>
              <w:rPr>
                <w:color w:val="0D0D0D" w:themeColor="text1" w:themeTint="F2"/>
                <w:spacing w:val="-5"/>
              </w:rPr>
              <w:t>“</w:t>
            </w:r>
            <w:r w:rsidRPr="00454F11">
              <w:rPr>
                <w:i/>
                <w:iCs/>
                <w:color w:val="0D0D0D" w:themeColor="text1" w:themeTint="F2"/>
                <w:spacing w:val="-5"/>
              </w:rPr>
              <w:t>Liberecký</w:t>
            </w:r>
            <w:r w:rsidRPr="00454F11">
              <w:rPr>
                <w:color w:val="0D0D0D" w:themeColor="text1" w:themeTint="F2"/>
                <w:spacing w:val="-5"/>
              </w:rPr>
              <w:t xml:space="preserve"> region</w:t>
            </w:r>
            <w:r>
              <w:rPr>
                <w:color w:val="0D0D0D" w:themeColor="text1" w:themeTint="F2"/>
                <w:spacing w:val="-5"/>
              </w:rPr>
              <w:t>”</w:t>
            </w:r>
            <w:r w:rsidRPr="00454F11">
              <w:rPr>
                <w:color w:val="0D0D0D" w:themeColor="text1" w:themeTint="F2"/>
                <w:spacing w:val="-5"/>
              </w:rPr>
              <w:t xml:space="preserve"> (+8%), </w:t>
            </w:r>
            <w:r>
              <w:rPr>
                <w:color w:val="0D0D0D" w:themeColor="text1" w:themeTint="F2"/>
                <w:spacing w:val="-5"/>
              </w:rPr>
              <w:t>“</w:t>
            </w:r>
            <w:r w:rsidRPr="00454F11">
              <w:rPr>
                <w:i/>
                <w:iCs/>
                <w:color w:val="0D0D0D" w:themeColor="text1" w:themeTint="F2"/>
                <w:spacing w:val="-5"/>
              </w:rPr>
              <w:t>Plzeňský</w:t>
            </w:r>
            <w:r>
              <w:rPr>
                <w:color w:val="0D0D0D" w:themeColor="text1" w:themeTint="F2"/>
                <w:spacing w:val="-5"/>
              </w:rPr>
              <w:t xml:space="preserve"> </w:t>
            </w:r>
            <w:r w:rsidRPr="00454F11">
              <w:rPr>
                <w:color w:val="0D0D0D" w:themeColor="text1" w:themeTint="F2"/>
                <w:spacing w:val="-5"/>
              </w:rPr>
              <w:t>region</w:t>
            </w:r>
            <w:r>
              <w:rPr>
                <w:color w:val="0D0D0D" w:themeColor="text1" w:themeTint="F2"/>
                <w:spacing w:val="-5"/>
              </w:rPr>
              <w:t>”</w:t>
            </w:r>
            <w:r w:rsidRPr="00454F11">
              <w:rPr>
                <w:color w:val="0D0D0D" w:themeColor="text1" w:themeTint="F2"/>
                <w:spacing w:val="-5"/>
              </w:rPr>
              <w:t xml:space="preserve"> and </w:t>
            </w:r>
            <w:r>
              <w:rPr>
                <w:color w:val="0D0D0D" w:themeColor="text1" w:themeTint="F2"/>
                <w:spacing w:val="-5"/>
              </w:rPr>
              <w:t>“</w:t>
            </w:r>
            <w:r w:rsidRPr="00E65BE3">
              <w:rPr>
                <w:i/>
                <w:iCs/>
                <w:color w:val="0D0D0D" w:themeColor="text1" w:themeTint="F2"/>
                <w:spacing w:val="-5"/>
              </w:rPr>
              <w:t>Středočeský</w:t>
            </w:r>
            <w:r>
              <w:rPr>
                <w:color w:val="0D0D0D" w:themeColor="text1" w:themeTint="F2"/>
                <w:spacing w:val="-5"/>
              </w:rPr>
              <w:t xml:space="preserve"> region” </w:t>
            </w:r>
            <w:r w:rsidRPr="00454F11">
              <w:rPr>
                <w:color w:val="0D0D0D" w:themeColor="text1" w:themeTint="F2"/>
                <w:spacing w:val="-5"/>
              </w:rPr>
              <w:t xml:space="preserve">(both +9%). Males were not prevailing among employees with foreign citizenship only in the </w:t>
            </w:r>
            <w:r>
              <w:rPr>
                <w:color w:val="0D0D0D" w:themeColor="text1" w:themeTint="F2"/>
                <w:spacing w:val="-5"/>
              </w:rPr>
              <w:t>“</w:t>
            </w:r>
            <w:r w:rsidRPr="00E65BE3">
              <w:rPr>
                <w:i/>
                <w:iCs/>
                <w:color w:val="0D0D0D" w:themeColor="text1" w:themeTint="F2"/>
                <w:spacing w:val="-5"/>
              </w:rPr>
              <w:t>Karlovarský</w:t>
            </w:r>
            <w:r>
              <w:rPr>
                <w:color w:val="0D0D0D" w:themeColor="text1" w:themeTint="F2"/>
                <w:spacing w:val="-5"/>
              </w:rPr>
              <w:t xml:space="preserve"> region”</w:t>
            </w:r>
            <w:r w:rsidRPr="00454F11">
              <w:rPr>
                <w:color w:val="0D0D0D" w:themeColor="text1" w:themeTint="F2"/>
                <w:spacing w:val="-5"/>
              </w:rPr>
              <w:t>.</w:t>
            </w:r>
          </w:p>
        </w:tc>
      </w:tr>
      <w:tr w:rsidR="00010596" w:rsidRPr="0036331C" w14:paraId="00A47B36" w14:textId="77777777" w:rsidTr="00D60677">
        <w:trPr>
          <w:trHeight w:val="155"/>
        </w:trPr>
        <w:tc>
          <w:tcPr>
            <w:tcW w:w="1797" w:type="dxa"/>
            <w:tcMar>
              <w:left w:w="0" w:type="dxa"/>
            </w:tcMar>
          </w:tcPr>
          <w:p w14:paraId="1705E298" w14:textId="77777777" w:rsidR="00010596" w:rsidRPr="00860BA9" w:rsidRDefault="00010596" w:rsidP="00D60677">
            <w:pPr>
              <w:pStyle w:val="Marginlie"/>
              <w:spacing w:after="120"/>
              <w:rPr>
                <w:color w:val="0D0D0D" w:themeColor="text1" w:themeTint="F2"/>
                <w:spacing w:val="-4"/>
                <w:lang w:val="en-US"/>
              </w:rPr>
            </w:pPr>
            <w:r w:rsidRPr="00645D1E">
              <w:rPr>
                <w:color w:val="0D0D0D" w:themeColor="text1" w:themeTint="F2"/>
                <w:spacing w:val="-4"/>
              </w:rPr>
              <w:t xml:space="preserve">The employment rate increased slightly. The impact of the improved performance of the economy and the faster </w:t>
            </w:r>
            <w:r w:rsidRPr="00645D1E">
              <w:rPr>
                <w:color w:val="0D0D0D" w:themeColor="text1" w:themeTint="F2"/>
                <w:spacing w:val="-4"/>
              </w:rPr>
              <w:lastRenderedPageBreak/>
              <w:t>expansion of part-time work became apparent.</w:t>
            </w:r>
            <w:r w:rsidRPr="00645D1E">
              <w:rPr>
                <w:color w:val="0D0D0D" w:themeColor="text1" w:themeTint="F2"/>
                <w:spacing w:val="-4"/>
                <w:lang w:val="en-US"/>
              </w:rPr>
              <w:t xml:space="preserve"> </w:t>
            </w:r>
            <w:r w:rsidRPr="00860BA9">
              <w:rPr>
                <w:color w:val="0D0D0D" w:themeColor="text1" w:themeTint="F2"/>
                <w:spacing w:val="-4"/>
                <w:lang w:val="en-US"/>
              </w:rPr>
              <w:t xml:space="preserve"> </w:t>
            </w:r>
          </w:p>
          <w:p w14:paraId="57D29D9C" w14:textId="77777777" w:rsidR="00010596" w:rsidRPr="00860BA9" w:rsidRDefault="00010596" w:rsidP="00D60677">
            <w:pPr>
              <w:pStyle w:val="Marginlie"/>
              <w:spacing w:after="120"/>
              <w:rPr>
                <w:color w:val="0D0D0D" w:themeColor="text1" w:themeTint="F2"/>
                <w:spacing w:val="-4"/>
                <w:lang w:val="en-US"/>
              </w:rPr>
            </w:pPr>
          </w:p>
        </w:tc>
        <w:tc>
          <w:tcPr>
            <w:tcW w:w="173" w:type="dxa"/>
            <w:tcMar>
              <w:left w:w="0" w:type="dxa"/>
            </w:tcMar>
          </w:tcPr>
          <w:p w14:paraId="45F552F2" w14:textId="77777777" w:rsidR="00010596" w:rsidRPr="00860BA9" w:rsidRDefault="00010596" w:rsidP="00D60677">
            <w:pPr>
              <w:pStyle w:val="Textpoznpodarou"/>
              <w:spacing w:after="120"/>
              <w:jc w:val="both"/>
              <w:rPr>
                <w:color w:val="0D0D0D" w:themeColor="text1" w:themeTint="F2"/>
                <w:spacing w:val="-4"/>
                <w:lang w:val="en-US"/>
              </w:rPr>
            </w:pPr>
          </w:p>
        </w:tc>
        <w:tc>
          <w:tcPr>
            <w:tcW w:w="7704" w:type="dxa"/>
            <w:tcMar>
              <w:left w:w="0" w:type="dxa"/>
            </w:tcMar>
          </w:tcPr>
          <w:p w14:paraId="6F7BEF9E" w14:textId="77777777" w:rsidR="00010596" w:rsidRPr="00860BA9" w:rsidRDefault="00010596" w:rsidP="00D60677">
            <w:pPr>
              <w:spacing w:after="200"/>
              <w:rPr>
                <w:color w:val="0D0D0D" w:themeColor="text1" w:themeTint="F2"/>
                <w:spacing w:val="-5"/>
                <w:lang w:val="en-US"/>
              </w:rPr>
            </w:pPr>
            <w:r w:rsidRPr="00CF7A05">
              <w:rPr>
                <w:color w:val="0D0D0D" w:themeColor="text1" w:themeTint="F2"/>
                <w:spacing w:val="-2"/>
              </w:rPr>
              <w:t xml:space="preserve">According to data in the </w:t>
            </w:r>
            <w:r>
              <w:rPr>
                <w:color w:val="0D0D0D" w:themeColor="text1" w:themeTint="F2"/>
                <w:spacing w:val="-2"/>
              </w:rPr>
              <w:t>LFSS</w:t>
            </w:r>
            <w:r w:rsidRPr="00CF7A05">
              <w:rPr>
                <w:color w:val="0D0D0D" w:themeColor="text1" w:themeTint="F2"/>
                <w:spacing w:val="-2"/>
              </w:rPr>
              <w:t xml:space="preserve">, the employment rate of </w:t>
            </w:r>
            <w:r>
              <w:rPr>
                <w:color w:val="0D0D0D" w:themeColor="text1" w:themeTint="F2"/>
                <w:spacing w:val="-2"/>
              </w:rPr>
              <w:t xml:space="preserve">persons aged </w:t>
            </w:r>
            <w:r w:rsidRPr="00CF7A05">
              <w:rPr>
                <w:color w:val="0D0D0D" w:themeColor="text1" w:themeTint="F2"/>
                <w:spacing w:val="-2"/>
              </w:rPr>
              <w:t>15 to 64</w:t>
            </w:r>
            <w:r>
              <w:rPr>
                <w:color w:val="0D0D0D" w:themeColor="text1" w:themeTint="F2"/>
                <w:spacing w:val="-2"/>
              </w:rPr>
              <w:t xml:space="preserve"> </w:t>
            </w:r>
            <w:r w:rsidRPr="00CF7A05">
              <w:rPr>
                <w:color w:val="0D0D0D" w:themeColor="text1" w:themeTint="F2"/>
                <w:spacing w:val="-2"/>
              </w:rPr>
              <w:t xml:space="preserve">rose to 76.1% in </w:t>
            </w:r>
            <w:r>
              <w:rPr>
                <w:color w:val="0D0D0D" w:themeColor="text1" w:themeTint="F2"/>
                <w:spacing w:val="-2"/>
              </w:rPr>
              <w:t>Q</w:t>
            </w:r>
            <w:r w:rsidRPr="00CF7A05">
              <w:rPr>
                <w:color w:val="0D0D0D" w:themeColor="text1" w:themeTint="F2"/>
                <w:spacing w:val="-2"/>
              </w:rPr>
              <w:t>2</w:t>
            </w:r>
            <w:r>
              <w:rPr>
                <w:color w:val="0D0D0D" w:themeColor="text1" w:themeTint="F2"/>
                <w:spacing w:val="-2"/>
              </w:rPr>
              <w:t xml:space="preserve"> </w:t>
            </w:r>
            <w:r w:rsidRPr="00CF7A05">
              <w:rPr>
                <w:color w:val="0D0D0D" w:themeColor="text1" w:themeTint="F2"/>
                <w:spacing w:val="-2"/>
              </w:rPr>
              <w:t>this year. Year-on-year, it increased slightly by 0.4 p</w:t>
            </w:r>
            <w:r>
              <w:rPr>
                <w:color w:val="0D0D0D" w:themeColor="text1" w:themeTint="F2"/>
                <w:spacing w:val="-2"/>
              </w:rPr>
              <w:t xml:space="preserve">. p. </w:t>
            </w:r>
            <w:r w:rsidRPr="00CF7A05">
              <w:rPr>
                <w:color w:val="0D0D0D" w:themeColor="text1" w:themeTint="F2"/>
                <w:spacing w:val="-2"/>
              </w:rPr>
              <w:t xml:space="preserve">(it grew comparably on average in the two previous years), without a significant difference in dynamics between </w:t>
            </w:r>
            <w:r w:rsidRPr="002855BD">
              <w:rPr>
                <w:color w:val="0D0D0D" w:themeColor="text1" w:themeTint="F2"/>
              </w:rPr>
              <w:t>males and females, whose employment reached 80.4% and 71.7%</w:t>
            </w:r>
            <w:r w:rsidRPr="002855BD">
              <w:rPr>
                <w:rStyle w:val="Znakapoznpodarou"/>
                <w:rFonts w:eastAsiaTheme="majorEastAsia"/>
                <w:szCs w:val="20"/>
              </w:rPr>
              <w:footnoteReference w:id="17"/>
            </w:r>
            <w:r w:rsidRPr="002855BD">
              <w:rPr>
                <w:color w:val="0D0D0D" w:themeColor="text1" w:themeTint="F2"/>
              </w:rPr>
              <w:t xml:space="preserve">, respectively. The </w:t>
            </w:r>
            <w:r w:rsidRPr="002855BD">
              <w:rPr>
                <w:color w:val="0D0D0D" w:themeColor="text1" w:themeTint="F2"/>
              </w:rPr>
              <w:lastRenderedPageBreak/>
              <w:t>employment rate increased in the vast majority of cohesion regions</w:t>
            </w:r>
            <w:r w:rsidRPr="002855BD">
              <w:rPr>
                <w:rStyle w:val="Znakapoznpodarou"/>
                <w:rFonts w:eastAsiaTheme="majorEastAsia"/>
                <w:szCs w:val="20"/>
              </w:rPr>
              <w:footnoteReference w:id="18"/>
            </w:r>
            <w:r w:rsidRPr="002855BD">
              <w:rPr>
                <w:color w:val="0D0D0D" w:themeColor="text1" w:themeTint="F2"/>
              </w:rPr>
              <w:t>, with the exception of the Northwest area, where it also reaches the lowest level (72.7%, while Prague has the highest level in the long term: 79.9%). Its current development at the national level is reflected in the slightly accelerating growth of the economy, the steadily increasing retirement age, as well as the expanding offer of part-time work, which is used by women in three quarters of cases in the Czech Republic. In Q2, 16.0% of employed females (and 5.4% of males) already used this form of work, and the year-on-year growth of the number of people with these jobs accelerated to 9.9% (twice as much as last year's average</w:t>
            </w:r>
            <w:r w:rsidRPr="00CF7A05">
              <w:rPr>
                <w:color w:val="0D0D0D" w:themeColor="text1" w:themeTint="F2"/>
                <w:spacing w:val="-2"/>
              </w:rPr>
              <w:t>)</w:t>
            </w:r>
            <w:r w:rsidRPr="00B131B0">
              <w:rPr>
                <w:rStyle w:val="Znakapoznpodarou"/>
                <w:rFonts w:eastAsiaTheme="majorEastAsia"/>
                <w:spacing w:val="-2"/>
              </w:rPr>
              <w:footnoteReference w:id="19"/>
            </w:r>
            <w:r w:rsidRPr="00860BA9">
              <w:rPr>
                <w:rStyle w:val="normaltextrun"/>
                <w:rFonts w:eastAsiaTheme="majorEastAsia" w:cs="Arial"/>
                <w:spacing w:val="-2"/>
                <w:lang w:val="en-US"/>
              </w:rPr>
              <w:t xml:space="preserve">. </w:t>
            </w:r>
          </w:p>
        </w:tc>
      </w:tr>
      <w:tr w:rsidR="00010596" w:rsidRPr="0027788C" w14:paraId="4E66CC46" w14:textId="77777777" w:rsidTr="00D60677">
        <w:trPr>
          <w:trHeight w:val="155"/>
        </w:trPr>
        <w:tc>
          <w:tcPr>
            <w:tcW w:w="1797" w:type="dxa"/>
            <w:tcMar>
              <w:left w:w="0" w:type="dxa"/>
            </w:tcMar>
          </w:tcPr>
          <w:p w14:paraId="41176F01" w14:textId="77777777" w:rsidR="00010596" w:rsidRPr="00860BA9" w:rsidRDefault="00010596" w:rsidP="00D60677">
            <w:pPr>
              <w:pStyle w:val="Marginlie"/>
              <w:spacing w:after="120"/>
              <w:rPr>
                <w:color w:val="0D0D0D" w:themeColor="text1" w:themeTint="F2"/>
                <w:spacing w:val="-4"/>
              </w:rPr>
            </w:pPr>
          </w:p>
        </w:tc>
        <w:tc>
          <w:tcPr>
            <w:tcW w:w="173" w:type="dxa"/>
            <w:tcMar>
              <w:left w:w="0" w:type="dxa"/>
            </w:tcMar>
          </w:tcPr>
          <w:p w14:paraId="3B0A4F88" w14:textId="77777777" w:rsidR="00010596" w:rsidRPr="00860BA9" w:rsidRDefault="00010596" w:rsidP="00D60677">
            <w:pPr>
              <w:pStyle w:val="Textpoznpodarou"/>
              <w:spacing w:after="120"/>
              <w:jc w:val="both"/>
              <w:rPr>
                <w:color w:val="0D0D0D" w:themeColor="text1" w:themeTint="F2"/>
                <w:spacing w:val="-4"/>
              </w:rPr>
            </w:pPr>
          </w:p>
        </w:tc>
        <w:tc>
          <w:tcPr>
            <w:tcW w:w="7704" w:type="dxa"/>
            <w:tcMar>
              <w:left w:w="0" w:type="dxa"/>
            </w:tcMar>
          </w:tcPr>
          <w:p w14:paraId="1599F55E" w14:textId="3010D56F" w:rsidR="00010596" w:rsidRPr="00860BA9" w:rsidRDefault="00010596" w:rsidP="00D60677">
            <w:pPr>
              <w:spacing w:after="40"/>
              <w:jc w:val="left"/>
              <w:rPr>
                <w:color w:val="0D0D0D" w:themeColor="text1" w:themeTint="F2"/>
              </w:rPr>
            </w:pPr>
            <w:r w:rsidRPr="00860BA9">
              <w:rPr>
                <w:rFonts w:cs="Arial"/>
                <w:b/>
                <w:bCs/>
                <w:color w:val="0D0D0D" w:themeColor="text1" w:themeTint="F2"/>
                <w:szCs w:val="20"/>
              </w:rPr>
              <w:t>Chart 1</w:t>
            </w:r>
            <w:r w:rsidR="00A35EB2">
              <w:rPr>
                <w:rFonts w:cs="Arial"/>
                <w:b/>
                <w:bCs/>
                <w:color w:val="0D0D0D" w:themeColor="text1" w:themeTint="F2"/>
                <w:szCs w:val="20"/>
              </w:rPr>
              <w:t>3</w:t>
            </w:r>
            <w:r w:rsidRPr="00860BA9">
              <w:rPr>
                <w:rFonts w:cs="Arial"/>
                <w:b/>
                <w:bCs/>
                <w:color w:val="0D0D0D" w:themeColor="text1" w:themeTint="F2"/>
                <w:sz w:val="18"/>
                <w:szCs w:val="18"/>
              </w:rPr>
              <w:t xml:space="preserve"> </w:t>
            </w:r>
            <w:r w:rsidRPr="00782F4F">
              <w:rPr>
                <w:b/>
                <w:color w:val="0D0D0D" w:themeColor="text1" w:themeTint="F2"/>
                <w:spacing w:val="-2"/>
              </w:rPr>
              <w:t xml:space="preserve">Decomposition of year-on-year change in </w:t>
            </w:r>
            <w:r>
              <w:rPr>
                <w:b/>
                <w:color w:val="0D0D0D" w:themeColor="text1" w:themeTint="F2"/>
                <w:spacing w:val="-2"/>
              </w:rPr>
              <w:t>total employment</w:t>
            </w:r>
            <w:r w:rsidRPr="00782F4F">
              <w:rPr>
                <w:b/>
                <w:color w:val="0D0D0D" w:themeColor="text1" w:themeTint="F2"/>
                <w:spacing w:val="-2"/>
              </w:rPr>
              <w:t xml:space="preserve"> </w:t>
            </w:r>
            <w:r w:rsidRPr="002855BD">
              <w:rPr>
                <w:bCs/>
                <w:color w:val="0D0D0D" w:themeColor="text1" w:themeTint="F2"/>
                <w:spacing w:val="-2"/>
              </w:rPr>
              <w:t xml:space="preserve">(contributions </w:t>
            </w:r>
            <w:r>
              <w:rPr>
                <w:bCs/>
                <w:color w:val="0D0D0D" w:themeColor="text1" w:themeTint="F2"/>
                <w:spacing w:val="-2"/>
              </w:rPr>
              <w:t xml:space="preserve">of branches </w:t>
            </w:r>
            <w:r w:rsidRPr="002855BD">
              <w:rPr>
                <w:bCs/>
                <w:color w:val="0D0D0D" w:themeColor="text1" w:themeTint="F2"/>
                <w:spacing w:val="-2"/>
              </w:rPr>
              <w:t>to growth, p. p.)</w:t>
            </w:r>
            <w:r>
              <w:rPr>
                <w:bCs/>
                <w:color w:val="0D0D0D" w:themeColor="text1" w:themeTint="F2"/>
                <w:spacing w:val="-2"/>
              </w:rPr>
              <w:t>,</w:t>
            </w:r>
            <w:r w:rsidRPr="002855BD">
              <w:rPr>
                <w:rFonts w:cs="Arial"/>
                <w:b/>
                <w:bCs/>
                <w:color w:val="000000"/>
                <w:spacing w:val="-6"/>
                <w:szCs w:val="20"/>
              </w:rPr>
              <w:t xml:space="preserve"> expectations of employment</w:t>
            </w:r>
            <w:r w:rsidRPr="002855BD">
              <w:rPr>
                <w:rFonts w:cs="Arial"/>
                <w:color w:val="000000"/>
                <w:spacing w:val="-6"/>
                <w:szCs w:val="20"/>
              </w:rPr>
              <w:t xml:space="preserve"> (balance in p. p.)</w:t>
            </w:r>
            <w:r w:rsidRPr="007E103C">
              <w:rPr>
                <w:rFonts w:cs="Arial"/>
                <w:color w:val="000000"/>
                <w:spacing w:val="-3"/>
                <w:szCs w:val="20"/>
              </w:rPr>
              <w:t xml:space="preserve"> </w:t>
            </w:r>
          </w:p>
        </w:tc>
      </w:tr>
      <w:tr w:rsidR="00010596" w:rsidRPr="007250FE" w14:paraId="528572BB" w14:textId="77777777" w:rsidTr="00D60677">
        <w:tblPrEx>
          <w:tblCellMar>
            <w:left w:w="70" w:type="dxa"/>
            <w:right w:w="70" w:type="dxa"/>
          </w:tblCellMar>
        </w:tblPrEx>
        <w:trPr>
          <w:trHeight w:val="155"/>
        </w:trPr>
        <w:tc>
          <w:tcPr>
            <w:tcW w:w="1797" w:type="dxa"/>
          </w:tcPr>
          <w:p w14:paraId="58B76AF3" w14:textId="77777777" w:rsidR="00010596" w:rsidRPr="00860BA9" w:rsidRDefault="00010596" w:rsidP="00D60677">
            <w:pPr>
              <w:pStyle w:val="Marginlie"/>
              <w:spacing w:after="120"/>
              <w:rPr>
                <w:color w:val="0D0D0D" w:themeColor="text1" w:themeTint="F2"/>
                <w:spacing w:val="-4"/>
              </w:rPr>
            </w:pPr>
          </w:p>
        </w:tc>
        <w:tc>
          <w:tcPr>
            <w:tcW w:w="173" w:type="dxa"/>
          </w:tcPr>
          <w:p w14:paraId="0F8EDE19" w14:textId="77777777" w:rsidR="00010596" w:rsidRPr="00860BA9" w:rsidRDefault="00010596" w:rsidP="00D60677">
            <w:pPr>
              <w:pStyle w:val="Textpoznpodarou"/>
              <w:spacing w:after="120"/>
              <w:jc w:val="both"/>
              <w:rPr>
                <w:color w:val="0D0D0D" w:themeColor="text1" w:themeTint="F2"/>
                <w:spacing w:val="-4"/>
              </w:rPr>
            </w:pPr>
          </w:p>
        </w:tc>
        <w:tc>
          <w:tcPr>
            <w:tcW w:w="7704" w:type="dxa"/>
          </w:tcPr>
          <w:p w14:paraId="76EB152F" w14:textId="77777777" w:rsidR="00010596" w:rsidRPr="009A28B2" w:rsidRDefault="00010596" w:rsidP="00D60677">
            <w:pPr>
              <w:spacing w:before="40" w:after="20" w:line="240" w:lineRule="auto"/>
              <w:jc w:val="left"/>
              <w:rPr>
                <w:rFonts w:cs="Arial"/>
                <w:color w:val="0D0D0D" w:themeColor="text1" w:themeTint="F2"/>
                <w:sz w:val="14"/>
                <w:szCs w:val="14"/>
              </w:rPr>
            </w:pPr>
            <w:r>
              <w:rPr>
                <w:noProof/>
              </w:rPr>
              <w:drawing>
                <wp:inline distT="0" distB="0" distL="0" distR="0" wp14:anchorId="437CAF8A" wp14:editId="216722BB">
                  <wp:extent cx="4682157" cy="3860400"/>
                  <wp:effectExtent l="0" t="0" r="4445" b="6985"/>
                  <wp:docPr id="729570634" name="Graf 1">
                    <a:extLst xmlns:a="http://schemas.openxmlformats.org/drawingml/2006/main">
                      <a:ext uri="{FF2B5EF4-FFF2-40B4-BE49-F238E27FC236}">
                        <a16:creationId xmlns:a16="http://schemas.microsoft.com/office/drawing/2014/main" id="{00000000-0008-0000-1A00-00000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sidRPr="00860BA9">
              <w:rPr>
                <w:rFonts w:cs="Arial"/>
                <w:color w:val="0D0D0D" w:themeColor="text1" w:themeTint="F2"/>
                <w:sz w:val="14"/>
                <w:szCs w:val="14"/>
              </w:rPr>
              <w:t xml:space="preserve"> *</w:t>
            </w:r>
            <w:r w:rsidRPr="00860BA9">
              <w:rPr>
                <w:rFonts w:cs="Arial"/>
                <w:sz w:val="14"/>
                <w:szCs w:val="14"/>
              </w:rPr>
              <w:t xml:space="preserve"> *</w:t>
            </w:r>
            <w:r>
              <w:rPr>
                <w:rFonts w:cs="Arial"/>
                <w:sz w:val="14"/>
                <w:szCs w:val="14"/>
              </w:rPr>
              <w:t xml:space="preserve"> </w:t>
            </w:r>
            <w:r w:rsidRPr="00A46FD2">
              <w:rPr>
                <w:rFonts w:cs="Arial"/>
                <w:color w:val="0D0D0D" w:themeColor="text1" w:themeTint="F2"/>
                <w:spacing w:val="-2"/>
                <w:sz w:val="14"/>
                <w:szCs w:val="14"/>
              </w:rPr>
              <w:t>Mining and energetics; Financial and insurance activities; Real estate activities; Arts, entertainment and recreation activities.</w:t>
            </w:r>
            <w:r w:rsidRPr="009A28B2">
              <w:rPr>
                <w:rFonts w:cs="Arial"/>
                <w:color w:val="0D0D0D" w:themeColor="text1" w:themeTint="F2"/>
                <w:sz w:val="14"/>
                <w:szCs w:val="14"/>
              </w:rPr>
              <w:t xml:space="preserve"> </w:t>
            </w:r>
          </w:p>
          <w:p w14:paraId="33989D71" w14:textId="77777777" w:rsidR="00010596" w:rsidRPr="009A28B2" w:rsidRDefault="00010596" w:rsidP="00D60677">
            <w:pPr>
              <w:spacing w:after="0" w:line="240" w:lineRule="auto"/>
              <w:jc w:val="left"/>
              <w:rPr>
                <w:rFonts w:cs="Arial"/>
                <w:color w:val="0D0D0D" w:themeColor="text1" w:themeTint="F2"/>
                <w:sz w:val="14"/>
                <w:szCs w:val="14"/>
              </w:rPr>
            </w:pPr>
            <w:r w:rsidRPr="009A28B2">
              <w:rPr>
                <w:rFonts w:cs="Arial"/>
                <w:color w:val="0D0D0D" w:themeColor="text1" w:themeTint="F2"/>
                <w:sz w:val="14"/>
                <w:szCs w:val="14"/>
              </w:rPr>
              <w:t xml:space="preserve">Note: Balance of expectations expresses the difference in p.p. between categories growth vs. decrease of </w:t>
            </w:r>
            <w:r>
              <w:rPr>
                <w:rFonts w:cs="Arial"/>
                <w:color w:val="0D0D0D" w:themeColor="text1" w:themeTint="F2"/>
                <w:sz w:val="14"/>
                <w:szCs w:val="14"/>
              </w:rPr>
              <w:t xml:space="preserve">own </w:t>
            </w:r>
            <w:r w:rsidRPr="009A28B2">
              <w:rPr>
                <w:rFonts w:cs="Arial"/>
                <w:color w:val="0D0D0D" w:themeColor="text1" w:themeTint="F2"/>
                <w:sz w:val="14"/>
                <w:szCs w:val="14"/>
              </w:rPr>
              <w:t>employment in the nearest three months.</w:t>
            </w:r>
            <w:r>
              <w:rPr>
                <w:rFonts w:cs="Arial"/>
                <w:color w:val="0D0D0D" w:themeColor="text1" w:themeTint="F2"/>
                <w:sz w:val="14"/>
                <w:szCs w:val="14"/>
              </w:rPr>
              <w:t xml:space="preserve"> </w:t>
            </w:r>
            <w:r w:rsidRPr="001E3FD2">
              <w:rPr>
                <w:rFonts w:cs="Arial"/>
                <w:color w:val="0D0D0D" w:themeColor="text1" w:themeTint="F2"/>
                <w:sz w:val="14"/>
                <w:szCs w:val="14"/>
              </w:rPr>
              <w:t xml:space="preserve">The data are seasonally adjusted and express the average for the </w:t>
            </w:r>
            <w:r>
              <w:rPr>
                <w:rFonts w:cs="Arial"/>
                <w:color w:val="0D0D0D" w:themeColor="text1" w:themeTint="F2"/>
                <w:sz w:val="14"/>
                <w:szCs w:val="14"/>
              </w:rPr>
              <w:t>total</w:t>
            </w:r>
            <w:r w:rsidRPr="001E3FD2">
              <w:rPr>
                <w:rFonts w:cs="Arial"/>
                <w:color w:val="0D0D0D" w:themeColor="text1" w:themeTint="F2"/>
                <w:sz w:val="14"/>
                <w:szCs w:val="14"/>
              </w:rPr>
              <w:t xml:space="preserve"> quarter, for the last period the average for the first two months.</w:t>
            </w:r>
            <w:r w:rsidRPr="009A28B2">
              <w:rPr>
                <w:rFonts w:cs="Arial"/>
                <w:color w:val="0D0D0D" w:themeColor="text1" w:themeTint="F2"/>
                <w:sz w:val="14"/>
                <w:szCs w:val="14"/>
              </w:rPr>
              <w:t xml:space="preserve"> </w:t>
            </w:r>
          </w:p>
          <w:p w14:paraId="00DCCB27" w14:textId="77777777" w:rsidR="00010596" w:rsidRPr="00A46FD2" w:rsidRDefault="00010596" w:rsidP="00D60677">
            <w:pPr>
              <w:spacing w:after="0" w:line="240" w:lineRule="auto"/>
              <w:jc w:val="left"/>
              <w:rPr>
                <w:rFonts w:cs="Arial"/>
                <w:sz w:val="14"/>
                <w:szCs w:val="14"/>
              </w:rPr>
            </w:pPr>
            <w:r w:rsidRPr="009A28B2">
              <w:rPr>
                <w:rFonts w:cs="Arial"/>
                <w:color w:val="0D0D0D" w:themeColor="text1" w:themeTint="F2"/>
                <w:sz w:val="14"/>
                <w:szCs w:val="14"/>
              </w:rPr>
              <w:t>Source: CZSO (national accounts), Eurostat (business cycle surveys)</w:t>
            </w:r>
            <w:r w:rsidRPr="00903591">
              <w:rPr>
                <w:rFonts w:cs="Arial"/>
                <w:sz w:val="14"/>
                <w:szCs w:val="14"/>
              </w:rPr>
              <w:t xml:space="preserve"> </w:t>
            </w:r>
          </w:p>
          <w:p w14:paraId="316A3524" w14:textId="77777777" w:rsidR="00010596" w:rsidRPr="003027B5" w:rsidRDefault="00010596" w:rsidP="00D60677">
            <w:pPr>
              <w:spacing w:after="0" w:line="240" w:lineRule="auto"/>
              <w:rPr>
                <w:rFonts w:cs="Arial"/>
                <w:sz w:val="14"/>
                <w:szCs w:val="14"/>
                <w:lang w:val="en-US"/>
              </w:rPr>
            </w:pPr>
          </w:p>
        </w:tc>
      </w:tr>
      <w:tr w:rsidR="00010596" w:rsidRPr="00B131B0" w14:paraId="0EA9B268" w14:textId="77777777" w:rsidTr="00D60677">
        <w:trPr>
          <w:trHeight w:val="145"/>
        </w:trPr>
        <w:tc>
          <w:tcPr>
            <w:tcW w:w="1797" w:type="dxa"/>
            <w:tcMar>
              <w:left w:w="0" w:type="dxa"/>
            </w:tcMar>
          </w:tcPr>
          <w:p w14:paraId="648F4E4E" w14:textId="77777777" w:rsidR="00010596" w:rsidRPr="00860BA9" w:rsidRDefault="00010596" w:rsidP="00D60677">
            <w:pPr>
              <w:pStyle w:val="Marginlie"/>
              <w:rPr>
                <w:color w:val="0D0D0D" w:themeColor="text1" w:themeTint="F2"/>
                <w:spacing w:val="-4"/>
              </w:rPr>
            </w:pPr>
            <w:r w:rsidRPr="008B2FE5">
              <w:rPr>
                <w:color w:val="0D0D0D" w:themeColor="text1" w:themeTint="F2"/>
                <w:spacing w:val="-4"/>
              </w:rPr>
              <w:t>Short-term employment expectations of companies have increased this summer. They were still the most favourable in construction and trade.</w:t>
            </w:r>
            <w:r w:rsidRPr="00860BA9">
              <w:rPr>
                <w:color w:val="0D0D0D" w:themeColor="text1" w:themeTint="F2"/>
                <w:spacing w:val="-4"/>
              </w:rPr>
              <w:t xml:space="preserve"> </w:t>
            </w:r>
          </w:p>
          <w:p w14:paraId="68BBEABD" w14:textId="77777777" w:rsidR="00010596" w:rsidRPr="00860BA9" w:rsidRDefault="00010596" w:rsidP="00D60677">
            <w:pPr>
              <w:pStyle w:val="Marginlie"/>
              <w:rPr>
                <w:color w:val="0D0D0D" w:themeColor="text1" w:themeTint="F2"/>
                <w:spacing w:val="-5"/>
              </w:rPr>
            </w:pPr>
          </w:p>
          <w:p w14:paraId="0C293DCA" w14:textId="77777777" w:rsidR="00010596" w:rsidRPr="00860BA9" w:rsidRDefault="00010596" w:rsidP="00D60677">
            <w:pPr>
              <w:pStyle w:val="Marginlie"/>
              <w:rPr>
                <w:color w:val="0D0D0D" w:themeColor="text1" w:themeTint="F2"/>
                <w:spacing w:val="-5"/>
              </w:rPr>
            </w:pPr>
          </w:p>
          <w:p w14:paraId="25341BCB" w14:textId="77777777" w:rsidR="00010596" w:rsidRPr="00860BA9" w:rsidRDefault="00010596" w:rsidP="00D60677">
            <w:pPr>
              <w:pStyle w:val="Marginlie"/>
              <w:rPr>
                <w:color w:val="0D0D0D" w:themeColor="text1" w:themeTint="F2"/>
                <w:spacing w:val="-5"/>
              </w:rPr>
            </w:pPr>
          </w:p>
          <w:p w14:paraId="5B1AF111" w14:textId="77777777" w:rsidR="00010596" w:rsidRPr="00860BA9" w:rsidRDefault="00010596" w:rsidP="00D60677">
            <w:pPr>
              <w:pStyle w:val="Marginlie"/>
              <w:rPr>
                <w:color w:val="0D0D0D" w:themeColor="text1" w:themeTint="F2"/>
                <w:spacing w:val="-5"/>
              </w:rPr>
            </w:pPr>
          </w:p>
          <w:p w14:paraId="339F0D77" w14:textId="77777777" w:rsidR="00010596" w:rsidRPr="00B51356" w:rsidRDefault="00010596" w:rsidP="00D60677">
            <w:pPr>
              <w:pStyle w:val="Marginlie"/>
              <w:rPr>
                <w:color w:val="0D0D0D" w:themeColor="text1" w:themeTint="F2"/>
                <w:spacing w:val="-5"/>
              </w:rPr>
            </w:pPr>
            <w:r w:rsidRPr="0088582F">
              <w:rPr>
                <w:color w:val="0D0D0D" w:themeColor="text1" w:themeTint="F2"/>
                <w:spacing w:val="-5"/>
              </w:rPr>
              <w:lastRenderedPageBreak/>
              <w:t xml:space="preserve">The lack of free labour </w:t>
            </w:r>
            <w:r>
              <w:rPr>
                <w:color w:val="0D0D0D" w:themeColor="text1" w:themeTint="F2"/>
                <w:spacing w:val="-5"/>
              </w:rPr>
              <w:t xml:space="preserve">force </w:t>
            </w:r>
            <w:r w:rsidRPr="0088582F">
              <w:rPr>
                <w:color w:val="0D0D0D" w:themeColor="text1" w:themeTint="F2"/>
                <w:spacing w:val="-5"/>
              </w:rPr>
              <w:t xml:space="preserve">significantly limits the development of construction; </w:t>
            </w:r>
            <w:r>
              <w:rPr>
                <w:color w:val="0D0D0D" w:themeColor="text1" w:themeTint="F2"/>
                <w:spacing w:val="-5"/>
              </w:rPr>
              <w:t xml:space="preserve">however, </w:t>
            </w:r>
            <w:r w:rsidRPr="0088582F">
              <w:rPr>
                <w:color w:val="0D0D0D" w:themeColor="text1" w:themeTint="F2"/>
                <w:spacing w:val="-5"/>
              </w:rPr>
              <w:t>it is also reflected in some areas of services.</w:t>
            </w:r>
            <w:r>
              <w:rPr>
                <w:color w:val="0D0D0D" w:themeColor="text1" w:themeTint="F2"/>
                <w:spacing w:val="-5"/>
              </w:rPr>
              <w:t xml:space="preserve"> </w:t>
            </w:r>
          </w:p>
        </w:tc>
        <w:tc>
          <w:tcPr>
            <w:tcW w:w="173" w:type="dxa"/>
            <w:tcMar>
              <w:left w:w="0" w:type="dxa"/>
            </w:tcMar>
          </w:tcPr>
          <w:p w14:paraId="77D46478" w14:textId="77777777" w:rsidR="00010596" w:rsidRPr="00B131B0" w:rsidRDefault="00010596" w:rsidP="00D60677">
            <w:pPr>
              <w:pStyle w:val="Textpoznpodarou"/>
              <w:spacing w:after="120"/>
              <w:jc w:val="both"/>
              <w:rPr>
                <w:color w:val="0D0D0D" w:themeColor="text1" w:themeTint="F2"/>
                <w:spacing w:val="-4"/>
              </w:rPr>
            </w:pPr>
          </w:p>
        </w:tc>
        <w:tc>
          <w:tcPr>
            <w:tcW w:w="7704" w:type="dxa"/>
            <w:tcMar>
              <w:left w:w="0" w:type="dxa"/>
            </w:tcMar>
          </w:tcPr>
          <w:p w14:paraId="2A1F526C" w14:textId="77777777" w:rsidR="00010596" w:rsidRDefault="00010596" w:rsidP="00D60677">
            <w:pPr>
              <w:spacing w:after="220"/>
              <w:rPr>
                <w:rFonts w:cs="Arial"/>
                <w:color w:val="0D0D0D" w:themeColor="text1" w:themeTint="F2"/>
                <w:szCs w:val="20"/>
                <w:lang w:val="en"/>
              </w:rPr>
            </w:pPr>
            <w:r w:rsidRPr="00643FC3">
              <w:rPr>
                <w:color w:val="0D0D0D" w:themeColor="text1" w:themeTint="F2"/>
              </w:rPr>
              <w:t xml:space="preserve">Short-term expectations of domestic </w:t>
            </w:r>
            <w:r>
              <w:rPr>
                <w:color w:val="0D0D0D" w:themeColor="text1" w:themeTint="F2"/>
              </w:rPr>
              <w:t xml:space="preserve">businesses </w:t>
            </w:r>
            <w:r w:rsidRPr="00643FC3">
              <w:rPr>
                <w:color w:val="0D0D0D" w:themeColor="text1" w:themeTint="F2"/>
              </w:rPr>
              <w:t>in terms of their own employment</w:t>
            </w:r>
            <w:r w:rsidRPr="00B131B0">
              <w:rPr>
                <w:rStyle w:val="Znakapoznpodarou"/>
                <w:color w:val="0D0D0D" w:themeColor="text1" w:themeTint="F2"/>
              </w:rPr>
              <w:footnoteReference w:id="20"/>
            </w:r>
            <w:r w:rsidRPr="00643FC3">
              <w:rPr>
                <w:color w:val="0D0D0D" w:themeColor="text1" w:themeTint="F2"/>
              </w:rPr>
              <w:t xml:space="preserve"> improved at the very beginning of this year, reaching their highest level in three and a half years in March (and their level was in line with the long-term average). Expectations subsequently deteriorated slightly due to external shocks related to the </w:t>
            </w:r>
            <w:r>
              <w:rPr>
                <w:color w:val="0D0D0D" w:themeColor="text1" w:themeTint="F2"/>
              </w:rPr>
              <w:t>worsening ge</w:t>
            </w:r>
            <w:r w:rsidRPr="00643FC3">
              <w:rPr>
                <w:color w:val="0D0D0D" w:themeColor="text1" w:themeTint="F2"/>
              </w:rPr>
              <w:t>opolitical situation (</w:t>
            </w:r>
            <w:r>
              <w:rPr>
                <w:color w:val="0D0D0D" w:themeColor="text1" w:themeTint="F2"/>
              </w:rPr>
              <w:t>businesses in services experienced m</w:t>
            </w:r>
            <w:r w:rsidRPr="00643FC3">
              <w:rPr>
                <w:color w:val="0D0D0D" w:themeColor="text1" w:themeTint="F2"/>
              </w:rPr>
              <w:t>ore movement</w:t>
            </w:r>
            <w:r>
              <w:rPr>
                <w:color w:val="0D0D0D" w:themeColor="text1" w:themeTint="F2"/>
              </w:rPr>
              <w:t>)</w:t>
            </w:r>
            <w:r w:rsidRPr="00643FC3">
              <w:rPr>
                <w:color w:val="0D0D0D" w:themeColor="text1" w:themeTint="F2"/>
              </w:rPr>
              <w:t xml:space="preserve">, </w:t>
            </w:r>
            <w:r>
              <w:rPr>
                <w:color w:val="0D0D0D" w:themeColor="text1" w:themeTint="F2"/>
              </w:rPr>
              <w:t xml:space="preserve">nevertheless </w:t>
            </w:r>
            <w:r w:rsidRPr="00643FC3">
              <w:rPr>
                <w:color w:val="0D0D0D" w:themeColor="text1" w:themeTint="F2"/>
              </w:rPr>
              <w:t>they returned to the level of the beginning of this year</w:t>
            </w:r>
            <w:r>
              <w:rPr>
                <w:color w:val="0D0D0D" w:themeColor="text1" w:themeTint="F2"/>
              </w:rPr>
              <w:t xml:space="preserve"> </w:t>
            </w:r>
            <w:r w:rsidRPr="00643FC3">
              <w:rPr>
                <w:color w:val="0D0D0D" w:themeColor="text1" w:themeTint="F2"/>
              </w:rPr>
              <w:t xml:space="preserve">during the summer holidays. </w:t>
            </w:r>
            <w:r>
              <w:rPr>
                <w:color w:val="0D0D0D" w:themeColor="text1" w:themeTint="F2"/>
              </w:rPr>
              <w:t>T</w:t>
            </w:r>
            <w:r w:rsidRPr="00643FC3">
              <w:rPr>
                <w:color w:val="0D0D0D" w:themeColor="text1" w:themeTint="F2"/>
              </w:rPr>
              <w:t xml:space="preserve">he greatest optimism in </w:t>
            </w:r>
            <w:r>
              <w:rPr>
                <w:color w:val="0D0D0D" w:themeColor="text1" w:themeTint="F2"/>
              </w:rPr>
              <w:t xml:space="preserve">the </w:t>
            </w:r>
            <w:r w:rsidRPr="00643FC3">
              <w:rPr>
                <w:color w:val="0D0D0D" w:themeColor="text1" w:themeTint="F2"/>
              </w:rPr>
              <w:t xml:space="preserve">employment </w:t>
            </w:r>
            <w:r>
              <w:rPr>
                <w:color w:val="0D0D0D" w:themeColor="text1" w:themeTint="F2"/>
              </w:rPr>
              <w:t xml:space="preserve">area </w:t>
            </w:r>
            <w:r w:rsidRPr="00643FC3">
              <w:rPr>
                <w:color w:val="0D0D0D" w:themeColor="text1" w:themeTint="F2"/>
              </w:rPr>
              <w:t>was maintained in construction</w:t>
            </w:r>
            <w:r>
              <w:rPr>
                <w:color w:val="0D0D0D" w:themeColor="text1" w:themeTint="F2"/>
              </w:rPr>
              <w:t xml:space="preserve"> in Q3</w:t>
            </w:r>
            <w:r w:rsidRPr="00643FC3">
              <w:rPr>
                <w:color w:val="0D0D0D" w:themeColor="text1" w:themeTint="F2"/>
              </w:rPr>
              <w:t xml:space="preserve">, which contrasted with a significantly more cautious outlook in a number of service </w:t>
            </w:r>
            <w:r w:rsidRPr="00643FC3">
              <w:rPr>
                <w:color w:val="0D0D0D" w:themeColor="text1" w:themeTint="F2"/>
              </w:rPr>
              <w:lastRenderedPageBreak/>
              <w:t>sectors</w:t>
            </w:r>
            <w:r w:rsidRPr="00B131B0">
              <w:rPr>
                <w:rStyle w:val="Znakapoznpodarou"/>
                <w:color w:val="0D0D0D" w:themeColor="text1" w:themeTint="F2"/>
              </w:rPr>
              <w:footnoteReference w:id="21"/>
            </w:r>
            <w:r w:rsidRPr="00860BA9">
              <w:rPr>
                <w:color w:val="0D0D0D" w:themeColor="text1" w:themeTint="F2"/>
              </w:rPr>
              <w:t>.</w:t>
            </w:r>
            <w:r w:rsidRPr="00643FC3">
              <w:rPr>
                <w:color w:val="0D0D0D" w:themeColor="text1" w:themeTint="F2"/>
              </w:rPr>
              <w:t xml:space="preserve"> In industry, expectations have been steadily improving since the beginning of the year. Naturally, significant differences persisted within sub-sectors</w:t>
            </w:r>
            <w:r w:rsidRPr="00B131B0">
              <w:rPr>
                <w:rStyle w:val="Znakapoznpodarou"/>
                <w:color w:val="0D0D0D" w:themeColor="text1" w:themeTint="F2"/>
              </w:rPr>
              <w:footnoteReference w:id="22"/>
            </w:r>
            <w:r w:rsidRPr="00643FC3">
              <w:rPr>
                <w:color w:val="0D0D0D" w:themeColor="text1" w:themeTint="F2"/>
              </w:rPr>
              <w:t xml:space="preserve">. The share of </w:t>
            </w:r>
            <w:r>
              <w:rPr>
                <w:color w:val="0D0D0D" w:themeColor="text1" w:themeTint="F2"/>
              </w:rPr>
              <w:t xml:space="preserve">companies </w:t>
            </w:r>
            <w:r w:rsidRPr="00643FC3">
              <w:rPr>
                <w:color w:val="0D0D0D" w:themeColor="text1" w:themeTint="F2"/>
              </w:rPr>
              <w:t>for which labour shortages represent one of the significant growth barriers</w:t>
            </w:r>
            <w:r w:rsidRPr="00B131B0">
              <w:rPr>
                <w:rStyle w:val="Znakapoznpodarou"/>
                <w:color w:val="0D0D0D" w:themeColor="text1" w:themeTint="F2"/>
              </w:rPr>
              <w:footnoteReference w:id="23"/>
            </w:r>
            <w:r>
              <w:rPr>
                <w:color w:val="0D0D0D" w:themeColor="text1" w:themeTint="F2"/>
              </w:rPr>
              <w:t xml:space="preserve"> </w:t>
            </w:r>
            <w:r w:rsidRPr="00643FC3">
              <w:rPr>
                <w:color w:val="0D0D0D" w:themeColor="text1" w:themeTint="F2"/>
              </w:rPr>
              <w:t>was also the highest in construction (41%) at the beginning of Q3 2026. The opposite was true in services (12%) and industry (13%), where the role of this barrier increased very slightly</w:t>
            </w:r>
            <w:r>
              <w:rPr>
                <w:color w:val="0D0D0D" w:themeColor="text1" w:themeTint="F2"/>
              </w:rPr>
              <w:t>,</w:t>
            </w:r>
            <w:r w:rsidRPr="00643FC3">
              <w:rPr>
                <w:color w:val="0D0D0D" w:themeColor="text1" w:themeTint="F2"/>
              </w:rPr>
              <w:t xml:space="preserve"> year-on-year, while the opposite was true in construction. Nevertheless, there were a few mostly smaller sectors of industry and services in which labour shortages represented the main growth barrier</w:t>
            </w:r>
            <w:r w:rsidRPr="00B131B0">
              <w:rPr>
                <w:rStyle w:val="Znakapoznpodarou"/>
                <w:color w:val="0D0D0D" w:themeColor="text1" w:themeTint="F2"/>
              </w:rPr>
              <w:footnoteReference w:id="24"/>
            </w:r>
            <w:r w:rsidRPr="00860BA9">
              <w:rPr>
                <w:color w:val="0D0D0D" w:themeColor="text1" w:themeTint="F2"/>
              </w:rPr>
              <w:t>.</w:t>
            </w:r>
          </w:p>
        </w:tc>
      </w:tr>
      <w:tr w:rsidR="00010596" w:rsidRPr="00B131B0" w14:paraId="56D77954" w14:textId="77777777" w:rsidTr="00D60677">
        <w:trPr>
          <w:trHeight w:val="145"/>
        </w:trPr>
        <w:tc>
          <w:tcPr>
            <w:tcW w:w="1797" w:type="dxa"/>
            <w:tcMar>
              <w:left w:w="0" w:type="dxa"/>
            </w:tcMar>
          </w:tcPr>
          <w:p w14:paraId="1F2E09F6" w14:textId="77777777" w:rsidR="00010596" w:rsidRPr="00B131B0" w:rsidRDefault="00010596" w:rsidP="00D60677">
            <w:pPr>
              <w:pStyle w:val="Marginlie"/>
              <w:rPr>
                <w:color w:val="0D0D0D" w:themeColor="text1" w:themeTint="F2"/>
                <w:spacing w:val="-7"/>
              </w:rPr>
            </w:pPr>
            <w:r w:rsidRPr="00B51356">
              <w:rPr>
                <w:color w:val="0D0D0D" w:themeColor="text1" w:themeTint="F2"/>
                <w:spacing w:val="-5"/>
              </w:rPr>
              <w:lastRenderedPageBreak/>
              <w:t xml:space="preserve">The general unemployment rate continued to rise slightly. The </w:t>
            </w:r>
            <w:r>
              <w:rPr>
                <w:color w:val="0D0D0D" w:themeColor="text1" w:themeTint="F2"/>
                <w:spacing w:val="-5"/>
              </w:rPr>
              <w:t xml:space="preserve">number of </w:t>
            </w:r>
            <w:r w:rsidRPr="00B51356">
              <w:rPr>
                <w:color w:val="0D0D0D" w:themeColor="text1" w:themeTint="F2"/>
                <w:spacing w:val="-5"/>
              </w:rPr>
              <w:t>long-term unemployed also increased.</w:t>
            </w:r>
            <w:r w:rsidRPr="00B131B0">
              <w:rPr>
                <w:color w:val="0D0D0D" w:themeColor="text1" w:themeTint="F2"/>
                <w:spacing w:val="-7"/>
              </w:rPr>
              <w:t xml:space="preserve"> </w:t>
            </w:r>
          </w:p>
        </w:tc>
        <w:tc>
          <w:tcPr>
            <w:tcW w:w="173" w:type="dxa"/>
            <w:tcMar>
              <w:left w:w="0" w:type="dxa"/>
            </w:tcMar>
          </w:tcPr>
          <w:p w14:paraId="4440F576" w14:textId="77777777" w:rsidR="00010596" w:rsidRPr="00B131B0" w:rsidRDefault="00010596" w:rsidP="00D60677">
            <w:pPr>
              <w:pStyle w:val="Textpoznpodarou"/>
              <w:spacing w:after="120"/>
              <w:jc w:val="both"/>
              <w:rPr>
                <w:color w:val="0D0D0D" w:themeColor="text1" w:themeTint="F2"/>
                <w:spacing w:val="-4"/>
              </w:rPr>
            </w:pPr>
          </w:p>
        </w:tc>
        <w:tc>
          <w:tcPr>
            <w:tcW w:w="7704" w:type="dxa"/>
            <w:tcMar>
              <w:left w:w="0" w:type="dxa"/>
            </w:tcMar>
          </w:tcPr>
          <w:p w14:paraId="0B159A92" w14:textId="77777777" w:rsidR="00010596" w:rsidRPr="00B131B0" w:rsidRDefault="00010596" w:rsidP="00D60677">
            <w:pPr>
              <w:spacing w:after="220"/>
              <w:rPr>
                <w:color w:val="0D0D0D" w:themeColor="text1" w:themeTint="F2"/>
              </w:rPr>
            </w:pPr>
            <w:r>
              <w:rPr>
                <w:rFonts w:cs="Arial"/>
                <w:color w:val="0D0D0D" w:themeColor="text1" w:themeTint="F2"/>
                <w:szCs w:val="20"/>
                <w:lang w:val="en"/>
              </w:rPr>
              <w:t>T</w:t>
            </w:r>
            <w:r w:rsidRPr="00300650">
              <w:rPr>
                <w:rFonts w:cs="Arial"/>
                <w:color w:val="0D0D0D" w:themeColor="text1" w:themeTint="F2"/>
                <w:szCs w:val="20"/>
                <w:lang w:val="en"/>
              </w:rPr>
              <w:t>he general unemployment rate</w:t>
            </w:r>
            <w:r w:rsidRPr="00B131B0">
              <w:rPr>
                <w:rFonts w:cs="Arial"/>
                <w:color w:val="0D0D0D" w:themeColor="text1" w:themeTint="F2"/>
                <w:szCs w:val="20"/>
                <w:vertAlign w:val="superscript"/>
              </w:rPr>
              <w:footnoteReference w:id="25"/>
            </w:r>
            <w:r w:rsidRPr="00300650">
              <w:rPr>
                <w:rFonts w:cs="Arial"/>
                <w:color w:val="0D0D0D" w:themeColor="text1" w:themeTint="F2"/>
                <w:szCs w:val="20"/>
                <w:lang w:val="en"/>
              </w:rPr>
              <w:t xml:space="preserve"> has started to increase slightly since last spring</w:t>
            </w:r>
            <w:r>
              <w:rPr>
                <w:rFonts w:cs="Arial"/>
                <w:color w:val="0D0D0D" w:themeColor="text1" w:themeTint="F2"/>
                <w:szCs w:val="20"/>
                <w:lang w:val="en"/>
              </w:rPr>
              <w:t xml:space="preserve"> a</w:t>
            </w:r>
            <w:r w:rsidRPr="00300650">
              <w:rPr>
                <w:rFonts w:cs="Arial"/>
                <w:color w:val="0D0D0D" w:themeColor="text1" w:themeTint="F2"/>
                <w:szCs w:val="20"/>
                <w:lang w:val="en"/>
              </w:rPr>
              <w:t xml:space="preserve">fter stagnating in 2024. Unemployment </w:t>
            </w:r>
            <w:r>
              <w:rPr>
                <w:rFonts w:cs="Arial"/>
                <w:color w:val="0D0D0D" w:themeColor="text1" w:themeTint="F2"/>
                <w:szCs w:val="20"/>
                <w:lang w:val="en"/>
              </w:rPr>
              <w:t xml:space="preserve">of persons aged </w:t>
            </w:r>
            <w:r w:rsidRPr="00300650">
              <w:rPr>
                <w:rFonts w:cs="Arial"/>
                <w:color w:val="0D0D0D" w:themeColor="text1" w:themeTint="F2"/>
                <w:szCs w:val="20"/>
                <w:lang w:val="en"/>
              </w:rPr>
              <w:t>15–64</w:t>
            </w:r>
            <w:r>
              <w:rPr>
                <w:rFonts w:cs="Arial"/>
                <w:color w:val="0D0D0D" w:themeColor="text1" w:themeTint="F2"/>
                <w:szCs w:val="20"/>
                <w:lang w:val="en"/>
              </w:rPr>
              <w:t xml:space="preserve"> years </w:t>
            </w:r>
            <w:r w:rsidRPr="00300650">
              <w:rPr>
                <w:rFonts w:cs="Arial"/>
                <w:color w:val="0D0D0D" w:themeColor="text1" w:themeTint="F2"/>
                <w:szCs w:val="20"/>
                <w:lang w:val="en"/>
              </w:rPr>
              <w:t>thus stood at 3.4% in July this year (m</w:t>
            </w:r>
            <w:r>
              <w:rPr>
                <w:rFonts w:cs="Arial"/>
                <w:color w:val="0D0D0D" w:themeColor="text1" w:themeTint="F2"/>
                <w:szCs w:val="20"/>
                <w:lang w:val="en"/>
              </w:rPr>
              <w:t>ales</w:t>
            </w:r>
            <w:r w:rsidRPr="00300650">
              <w:rPr>
                <w:rFonts w:cs="Arial"/>
                <w:color w:val="0D0D0D" w:themeColor="text1" w:themeTint="F2"/>
                <w:szCs w:val="20"/>
                <w:lang w:val="en"/>
              </w:rPr>
              <w:t xml:space="preserve">: 2.8%, </w:t>
            </w:r>
            <w:r>
              <w:rPr>
                <w:rFonts w:cs="Arial"/>
                <w:color w:val="0D0D0D" w:themeColor="text1" w:themeTint="F2"/>
                <w:szCs w:val="20"/>
                <w:lang w:val="en"/>
              </w:rPr>
              <w:t>females</w:t>
            </w:r>
            <w:r w:rsidRPr="00300650">
              <w:rPr>
                <w:rFonts w:cs="Arial"/>
                <w:color w:val="0D0D0D" w:themeColor="text1" w:themeTint="F2"/>
                <w:szCs w:val="20"/>
                <w:lang w:val="en"/>
              </w:rPr>
              <w:t xml:space="preserve">: 4.0%). </w:t>
            </w:r>
            <w:r>
              <w:rPr>
                <w:rFonts w:cs="Arial"/>
                <w:color w:val="0D0D0D" w:themeColor="text1" w:themeTint="F2"/>
                <w:szCs w:val="20"/>
                <w:lang w:val="en"/>
              </w:rPr>
              <w:t xml:space="preserve">Total </w:t>
            </w:r>
            <w:r w:rsidRPr="00300650">
              <w:rPr>
                <w:rFonts w:cs="Arial"/>
                <w:color w:val="0D0D0D" w:themeColor="text1" w:themeTint="F2"/>
                <w:szCs w:val="20"/>
                <w:lang w:val="en"/>
              </w:rPr>
              <w:t>unemployment is thus comparable to that at the peak of the pandemic (March 2021) and was last higher at the beginning of 2017. Unemployment increased by 0.3 p</w:t>
            </w:r>
            <w:r>
              <w:rPr>
                <w:rFonts w:cs="Arial"/>
                <w:color w:val="0D0D0D" w:themeColor="text1" w:themeTint="F2"/>
                <w:szCs w:val="20"/>
                <w:lang w:val="en"/>
              </w:rPr>
              <w:t xml:space="preserve">. p., </w:t>
            </w:r>
            <w:r w:rsidRPr="00300650">
              <w:rPr>
                <w:rFonts w:cs="Arial"/>
                <w:color w:val="0D0D0D" w:themeColor="text1" w:themeTint="F2"/>
                <w:szCs w:val="20"/>
                <w:lang w:val="en"/>
              </w:rPr>
              <w:t>year-on-year, with growing at a slightly higher pace</w:t>
            </w:r>
            <w:r>
              <w:rPr>
                <w:rFonts w:cs="Arial"/>
                <w:color w:val="0D0D0D" w:themeColor="text1" w:themeTint="F2"/>
                <w:szCs w:val="20"/>
                <w:lang w:val="en"/>
              </w:rPr>
              <w:t xml:space="preserve"> for females</w:t>
            </w:r>
            <w:r w:rsidRPr="00300650">
              <w:rPr>
                <w:rFonts w:cs="Arial"/>
                <w:color w:val="0D0D0D" w:themeColor="text1" w:themeTint="F2"/>
                <w:szCs w:val="20"/>
                <w:lang w:val="en"/>
              </w:rPr>
              <w:t>. The number of long-term unemployed grew faster (by 14 thousand</w:t>
            </w:r>
            <w:r>
              <w:rPr>
                <w:rFonts w:cs="Arial"/>
                <w:color w:val="0D0D0D" w:themeColor="text1" w:themeTint="F2"/>
                <w:szCs w:val="20"/>
                <w:lang w:val="en"/>
              </w:rPr>
              <w:t>,</w:t>
            </w:r>
            <w:r w:rsidRPr="00300650">
              <w:rPr>
                <w:rFonts w:cs="Arial"/>
                <w:color w:val="0D0D0D" w:themeColor="text1" w:themeTint="F2"/>
                <w:szCs w:val="20"/>
                <w:lang w:val="en"/>
              </w:rPr>
              <w:t xml:space="preserve"> year-on-year</w:t>
            </w:r>
            <w:r>
              <w:rPr>
                <w:rFonts w:cs="Arial"/>
                <w:color w:val="0D0D0D" w:themeColor="text1" w:themeTint="F2"/>
                <w:szCs w:val="20"/>
                <w:lang w:val="en"/>
              </w:rPr>
              <w:t xml:space="preserve">, in H1 </w:t>
            </w:r>
            <w:r w:rsidRPr="00300650">
              <w:rPr>
                <w:rFonts w:cs="Arial"/>
                <w:color w:val="0D0D0D" w:themeColor="text1" w:themeTint="F2"/>
                <w:szCs w:val="20"/>
                <w:lang w:val="en"/>
              </w:rPr>
              <w:t xml:space="preserve">to 53 thousand), </w:t>
            </w:r>
            <w:r>
              <w:rPr>
                <w:rFonts w:cs="Arial"/>
                <w:color w:val="0D0D0D" w:themeColor="text1" w:themeTint="F2"/>
                <w:szCs w:val="20"/>
                <w:lang w:val="en"/>
              </w:rPr>
              <w:t xml:space="preserve">nevertheless </w:t>
            </w:r>
            <w:r w:rsidRPr="00300650">
              <w:rPr>
                <w:rFonts w:cs="Arial"/>
                <w:color w:val="0D0D0D" w:themeColor="text1" w:themeTint="F2"/>
                <w:szCs w:val="20"/>
                <w:lang w:val="en"/>
              </w:rPr>
              <w:t xml:space="preserve">they still accounted for less than a third of all unemployed (which is not out of step with the long-term and international context). On the positive side, hidden unemployment (in the form of a temporary </w:t>
            </w:r>
            <w:r>
              <w:rPr>
                <w:rFonts w:cs="Arial"/>
                <w:color w:val="0D0D0D" w:themeColor="text1" w:themeTint="F2"/>
                <w:szCs w:val="20"/>
                <w:lang w:val="en"/>
              </w:rPr>
              <w:t>“</w:t>
            </w:r>
            <w:r w:rsidRPr="00300650">
              <w:rPr>
                <w:rFonts w:cs="Arial"/>
                <w:color w:val="0D0D0D" w:themeColor="text1" w:themeTint="F2"/>
                <w:szCs w:val="20"/>
                <w:lang w:val="en"/>
              </w:rPr>
              <w:t>escape</w:t>
            </w:r>
            <w:r>
              <w:rPr>
                <w:rFonts w:cs="Arial"/>
                <w:color w:val="0D0D0D" w:themeColor="text1" w:themeTint="F2"/>
                <w:szCs w:val="20"/>
                <w:lang w:val="en"/>
              </w:rPr>
              <w:t>”</w:t>
            </w:r>
            <w:r w:rsidRPr="00300650">
              <w:rPr>
                <w:rFonts w:cs="Arial"/>
                <w:color w:val="0D0D0D" w:themeColor="text1" w:themeTint="F2"/>
                <w:szCs w:val="20"/>
                <w:lang w:val="en"/>
              </w:rPr>
              <w:t xml:space="preserve"> into economic inactivity) is not increasing significantly</w:t>
            </w:r>
            <w:r w:rsidRPr="00B131B0">
              <w:rPr>
                <w:rStyle w:val="Znakapoznpodarou"/>
                <w:szCs w:val="20"/>
              </w:rPr>
              <w:footnoteReference w:id="26"/>
            </w:r>
            <w:r w:rsidRPr="00300650">
              <w:rPr>
                <w:rFonts w:cs="Arial"/>
                <w:color w:val="0D0D0D" w:themeColor="text1" w:themeTint="F2"/>
                <w:szCs w:val="20"/>
                <w:lang w:val="en"/>
              </w:rPr>
              <w:t>.</w:t>
            </w:r>
            <w:r>
              <w:rPr>
                <w:rFonts w:cs="Arial"/>
                <w:color w:val="0D0D0D" w:themeColor="text1" w:themeTint="F2"/>
                <w:szCs w:val="20"/>
                <w:lang w:val="en"/>
              </w:rPr>
              <w:t xml:space="preserve"> </w:t>
            </w:r>
          </w:p>
        </w:tc>
      </w:tr>
      <w:tr w:rsidR="00010596" w:rsidRPr="00B131B0" w14:paraId="21542B86" w14:textId="77777777" w:rsidTr="00D60677">
        <w:trPr>
          <w:trHeight w:val="145"/>
        </w:trPr>
        <w:tc>
          <w:tcPr>
            <w:tcW w:w="1797" w:type="dxa"/>
            <w:tcMar>
              <w:left w:w="0" w:type="dxa"/>
            </w:tcMar>
          </w:tcPr>
          <w:p w14:paraId="23565E63" w14:textId="77777777" w:rsidR="00010596" w:rsidRPr="00B131B0" w:rsidRDefault="00010596" w:rsidP="00D60677">
            <w:pPr>
              <w:pStyle w:val="Marginlie"/>
              <w:rPr>
                <w:color w:val="0D0D0D" w:themeColor="text1" w:themeTint="F2"/>
                <w:spacing w:val="-5"/>
              </w:rPr>
            </w:pPr>
            <w:r w:rsidRPr="005F1858">
              <w:rPr>
                <w:color w:val="0D0D0D" w:themeColor="text1" w:themeTint="F2"/>
                <w:spacing w:val="-5"/>
              </w:rPr>
              <w:t>Unemployment in the EU stagnated</w:t>
            </w:r>
            <w:r>
              <w:rPr>
                <w:color w:val="0D0D0D" w:themeColor="text1" w:themeTint="F2"/>
                <w:spacing w:val="-5"/>
              </w:rPr>
              <w:t>,</w:t>
            </w:r>
            <w:r w:rsidRPr="005F1858">
              <w:rPr>
                <w:color w:val="0D0D0D" w:themeColor="text1" w:themeTint="F2"/>
                <w:spacing w:val="-5"/>
              </w:rPr>
              <w:t xml:space="preserve"> year-on-year. Among the </w:t>
            </w:r>
            <w:r>
              <w:rPr>
                <w:color w:val="0D0D0D" w:themeColor="text1" w:themeTint="F2"/>
                <w:spacing w:val="-5"/>
              </w:rPr>
              <w:t>m</w:t>
            </w:r>
            <w:r w:rsidRPr="005F1858">
              <w:rPr>
                <w:color w:val="0D0D0D" w:themeColor="text1" w:themeTint="F2"/>
                <w:spacing w:val="-5"/>
              </w:rPr>
              <w:t xml:space="preserve">ember </w:t>
            </w:r>
            <w:r>
              <w:rPr>
                <w:color w:val="0D0D0D" w:themeColor="text1" w:themeTint="F2"/>
                <w:spacing w:val="-5"/>
              </w:rPr>
              <w:t>s</w:t>
            </w:r>
            <w:r w:rsidRPr="005F1858">
              <w:rPr>
                <w:color w:val="0D0D0D" w:themeColor="text1" w:themeTint="F2"/>
                <w:spacing w:val="-5"/>
              </w:rPr>
              <w:t>tates, it reached a minimum in the Czech Republic and a maximum in Finland.</w:t>
            </w:r>
          </w:p>
        </w:tc>
        <w:tc>
          <w:tcPr>
            <w:tcW w:w="173" w:type="dxa"/>
            <w:tcMar>
              <w:left w:w="0" w:type="dxa"/>
            </w:tcMar>
          </w:tcPr>
          <w:p w14:paraId="436FD1C2" w14:textId="77777777" w:rsidR="00010596" w:rsidRPr="00B131B0" w:rsidRDefault="00010596" w:rsidP="00D60677">
            <w:pPr>
              <w:pStyle w:val="Textpoznpodarou"/>
              <w:spacing w:after="120"/>
              <w:jc w:val="both"/>
              <w:rPr>
                <w:color w:val="0D0D0D" w:themeColor="text1" w:themeTint="F2"/>
                <w:spacing w:val="-4"/>
              </w:rPr>
            </w:pPr>
          </w:p>
        </w:tc>
        <w:tc>
          <w:tcPr>
            <w:tcW w:w="7704" w:type="dxa"/>
            <w:tcMar>
              <w:left w:w="0" w:type="dxa"/>
            </w:tcMar>
          </w:tcPr>
          <w:p w14:paraId="33CED87E" w14:textId="77777777" w:rsidR="00010596" w:rsidRPr="00B131B0" w:rsidRDefault="00010596" w:rsidP="00D60677">
            <w:pPr>
              <w:spacing w:after="220"/>
              <w:rPr>
                <w:rFonts w:cs="Arial"/>
                <w:color w:val="0D0D0D" w:themeColor="text1" w:themeTint="F2"/>
                <w:spacing w:val="-4"/>
                <w:szCs w:val="20"/>
              </w:rPr>
            </w:pPr>
            <w:r w:rsidRPr="0012390C">
              <w:rPr>
                <w:rFonts w:cs="Arial"/>
                <w:color w:val="0D0D0D" w:themeColor="text1" w:themeTint="F2"/>
                <w:spacing w:val="-4"/>
                <w:szCs w:val="20"/>
              </w:rPr>
              <w:t xml:space="preserve">Despite its moderate growth, unemployment in the Czech Republic remains low from a historical and international point of view. The unemployment rate for </w:t>
            </w:r>
            <w:r>
              <w:rPr>
                <w:rFonts w:cs="Arial"/>
                <w:color w:val="0D0D0D" w:themeColor="text1" w:themeTint="F2"/>
                <w:spacing w:val="-4"/>
                <w:szCs w:val="20"/>
              </w:rPr>
              <w:t xml:space="preserve">persons aged </w:t>
            </w:r>
            <w:r w:rsidRPr="0012390C">
              <w:rPr>
                <w:rFonts w:cs="Arial"/>
                <w:color w:val="0D0D0D" w:themeColor="text1" w:themeTint="F2"/>
                <w:spacing w:val="-4"/>
                <w:szCs w:val="20"/>
              </w:rPr>
              <w:t>15 to 74</w:t>
            </w:r>
            <w:r>
              <w:rPr>
                <w:rFonts w:cs="Arial"/>
                <w:color w:val="0D0D0D" w:themeColor="text1" w:themeTint="F2"/>
                <w:spacing w:val="-4"/>
                <w:szCs w:val="20"/>
              </w:rPr>
              <w:t xml:space="preserve"> years </w:t>
            </w:r>
            <w:r w:rsidRPr="0012390C">
              <w:rPr>
                <w:rFonts w:cs="Arial"/>
                <w:color w:val="0D0D0D" w:themeColor="text1" w:themeTint="F2"/>
                <w:spacing w:val="-4"/>
                <w:szCs w:val="20"/>
              </w:rPr>
              <w:t>reached 6.1% in the EU in July (m</w:t>
            </w:r>
            <w:r>
              <w:rPr>
                <w:rFonts w:cs="Arial"/>
                <w:color w:val="0D0D0D" w:themeColor="text1" w:themeTint="F2"/>
                <w:spacing w:val="-4"/>
                <w:szCs w:val="20"/>
              </w:rPr>
              <w:t>ales</w:t>
            </w:r>
            <w:r w:rsidRPr="0012390C">
              <w:rPr>
                <w:rFonts w:cs="Arial"/>
                <w:color w:val="0D0D0D" w:themeColor="text1" w:themeTint="F2"/>
                <w:spacing w:val="-4"/>
                <w:szCs w:val="20"/>
              </w:rPr>
              <w:t xml:space="preserve"> 5.9%, </w:t>
            </w:r>
            <w:r>
              <w:rPr>
                <w:rFonts w:cs="Arial"/>
                <w:color w:val="0D0D0D" w:themeColor="text1" w:themeTint="F2"/>
                <w:spacing w:val="-4"/>
                <w:szCs w:val="20"/>
              </w:rPr>
              <w:t xml:space="preserve">females </w:t>
            </w:r>
            <w:r w:rsidRPr="0012390C">
              <w:rPr>
                <w:rFonts w:cs="Arial"/>
                <w:color w:val="0D0D0D" w:themeColor="text1" w:themeTint="F2"/>
                <w:spacing w:val="-4"/>
                <w:szCs w:val="20"/>
              </w:rPr>
              <w:t>6.3%) and continued to stagnate</w:t>
            </w:r>
            <w:r>
              <w:rPr>
                <w:rFonts w:cs="Arial"/>
                <w:color w:val="0D0D0D" w:themeColor="text1" w:themeTint="F2"/>
                <w:spacing w:val="-4"/>
                <w:szCs w:val="20"/>
              </w:rPr>
              <w:t>,</w:t>
            </w:r>
            <w:r w:rsidRPr="0012390C">
              <w:rPr>
                <w:rFonts w:cs="Arial"/>
                <w:color w:val="0D0D0D" w:themeColor="text1" w:themeTint="F2"/>
                <w:spacing w:val="-4"/>
                <w:szCs w:val="20"/>
              </w:rPr>
              <w:t xml:space="preserve"> year-on-year. </w:t>
            </w:r>
            <w:r>
              <w:rPr>
                <w:rFonts w:cs="Arial"/>
                <w:color w:val="0D0D0D" w:themeColor="text1" w:themeTint="F2"/>
                <w:spacing w:val="-4"/>
                <w:szCs w:val="20"/>
              </w:rPr>
              <w:t xml:space="preserve">Total </w:t>
            </w:r>
            <w:r w:rsidRPr="0012390C">
              <w:rPr>
                <w:rFonts w:cs="Arial"/>
                <w:color w:val="0D0D0D" w:themeColor="text1" w:themeTint="F2"/>
                <w:spacing w:val="-4"/>
                <w:szCs w:val="20"/>
              </w:rPr>
              <w:t xml:space="preserve">unemployment in the Czech Republic (3.3%) was at a minimum among the </w:t>
            </w:r>
            <w:r>
              <w:rPr>
                <w:rFonts w:cs="Arial"/>
                <w:color w:val="0D0D0D" w:themeColor="text1" w:themeTint="F2"/>
                <w:spacing w:val="-4"/>
                <w:szCs w:val="20"/>
              </w:rPr>
              <w:t>m</w:t>
            </w:r>
            <w:r w:rsidRPr="0012390C">
              <w:rPr>
                <w:rFonts w:cs="Arial"/>
                <w:color w:val="0D0D0D" w:themeColor="text1" w:themeTint="F2"/>
                <w:spacing w:val="-4"/>
                <w:szCs w:val="20"/>
              </w:rPr>
              <w:t xml:space="preserve">ember </w:t>
            </w:r>
            <w:r>
              <w:rPr>
                <w:rFonts w:cs="Arial"/>
                <w:color w:val="0D0D0D" w:themeColor="text1" w:themeTint="F2"/>
                <w:spacing w:val="-4"/>
                <w:szCs w:val="20"/>
              </w:rPr>
              <w:t>s</w:t>
            </w:r>
            <w:r w:rsidRPr="0012390C">
              <w:rPr>
                <w:rFonts w:cs="Arial"/>
                <w:color w:val="0D0D0D" w:themeColor="text1" w:themeTint="F2"/>
                <w:spacing w:val="-4"/>
                <w:szCs w:val="20"/>
              </w:rPr>
              <w:t xml:space="preserve">tates, but seven countries had a better position among </w:t>
            </w:r>
            <w:r>
              <w:rPr>
                <w:rFonts w:cs="Arial"/>
                <w:color w:val="0D0D0D" w:themeColor="text1" w:themeTint="F2"/>
                <w:spacing w:val="-4"/>
                <w:szCs w:val="20"/>
              </w:rPr>
              <w:t>females</w:t>
            </w:r>
            <w:r w:rsidRPr="0012390C">
              <w:rPr>
                <w:rFonts w:cs="Arial"/>
                <w:color w:val="0D0D0D" w:themeColor="text1" w:themeTint="F2"/>
                <w:spacing w:val="-4"/>
                <w:szCs w:val="20"/>
              </w:rPr>
              <w:t xml:space="preserve"> (led by Bulgaria and Poland, where unemployment was lower by 0.7 p</w:t>
            </w:r>
            <w:r>
              <w:rPr>
                <w:rFonts w:cs="Arial"/>
                <w:color w:val="0D0D0D" w:themeColor="text1" w:themeTint="F2"/>
                <w:spacing w:val="-4"/>
                <w:szCs w:val="20"/>
              </w:rPr>
              <w:t xml:space="preserve">. p. </w:t>
            </w:r>
            <w:r w:rsidRPr="0012390C">
              <w:rPr>
                <w:rFonts w:cs="Arial"/>
                <w:color w:val="0D0D0D" w:themeColor="text1" w:themeTint="F2"/>
                <w:spacing w:val="-4"/>
                <w:szCs w:val="20"/>
              </w:rPr>
              <w:t xml:space="preserve">compared to the Czech Republic). In Germany it reached </w:t>
            </w:r>
            <w:r>
              <w:rPr>
                <w:rFonts w:cs="Arial"/>
                <w:color w:val="0D0D0D" w:themeColor="text1" w:themeTint="F2"/>
                <w:spacing w:val="-4"/>
                <w:szCs w:val="20"/>
              </w:rPr>
              <w:t xml:space="preserve">in total </w:t>
            </w:r>
            <w:r w:rsidRPr="0012390C">
              <w:rPr>
                <w:rFonts w:cs="Arial"/>
                <w:color w:val="0D0D0D" w:themeColor="text1" w:themeTint="F2"/>
                <w:spacing w:val="-4"/>
                <w:szCs w:val="20"/>
              </w:rPr>
              <w:t>4.0%</w:t>
            </w:r>
            <w:r>
              <w:rPr>
                <w:rFonts w:cs="Arial"/>
                <w:color w:val="0D0D0D" w:themeColor="text1" w:themeTint="F2"/>
                <w:spacing w:val="-4"/>
                <w:szCs w:val="20"/>
              </w:rPr>
              <w:t xml:space="preserve"> </w:t>
            </w:r>
            <w:r w:rsidRPr="0012390C">
              <w:rPr>
                <w:rFonts w:cs="Arial"/>
                <w:color w:val="0D0D0D" w:themeColor="text1" w:themeTint="F2"/>
                <w:spacing w:val="-4"/>
                <w:szCs w:val="20"/>
              </w:rPr>
              <w:t>and 5.7%</w:t>
            </w:r>
            <w:r>
              <w:rPr>
                <w:rFonts w:cs="Arial"/>
                <w:color w:val="0D0D0D" w:themeColor="text1" w:themeTint="F2"/>
                <w:spacing w:val="-4"/>
                <w:szCs w:val="20"/>
              </w:rPr>
              <w:t xml:space="preserve"> in Slovakia</w:t>
            </w:r>
            <w:r w:rsidRPr="0012390C">
              <w:rPr>
                <w:rFonts w:cs="Arial"/>
                <w:color w:val="0D0D0D" w:themeColor="text1" w:themeTint="F2"/>
                <w:spacing w:val="-4"/>
                <w:szCs w:val="20"/>
              </w:rPr>
              <w:t>, and in both cases, it increased slightly</w:t>
            </w:r>
            <w:r>
              <w:rPr>
                <w:rFonts w:cs="Arial"/>
                <w:color w:val="0D0D0D" w:themeColor="text1" w:themeTint="F2"/>
                <w:spacing w:val="-4"/>
                <w:szCs w:val="20"/>
              </w:rPr>
              <w:t>,</w:t>
            </w:r>
            <w:r w:rsidRPr="0012390C">
              <w:rPr>
                <w:rFonts w:cs="Arial"/>
                <w:color w:val="0D0D0D" w:themeColor="text1" w:themeTint="F2"/>
                <w:spacing w:val="-4"/>
                <w:szCs w:val="20"/>
              </w:rPr>
              <w:t xml:space="preserve"> year-on-year (+0.2 p</w:t>
            </w:r>
            <w:r>
              <w:rPr>
                <w:rFonts w:cs="Arial"/>
                <w:color w:val="0D0D0D" w:themeColor="text1" w:themeTint="F2"/>
                <w:spacing w:val="-4"/>
                <w:szCs w:val="20"/>
              </w:rPr>
              <w:t>. p.</w:t>
            </w:r>
            <w:r w:rsidRPr="0012390C">
              <w:rPr>
                <w:rFonts w:cs="Arial"/>
                <w:color w:val="0D0D0D" w:themeColor="text1" w:themeTint="F2"/>
                <w:spacing w:val="-4"/>
                <w:szCs w:val="20"/>
              </w:rPr>
              <w:t>). Unemployment peaked in Finland at 10.5% (+0.6 p</w:t>
            </w:r>
            <w:r>
              <w:rPr>
                <w:rFonts w:cs="Arial"/>
                <w:color w:val="0D0D0D" w:themeColor="text1" w:themeTint="F2"/>
                <w:spacing w:val="-4"/>
                <w:szCs w:val="20"/>
              </w:rPr>
              <w:t>. p.</w:t>
            </w:r>
            <w:r w:rsidRPr="0012390C">
              <w:rPr>
                <w:rFonts w:cs="Arial"/>
                <w:color w:val="0D0D0D" w:themeColor="text1" w:themeTint="F2"/>
                <w:spacing w:val="-4"/>
                <w:szCs w:val="20"/>
              </w:rPr>
              <w:t xml:space="preserve">) and Spain (10.0%) was also hit hard, </w:t>
            </w:r>
            <w:r>
              <w:rPr>
                <w:rFonts w:cs="Arial"/>
                <w:color w:val="0D0D0D" w:themeColor="text1" w:themeTint="F2"/>
                <w:spacing w:val="-4"/>
                <w:szCs w:val="20"/>
              </w:rPr>
              <w:t xml:space="preserve">however </w:t>
            </w:r>
            <w:r w:rsidRPr="0012390C">
              <w:rPr>
                <w:rFonts w:cs="Arial"/>
                <w:color w:val="0D0D0D" w:themeColor="text1" w:themeTint="F2"/>
                <w:spacing w:val="-4"/>
                <w:szCs w:val="20"/>
              </w:rPr>
              <w:t>there was a slight improvement (</w:t>
            </w:r>
            <w:r w:rsidRPr="0006472D">
              <w:rPr>
                <w:color w:val="0D0D0D" w:themeColor="text1" w:themeTint="F2"/>
                <w:spacing w:val="-4"/>
              </w:rPr>
              <w:t>−</w:t>
            </w:r>
            <w:r w:rsidRPr="0012390C">
              <w:rPr>
                <w:rFonts w:cs="Arial"/>
                <w:color w:val="0D0D0D" w:themeColor="text1" w:themeTint="F2"/>
                <w:spacing w:val="-4"/>
                <w:szCs w:val="20"/>
              </w:rPr>
              <w:t>0.6 p</w:t>
            </w:r>
            <w:r>
              <w:rPr>
                <w:rFonts w:cs="Arial"/>
                <w:color w:val="0D0D0D" w:themeColor="text1" w:themeTint="F2"/>
                <w:spacing w:val="-4"/>
                <w:szCs w:val="20"/>
              </w:rPr>
              <w:t>. p.</w:t>
            </w:r>
            <w:r w:rsidRPr="0012390C">
              <w:rPr>
                <w:rFonts w:cs="Arial"/>
                <w:color w:val="0D0D0D" w:themeColor="text1" w:themeTint="F2"/>
                <w:spacing w:val="-4"/>
                <w:szCs w:val="20"/>
              </w:rPr>
              <w:t>) thanks to decent economic growth. The relatively difficult situation continued in Sweden (8.6%) and France (8.3%).</w:t>
            </w:r>
            <w:r w:rsidRPr="00B131B0">
              <w:rPr>
                <w:color w:val="0D0D0D" w:themeColor="text1" w:themeTint="F2"/>
                <w:spacing w:val="-4"/>
              </w:rPr>
              <w:t xml:space="preserve"> </w:t>
            </w:r>
          </w:p>
        </w:tc>
      </w:tr>
      <w:tr w:rsidR="00010596" w:rsidRPr="00B131B0" w14:paraId="651BC105" w14:textId="77777777" w:rsidTr="00D60677">
        <w:trPr>
          <w:trHeight w:val="145"/>
        </w:trPr>
        <w:tc>
          <w:tcPr>
            <w:tcW w:w="1797" w:type="dxa"/>
            <w:tcMar>
              <w:left w:w="0" w:type="dxa"/>
            </w:tcMar>
          </w:tcPr>
          <w:p w14:paraId="35166DAD" w14:textId="77777777" w:rsidR="00010596" w:rsidRPr="005F1858" w:rsidRDefault="00010596" w:rsidP="00D60677">
            <w:pPr>
              <w:pStyle w:val="Marginlie"/>
              <w:rPr>
                <w:color w:val="0D0D0D" w:themeColor="text1" w:themeTint="F2"/>
                <w:spacing w:val="-5"/>
              </w:rPr>
            </w:pPr>
            <w:r w:rsidRPr="000A3957">
              <w:rPr>
                <w:color w:val="0D0D0D" w:themeColor="text1" w:themeTint="F2"/>
              </w:rPr>
              <w:t xml:space="preserve">The year-on-year growth </w:t>
            </w:r>
            <w:r>
              <w:rPr>
                <w:color w:val="0D0D0D" w:themeColor="text1" w:themeTint="F2"/>
              </w:rPr>
              <w:t>of</w:t>
            </w:r>
            <w:r w:rsidRPr="000A3957">
              <w:rPr>
                <w:color w:val="0D0D0D" w:themeColor="text1" w:themeTint="F2"/>
              </w:rPr>
              <w:t xml:space="preserve"> the number of registered job </w:t>
            </w:r>
            <w:r>
              <w:rPr>
                <w:color w:val="0D0D0D" w:themeColor="text1" w:themeTint="F2"/>
              </w:rPr>
              <w:t xml:space="preserve">applicants </w:t>
            </w:r>
            <w:r w:rsidRPr="000A3957">
              <w:rPr>
                <w:color w:val="0D0D0D" w:themeColor="text1" w:themeTint="F2"/>
              </w:rPr>
              <w:t xml:space="preserve">slowed down this year. Unemployment increased in all </w:t>
            </w:r>
            <w:r>
              <w:rPr>
                <w:color w:val="0D0D0D" w:themeColor="text1" w:themeTint="F2"/>
              </w:rPr>
              <w:t xml:space="preserve">regions. </w:t>
            </w:r>
          </w:p>
        </w:tc>
        <w:tc>
          <w:tcPr>
            <w:tcW w:w="173" w:type="dxa"/>
            <w:tcMar>
              <w:left w:w="0" w:type="dxa"/>
            </w:tcMar>
          </w:tcPr>
          <w:p w14:paraId="387A4FF4" w14:textId="77777777" w:rsidR="00010596" w:rsidRPr="00B131B0" w:rsidRDefault="00010596" w:rsidP="00D60677">
            <w:pPr>
              <w:pStyle w:val="Textpoznpodarou"/>
              <w:spacing w:after="120"/>
              <w:jc w:val="both"/>
              <w:rPr>
                <w:color w:val="0D0D0D" w:themeColor="text1" w:themeTint="F2"/>
                <w:spacing w:val="-4"/>
              </w:rPr>
            </w:pPr>
          </w:p>
        </w:tc>
        <w:tc>
          <w:tcPr>
            <w:tcW w:w="7704" w:type="dxa"/>
            <w:tcMar>
              <w:left w:w="0" w:type="dxa"/>
            </w:tcMar>
          </w:tcPr>
          <w:p w14:paraId="475A0FC5" w14:textId="77777777" w:rsidR="00010596" w:rsidRPr="00FB5831" w:rsidRDefault="00010596" w:rsidP="00D60677">
            <w:pPr>
              <w:pStyle w:val="paragraph"/>
              <w:spacing w:before="0" w:beforeAutospacing="0" w:after="200" w:afterAutospacing="0" w:line="276" w:lineRule="auto"/>
              <w:jc w:val="both"/>
              <w:textAlignment w:val="baseline"/>
              <w:rPr>
                <w:spacing w:val="-2"/>
              </w:rPr>
            </w:pPr>
            <w:r>
              <w:rPr>
                <w:rFonts w:ascii="Arial" w:hAnsi="Arial" w:cs="Arial"/>
                <w:color w:val="0D0D0D" w:themeColor="text1" w:themeTint="F2"/>
                <w:spacing w:val="-2"/>
                <w:sz w:val="20"/>
                <w:szCs w:val="20"/>
              </w:rPr>
              <w:t>Even d</w:t>
            </w:r>
            <w:r w:rsidRPr="00027CCB">
              <w:rPr>
                <w:rFonts w:ascii="Arial" w:hAnsi="Arial" w:cs="Arial"/>
                <w:color w:val="0D0D0D" w:themeColor="text1" w:themeTint="F2"/>
                <w:spacing w:val="-2"/>
                <w:sz w:val="20"/>
                <w:szCs w:val="20"/>
              </w:rPr>
              <w:t>ata from labour offices do not yet indicate a significant cooling of the domestic labour market. The seasonally unadjusted share of registered job</w:t>
            </w:r>
            <w:r>
              <w:rPr>
                <w:rFonts w:ascii="Arial" w:hAnsi="Arial" w:cs="Arial"/>
                <w:color w:val="0D0D0D" w:themeColor="text1" w:themeTint="F2"/>
                <w:spacing w:val="-2"/>
                <w:sz w:val="20"/>
                <w:szCs w:val="20"/>
              </w:rPr>
              <w:t xml:space="preserve"> applicants </w:t>
            </w:r>
            <w:r w:rsidRPr="00027CCB">
              <w:rPr>
                <w:rFonts w:ascii="Arial" w:hAnsi="Arial" w:cs="Arial"/>
                <w:color w:val="0D0D0D" w:themeColor="text1" w:themeTint="F2"/>
                <w:spacing w:val="-2"/>
                <w:sz w:val="20"/>
                <w:szCs w:val="20"/>
              </w:rPr>
              <w:t xml:space="preserve">in the total population </w:t>
            </w:r>
            <w:r>
              <w:rPr>
                <w:rFonts w:ascii="Arial" w:hAnsi="Arial" w:cs="Arial"/>
                <w:color w:val="0D0D0D" w:themeColor="text1" w:themeTint="F2"/>
                <w:spacing w:val="-2"/>
                <w:sz w:val="20"/>
                <w:szCs w:val="20"/>
              </w:rPr>
              <w:t xml:space="preserve">aged </w:t>
            </w:r>
            <w:r w:rsidRPr="00027CCB">
              <w:rPr>
                <w:rFonts w:ascii="Arial" w:hAnsi="Arial" w:cs="Arial"/>
                <w:color w:val="0D0D0D" w:themeColor="text1" w:themeTint="F2"/>
                <w:spacing w:val="-2"/>
                <w:sz w:val="20"/>
                <w:szCs w:val="20"/>
              </w:rPr>
              <w:t>15 to 64</w:t>
            </w:r>
            <w:r>
              <w:rPr>
                <w:rFonts w:ascii="Arial" w:hAnsi="Arial" w:cs="Arial"/>
                <w:color w:val="0D0D0D" w:themeColor="text1" w:themeTint="F2"/>
                <w:spacing w:val="-2"/>
                <w:sz w:val="20"/>
                <w:szCs w:val="20"/>
              </w:rPr>
              <w:t xml:space="preserve"> years </w:t>
            </w:r>
            <w:r w:rsidRPr="00027CCB">
              <w:rPr>
                <w:rFonts w:ascii="Arial" w:hAnsi="Arial" w:cs="Arial"/>
                <w:color w:val="0D0D0D" w:themeColor="text1" w:themeTint="F2"/>
                <w:spacing w:val="-2"/>
                <w:sz w:val="20"/>
                <w:szCs w:val="20"/>
              </w:rPr>
              <w:t>reached 5.0% at the end of July this year (m</w:t>
            </w:r>
            <w:r>
              <w:rPr>
                <w:rFonts w:ascii="Arial" w:hAnsi="Arial" w:cs="Arial"/>
                <w:color w:val="0D0D0D" w:themeColor="text1" w:themeTint="F2"/>
                <w:spacing w:val="-2"/>
                <w:sz w:val="20"/>
                <w:szCs w:val="20"/>
              </w:rPr>
              <w:t>ales</w:t>
            </w:r>
            <w:r w:rsidRPr="00027CCB">
              <w:rPr>
                <w:rFonts w:ascii="Arial" w:hAnsi="Arial" w:cs="Arial"/>
                <w:color w:val="0D0D0D" w:themeColor="text1" w:themeTint="F2"/>
                <w:spacing w:val="-2"/>
                <w:sz w:val="20"/>
                <w:szCs w:val="20"/>
              </w:rPr>
              <w:t xml:space="preserve">: 4.4%, </w:t>
            </w:r>
            <w:r>
              <w:rPr>
                <w:rFonts w:ascii="Arial" w:hAnsi="Arial" w:cs="Arial"/>
                <w:color w:val="0D0D0D" w:themeColor="text1" w:themeTint="F2"/>
                <w:spacing w:val="-2"/>
                <w:sz w:val="20"/>
                <w:szCs w:val="20"/>
              </w:rPr>
              <w:t>females</w:t>
            </w:r>
            <w:r w:rsidRPr="00027CCB">
              <w:rPr>
                <w:rFonts w:ascii="Arial" w:hAnsi="Arial" w:cs="Arial"/>
                <w:color w:val="0D0D0D" w:themeColor="text1" w:themeTint="F2"/>
                <w:spacing w:val="-2"/>
                <w:sz w:val="20"/>
                <w:szCs w:val="20"/>
              </w:rPr>
              <w:t>: 5.5%). This share has been increasing</w:t>
            </w:r>
            <w:r>
              <w:rPr>
                <w:rFonts w:ascii="Arial" w:hAnsi="Arial" w:cs="Arial"/>
                <w:color w:val="0D0D0D" w:themeColor="text1" w:themeTint="F2"/>
                <w:spacing w:val="-2"/>
                <w:sz w:val="20"/>
                <w:szCs w:val="20"/>
              </w:rPr>
              <w:t>,</w:t>
            </w:r>
            <w:r w:rsidRPr="00027CCB">
              <w:rPr>
                <w:rFonts w:ascii="Arial" w:hAnsi="Arial" w:cs="Arial"/>
                <w:color w:val="0D0D0D" w:themeColor="text1" w:themeTint="F2"/>
                <w:spacing w:val="-2"/>
                <w:sz w:val="20"/>
                <w:szCs w:val="20"/>
              </w:rPr>
              <w:t xml:space="preserve"> year-on-year</w:t>
            </w:r>
            <w:r>
              <w:rPr>
                <w:rFonts w:ascii="Arial" w:hAnsi="Arial" w:cs="Arial"/>
                <w:color w:val="0D0D0D" w:themeColor="text1" w:themeTint="F2"/>
                <w:spacing w:val="-2"/>
                <w:sz w:val="20"/>
                <w:szCs w:val="20"/>
              </w:rPr>
              <w:t>,</w:t>
            </w:r>
            <w:r w:rsidRPr="00027CCB">
              <w:rPr>
                <w:rFonts w:ascii="Arial" w:hAnsi="Arial" w:cs="Arial"/>
                <w:color w:val="0D0D0D" w:themeColor="text1" w:themeTint="F2"/>
                <w:spacing w:val="-2"/>
                <w:sz w:val="20"/>
                <w:szCs w:val="20"/>
              </w:rPr>
              <w:t xml:space="preserve"> for more than two and a half years, but this year the growth </w:t>
            </w:r>
            <w:r>
              <w:rPr>
                <w:rFonts w:ascii="Arial" w:hAnsi="Arial" w:cs="Arial"/>
                <w:color w:val="0D0D0D" w:themeColor="text1" w:themeTint="F2"/>
                <w:spacing w:val="-2"/>
                <w:sz w:val="20"/>
                <w:szCs w:val="20"/>
              </w:rPr>
              <w:t>of</w:t>
            </w:r>
            <w:r w:rsidRPr="00027CCB">
              <w:rPr>
                <w:rFonts w:ascii="Arial" w:hAnsi="Arial" w:cs="Arial"/>
                <w:color w:val="0D0D0D" w:themeColor="text1" w:themeTint="F2"/>
                <w:spacing w:val="-2"/>
                <w:sz w:val="20"/>
                <w:szCs w:val="20"/>
              </w:rPr>
              <w:t xml:space="preserve"> unemployment slowed down for the sixth month in a </w:t>
            </w:r>
            <w:r w:rsidRPr="00FB5831">
              <w:rPr>
                <w:rFonts w:ascii="Arial" w:hAnsi="Arial" w:cs="Arial"/>
                <w:color w:val="0D0D0D" w:themeColor="text1" w:themeTint="F2"/>
                <w:spacing w:val="-4"/>
                <w:sz w:val="20"/>
                <w:szCs w:val="20"/>
              </w:rPr>
              <w:lastRenderedPageBreak/>
              <w:t>row (to +0.5 p. p.)</w:t>
            </w:r>
            <w:r w:rsidRPr="00FB5831">
              <w:rPr>
                <w:rStyle w:val="Znakapoznpodarou"/>
                <w:rFonts w:ascii="Arial" w:eastAsiaTheme="majorEastAsia" w:hAnsi="Arial" w:cs="Arial"/>
                <w:spacing w:val="-4"/>
                <w:sz w:val="20"/>
                <w:szCs w:val="20"/>
              </w:rPr>
              <w:footnoteReference w:id="27"/>
            </w:r>
            <w:r w:rsidRPr="00FB5831">
              <w:rPr>
                <w:rFonts w:ascii="Arial" w:hAnsi="Arial" w:cs="Arial"/>
                <w:color w:val="0D0D0D" w:themeColor="text1" w:themeTint="F2"/>
                <w:spacing w:val="-4"/>
                <w:sz w:val="20"/>
                <w:szCs w:val="20"/>
              </w:rPr>
              <w:t>. Unemployment has traditionally been significantly regionally differentiated</w:t>
            </w:r>
            <w:r w:rsidRPr="00FB5831">
              <w:rPr>
                <w:rStyle w:val="Znakapoznpodarou"/>
                <w:rFonts w:ascii="Arial" w:hAnsi="Arial" w:cs="Arial"/>
                <w:color w:val="0D0D0D" w:themeColor="text1" w:themeTint="F2"/>
                <w:spacing w:val="-4"/>
                <w:sz w:val="20"/>
                <w:szCs w:val="20"/>
              </w:rPr>
              <w:footnoteReference w:id="28"/>
            </w:r>
            <w:r w:rsidRPr="00FB5831">
              <w:rPr>
                <w:rFonts w:ascii="Arial" w:hAnsi="Arial" w:cs="Arial"/>
                <w:color w:val="0D0D0D" w:themeColor="text1" w:themeTint="F2"/>
                <w:spacing w:val="-4"/>
                <w:sz w:val="20"/>
                <w:szCs w:val="20"/>
              </w:rPr>
              <w:t>. The current increase of registered job applicants may be related (apart from normal seasonality) and ongoing structural changes in the economy to higher activity of labour offices in the field of counselling and retraining, as well as to more flexible options for their contact (digitally at a distance). It cannot be ruled out that people may have already been more courageous to change unsatisfactory jobs (e.g. with motivation to gain higher earnings or increased support in the first months of unemployment, which has been in force since January 2026).</w:t>
            </w:r>
            <w:r w:rsidRPr="00B131B0">
              <w:rPr>
                <w:spacing w:val="-2"/>
              </w:rPr>
              <w:t xml:space="preserve"> </w:t>
            </w:r>
          </w:p>
        </w:tc>
      </w:tr>
      <w:tr w:rsidR="00010596" w:rsidRPr="00B131B0" w14:paraId="1CF29FDF" w14:textId="77777777" w:rsidTr="00D60677">
        <w:trPr>
          <w:trHeight w:val="145"/>
        </w:trPr>
        <w:tc>
          <w:tcPr>
            <w:tcW w:w="1797" w:type="dxa"/>
            <w:tcMar>
              <w:left w:w="0" w:type="dxa"/>
            </w:tcMar>
          </w:tcPr>
          <w:p w14:paraId="74C8CF74" w14:textId="77777777" w:rsidR="00010596" w:rsidRPr="00B131B0" w:rsidRDefault="00010596" w:rsidP="00D60677">
            <w:pPr>
              <w:pStyle w:val="Marginlie"/>
              <w:rPr>
                <w:color w:val="0D0D0D" w:themeColor="text1" w:themeTint="F2"/>
                <w:spacing w:val="-5"/>
              </w:rPr>
            </w:pPr>
          </w:p>
        </w:tc>
        <w:tc>
          <w:tcPr>
            <w:tcW w:w="173" w:type="dxa"/>
            <w:tcMar>
              <w:left w:w="0" w:type="dxa"/>
            </w:tcMar>
          </w:tcPr>
          <w:p w14:paraId="56CB91E5" w14:textId="77777777" w:rsidR="00010596" w:rsidRPr="00B131B0" w:rsidRDefault="00010596" w:rsidP="00D60677">
            <w:pPr>
              <w:pStyle w:val="Textpoznpodarou"/>
              <w:spacing w:after="120"/>
              <w:jc w:val="both"/>
              <w:rPr>
                <w:color w:val="0D0D0D" w:themeColor="text1" w:themeTint="F2"/>
                <w:spacing w:val="-4"/>
              </w:rPr>
            </w:pPr>
          </w:p>
        </w:tc>
        <w:tc>
          <w:tcPr>
            <w:tcW w:w="7704" w:type="dxa"/>
            <w:tcMar>
              <w:left w:w="0" w:type="dxa"/>
            </w:tcMar>
          </w:tcPr>
          <w:p w14:paraId="5AA8E8AA" w14:textId="692B1721" w:rsidR="00010596" w:rsidRPr="00B131B0" w:rsidRDefault="00010596" w:rsidP="00D60677">
            <w:pPr>
              <w:spacing w:after="40"/>
              <w:jc w:val="left"/>
              <w:rPr>
                <w:rFonts w:cs="Arial"/>
                <w:szCs w:val="20"/>
              </w:rPr>
            </w:pPr>
            <w:r>
              <w:rPr>
                <w:b/>
              </w:rPr>
              <w:t xml:space="preserve">Chart </w:t>
            </w:r>
            <w:r w:rsidRPr="00B131B0">
              <w:rPr>
                <w:b/>
              </w:rPr>
              <w:t>1</w:t>
            </w:r>
            <w:r w:rsidR="00A35EB2">
              <w:rPr>
                <w:b/>
              </w:rPr>
              <w:t>4</w:t>
            </w:r>
            <w:r w:rsidRPr="00B131B0">
              <w:rPr>
                <w:b/>
              </w:rPr>
              <w:t xml:space="preserve"> </w:t>
            </w:r>
            <w:r w:rsidRPr="007B67F2">
              <w:rPr>
                <w:rFonts w:cs="Arial"/>
                <w:b/>
                <w:spacing w:val="-8"/>
              </w:rPr>
              <w:t xml:space="preserve">General unemployment rate </w:t>
            </w:r>
            <w:r w:rsidRPr="007B67F2">
              <w:rPr>
                <w:rFonts w:cs="Arial"/>
                <w:bCs/>
                <w:spacing w:val="-8"/>
              </w:rPr>
              <w:t>(in %, age 15</w:t>
            </w:r>
            <w:r>
              <w:rPr>
                <w:rFonts w:cs="Arial"/>
                <w:bCs/>
                <w:spacing w:val="-8"/>
              </w:rPr>
              <w:t xml:space="preserve"> to </w:t>
            </w:r>
            <w:r w:rsidRPr="007B67F2">
              <w:rPr>
                <w:rFonts w:cs="Arial"/>
                <w:bCs/>
                <w:spacing w:val="-8"/>
              </w:rPr>
              <w:t>4 years)</w:t>
            </w:r>
            <w:r w:rsidRPr="007B67F2">
              <w:rPr>
                <w:rFonts w:cs="Arial"/>
                <w:b/>
                <w:spacing w:val="-8"/>
              </w:rPr>
              <w:t>, unemployment expectations</w:t>
            </w:r>
            <w:r w:rsidRPr="007B67F2">
              <w:rPr>
                <w:rFonts w:cs="Arial"/>
                <w:b/>
                <w:spacing w:val="-4"/>
              </w:rPr>
              <w:t xml:space="preserve"> of households* </w:t>
            </w:r>
            <w:r w:rsidRPr="007B67F2">
              <w:rPr>
                <w:rFonts w:cs="Arial"/>
                <w:bCs/>
                <w:spacing w:val="-4"/>
              </w:rPr>
              <w:t>(in p. p.)</w:t>
            </w:r>
            <w:r>
              <w:rPr>
                <w:rFonts w:cs="Arial"/>
                <w:bCs/>
                <w:spacing w:val="-4"/>
              </w:rPr>
              <w:t xml:space="preserve">, </w:t>
            </w:r>
            <w:r w:rsidRPr="007B67F2">
              <w:rPr>
                <w:rFonts w:cs="Arial"/>
                <w:b/>
                <w:spacing w:val="-4"/>
              </w:rPr>
              <w:t>job vacancies</w:t>
            </w:r>
            <w:r>
              <w:rPr>
                <w:rFonts w:cs="Arial"/>
                <w:b/>
                <w:spacing w:val="-4"/>
              </w:rPr>
              <w:t>**</w:t>
            </w:r>
            <w:r w:rsidRPr="007B67F2">
              <w:rPr>
                <w:rFonts w:cs="Arial"/>
                <w:b/>
                <w:spacing w:val="-4"/>
              </w:rPr>
              <w:t xml:space="preserve"> </w:t>
            </w:r>
            <w:r w:rsidRPr="007B67F2">
              <w:rPr>
                <w:rFonts w:cs="Arial"/>
                <w:bCs/>
                <w:spacing w:val="-4"/>
              </w:rPr>
              <w:t>(in thousand)</w:t>
            </w:r>
            <w:r>
              <w:rPr>
                <w:rFonts w:cs="Arial"/>
                <w:bCs/>
                <w:spacing w:val="-4"/>
              </w:rPr>
              <w:t xml:space="preserve"> </w:t>
            </w:r>
          </w:p>
        </w:tc>
      </w:tr>
      <w:tr w:rsidR="00010596" w:rsidRPr="00B131B0" w14:paraId="0DFD4352" w14:textId="77777777" w:rsidTr="00D60677">
        <w:tblPrEx>
          <w:tblCellMar>
            <w:left w:w="70" w:type="dxa"/>
            <w:right w:w="70" w:type="dxa"/>
          </w:tblCellMar>
        </w:tblPrEx>
        <w:trPr>
          <w:trHeight w:val="145"/>
        </w:trPr>
        <w:tc>
          <w:tcPr>
            <w:tcW w:w="1797" w:type="dxa"/>
          </w:tcPr>
          <w:p w14:paraId="22EBE6E2" w14:textId="77777777" w:rsidR="00010596" w:rsidRPr="00B131B0" w:rsidRDefault="00010596" w:rsidP="00D60677">
            <w:pPr>
              <w:pStyle w:val="Marginlie"/>
              <w:rPr>
                <w:color w:val="0D0D0D" w:themeColor="text1" w:themeTint="F2"/>
                <w:spacing w:val="-5"/>
              </w:rPr>
            </w:pPr>
          </w:p>
        </w:tc>
        <w:tc>
          <w:tcPr>
            <w:tcW w:w="173" w:type="dxa"/>
          </w:tcPr>
          <w:p w14:paraId="4F0540C5" w14:textId="77777777" w:rsidR="00010596" w:rsidRPr="00B131B0" w:rsidRDefault="00010596" w:rsidP="00D60677">
            <w:pPr>
              <w:pStyle w:val="Textpoznpodarou"/>
              <w:spacing w:after="120"/>
              <w:jc w:val="both"/>
              <w:rPr>
                <w:spacing w:val="-4"/>
              </w:rPr>
            </w:pPr>
          </w:p>
          <w:p w14:paraId="1792A926" w14:textId="77777777" w:rsidR="00010596" w:rsidRPr="00B131B0" w:rsidRDefault="00010596" w:rsidP="00D60677">
            <w:pPr>
              <w:pStyle w:val="Textpoznpodarou"/>
              <w:spacing w:after="120"/>
              <w:jc w:val="both"/>
              <w:rPr>
                <w:color w:val="0D0D0D" w:themeColor="text1" w:themeTint="F2"/>
                <w:spacing w:val="-4"/>
              </w:rPr>
            </w:pPr>
          </w:p>
        </w:tc>
        <w:tc>
          <w:tcPr>
            <w:tcW w:w="7704" w:type="dxa"/>
          </w:tcPr>
          <w:p w14:paraId="706FD9A3" w14:textId="77777777" w:rsidR="00010596" w:rsidRPr="00B131B0" w:rsidRDefault="00010596" w:rsidP="00D60677">
            <w:pPr>
              <w:spacing w:before="40" w:after="20"/>
              <w:rPr>
                <w:rFonts w:cs="Arial"/>
                <w:szCs w:val="20"/>
              </w:rPr>
            </w:pPr>
            <w:r>
              <w:rPr>
                <w:noProof/>
              </w:rPr>
              <w:drawing>
                <wp:inline distT="0" distB="0" distL="0" distR="0" wp14:anchorId="0CAC16C9" wp14:editId="40F2CEFF">
                  <wp:extent cx="4730808" cy="3478304"/>
                  <wp:effectExtent l="0" t="0" r="0" b="8255"/>
                  <wp:docPr id="954172994" name="Graf 1">
                    <a:extLst xmlns:a="http://schemas.openxmlformats.org/drawingml/2006/main">
                      <a:ext uri="{FF2B5EF4-FFF2-40B4-BE49-F238E27FC236}">
                        <a16:creationId xmlns:a16="http://schemas.microsoft.com/office/drawing/2014/main" id="{FB39EAA8-F86F-4B53-8CA9-A47A592377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tc>
      </w:tr>
      <w:tr w:rsidR="00010596" w:rsidRPr="00B131B0" w14:paraId="665B1245" w14:textId="77777777" w:rsidTr="00D60677">
        <w:trPr>
          <w:trHeight w:val="145"/>
        </w:trPr>
        <w:tc>
          <w:tcPr>
            <w:tcW w:w="1797" w:type="dxa"/>
            <w:tcMar>
              <w:left w:w="0" w:type="dxa"/>
            </w:tcMar>
          </w:tcPr>
          <w:p w14:paraId="480C5311" w14:textId="77777777" w:rsidR="00010596" w:rsidRPr="00B131B0" w:rsidRDefault="00010596" w:rsidP="00D60677">
            <w:pPr>
              <w:pStyle w:val="Marginlie"/>
              <w:spacing w:after="120"/>
              <w:rPr>
                <w:spacing w:val="-4"/>
              </w:rPr>
            </w:pPr>
          </w:p>
        </w:tc>
        <w:tc>
          <w:tcPr>
            <w:tcW w:w="173" w:type="dxa"/>
            <w:tcMar>
              <w:left w:w="0" w:type="dxa"/>
            </w:tcMar>
          </w:tcPr>
          <w:p w14:paraId="1BDB8872" w14:textId="77777777" w:rsidR="00010596" w:rsidRPr="00B131B0" w:rsidRDefault="00010596" w:rsidP="00D60677">
            <w:pPr>
              <w:pStyle w:val="Textpoznpodarou"/>
              <w:spacing w:after="120"/>
              <w:jc w:val="both"/>
              <w:rPr>
                <w:spacing w:val="-4"/>
              </w:rPr>
            </w:pPr>
          </w:p>
        </w:tc>
        <w:tc>
          <w:tcPr>
            <w:tcW w:w="7704" w:type="dxa"/>
            <w:tcMar>
              <w:left w:w="0" w:type="dxa"/>
            </w:tcMar>
          </w:tcPr>
          <w:p w14:paraId="500E4C03" w14:textId="77777777" w:rsidR="00010596" w:rsidRPr="007E103C" w:rsidRDefault="00010596" w:rsidP="00D60677">
            <w:pPr>
              <w:spacing w:after="0" w:line="240" w:lineRule="auto"/>
              <w:jc w:val="left"/>
              <w:rPr>
                <w:rFonts w:cs="Arial"/>
                <w:color w:val="0D0D0D" w:themeColor="text1" w:themeTint="F2"/>
                <w:sz w:val="14"/>
                <w:szCs w:val="14"/>
              </w:rPr>
            </w:pPr>
            <w:r w:rsidRPr="007E103C">
              <w:rPr>
                <w:rFonts w:cs="Arial"/>
                <w:color w:val="0D0D0D" w:themeColor="text1" w:themeTint="F2"/>
                <w:sz w:val="14"/>
                <w:szCs w:val="14"/>
              </w:rPr>
              <w:t>Note: Figures regarding the unemployment rate are adjusted</w:t>
            </w:r>
            <w:r>
              <w:rPr>
                <w:rFonts w:cs="Arial"/>
                <w:color w:val="0D0D0D" w:themeColor="text1" w:themeTint="F2"/>
                <w:sz w:val="14"/>
                <w:szCs w:val="14"/>
              </w:rPr>
              <w:t xml:space="preserve"> using trend cycle</w:t>
            </w:r>
            <w:r w:rsidRPr="007E103C">
              <w:rPr>
                <w:rFonts w:cs="Arial"/>
                <w:color w:val="0D0D0D" w:themeColor="text1" w:themeTint="F2"/>
                <w:sz w:val="14"/>
                <w:szCs w:val="14"/>
              </w:rPr>
              <w:t>.</w:t>
            </w:r>
          </w:p>
          <w:p w14:paraId="4F86FDAF" w14:textId="77777777" w:rsidR="00010596" w:rsidRDefault="00010596" w:rsidP="00D60677">
            <w:pPr>
              <w:spacing w:after="0" w:line="240" w:lineRule="auto"/>
              <w:jc w:val="left"/>
              <w:rPr>
                <w:rFonts w:cs="Arial"/>
                <w:color w:val="0D0D0D" w:themeColor="text1" w:themeTint="F2"/>
                <w:spacing w:val="-4"/>
                <w:sz w:val="14"/>
                <w:szCs w:val="14"/>
              </w:rPr>
            </w:pPr>
            <w:r w:rsidRPr="007E103C">
              <w:rPr>
                <w:rFonts w:cs="Arial"/>
                <w:color w:val="0D0D0D" w:themeColor="text1" w:themeTint="F2"/>
                <w:spacing w:val="-2"/>
                <w:sz w:val="14"/>
                <w:szCs w:val="14"/>
              </w:rPr>
              <w:t>*</w:t>
            </w:r>
            <w:r>
              <w:rPr>
                <w:rFonts w:cs="Arial"/>
                <w:color w:val="0D0D0D" w:themeColor="text1" w:themeTint="F2"/>
                <w:spacing w:val="-4"/>
                <w:sz w:val="14"/>
                <w:szCs w:val="14"/>
              </w:rPr>
              <w:t xml:space="preserve"> S</w:t>
            </w:r>
            <w:r w:rsidRPr="007E103C">
              <w:rPr>
                <w:rFonts w:cs="Arial"/>
                <w:color w:val="0D0D0D" w:themeColor="text1" w:themeTint="F2"/>
                <w:spacing w:val="-4"/>
                <w:sz w:val="14"/>
                <w:szCs w:val="14"/>
              </w:rPr>
              <w:t>easonally adjusted balance of expectations of unemployment in the next 12 months (difference between percentage frequency of answers of households</w:t>
            </w:r>
            <w:r>
              <w:rPr>
                <w:rFonts w:cs="Arial"/>
                <w:color w:val="0D0D0D" w:themeColor="text1" w:themeTint="F2"/>
                <w:spacing w:val="-4"/>
                <w:sz w:val="14"/>
                <w:szCs w:val="14"/>
              </w:rPr>
              <w:t xml:space="preserve">, </w:t>
            </w:r>
            <w:r w:rsidRPr="007E103C">
              <w:rPr>
                <w:rFonts w:cs="Arial"/>
                <w:color w:val="0D0D0D" w:themeColor="text1" w:themeTint="F2"/>
                <w:spacing w:val="-4"/>
                <w:sz w:val="14"/>
                <w:szCs w:val="14"/>
              </w:rPr>
              <w:t>growth and decrease expressed in percentage points).</w:t>
            </w:r>
            <w:r>
              <w:rPr>
                <w:rFonts w:cs="Arial"/>
                <w:color w:val="0D0D0D" w:themeColor="text1" w:themeTint="F2"/>
                <w:spacing w:val="-4"/>
                <w:sz w:val="14"/>
                <w:szCs w:val="14"/>
              </w:rPr>
              <w:t xml:space="preserve"> </w:t>
            </w:r>
            <w:r w:rsidRPr="00657057">
              <w:rPr>
                <w:rFonts w:cs="Arial"/>
                <w:color w:val="0D0D0D" w:themeColor="text1" w:themeTint="F2"/>
                <w:spacing w:val="-4"/>
                <w:sz w:val="14"/>
                <w:szCs w:val="14"/>
              </w:rPr>
              <w:t>It expresses the monthly average for the entire quarter, and for the last period, the average for the first two months.</w:t>
            </w:r>
          </w:p>
          <w:p w14:paraId="08BF0050" w14:textId="77777777" w:rsidR="00010596" w:rsidRDefault="00010596" w:rsidP="00D60677">
            <w:pPr>
              <w:spacing w:after="0" w:line="240" w:lineRule="auto"/>
              <w:jc w:val="left"/>
              <w:rPr>
                <w:rFonts w:cs="Arial"/>
                <w:color w:val="0D0D0D" w:themeColor="text1" w:themeTint="F2"/>
                <w:sz w:val="14"/>
                <w:szCs w:val="14"/>
              </w:rPr>
            </w:pPr>
            <w:r>
              <w:rPr>
                <w:rFonts w:cs="Arial"/>
                <w:color w:val="0D0D0D" w:themeColor="text1" w:themeTint="F2"/>
                <w:sz w:val="14"/>
                <w:szCs w:val="14"/>
              </w:rPr>
              <w:t>** O</w:t>
            </w:r>
            <w:r w:rsidRPr="00995C95">
              <w:rPr>
                <w:rFonts w:cs="Arial"/>
                <w:color w:val="0D0D0D" w:themeColor="text1" w:themeTint="F2"/>
                <w:sz w:val="14"/>
                <w:szCs w:val="14"/>
              </w:rPr>
              <w:t>nly job vacancies (balance at the end of quarter)</w:t>
            </w:r>
            <w:r>
              <w:rPr>
                <w:rFonts w:cs="Arial"/>
                <w:color w:val="0D0D0D" w:themeColor="text1" w:themeTint="F2"/>
                <w:sz w:val="14"/>
                <w:szCs w:val="14"/>
              </w:rPr>
              <w:t xml:space="preserve"> </w:t>
            </w:r>
            <w:r w:rsidRPr="00995C95">
              <w:rPr>
                <w:rFonts w:cs="Arial"/>
                <w:color w:val="0D0D0D" w:themeColor="text1" w:themeTint="F2"/>
                <w:sz w:val="14"/>
                <w:szCs w:val="14"/>
              </w:rPr>
              <w:t xml:space="preserve">with a registration period of up to six months </w:t>
            </w:r>
            <w:r>
              <w:rPr>
                <w:rFonts w:cs="Arial"/>
                <w:color w:val="0D0D0D" w:themeColor="text1" w:themeTint="F2"/>
                <w:sz w:val="14"/>
                <w:szCs w:val="14"/>
              </w:rPr>
              <w:t>are included.</w:t>
            </w:r>
          </w:p>
          <w:p w14:paraId="227BB975" w14:textId="77777777" w:rsidR="00010596" w:rsidRDefault="00010596" w:rsidP="00D60677">
            <w:pPr>
              <w:spacing w:after="0" w:line="240" w:lineRule="auto"/>
              <w:jc w:val="left"/>
              <w:rPr>
                <w:rFonts w:cs="Arial"/>
                <w:color w:val="0D0D0D" w:themeColor="text1" w:themeTint="F2"/>
                <w:sz w:val="14"/>
                <w:szCs w:val="14"/>
              </w:rPr>
            </w:pPr>
            <w:r w:rsidRPr="00EF089C">
              <w:rPr>
                <w:rFonts w:cs="Arial"/>
                <w:color w:val="0D0D0D" w:themeColor="text1" w:themeTint="F2"/>
                <w:sz w:val="14"/>
                <w:szCs w:val="14"/>
              </w:rPr>
              <w:t xml:space="preserve">Vacancies for </w:t>
            </w:r>
            <w:r>
              <w:rPr>
                <w:rFonts w:cs="Arial"/>
                <w:color w:val="0D0D0D" w:themeColor="text1" w:themeTint="F2"/>
                <w:sz w:val="14"/>
                <w:szCs w:val="14"/>
              </w:rPr>
              <w:t xml:space="preserve">lower </w:t>
            </w:r>
            <w:r w:rsidRPr="00EF089C">
              <w:rPr>
                <w:rFonts w:cs="Arial"/>
                <w:color w:val="0D0D0D" w:themeColor="text1" w:themeTint="F2"/>
                <w:sz w:val="14"/>
                <w:szCs w:val="14"/>
              </w:rPr>
              <w:t>qualifications</w:t>
            </w:r>
            <w:r>
              <w:rPr>
                <w:rFonts w:cs="Arial"/>
                <w:color w:val="0D0D0D" w:themeColor="text1" w:themeTint="F2"/>
                <w:sz w:val="14"/>
                <w:szCs w:val="14"/>
              </w:rPr>
              <w:t xml:space="preserve"> include positions requiring</w:t>
            </w:r>
            <w:r w:rsidRPr="007D2A7F">
              <w:rPr>
                <w:rFonts w:cs="Arial"/>
                <w:color w:val="0D0D0D" w:themeColor="text1" w:themeTint="F2"/>
                <w:sz w:val="14"/>
                <w:szCs w:val="14"/>
              </w:rPr>
              <w:t xml:space="preserve"> </w:t>
            </w:r>
            <w:r>
              <w:rPr>
                <w:rFonts w:cs="Arial"/>
                <w:color w:val="0D0D0D" w:themeColor="text1" w:themeTint="F2"/>
                <w:sz w:val="14"/>
                <w:szCs w:val="14"/>
              </w:rPr>
              <w:t>s</w:t>
            </w:r>
            <w:r w:rsidRPr="007D2A7F">
              <w:rPr>
                <w:rFonts w:cs="Arial"/>
                <w:color w:val="0D0D0D" w:themeColor="text1" w:themeTint="F2"/>
                <w:sz w:val="14"/>
                <w:szCs w:val="14"/>
              </w:rPr>
              <w:t>econdary education without</w:t>
            </w:r>
            <w:r>
              <w:rPr>
                <w:rFonts w:cs="Arial"/>
                <w:color w:val="0D0D0D" w:themeColor="text1" w:themeTint="F2"/>
                <w:sz w:val="14"/>
                <w:szCs w:val="14"/>
              </w:rPr>
              <w:t xml:space="preserve"> </w:t>
            </w:r>
            <w:r w:rsidRPr="00EF089C">
              <w:rPr>
                <w:rFonts w:cs="Arial"/>
                <w:color w:val="0D0D0D" w:themeColor="text1" w:themeTint="F2"/>
                <w:sz w:val="14"/>
                <w:szCs w:val="14"/>
              </w:rPr>
              <w:t>A-level</w:t>
            </w:r>
            <w:r>
              <w:rPr>
                <w:rFonts w:cs="Arial"/>
                <w:color w:val="0D0D0D" w:themeColor="text1" w:themeTint="F2"/>
                <w:sz w:val="14"/>
                <w:szCs w:val="14"/>
              </w:rPr>
              <w:t xml:space="preserve"> examination.</w:t>
            </w:r>
          </w:p>
          <w:p w14:paraId="7F868069" w14:textId="77777777" w:rsidR="00010596" w:rsidRPr="00AF0055" w:rsidRDefault="00010596" w:rsidP="00D60677">
            <w:pPr>
              <w:spacing w:after="0" w:line="240" w:lineRule="auto"/>
              <w:jc w:val="left"/>
              <w:rPr>
                <w:rFonts w:cs="Arial"/>
                <w:color w:val="0D0D0D" w:themeColor="text1" w:themeTint="F2"/>
                <w:sz w:val="14"/>
                <w:szCs w:val="14"/>
              </w:rPr>
            </w:pPr>
            <w:r w:rsidRPr="00EF089C">
              <w:rPr>
                <w:rFonts w:cs="Arial"/>
                <w:color w:val="0D0D0D" w:themeColor="text1" w:themeTint="F2"/>
                <w:sz w:val="14"/>
                <w:szCs w:val="14"/>
              </w:rPr>
              <w:t>Vacancies for</w:t>
            </w:r>
            <w:r>
              <w:rPr>
                <w:rFonts w:cs="Arial"/>
                <w:color w:val="0D0D0D" w:themeColor="text1" w:themeTint="F2"/>
                <w:sz w:val="14"/>
                <w:szCs w:val="14"/>
              </w:rPr>
              <w:t xml:space="preserve"> h</w:t>
            </w:r>
            <w:r w:rsidRPr="00EF089C">
              <w:rPr>
                <w:rFonts w:cs="Arial"/>
                <w:color w:val="0D0D0D" w:themeColor="text1" w:themeTint="F2"/>
                <w:sz w:val="14"/>
                <w:szCs w:val="14"/>
              </w:rPr>
              <w:t>igher qualifications</w:t>
            </w:r>
            <w:r>
              <w:rPr>
                <w:rFonts w:cs="Arial"/>
                <w:color w:val="0D0D0D" w:themeColor="text1" w:themeTint="F2"/>
                <w:sz w:val="14"/>
                <w:szCs w:val="14"/>
              </w:rPr>
              <w:t xml:space="preserve"> include secondary education</w:t>
            </w:r>
            <w:r w:rsidRPr="00EF089C">
              <w:rPr>
                <w:rFonts w:cs="Arial"/>
                <w:color w:val="0D0D0D" w:themeColor="text1" w:themeTint="F2"/>
                <w:sz w:val="14"/>
                <w:szCs w:val="14"/>
              </w:rPr>
              <w:t xml:space="preserve"> </w:t>
            </w:r>
            <w:r>
              <w:rPr>
                <w:rFonts w:cs="Arial"/>
                <w:color w:val="0D0D0D" w:themeColor="text1" w:themeTint="F2"/>
                <w:sz w:val="14"/>
                <w:szCs w:val="14"/>
              </w:rPr>
              <w:t>(</w:t>
            </w:r>
            <w:r w:rsidRPr="00EF089C">
              <w:rPr>
                <w:rFonts w:cs="Arial"/>
                <w:color w:val="0D0D0D" w:themeColor="text1" w:themeTint="F2"/>
                <w:sz w:val="14"/>
                <w:szCs w:val="14"/>
              </w:rPr>
              <w:t>with A-level</w:t>
            </w:r>
            <w:r>
              <w:rPr>
                <w:rFonts w:cs="Arial"/>
                <w:color w:val="0D0D0D" w:themeColor="text1" w:themeTint="F2"/>
                <w:sz w:val="14"/>
                <w:szCs w:val="14"/>
              </w:rPr>
              <w:t xml:space="preserve"> examination) or tertiary</w:t>
            </w:r>
            <w:r w:rsidRPr="00EF089C">
              <w:rPr>
                <w:rFonts w:cs="Arial"/>
                <w:color w:val="0D0D0D" w:themeColor="text1" w:themeTint="F2"/>
                <w:sz w:val="14"/>
                <w:szCs w:val="14"/>
              </w:rPr>
              <w:t xml:space="preserve"> education</w:t>
            </w:r>
            <w:r>
              <w:rPr>
                <w:rFonts w:cs="Arial"/>
                <w:color w:val="0D0D0D" w:themeColor="text1" w:themeTint="F2"/>
                <w:sz w:val="14"/>
                <w:szCs w:val="14"/>
              </w:rPr>
              <w:t>.</w:t>
            </w:r>
            <w:r w:rsidRPr="00995C95">
              <w:rPr>
                <w:rFonts w:cs="Arial"/>
                <w:color w:val="0D0D0D" w:themeColor="text1" w:themeTint="F2"/>
                <w:spacing w:val="-4"/>
                <w:sz w:val="14"/>
                <w:szCs w:val="14"/>
              </w:rPr>
              <w:t xml:space="preserve"> </w:t>
            </w:r>
          </w:p>
          <w:p w14:paraId="65F94436" w14:textId="77777777" w:rsidR="00010596" w:rsidRPr="00AF0055" w:rsidRDefault="00010596" w:rsidP="00D60677">
            <w:pPr>
              <w:spacing w:after="0" w:line="240" w:lineRule="auto"/>
              <w:jc w:val="left"/>
              <w:rPr>
                <w:rFonts w:cs="Arial"/>
                <w:color w:val="0D0D0D" w:themeColor="text1" w:themeTint="F2"/>
                <w:spacing w:val="-2"/>
                <w:sz w:val="14"/>
                <w:szCs w:val="14"/>
              </w:rPr>
            </w:pPr>
            <w:r w:rsidRPr="007E103C">
              <w:rPr>
                <w:rFonts w:cs="Arial"/>
                <w:color w:val="0D0D0D" w:themeColor="text1" w:themeTint="F2"/>
                <w:spacing w:val="-2"/>
                <w:sz w:val="14"/>
                <w:szCs w:val="14"/>
              </w:rPr>
              <w:t>Source: CZSO (LFSS, business cycle survey), MLSA (</w:t>
            </w:r>
            <w:r>
              <w:rPr>
                <w:rFonts w:cs="Arial"/>
                <w:color w:val="0D0D0D" w:themeColor="text1" w:themeTint="F2"/>
                <w:spacing w:val="-2"/>
                <w:sz w:val="14"/>
                <w:szCs w:val="14"/>
              </w:rPr>
              <w:t>job vacancies</w:t>
            </w:r>
            <w:r w:rsidRPr="007E103C">
              <w:rPr>
                <w:rFonts w:cs="Arial"/>
                <w:color w:val="0D0D0D" w:themeColor="text1" w:themeTint="F2"/>
                <w:spacing w:val="-2"/>
                <w:sz w:val="14"/>
                <w:szCs w:val="14"/>
              </w:rPr>
              <w:t xml:space="preserve"> registered at labour offices in the CR)</w:t>
            </w:r>
          </w:p>
          <w:p w14:paraId="26BAC66D" w14:textId="77777777" w:rsidR="00010596" w:rsidRPr="00B131B0" w:rsidRDefault="00010596" w:rsidP="00D60677">
            <w:pPr>
              <w:spacing w:after="0" w:line="240" w:lineRule="auto"/>
            </w:pPr>
          </w:p>
        </w:tc>
      </w:tr>
      <w:tr w:rsidR="00010596" w:rsidRPr="00B131B0" w14:paraId="57F26481" w14:textId="77777777" w:rsidTr="00D60677">
        <w:trPr>
          <w:trHeight w:val="132"/>
        </w:trPr>
        <w:tc>
          <w:tcPr>
            <w:tcW w:w="1797" w:type="dxa"/>
            <w:tcMar>
              <w:left w:w="0" w:type="dxa"/>
            </w:tcMar>
          </w:tcPr>
          <w:p w14:paraId="4ED8D6A1" w14:textId="77777777" w:rsidR="00010596" w:rsidRPr="00B131B0" w:rsidRDefault="00010596" w:rsidP="00D60677">
            <w:pPr>
              <w:pStyle w:val="Marginlie"/>
              <w:spacing w:after="120"/>
              <w:rPr>
                <w:spacing w:val="-4"/>
              </w:rPr>
            </w:pPr>
            <w:r w:rsidRPr="0064553D">
              <w:rPr>
                <w:spacing w:val="0"/>
              </w:rPr>
              <w:t>The supply of vacancies through labour offices increased slightly</w:t>
            </w:r>
            <w:r>
              <w:rPr>
                <w:spacing w:val="0"/>
              </w:rPr>
              <w:t>,</w:t>
            </w:r>
            <w:r w:rsidRPr="0064553D">
              <w:rPr>
                <w:spacing w:val="0"/>
              </w:rPr>
              <w:t xml:space="preserve"> year-on-year. However, the pressure of applicants for jobs increased slightly. </w:t>
            </w:r>
          </w:p>
        </w:tc>
        <w:tc>
          <w:tcPr>
            <w:tcW w:w="173" w:type="dxa"/>
            <w:tcMar>
              <w:left w:w="0" w:type="dxa"/>
            </w:tcMar>
          </w:tcPr>
          <w:p w14:paraId="6FAEB81A" w14:textId="77777777" w:rsidR="00010596" w:rsidRPr="00B131B0" w:rsidRDefault="00010596" w:rsidP="00D60677">
            <w:pPr>
              <w:pStyle w:val="Textpoznpodarou"/>
              <w:jc w:val="both"/>
              <w:rPr>
                <w:color w:val="0D0D0D" w:themeColor="text1" w:themeTint="F2"/>
                <w:spacing w:val="-4"/>
              </w:rPr>
            </w:pPr>
          </w:p>
        </w:tc>
        <w:tc>
          <w:tcPr>
            <w:tcW w:w="7704" w:type="dxa"/>
            <w:tcMar>
              <w:left w:w="0" w:type="dxa"/>
            </w:tcMar>
          </w:tcPr>
          <w:p w14:paraId="1CD9A094" w14:textId="77777777" w:rsidR="00010596" w:rsidRPr="00B131B0" w:rsidRDefault="00010596" w:rsidP="00D60677">
            <w:pPr>
              <w:pStyle w:val="paragraph"/>
              <w:spacing w:before="0" w:beforeAutospacing="0" w:after="0" w:afterAutospacing="0" w:line="276" w:lineRule="auto"/>
              <w:jc w:val="both"/>
              <w:textAlignment w:val="baseline"/>
              <w:rPr>
                <w:rStyle w:val="normaltextrun"/>
                <w:rFonts w:ascii="Arial" w:hAnsi="Arial" w:cs="Arial"/>
                <w:sz w:val="20"/>
                <w:szCs w:val="20"/>
              </w:rPr>
            </w:pPr>
            <w:r>
              <w:rPr>
                <w:rFonts w:ascii="Arial" w:eastAsiaTheme="majorEastAsia" w:hAnsi="Arial" w:cs="Arial"/>
                <w:sz w:val="20"/>
                <w:szCs w:val="20"/>
              </w:rPr>
              <w:t>T</w:t>
            </w:r>
            <w:r w:rsidRPr="00315C99">
              <w:rPr>
                <w:rFonts w:ascii="Arial" w:eastAsiaTheme="majorEastAsia" w:hAnsi="Arial" w:cs="Arial"/>
                <w:sz w:val="20"/>
                <w:szCs w:val="20"/>
              </w:rPr>
              <w:t>he</w:t>
            </w:r>
            <w:r>
              <w:rPr>
                <w:rFonts w:ascii="Arial" w:eastAsiaTheme="majorEastAsia" w:hAnsi="Arial" w:cs="Arial"/>
                <w:sz w:val="20"/>
                <w:szCs w:val="20"/>
              </w:rPr>
              <w:t xml:space="preserve"> l</w:t>
            </w:r>
            <w:r w:rsidRPr="00315C99">
              <w:rPr>
                <w:rFonts w:ascii="Arial" w:eastAsiaTheme="majorEastAsia" w:hAnsi="Arial" w:cs="Arial"/>
                <w:sz w:val="20"/>
                <w:szCs w:val="20"/>
              </w:rPr>
              <w:t xml:space="preserve">abour </w:t>
            </w:r>
            <w:r>
              <w:rPr>
                <w:rFonts w:ascii="Arial" w:eastAsiaTheme="majorEastAsia" w:hAnsi="Arial" w:cs="Arial"/>
                <w:sz w:val="20"/>
                <w:szCs w:val="20"/>
              </w:rPr>
              <w:t>o</w:t>
            </w:r>
            <w:r w:rsidRPr="00315C99">
              <w:rPr>
                <w:rFonts w:ascii="Arial" w:eastAsiaTheme="majorEastAsia" w:hAnsi="Arial" w:cs="Arial"/>
                <w:sz w:val="20"/>
                <w:szCs w:val="20"/>
              </w:rPr>
              <w:t>ffices registered 100.9 thousand vacancies</w:t>
            </w:r>
            <w:r>
              <w:rPr>
                <w:rFonts w:ascii="Arial" w:eastAsiaTheme="majorEastAsia" w:hAnsi="Arial" w:cs="Arial"/>
                <w:sz w:val="20"/>
                <w:szCs w:val="20"/>
              </w:rPr>
              <w:t xml:space="preserve"> a</w:t>
            </w:r>
            <w:r w:rsidRPr="00315C99">
              <w:rPr>
                <w:rFonts w:ascii="Arial" w:eastAsiaTheme="majorEastAsia" w:hAnsi="Arial" w:cs="Arial"/>
                <w:sz w:val="20"/>
                <w:szCs w:val="20"/>
              </w:rPr>
              <w:t>t the end of April this year</w:t>
            </w:r>
            <w:r>
              <w:rPr>
                <w:rFonts w:ascii="Arial" w:eastAsiaTheme="majorEastAsia" w:hAnsi="Arial" w:cs="Arial"/>
                <w:sz w:val="20"/>
                <w:szCs w:val="20"/>
              </w:rPr>
              <w:t xml:space="preserve"> </w:t>
            </w:r>
            <w:r w:rsidRPr="00315C99">
              <w:rPr>
                <w:rFonts w:ascii="Arial" w:eastAsiaTheme="majorEastAsia" w:hAnsi="Arial" w:cs="Arial"/>
                <w:sz w:val="20"/>
                <w:szCs w:val="20"/>
              </w:rPr>
              <w:t xml:space="preserve">(in principle, only vacancies with a registration period of less than six months) and their number </w:t>
            </w:r>
            <w:r>
              <w:rPr>
                <w:rFonts w:ascii="Arial" w:eastAsiaTheme="majorEastAsia" w:hAnsi="Arial" w:cs="Arial"/>
                <w:sz w:val="20"/>
                <w:szCs w:val="20"/>
              </w:rPr>
              <w:t>expanded,</w:t>
            </w:r>
            <w:r w:rsidRPr="00315C99">
              <w:rPr>
                <w:rFonts w:ascii="Arial" w:eastAsiaTheme="majorEastAsia" w:hAnsi="Arial" w:cs="Arial"/>
                <w:sz w:val="20"/>
                <w:szCs w:val="20"/>
              </w:rPr>
              <w:t xml:space="preserve"> year-on-year</w:t>
            </w:r>
            <w:r>
              <w:rPr>
                <w:rFonts w:ascii="Arial" w:eastAsiaTheme="majorEastAsia" w:hAnsi="Arial" w:cs="Arial"/>
                <w:sz w:val="20"/>
                <w:szCs w:val="20"/>
              </w:rPr>
              <w:t>,</w:t>
            </w:r>
            <w:r w:rsidRPr="00315C99">
              <w:rPr>
                <w:rFonts w:ascii="Arial" w:eastAsiaTheme="majorEastAsia" w:hAnsi="Arial" w:cs="Arial"/>
                <w:sz w:val="20"/>
                <w:szCs w:val="20"/>
              </w:rPr>
              <w:t xml:space="preserve"> for the second month in a row (most recently by 5.4 thousand). There were currently 3.6 job</w:t>
            </w:r>
            <w:r>
              <w:rPr>
                <w:rFonts w:ascii="Arial" w:eastAsiaTheme="majorEastAsia" w:hAnsi="Arial" w:cs="Arial"/>
                <w:sz w:val="20"/>
                <w:szCs w:val="20"/>
              </w:rPr>
              <w:t xml:space="preserve"> applicants </w:t>
            </w:r>
            <w:r w:rsidRPr="00315C99">
              <w:rPr>
                <w:rFonts w:ascii="Arial" w:eastAsiaTheme="majorEastAsia" w:hAnsi="Arial" w:cs="Arial"/>
                <w:sz w:val="20"/>
                <w:szCs w:val="20"/>
              </w:rPr>
              <w:t xml:space="preserve">per 1 vacancy in the Czech Republic (including persons temporarily unreachable). This was still slightly more than in the same period last year (3.4), </w:t>
            </w:r>
            <w:r>
              <w:rPr>
                <w:rFonts w:ascii="Arial" w:eastAsiaTheme="majorEastAsia" w:hAnsi="Arial" w:cs="Arial"/>
                <w:sz w:val="20"/>
                <w:szCs w:val="20"/>
              </w:rPr>
              <w:t xml:space="preserve">nevertheless </w:t>
            </w:r>
            <w:r w:rsidRPr="00315C99">
              <w:rPr>
                <w:rFonts w:ascii="Arial" w:eastAsiaTheme="majorEastAsia" w:hAnsi="Arial" w:cs="Arial"/>
                <w:sz w:val="20"/>
                <w:szCs w:val="20"/>
              </w:rPr>
              <w:t xml:space="preserve">at the same time (together with June this year) </w:t>
            </w:r>
            <w:r>
              <w:rPr>
                <w:rFonts w:ascii="Arial" w:eastAsiaTheme="majorEastAsia" w:hAnsi="Arial" w:cs="Arial"/>
                <w:sz w:val="20"/>
                <w:szCs w:val="20"/>
              </w:rPr>
              <w:t xml:space="preserve">the </w:t>
            </w:r>
            <w:r w:rsidRPr="00315C99">
              <w:rPr>
                <w:rFonts w:ascii="Arial" w:eastAsiaTheme="majorEastAsia" w:hAnsi="Arial" w:cs="Arial"/>
                <w:sz w:val="20"/>
                <w:szCs w:val="20"/>
              </w:rPr>
              <w:t xml:space="preserve">least in the last nine months. There was still a significant structural mismatch between </w:t>
            </w:r>
            <w:r w:rsidRPr="00315C99">
              <w:rPr>
                <w:rFonts w:ascii="Arial" w:eastAsiaTheme="majorEastAsia" w:hAnsi="Arial" w:cs="Arial"/>
                <w:sz w:val="20"/>
                <w:szCs w:val="20"/>
              </w:rPr>
              <w:lastRenderedPageBreak/>
              <w:t>supply and demand from the qualification</w:t>
            </w:r>
            <w:r w:rsidRPr="00B131B0">
              <w:rPr>
                <w:rFonts w:ascii="Arial" w:hAnsi="Arial" w:cs="Arial"/>
                <w:color w:val="0D0D0D" w:themeColor="text1" w:themeTint="F2"/>
                <w:sz w:val="20"/>
                <w:szCs w:val="20"/>
                <w:vertAlign w:val="superscript"/>
              </w:rPr>
              <w:footnoteReference w:id="29"/>
            </w:r>
            <w:r w:rsidRPr="00315C99">
              <w:rPr>
                <w:rFonts w:ascii="Arial" w:eastAsiaTheme="majorEastAsia" w:hAnsi="Arial" w:cs="Arial"/>
                <w:sz w:val="20"/>
                <w:szCs w:val="20"/>
              </w:rPr>
              <w:t xml:space="preserve"> and regional point of view</w:t>
            </w:r>
            <w:r w:rsidRPr="00B131B0">
              <w:rPr>
                <w:rStyle w:val="Znakapoznpodarou"/>
                <w:rFonts w:ascii="Arial" w:eastAsiaTheme="majorEastAsia" w:hAnsi="Arial" w:cs="Arial"/>
                <w:sz w:val="20"/>
                <w:szCs w:val="20"/>
              </w:rPr>
              <w:footnoteReference w:id="30"/>
            </w:r>
            <w:r w:rsidRPr="00315C99">
              <w:rPr>
                <w:rFonts w:ascii="Arial" w:eastAsiaTheme="majorEastAsia" w:hAnsi="Arial" w:cs="Arial"/>
                <w:sz w:val="20"/>
                <w:szCs w:val="20"/>
              </w:rPr>
              <w:t xml:space="preserve">. People's concerns about the rise </w:t>
            </w:r>
            <w:r>
              <w:rPr>
                <w:rFonts w:ascii="Arial" w:eastAsiaTheme="majorEastAsia" w:hAnsi="Arial" w:cs="Arial"/>
                <w:sz w:val="20"/>
                <w:szCs w:val="20"/>
              </w:rPr>
              <w:t>of</w:t>
            </w:r>
            <w:r w:rsidRPr="00315C99">
              <w:rPr>
                <w:rFonts w:ascii="Arial" w:eastAsiaTheme="majorEastAsia" w:hAnsi="Arial" w:cs="Arial"/>
                <w:sz w:val="20"/>
                <w:szCs w:val="20"/>
              </w:rPr>
              <w:t xml:space="preserve"> unemployment (expressed in the annual outlook in business surveys) have been growing very slightly since March this year, but they have been lower</w:t>
            </w:r>
            <w:r>
              <w:rPr>
                <w:rFonts w:ascii="Arial" w:eastAsiaTheme="majorEastAsia" w:hAnsi="Arial" w:cs="Arial"/>
                <w:sz w:val="20"/>
                <w:szCs w:val="20"/>
              </w:rPr>
              <w:t>,</w:t>
            </w:r>
            <w:r w:rsidRPr="00315C99">
              <w:rPr>
                <w:rFonts w:ascii="Arial" w:eastAsiaTheme="majorEastAsia" w:hAnsi="Arial" w:cs="Arial"/>
                <w:sz w:val="20"/>
                <w:szCs w:val="20"/>
              </w:rPr>
              <w:t xml:space="preserve"> year-on-year</w:t>
            </w:r>
            <w:r>
              <w:rPr>
                <w:rFonts w:ascii="Arial" w:eastAsiaTheme="majorEastAsia" w:hAnsi="Arial" w:cs="Arial"/>
                <w:sz w:val="20"/>
                <w:szCs w:val="20"/>
              </w:rPr>
              <w:t>,</w:t>
            </w:r>
            <w:r w:rsidRPr="00315C99">
              <w:rPr>
                <w:rFonts w:ascii="Arial" w:eastAsiaTheme="majorEastAsia" w:hAnsi="Arial" w:cs="Arial"/>
                <w:sz w:val="20"/>
                <w:szCs w:val="20"/>
              </w:rPr>
              <w:t xml:space="preserve"> and their level did not exceed the long-term average even in August.</w:t>
            </w:r>
          </w:p>
          <w:p w14:paraId="63F20D3A" w14:textId="77777777" w:rsidR="00010596" w:rsidRPr="00B131B0" w:rsidRDefault="00010596" w:rsidP="00D60677">
            <w:pPr>
              <w:pStyle w:val="paragraph"/>
              <w:spacing w:before="0" w:beforeAutospacing="0" w:after="0" w:afterAutospacing="0" w:line="276" w:lineRule="auto"/>
              <w:jc w:val="both"/>
              <w:textAlignment w:val="baseline"/>
              <w:rPr>
                <w:rStyle w:val="normaltextrun"/>
                <w:rFonts w:ascii="Arial" w:eastAsiaTheme="majorEastAsia" w:hAnsi="Arial" w:cs="Arial"/>
                <w:color w:val="000000"/>
                <w:sz w:val="20"/>
                <w:szCs w:val="20"/>
              </w:rPr>
            </w:pPr>
          </w:p>
        </w:tc>
      </w:tr>
      <w:tr w:rsidR="00010596" w:rsidRPr="00B131B0" w14:paraId="58ABD241" w14:textId="77777777" w:rsidTr="00D60677">
        <w:trPr>
          <w:trHeight w:val="132"/>
        </w:trPr>
        <w:tc>
          <w:tcPr>
            <w:tcW w:w="9674" w:type="dxa"/>
            <w:gridSpan w:val="3"/>
            <w:tcMar>
              <w:left w:w="0" w:type="dxa"/>
            </w:tcMar>
          </w:tcPr>
          <w:p w14:paraId="09067B10" w14:textId="77777777" w:rsidR="00010596" w:rsidRPr="00B131B0" w:rsidRDefault="00010596" w:rsidP="00D60677">
            <w:pPr>
              <w:pStyle w:val="Nadpis3"/>
              <w:rPr>
                <w:rStyle w:val="normaltextrun"/>
                <w:rFonts w:eastAsiaTheme="majorEastAsia" w:cs="Arial"/>
                <w:spacing w:val="-4"/>
                <w:szCs w:val="20"/>
                <w:lang w:val="en-GB"/>
              </w:rPr>
            </w:pPr>
            <w:bookmarkStart w:id="4" w:name="_Toc242958694"/>
            <w:r w:rsidRPr="00B131B0">
              <w:rPr>
                <w:lang w:val="en-GB" w:eastAsia="en-US"/>
              </w:rPr>
              <w:lastRenderedPageBreak/>
              <w:t xml:space="preserve">6.2 </w:t>
            </w:r>
            <w:r>
              <w:rPr>
                <w:lang w:val="en-GB" w:eastAsia="en-US"/>
              </w:rPr>
              <w:t>Wages</w:t>
            </w:r>
            <w:bookmarkEnd w:id="4"/>
          </w:p>
        </w:tc>
      </w:tr>
      <w:tr w:rsidR="00010596" w:rsidRPr="00B131B0" w14:paraId="74E8AD28" w14:textId="77777777" w:rsidTr="00D60677">
        <w:trPr>
          <w:trHeight w:val="132"/>
        </w:trPr>
        <w:tc>
          <w:tcPr>
            <w:tcW w:w="1797" w:type="dxa"/>
            <w:tcMar>
              <w:left w:w="0" w:type="dxa"/>
            </w:tcMar>
          </w:tcPr>
          <w:p w14:paraId="52ADDF5A" w14:textId="77777777" w:rsidR="00010596" w:rsidRPr="00B131B0" w:rsidRDefault="00010596" w:rsidP="00D60677">
            <w:pPr>
              <w:pStyle w:val="Marginlie"/>
              <w:rPr>
                <w:color w:val="0D0D0D" w:themeColor="text1" w:themeTint="F2"/>
              </w:rPr>
            </w:pPr>
            <w:r w:rsidRPr="00C437E2">
              <w:rPr>
                <w:color w:val="0D0D0D" w:themeColor="text1" w:themeTint="F2"/>
                <w:spacing w:val="0"/>
              </w:rPr>
              <w:t>Nominal wage growth remained relatively stable and rapid.</w:t>
            </w:r>
          </w:p>
          <w:p w14:paraId="735E746E" w14:textId="77777777" w:rsidR="00010596" w:rsidRPr="00B131B0" w:rsidRDefault="00010596" w:rsidP="00D60677">
            <w:pPr>
              <w:pStyle w:val="Marginlie"/>
              <w:rPr>
                <w:color w:val="0D0D0D" w:themeColor="text1" w:themeTint="F2"/>
              </w:rPr>
            </w:pPr>
          </w:p>
          <w:p w14:paraId="09A5A004" w14:textId="77777777" w:rsidR="00010596" w:rsidRPr="00B131B0" w:rsidRDefault="00010596" w:rsidP="00D60677">
            <w:pPr>
              <w:pStyle w:val="Marginlie"/>
              <w:rPr>
                <w:color w:val="0D0D0D" w:themeColor="text1" w:themeTint="F2"/>
              </w:rPr>
            </w:pPr>
          </w:p>
          <w:p w14:paraId="31F87D44" w14:textId="77777777" w:rsidR="00010596" w:rsidRPr="00B131B0" w:rsidRDefault="00010596" w:rsidP="00D60677">
            <w:pPr>
              <w:pStyle w:val="Marginlie"/>
              <w:rPr>
                <w:color w:val="0D0D0D" w:themeColor="text1" w:themeTint="F2"/>
              </w:rPr>
            </w:pPr>
          </w:p>
          <w:p w14:paraId="24EA5BF1" w14:textId="77777777" w:rsidR="00010596" w:rsidRPr="00B131B0" w:rsidRDefault="00010596" w:rsidP="00D60677">
            <w:pPr>
              <w:pStyle w:val="Marginlie"/>
              <w:rPr>
                <w:color w:val="0D0D0D" w:themeColor="text1" w:themeTint="F2"/>
              </w:rPr>
            </w:pPr>
          </w:p>
          <w:p w14:paraId="4DD5F5E8" w14:textId="77777777" w:rsidR="00010596" w:rsidRPr="00FC11AF" w:rsidRDefault="00010596" w:rsidP="00D60677">
            <w:pPr>
              <w:pStyle w:val="Marginlie"/>
              <w:rPr>
                <w:color w:val="0D0D0D" w:themeColor="text1" w:themeTint="F2"/>
                <w:lang w:val="en"/>
              </w:rPr>
            </w:pPr>
            <w:r w:rsidRPr="00FC11AF">
              <w:rPr>
                <w:color w:val="0D0D0D" w:themeColor="text1" w:themeTint="F2"/>
                <w:lang w:val="en"/>
              </w:rPr>
              <w:t xml:space="preserve">The favorable development of consumer prices led to a further significant increase </w:t>
            </w:r>
            <w:r>
              <w:rPr>
                <w:color w:val="0D0D0D" w:themeColor="text1" w:themeTint="F2"/>
                <w:lang w:val="en"/>
              </w:rPr>
              <w:t>of</w:t>
            </w:r>
            <w:r w:rsidRPr="00FC11AF">
              <w:rPr>
                <w:color w:val="0D0D0D" w:themeColor="text1" w:themeTint="F2"/>
                <w:lang w:val="en"/>
              </w:rPr>
              <w:t xml:space="preserve"> the purchasing power of wages. Despite this, it has not yet surpassed the level of 2021.</w:t>
            </w:r>
          </w:p>
          <w:p w14:paraId="24479874" w14:textId="77777777" w:rsidR="00010596" w:rsidRPr="00B131B0" w:rsidRDefault="00010596" w:rsidP="00D60677">
            <w:pPr>
              <w:pStyle w:val="Marginlie"/>
              <w:rPr>
                <w:color w:val="0D0D0D" w:themeColor="text1" w:themeTint="F2"/>
                <w:spacing w:val="0"/>
              </w:rPr>
            </w:pPr>
          </w:p>
        </w:tc>
        <w:tc>
          <w:tcPr>
            <w:tcW w:w="173" w:type="dxa"/>
            <w:tcMar>
              <w:left w:w="0" w:type="dxa"/>
            </w:tcMar>
          </w:tcPr>
          <w:p w14:paraId="69B06571" w14:textId="77777777" w:rsidR="00010596" w:rsidRPr="00B131B0" w:rsidRDefault="00010596" w:rsidP="00D60677">
            <w:pPr>
              <w:pStyle w:val="Textpoznpodarou"/>
              <w:jc w:val="both"/>
              <w:rPr>
                <w:color w:val="0D0D0D" w:themeColor="text1" w:themeTint="F2"/>
                <w:spacing w:val="-4"/>
              </w:rPr>
            </w:pPr>
          </w:p>
        </w:tc>
        <w:tc>
          <w:tcPr>
            <w:tcW w:w="7704" w:type="dxa"/>
            <w:tcMar>
              <w:left w:w="0" w:type="dxa"/>
            </w:tcMar>
          </w:tcPr>
          <w:p w14:paraId="2F308EF2" w14:textId="77777777" w:rsidR="00010596" w:rsidRPr="00B131B0" w:rsidRDefault="00010596" w:rsidP="00D60677">
            <w:pPr>
              <w:pStyle w:val="paragraph"/>
              <w:spacing w:before="0" w:beforeAutospacing="0" w:after="240" w:afterAutospacing="0" w:line="276" w:lineRule="auto"/>
              <w:jc w:val="both"/>
              <w:textAlignment w:val="baseline"/>
              <w:rPr>
                <w:rStyle w:val="normaltextrun"/>
                <w:rFonts w:ascii="Arial" w:eastAsiaTheme="majorEastAsia" w:hAnsi="Arial"/>
                <w:spacing w:val="-4"/>
                <w:sz w:val="20"/>
              </w:rPr>
            </w:pPr>
            <w:r>
              <w:rPr>
                <w:rFonts w:ascii="Arial" w:eastAsiaTheme="majorEastAsia" w:hAnsi="Arial" w:cs="Arial"/>
                <w:spacing w:val="-4"/>
                <w:sz w:val="20"/>
                <w:szCs w:val="20"/>
              </w:rPr>
              <w:t>T</w:t>
            </w:r>
            <w:r w:rsidRPr="00201ABB">
              <w:rPr>
                <w:rFonts w:ascii="Arial" w:eastAsiaTheme="majorEastAsia" w:hAnsi="Arial" w:cs="Arial"/>
                <w:spacing w:val="-4"/>
                <w:sz w:val="20"/>
                <w:szCs w:val="20"/>
              </w:rPr>
              <w:t>he average gross monthly nominal wage of an employee in the national economy reached 51,966</w:t>
            </w:r>
            <w:r>
              <w:rPr>
                <w:rFonts w:ascii="Arial" w:eastAsiaTheme="majorEastAsia" w:hAnsi="Arial" w:cs="Arial"/>
                <w:spacing w:val="-4"/>
                <w:sz w:val="20"/>
                <w:szCs w:val="20"/>
              </w:rPr>
              <w:t xml:space="preserve"> CZK in Q2 2026</w:t>
            </w:r>
            <w:r w:rsidRPr="00201ABB">
              <w:rPr>
                <w:rFonts w:ascii="Arial" w:eastAsiaTheme="majorEastAsia" w:hAnsi="Arial" w:cs="Arial"/>
                <w:spacing w:val="-4"/>
                <w:sz w:val="20"/>
                <w:szCs w:val="20"/>
              </w:rPr>
              <w:t>. It increased by 6.4%</w:t>
            </w:r>
            <w:r>
              <w:rPr>
                <w:rFonts w:ascii="Arial" w:eastAsiaTheme="majorEastAsia" w:hAnsi="Arial" w:cs="Arial"/>
                <w:spacing w:val="-4"/>
                <w:sz w:val="20"/>
                <w:szCs w:val="20"/>
              </w:rPr>
              <w:t>,</w:t>
            </w:r>
            <w:r w:rsidRPr="00201ABB">
              <w:rPr>
                <w:rFonts w:ascii="Arial" w:eastAsiaTheme="majorEastAsia" w:hAnsi="Arial" w:cs="Arial"/>
                <w:spacing w:val="-4"/>
                <w:sz w:val="20"/>
                <w:szCs w:val="20"/>
              </w:rPr>
              <w:t xml:space="preserve"> year-on-year, which was slightly higher than in </w:t>
            </w:r>
            <w:r>
              <w:rPr>
                <w:rFonts w:ascii="Arial" w:eastAsiaTheme="majorEastAsia" w:hAnsi="Arial" w:cs="Arial"/>
                <w:spacing w:val="-4"/>
                <w:sz w:val="20"/>
                <w:szCs w:val="20"/>
              </w:rPr>
              <w:t>Q</w:t>
            </w:r>
            <w:r w:rsidRPr="00201ABB">
              <w:rPr>
                <w:rFonts w:ascii="Arial" w:eastAsiaTheme="majorEastAsia" w:hAnsi="Arial" w:cs="Arial"/>
                <w:spacing w:val="-4"/>
                <w:sz w:val="20"/>
                <w:szCs w:val="20"/>
              </w:rPr>
              <w:t>1</w:t>
            </w:r>
            <w:r>
              <w:rPr>
                <w:rFonts w:ascii="Arial" w:eastAsiaTheme="majorEastAsia" w:hAnsi="Arial" w:cs="Arial"/>
                <w:spacing w:val="-4"/>
                <w:sz w:val="20"/>
                <w:szCs w:val="20"/>
              </w:rPr>
              <w:t xml:space="preserve"> </w:t>
            </w:r>
            <w:r w:rsidRPr="00201ABB">
              <w:rPr>
                <w:rFonts w:ascii="Arial" w:eastAsiaTheme="majorEastAsia" w:hAnsi="Arial" w:cs="Arial"/>
                <w:spacing w:val="-4"/>
                <w:sz w:val="20"/>
                <w:szCs w:val="20"/>
              </w:rPr>
              <w:t>2026 (when the pace was 6.1% and the wage level was 49,328</w:t>
            </w:r>
            <w:r>
              <w:rPr>
                <w:rFonts w:ascii="Arial" w:eastAsiaTheme="majorEastAsia" w:hAnsi="Arial" w:cs="Arial"/>
                <w:spacing w:val="-4"/>
                <w:sz w:val="20"/>
                <w:szCs w:val="20"/>
              </w:rPr>
              <w:t xml:space="preserve"> CZK</w:t>
            </w:r>
            <w:r w:rsidRPr="00201ABB">
              <w:rPr>
                <w:rFonts w:ascii="Arial" w:eastAsiaTheme="majorEastAsia" w:hAnsi="Arial" w:cs="Arial"/>
                <w:spacing w:val="-4"/>
                <w:sz w:val="20"/>
                <w:szCs w:val="20"/>
              </w:rPr>
              <w:t xml:space="preserve">), </w:t>
            </w:r>
            <w:r>
              <w:rPr>
                <w:rFonts w:ascii="Arial" w:eastAsiaTheme="majorEastAsia" w:hAnsi="Arial" w:cs="Arial"/>
                <w:spacing w:val="-4"/>
                <w:sz w:val="20"/>
                <w:szCs w:val="20"/>
              </w:rPr>
              <w:t xml:space="preserve">however </w:t>
            </w:r>
            <w:r w:rsidRPr="00201ABB">
              <w:rPr>
                <w:rFonts w:ascii="Arial" w:eastAsiaTheme="majorEastAsia" w:hAnsi="Arial" w:cs="Arial"/>
                <w:spacing w:val="-4"/>
                <w:sz w:val="20"/>
                <w:szCs w:val="20"/>
              </w:rPr>
              <w:t>at the same time less than the average for 2024 and 2025 (both +6.6%). Seasonally adjusted wages increased by 1.6%</w:t>
            </w:r>
            <w:r>
              <w:rPr>
                <w:rFonts w:ascii="Arial" w:eastAsiaTheme="majorEastAsia" w:hAnsi="Arial" w:cs="Arial"/>
                <w:spacing w:val="-4"/>
                <w:sz w:val="20"/>
                <w:szCs w:val="20"/>
              </w:rPr>
              <w:t>,</w:t>
            </w:r>
            <w:r w:rsidRPr="00201ABB">
              <w:rPr>
                <w:rFonts w:ascii="Arial" w:eastAsiaTheme="majorEastAsia" w:hAnsi="Arial" w:cs="Arial"/>
                <w:spacing w:val="-4"/>
                <w:sz w:val="20"/>
                <w:szCs w:val="20"/>
              </w:rPr>
              <w:t xml:space="preserve"> quarter-on-quarter</w:t>
            </w:r>
            <w:r>
              <w:rPr>
                <w:rFonts w:ascii="Arial" w:eastAsiaTheme="majorEastAsia" w:hAnsi="Arial" w:cs="Arial"/>
                <w:spacing w:val="-4"/>
                <w:sz w:val="20"/>
                <w:szCs w:val="20"/>
              </w:rPr>
              <w:t>,</w:t>
            </w:r>
            <w:r w:rsidRPr="00201ABB">
              <w:rPr>
                <w:rFonts w:ascii="Arial" w:eastAsiaTheme="majorEastAsia" w:hAnsi="Arial" w:cs="Arial"/>
                <w:spacing w:val="-4"/>
                <w:sz w:val="20"/>
                <w:szCs w:val="20"/>
              </w:rPr>
              <w:t xml:space="preserve"> in </w:t>
            </w:r>
            <w:r>
              <w:rPr>
                <w:rFonts w:ascii="Arial" w:eastAsiaTheme="majorEastAsia" w:hAnsi="Arial" w:cs="Arial"/>
                <w:spacing w:val="-4"/>
                <w:sz w:val="20"/>
                <w:szCs w:val="20"/>
              </w:rPr>
              <w:t>Q</w:t>
            </w:r>
            <w:r w:rsidRPr="00201ABB">
              <w:rPr>
                <w:rFonts w:ascii="Arial" w:eastAsiaTheme="majorEastAsia" w:hAnsi="Arial" w:cs="Arial"/>
                <w:spacing w:val="-4"/>
                <w:sz w:val="20"/>
                <w:szCs w:val="20"/>
              </w:rPr>
              <w:t>2</w:t>
            </w:r>
            <w:r>
              <w:rPr>
                <w:rFonts w:ascii="Arial" w:eastAsiaTheme="majorEastAsia" w:hAnsi="Arial" w:cs="Arial"/>
                <w:spacing w:val="-4"/>
                <w:sz w:val="20"/>
                <w:szCs w:val="20"/>
              </w:rPr>
              <w:t xml:space="preserve"> </w:t>
            </w:r>
            <w:r w:rsidRPr="00201ABB">
              <w:rPr>
                <w:rFonts w:ascii="Arial" w:eastAsiaTheme="majorEastAsia" w:hAnsi="Arial" w:cs="Arial"/>
                <w:spacing w:val="-4"/>
                <w:sz w:val="20"/>
                <w:szCs w:val="20"/>
              </w:rPr>
              <w:t xml:space="preserve">this year and increased at a similar pace as in previous periods (including 2025). Relatively moderate growth </w:t>
            </w:r>
            <w:r>
              <w:rPr>
                <w:rFonts w:ascii="Arial" w:eastAsiaTheme="majorEastAsia" w:hAnsi="Arial" w:cs="Arial"/>
                <w:spacing w:val="-4"/>
                <w:sz w:val="20"/>
                <w:szCs w:val="20"/>
              </w:rPr>
              <w:t>of</w:t>
            </w:r>
            <w:r w:rsidRPr="00201ABB">
              <w:rPr>
                <w:rFonts w:ascii="Arial" w:eastAsiaTheme="majorEastAsia" w:hAnsi="Arial" w:cs="Arial"/>
                <w:spacing w:val="-4"/>
                <w:sz w:val="20"/>
                <w:szCs w:val="20"/>
              </w:rPr>
              <w:t xml:space="preserve"> consumer prices created room for a further rapid strengthening of the purchasing power of employee earnings. Average wages thus increased by 4.3%</w:t>
            </w:r>
            <w:r>
              <w:rPr>
                <w:rFonts w:ascii="Arial" w:eastAsiaTheme="majorEastAsia" w:hAnsi="Arial" w:cs="Arial"/>
                <w:spacing w:val="-4"/>
                <w:sz w:val="20"/>
                <w:szCs w:val="20"/>
              </w:rPr>
              <w:t>,</w:t>
            </w:r>
            <w:r w:rsidRPr="00201ABB">
              <w:rPr>
                <w:rFonts w:ascii="Arial" w:eastAsiaTheme="majorEastAsia" w:hAnsi="Arial" w:cs="Arial"/>
                <w:spacing w:val="-4"/>
                <w:sz w:val="20"/>
                <w:szCs w:val="20"/>
              </w:rPr>
              <w:t xml:space="preserve"> year-on-year</w:t>
            </w:r>
            <w:r>
              <w:rPr>
                <w:rFonts w:ascii="Arial" w:eastAsiaTheme="majorEastAsia" w:hAnsi="Arial" w:cs="Arial"/>
                <w:spacing w:val="-4"/>
                <w:sz w:val="20"/>
                <w:szCs w:val="20"/>
              </w:rPr>
              <w:t>,</w:t>
            </w:r>
            <w:r w:rsidRPr="00201ABB">
              <w:rPr>
                <w:rFonts w:ascii="Arial" w:eastAsiaTheme="majorEastAsia" w:hAnsi="Arial" w:cs="Arial"/>
                <w:spacing w:val="-4"/>
                <w:sz w:val="20"/>
                <w:szCs w:val="20"/>
              </w:rPr>
              <w:t xml:space="preserve"> in real terms and grew for the tenth quarter in a row, while at the same time reaching a slightly higher pace than the average for both 2024 and 2025. The purchasing power of gross wages was already slightly above the level of the 2019 </w:t>
            </w:r>
            <w:r>
              <w:rPr>
                <w:rFonts w:ascii="Arial" w:eastAsiaTheme="majorEastAsia" w:hAnsi="Arial" w:cs="Arial"/>
                <w:spacing w:val="-4"/>
                <w:sz w:val="20"/>
                <w:szCs w:val="20"/>
              </w:rPr>
              <w:t xml:space="preserve">boom </w:t>
            </w:r>
            <w:r w:rsidRPr="00201ABB">
              <w:rPr>
                <w:rFonts w:ascii="Arial" w:eastAsiaTheme="majorEastAsia" w:hAnsi="Arial" w:cs="Arial"/>
                <w:spacing w:val="-4"/>
                <w:sz w:val="20"/>
                <w:szCs w:val="20"/>
              </w:rPr>
              <w:t xml:space="preserve">year, </w:t>
            </w:r>
            <w:r>
              <w:rPr>
                <w:rFonts w:ascii="Arial" w:eastAsiaTheme="majorEastAsia" w:hAnsi="Arial" w:cs="Arial"/>
                <w:spacing w:val="-4"/>
                <w:sz w:val="20"/>
                <w:szCs w:val="20"/>
              </w:rPr>
              <w:t xml:space="preserve">however </w:t>
            </w:r>
            <w:r w:rsidRPr="00201ABB">
              <w:rPr>
                <w:rFonts w:ascii="Arial" w:eastAsiaTheme="majorEastAsia" w:hAnsi="Arial" w:cs="Arial"/>
                <w:spacing w:val="-4"/>
                <w:sz w:val="20"/>
                <w:szCs w:val="20"/>
              </w:rPr>
              <w:t xml:space="preserve">compared to Q2 2021 (which was on the verge of a strong inflation wave), it was still slightly behind (by 2.5%). In the case of net earnings, however, it also probably </w:t>
            </w:r>
            <w:r>
              <w:rPr>
                <w:rFonts w:ascii="Arial" w:eastAsiaTheme="majorEastAsia" w:hAnsi="Arial" w:cs="Arial"/>
                <w:spacing w:val="-4"/>
                <w:sz w:val="20"/>
                <w:szCs w:val="20"/>
              </w:rPr>
              <w:t xml:space="preserve">already </w:t>
            </w:r>
            <w:r w:rsidRPr="00201ABB">
              <w:rPr>
                <w:rFonts w:ascii="Arial" w:eastAsiaTheme="majorEastAsia" w:hAnsi="Arial" w:cs="Arial"/>
                <w:spacing w:val="-4"/>
                <w:sz w:val="20"/>
                <w:szCs w:val="20"/>
              </w:rPr>
              <w:t xml:space="preserve">exceeded </w:t>
            </w:r>
            <w:r>
              <w:rPr>
                <w:rFonts w:ascii="Arial" w:eastAsiaTheme="majorEastAsia" w:hAnsi="Arial" w:cs="Arial"/>
                <w:spacing w:val="-4"/>
                <w:sz w:val="20"/>
                <w:szCs w:val="20"/>
              </w:rPr>
              <w:t xml:space="preserve">even </w:t>
            </w:r>
            <w:r w:rsidRPr="00201ABB">
              <w:rPr>
                <w:rFonts w:ascii="Arial" w:eastAsiaTheme="majorEastAsia" w:hAnsi="Arial" w:cs="Arial"/>
                <w:spacing w:val="-4"/>
                <w:sz w:val="20"/>
                <w:szCs w:val="20"/>
              </w:rPr>
              <w:t>this level slightly</w:t>
            </w:r>
            <w:r w:rsidRPr="00B131B0">
              <w:rPr>
                <w:rStyle w:val="normaltextrun"/>
                <w:rFonts w:ascii="Arial" w:eastAsiaTheme="majorEastAsia" w:hAnsi="Arial"/>
                <w:sz w:val="20"/>
                <w:vertAlign w:val="superscript"/>
              </w:rPr>
              <w:footnoteReference w:id="31"/>
            </w:r>
            <w:r w:rsidRPr="00201ABB">
              <w:rPr>
                <w:rFonts w:ascii="Arial" w:eastAsiaTheme="majorEastAsia" w:hAnsi="Arial" w:cs="Arial"/>
                <w:spacing w:val="-4"/>
                <w:sz w:val="20"/>
                <w:szCs w:val="20"/>
              </w:rPr>
              <w:t>.</w:t>
            </w:r>
            <w:r w:rsidRPr="00B131B0">
              <w:rPr>
                <w:rStyle w:val="normaltextrun"/>
                <w:rFonts w:ascii="Arial" w:eastAsiaTheme="majorEastAsia" w:hAnsi="Arial" w:cs="Arial"/>
                <w:spacing w:val="-4"/>
                <w:sz w:val="20"/>
                <w:szCs w:val="20"/>
              </w:rPr>
              <w:t xml:space="preserve"> </w:t>
            </w:r>
          </w:p>
        </w:tc>
      </w:tr>
      <w:tr w:rsidR="00010596" w:rsidRPr="00B131B0" w14:paraId="4E6BBB65" w14:textId="77777777" w:rsidTr="00D60677">
        <w:trPr>
          <w:trHeight w:val="132"/>
        </w:trPr>
        <w:tc>
          <w:tcPr>
            <w:tcW w:w="1797" w:type="dxa"/>
            <w:tcMar>
              <w:left w:w="0" w:type="dxa"/>
            </w:tcMar>
          </w:tcPr>
          <w:p w14:paraId="1D47D02B" w14:textId="77777777" w:rsidR="00010596" w:rsidRPr="00B131B0" w:rsidRDefault="00010596" w:rsidP="00D60677">
            <w:pPr>
              <w:pStyle w:val="Marginlie"/>
              <w:rPr>
                <w:color w:val="0D0D0D" w:themeColor="text1" w:themeTint="F2"/>
                <w:spacing w:val="0"/>
              </w:rPr>
            </w:pPr>
            <w:r w:rsidRPr="003D4412">
              <w:rPr>
                <w:color w:val="0D0D0D" w:themeColor="text1" w:themeTint="F2"/>
                <w:spacing w:val="0"/>
              </w:rPr>
              <w:t>A noticeable shortage of available labour</w:t>
            </w:r>
            <w:r>
              <w:rPr>
                <w:color w:val="0D0D0D" w:themeColor="text1" w:themeTint="F2"/>
                <w:spacing w:val="0"/>
              </w:rPr>
              <w:t xml:space="preserve"> force</w:t>
            </w:r>
            <w:r w:rsidRPr="003D4412">
              <w:rPr>
                <w:color w:val="0D0D0D" w:themeColor="text1" w:themeTint="F2"/>
                <w:spacing w:val="0"/>
              </w:rPr>
              <w:t xml:space="preserve"> in a number of sectors continued to contribute to wage growth. State measures through the institute of the minimum wage and the establishment of salary </w:t>
            </w:r>
            <w:r>
              <w:rPr>
                <w:color w:val="0D0D0D" w:themeColor="text1" w:themeTint="F2"/>
                <w:spacing w:val="0"/>
              </w:rPr>
              <w:t>scales</w:t>
            </w:r>
            <w:r w:rsidRPr="003D4412">
              <w:rPr>
                <w:color w:val="0D0D0D" w:themeColor="text1" w:themeTint="F2"/>
                <w:spacing w:val="0"/>
              </w:rPr>
              <w:t xml:space="preserve"> for employees paid from public budgets also played an important role.</w:t>
            </w:r>
            <w:r>
              <w:rPr>
                <w:color w:val="0D0D0D" w:themeColor="text1" w:themeTint="F2"/>
                <w:spacing w:val="0"/>
              </w:rPr>
              <w:t xml:space="preserve"> </w:t>
            </w:r>
          </w:p>
        </w:tc>
        <w:tc>
          <w:tcPr>
            <w:tcW w:w="173" w:type="dxa"/>
            <w:tcMar>
              <w:left w:w="0" w:type="dxa"/>
            </w:tcMar>
          </w:tcPr>
          <w:p w14:paraId="6709C62E" w14:textId="77777777" w:rsidR="00010596" w:rsidRPr="00B131B0" w:rsidRDefault="00010596" w:rsidP="00D60677">
            <w:pPr>
              <w:pStyle w:val="Textpoznpodarou"/>
              <w:jc w:val="both"/>
              <w:rPr>
                <w:color w:val="0D0D0D" w:themeColor="text1" w:themeTint="F2"/>
                <w:spacing w:val="-4"/>
              </w:rPr>
            </w:pPr>
          </w:p>
        </w:tc>
        <w:tc>
          <w:tcPr>
            <w:tcW w:w="7704" w:type="dxa"/>
            <w:tcMar>
              <w:left w:w="0" w:type="dxa"/>
            </w:tcMar>
          </w:tcPr>
          <w:p w14:paraId="7D04B444" w14:textId="77777777" w:rsidR="00010596" w:rsidRDefault="00010596" w:rsidP="00D60677">
            <w:pPr>
              <w:pStyle w:val="paragraph"/>
              <w:spacing w:before="0" w:beforeAutospacing="0" w:after="0" w:afterAutospacing="0" w:line="276" w:lineRule="auto"/>
              <w:jc w:val="both"/>
              <w:textAlignment w:val="baseline"/>
              <w:rPr>
                <w:rStyle w:val="normaltextrun"/>
                <w:rFonts w:ascii="Arial" w:eastAsiaTheme="majorEastAsia" w:hAnsi="Arial" w:cs="Arial"/>
                <w:color w:val="000000"/>
                <w:sz w:val="20"/>
                <w:szCs w:val="20"/>
              </w:rPr>
            </w:pPr>
            <w:r w:rsidRPr="00CE4FB5">
              <w:rPr>
                <w:rFonts w:ascii="Arial" w:eastAsiaTheme="majorEastAsia" w:hAnsi="Arial" w:cs="Arial"/>
                <w:color w:val="0D0D0D" w:themeColor="text1" w:themeTint="F2"/>
                <w:sz w:val="20"/>
                <w:szCs w:val="20"/>
              </w:rPr>
              <w:t>This year's brisk wage growth took place in an environment of moderate growth in the domestic economy, accompanied only by a weak strengthening of labour productivity (</w:t>
            </w:r>
            <w:r>
              <w:rPr>
                <w:rFonts w:ascii="Arial" w:eastAsiaTheme="majorEastAsia" w:hAnsi="Arial" w:cs="Arial"/>
                <w:color w:val="0D0D0D" w:themeColor="text1" w:themeTint="F2"/>
                <w:sz w:val="20"/>
                <w:szCs w:val="20"/>
              </w:rPr>
              <w:t>per</w:t>
            </w:r>
            <w:r w:rsidRPr="00CE4FB5">
              <w:rPr>
                <w:rFonts w:ascii="Arial" w:eastAsiaTheme="majorEastAsia" w:hAnsi="Arial" w:cs="Arial"/>
                <w:color w:val="0D0D0D" w:themeColor="text1" w:themeTint="F2"/>
                <w:sz w:val="20"/>
                <w:szCs w:val="20"/>
              </w:rPr>
              <w:t xml:space="preserve"> worker). Persistent imbalances </w:t>
            </w:r>
            <w:r>
              <w:rPr>
                <w:rFonts w:ascii="Arial" w:eastAsiaTheme="majorEastAsia" w:hAnsi="Arial" w:cs="Arial"/>
                <w:color w:val="0D0D0D" w:themeColor="text1" w:themeTint="F2"/>
                <w:sz w:val="20"/>
                <w:szCs w:val="20"/>
              </w:rPr>
              <w:t>on</w:t>
            </w:r>
            <w:r w:rsidRPr="00CE4FB5">
              <w:rPr>
                <w:rFonts w:ascii="Arial" w:eastAsiaTheme="majorEastAsia" w:hAnsi="Arial" w:cs="Arial"/>
                <w:color w:val="0D0D0D" w:themeColor="text1" w:themeTint="F2"/>
                <w:sz w:val="20"/>
                <w:szCs w:val="20"/>
              </w:rPr>
              <w:t xml:space="preserve"> the labour market, consisting mainly of a longer-term shortage of available labour</w:t>
            </w:r>
            <w:r>
              <w:rPr>
                <w:rFonts w:ascii="Arial" w:eastAsiaTheme="majorEastAsia" w:hAnsi="Arial" w:cs="Arial"/>
                <w:color w:val="0D0D0D" w:themeColor="text1" w:themeTint="F2"/>
                <w:sz w:val="20"/>
                <w:szCs w:val="20"/>
              </w:rPr>
              <w:t xml:space="preserve"> force</w:t>
            </w:r>
            <w:r w:rsidRPr="00CE4FB5">
              <w:rPr>
                <w:rFonts w:ascii="Arial" w:eastAsiaTheme="majorEastAsia" w:hAnsi="Arial" w:cs="Arial"/>
                <w:color w:val="0D0D0D" w:themeColor="text1" w:themeTint="F2"/>
                <w:sz w:val="20"/>
                <w:szCs w:val="20"/>
              </w:rPr>
              <w:t xml:space="preserve">, which is most visible in construction, but also in a number of service areas (e.g. transport and hospitality), played an important role, which stimulates further growth </w:t>
            </w:r>
            <w:r>
              <w:rPr>
                <w:rFonts w:ascii="Arial" w:eastAsiaTheme="majorEastAsia" w:hAnsi="Arial" w:cs="Arial"/>
                <w:color w:val="0D0D0D" w:themeColor="text1" w:themeTint="F2"/>
                <w:sz w:val="20"/>
                <w:szCs w:val="20"/>
              </w:rPr>
              <w:t>of</w:t>
            </w:r>
            <w:r w:rsidRPr="00CE4FB5">
              <w:rPr>
                <w:rFonts w:ascii="Arial" w:eastAsiaTheme="majorEastAsia" w:hAnsi="Arial" w:cs="Arial"/>
                <w:color w:val="0D0D0D" w:themeColor="text1" w:themeTint="F2"/>
                <w:sz w:val="20"/>
                <w:szCs w:val="20"/>
              </w:rPr>
              <w:t xml:space="preserve"> nominal earnings. The fading effect of strong growth </w:t>
            </w:r>
            <w:r>
              <w:rPr>
                <w:rFonts w:ascii="Arial" w:eastAsiaTheme="majorEastAsia" w:hAnsi="Arial" w:cs="Arial"/>
                <w:color w:val="0D0D0D" w:themeColor="text1" w:themeTint="F2"/>
                <w:sz w:val="20"/>
                <w:szCs w:val="20"/>
              </w:rPr>
              <w:t>of</w:t>
            </w:r>
            <w:r w:rsidRPr="00CE4FB5">
              <w:rPr>
                <w:rFonts w:ascii="Arial" w:eastAsiaTheme="majorEastAsia" w:hAnsi="Arial" w:cs="Arial"/>
                <w:color w:val="0D0D0D" w:themeColor="text1" w:themeTint="F2"/>
                <w:sz w:val="20"/>
                <w:szCs w:val="20"/>
              </w:rPr>
              <w:t xml:space="preserve"> consumer prices and corporate profitability in the period 2022</w:t>
            </w:r>
            <w:r>
              <w:rPr>
                <w:rFonts w:ascii="Arial" w:eastAsiaTheme="majorEastAsia" w:hAnsi="Arial" w:cs="Arial"/>
                <w:color w:val="0D0D0D" w:themeColor="text1" w:themeTint="F2"/>
                <w:sz w:val="20"/>
                <w:szCs w:val="20"/>
              </w:rPr>
              <w:t xml:space="preserve"> to </w:t>
            </w:r>
            <w:r w:rsidRPr="00CE4FB5">
              <w:rPr>
                <w:rFonts w:ascii="Arial" w:eastAsiaTheme="majorEastAsia" w:hAnsi="Arial" w:cs="Arial"/>
                <w:color w:val="0D0D0D" w:themeColor="text1" w:themeTint="F2"/>
                <w:sz w:val="20"/>
                <w:szCs w:val="20"/>
              </w:rPr>
              <w:t xml:space="preserve">2023, which is reflected in increased wage demands of employees, has a similar </w:t>
            </w:r>
            <w:r>
              <w:rPr>
                <w:rFonts w:ascii="Arial" w:eastAsiaTheme="majorEastAsia" w:hAnsi="Arial" w:cs="Arial"/>
                <w:color w:val="0D0D0D" w:themeColor="text1" w:themeTint="F2"/>
                <w:sz w:val="20"/>
                <w:szCs w:val="20"/>
              </w:rPr>
              <w:t>impact</w:t>
            </w:r>
            <w:r w:rsidRPr="00CE4FB5">
              <w:rPr>
                <w:rFonts w:ascii="Arial" w:eastAsiaTheme="majorEastAsia" w:hAnsi="Arial" w:cs="Arial"/>
                <w:color w:val="0D0D0D" w:themeColor="text1" w:themeTint="F2"/>
                <w:sz w:val="20"/>
                <w:szCs w:val="20"/>
              </w:rPr>
              <w:t xml:space="preserve">. Given the persistently relatively low unemployment rate (as well as its relatively stable outlook for the near future) and the absence of any significantly accentuated household concerns about its growth, there may have been a higher turnover of workers (due to increased motivation to change jobs with the prospect of higher earnings). Wage growth was also influenced by state activity – on the one hand, through a relatively brisk, steady increase </w:t>
            </w:r>
            <w:r>
              <w:rPr>
                <w:rFonts w:ascii="Arial" w:eastAsiaTheme="majorEastAsia" w:hAnsi="Arial" w:cs="Arial"/>
                <w:color w:val="0D0D0D" w:themeColor="text1" w:themeTint="F2"/>
                <w:sz w:val="20"/>
                <w:szCs w:val="20"/>
              </w:rPr>
              <w:t>of</w:t>
            </w:r>
            <w:r w:rsidRPr="00CE4FB5">
              <w:rPr>
                <w:rFonts w:ascii="Arial" w:eastAsiaTheme="majorEastAsia" w:hAnsi="Arial" w:cs="Arial"/>
                <w:color w:val="0D0D0D" w:themeColor="text1" w:themeTint="F2"/>
                <w:sz w:val="20"/>
                <w:szCs w:val="20"/>
              </w:rPr>
              <w:t xml:space="preserve"> the minimum wage</w:t>
            </w:r>
            <w:r w:rsidRPr="00B131B0">
              <w:rPr>
                <w:rStyle w:val="normaltextrun"/>
                <w:rFonts w:ascii="Arial" w:eastAsiaTheme="majorEastAsia" w:hAnsi="Arial" w:cs="Arial"/>
                <w:sz w:val="20"/>
                <w:szCs w:val="20"/>
                <w:vertAlign w:val="superscript"/>
              </w:rPr>
              <w:footnoteReference w:id="32"/>
            </w:r>
            <w:r w:rsidRPr="00CE4FB5">
              <w:rPr>
                <w:rFonts w:ascii="Arial" w:eastAsiaTheme="majorEastAsia" w:hAnsi="Arial" w:cs="Arial"/>
                <w:color w:val="0D0D0D" w:themeColor="text1" w:themeTint="F2"/>
                <w:sz w:val="20"/>
                <w:szCs w:val="20"/>
              </w:rPr>
              <w:t>, and on the other hand, mainly through wage growth in the public sector (which has usually been more differentiated in recent years in terms of various areas of public services and also different timing within the year</w:t>
            </w:r>
            <w:r w:rsidRPr="00B131B0">
              <w:rPr>
                <w:rStyle w:val="Znakapoznpodarou"/>
                <w:rFonts w:ascii="Arial" w:eastAsiaTheme="majorEastAsia" w:hAnsi="Arial"/>
                <w:color w:val="000000"/>
                <w:sz w:val="20"/>
                <w:szCs w:val="20"/>
              </w:rPr>
              <w:footnoteReference w:id="33"/>
            </w:r>
            <w:r w:rsidRPr="00CE4FB5">
              <w:rPr>
                <w:rFonts w:ascii="Arial" w:eastAsiaTheme="majorEastAsia" w:hAnsi="Arial" w:cs="Arial"/>
                <w:color w:val="0D0D0D" w:themeColor="text1" w:themeTint="F2"/>
                <w:sz w:val="20"/>
                <w:szCs w:val="20"/>
              </w:rPr>
              <w:t>)</w:t>
            </w:r>
            <w:r w:rsidRPr="00B131B0">
              <w:rPr>
                <w:rStyle w:val="normaltextrun"/>
                <w:rFonts w:ascii="Arial" w:eastAsiaTheme="majorEastAsia" w:hAnsi="Arial" w:cs="Arial"/>
                <w:color w:val="000000"/>
                <w:sz w:val="20"/>
                <w:szCs w:val="20"/>
              </w:rPr>
              <w:t xml:space="preserve">. </w:t>
            </w:r>
          </w:p>
          <w:p w14:paraId="38848193" w14:textId="77777777" w:rsidR="00010596" w:rsidRPr="00B131B0" w:rsidRDefault="00010596" w:rsidP="00D60677">
            <w:pPr>
              <w:pStyle w:val="paragraph"/>
              <w:spacing w:before="0" w:beforeAutospacing="0" w:after="0" w:afterAutospacing="0" w:line="276" w:lineRule="auto"/>
              <w:jc w:val="both"/>
              <w:textAlignment w:val="baseline"/>
              <w:rPr>
                <w:rStyle w:val="normaltextrun"/>
                <w:rFonts w:ascii="Arial" w:eastAsiaTheme="majorEastAsia" w:hAnsi="Arial" w:cs="Arial"/>
                <w:color w:val="000000"/>
                <w:sz w:val="20"/>
                <w:szCs w:val="20"/>
              </w:rPr>
            </w:pPr>
          </w:p>
        </w:tc>
      </w:tr>
      <w:tr w:rsidR="00010596" w:rsidRPr="00B131B0" w14:paraId="3488D693" w14:textId="77777777" w:rsidTr="00D60677">
        <w:trPr>
          <w:trHeight w:val="132"/>
        </w:trPr>
        <w:tc>
          <w:tcPr>
            <w:tcW w:w="1797" w:type="dxa"/>
            <w:tcMar>
              <w:left w:w="0" w:type="dxa"/>
            </w:tcMar>
          </w:tcPr>
          <w:p w14:paraId="1600E71D" w14:textId="77777777" w:rsidR="00010596" w:rsidRPr="00B131B0" w:rsidRDefault="00010596" w:rsidP="00D60677">
            <w:pPr>
              <w:pStyle w:val="Marginlie"/>
              <w:rPr>
                <w:color w:val="0D0D0D" w:themeColor="text1" w:themeTint="F2"/>
                <w:spacing w:val="0"/>
              </w:rPr>
            </w:pPr>
            <w:r w:rsidRPr="00CD5415">
              <w:rPr>
                <w:color w:val="0D0D0D" w:themeColor="text1" w:themeTint="F2"/>
                <w:spacing w:val="0"/>
              </w:rPr>
              <w:lastRenderedPageBreak/>
              <w:t>High wage growth in administrative and support</w:t>
            </w:r>
            <w:r>
              <w:rPr>
                <w:color w:val="0D0D0D" w:themeColor="text1" w:themeTint="F2"/>
                <w:spacing w:val="0"/>
              </w:rPr>
              <w:t xml:space="preserve"> service </w:t>
            </w:r>
            <w:r w:rsidRPr="00CD5415">
              <w:rPr>
                <w:color w:val="0D0D0D" w:themeColor="text1" w:themeTint="F2"/>
                <w:spacing w:val="0"/>
              </w:rPr>
              <w:t xml:space="preserve">activities continued for the second year in a row. Rapid growth was also evident in a few other low-profit </w:t>
            </w:r>
            <w:r>
              <w:rPr>
                <w:color w:val="0D0D0D" w:themeColor="text1" w:themeTint="F2"/>
                <w:spacing w:val="0"/>
              </w:rPr>
              <w:t xml:space="preserve">branches. </w:t>
            </w:r>
          </w:p>
          <w:p w14:paraId="3BAEF9B5" w14:textId="77777777" w:rsidR="00010596" w:rsidRPr="00B131B0" w:rsidRDefault="00010596" w:rsidP="00D60677">
            <w:pPr>
              <w:pStyle w:val="Marginlie"/>
              <w:rPr>
                <w:color w:val="0D0D0D" w:themeColor="text1" w:themeTint="F2"/>
                <w:spacing w:val="0"/>
              </w:rPr>
            </w:pPr>
          </w:p>
          <w:p w14:paraId="42AE7B1B" w14:textId="77777777" w:rsidR="00010596" w:rsidRPr="00B131B0" w:rsidRDefault="00010596" w:rsidP="00D60677">
            <w:pPr>
              <w:pStyle w:val="Marginlie"/>
              <w:rPr>
                <w:color w:val="0D0D0D" w:themeColor="text1" w:themeTint="F2"/>
                <w:spacing w:val="0"/>
              </w:rPr>
            </w:pPr>
          </w:p>
          <w:p w14:paraId="3AB5994B" w14:textId="77777777" w:rsidR="00010596" w:rsidRPr="00B131B0" w:rsidRDefault="00010596" w:rsidP="00D60677">
            <w:pPr>
              <w:pStyle w:val="Marginlie"/>
              <w:rPr>
                <w:color w:val="0D0D0D" w:themeColor="text1" w:themeTint="F2"/>
                <w:spacing w:val="0"/>
              </w:rPr>
            </w:pPr>
          </w:p>
          <w:p w14:paraId="63C6ADF5" w14:textId="77777777" w:rsidR="00010596" w:rsidRPr="00B131B0" w:rsidRDefault="00010596" w:rsidP="00D60677">
            <w:pPr>
              <w:pStyle w:val="Marginlie"/>
              <w:rPr>
                <w:color w:val="0D0D0D" w:themeColor="text1" w:themeTint="F2"/>
                <w:spacing w:val="0"/>
              </w:rPr>
            </w:pPr>
          </w:p>
          <w:p w14:paraId="580C766E" w14:textId="77777777" w:rsidR="00010596" w:rsidRPr="00B131B0" w:rsidRDefault="00010596" w:rsidP="00D60677">
            <w:pPr>
              <w:pStyle w:val="Marginlie"/>
              <w:rPr>
                <w:color w:val="0D0D0D" w:themeColor="text1" w:themeTint="F2"/>
                <w:spacing w:val="0"/>
              </w:rPr>
            </w:pPr>
          </w:p>
          <w:p w14:paraId="71283F69" w14:textId="77777777" w:rsidR="00010596" w:rsidRPr="00B131B0" w:rsidRDefault="00010596" w:rsidP="00D60677">
            <w:pPr>
              <w:pStyle w:val="Marginlie"/>
              <w:rPr>
                <w:color w:val="0D0D0D" w:themeColor="text1" w:themeTint="F2"/>
                <w:spacing w:val="0"/>
              </w:rPr>
            </w:pPr>
          </w:p>
          <w:p w14:paraId="30159D1A" w14:textId="77777777" w:rsidR="00010596" w:rsidRPr="00B131B0" w:rsidRDefault="00010596" w:rsidP="00D60677">
            <w:pPr>
              <w:pStyle w:val="Marginlie"/>
              <w:rPr>
                <w:color w:val="0D0D0D" w:themeColor="text1" w:themeTint="F2"/>
                <w:spacing w:val="0"/>
              </w:rPr>
            </w:pPr>
          </w:p>
          <w:p w14:paraId="4838AEF5" w14:textId="77777777" w:rsidR="00010596" w:rsidRPr="00B131B0" w:rsidRDefault="00010596" w:rsidP="00D60677">
            <w:pPr>
              <w:pStyle w:val="Marginlie"/>
              <w:rPr>
                <w:color w:val="0D0D0D" w:themeColor="text1" w:themeTint="F2"/>
                <w:spacing w:val="0"/>
              </w:rPr>
            </w:pPr>
            <w:r w:rsidRPr="00986ADB">
              <w:rPr>
                <w:color w:val="0D0D0D" w:themeColor="text1" w:themeTint="F2"/>
                <w:spacing w:val="0"/>
              </w:rPr>
              <w:t xml:space="preserve">Despite the decline </w:t>
            </w:r>
            <w:r>
              <w:rPr>
                <w:color w:val="0D0D0D" w:themeColor="text1" w:themeTint="F2"/>
                <w:spacing w:val="0"/>
              </w:rPr>
              <w:t xml:space="preserve">of </w:t>
            </w:r>
            <w:r w:rsidRPr="00986ADB">
              <w:rPr>
                <w:color w:val="0D0D0D" w:themeColor="text1" w:themeTint="F2"/>
                <w:spacing w:val="0"/>
              </w:rPr>
              <w:t xml:space="preserve">employment, information and communication activities maintained the highest wage level among </w:t>
            </w:r>
            <w:r>
              <w:rPr>
                <w:color w:val="0D0D0D" w:themeColor="text1" w:themeTint="F2"/>
                <w:spacing w:val="0"/>
              </w:rPr>
              <w:t>branches.</w:t>
            </w:r>
            <w:r w:rsidRPr="00B131B0">
              <w:rPr>
                <w:color w:val="0D0D0D" w:themeColor="text1" w:themeTint="F2"/>
                <w:spacing w:val="0"/>
              </w:rPr>
              <w:t xml:space="preserve"> </w:t>
            </w:r>
          </w:p>
        </w:tc>
        <w:tc>
          <w:tcPr>
            <w:tcW w:w="173" w:type="dxa"/>
            <w:tcMar>
              <w:left w:w="0" w:type="dxa"/>
            </w:tcMar>
          </w:tcPr>
          <w:p w14:paraId="419CD5E7" w14:textId="77777777" w:rsidR="00010596" w:rsidRPr="00B131B0" w:rsidRDefault="00010596" w:rsidP="00D60677">
            <w:pPr>
              <w:pStyle w:val="Textpoznpodarou"/>
              <w:jc w:val="both"/>
              <w:rPr>
                <w:color w:val="0D0D0D" w:themeColor="text1" w:themeTint="F2"/>
                <w:spacing w:val="-4"/>
              </w:rPr>
            </w:pPr>
          </w:p>
        </w:tc>
        <w:tc>
          <w:tcPr>
            <w:tcW w:w="7704" w:type="dxa"/>
            <w:tcMar>
              <w:left w:w="0" w:type="dxa"/>
            </w:tcMar>
          </w:tcPr>
          <w:p w14:paraId="38C6E426" w14:textId="77777777" w:rsidR="00010596" w:rsidRPr="005431FF" w:rsidRDefault="00010596" w:rsidP="00D60677">
            <w:pPr>
              <w:pStyle w:val="paragraph"/>
              <w:spacing w:before="0" w:beforeAutospacing="0" w:after="0" w:afterAutospacing="0" w:line="276" w:lineRule="auto"/>
              <w:jc w:val="both"/>
              <w:textAlignment w:val="baseline"/>
              <w:rPr>
                <w:rStyle w:val="normaltextrun"/>
                <w:rFonts w:ascii="Arial" w:eastAsiaTheme="majorEastAsia" w:hAnsi="Arial" w:cs="Arial"/>
                <w:color w:val="000000"/>
                <w:spacing w:val="-5"/>
                <w:sz w:val="20"/>
                <w:szCs w:val="20"/>
              </w:rPr>
            </w:pPr>
            <w:r w:rsidRPr="005431FF">
              <w:rPr>
                <w:rFonts w:ascii="Arial" w:eastAsiaTheme="majorEastAsia" w:hAnsi="Arial" w:cs="Arial"/>
                <w:color w:val="000000"/>
                <w:spacing w:val="-5"/>
                <w:sz w:val="20"/>
                <w:szCs w:val="20"/>
              </w:rPr>
              <w:t>Administrative and support service activities stood out among the main branches in H1 2026 (as well as throughout last year) due to strong wage dynamics, where average gross earnings increased by 14.4%, year-on-year, and approached the limit of 40 thousand CZK per month. Growth was concentrated in the employment placement agency segment, with the situation of employees in cleaning services, for example, also improving relatively significantly. Earnings increased slightly above average (in the range from 6.6% to 7.4%) in other branches with a lower wage level – agriculture, forestry and fishing, water and waste management, construction, real estate activities, as well as in cultural, entertainment and recreational activities. However, advanced business services also performed well, concentrated mainly in the professional, scientific and technical activities, where wages increased above average in 2024 and 2025 and increased by 7.1% this year (to 63.8 thousand CZK). A similar increase was also recorded in the financial and insurance activities (in absolute terms, it presented 5.9 thousand – the highest of all branches). In information and communication activities, wage growth slowed down to 6.4% compared to last year's pace, but employees still received the most (94.3 thousand CZK) here. The two above-mentioned “high-earning” branches are also connected by a slight decline of the registered number of workers, which persisted for the second year in a row. Of the branches with a significant role of public services, wages increased the most this year in public administration, defence and social security (+7.5%), but the highest level of earnings was maintained by employees in human health and social work (54.1 thousand CZK), despite continued more modest wage growth (+4.6%). In the important trade branch, which concentrates almost a fifth of employees from the entire service sector, wage growth accelerated slightly to 6.3% after a weaker last year.</w:t>
            </w:r>
            <w:r w:rsidRPr="005431FF">
              <w:rPr>
                <w:rStyle w:val="normaltextrun"/>
                <w:rFonts w:ascii="Arial" w:eastAsiaTheme="majorEastAsia" w:hAnsi="Arial" w:cs="Arial"/>
                <w:color w:val="000000"/>
                <w:spacing w:val="-5"/>
                <w:sz w:val="20"/>
                <w:szCs w:val="20"/>
              </w:rPr>
              <w:t xml:space="preserve">  </w:t>
            </w:r>
          </w:p>
          <w:p w14:paraId="412B487E" w14:textId="77777777" w:rsidR="00010596" w:rsidRPr="00B131B0" w:rsidRDefault="00010596" w:rsidP="00D60677">
            <w:pPr>
              <w:pStyle w:val="paragraph"/>
              <w:spacing w:before="0" w:beforeAutospacing="0" w:after="0" w:afterAutospacing="0" w:line="276" w:lineRule="auto"/>
              <w:jc w:val="both"/>
              <w:textAlignment w:val="baseline"/>
              <w:rPr>
                <w:rStyle w:val="normaltextrun"/>
                <w:rFonts w:ascii="Arial" w:eastAsiaTheme="majorEastAsia" w:hAnsi="Arial" w:cs="Arial"/>
                <w:color w:val="000000"/>
                <w:sz w:val="20"/>
                <w:szCs w:val="20"/>
              </w:rPr>
            </w:pPr>
          </w:p>
        </w:tc>
      </w:tr>
      <w:tr w:rsidR="00010596" w:rsidRPr="00B131B0" w14:paraId="4FA908B3" w14:textId="77777777" w:rsidTr="00D60677">
        <w:trPr>
          <w:trHeight w:val="132"/>
        </w:trPr>
        <w:tc>
          <w:tcPr>
            <w:tcW w:w="1797" w:type="dxa"/>
            <w:tcMar>
              <w:left w:w="0" w:type="dxa"/>
            </w:tcMar>
          </w:tcPr>
          <w:p w14:paraId="009CA637" w14:textId="77777777" w:rsidR="00010596" w:rsidRPr="00B131B0" w:rsidRDefault="00010596" w:rsidP="00D60677">
            <w:pPr>
              <w:pStyle w:val="Marginlie"/>
              <w:rPr>
                <w:color w:val="0D0D0D" w:themeColor="text1" w:themeTint="F2"/>
              </w:rPr>
            </w:pPr>
            <w:r w:rsidRPr="0015693C">
              <w:rPr>
                <w:color w:val="0D0D0D" w:themeColor="text1" w:themeTint="F2"/>
              </w:rPr>
              <w:t>The wage pace in industry weakened for the third year in a row. A number of major export sectors reduced their job</w:t>
            </w:r>
            <w:r>
              <w:rPr>
                <w:color w:val="0D0D0D" w:themeColor="text1" w:themeTint="F2"/>
              </w:rPr>
              <w:t xml:space="preserve"> positions.</w:t>
            </w:r>
          </w:p>
          <w:p w14:paraId="14A1332C" w14:textId="77777777" w:rsidR="00010596" w:rsidRPr="00B131B0" w:rsidRDefault="00010596" w:rsidP="00D60677">
            <w:pPr>
              <w:pStyle w:val="Marginlie"/>
              <w:rPr>
                <w:color w:val="0D0D0D" w:themeColor="text1" w:themeTint="F2"/>
              </w:rPr>
            </w:pPr>
          </w:p>
          <w:p w14:paraId="0734D264" w14:textId="77777777" w:rsidR="00010596" w:rsidRPr="00B131B0" w:rsidRDefault="00010596" w:rsidP="00D60677">
            <w:pPr>
              <w:pStyle w:val="Marginlie"/>
              <w:rPr>
                <w:color w:val="0D0D0D" w:themeColor="text1" w:themeTint="F2"/>
              </w:rPr>
            </w:pPr>
          </w:p>
          <w:p w14:paraId="1077F62C" w14:textId="77777777" w:rsidR="00010596" w:rsidRPr="00B131B0" w:rsidRDefault="00010596" w:rsidP="00D60677">
            <w:pPr>
              <w:pStyle w:val="Marginlie"/>
              <w:rPr>
                <w:color w:val="0D0D0D" w:themeColor="text1" w:themeTint="F2"/>
              </w:rPr>
            </w:pPr>
          </w:p>
          <w:p w14:paraId="652BBBC7" w14:textId="77777777" w:rsidR="00010596" w:rsidRPr="00B131B0" w:rsidRDefault="00010596" w:rsidP="00D60677">
            <w:pPr>
              <w:pStyle w:val="Marginlie"/>
              <w:rPr>
                <w:color w:val="0D0D0D" w:themeColor="text1" w:themeTint="F2"/>
              </w:rPr>
            </w:pPr>
          </w:p>
          <w:p w14:paraId="59CFB5EB" w14:textId="77777777" w:rsidR="00010596" w:rsidRPr="00B131B0" w:rsidRDefault="00010596" w:rsidP="00D60677">
            <w:pPr>
              <w:pStyle w:val="Marginlie"/>
              <w:rPr>
                <w:color w:val="0D0D0D" w:themeColor="text1" w:themeTint="F2"/>
              </w:rPr>
            </w:pPr>
            <w:r w:rsidRPr="0036039D">
              <w:rPr>
                <w:color w:val="0D0D0D" w:themeColor="text1" w:themeTint="F2"/>
              </w:rPr>
              <w:t>The relatively low wage growth in the energy sector is related to last year's high payment of extraordinary bonuses.</w:t>
            </w:r>
          </w:p>
        </w:tc>
        <w:tc>
          <w:tcPr>
            <w:tcW w:w="173" w:type="dxa"/>
            <w:tcMar>
              <w:left w:w="0" w:type="dxa"/>
            </w:tcMar>
          </w:tcPr>
          <w:p w14:paraId="1082DAD5" w14:textId="77777777" w:rsidR="00010596" w:rsidRPr="00B131B0" w:rsidRDefault="00010596" w:rsidP="00D60677">
            <w:pPr>
              <w:pStyle w:val="Textpoznpodarou"/>
              <w:jc w:val="both"/>
              <w:rPr>
                <w:color w:val="0D0D0D" w:themeColor="text1" w:themeTint="F2"/>
                <w:spacing w:val="-4"/>
              </w:rPr>
            </w:pPr>
          </w:p>
        </w:tc>
        <w:tc>
          <w:tcPr>
            <w:tcW w:w="7704" w:type="dxa"/>
            <w:tcMar>
              <w:left w:w="0" w:type="dxa"/>
            </w:tcMar>
          </w:tcPr>
          <w:p w14:paraId="0711C46C" w14:textId="77777777" w:rsidR="00010596" w:rsidRPr="005431FF" w:rsidRDefault="00010596" w:rsidP="00D60677">
            <w:pPr>
              <w:pStyle w:val="paragraph"/>
              <w:spacing w:before="0" w:beforeAutospacing="0" w:after="240" w:afterAutospacing="0" w:line="276" w:lineRule="auto"/>
              <w:jc w:val="both"/>
              <w:textAlignment w:val="baseline"/>
              <w:rPr>
                <w:rStyle w:val="normaltextrun"/>
                <w:rFonts w:ascii="Arial" w:eastAsiaTheme="majorEastAsia" w:hAnsi="Arial" w:cs="Arial"/>
                <w:color w:val="000000"/>
                <w:spacing w:val="-4"/>
                <w:sz w:val="20"/>
                <w:szCs w:val="20"/>
              </w:rPr>
            </w:pPr>
            <w:r w:rsidRPr="005431FF">
              <w:rPr>
                <w:rFonts w:ascii="Arial" w:eastAsiaTheme="majorEastAsia" w:hAnsi="Arial" w:cs="Arial"/>
                <w:color w:val="000000"/>
                <w:spacing w:val="-4"/>
                <w:sz w:val="20"/>
                <w:szCs w:val="20"/>
              </w:rPr>
              <w:t>Wage growth in industry reached 5.6% this year, its pace declined for the third year in a row, and the number of employees has been decreasing virtually continuously since 2019. This reflects a controlled decline of a significant part of the mining industry, which is accompanied by continued weak growth of average wages (currently +3.6%). Within the manufacturing industry, situation of employees in food manufacturing (+6.9%) and manufacturing of electrical equipment (+6.6%) improved the most, while situation of employees in manufacturing of building materials, mechanical engineering and metalworking industry improved the least (+5.1%). This basically corresponds to the current economic results of these sectors. These are also reflected in the energy sector, where wage growth slowed sharply this year, also influenced by last year's high bonuses payments (to 2.8%, the lowest among all branches). Wage growth slowed down markedly in transportation and storage (to +4.4%) in services. In accommodation, food service and restaurants activities, which are characterised by their very low wage levels, the impact of the statutory increase of the minimum wage was not particularly noticeable. The weaker wage rate (+5.8%) contrasted with rapid employment growth. The situation was similar in other service activities</w:t>
            </w:r>
            <w:r w:rsidRPr="005431FF">
              <w:rPr>
                <w:rStyle w:val="Znakapoznpodarou"/>
                <w:rFonts w:ascii="Arial" w:eastAsiaTheme="majorEastAsia" w:hAnsi="Arial"/>
                <w:color w:val="000000"/>
                <w:spacing w:val="-4"/>
                <w:sz w:val="20"/>
                <w:szCs w:val="20"/>
              </w:rPr>
              <w:footnoteReference w:id="34"/>
            </w:r>
            <w:r w:rsidRPr="005431FF">
              <w:rPr>
                <w:rStyle w:val="normaltextrun"/>
                <w:rFonts w:ascii="Arial" w:eastAsiaTheme="majorEastAsia" w:hAnsi="Arial" w:cs="Arial"/>
                <w:color w:val="000000"/>
                <w:spacing w:val="-4"/>
                <w:sz w:val="20"/>
                <w:szCs w:val="20"/>
              </w:rPr>
              <w:t>,</w:t>
            </w:r>
            <w:r w:rsidRPr="005431FF">
              <w:rPr>
                <w:rFonts w:ascii="Arial" w:eastAsiaTheme="majorEastAsia" w:hAnsi="Arial" w:cs="Arial"/>
                <w:color w:val="000000"/>
                <w:spacing w:val="-4"/>
                <w:sz w:val="20"/>
                <w:szCs w:val="20"/>
              </w:rPr>
              <w:t xml:space="preserve"> where wage growth weakened markedly compared to last year's rate (to 3.0%) and average earnings did not even reach three-quarters of the level of the national economy.</w:t>
            </w:r>
            <w:r w:rsidRPr="005431FF">
              <w:rPr>
                <w:rStyle w:val="normaltextrun"/>
                <w:rFonts w:ascii="Arial" w:eastAsiaTheme="majorEastAsia" w:hAnsi="Arial" w:cs="Arial"/>
                <w:color w:val="000000"/>
                <w:spacing w:val="-4"/>
                <w:sz w:val="20"/>
                <w:szCs w:val="20"/>
              </w:rPr>
              <w:t xml:space="preserve"> </w:t>
            </w:r>
          </w:p>
        </w:tc>
      </w:tr>
      <w:tr w:rsidR="00010596" w:rsidRPr="00B131B0" w14:paraId="3D5DE3B7" w14:textId="77777777" w:rsidTr="00D60677">
        <w:trPr>
          <w:trHeight w:val="132"/>
        </w:trPr>
        <w:tc>
          <w:tcPr>
            <w:tcW w:w="1797" w:type="dxa"/>
            <w:tcMar>
              <w:left w:w="0" w:type="dxa"/>
            </w:tcMar>
          </w:tcPr>
          <w:p w14:paraId="22BF8DFA" w14:textId="77777777" w:rsidR="00010596" w:rsidRPr="00B0140A" w:rsidRDefault="00010596" w:rsidP="00D60677">
            <w:pPr>
              <w:pStyle w:val="Marginlie"/>
              <w:rPr>
                <w:color w:val="0D0D0D" w:themeColor="text1" w:themeTint="F2"/>
                <w:spacing w:val="0"/>
              </w:rPr>
            </w:pPr>
            <w:r w:rsidRPr="00B0140A">
              <w:rPr>
                <w:color w:val="0D0D0D" w:themeColor="text1" w:themeTint="F2"/>
                <w:spacing w:val="0"/>
              </w:rPr>
              <w:t>Percentage wage growth in Prague did not differ significantly from other regions.</w:t>
            </w:r>
          </w:p>
          <w:p w14:paraId="29B66638" w14:textId="77777777" w:rsidR="00010596" w:rsidRPr="00B0140A" w:rsidRDefault="00010596" w:rsidP="00D60677">
            <w:pPr>
              <w:pStyle w:val="Marginlie"/>
              <w:rPr>
                <w:color w:val="0D0D0D" w:themeColor="text1" w:themeTint="F2"/>
                <w:spacing w:val="0"/>
              </w:rPr>
            </w:pPr>
          </w:p>
          <w:p w14:paraId="557C473D" w14:textId="77777777" w:rsidR="00010596" w:rsidRPr="00B0140A" w:rsidRDefault="00010596" w:rsidP="00D60677">
            <w:pPr>
              <w:pStyle w:val="Marginlie"/>
              <w:rPr>
                <w:color w:val="0D0D0D" w:themeColor="text1" w:themeTint="F2"/>
              </w:rPr>
            </w:pPr>
            <w:r w:rsidRPr="00B0140A">
              <w:rPr>
                <w:color w:val="0D0D0D" w:themeColor="text1" w:themeTint="F2"/>
              </w:rPr>
              <w:t xml:space="preserve">The difficulties of the mining industry were reflected in the decline of the number of employees at the level of the entire </w:t>
            </w:r>
            <w:r>
              <w:rPr>
                <w:color w:val="0D0D0D" w:themeColor="text1" w:themeTint="F2"/>
              </w:rPr>
              <w:t>“</w:t>
            </w:r>
            <w:r w:rsidRPr="00B0140A">
              <w:rPr>
                <w:i/>
                <w:iCs/>
                <w:color w:val="0D0D0D" w:themeColor="text1" w:themeTint="F2"/>
              </w:rPr>
              <w:t>Moravskoslezský</w:t>
            </w:r>
            <w:r>
              <w:rPr>
                <w:color w:val="0D0D0D" w:themeColor="text1" w:themeTint="F2"/>
              </w:rPr>
              <w:t xml:space="preserve"> region”</w:t>
            </w:r>
            <w:r w:rsidRPr="00B0140A">
              <w:rPr>
                <w:color w:val="0D0D0D" w:themeColor="text1" w:themeTint="F2"/>
              </w:rPr>
              <w:t xml:space="preserve">. </w:t>
            </w:r>
          </w:p>
        </w:tc>
        <w:tc>
          <w:tcPr>
            <w:tcW w:w="173" w:type="dxa"/>
            <w:tcMar>
              <w:left w:w="0" w:type="dxa"/>
            </w:tcMar>
          </w:tcPr>
          <w:p w14:paraId="1BC5C149" w14:textId="77777777" w:rsidR="00010596" w:rsidRPr="00B0140A" w:rsidRDefault="00010596" w:rsidP="00D60677">
            <w:pPr>
              <w:pStyle w:val="Textpoznpodarou"/>
              <w:jc w:val="both"/>
              <w:rPr>
                <w:color w:val="0D0D0D" w:themeColor="text1" w:themeTint="F2"/>
                <w:spacing w:val="-4"/>
              </w:rPr>
            </w:pPr>
          </w:p>
        </w:tc>
        <w:tc>
          <w:tcPr>
            <w:tcW w:w="7704" w:type="dxa"/>
            <w:tcMar>
              <w:left w:w="0" w:type="dxa"/>
            </w:tcMar>
          </w:tcPr>
          <w:p w14:paraId="0C94C3FF" w14:textId="77777777" w:rsidR="00010596" w:rsidRDefault="00010596" w:rsidP="00D60677">
            <w:pPr>
              <w:pStyle w:val="paragraph"/>
              <w:spacing w:before="0" w:beforeAutospacing="0" w:after="0" w:afterAutospacing="0" w:line="276" w:lineRule="auto"/>
              <w:jc w:val="both"/>
              <w:textAlignment w:val="baseline"/>
              <w:rPr>
                <w:rFonts w:eastAsiaTheme="majorEastAsia" w:cs="Arial"/>
                <w:color w:val="000000"/>
                <w:szCs w:val="20"/>
                <w:lang w:val="en"/>
              </w:rPr>
            </w:pPr>
            <w:r w:rsidRPr="00B0140A">
              <w:rPr>
                <w:rStyle w:val="normaltextrun"/>
                <w:rFonts w:ascii="Arial" w:hAnsi="Arial"/>
                <w:color w:val="0D0D0D" w:themeColor="text1" w:themeTint="F2"/>
                <w:sz w:val="20"/>
              </w:rPr>
              <w:t xml:space="preserve">Among the regions, average nominal wages grew the most, year-on-year, in H1 this year in the </w:t>
            </w:r>
            <w:r>
              <w:rPr>
                <w:rStyle w:val="normaltextrun"/>
                <w:rFonts w:ascii="Arial" w:hAnsi="Arial"/>
                <w:color w:val="0D0D0D" w:themeColor="text1" w:themeTint="F2"/>
                <w:sz w:val="20"/>
              </w:rPr>
              <w:t>“</w:t>
            </w:r>
            <w:r w:rsidRPr="00B0140A">
              <w:rPr>
                <w:rStyle w:val="normaltextrun"/>
                <w:rFonts w:ascii="Arial" w:hAnsi="Arial"/>
                <w:i/>
                <w:iCs/>
                <w:color w:val="0D0D0D" w:themeColor="text1" w:themeTint="F2"/>
                <w:sz w:val="20"/>
              </w:rPr>
              <w:t>Plzeňský</w:t>
            </w:r>
            <w:r>
              <w:rPr>
                <w:rStyle w:val="normaltextrun"/>
                <w:rFonts w:ascii="Arial" w:hAnsi="Arial"/>
                <w:color w:val="0D0D0D" w:themeColor="text1" w:themeTint="F2"/>
                <w:sz w:val="20"/>
              </w:rPr>
              <w:t xml:space="preserve"> r</w:t>
            </w:r>
            <w:r w:rsidRPr="00B0140A">
              <w:rPr>
                <w:rStyle w:val="normaltextrun"/>
                <w:rFonts w:ascii="Arial" w:hAnsi="Arial"/>
                <w:color w:val="0D0D0D" w:themeColor="text1" w:themeTint="F2"/>
                <w:sz w:val="20"/>
              </w:rPr>
              <w:t>egion</w:t>
            </w:r>
            <w:r>
              <w:rPr>
                <w:rStyle w:val="normaltextrun"/>
                <w:rFonts w:ascii="Arial" w:hAnsi="Arial"/>
                <w:color w:val="0D0D0D" w:themeColor="text1" w:themeTint="F2"/>
                <w:sz w:val="20"/>
              </w:rPr>
              <w:t>”</w:t>
            </w:r>
            <w:r w:rsidRPr="00B0140A">
              <w:rPr>
                <w:rStyle w:val="normaltextrun"/>
                <w:rFonts w:ascii="Arial" w:hAnsi="Arial"/>
                <w:color w:val="0D0D0D" w:themeColor="text1" w:themeTint="F2"/>
                <w:sz w:val="20"/>
              </w:rPr>
              <w:t xml:space="preserve"> (+7.0%), the least in the </w:t>
            </w:r>
            <w:r>
              <w:rPr>
                <w:rStyle w:val="normaltextrun"/>
                <w:rFonts w:ascii="Arial" w:hAnsi="Arial"/>
                <w:color w:val="0D0D0D" w:themeColor="text1" w:themeTint="F2"/>
                <w:sz w:val="20"/>
              </w:rPr>
              <w:t>“</w:t>
            </w:r>
            <w:r w:rsidRPr="007C4E0E">
              <w:rPr>
                <w:rStyle w:val="normaltextrun"/>
                <w:rFonts w:ascii="Arial" w:hAnsi="Arial"/>
                <w:i/>
                <w:iCs/>
                <w:color w:val="0D0D0D" w:themeColor="text1" w:themeTint="F2"/>
                <w:sz w:val="20"/>
              </w:rPr>
              <w:t>Ústecký</w:t>
            </w:r>
            <w:r>
              <w:rPr>
                <w:rStyle w:val="normaltextrun"/>
                <w:rFonts w:ascii="Arial" w:hAnsi="Arial"/>
                <w:color w:val="0D0D0D" w:themeColor="text1" w:themeTint="F2"/>
                <w:sz w:val="20"/>
              </w:rPr>
              <w:t xml:space="preserve"> r</w:t>
            </w:r>
            <w:r w:rsidRPr="00B0140A">
              <w:rPr>
                <w:rStyle w:val="normaltextrun"/>
                <w:rFonts w:ascii="Arial" w:hAnsi="Arial"/>
                <w:color w:val="0D0D0D" w:themeColor="text1" w:themeTint="F2"/>
                <w:sz w:val="20"/>
              </w:rPr>
              <w:t>egion</w:t>
            </w:r>
            <w:r>
              <w:rPr>
                <w:rStyle w:val="normaltextrun"/>
                <w:rFonts w:ascii="Arial" w:hAnsi="Arial"/>
                <w:color w:val="0D0D0D" w:themeColor="text1" w:themeTint="F2"/>
                <w:sz w:val="20"/>
              </w:rPr>
              <w:t>”</w:t>
            </w:r>
            <w:r w:rsidRPr="00B0140A">
              <w:rPr>
                <w:rStyle w:val="normaltextrun"/>
                <w:rFonts w:ascii="Arial" w:hAnsi="Arial"/>
                <w:color w:val="0D0D0D" w:themeColor="text1" w:themeTint="F2"/>
                <w:sz w:val="20"/>
              </w:rPr>
              <w:t xml:space="preserve"> (+5.3%). Wage dynamics in Prague followed the nationwide pace, however the registered number of employees grew the most among all regions (+1.5%) together with the </w:t>
            </w:r>
            <w:r>
              <w:rPr>
                <w:rStyle w:val="normaltextrun"/>
                <w:rFonts w:ascii="Arial" w:hAnsi="Arial"/>
                <w:color w:val="0D0D0D" w:themeColor="text1" w:themeTint="F2"/>
                <w:sz w:val="20"/>
              </w:rPr>
              <w:t>“</w:t>
            </w:r>
            <w:r w:rsidRPr="007C4E0E">
              <w:rPr>
                <w:rStyle w:val="normaltextrun"/>
                <w:rFonts w:ascii="Arial" w:hAnsi="Arial"/>
                <w:i/>
                <w:iCs/>
                <w:color w:val="0D0D0D" w:themeColor="text1" w:themeTint="F2"/>
                <w:sz w:val="20"/>
              </w:rPr>
              <w:t>Pardubický</w:t>
            </w:r>
            <w:r>
              <w:rPr>
                <w:rStyle w:val="normaltextrun"/>
                <w:rFonts w:ascii="Arial" w:hAnsi="Arial"/>
                <w:color w:val="0D0D0D" w:themeColor="text1" w:themeTint="F2"/>
                <w:sz w:val="20"/>
              </w:rPr>
              <w:t xml:space="preserve"> re</w:t>
            </w:r>
            <w:r w:rsidRPr="00B0140A">
              <w:rPr>
                <w:rStyle w:val="normaltextrun"/>
                <w:rFonts w:ascii="Arial" w:hAnsi="Arial"/>
                <w:color w:val="0D0D0D" w:themeColor="text1" w:themeTint="F2"/>
                <w:sz w:val="20"/>
              </w:rPr>
              <w:t>gion</w:t>
            </w:r>
            <w:r>
              <w:rPr>
                <w:rStyle w:val="normaltextrun"/>
                <w:rFonts w:ascii="Arial" w:hAnsi="Arial"/>
                <w:color w:val="0D0D0D" w:themeColor="text1" w:themeTint="F2"/>
                <w:sz w:val="20"/>
              </w:rPr>
              <w:t>”</w:t>
            </w:r>
            <w:r w:rsidRPr="00B0140A">
              <w:rPr>
                <w:rStyle w:val="normaltextrun"/>
                <w:rFonts w:ascii="Arial" w:hAnsi="Arial"/>
                <w:color w:val="0D0D0D" w:themeColor="text1" w:themeTint="F2"/>
                <w:sz w:val="20"/>
              </w:rPr>
              <w:t xml:space="preserve">. A slight decrease of the number of employees affected only the </w:t>
            </w:r>
            <w:r>
              <w:rPr>
                <w:rStyle w:val="normaltextrun"/>
                <w:rFonts w:ascii="Arial" w:hAnsi="Arial"/>
                <w:color w:val="0D0D0D" w:themeColor="text1" w:themeTint="F2"/>
                <w:sz w:val="20"/>
              </w:rPr>
              <w:t>“</w:t>
            </w:r>
            <w:r w:rsidRPr="00A66F56">
              <w:rPr>
                <w:rStyle w:val="normaltextrun"/>
                <w:rFonts w:ascii="Arial" w:hAnsi="Arial"/>
                <w:i/>
                <w:iCs/>
                <w:color w:val="0D0D0D" w:themeColor="text1" w:themeTint="F2"/>
                <w:sz w:val="20"/>
              </w:rPr>
              <w:t>Moravskoslezský</w:t>
            </w:r>
            <w:r>
              <w:rPr>
                <w:rStyle w:val="normaltextrun"/>
                <w:rFonts w:ascii="Arial" w:hAnsi="Arial"/>
                <w:color w:val="0D0D0D" w:themeColor="text1" w:themeTint="F2"/>
                <w:sz w:val="20"/>
              </w:rPr>
              <w:t xml:space="preserve"> r</w:t>
            </w:r>
            <w:r w:rsidRPr="00B0140A">
              <w:rPr>
                <w:rStyle w:val="normaltextrun"/>
                <w:rFonts w:ascii="Arial" w:hAnsi="Arial"/>
                <w:color w:val="0D0D0D" w:themeColor="text1" w:themeTint="F2"/>
                <w:sz w:val="20"/>
              </w:rPr>
              <w:t>egion</w:t>
            </w:r>
            <w:r>
              <w:rPr>
                <w:rStyle w:val="normaltextrun"/>
                <w:rFonts w:ascii="Arial" w:hAnsi="Arial"/>
                <w:color w:val="0D0D0D" w:themeColor="text1" w:themeTint="F2"/>
                <w:sz w:val="20"/>
              </w:rPr>
              <w:t>”</w:t>
            </w:r>
            <w:r w:rsidRPr="00B0140A">
              <w:rPr>
                <w:rStyle w:val="normaltextrun"/>
                <w:rFonts w:ascii="Arial" w:hAnsi="Arial"/>
                <w:color w:val="0D0D0D" w:themeColor="text1" w:themeTint="F2"/>
                <w:sz w:val="20"/>
              </w:rPr>
              <w:t xml:space="preserve"> (</w:t>
            </w:r>
            <w:r w:rsidRPr="00370686">
              <w:rPr>
                <w:rFonts w:ascii="Arial" w:hAnsi="Arial" w:cs="Arial"/>
                <w:color w:val="0D0D0D" w:themeColor="text1" w:themeTint="F2"/>
                <w:spacing w:val="-4"/>
                <w:sz w:val="20"/>
                <w:szCs w:val="20"/>
              </w:rPr>
              <w:t>−</w:t>
            </w:r>
            <w:r w:rsidRPr="00B0140A">
              <w:rPr>
                <w:rStyle w:val="normaltextrun"/>
                <w:rFonts w:ascii="Arial" w:hAnsi="Arial"/>
                <w:color w:val="0D0D0D" w:themeColor="text1" w:themeTint="F2"/>
                <w:sz w:val="20"/>
              </w:rPr>
              <w:t xml:space="preserve">0.2%), where the impact of the sharp decline in coal mining was reflected. The wage level in Prague (66.5 thousand CZK/month) exceeded the national level by almost a third, and an order of magnitude less in Central Bohemia (with 51.8 thousand). The lowest wage level has long been reported by businesses in the </w:t>
            </w:r>
            <w:r>
              <w:rPr>
                <w:rStyle w:val="normaltextrun"/>
                <w:rFonts w:ascii="Arial" w:hAnsi="Arial"/>
                <w:color w:val="0D0D0D" w:themeColor="text1" w:themeTint="F2"/>
                <w:sz w:val="20"/>
              </w:rPr>
              <w:lastRenderedPageBreak/>
              <w:t>“</w:t>
            </w:r>
            <w:r w:rsidRPr="00DA4F20">
              <w:rPr>
                <w:rStyle w:val="normaltextrun"/>
                <w:rFonts w:ascii="Arial" w:hAnsi="Arial"/>
                <w:i/>
                <w:iCs/>
                <w:color w:val="0D0D0D" w:themeColor="text1" w:themeTint="F2"/>
                <w:sz w:val="20"/>
              </w:rPr>
              <w:t>Karlovarský</w:t>
            </w:r>
            <w:r>
              <w:rPr>
                <w:rStyle w:val="normaltextrun"/>
                <w:rFonts w:ascii="Arial" w:hAnsi="Arial"/>
                <w:color w:val="0D0D0D" w:themeColor="text1" w:themeTint="F2"/>
                <w:sz w:val="20"/>
              </w:rPr>
              <w:t xml:space="preserve"> r</w:t>
            </w:r>
            <w:r w:rsidRPr="00B0140A">
              <w:rPr>
                <w:rStyle w:val="normaltextrun"/>
                <w:rFonts w:ascii="Arial" w:hAnsi="Arial"/>
                <w:color w:val="0D0D0D" w:themeColor="text1" w:themeTint="F2"/>
                <w:sz w:val="20"/>
              </w:rPr>
              <w:t>egion</w:t>
            </w:r>
            <w:r>
              <w:rPr>
                <w:rStyle w:val="normaltextrun"/>
                <w:rFonts w:ascii="Arial" w:hAnsi="Arial"/>
                <w:color w:val="0D0D0D" w:themeColor="text1" w:themeTint="F2"/>
                <w:sz w:val="20"/>
              </w:rPr>
              <w:t>”</w:t>
            </w:r>
            <w:r w:rsidRPr="00B0140A">
              <w:rPr>
                <w:rStyle w:val="Znakapoznpodarou"/>
                <w:rFonts w:ascii="Arial" w:eastAsiaTheme="majorEastAsia" w:hAnsi="Arial"/>
                <w:color w:val="000000"/>
                <w:sz w:val="20"/>
                <w:szCs w:val="20"/>
              </w:rPr>
              <w:footnoteReference w:id="35"/>
            </w:r>
            <w:r w:rsidRPr="00B0140A">
              <w:rPr>
                <w:rStyle w:val="normaltextrun"/>
                <w:rFonts w:ascii="Arial" w:hAnsi="Arial"/>
                <w:color w:val="0D0D0D" w:themeColor="text1" w:themeTint="F2"/>
                <w:sz w:val="20"/>
              </w:rPr>
              <w:t xml:space="preserve"> (this year at 85% of the national level), with a slight gap in the </w:t>
            </w:r>
            <w:r>
              <w:rPr>
                <w:rStyle w:val="normaltextrun"/>
                <w:rFonts w:ascii="Arial" w:hAnsi="Arial"/>
                <w:color w:val="0D0D0D" w:themeColor="text1" w:themeTint="F2"/>
                <w:sz w:val="20"/>
              </w:rPr>
              <w:t>“</w:t>
            </w:r>
            <w:r w:rsidRPr="00A5015F">
              <w:rPr>
                <w:rStyle w:val="normaltextrun"/>
                <w:rFonts w:ascii="Arial" w:hAnsi="Arial"/>
                <w:i/>
                <w:iCs/>
                <w:color w:val="0D0D0D" w:themeColor="text1" w:themeTint="F2"/>
                <w:sz w:val="20"/>
              </w:rPr>
              <w:t>Zlínský</w:t>
            </w:r>
            <w:r w:rsidRPr="00B0140A">
              <w:rPr>
                <w:rStyle w:val="normaltextrun"/>
                <w:rFonts w:ascii="Arial" w:hAnsi="Arial"/>
                <w:color w:val="0D0D0D" w:themeColor="text1" w:themeTint="F2"/>
                <w:sz w:val="20"/>
              </w:rPr>
              <w:t xml:space="preserve">, </w:t>
            </w:r>
            <w:r w:rsidRPr="00A5015F">
              <w:rPr>
                <w:rStyle w:val="normaltextrun"/>
                <w:rFonts w:ascii="Arial" w:hAnsi="Arial"/>
                <w:i/>
                <w:iCs/>
                <w:color w:val="0D0D0D" w:themeColor="text1" w:themeTint="F2"/>
                <w:sz w:val="20"/>
              </w:rPr>
              <w:t>Olomoucký</w:t>
            </w:r>
            <w:r w:rsidRPr="00B0140A">
              <w:rPr>
                <w:rStyle w:val="normaltextrun"/>
                <w:rFonts w:ascii="Arial" w:hAnsi="Arial"/>
                <w:color w:val="0D0D0D" w:themeColor="text1" w:themeTint="F2"/>
                <w:sz w:val="20"/>
              </w:rPr>
              <w:t xml:space="preserve"> and </w:t>
            </w:r>
            <w:r w:rsidRPr="00A5015F">
              <w:rPr>
                <w:rStyle w:val="normaltextrun"/>
                <w:rFonts w:ascii="Arial" w:hAnsi="Arial"/>
                <w:i/>
                <w:iCs/>
                <w:color w:val="0D0D0D" w:themeColor="text1" w:themeTint="F2"/>
                <w:sz w:val="20"/>
              </w:rPr>
              <w:t>Pardubický</w:t>
            </w:r>
            <w:r w:rsidRPr="00B0140A">
              <w:rPr>
                <w:rStyle w:val="normaltextrun"/>
                <w:rFonts w:ascii="Arial" w:hAnsi="Arial"/>
                <w:color w:val="0D0D0D" w:themeColor="text1" w:themeTint="F2"/>
                <w:sz w:val="20"/>
              </w:rPr>
              <w:t xml:space="preserve"> regions</w:t>
            </w:r>
            <w:r>
              <w:rPr>
                <w:rStyle w:val="normaltextrun"/>
                <w:rFonts w:ascii="Arial" w:hAnsi="Arial"/>
                <w:color w:val="0D0D0D" w:themeColor="text1" w:themeTint="F2"/>
                <w:sz w:val="20"/>
              </w:rPr>
              <w:t>”</w:t>
            </w:r>
            <w:r w:rsidRPr="00B0140A">
              <w:rPr>
                <w:rStyle w:val="normaltextrun"/>
                <w:rFonts w:ascii="Arial" w:hAnsi="Arial"/>
                <w:color w:val="0D0D0D" w:themeColor="text1" w:themeTint="F2"/>
                <w:sz w:val="20"/>
              </w:rPr>
              <w:t>.</w:t>
            </w:r>
            <w:r w:rsidRPr="00B0140A">
              <w:rPr>
                <w:rFonts w:eastAsiaTheme="majorEastAsia" w:cs="Arial"/>
                <w:color w:val="000000"/>
                <w:szCs w:val="20"/>
                <w:lang w:val="en"/>
              </w:rPr>
              <w:t xml:space="preserve"> </w:t>
            </w:r>
          </w:p>
          <w:p w14:paraId="422FC323" w14:textId="77777777" w:rsidR="00010596" w:rsidRPr="00821B23" w:rsidRDefault="00010596" w:rsidP="00D60677">
            <w:pPr>
              <w:pStyle w:val="paragraph"/>
              <w:spacing w:before="0" w:beforeAutospacing="0" w:after="0" w:afterAutospacing="0" w:line="276" w:lineRule="auto"/>
              <w:jc w:val="both"/>
              <w:textAlignment w:val="baseline"/>
              <w:rPr>
                <w:rStyle w:val="normaltextrun"/>
                <w:rFonts w:ascii="Arial" w:eastAsiaTheme="majorEastAsia" w:hAnsi="Arial" w:cs="Arial"/>
                <w:color w:val="000000"/>
                <w:sz w:val="20"/>
                <w:szCs w:val="20"/>
                <w:lang w:val="en"/>
              </w:rPr>
            </w:pPr>
          </w:p>
        </w:tc>
      </w:tr>
      <w:tr w:rsidR="00010596" w:rsidRPr="00B131B0" w14:paraId="76E21753" w14:textId="77777777" w:rsidTr="00D60677">
        <w:trPr>
          <w:trHeight w:val="132"/>
        </w:trPr>
        <w:tc>
          <w:tcPr>
            <w:tcW w:w="1797" w:type="dxa"/>
            <w:tcMar>
              <w:left w:w="0" w:type="dxa"/>
            </w:tcMar>
          </w:tcPr>
          <w:p w14:paraId="55F5C0B1" w14:textId="77777777" w:rsidR="00010596" w:rsidRPr="00B131B0" w:rsidRDefault="00010596" w:rsidP="00D60677">
            <w:pPr>
              <w:pStyle w:val="Marginlie"/>
              <w:rPr>
                <w:color w:val="0D0D0D" w:themeColor="text1" w:themeTint="F2"/>
                <w:spacing w:val="-4"/>
              </w:rPr>
            </w:pPr>
          </w:p>
        </w:tc>
        <w:tc>
          <w:tcPr>
            <w:tcW w:w="173" w:type="dxa"/>
            <w:tcMar>
              <w:left w:w="0" w:type="dxa"/>
            </w:tcMar>
          </w:tcPr>
          <w:p w14:paraId="4FEE1EA4" w14:textId="77777777" w:rsidR="00010596" w:rsidRPr="00B131B0" w:rsidRDefault="00010596" w:rsidP="00D60677">
            <w:pPr>
              <w:pStyle w:val="Textpoznpodarou"/>
              <w:jc w:val="both"/>
              <w:rPr>
                <w:color w:val="0D0D0D" w:themeColor="text1" w:themeTint="F2"/>
                <w:spacing w:val="-4"/>
              </w:rPr>
            </w:pPr>
          </w:p>
        </w:tc>
        <w:tc>
          <w:tcPr>
            <w:tcW w:w="7704" w:type="dxa"/>
            <w:tcMar>
              <w:left w:w="0" w:type="dxa"/>
            </w:tcMar>
          </w:tcPr>
          <w:p w14:paraId="7D1A5955" w14:textId="222AB274" w:rsidR="00010596" w:rsidRPr="00B131B0" w:rsidRDefault="00010596" w:rsidP="00D60677">
            <w:pPr>
              <w:spacing w:after="0"/>
              <w:jc w:val="left"/>
              <w:rPr>
                <w:rFonts w:cs="Arial"/>
                <w:b/>
                <w:color w:val="0D0D0D" w:themeColor="text1" w:themeTint="F2"/>
                <w:spacing w:val="-4"/>
                <w:szCs w:val="20"/>
              </w:rPr>
            </w:pPr>
            <w:r>
              <w:rPr>
                <w:rFonts w:cs="Arial"/>
                <w:b/>
                <w:color w:val="0D0D0D" w:themeColor="text1" w:themeTint="F2"/>
                <w:spacing w:val="-6"/>
                <w:szCs w:val="20"/>
              </w:rPr>
              <w:t xml:space="preserve">Chart </w:t>
            </w:r>
            <w:r w:rsidRPr="00B131B0">
              <w:rPr>
                <w:rFonts w:cs="Arial"/>
                <w:b/>
                <w:color w:val="0D0D0D" w:themeColor="text1" w:themeTint="F2"/>
                <w:spacing w:val="-6"/>
                <w:szCs w:val="20"/>
              </w:rPr>
              <w:t>1</w:t>
            </w:r>
            <w:r w:rsidR="00A35EB2">
              <w:rPr>
                <w:rFonts w:cs="Arial"/>
                <w:b/>
                <w:color w:val="0D0D0D" w:themeColor="text1" w:themeTint="F2"/>
                <w:spacing w:val="-6"/>
                <w:szCs w:val="20"/>
              </w:rPr>
              <w:t>5</w:t>
            </w:r>
            <w:r w:rsidRPr="00B131B0">
              <w:rPr>
                <w:rFonts w:cs="Arial"/>
                <w:b/>
                <w:color w:val="0D0D0D" w:themeColor="text1" w:themeTint="F2"/>
                <w:spacing w:val="-6"/>
                <w:szCs w:val="20"/>
              </w:rPr>
              <w:t xml:space="preserve"> </w:t>
            </w:r>
            <w:r>
              <w:rPr>
                <w:rFonts w:cs="Arial"/>
                <w:b/>
                <w:color w:val="0D0D0D" w:themeColor="text1" w:themeTint="F2"/>
                <w:spacing w:val="-6"/>
                <w:szCs w:val="20"/>
              </w:rPr>
              <w:t xml:space="preserve">Average nominal and real wage in the national economy and selected branches </w:t>
            </w:r>
            <w:r w:rsidRPr="00B131B0">
              <w:rPr>
                <w:rFonts w:cs="Arial"/>
                <w:color w:val="0D0D0D" w:themeColor="text1" w:themeTint="F2"/>
                <w:spacing w:val="-6"/>
                <w:szCs w:val="20"/>
              </w:rPr>
              <w:t>(</w:t>
            </w:r>
            <w:r>
              <w:rPr>
                <w:rFonts w:cs="Arial"/>
                <w:color w:val="0D0D0D" w:themeColor="text1" w:themeTint="F2"/>
                <w:spacing w:val="-6"/>
                <w:szCs w:val="20"/>
              </w:rPr>
              <w:t>year-on-year change</w:t>
            </w:r>
            <w:r w:rsidRPr="00B131B0">
              <w:rPr>
                <w:rFonts w:cs="Arial"/>
                <w:color w:val="0D0D0D" w:themeColor="text1" w:themeTint="F2"/>
                <w:spacing w:val="-6"/>
                <w:szCs w:val="20"/>
              </w:rPr>
              <w:t xml:space="preserve">, </w:t>
            </w:r>
            <w:r>
              <w:rPr>
                <w:rFonts w:cs="Arial"/>
                <w:color w:val="0D0D0D" w:themeColor="text1" w:themeTint="F2"/>
                <w:spacing w:val="-6"/>
                <w:szCs w:val="20"/>
              </w:rPr>
              <w:t>in</w:t>
            </w:r>
            <w:r w:rsidRPr="00B131B0">
              <w:rPr>
                <w:rFonts w:cs="Arial"/>
                <w:color w:val="0D0D0D" w:themeColor="text1" w:themeTint="F2"/>
                <w:spacing w:val="-6"/>
                <w:szCs w:val="20"/>
              </w:rPr>
              <w:t> %)</w:t>
            </w:r>
          </w:p>
        </w:tc>
      </w:tr>
      <w:tr w:rsidR="00010596" w:rsidRPr="00B131B0" w14:paraId="6717918B" w14:textId="77777777" w:rsidTr="00D60677">
        <w:tblPrEx>
          <w:tblCellMar>
            <w:left w:w="70" w:type="dxa"/>
            <w:right w:w="70" w:type="dxa"/>
          </w:tblCellMar>
        </w:tblPrEx>
        <w:trPr>
          <w:trHeight w:val="132"/>
        </w:trPr>
        <w:tc>
          <w:tcPr>
            <w:tcW w:w="1797" w:type="dxa"/>
          </w:tcPr>
          <w:p w14:paraId="5AA5B852" w14:textId="77777777" w:rsidR="00010596" w:rsidRPr="00B131B0" w:rsidRDefault="00010596" w:rsidP="00D60677">
            <w:pPr>
              <w:pStyle w:val="Marginlie"/>
              <w:rPr>
                <w:color w:val="0D0D0D" w:themeColor="text1" w:themeTint="F2"/>
                <w:spacing w:val="0"/>
              </w:rPr>
            </w:pPr>
          </w:p>
        </w:tc>
        <w:tc>
          <w:tcPr>
            <w:tcW w:w="173" w:type="dxa"/>
          </w:tcPr>
          <w:p w14:paraId="229D14A8" w14:textId="77777777" w:rsidR="00010596" w:rsidRPr="00B131B0" w:rsidRDefault="00010596" w:rsidP="00D60677">
            <w:pPr>
              <w:pStyle w:val="Textpoznpodarou"/>
              <w:jc w:val="both"/>
              <w:rPr>
                <w:spacing w:val="-4"/>
              </w:rPr>
            </w:pPr>
          </w:p>
          <w:p w14:paraId="7F2E35F6" w14:textId="77777777" w:rsidR="00010596" w:rsidRPr="00B131B0" w:rsidRDefault="00010596" w:rsidP="00D60677">
            <w:pPr>
              <w:pStyle w:val="Textpoznpodarou"/>
              <w:jc w:val="both"/>
              <w:rPr>
                <w:color w:val="0D0D0D" w:themeColor="text1" w:themeTint="F2"/>
                <w:spacing w:val="-4"/>
              </w:rPr>
            </w:pPr>
          </w:p>
        </w:tc>
        <w:tc>
          <w:tcPr>
            <w:tcW w:w="7704" w:type="dxa"/>
          </w:tcPr>
          <w:p w14:paraId="2AD922C4" w14:textId="77777777" w:rsidR="00010596" w:rsidRPr="00B131B0" w:rsidRDefault="00010596" w:rsidP="00D60677">
            <w:pPr>
              <w:spacing w:before="40" w:after="20"/>
              <w:rPr>
                <w:rFonts w:eastAsiaTheme="majorEastAsia" w:cs="Arial"/>
                <w:color w:val="000000"/>
                <w:szCs w:val="20"/>
              </w:rPr>
            </w:pPr>
            <w:r>
              <w:rPr>
                <w:noProof/>
              </w:rPr>
              <w:drawing>
                <wp:inline distT="0" distB="0" distL="0" distR="0" wp14:anchorId="3DFBEC65" wp14:editId="04A8BDC8">
                  <wp:extent cx="4619625" cy="3981449"/>
                  <wp:effectExtent l="0" t="0" r="0" b="635"/>
                  <wp:docPr id="444466243" name="Graf 1">
                    <a:extLst xmlns:a="http://schemas.openxmlformats.org/drawingml/2006/main">
                      <a:ext uri="{FF2B5EF4-FFF2-40B4-BE49-F238E27FC236}">
                        <a16:creationId xmlns:a16="http://schemas.microsoft.com/office/drawing/2014/main" id="{CC3326E5-DA2F-6CAD-023A-6648DAE8FB4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tc>
      </w:tr>
      <w:tr w:rsidR="00010596" w:rsidRPr="00B131B0" w14:paraId="6FB1513A" w14:textId="77777777" w:rsidTr="00D60677">
        <w:trPr>
          <w:trHeight w:val="132"/>
        </w:trPr>
        <w:tc>
          <w:tcPr>
            <w:tcW w:w="1797" w:type="dxa"/>
            <w:tcMar>
              <w:left w:w="0" w:type="dxa"/>
            </w:tcMar>
          </w:tcPr>
          <w:p w14:paraId="0E376142" w14:textId="77777777" w:rsidR="00010596" w:rsidRPr="00B131B0" w:rsidRDefault="00010596" w:rsidP="00D60677">
            <w:pPr>
              <w:pStyle w:val="Marginlie"/>
              <w:rPr>
                <w:color w:val="0D0D0D" w:themeColor="text1" w:themeTint="F2"/>
                <w:spacing w:val="0"/>
              </w:rPr>
            </w:pPr>
          </w:p>
        </w:tc>
        <w:tc>
          <w:tcPr>
            <w:tcW w:w="173" w:type="dxa"/>
            <w:tcMar>
              <w:left w:w="0" w:type="dxa"/>
            </w:tcMar>
          </w:tcPr>
          <w:p w14:paraId="7D9AD9B2" w14:textId="77777777" w:rsidR="00010596" w:rsidRPr="00B131B0" w:rsidRDefault="00010596" w:rsidP="00D60677">
            <w:pPr>
              <w:pStyle w:val="Textpoznpodarou"/>
              <w:jc w:val="both"/>
              <w:rPr>
                <w:color w:val="0D0D0D" w:themeColor="text1" w:themeTint="F2"/>
                <w:spacing w:val="-4"/>
              </w:rPr>
            </w:pPr>
          </w:p>
        </w:tc>
        <w:tc>
          <w:tcPr>
            <w:tcW w:w="7704" w:type="dxa"/>
            <w:tcMar>
              <w:left w:w="0" w:type="dxa"/>
            </w:tcMar>
          </w:tcPr>
          <w:p w14:paraId="389E6EC3" w14:textId="77777777" w:rsidR="00010596" w:rsidRPr="00BE2493" w:rsidRDefault="00010596" w:rsidP="00D60677">
            <w:pPr>
              <w:spacing w:after="0" w:line="240" w:lineRule="auto"/>
              <w:jc w:val="left"/>
              <w:rPr>
                <w:rFonts w:cs="Arial"/>
                <w:color w:val="0D0D0D" w:themeColor="text1" w:themeTint="F2"/>
                <w:spacing w:val="-4"/>
                <w:sz w:val="14"/>
                <w:szCs w:val="14"/>
              </w:rPr>
            </w:pPr>
            <w:r w:rsidRPr="00B131B0">
              <w:rPr>
                <w:rFonts w:cs="Arial"/>
                <w:color w:val="0D0D0D" w:themeColor="text1" w:themeTint="F2"/>
                <w:spacing w:val="-4"/>
                <w:sz w:val="14"/>
                <w:szCs w:val="14"/>
              </w:rPr>
              <w:t>*</w:t>
            </w:r>
            <w:r w:rsidRPr="00BE2493">
              <w:rPr>
                <w:rFonts w:cs="Arial"/>
                <w:spacing w:val="-3"/>
                <w:sz w:val="14"/>
                <w:szCs w:val="14"/>
              </w:rPr>
              <w:t xml:space="preserve"> </w:t>
            </w:r>
            <w:r w:rsidRPr="00BE2493">
              <w:rPr>
                <w:rFonts w:cs="Arial"/>
                <w:color w:val="0D0D0D" w:themeColor="text1" w:themeTint="F2"/>
                <w:spacing w:val="-4"/>
                <w:sz w:val="14"/>
                <w:szCs w:val="14"/>
              </w:rPr>
              <w:t>Includes branches with a significant state involvement: Public administration, defence, social security; Education; Human health and social work activities; Cultural, amusement and recreational activities.</w:t>
            </w:r>
          </w:p>
          <w:p w14:paraId="310BF44D" w14:textId="77777777" w:rsidR="00010596" w:rsidRDefault="00010596" w:rsidP="00D60677">
            <w:pPr>
              <w:spacing w:after="0"/>
              <w:jc w:val="left"/>
              <w:rPr>
                <w:rFonts w:cs="Arial"/>
                <w:color w:val="0D0D0D" w:themeColor="text1" w:themeTint="F2"/>
                <w:spacing w:val="-4"/>
                <w:sz w:val="14"/>
                <w:szCs w:val="14"/>
              </w:rPr>
            </w:pPr>
            <w:r>
              <w:rPr>
                <w:rFonts w:cs="Arial"/>
                <w:color w:val="0D0D0D" w:themeColor="text1" w:themeTint="F2"/>
                <w:spacing w:val="-4"/>
                <w:sz w:val="14"/>
                <w:szCs w:val="14"/>
              </w:rPr>
              <w:t>Source</w:t>
            </w:r>
            <w:r w:rsidRPr="00B131B0">
              <w:rPr>
                <w:rFonts w:cs="Arial"/>
                <w:color w:val="0D0D0D" w:themeColor="text1" w:themeTint="F2"/>
                <w:spacing w:val="-4"/>
                <w:sz w:val="14"/>
                <w:szCs w:val="14"/>
              </w:rPr>
              <w:t xml:space="preserve">: </w:t>
            </w:r>
            <w:r>
              <w:rPr>
                <w:rFonts w:cs="Arial"/>
                <w:color w:val="0D0D0D" w:themeColor="text1" w:themeTint="F2"/>
                <w:spacing w:val="-4"/>
                <w:sz w:val="14"/>
                <w:szCs w:val="14"/>
              </w:rPr>
              <w:t>CZSO</w:t>
            </w:r>
          </w:p>
          <w:p w14:paraId="32A7F010" w14:textId="77777777" w:rsidR="00010596" w:rsidRPr="00B131B0" w:rsidRDefault="00010596" w:rsidP="00D60677">
            <w:pPr>
              <w:spacing w:after="0"/>
              <w:rPr>
                <w:rStyle w:val="normaltextrun"/>
                <w:rFonts w:cs="Arial"/>
                <w:color w:val="0D0D0D" w:themeColor="text1" w:themeTint="F2"/>
                <w:spacing w:val="-4"/>
                <w:sz w:val="14"/>
                <w:szCs w:val="14"/>
              </w:rPr>
            </w:pPr>
          </w:p>
        </w:tc>
      </w:tr>
    </w:tbl>
    <w:p w14:paraId="00861FDA" w14:textId="77777777" w:rsidR="00010596" w:rsidRPr="00B131B0" w:rsidRDefault="00010596" w:rsidP="00010596">
      <w:pPr>
        <w:spacing w:after="0" w:line="240" w:lineRule="auto"/>
        <w:jc w:val="left"/>
        <w:rPr>
          <w:rFonts w:eastAsia="MS Gothic"/>
          <w:b/>
          <w:bCs/>
          <w:color w:val="86BF5E"/>
          <w:sz w:val="6"/>
          <w:szCs w:val="6"/>
        </w:rPr>
      </w:pPr>
    </w:p>
    <w:p w14:paraId="34809263" w14:textId="77777777" w:rsidR="00010596" w:rsidRPr="00821B23" w:rsidRDefault="00010596" w:rsidP="00010596">
      <w:pPr>
        <w:spacing w:after="0" w:line="240" w:lineRule="auto"/>
        <w:jc w:val="left"/>
        <w:rPr>
          <w:rFonts w:eastAsia="MS Gothic"/>
          <w:b/>
          <w:bCs/>
          <w:color w:val="86BF5E"/>
          <w:sz w:val="6"/>
          <w:szCs w:val="6"/>
        </w:rPr>
      </w:pPr>
      <w:r w:rsidRPr="00B131B0">
        <w:br w:type="page"/>
      </w:r>
      <w:bookmarkEnd w:id="2"/>
    </w:p>
    <w:sectPr w:rsidR="00010596" w:rsidRPr="00821B23" w:rsidSect="009F1474">
      <w:headerReference w:type="even" r:id="rId14"/>
      <w:headerReference w:type="default" r:id="rId15"/>
      <w:footerReference w:type="even" r:id="rId16"/>
      <w:footerReference w:type="default" r:id="rId17"/>
      <w:pgSz w:w="11906" w:h="16838" w:code="9"/>
      <w:pgMar w:top="1134" w:right="1134" w:bottom="1418" w:left="1134" w:header="680" w:footer="680" w:gutter="0"/>
      <w:pgNumType w:start="3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3C9AE4" w14:textId="77777777" w:rsidR="00414CFC" w:rsidRPr="00B131B0" w:rsidRDefault="00414CFC" w:rsidP="00E71A58">
      <w:r w:rsidRPr="00B131B0">
        <w:separator/>
      </w:r>
    </w:p>
  </w:endnote>
  <w:endnote w:type="continuationSeparator" w:id="0">
    <w:p w14:paraId="32CCB5D1" w14:textId="77777777" w:rsidR="00414CFC" w:rsidRPr="00B131B0" w:rsidRDefault="00414CFC" w:rsidP="00E71A58">
      <w:r w:rsidRPr="00B131B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nion Pro">
    <w:altName w:val="Times New Roman"/>
    <w:panose1 w:val="02040503050201020203"/>
    <w:charset w:val="00"/>
    <w:family w:val="roman"/>
    <w:notTrueType/>
    <w:pitch w:val="variable"/>
    <w:sig w:usb0="60000287" w:usb1="00000001"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36754" w14:textId="600D31C7" w:rsidR="00763B85" w:rsidRPr="00B131B0" w:rsidRDefault="00763B85" w:rsidP="00A418BC">
    <w:pPr>
      <w:pStyle w:val="Zpat"/>
      <w:rPr>
        <w:noProof w:val="0"/>
        <w:szCs w:val="16"/>
        <w:lang w:val="en-GB"/>
      </w:rPr>
    </w:pPr>
    <w:r w:rsidRPr="00B131B0">
      <w:rPr>
        <w:noProof w:val="0"/>
        <w:szCs w:val="16"/>
        <w:lang w:val="en-GB"/>
      </w:rPr>
      <w:fldChar w:fldCharType="begin"/>
    </w:r>
    <w:r w:rsidRPr="00B131B0">
      <w:rPr>
        <w:noProof w:val="0"/>
        <w:szCs w:val="16"/>
        <w:lang w:val="en-GB"/>
      </w:rPr>
      <w:instrText>PAGE   \* MERGEFORMAT</w:instrText>
    </w:r>
    <w:r w:rsidRPr="00B131B0">
      <w:rPr>
        <w:noProof w:val="0"/>
        <w:szCs w:val="16"/>
        <w:lang w:val="en-GB"/>
      </w:rPr>
      <w:fldChar w:fldCharType="separate"/>
    </w:r>
    <w:r w:rsidR="00C35666" w:rsidRPr="00B131B0">
      <w:rPr>
        <w:noProof w:val="0"/>
        <w:szCs w:val="16"/>
        <w:lang w:val="en-GB"/>
      </w:rPr>
      <w:t>8</w:t>
    </w:r>
    <w:r w:rsidRPr="00B131B0">
      <w:rPr>
        <w:noProof w:val="0"/>
        <w:szCs w:val="16"/>
        <w:lang w:val="en-GB"/>
      </w:rPr>
      <w:fldChar w:fldCharType="end"/>
    </w:r>
    <w:r w:rsidRPr="00B131B0">
      <w:rPr>
        <w:noProof w:val="0"/>
        <w:szCs w:val="16"/>
        <w:lang w:val="en-GB"/>
      </w:rPr>
      <w:tab/>
    </w:r>
    <w:r w:rsidR="00E92DFE" w:rsidRPr="00B131B0">
      <w:rPr>
        <w:noProof w:val="0"/>
        <w:szCs w:val="16"/>
        <w:lang w:val="en-GB"/>
      </w:rPr>
      <w:t xml:space="preserve">First half of </w:t>
    </w:r>
    <w:r w:rsidR="009203C8" w:rsidRPr="00B131B0">
      <w:rPr>
        <w:noProof w:val="0"/>
        <w:szCs w:val="16"/>
        <w:lang w:val="en-GB"/>
      </w:rPr>
      <w:t>2026</w:t>
    </w:r>
    <w:r w:rsidR="002B4121" w:rsidRPr="00B131B0">
      <w:rPr>
        <w:noProof w:val="0"/>
        <w:szCs w:val="16"/>
        <w:lang w:val="en-GB"/>
      </w:rPr>
      <w:tab/>
    </w:r>
    <w:r w:rsidR="00966AEE" w:rsidRPr="00B131B0">
      <w:rPr>
        <w:noProof w:val="0"/>
        <w:szCs w:val="16"/>
        <w:lang w:val="en-GB"/>
      </w:rPr>
      <w:t>CZSO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1FA4F" w14:textId="23B79C87" w:rsidR="00763B85" w:rsidRPr="00B131B0" w:rsidRDefault="00964F1A" w:rsidP="00A418BC">
    <w:pPr>
      <w:pStyle w:val="Zpat"/>
      <w:rPr>
        <w:noProof w:val="0"/>
        <w:szCs w:val="16"/>
        <w:lang w:val="en-GB"/>
      </w:rPr>
    </w:pPr>
    <w:r w:rsidRPr="00B131B0">
      <w:rPr>
        <w:noProof w:val="0"/>
        <w:szCs w:val="16"/>
        <w:lang w:val="en-GB"/>
      </w:rPr>
      <w:t>CZSO</w:t>
    </w:r>
    <w:r w:rsidR="00763B85" w:rsidRPr="00B131B0">
      <w:rPr>
        <w:noProof w:val="0"/>
        <w:szCs w:val="16"/>
        <w:lang w:val="en-GB"/>
      </w:rPr>
      <w:tab/>
    </w:r>
    <w:r w:rsidRPr="00B131B0">
      <w:rPr>
        <w:noProof w:val="0"/>
        <w:szCs w:val="16"/>
        <w:lang w:val="en-GB"/>
      </w:rPr>
      <w:t xml:space="preserve">First half of </w:t>
    </w:r>
    <w:r w:rsidR="009203C8" w:rsidRPr="00B131B0">
      <w:rPr>
        <w:noProof w:val="0"/>
        <w:szCs w:val="16"/>
        <w:lang w:val="en-GB"/>
      </w:rPr>
      <w:t>2026</w:t>
    </w:r>
    <w:r w:rsidR="00763B85" w:rsidRPr="00B131B0">
      <w:rPr>
        <w:noProof w:val="0"/>
        <w:szCs w:val="16"/>
        <w:lang w:val="en-GB"/>
      </w:rPr>
      <w:tab/>
    </w:r>
    <w:r w:rsidR="00763B85" w:rsidRPr="00B131B0">
      <w:rPr>
        <w:rStyle w:val="ZpatChar"/>
        <w:noProof w:val="0"/>
        <w:szCs w:val="16"/>
        <w:lang w:val="en-GB"/>
      </w:rPr>
      <w:fldChar w:fldCharType="begin"/>
    </w:r>
    <w:r w:rsidR="00763B85" w:rsidRPr="00B131B0">
      <w:rPr>
        <w:rStyle w:val="ZpatChar"/>
        <w:noProof w:val="0"/>
        <w:szCs w:val="16"/>
        <w:lang w:val="en-GB"/>
      </w:rPr>
      <w:instrText>PAGE   \* MERGEFORMAT</w:instrText>
    </w:r>
    <w:r w:rsidR="00763B85" w:rsidRPr="00B131B0">
      <w:rPr>
        <w:rStyle w:val="ZpatChar"/>
        <w:noProof w:val="0"/>
        <w:szCs w:val="16"/>
        <w:lang w:val="en-GB"/>
      </w:rPr>
      <w:fldChar w:fldCharType="separate"/>
    </w:r>
    <w:r w:rsidR="00C35666" w:rsidRPr="00B131B0">
      <w:rPr>
        <w:rStyle w:val="ZpatChar"/>
        <w:noProof w:val="0"/>
        <w:szCs w:val="16"/>
        <w:lang w:val="en-GB"/>
      </w:rPr>
      <w:t>3</w:t>
    </w:r>
    <w:r w:rsidR="00763B85" w:rsidRPr="00B131B0">
      <w:rPr>
        <w:rStyle w:val="ZpatChar"/>
        <w:noProof w:val="0"/>
        <w:szCs w:val="16"/>
        <w:lang w:val="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0A5422" w14:textId="77777777" w:rsidR="00414CFC" w:rsidRPr="00B131B0" w:rsidRDefault="00414CFC" w:rsidP="00BB2F43">
      <w:pPr>
        <w:pStyle w:val="Zpat"/>
        <w:rPr>
          <w:noProof w:val="0"/>
          <w:lang w:val="en-GB"/>
        </w:rPr>
      </w:pPr>
      <w:r w:rsidRPr="00B131B0">
        <w:rPr>
          <w:noProof w:val="0"/>
          <w:lang w:val="en-GB"/>
        </w:rPr>
        <w:separator/>
      </w:r>
    </w:p>
  </w:footnote>
  <w:footnote w:type="continuationSeparator" w:id="0">
    <w:p w14:paraId="1F7480B2" w14:textId="77777777" w:rsidR="00414CFC" w:rsidRPr="00B131B0" w:rsidRDefault="00414CFC" w:rsidP="00E71A58">
      <w:r w:rsidRPr="00B131B0">
        <w:continuationSeparator/>
      </w:r>
    </w:p>
  </w:footnote>
  <w:footnote w:id="1">
    <w:p w14:paraId="58854206" w14:textId="77777777" w:rsidR="00010596" w:rsidRPr="007250FE" w:rsidRDefault="00010596" w:rsidP="00010596">
      <w:pPr>
        <w:pStyle w:val="Textpoznpodarou"/>
        <w:rPr>
          <w:color w:val="0D0D0D" w:themeColor="text1" w:themeTint="F2"/>
          <w:spacing w:val="-2"/>
          <w:sz w:val="16"/>
          <w:szCs w:val="16"/>
        </w:rPr>
      </w:pPr>
      <w:r w:rsidRPr="00B131B0">
        <w:rPr>
          <w:rStyle w:val="Znakapoznpodarou"/>
          <w:color w:val="0D0D0D" w:themeColor="text1" w:themeTint="F2"/>
          <w:spacing w:val="-2"/>
          <w:sz w:val="16"/>
          <w:szCs w:val="16"/>
        </w:rPr>
        <w:footnoteRef/>
      </w:r>
      <w:r w:rsidRPr="007250FE">
        <w:rPr>
          <w:color w:val="0D0D0D" w:themeColor="text1" w:themeTint="F2"/>
          <w:spacing w:val="-2"/>
          <w:sz w:val="16"/>
          <w:szCs w:val="16"/>
        </w:rPr>
        <w:t xml:space="preserve"> </w:t>
      </w:r>
      <w:r w:rsidRPr="00995C95">
        <w:rPr>
          <w:sz w:val="16"/>
          <w:szCs w:val="16"/>
        </w:rPr>
        <w:t>Data regarding employment stem from the national accounts’ conception. They are expressed in physical persons and adjusted for seasonal effects</w:t>
      </w:r>
      <w:r w:rsidRPr="00995C95">
        <w:rPr>
          <w:spacing w:val="-6"/>
          <w:sz w:val="16"/>
          <w:szCs w:val="16"/>
        </w:rPr>
        <w:t xml:space="preserve">. Unlike the data from the business statistics or the labour force sample survey </w:t>
      </w:r>
      <w:r w:rsidRPr="00995C95">
        <w:rPr>
          <w:sz w:val="16"/>
          <w:szCs w:val="16"/>
        </w:rPr>
        <w:t xml:space="preserve">(LFSS) also include for instance the estimation of the grey economy impact. </w:t>
      </w:r>
    </w:p>
  </w:footnote>
  <w:footnote w:id="2">
    <w:p w14:paraId="0B42CC01" w14:textId="77777777" w:rsidR="00010596" w:rsidRPr="007250FE" w:rsidRDefault="00010596" w:rsidP="00010596">
      <w:pPr>
        <w:pStyle w:val="Textpoznpodarou"/>
        <w:rPr>
          <w:sz w:val="16"/>
          <w:szCs w:val="16"/>
        </w:rPr>
      </w:pPr>
      <w:r w:rsidRPr="00B131B0">
        <w:rPr>
          <w:rStyle w:val="Znakapoznpodarou"/>
          <w:sz w:val="16"/>
          <w:szCs w:val="16"/>
        </w:rPr>
        <w:footnoteRef/>
      </w:r>
      <w:r w:rsidRPr="007250FE">
        <w:rPr>
          <w:sz w:val="16"/>
          <w:szCs w:val="16"/>
        </w:rPr>
        <w:t xml:space="preserve"> </w:t>
      </w:r>
      <w:r w:rsidRPr="00200875">
        <w:rPr>
          <w:sz w:val="16"/>
          <w:szCs w:val="16"/>
        </w:rPr>
        <w:t xml:space="preserve">13% (+135 thousand) more people were employed in the public administration and defence, education, </w:t>
      </w:r>
      <w:r>
        <w:rPr>
          <w:sz w:val="16"/>
          <w:szCs w:val="16"/>
        </w:rPr>
        <w:t xml:space="preserve">human </w:t>
      </w:r>
      <w:r w:rsidRPr="00200875">
        <w:rPr>
          <w:sz w:val="16"/>
          <w:szCs w:val="16"/>
        </w:rPr>
        <w:t>health and social care</w:t>
      </w:r>
      <w:r>
        <w:rPr>
          <w:sz w:val="16"/>
          <w:szCs w:val="16"/>
        </w:rPr>
        <w:t xml:space="preserve"> activities in Q2 this year </w:t>
      </w:r>
      <w:r w:rsidRPr="00200875">
        <w:rPr>
          <w:sz w:val="16"/>
          <w:szCs w:val="16"/>
        </w:rPr>
        <w:t>compared to the end of 2018. An increase in professional, scientific, technical and administrative activities (+10%), information and communication activities (+23%) and real estate also had a significant impact. Of the traditional sectors of material production, only employment in construction increased (+10% and +39 thousand persons, respectively), while the number of workers in industry decreased significantly (−7%, −102 thousand).</w:t>
      </w:r>
      <w:r w:rsidRPr="007250FE">
        <w:rPr>
          <w:sz w:val="16"/>
          <w:szCs w:val="16"/>
        </w:rPr>
        <w:t xml:space="preserve"> </w:t>
      </w:r>
    </w:p>
  </w:footnote>
  <w:footnote w:id="3">
    <w:p w14:paraId="1C990474" w14:textId="77777777" w:rsidR="00010596" w:rsidRPr="0012394D" w:rsidRDefault="00010596" w:rsidP="00010596">
      <w:pPr>
        <w:pStyle w:val="Textpoznpodarou"/>
        <w:rPr>
          <w:sz w:val="16"/>
          <w:szCs w:val="16"/>
        </w:rPr>
      </w:pPr>
      <w:r w:rsidRPr="0012394D">
        <w:rPr>
          <w:rStyle w:val="Znakapoznpodarou"/>
          <w:sz w:val="16"/>
          <w:szCs w:val="16"/>
        </w:rPr>
        <w:footnoteRef/>
      </w:r>
      <w:r w:rsidRPr="0012394D">
        <w:rPr>
          <w:sz w:val="16"/>
          <w:szCs w:val="16"/>
        </w:rPr>
        <w:t xml:space="preserve"> </w:t>
      </w:r>
      <w:r w:rsidRPr="00835C7A">
        <w:rPr>
          <w:sz w:val="16"/>
          <w:szCs w:val="16"/>
          <w:lang w:val="en"/>
        </w:rPr>
        <w:t xml:space="preserve">This year's employment growth in the Czech Republic, as in the whole of last year, was more rapid than in the EU. It was only 0.5% in the EU in </w:t>
      </w:r>
      <w:r>
        <w:rPr>
          <w:sz w:val="16"/>
          <w:szCs w:val="16"/>
          <w:lang w:val="en"/>
        </w:rPr>
        <w:t xml:space="preserve">H1 </w:t>
      </w:r>
      <w:r w:rsidRPr="00835C7A">
        <w:rPr>
          <w:sz w:val="16"/>
          <w:szCs w:val="16"/>
          <w:lang w:val="en"/>
        </w:rPr>
        <w:t xml:space="preserve">2026, also due to the persistent </w:t>
      </w:r>
      <w:r>
        <w:rPr>
          <w:sz w:val="16"/>
          <w:szCs w:val="16"/>
          <w:lang w:val="en"/>
        </w:rPr>
        <w:t xml:space="preserve">fall </w:t>
      </w:r>
      <w:r w:rsidRPr="00835C7A">
        <w:rPr>
          <w:sz w:val="16"/>
          <w:szCs w:val="16"/>
          <w:lang w:val="en"/>
        </w:rPr>
        <w:t xml:space="preserve">in Germany (−0.5%) and Romania (−1.3%). </w:t>
      </w:r>
      <w:r>
        <w:rPr>
          <w:sz w:val="16"/>
          <w:szCs w:val="16"/>
          <w:lang w:val="en"/>
        </w:rPr>
        <w:t xml:space="preserve">Among </w:t>
      </w:r>
      <w:r w:rsidRPr="00835C7A">
        <w:rPr>
          <w:sz w:val="16"/>
          <w:szCs w:val="16"/>
          <w:lang w:val="en"/>
        </w:rPr>
        <w:t xml:space="preserve">the Central European countries, only Poland (+0.8%) recorded further growth. </w:t>
      </w:r>
      <w:r>
        <w:rPr>
          <w:sz w:val="16"/>
          <w:szCs w:val="16"/>
          <w:lang w:val="en"/>
        </w:rPr>
        <w:t>The number of workers increased at a higher rate to that in the Czech Republic o</w:t>
      </w:r>
      <w:r w:rsidRPr="00835C7A">
        <w:rPr>
          <w:sz w:val="16"/>
          <w:szCs w:val="16"/>
          <w:lang w:val="en"/>
        </w:rPr>
        <w:t xml:space="preserve">nly </w:t>
      </w:r>
      <w:r>
        <w:rPr>
          <w:sz w:val="16"/>
          <w:szCs w:val="16"/>
          <w:lang w:val="en"/>
        </w:rPr>
        <w:t xml:space="preserve">in </w:t>
      </w:r>
      <w:r w:rsidRPr="00835C7A">
        <w:rPr>
          <w:sz w:val="16"/>
          <w:szCs w:val="16"/>
          <w:lang w:val="en"/>
        </w:rPr>
        <w:t xml:space="preserve">six </w:t>
      </w:r>
      <w:r>
        <w:rPr>
          <w:sz w:val="16"/>
          <w:szCs w:val="16"/>
          <w:lang w:val="en"/>
        </w:rPr>
        <w:t>m</w:t>
      </w:r>
      <w:r w:rsidRPr="00835C7A">
        <w:rPr>
          <w:sz w:val="16"/>
          <w:szCs w:val="16"/>
          <w:lang w:val="en"/>
        </w:rPr>
        <w:t xml:space="preserve">ember </w:t>
      </w:r>
      <w:r>
        <w:rPr>
          <w:sz w:val="16"/>
          <w:szCs w:val="16"/>
          <w:lang w:val="en"/>
        </w:rPr>
        <w:t>s</w:t>
      </w:r>
      <w:r w:rsidRPr="00835C7A">
        <w:rPr>
          <w:sz w:val="16"/>
          <w:szCs w:val="16"/>
          <w:lang w:val="en"/>
        </w:rPr>
        <w:t>tates – e.g. Italy (+1.3%) and Spain (+2.3%)</w:t>
      </w:r>
      <w:r>
        <w:rPr>
          <w:sz w:val="16"/>
          <w:szCs w:val="16"/>
          <w:lang w:val="en"/>
        </w:rPr>
        <w:t xml:space="preserve">. </w:t>
      </w:r>
      <w:r w:rsidRPr="00835C7A">
        <w:rPr>
          <w:sz w:val="16"/>
          <w:szCs w:val="16"/>
          <w:lang w:val="en"/>
        </w:rPr>
        <w:t xml:space="preserve">The year-on-year development of employment in terms of </w:t>
      </w:r>
      <w:r>
        <w:rPr>
          <w:sz w:val="16"/>
          <w:szCs w:val="16"/>
          <w:lang w:val="en"/>
        </w:rPr>
        <w:t xml:space="preserve">branches </w:t>
      </w:r>
      <w:r w:rsidRPr="00835C7A">
        <w:rPr>
          <w:sz w:val="16"/>
          <w:szCs w:val="16"/>
          <w:lang w:val="en"/>
        </w:rPr>
        <w:t xml:space="preserve">in the EU was very similar to that in the Czech Republic – </w:t>
      </w:r>
      <w:r>
        <w:rPr>
          <w:sz w:val="16"/>
          <w:szCs w:val="16"/>
          <w:lang w:val="en"/>
        </w:rPr>
        <w:t xml:space="preserve">total </w:t>
      </w:r>
      <w:r w:rsidRPr="00835C7A">
        <w:rPr>
          <w:sz w:val="16"/>
          <w:szCs w:val="16"/>
          <w:lang w:val="en"/>
        </w:rPr>
        <w:t>growth was driven by the vast majority of services (except ICT) and construction. The decline affected industry (−0.5%) and the primary sector of the economy (−3.0%).</w:t>
      </w:r>
      <w:r>
        <w:rPr>
          <w:sz w:val="16"/>
          <w:szCs w:val="16"/>
          <w:lang w:val="en"/>
        </w:rPr>
        <w:t xml:space="preserve"> </w:t>
      </w:r>
    </w:p>
  </w:footnote>
  <w:footnote w:id="4">
    <w:p w14:paraId="354C918F" w14:textId="77777777" w:rsidR="00010596" w:rsidRPr="007250FE" w:rsidRDefault="00010596" w:rsidP="00010596">
      <w:pPr>
        <w:pStyle w:val="Textpoznpodarou"/>
        <w:rPr>
          <w:sz w:val="16"/>
          <w:szCs w:val="16"/>
        </w:rPr>
      </w:pPr>
      <w:r w:rsidRPr="00B131B0">
        <w:rPr>
          <w:rStyle w:val="Znakapoznpodarou"/>
          <w:sz w:val="16"/>
          <w:szCs w:val="16"/>
        </w:rPr>
        <w:footnoteRef/>
      </w:r>
      <w:r w:rsidRPr="007250FE">
        <w:rPr>
          <w:sz w:val="16"/>
          <w:szCs w:val="16"/>
        </w:rPr>
        <w:t xml:space="preserve"> </w:t>
      </w:r>
      <w:r w:rsidRPr="00995C95">
        <w:rPr>
          <w:sz w:val="16"/>
          <w:szCs w:val="16"/>
        </w:rPr>
        <w:t xml:space="preserve">For simplification consist of economic group public administration and defence, education, human health and social work activities. </w:t>
      </w:r>
    </w:p>
  </w:footnote>
  <w:footnote w:id="5">
    <w:p w14:paraId="5578F65C" w14:textId="77777777" w:rsidR="00010596" w:rsidRPr="00B131B0" w:rsidRDefault="00010596" w:rsidP="00010596">
      <w:pPr>
        <w:pStyle w:val="Textpoznpodarou"/>
      </w:pPr>
      <w:r w:rsidRPr="00B131B0">
        <w:rPr>
          <w:rStyle w:val="Znakapoznpodarou"/>
          <w:sz w:val="16"/>
          <w:szCs w:val="16"/>
        </w:rPr>
        <w:footnoteRef/>
      </w:r>
      <w:r w:rsidRPr="007250FE">
        <w:rPr>
          <w:sz w:val="16"/>
          <w:szCs w:val="16"/>
        </w:rPr>
        <w:t xml:space="preserve"> </w:t>
      </w:r>
      <w:r w:rsidRPr="008F375E">
        <w:rPr>
          <w:sz w:val="16"/>
          <w:szCs w:val="16"/>
        </w:rPr>
        <w:t xml:space="preserve">Their number increased by 8.3% in </w:t>
      </w:r>
      <w:r>
        <w:rPr>
          <w:sz w:val="16"/>
          <w:szCs w:val="16"/>
        </w:rPr>
        <w:t xml:space="preserve">H1 </w:t>
      </w:r>
      <w:r w:rsidRPr="008F375E">
        <w:rPr>
          <w:sz w:val="16"/>
          <w:szCs w:val="16"/>
        </w:rPr>
        <w:t xml:space="preserve">(the highest since 2003), which contrasted with a weak increase </w:t>
      </w:r>
      <w:r>
        <w:rPr>
          <w:sz w:val="16"/>
          <w:szCs w:val="16"/>
        </w:rPr>
        <w:t xml:space="preserve">for </w:t>
      </w:r>
      <w:r w:rsidRPr="008F375E">
        <w:rPr>
          <w:sz w:val="16"/>
          <w:szCs w:val="16"/>
        </w:rPr>
        <w:t>employees (+0.3%). It cannot be ruled out that there was a transition of people between these forms of employment. A similar process seems to be taking place in the financial sector in recent years.</w:t>
      </w:r>
      <w:r w:rsidRPr="00B131B0">
        <w:rPr>
          <w:sz w:val="16"/>
          <w:szCs w:val="16"/>
        </w:rPr>
        <w:t xml:space="preserve"> </w:t>
      </w:r>
    </w:p>
  </w:footnote>
  <w:footnote w:id="6">
    <w:p w14:paraId="1C901857" w14:textId="77777777" w:rsidR="00010596" w:rsidRPr="00B131B0" w:rsidRDefault="00010596" w:rsidP="00010596">
      <w:pPr>
        <w:pStyle w:val="Textpoznpodarou"/>
      </w:pPr>
      <w:r w:rsidRPr="00B131B0">
        <w:rPr>
          <w:rStyle w:val="Znakapoznpodarou"/>
          <w:sz w:val="16"/>
          <w:szCs w:val="16"/>
        </w:rPr>
        <w:footnoteRef/>
      </w:r>
      <w:r w:rsidRPr="00B131B0">
        <w:rPr>
          <w:sz w:val="16"/>
          <w:szCs w:val="16"/>
        </w:rPr>
        <w:t xml:space="preserve"> </w:t>
      </w:r>
      <w:r w:rsidRPr="00995C95">
        <w:rPr>
          <w:sz w:val="16"/>
          <w:szCs w:val="16"/>
        </w:rPr>
        <w:t xml:space="preserve">These include in addition to cultural, amusement and recreational activities, for instance various services for households (repair of goods, hairdressing and cosmetic activities, etc.). Employment is comprised of more than one third of small entrepreneurs in this branch (or self-employed persons). </w:t>
      </w:r>
    </w:p>
  </w:footnote>
  <w:footnote w:id="7">
    <w:p w14:paraId="5F02912E" w14:textId="77777777" w:rsidR="00010596" w:rsidRPr="0007562A" w:rsidRDefault="00010596" w:rsidP="00010596">
      <w:pPr>
        <w:pStyle w:val="Textpoznpodarou"/>
        <w:rPr>
          <w:spacing w:val="-4"/>
          <w:sz w:val="16"/>
          <w:szCs w:val="16"/>
        </w:rPr>
      </w:pPr>
      <w:r w:rsidRPr="00B131B0">
        <w:rPr>
          <w:rStyle w:val="Znakapoznpodarou"/>
          <w:sz w:val="16"/>
          <w:szCs w:val="16"/>
        </w:rPr>
        <w:footnoteRef/>
      </w:r>
      <w:r w:rsidRPr="00B131B0">
        <w:rPr>
          <w:sz w:val="16"/>
          <w:szCs w:val="16"/>
        </w:rPr>
        <w:t xml:space="preserve"> </w:t>
      </w:r>
      <w:r w:rsidRPr="0007562A">
        <w:rPr>
          <w:spacing w:val="-4"/>
          <w:sz w:val="16"/>
          <w:szCs w:val="16"/>
        </w:rPr>
        <w:t>The high rate of employment may also be related to more frequent changes in the classification of enterprises (their classification into the branch takes into account the predominant activity on the basis of preliminary sales data, which can then be refined using more detailed data).</w:t>
      </w:r>
    </w:p>
  </w:footnote>
  <w:footnote w:id="8">
    <w:p w14:paraId="008867CF" w14:textId="77777777" w:rsidR="00010596" w:rsidRPr="00B131B0" w:rsidRDefault="00010596" w:rsidP="00010596">
      <w:pPr>
        <w:pStyle w:val="Textpoznpodarou"/>
        <w:rPr>
          <w:sz w:val="16"/>
          <w:szCs w:val="16"/>
        </w:rPr>
      </w:pPr>
      <w:r w:rsidRPr="0007562A">
        <w:rPr>
          <w:rStyle w:val="Znakapoznpodarou"/>
          <w:spacing w:val="-4"/>
          <w:sz w:val="16"/>
          <w:szCs w:val="16"/>
        </w:rPr>
        <w:footnoteRef/>
      </w:r>
      <w:r w:rsidRPr="0007562A">
        <w:rPr>
          <w:spacing w:val="-4"/>
          <w:sz w:val="16"/>
          <w:szCs w:val="16"/>
        </w:rPr>
        <w:t xml:space="preserve"> In a dynamically changing technological environment, ICT areas, as well the financial and insurance sectors, face challenges in maintaining competitiveness and high productivity while effectively using the relatively costly and not always easily accessible work of specialists.</w:t>
      </w:r>
    </w:p>
  </w:footnote>
  <w:footnote w:id="9">
    <w:p w14:paraId="0C03185D" w14:textId="77777777" w:rsidR="00010596" w:rsidRPr="00B131B0" w:rsidRDefault="00010596" w:rsidP="00010596">
      <w:pPr>
        <w:pStyle w:val="Textpoznpodarou"/>
        <w:rPr>
          <w:sz w:val="16"/>
          <w:szCs w:val="16"/>
        </w:rPr>
      </w:pPr>
      <w:r w:rsidRPr="00B131B0">
        <w:rPr>
          <w:rStyle w:val="Znakapoznpodarou"/>
          <w:sz w:val="16"/>
          <w:szCs w:val="16"/>
        </w:rPr>
        <w:footnoteRef/>
      </w:r>
      <w:r w:rsidRPr="00B131B0">
        <w:rPr>
          <w:sz w:val="16"/>
          <w:szCs w:val="16"/>
        </w:rPr>
        <w:t xml:space="preserve"> </w:t>
      </w:r>
      <w:r w:rsidRPr="00273548">
        <w:rPr>
          <w:sz w:val="16"/>
          <w:szCs w:val="16"/>
        </w:rPr>
        <w:t>The number of self-employed persons in manufacturing increased by 1.2%, y</w:t>
      </w:r>
      <w:r>
        <w:rPr>
          <w:sz w:val="16"/>
          <w:szCs w:val="16"/>
        </w:rPr>
        <w:t>ear-on-year</w:t>
      </w:r>
      <w:r w:rsidRPr="00273548">
        <w:rPr>
          <w:sz w:val="16"/>
          <w:szCs w:val="16"/>
        </w:rPr>
        <w:t xml:space="preserve">, in </w:t>
      </w:r>
      <w:r>
        <w:rPr>
          <w:sz w:val="16"/>
          <w:szCs w:val="16"/>
        </w:rPr>
        <w:t xml:space="preserve">H1. </w:t>
      </w:r>
    </w:p>
  </w:footnote>
  <w:footnote w:id="10">
    <w:p w14:paraId="6DCA690C" w14:textId="77777777" w:rsidR="00010596" w:rsidRPr="00B131B0" w:rsidRDefault="00010596" w:rsidP="00010596">
      <w:pPr>
        <w:pStyle w:val="Textpoznpodarou"/>
        <w:rPr>
          <w:sz w:val="16"/>
          <w:szCs w:val="16"/>
        </w:rPr>
      </w:pPr>
      <w:r w:rsidRPr="00B131B0">
        <w:rPr>
          <w:rStyle w:val="Znakapoznpodarou"/>
          <w:sz w:val="16"/>
          <w:szCs w:val="16"/>
        </w:rPr>
        <w:footnoteRef/>
      </w:r>
      <w:r w:rsidRPr="00B131B0">
        <w:rPr>
          <w:sz w:val="16"/>
          <w:szCs w:val="16"/>
        </w:rPr>
        <w:t xml:space="preserve"> </w:t>
      </w:r>
      <w:r w:rsidRPr="00E6149A">
        <w:rPr>
          <w:sz w:val="16"/>
          <w:szCs w:val="16"/>
        </w:rPr>
        <w:t>The data are based on the national accounts’ concept</w:t>
      </w:r>
      <w:r>
        <w:rPr>
          <w:sz w:val="16"/>
          <w:szCs w:val="16"/>
        </w:rPr>
        <w:t>ion</w:t>
      </w:r>
      <w:r w:rsidRPr="00E6149A">
        <w:rPr>
          <w:sz w:val="16"/>
          <w:szCs w:val="16"/>
        </w:rPr>
        <w:t xml:space="preserve"> and seasonally adjusted</w:t>
      </w:r>
      <w:r>
        <w:rPr>
          <w:sz w:val="16"/>
          <w:szCs w:val="16"/>
        </w:rPr>
        <w:t xml:space="preserve">. </w:t>
      </w:r>
    </w:p>
  </w:footnote>
  <w:footnote w:id="11">
    <w:p w14:paraId="092CDEB9" w14:textId="77777777" w:rsidR="00010596" w:rsidRPr="00B131B0" w:rsidRDefault="00010596" w:rsidP="00010596">
      <w:pPr>
        <w:pStyle w:val="Textpoznpodarou"/>
        <w:jc w:val="both"/>
        <w:rPr>
          <w:sz w:val="16"/>
          <w:szCs w:val="16"/>
        </w:rPr>
      </w:pPr>
      <w:r w:rsidRPr="00B131B0">
        <w:rPr>
          <w:rStyle w:val="Znakapoznpodarou"/>
          <w:sz w:val="16"/>
          <w:szCs w:val="16"/>
        </w:rPr>
        <w:footnoteRef/>
      </w:r>
      <w:r w:rsidRPr="00B131B0">
        <w:rPr>
          <w:sz w:val="16"/>
          <w:szCs w:val="16"/>
        </w:rPr>
        <w:t xml:space="preserve"> </w:t>
      </w:r>
      <w:r w:rsidRPr="0043582E">
        <w:rPr>
          <w:sz w:val="16"/>
          <w:szCs w:val="16"/>
        </w:rPr>
        <w:t xml:space="preserve">Compared to </w:t>
      </w:r>
      <w:r>
        <w:rPr>
          <w:sz w:val="16"/>
          <w:szCs w:val="16"/>
        </w:rPr>
        <w:t xml:space="preserve">H1 </w:t>
      </w:r>
      <w:r w:rsidRPr="0043582E">
        <w:rPr>
          <w:sz w:val="16"/>
          <w:szCs w:val="16"/>
        </w:rPr>
        <w:t xml:space="preserve">2019, the number of hours worked in the economy was higher by 5.1% this year, of which the number of self-employed was 7.1%. An analogous increase was 4.1% for the number of manual workers, of which 6.1% for the self-employed. This year's rapid </w:t>
      </w:r>
      <w:r>
        <w:rPr>
          <w:sz w:val="16"/>
          <w:szCs w:val="16"/>
        </w:rPr>
        <w:t>total</w:t>
      </w:r>
      <w:r w:rsidRPr="0043582E">
        <w:rPr>
          <w:sz w:val="16"/>
          <w:szCs w:val="16"/>
        </w:rPr>
        <w:t xml:space="preserve"> growth </w:t>
      </w:r>
      <w:r>
        <w:rPr>
          <w:sz w:val="16"/>
          <w:szCs w:val="16"/>
        </w:rPr>
        <w:t>of</w:t>
      </w:r>
      <w:r w:rsidRPr="0043582E">
        <w:rPr>
          <w:sz w:val="16"/>
          <w:szCs w:val="16"/>
        </w:rPr>
        <w:t xml:space="preserve"> hours worked in the economy was also supported by an increase </w:t>
      </w:r>
      <w:r>
        <w:rPr>
          <w:sz w:val="16"/>
          <w:szCs w:val="16"/>
        </w:rPr>
        <w:t>of</w:t>
      </w:r>
      <w:r w:rsidRPr="0043582E">
        <w:rPr>
          <w:sz w:val="16"/>
          <w:szCs w:val="16"/>
        </w:rPr>
        <w:t xml:space="preserve"> work on contracts (</w:t>
      </w:r>
      <w:r w:rsidRPr="0040101B">
        <w:rPr>
          <w:sz w:val="16"/>
          <w:szCs w:val="16"/>
        </w:rPr>
        <w:t>agreement to complete a job, to perform work</w:t>
      </w:r>
      <w:r w:rsidRPr="0043582E">
        <w:rPr>
          <w:sz w:val="16"/>
          <w:szCs w:val="16"/>
        </w:rPr>
        <w:t>). According to the CZSO's experimental statistics, the number of hours worked in this way increased by 14%</w:t>
      </w:r>
      <w:r>
        <w:rPr>
          <w:sz w:val="16"/>
          <w:szCs w:val="16"/>
        </w:rPr>
        <w:t>,</w:t>
      </w:r>
      <w:r w:rsidRPr="0043582E">
        <w:rPr>
          <w:sz w:val="16"/>
          <w:szCs w:val="16"/>
        </w:rPr>
        <w:t xml:space="preserve"> year-on-year</w:t>
      </w:r>
      <w:r>
        <w:rPr>
          <w:sz w:val="16"/>
          <w:szCs w:val="16"/>
        </w:rPr>
        <w:t xml:space="preserve">, </w:t>
      </w:r>
      <w:r w:rsidRPr="0043582E">
        <w:rPr>
          <w:sz w:val="16"/>
          <w:szCs w:val="16"/>
        </w:rPr>
        <w:t xml:space="preserve">in </w:t>
      </w:r>
      <w:r>
        <w:rPr>
          <w:sz w:val="16"/>
          <w:szCs w:val="16"/>
        </w:rPr>
        <w:t>H</w:t>
      </w:r>
      <w:r w:rsidRPr="0043582E">
        <w:rPr>
          <w:sz w:val="16"/>
          <w:szCs w:val="16"/>
        </w:rPr>
        <w:t>1</w:t>
      </w:r>
      <w:r>
        <w:rPr>
          <w:sz w:val="16"/>
          <w:szCs w:val="16"/>
        </w:rPr>
        <w:t xml:space="preserve"> </w:t>
      </w:r>
      <w:r w:rsidRPr="0043582E">
        <w:rPr>
          <w:sz w:val="16"/>
          <w:szCs w:val="16"/>
        </w:rPr>
        <w:t>this year (it also increased at a slightly higher pace throughout last year).</w:t>
      </w:r>
      <w:r w:rsidRPr="00B131B0">
        <w:rPr>
          <w:spacing w:val="-4"/>
          <w:sz w:val="16"/>
          <w:szCs w:val="16"/>
        </w:rPr>
        <w:t xml:space="preserve"> </w:t>
      </w:r>
    </w:p>
  </w:footnote>
  <w:footnote w:id="12">
    <w:p w14:paraId="1969038D" w14:textId="77777777" w:rsidR="00010596" w:rsidRPr="00B131B0" w:rsidRDefault="00010596" w:rsidP="00010596">
      <w:pPr>
        <w:pStyle w:val="Textpoznpodarou"/>
        <w:rPr>
          <w:sz w:val="16"/>
          <w:szCs w:val="16"/>
        </w:rPr>
      </w:pPr>
      <w:r w:rsidRPr="00B131B0">
        <w:rPr>
          <w:rStyle w:val="Znakapoznpodarou"/>
          <w:sz w:val="16"/>
          <w:szCs w:val="16"/>
        </w:rPr>
        <w:footnoteRef/>
      </w:r>
      <w:r w:rsidRPr="00B131B0">
        <w:rPr>
          <w:sz w:val="16"/>
          <w:szCs w:val="16"/>
        </w:rPr>
        <w:t xml:space="preserve"> </w:t>
      </w:r>
      <w:r w:rsidRPr="003B0859">
        <w:rPr>
          <w:sz w:val="16"/>
          <w:szCs w:val="16"/>
        </w:rPr>
        <w:t xml:space="preserve">Of these, the year-on-year growth </w:t>
      </w:r>
      <w:r>
        <w:rPr>
          <w:sz w:val="16"/>
          <w:szCs w:val="16"/>
        </w:rPr>
        <w:t>of</w:t>
      </w:r>
      <w:r w:rsidRPr="003B0859">
        <w:rPr>
          <w:sz w:val="16"/>
          <w:szCs w:val="16"/>
        </w:rPr>
        <w:t xml:space="preserve"> the number of self-employed persons was 9.1% (with an increase in the number of physical employees by 1.2%).</w:t>
      </w:r>
    </w:p>
  </w:footnote>
  <w:footnote w:id="13">
    <w:p w14:paraId="6CB9EF5E" w14:textId="77777777" w:rsidR="00010596" w:rsidRPr="0007704E" w:rsidRDefault="00010596" w:rsidP="00010596">
      <w:pPr>
        <w:pStyle w:val="Textpoznpodarou"/>
        <w:jc w:val="both"/>
        <w:rPr>
          <w:sz w:val="16"/>
          <w:szCs w:val="16"/>
          <w:lang w:val="en"/>
        </w:rPr>
      </w:pPr>
      <w:r w:rsidRPr="00B131B0">
        <w:rPr>
          <w:rStyle w:val="Znakapoznpodarou"/>
          <w:sz w:val="16"/>
          <w:szCs w:val="16"/>
        </w:rPr>
        <w:footnoteRef/>
      </w:r>
      <w:r w:rsidRPr="00B131B0">
        <w:rPr>
          <w:sz w:val="16"/>
          <w:szCs w:val="16"/>
        </w:rPr>
        <w:t xml:space="preserve"> </w:t>
      </w:r>
      <w:r w:rsidRPr="0007704E">
        <w:rPr>
          <w:sz w:val="16"/>
          <w:szCs w:val="16"/>
          <w:lang w:val="en"/>
        </w:rPr>
        <w:t xml:space="preserve">It expresses seasonally adjusted GDP or gross value added at the level of individual </w:t>
      </w:r>
      <w:r>
        <w:rPr>
          <w:sz w:val="16"/>
          <w:szCs w:val="16"/>
          <w:lang w:val="en"/>
        </w:rPr>
        <w:t xml:space="preserve">branches </w:t>
      </w:r>
      <w:r w:rsidRPr="0007704E">
        <w:rPr>
          <w:sz w:val="16"/>
          <w:szCs w:val="16"/>
          <w:lang w:val="en"/>
        </w:rPr>
        <w:t xml:space="preserve">(at comparable </w:t>
      </w:r>
      <w:r>
        <w:rPr>
          <w:sz w:val="16"/>
          <w:szCs w:val="16"/>
          <w:lang w:val="en"/>
        </w:rPr>
        <w:t xml:space="preserve">2020 </w:t>
      </w:r>
      <w:r w:rsidRPr="0007704E">
        <w:rPr>
          <w:sz w:val="16"/>
          <w:szCs w:val="16"/>
          <w:lang w:val="en"/>
        </w:rPr>
        <w:t>prices) per hour worked by persons in paid employment (</w:t>
      </w:r>
      <w:r>
        <w:rPr>
          <w:sz w:val="16"/>
          <w:szCs w:val="16"/>
          <w:lang w:val="en"/>
        </w:rPr>
        <w:t xml:space="preserve">after </w:t>
      </w:r>
      <w:r w:rsidRPr="0007704E">
        <w:rPr>
          <w:sz w:val="16"/>
          <w:szCs w:val="16"/>
          <w:lang w:val="en"/>
        </w:rPr>
        <w:t>seasonal adjustm</w:t>
      </w:r>
      <w:r>
        <w:rPr>
          <w:sz w:val="16"/>
          <w:szCs w:val="16"/>
          <w:lang w:val="en"/>
        </w:rPr>
        <w:t>ent)</w:t>
      </w:r>
      <w:r w:rsidRPr="0007704E">
        <w:rPr>
          <w:sz w:val="16"/>
          <w:szCs w:val="16"/>
          <w:lang w:val="en"/>
        </w:rPr>
        <w:t>.</w:t>
      </w:r>
    </w:p>
    <w:p w14:paraId="3420DD5D" w14:textId="77777777" w:rsidR="00010596" w:rsidRPr="00B131B0" w:rsidRDefault="00010596" w:rsidP="00010596">
      <w:pPr>
        <w:pStyle w:val="Textpoznpodarou"/>
        <w:jc w:val="both"/>
        <w:rPr>
          <w:sz w:val="16"/>
          <w:szCs w:val="16"/>
        </w:rPr>
      </w:pPr>
    </w:p>
  </w:footnote>
  <w:footnote w:id="14">
    <w:p w14:paraId="6BD90822" w14:textId="77777777" w:rsidR="00010596" w:rsidRPr="00B131B0" w:rsidRDefault="00010596" w:rsidP="00010596">
      <w:pPr>
        <w:pStyle w:val="Textpoznpodarou"/>
      </w:pPr>
      <w:r w:rsidRPr="00B131B0">
        <w:rPr>
          <w:rStyle w:val="Znakapoznpodarou"/>
          <w:sz w:val="16"/>
          <w:szCs w:val="16"/>
        </w:rPr>
        <w:footnoteRef/>
      </w:r>
      <w:r w:rsidRPr="00B131B0">
        <w:rPr>
          <w:sz w:val="16"/>
          <w:szCs w:val="16"/>
        </w:rPr>
        <w:t xml:space="preserve"> </w:t>
      </w:r>
      <w:r w:rsidRPr="00BA11A1">
        <w:rPr>
          <w:sz w:val="16"/>
          <w:szCs w:val="16"/>
        </w:rPr>
        <w:t xml:space="preserve">According to </w:t>
      </w:r>
      <w:r>
        <w:rPr>
          <w:sz w:val="16"/>
          <w:szCs w:val="16"/>
        </w:rPr>
        <w:t>the LFSS</w:t>
      </w:r>
      <w:r w:rsidRPr="00BA11A1">
        <w:rPr>
          <w:sz w:val="16"/>
          <w:szCs w:val="16"/>
        </w:rPr>
        <w:t xml:space="preserve"> data, the number of economically inactive pe</w:t>
      </w:r>
      <w:r>
        <w:rPr>
          <w:sz w:val="16"/>
          <w:szCs w:val="16"/>
        </w:rPr>
        <w:t xml:space="preserve">rsons </w:t>
      </w:r>
      <w:r w:rsidRPr="00BA11A1">
        <w:rPr>
          <w:sz w:val="16"/>
          <w:szCs w:val="16"/>
        </w:rPr>
        <w:t xml:space="preserve">who are not looking for </w:t>
      </w:r>
      <w:r>
        <w:rPr>
          <w:sz w:val="16"/>
          <w:szCs w:val="16"/>
        </w:rPr>
        <w:t>work</w:t>
      </w:r>
      <w:r w:rsidRPr="00BA11A1">
        <w:rPr>
          <w:sz w:val="16"/>
          <w:szCs w:val="16"/>
        </w:rPr>
        <w:t xml:space="preserve">, but </w:t>
      </w:r>
      <w:r>
        <w:rPr>
          <w:sz w:val="16"/>
          <w:szCs w:val="16"/>
        </w:rPr>
        <w:t>s</w:t>
      </w:r>
      <w:r w:rsidRPr="00BA11A1">
        <w:rPr>
          <w:sz w:val="16"/>
          <w:szCs w:val="16"/>
        </w:rPr>
        <w:t xml:space="preserve">tate </w:t>
      </w:r>
      <w:r>
        <w:rPr>
          <w:sz w:val="16"/>
          <w:szCs w:val="16"/>
        </w:rPr>
        <w:t xml:space="preserve">their willingness to </w:t>
      </w:r>
      <w:r w:rsidRPr="00BA11A1">
        <w:rPr>
          <w:sz w:val="16"/>
          <w:szCs w:val="16"/>
        </w:rPr>
        <w:t xml:space="preserve">work, reached 73 thousand in </w:t>
      </w:r>
      <w:r>
        <w:rPr>
          <w:sz w:val="16"/>
          <w:szCs w:val="16"/>
        </w:rPr>
        <w:t>Q</w:t>
      </w:r>
      <w:r w:rsidRPr="00BA11A1">
        <w:rPr>
          <w:sz w:val="16"/>
          <w:szCs w:val="16"/>
        </w:rPr>
        <w:t>1</w:t>
      </w:r>
      <w:r>
        <w:rPr>
          <w:sz w:val="16"/>
          <w:szCs w:val="16"/>
        </w:rPr>
        <w:t xml:space="preserve"> </w:t>
      </w:r>
      <w:r w:rsidRPr="00BA11A1">
        <w:rPr>
          <w:sz w:val="16"/>
          <w:szCs w:val="16"/>
        </w:rPr>
        <w:t>this year, down 8%</w:t>
      </w:r>
      <w:r>
        <w:rPr>
          <w:sz w:val="16"/>
          <w:szCs w:val="16"/>
        </w:rPr>
        <w:t>,</w:t>
      </w:r>
      <w:r w:rsidRPr="00BA11A1">
        <w:rPr>
          <w:sz w:val="16"/>
          <w:szCs w:val="16"/>
        </w:rPr>
        <w:t xml:space="preserve"> year-on-year (and the decrease was as much as 28%</w:t>
      </w:r>
      <w:r>
        <w:rPr>
          <w:sz w:val="16"/>
          <w:szCs w:val="16"/>
        </w:rPr>
        <w:t xml:space="preserve"> </w:t>
      </w:r>
      <w:r w:rsidRPr="00BA11A1">
        <w:rPr>
          <w:sz w:val="16"/>
          <w:szCs w:val="16"/>
        </w:rPr>
        <w:t xml:space="preserve">in the last five years). In addition, however, only less than a fifth of this number was able to start work immediately (within 14 days) </w:t>
      </w:r>
      <w:r>
        <w:rPr>
          <w:sz w:val="16"/>
          <w:szCs w:val="16"/>
        </w:rPr>
        <w:t xml:space="preserve">- </w:t>
      </w:r>
      <w:r w:rsidRPr="00BA11A1">
        <w:rPr>
          <w:sz w:val="16"/>
          <w:szCs w:val="16"/>
        </w:rPr>
        <w:t xml:space="preserve">a significant part of the potential labour reserves </w:t>
      </w:r>
      <w:r>
        <w:rPr>
          <w:sz w:val="16"/>
          <w:szCs w:val="16"/>
        </w:rPr>
        <w:t xml:space="preserve">comprises of </w:t>
      </w:r>
      <w:r w:rsidRPr="00BA11A1">
        <w:rPr>
          <w:sz w:val="16"/>
          <w:szCs w:val="16"/>
        </w:rPr>
        <w:t>students and women on parental leave.</w:t>
      </w:r>
      <w:r w:rsidRPr="00B131B0">
        <w:rPr>
          <w:color w:val="0D0D0D" w:themeColor="text1" w:themeTint="F2"/>
        </w:rPr>
        <w:t xml:space="preserve"> </w:t>
      </w:r>
    </w:p>
  </w:footnote>
  <w:footnote w:id="15">
    <w:p w14:paraId="0019E7E8" w14:textId="77777777" w:rsidR="00010596" w:rsidRPr="00B131B0" w:rsidRDefault="00010596" w:rsidP="00010596">
      <w:pPr>
        <w:pStyle w:val="Textpoznpodarou"/>
      </w:pPr>
      <w:r w:rsidRPr="00B131B0">
        <w:rPr>
          <w:rStyle w:val="Znakapoznpodarou"/>
          <w:sz w:val="16"/>
          <w:szCs w:val="16"/>
        </w:rPr>
        <w:footnoteRef/>
      </w:r>
      <w:r w:rsidRPr="00B131B0">
        <w:rPr>
          <w:sz w:val="16"/>
          <w:szCs w:val="16"/>
        </w:rPr>
        <w:t xml:space="preserve"> </w:t>
      </w:r>
      <w:r w:rsidRPr="00CF0CDC">
        <w:rPr>
          <w:sz w:val="16"/>
          <w:szCs w:val="16"/>
        </w:rPr>
        <w:t>In addition, the Ministry of Industry and Trade registered 145,000 foreign nationals with trade licenses in the Czech Republic in the same period (a tenth more</w:t>
      </w:r>
      <w:r>
        <w:rPr>
          <w:sz w:val="16"/>
          <w:szCs w:val="16"/>
        </w:rPr>
        <w:t>,</w:t>
      </w:r>
      <w:r w:rsidRPr="00CF0CDC">
        <w:rPr>
          <w:sz w:val="16"/>
          <w:szCs w:val="16"/>
        </w:rPr>
        <w:t xml:space="preserve"> year-on-year). Ukrainians accounted for two-thirds of this growth, with 51,000 doing business in the Czech Republic, followed by Slovaks (28,000), Vietnamese (21,000) and Russians, Romanians, Germans and Poles with a significant distance.</w:t>
      </w:r>
      <w:r w:rsidRPr="00B131B0">
        <w:rPr>
          <w:color w:val="0D0D0D" w:themeColor="text1" w:themeTint="F2"/>
          <w:sz w:val="16"/>
          <w:szCs w:val="16"/>
        </w:rPr>
        <w:t xml:space="preserve"> </w:t>
      </w:r>
    </w:p>
  </w:footnote>
  <w:footnote w:id="16">
    <w:p w14:paraId="7CE263F4" w14:textId="77777777" w:rsidR="00010596" w:rsidRPr="00B131B0" w:rsidRDefault="00010596" w:rsidP="00010596">
      <w:pPr>
        <w:pStyle w:val="Textpoznpodarou"/>
        <w:rPr>
          <w:sz w:val="16"/>
          <w:szCs w:val="16"/>
        </w:rPr>
      </w:pPr>
      <w:r w:rsidRPr="00B131B0">
        <w:rPr>
          <w:rStyle w:val="Znakapoznpodarou"/>
          <w:sz w:val="16"/>
          <w:szCs w:val="16"/>
        </w:rPr>
        <w:footnoteRef/>
      </w:r>
      <w:r w:rsidRPr="00B131B0">
        <w:rPr>
          <w:sz w:val="16"/>
          <w:szCs w:val="16"/>
        </w:rPr>
        <w:t xml:space="preserve"> </w:t>
      </w:r>
      <w:r w:rsidRPr="007B188F">
        <w:rPr>
          <w:sz w:val="16"/>
          <w:szCs w:val="16"/>
        </w:rPr>
        <w:t>This concerned, for example, citizens of Macedonia, Serbia, Bosnia and Herzegovina or Belarus</w:t>
      </w:r>
      <w:r>
        <w:rPr>
          <w:sz w:val="16"/>
          <w:szCs w:val="16"/>
        </w:rPr>
        <w:t xml:space="preserve">. </w:t>
      </w:r>
    </w:p>
  </w:footnote>
  <w:footnote w:id="17">
    <w:p w14:paraId="14217C15" w14:textId="77777777" w:rsidR="00010596" w:rsidRPr="00B131B0" w:rsidRDefault="00010596" w:rsidP="00010596">
      <w:pPr>
        <w:pStyle w:val="Textpoznpodarou"/>
        <w:rPr>
          <w:sz w:val="16"/>
          <w:szCs w:val="16"/>
        </w:rPr>
      </w:pPr>
      <w:r w:rsidRPr="00B131B0">
        <w:rPr>
          <w:rStyle w:val="Znakapoznpodarou"/>
          <w:sz w:val="16"/>
          <w:szCs w:val="16"/>
        </w:rPr>
        <w:footnoteRef/>
      </w:r>
      <w:r w:rsidRPr="00B131B0">
        <w:rPr>
          <w:sz w:val="16"/>
          <w:szCs w:val="16"/>
        </w:rPr>
        <w:t xml:space="preserve"> </w:t>
      </w:r>
      <w:r w:rsidRPr="00F17893">
        <w:rPr>
          <w:sz w:val="16"/>
          <w:szCs w:val="16"/>
          <w:lang w:val="en"/>
        </w:rPr>
        <w:t xml:space="preserve">The Czech Republic has long been one of the countries with a high employment rate within the EU. According to the latest data for </w:t>
      </w:r>
      <w:r>
        <w:rPr>
          <w:sz w:val="16"/>
          <w:szCs w:val="16"/>
          <w:lang w:val="en"/>
        </w:rPr>
        <w:t>Q</w:t>
      </w:r>
      <w:r w:rsidRPr="00F17893">
        <w:rPr>
          <w:sz w:val="16"/>
          <w:szCs w:val="16"/>
          <w:lang w:val="en"/>
        </w:rPr>
        <w:t>1</w:t>
      </w:r>
      <w:r>
        <w:rPr>
          <w:sz w:val="16"/>
          <w:szCs w:val="16"/>
          <w:lang w:val="en"/>
        </w:rPr>
        <w:t xml:space="preserve"> </w:t>
      </w:r>
      <w:r w:rsidRPr="00F17893">
        <w:rPr>
          <w:sz w:val="16"/>
          <w:szCs w:val="16"/>
          <w:lang w:val="en"/>
        </w:rPr>
        <w:t>2026, this rate was the fifth highest in the Union for m</w:t>
      </w:r>
      <w:r>
        <w:rPr>
          <w:sz w:val="16"/>
          <w:szCs w:val="16"/>
          <w:lang w:val="en"/>
        </w:rPr>
        <w:t xml:space="preserve">ales </w:t>
      </w:r>
      <w:r w:rsidRPr="00F17893">
        <w:rPr>
          <w:sz w:val="16"/>
          <w:szCs w:val="16"/>
          <w:lang w:val="en"/>
        </w:rPr>
        <w:t>aged 15 to 64</w:t>
      </w:r>
      <w:r>
        <w:rPr>
          <w:sz w:val="16"/>
          <w:szCs w:val="16"/>
          <w:lang w:val="en"/>
        </w:rPr>
        <w:t xml:space="preserve"> years</w:t>
      </w:r>
      <w:r w:rsidRPr="00F17893">
        <w:rPr>
          <w:sz w:val="16"/>
          <w:szCs w:val="16"/>
          <w:lang w:val="en"/>
        </w:rPr>
        <w:t xml:space="preserve"> (it exceeded the EU average by 5.1 p</w:t>
      </w:r>
      <w:r>
        <w:rPr>
          <w:sz w:val="16"/>
          <w:szCs w:val="16"/>
          <w:lang w:val="en"/>
        </w:rPr>
        <w:t>. p.</w:t>
      </w:r>
      <w:r w:rsidRPr="00F17893">
        <w:rPr>
          <w:sz w:val="16"/>
          <w:szCs w:val="16"/>
          <w:lang w:val="en"/>
        </w:rPr>
        <w:t xml:space="preserve">) and the eleventh highest for </w:t>
      </w:r>
      <w:r>
        <w:rPr>
          <w:sz w:val="16"/>
          <w:szCs w:val="16"/>
          <w:lang w:val="en"/>
        </w:rPr>
        <w:t xml:space="preserve">females </w:t>
      </w:r>
      <w:r w:rsidRPr="00F17893">
        <w:rPr>
          <w:sz w:val="16"/>
          <w:szCs w:val="16"/>
          <w:lang w:val="en"/>
        </w:rPr>
        <w:t>(+4.4 p</w:t>
      </w:r>
      <w:r>
        <w:rPr>
          <w:sz w:val="16"/>
          <w:szCs w:val="16"/>
          <w:lang w:val="en"/>
        </w:rPr>
        <w:t>. p.</w:t>
      </w:r>
      <w:r w:rsidRPr="00F17893">
        <w:rPr>
          <w:sz w:val="16"/>
          <w:szCs w:val="16"/>
          <w:lang w:val="en"/>
        </w:rPr>
        <w:t xml:space="preserve">). However, the Czech Republic clearly lagged behind the Netherlands, which achieves the highest employment among the </w:t>
      </w:r>
      <w:r>
        <w:rPr>
          <w:sz w:val="16"/>
          <w:szCs w:val="16"/>
          <w:lang w:val="en"/>
        </w:rPr>
        <w:t>m</w:t>
      </w:r>
      <w:r w:rsidRPr="00F17893">
        <w:rPr>
          <w:sz w:val="16"/>
          <w:szCs w:val="16"/>
          <w:lang w:val="en"/>
        </w:rPr>
        <w:t xml:space="preserve">ember </w:t>
      </w:r>
      <w:r>
        <w:rPr>
          <w:sz w:val="16"/>
          <w:szCs w:val="16"/>
          <w:lang w:val="en"/>
        </w:rPr>
        <w:t>s</w:t>
      </w:r>
      <w:r w:rsidRPr="00F17893">
        <w:rPr>
          <w:sz w:val="16"/>
          <w:szCs w:val="16"/>
          <w:lang w:val="en"/>
        </w:rPr>
        <w:t>tates (by 5.3 p</w:t>
      </w:r>
      <w:r>
        <w:rPr>
          <w:sz w:val="16"/>
          <w:szCs w:val="16"/>
          <w:lang w:val="en"/>
        </w:rPr>
        <w:t xml:space="preserve">. p. </w:t>
      </w:r>
      <w:r w:rsidRPr="00F17893">
        <w:rPr>
          <w:sz w:val="16"/>
          <w:szCs w:val="16"/>
          <w:lang w:val="en"/>
        </w:rPr>
        <w:t>for m</w:t>
      </w:r>
      <w:r>
        <w:rPr>
          <w:sz w:val="16"/>
          <w:szCs w:val="16"/>
          <w:lang w:val="en"/>
        </w:rPr>
        <w:t>ales</w:t>
      </w:r>
      <w:r w:rsidRPr="00F17893">
        <w:rPr>
          <w:sz w:val="16"/>
          <w:szCs w:val="16"/>
          <w:lang w:val="en"/>
        </w:rPr>
        <w:t xml:space="preserve"> and 7.6 p</w:t>
      </w:r>
      <w:r>
        <w:rPr>
          <w:sz w:val="16"/>
          <w:szCs w:val="16"/>
          <w:lang w:val="en"/>
        </w:rPr>
        <w:t xml:space="preserve">. p. </w:t>
      </w:r>
      <w:r w:rsidRPr="00F17893">
        <w:rPr>
          <w:sz w:val="16"/>
          <w:szCs w:val="16"/>
          <w:lang w:val="en"/>
        </w:rPr>
        <w:t xml:space="preserve">for </w:t>
      </w:r>
      <w:r>
        <w:rPr>
          <w:sz w:val="16"/>
          <w:szCs w:val="16"/>
          <w:lang w:val="en"/>
        </w:rPr>
        <w:t>females</w:t>
      </w:r>
      <w:r w:rsidRPr="00F17893">
        <w:rPr>
          <w:sz w:val="16"/>
          <w:szCs w:val="16"/>
          <w:lang w:val="en"/>
        </w:rPr>
        <w:t xml:space="preserve">). Among the </w:t>
      </w:r>
      <w:r>
        <w:rPr>
          <w:sz w:val="16"/>
          <w:szCs w:val="16"/>
          <w:lang w:val="en"/>
        </w:rPr>
        <w:t>m</w:t>
      </w:r>
      <w:r w:rsidRPr="00F17893">
        <w:rPr>
          <w:sz w:val="16"/>
          <w:szCs w:val="16"/>
          <w:lang w:val="en"/>
        </w:rPr>
        <w:t xml:space="preserve">ember </w:t>
      </w:r>
      <w:r>
        <w:rPr>
          <w:sz w:val="16"/>
          <w:szCs w:val="16"/>
          <w:lang w:val="en"/>
        </w:rPr>
        <w:t>s</w:t>
      </w:r>
      <w:r w:rsidRPr="00F17893">
        <w:rPr>
          <w:sz w:val="16"/>
          <w:szCs w:val="16"/>
          <w:lang w:val="en"/>
        </w:rPr>
        <w:t xml:space="preserve">tates that joined the EU only after 2000, the Czech Republic was surpassed only by some small economies (Malta, Cyprus) and by the Baltic States for </w:t>
      </w:r>
      <w:r>
        <w:rPr>
          <w:sz w:val="16"/>
          <w:szCs w:val="16"/>
          <w:lang w:val="en"/>
        </w:rPr>
        <w:t>females</w:t>
      </w:r>
      <w:r w:rsidRPr="00F17893">
        <w:rPr>
          <w:sz w:val="16"/>
          <w:szCs w:val="16"/>
          <w:lang w:val="en"/>
        </w:rPr>
        <w:t xml:space="preserve">. In terms of age, the </w:t>
      </w:r>
      <w:r>
        <w:rPr>
          <w:sz w:val="16"/>
          <w:szCs w:val="16"/>
          <w:lang w:val="en"/>
        </w:rPr>
        <w:t xml:space="preserve">total </w:t>
      </w:r>
      <w:r w:rsidRPr="00F17893">
        <w:rPr>
          <w:sz w:val="16"/>
          <w:szCs w:val="16"/>
          <w:lang w:val="en"/>
        </w:rPr>
        <w:t xml:space="preserve">employment rate in the Czech Republic is lower than in the EU only for </w:t>
      </w:r>
      <w:r>
        <w:rPr>
          <w:sz w:val="16"/>
          <w:szCs w:val="16"/>
          <w:lang w:val="en"/>
        </w:rPr>
        <w:t xml:space="preserve">persons aged </w:t>
      </w:r>
      <w:r w:rsidRPr="00F17893">
        <w:rPr>
          <w:sz w:val="16"/>
          <w:szCs w:val="16"/>
          <w:lang w:val="en"/>
        </w:rPr>
        <w:t>15 to 24</w:t>
      </w:r>
      <w:r>
        <w:rPr>
          <w:sz w:val="16"/>
          <w:szCs w:val="16"/>
          <w:lang w:val="en"/>
        </w:rPr>
        <w:t xml:space="preserve"> </w:t>
      </w:r>
      <w:r w:rsidRPr="00F17893">
        <w:rPr>
          <w:sz w:val="16"/>
          <w:szCs w:val="16"/>
          <w:lang w:val="en"/>
        </w:rPr>
        <w:t>year</w:t>
      </w:r>
      <w:r>
        <w:rPr>
          <w:sz w:val="16"/>
          <w:szCs w:val="16"/>
          <w:lang w:val="en"/>
        </w:rPr>
        <w:t>s</w:t>
      </w:r>
      <w:r w:rsidRPr="00F17893">
        <w:rPr>
          <w:sz w:val="16"/>
          <w:szCs w:val="16"/>
          <w:lang w:val="en"/>
        </w:rPr>
        <w:t xml:space="preserve">, but also for </w:t>
      </w:r>
      <w:r>
        <w:rPr>
          <w:sz w:val="16"/>
          <w:szCs w:val="16"/>
          <w:lang w:val="en"/>
        </w:rPr>
        <w:t xml:space="preserve">females in </w:t>
      </w:r>
      <w:r w:rsidRPr="00F17893">
        <w:rPr>
          <w:sz w:val="16"/>
          <w:szCs w:val="16"/>
          <w:lang w:val="en"/>
        </w:rPr>
        <w:t>the 25-39 age group.</w:t>
      </w:r>
      <w:r>
        <w:rPr>
          <w:sz w:val="16"/>
          <w:szCs w:val="16"/>
          <w:lang w:val="en"/>
        </w:rPr>
        <w:t xml:space="preserve"> </w:t>
      </w:r>
      <w:r w:rsidRPr="00B131B0">
        <w:rPr>
          <w:sz w:val="16"/>
          <w:szCs w:val="16"/>
        </w:rPr>
        <w:t xml:space="preserve">   </w:t>
      </w:r>
    </w:p>
  </w:footnote>
  <w:footnote w:id="18">
    <w:p w14:paraId="63A1FD3B" w14:textId="77777777" w:rsidR="00010596" w:rsidRPr="00B131B0" w:rsidRDefault="00010596" w:rsidP="00010596">
      <w:pPr>
        <w:pStyle w:val="Textpoznpodarou"/>
        <w:rPr>
          <w:sz w:val="16"/>
          <w:szCs w:val="16"/>
        </w:rPr>
      </w:pPr>
      <w:r w:rsidRPr="00B131B0">
        <w:rPr>
          <w:rStyle w:val="Znakapoznpodarou"/>
          <w:sz w:val="16"/>
          <w:szCs w:val="16"/>
        </w:rPr>
        <w:footnoteRef/>
      </w:r>
      <w:r w:rsidRPr="00B131B0">
        <w:rPr>
          <w:sz w:val="16"/>
          <w:szCs w:val="16"/>
        </w:rPr>
        <w:t xml:space="preserve"> </w:t>
      </w:r>
      <w:r w:rsidRPr="0027435A">
        <w:rPr>
          <w:sz w:val="16"/>
          <w:szCs w:val="16"/>
        </w:rPr>
        <w:t xml:space="preserve">These are regions at the NUTS-2 level (according to the EU nomenclature). As of this year, quarterly data from the </w:t>
      </w:r>
      <w:r>
        <w:rPr>
          <w:sz w:val="16"/>
          <w:szCs w:val="16"/>
        </w:rPr>
        <w:t>LFSS</w:t>
      </w:r>
      <w:r w:rsidRPr="0027435A">
        <w:rPr>
          <w:sz w:val="16"/>
          <w:szCs w:val="16"/>
        </w:rPr>
        <w:t xml:space="preserve"> are available only at this (and not the previously published) regional level (NUTS-3).</w:t>
      </w:r>
      <w:r w:rsidRPr="00B131B0">
        <w:rPr>
          <w:sz w:val="16"/>
          <w:szCs w:val="16"/>
        </w:rPr>
        <w:t xml:space="preserve"> </w:t>
      </w:r>
    </w:p>
  </w:footnote>
  <w:footnote w:id="19">
    <w:p w14:paraId="587CA4D6" w14:textId="77777777" w:rsidR="00010596" w:rsidRPr="00B131B0" w:rsidRDefault="00010596" w:rsidP="00010596">
      <w:pPr>
        <w:pStyle w:val="Textpoznpodarou"/>
        <w:rPr>
          <w:spacing w:val="-2"/>
          <w:sz w:val="16"/>
          <w:szCs w:val="16"/>
        </w:rPr>
      </w:pPr>
      <w:r w:rsidRPr="00B131B0">
        <w:rPr>
          <w:rStyle w:val="Znakapoznpodarou"/>
          <w:spacing w:val="-2"/>
          <w:sz w:val="16"/>
          <w:szCs w:val="16"/>
        </w:rPr>
        <w:footnoteRef/>
      </w:r>
      <w:r w:rsidRPr="00B131B0">
        <w:rPr>
          <w:spacing w:val="-2"/>
          <w:sz w:val="16"/>
          <w:szCs w:val="16"/>
        </w:rPr>
        <w:t xml:space="preserve"> </w:t>
      </w:r>
      <w:r>
        <w:rPr>
          <w:spacing w:val="-2"/>
          <w:sz w:val="16"/>
          <w:szCs w:val="16"/>
        </w:rPr>
        <w:t>Females</w:t>
      </w:r>
      <w:r w:rsidRPr="00781C0F">
        <w:rPr>
          <w:spacing w:val="-2"/>
          <w:sz w:val="16"/>
          <w:szCs w:val="16"/>
        </w:rPr>
        <w:t xml:space="preserve"> accounted for 80% of the year-on-year increase </w:t>
      </w:r>
      <w:r>
        <w:rPr>
          <w:spacing w:val="-2"/>
          <w:sz w:val="16"/>
          <w:szCs w:val="16"/>
        </w:rPr>
        <w:t>of</w:t>
      </w:r>
      <w:r w:rsidRPr="00781C0F">
        <w:rPr>
          <w:spacing w:val="-2"/>
          <w:sz w:val="16"/>
          <w:szCs w:val="16"/>
        </w:rPr>
        <w:t xml:space="preserve"> the number of part-time workers in Q2 2026 (+49 thousand), mainly by strengthening these job</w:t>
      </w:r>
      <w:r>
        <w:rPr>
          <w:spacing w:val="-2"/>
          <w:sz w:val="16"/>
          <w:szCs w:val="16"/>
        </w:rPr>
        <w:t xml:space="preserve"> contracts </w:t>
      </w:r>
      <w:r w:rsidRPr="00781C0F">
        <w:rPr>
          <w:spacing w:val="-2"/>
          <w:sz w:val="16"/>
          <w:szCs w:val="16"/>
        </w:rPr>
        <w:t>in the youngest working group (</w:t>
      </w:r>
      <w:r>
        <w:rPr>
          <w:spacing w:val="-2"/>
          <w:sz w:val="16"/>
          <w:szCs w:val="16"/>
        </w:rPr>
        <w:t xml:space="preserve">persons aged </w:t>
      </w:r>
      <w:r w:rsidRPr="00781C0F">
        <w:rPr>
          <w:spacing w:val="-2"/>
          <w:sz w:val="16"/>
          <w:szCs w:val="16"/>
        </w:rPr>
        <w:t>15–24 years) and the oldest</w:t>
      </w:r>
      <w:r>
        <w:rPr>
          <w:spacing w:val="-2"/>
          <w:sz w:val="16"/>
          <w:szCs w:val="16"/>
        </w:rPr>
        <w:t xml:space="preserve"> group</w:t>
      </w:r>
      <w:r w:rsidRPr="00781C0F">
        <w:rPr>
          <w:spacing w:val="-2"/>
          <w:sz w:val="16"/>
          <w:szCs w:val="16"/>
        </w:rPr>
        <w:t xml:space="preserve"> (</w:t>
      </w:r>
      <w:r>
        <w:rPr>
          <w:spacing w:val="-2"/>
          <w:sz w:val="16"/>
          <w:szCs w:val="16"/>
        </w:rPr>
        <w:t xml:space="preserve">persons aged </w:t>
      </w:r>
      <w:r w:rsidRPr="00781C0F">
        <w:rPr>
          <w:spacing w:val="-2"/>
          <w:sz w:val="16"/>
          <w:szCs w:val="16"/>
        </w:rPr>
        <w:t xml:space="preserve">60 years and over). This was also related to more general changes </w:t>
      </w:r>
      <w:r>
        <w:rPr>
          <w:spacing w:val="-2"/>
          <w:sz w:val="16"/>
          <w:szCs w:val="16"/>
        </w:rPr>
        <w:t>on</w:t>
      </w:r>
      <w:r w:rsidRPr="00781C0F">
        <w:rPr>
          <w:spacing w:val="-2"/>
          <w:sz w:val="16"/>
          <w:szCs w:val="16"/>
        </w:rPr>
        <w:t xml:space="preserve"> the labour market after the </w:t>
      </w:r>
      <w:r>
        <w:rPr>
          <w:spacing w:val="-2"/>
          <w:sz w:val="16"/>
          <w:szCs w:val="16"/>
        </w:rPr>
        <w:t xml:space="preserve">retreat </w:t>
      </w:r>
      <w:r w:rsidRPr="00781C0F">
        <w:rPr>
          <w:spacing w:val="-2"/>
          <w:sz w:val="16"/>
          <w:szCs w:val="16"/>
        </w:rPr>
        <w:t>of the COVID-19 pandemic, as well as to the state employment policy, which stimulated the supply of these job</w:t>
      </w:r>
      <w:r>
        <w:rPr>
          <w:spacing w:val="-2"/>
          <w:sz w:val="16"/>
          <w:szCs w:val="16"/>
        </w:rPr>
        <w:t xml:space="preserve"> contracts </w:t>
      </w:r>
      <w:r w:rsidRPr="00781C0F">
        <w:rPr>
          <w:spacing w:val="-2"/>
          <w:sz w:val="16"/>
          <w:szCs w:val="16"/>
        </w:rPr>
        <w:t>from 2023 onwards (in particular in the form of a discount on employers' insurance premiums, which applies to selected groups of employees, e.g. persons caring for a child under 10 years of age, persons over 55 years of age, persons with disabilities or students).</w:t>
      </w:r>
      <w:r w:rsidRPr="00B131B0">
        <w:rPr>
          <w:spacing w:val="-2"/>
          <w:sz w:val="16"/>
          <w:szCs w:val="16"/>
        </w:rPr>
        <w:t xml:space="preserve"> </w:t>
      </w:r>
    </w:p>
  </w:footnote>
  <w:footnote w:id="20">
    <w:p w14:paraId="40CC8EDE" w14:textId="77777777" w:rsidR="00010596" w:rsidRPr="00B131B0" w:rsidRDefault="00010596" w:rsidP="00010596">
      <w:pPr>
        <w:pStyle w:val="Textpoznpodarou"/>
        <w:rPr>
          <w:sz w:val="16"/>
          <w:szCs w:val="16"/>
        </w:rPr>
      </w:pPr>
      <w:r w:rsidRPr="00B131B0">
        <w:rPr>
          <w:rStyle w:val="Znakapoznpodarou"/>
          <w:sz w:val="16"/>
          <w:szCs w:val="16"/>
        </w:rPr>
        <w:footnoteRef/>
      </w:r>
      <w:r w:rsidRPr="00B131B0">
        <w:rPr>
          <w:sz w:val="16"/>
          <w:szCs w:val="16"/>
        </w:rPr>
        <w:t xml:space="preserve"> </w:t>
      </w:r>
      <w:r w:rsidRPr="006A46F7">
        <w:rPr>
          <w:sz w:val="16"/>
          <w:szCs w:val="16"/>
        </w:rPr>
        <w:t>Unless otherwise stated, seasonally adjusted data are also used.</w:t>
      </w:r>
    </w:p>
  </w:footnote>
  <w:footnote w:id="21">
    <w:p w14:paraId="0291AE6C" w14:textId="77777777" w:rsidR="00010596" w:rsidRPr="00B131B0" w:rsidRDefault="00010596" w:rsidP="00010596">
      <w:pPr>
        <w:pStyle w:val="Textpoznpodarou"/>
        <w:rPr>
          <w:color w:val="0D0D0D" w:themeColor="text1" w:themeTint="F2"/>
          <w:spacing w:val="-3"/>
          <w:sz w:val="16"/>
          <w:szCs w:val="16"/>
        </w:rPr>
      </w:pPr>
      <w:r w:rsidRPr="00B131B0">
        <w:rPr>
          <w:rStyle w:val="Znakapoznpodarou"/>
          <w:sz w:val="16"/>
          <w:szCs w:val="16"/>
        </w:rPr>
        <w:footnoteRef/>
      </w:r>
      <w:r w:rsidRPr="00B131B0">
        <w:rPr>
          <w:sz w:val="16"/>
          <w:szCs w:val="16"/>
        </w:rPr>
        <w:t xml:space="preserve"> </w:t>
      </w:r>
      <w:r w:rsidRPr="004F4B2E">
        <w:rPr>
          <w:sz w:val="16"/>
          <w:szCs w:val="16"/>
          <w:lang w:val="en"/>
        </w:rPr>
        <w:t xml:space="preserve">According to the August Business Survey, 19% of companies in services expected (without taking into account seasonality) to reduce the number of employees in the three-month horizon, about a tenth in industry and construction (but only 7% in trade). On the </w:t>
      </w:r>
      <w:r>
        <w:rPr>
          <w:sz w:val="16"/>
          <w:szCs w:val="16"/>
          <w:lang w:val="en"/>
        </w:rPr>
        <w:t>contrary</w:t>
      </w:r>
      <w:r w:rsidRPr="004F4B2E">
        <w:rPr>
          <w:sz w:val="16"/>
          <w:szCs w:val="16"/>
          <w:lang w:val="en"/>
        </w:rPr>
        <w:t>, the intention to increase the number of employees was most evident in construction (14%), followed by a slight distance in industry (11%), trade (10%) and services (8% of companies).</w:t>
      </w:r>
    </w:p>
  </w:footnote>
  <w:footnote w:id="22">
    <w:p w14:paraId="29DD1B8F" w14:textId="77777777" w:rsidR="00010596" w:rsidRPr="00B131B0" w:rsidRDefault="00010596" w:rsidP="00010596">
      <w:pPr>
        <w:pStyle w:val="Textpoznpodarou"/>
        <w:rPr>
          <w:color w:val="0D0D0D" w:themeColor="text1" w:themeTint="F2"/>
          <w:spacing w:val="-2"/>
          <w:sz w:val="16"/>
          <w:szCs w:val="16"/>
        </w:rPr>
      </w:pPr>
      <w:r w:rsidRPr="00B131B0">
        <w:rPr>
          <w:rStyle w:val="Znakapoznpodarou"/>
          <w:color w:val="0D0D0D" w:themeColor="text1" w:themeTint="F2"/>
          <w:sz w:val="16"/>
          <w:szCs w:val="16"/>
        </w:rPr>
        <w:footnoteRef/>
      </w:r>
      <w:r w:rsidRPr="00B131B0">
        <w:rPr>
          <w:color w:val="0D0D0D" w:themeColor="text1" w:themeTint="F2"/>
          <w:sz w:val="16"/>
          <w:szCs w:val="16"/>
        </w:rPr>
        <w:t xml:space="preserve"> </w:t>
      </w:r>
      <w:r>
        <w:rPr>
          <w:color w:val="0D0D0D" w:themeColor="text1" w:themeTint="F2"/>
          <w:sz w:val="16"/>
          <w:szCs w:val="16"/>
        </w:rPr>
        <w:t xml:space="preserve">Businesses </w:t>
      </w:r>
      <w:r w:rsidRPr="009938FB">
        <w:rPr>
          <w:color w:val="0D0D0D" w:themeColor="text1" w:themeTint="F2"/>
          <w:sz w:val="16"/>
          <w:szCs w:val="16"/>
        </w:rPr>
        <w:t xml:space="preserve">in a third of </w:t>
      </w:r>
      <w:r w:rsidRPr="00C805C5">
        <w:rPr>
          <w:i/>
          <w:iCs/>
          <w:color w:val="0D0D0D" w:themeColor="text1" w:themeTint="F2"/>
          <w:sz w:val="16"/>
          <w:szCs w:val="16"/>
        </w:rPr>
        <w:t>manufacturing industries</w:t>
      </w:r>
      <w:r w:rsidRPr="009938FB">
        <w:rPr>
          <w:color w:val="0D0D0D" w:themeColor="text1" w:themeTint="F2"/>
          <w:sz w:val="16"/>
          <w:szCs w:val="16"/>
        </w:rPr>
        <w:t xml:space="preserve"> expressed predominantly negative expectations of employment</w:t>
      </w:r>
      <w:r>
        <w:rPr>
          <w:color w:val="0D0D0D" w:themeColor="text1" w:themeTint="F2"/>
          <w:sz w:val="16"/>
          <w:szCs w:val="16"/>
        </w:rPr>
        <w:t xml:space="preserve"> in August this year</w:t>
      </w:r>
      <w:r w:rsidRPr="009938FB">
        <w:rPr>
          <w:color w:val="0D0D0D" w:themeColor="text1" w:themeTint="F2"/>
          <w:sz w:val="16"/>
          <w:szCs w:val="16"/>
        </w:rPr>
        <w:t xml:space="preserve">. The worst prospects were held in metallurgy, electronics and mechanical engineering, and </w:t>
      </w:r>
      <w:r>
        <w:rPr>
          <w:color w:val="0D0D0D" w:themeColor="text1" w:themeTint="F2"/>
          <w:sz w:val="16"/>
          <w:szCs w:val="16"/>
        </w:rPr>
        <w:t>among</w:t>
      </w:r>
      <w:r w:rsidRPr="009938FB">
        <w:rPr>
          <w:color w:val="0D0D0D" w:themeColor="text1" w:themeTint="F2"/>
          <w:sz w:val="16"/>
          <w:szCs w:val="16"/>
        </w:rPr>
        <w:t xml:space="preserve"> smaller sectors in leather, wood</w:t>
      </w:r>
      <w:r>
        <w:rPr>
          <w:color w:val="0D0D0D" w:themeColor="text1" w:themeTint="F2"/>
          <w:sz w:val="16"/>
          <w:szCs w:val="16"/>
        </w:rPr>
        <w:t>working</w:t>
      </w:r>
      <w:r w:rsidRPr="009938FB">
        <w:rPr>
          <w:color w:val="0D0D0D" w:themeColor="text1" w:themeTint="F2"/>
          <w:sz w:val="16"/>
          <w:szCs w:val="16"/>
        </w:rPr>
        <w:t xml:space="preserve"> and paper</w:t>
      </w:r>
      <w:r>
        <w:rPr>
          <w:color w:val="0D0D0D" w:themeColor="text1" w:themeTint="F2"/>
          <w:sz w:val="16"/>
          <w:szCs w:val="16"/>
        </w:rPr>
        <w:t xml:space="preserve"> industries</w:t>
      </w:r>
      <w:r w:rsidRPr="009938FB">
        <w:rPr>
          <w:color w:val="0D0D0D" w:themeColor="text1" w:themeTint="F2"/>
          <w:sz w:val="16"/>
          <w:szCs w:val="16"/>
        </w:rPr>
        <w:t xml:space="preserve">. On the </w:t>
      </w:r>
      <w:r>
        <w:rPr>
          <w:color w:val="0D0D0D" w:themeColor="text1" w:themeTint="F2"/>
          <w:sz w:val="16"/>
          <w:szCs w:val="16"/>
        </w:rPr>
        <w:t>contrary</w:t>
      </w:r>
      <w:r w:rsidRPr="009938FB">
        <w:rPr>
          <w:color w:val="0D0D0D" w:themeColor="text1" w:themeTint="F2"/>
          <w:sz w:val="16"/>
          <w:szCs w:val="16"/>
        </w:rPr>
        <w:t>, positive outlooks persisted mainly in electrical engineering, metal</w:t>
      </w:r>
      <w:r>
        <w:rPr>
          <w:color w:val="0D0D0D" w:themeColor="text1" w:themeTint="F2"/>
          <w:sz w:val="16"/>
          <w:szCs w:val="16"/>
        </w:rPr>
        <w:t>working</w:t>
      </w:r>
      <w:r w:rsidRPr="009938FB">
        <w:rPr>
          <w:color w:val="0D0D0D" w:themeColor="text1" w:themeTint="F2"/>
          <w:sz w:val="16"/>
          <w:szCs w:val="16"/>
        </w:rPr>
        <w:t xml:space="preserve"> industry, repair of machinery and equipment, other industries (e.g. production of sporting goods), food, pharmac</w:t>
      </w:r>
      <w:r>
        <w:rPr>
          <w:color w:val="0D0D0D" w:themeColor="text1" w:themeTint="F2"/>
          <w:sz w:val="16"/>
          <w:szCs w:val="16"/>
        </w:rPr>
        <w:t>eutical</w:t>
      </w:r>
      <w:r w:rsidRPr="009938FB">
        <w:rPr>
          <w:color w:val="0D0D0D" w:themeColor="text1" w:themeTint="F2"/>
          <w:sz w:val="16"/>
          <w:szCs w:val="16"/>
        </w:rPr>
        <w:t xml:space="preserve"> and printing</w:t>
      </w:r>
      <w:r>
        <w:rPr>
          <w:color w:val="0D0D0D" w:themeColor="text1" w:themeTint="F2"/>
          <w:sz w:val="16"/>
          <w:szCs w:val="16"/>
        </w:rPr>
        <w:t xml:space="preserve"> industries</w:t>
      </w:r>
      <w:r w:rsidRPr="009938FB">
        <w:rPr>
          <w:color w:val="0D0D0D" w:themeColor="text1" w:themeTint="F2"/>
          <w:sz w:val="16"/>
          <w:szCs w:val="16"/>
        </w:rPr>
        <w:t xml:space="preserve">. </w:t>
      </w:r>
      <w:r>
        <w:rPr>
          <w:color w:val="0D0D0D" w:themeColor="text1" w:themeTint="F2"/>
          <w:sz w:val="16"/>
          <w:szCs w:val="16"/>
        </w:rPr>
        <w:t>N</w:t>
      </w:r>
      <w:r w:rsidRPr="009938FB">
        <w:rPr>
          <w:color w:val="0D0D0D" w:themeColor="text1" w:themeTint="F2"/>
          <w:sz w:val="16"/>
          <w:szCs w:val="16"/>
        </w:rPr>
        <w:t>egative expectations also prevailed in a third of sub-sectors</w:t>
      </w:r>
      <w:r>
        <w:rPr>
          <w:color w:val="0D0D0D" w:themeColor="text1" w:themeTint="F2"/>
          <w:sz w:val="16"/>
          <w:szCs w:val="16"/>
        </w:rPr>
        <w:t xml:space="preserve"> </w:t>
      </w:r>
      <w:r w:rsidRPr="006645DB">
        <w:rPr>
          <w:i/>
          <w:iCs/>
          <w:color w:val="0D0D0D" w:themeColor="text1" w:themeTint="F2"/>
          <w:sz w:val="16"/>
          <w:szCs w:val="16"/>
        </w:rPr>
        <w:t>in services</w:t>
      </w:r>
      <w:r w:rsidRPr="009938FB">
        <w:rPr>
          <w:color w:val="0D0D0D" w:themeColor="text1" w:themeTint="F2"/>
          <w:sz w:val="16"/>
          <w:szCs w:val="16"/>
        </w:rPr>
        <w:t xml:space="preserve"> – mostly in telecommunications, financ</w:t>
      </w:r>
      <w:r>
        <w:rPr>
          <w:color w:val="0D0D0D" w:themeColor="text1" w:themeTint="F2"/>
          <w:sz w:val="16"/>
          <w:szCs w:val="16"/>
        </w:rPr>
        <w:t>ial,</w:t>
      </w:r>
      <w:r w:rsidRPr="009938FB">
        <w:rPr>
          <w:color w:val="0D0D0D" w:themeColor="text1" w:themeTint="F2"/>
          <w:sz w:val="16"/>
          <w:szCs w:val="16"/>
        </w:rPr>
        <w:t xml:space="preserve"> advertising</w:t>
      </w:r>
      <w:r>
        <w:rPr>
          <w:color w:val="0D0D0D" w:themeColor="text1" w:themeTint="F2"/>
          <w:sz w:val="16"/>
          <w:szCs w:val="16"/>
        </w:rPr>
        <w:t xml:space="preserve"> industries</w:t>
      </w:r>
      <w:r w:rsidRPr="009938FB">
        <w:rPr>
          <w:color w:val="0D0D0D" w:themeColor="text1" w:themeTint="F2"/>
          <w:sz w:val="16"/>
          <w:szCs w:val="16"/>
        </w:rPr>
        <w:t xml:space="preserve">, veterinary activities and some administrative and support </w:t>
      </w:r>
      <w:r>
        <w:rPr>
          <w:color w:val="0D0D0D" w:themeColor="text1" w:themeTint="F2"/>
          <w:sz w:val="16"/>
          <w:szCs w:val="16"/>
        </w:rPr>
        <w:t xml:space="preserve">service </w:t>
      </w:r>
      <w:r w:rsidRPr="009938FB">
        <w:rPr>
          <w:color w:val="0D0D0D" w:themeColor="text1" w:themeTint="F2"/>
          <w:sz w:val="16"/>
          <w:szCs w:val="16"/>
        </w:rPr>
        <w:t xml:space="preserve">activities. </w:t>
      </w:r>
      <w:r>
        <w:rPr>
          <w:color w:val="0D0D0D" w:themeColor="text1" w:themeTint="F2"/>
          <w:sz w:val="16"/>
          <w:szCs w:val="16"/>
        </w:rPr>
        <w:t>By contrast</w:t>
      </w:r>
      <w:r w:rsidRPr="009938FB">
        <w:rPr>
          <w:color w:val="0D0D0D" w:themeColor="text1" w:themeTint="F2"/>
          <w:sz w:val="16"/>
          <w:szCs w:val="16"/>
        </w:rPr>
        <w:t xml:space="preserve">, optimism prevailed in information activities, legal and accounting activities, </w:t>
      </w:r>
      <w:r w:rsidRPr="00995C95">
        <w:rPr>
          <w:color w:val="0D0D0D" w:themeColor="text1" w:themeTint="F2"/>
          <w:spacing w:val="-2"/>
          <w:sz w:val="16"/>
          <w:szCs w:val="16"/>
        </w:rPr>
        <w:t>activities of head offices and management consultancy activities</w:t>
      </w:r>
      <w:r>
        <w:rPr>
          <w:color w:val="0D0D0D" w:themeColor="text1" w:themeTint="F2"/>
          <w:spacing w:val="-2"/>
          <w:sz w:val="16"/>
          <w:szCs w:val="16"/>
        </w:rPr>
        <w:t xml:space="preserve">, activities of </w:t>
      </w:r>
      <w:r w:rsidRPr="009938FB">
        <w:rPr>
          <w:color w:val="0D0D0D" w:themeColor="text1" w:themeTint="F2"/>
          <w:sz w:val="16"/>
          <w:szCs w:val="16"/>
        </w:rPr>
        <w:t>employment</w:t>
      </w:r>
      <w:r>
        <w:rPr>
          <w:color w:val="0D0D0D" w:themeColor="text1" w:themeTint="F2"/>
          <w:sz w:val="16"/>
          <w:szCs w:val="16"/>
        </w:rPr>
        <w:t xml:space="preserve"> placement agencies</w:t>
      </w:r>
      <w:r w:rsidRPr="009938FB">
        <w:rPr>
          <w:color w:val="0D0D0D" w:themeColor="text1" w:themeTint="F2"/>
          <w:sz w:val="16"/>
          <w:szCs w:val="16"/>
        </w:rPr>
        <w:t xml:space="preserve">, land transport, warehousing, and security and </w:t>
      </w:r>
      <w:r>
        <w:rPr>
          <w:color w:val="0D0D0D" w:themeColor="text1" w:themeTint="F2"/>
          <w:sz w:val="16"/>
          <w:szCs w:val="16"/>
        </w:rPr>
        <w:t>investigation</w:t>
      </w:r>
      <w:r w:rsidRPr="009938FB">
        <w:rPr>
          <w:color w:val="0D0D0D" w:themeColor="text1" w:themeTint="F2"/>
          <w:sz w:val="16"/>
          <w:szCs w:val="16"/>
        </w:rPr>
        <w:t xml:space="preserve"> activities.</w:t>
      </w:r>
    </w:p>
  </w:footnote>
  <w:footnote w:id="23">
    <w:p w14:paraId="22770AE1" w14:textId="77777777" w:rsidR="00010596" w:rsidRPr="00B131B0" w:rsidRDefault="00010596" w:rsidP="00010596">
      <w:pPr>
        <w:pStyle w:val="Textpoznpodarou"/>
        <w:rPr>
          <w:sz w:val="16"/>
          <w:szCs w:val="16"/>
        </w:rPr>
      </w:pPr>
      <w:r w:rsidRPr="00B131B0">
        <w:rPr>
          <w:rStyle w:val="Znakapoznpodarou"/>
          <w:color w:val="0D0D0D" w:themeColor="text1" w:themeTint="F2"/>
          <w:sz w:val="16"/>
          <w:szCs w:val="16"/>
        </w:rPr>
        <w:footnoteRef/>
      </w:r>
      <w:r w:rsidRPr="00B131B0">
        <w:rPr>
          <w:color w:val="0D0D0D" w:themeColor="text1" w:themeTint="F2"/>
          <w:sz w:val="16"/>
          <w:szCs w:val="16"/>
        </w:rPr>
        <w:t xml:space="preserve"> </w:t>
      </w:r>
      <w:r w:rsidRPr="00502009">
        <w:rPr>
          <w:color w:val="0D0D0D" w:themeColor="text1" w:themeTint="F2"/>
          <w:sz w:val="16"/>
          <w:szCs w:val="16"/>
        </w:rPr>
        <w:t xml:space="preserve">Businesses could have </w:t>
      </w:r>
      <w:r>
        <w:rPr>
          <w:color w:val="0D0D0D" w:themeColor="text1" w:themeTint="F2"/>
          <w:sz w:val="16"/>
          <w:szCs w:val="16"/>
        </w:rPr>
        <w:t>stated</w:t>
      </w:r>
      <w:r w:rsidRPr="00502009">
        <w:rPr>
          <w:color w:val="0D0D0D" w:themeColor="text1" w:themeTint="F2"/>
          <w:sz w:val="16"/>
          <w:szCs w:val="16"/>
        </w:rPr>
        <w:t xml:space="preserve"> multiple barriers </w:t>
      </w:r>
      <w:r>
        <w:rPr>
          <w:color w:val="0D0D0D" w:themeColor="text1" w:themeTint="F2"/>
          <w:sz w:val="16"/>
          <w:szCs w:val="16"/>
        </w:rPr>
        <w:t>simultaneously</w:t>
      </w:r>
      <w:r w:rsidRPr="00502009">
        <w:rPr>
          <w:color w:val="0D0D0D" w:themeColor="text1" w:themeTint="F2"/>
          <w:sz w:val="16"/>
          <w:szCs w:val="16"/>
        </w:rPr>
        <w:t>.</w:t>
      </w:r>
    </w:p>
  </w:footnote>
  <w:footnote w:id="24">
    <w:p w14:paraId="4BE9209F" w14:textId="77777777" w:rsidR="00010596" w:rsidRPr="00B131B0" w:rsidRDefault="00010596" w:rsidP="00010596">
      <w:pPr>
        <w:pStyle w:val="Textpoznpodarou"/>
        <w:rPr>
          <w:sz w:val="16"/>
          <w:szCs w:val="16"/>
        </w:rPr>
      </w:pPr>
      <w:r w:rsidRPr="00B131B0">
        <w:rPr>
          <w:rStyle w:val="Znakapoznpodarou"/>
          <w:sz w:val="16"/>
          <w:szCs w:val="16"/>
        </w:rPr>
        <w:footnoteRef/>
      </w:r>
      <w:r w:rsidRPr="00B131B0">
        <w:rPr>
          <w:sz w:val="16"/>
          <w:szCs w:val="16"/>
        </w:rPr>
        <w:t xml:space="preserve"> </w:t>
      </w:r>
      <w:r w:rsidRPr="00BD5BF6">
        <w:rPr>
          <w:sz w:val="16"/>
          <w:szCs w:val="16"/>
          <w:lang w:val="en"/>
        </w:rPr>
        <w:t>These included the manufactur</w:t>
      </w:r>
      <w:r>
        <w:rPr>
          <w:sz w:val="16"/>
          <w:szCs w:val="16"/>
          <w:lang w:val="en"/>
        </w:rPr>
        <w:t xml:space="preserve">ing of </w:t>
      </w:r>
      <w:r w:rsidRPr="00BD5BF6">
        <w:rPr>
          <w:sz w:val="16"/>
          <w:szCs w:val="16"/>
          <w:lang w:val="en"/>
        </w:rPr>
        <w:t>other transport</w:t>
      </w:r>
      <w:r>
        <w:rPr>
          <w:sz w:val="16"/>
          <w:szCs w:val="16"/>
          <w:lang w:val="en"/>
        </w:rPr>
        <w:t xml:space="preserve"> equipment</w:t>
      </w:r>
      <w:r w:rsidRPr="00BD5BF6">
        <w:rPr>
          <w:sz w:val="16"/>
          <w:szCs w:val="16"/>
          <w:lang w:val="en"/>
        </w:rPr>
        <w:t xml:space="preserve">, repairs of machinery and equipment, as well as other industries (e.g. </w:t>
      </w:r>
      <w:r>
        <w:rPr>
          <w:sz w:val="16"/>
          <w:szCs w:val="16"/>
          <w:lang w:val="en"/>
        </w:rPr>
        <w:t>manufacturing o</w:t>
      </w:r>
      <w:r w:rsidRPr="00BD5BF6">
        <w:rPr>
          <w:sz w:val="16"/>
          <w:szCs w:val="16"/>
          <w:lang w:val="en"/>
        </w:rPr>
        <w:t xml:space="preserve">f sporting goods, games and toys, etc.). The services included </w:t>
      </w:r>
      <w:r>
        <w:rPr>
          <w:sz w:val="16"/>
          <w:szCs w:val="16"/>
          <w:lang w:val="en"/>
        </w:rPr>
        <w:t xml:space="preserve">land </w:t>
      </w:r>
      <w:r w:rsidRPr="00BD5BF6">
        <w:rPr>
          <w:sz w:val="16"/>
          <w:szCs w:val="16"/>
          <w:lang w:val="en"/>
        </w:rPr>
        <w:t xml:space="preserve">transport, </w:t>
      </w:r>
      <w:r>
        <w:rPr>
          <w:sz w:val="16"/>
          <w:szCs w:val="16"/>
          <w:lang w:val="en"/>
        </w:rPr>
        <w:t xml:space="preserve">food service </w:t>
      </w:r>
      <w:r w:rsidRPr="00BD5BF6">
        <w:rPr>
          <w:sz w:val="16"/>
          <w:szCs w:val="16"/>
          <w:lang w:val="en"/>
        </w:rPr>
        <w:t xml:space="preserve">and </w:t>
      </w:r>
      <w:r>
        <w:rPr>
          <w:sz w:val="16"/>
          <w:szCs w:val="16"/>
          <w:lang w:val="en"/>
        </w:rPr>
        <w:t>restaurants</w:t>
      </w:r>
      <w:r w:rsidRPr="00BD5BF6">
        <w:rPr>
          <w:sz w:val="16"/>
          <w:szCs w:val="16"/>
          <w:lang w:val="en"/>
        </w:rPr>
        <w:t xml:space="preserve">, architectural and engineering activities, security and </w:t>
      </w:r>
      <w:r>
        <w:rPr>
          <w:sz w:val="16"/>
          <w:szCs w:val="16"/>
          <w:lang w:val="en"/>
        </w:rPr>
        <w:t>investigation activities</w:t>
      </w:r>
      <w:r w:rsidRPr="00BD5BF6">
        <w:rPr>
          <w:sz w:val="16"/>
          <w:szCs w:val="16"/>
          <w:lang w:val="en"/>
        </w:rPr>
        <w:t xml:space="preserve">, cleaning activities, employment </w:t>
      </w:r>
      <w:r>
        <w:rPr>
          <w:sz w:val="16"/>
          <w:szCs w:val="16"/>
          <w:lang w:val="en"/>
        </w:rPr>
        <w:t xml:space="preserve">placement </w:t>
      </w:r>
      <w:r w:rsidRPr="00BD5BF6">
        <w:rPr>
          <w:sz w:val="16"/>
          <w:szCs w:val="16"/>
          <w:lang w:val="en"/>
        </w:rPr>
        <w:t>agencies and the provision of other personal services.</w:t>
      </w:r>
      <w:r>
        <w:rPr>
          <w:sz w:val="16"/>
          <w:szCs w:val="16"/>
          <w:lang w:val="en"/>
        </w:rPr>
        <w:t xml:space="preserve"> </w:t>
      </w:r>
    </w:p>
  </w:footnote>
  <w:footnote w:id="25">
    <w:p w14:paraId="49954728" w14:textId="77777777" w:rsidR="00010596" w:rsidRPr="00B131B0" w:rsidRDefault="00010596" w:rsidP="00010596">
      <w:pPr>
        <w:pStyle w:val="Textpoznpodarou"/>
        <w:rPr>
          <w:spacing w:val="-3"/>
          <w:sz w:val="16"/>
          <w:szCs w:val="16"/>
        </w:rPr>
      </w:pPr>
      <w:r w:rsidRPr="00B131B0">
        <w:rPr>
          <w:rStyle w:val="Znakapoznpodarou"/>
          <w:spacing w:val="-3"/>
          <w:sz w:val="16"/>
          <w:szCs w:val="16"/>
        </w:rPr>
        <w:footnoteRef/>
      </w:r>
      <w:r w:rsidRPr="00B131B0">
        <w:rPr>
          <w:spacing w:val="-3"/>
          <w:sz w:val="16"/>
          <w:szCs w:val="16"/>
        </w:rPr>
        <w:t xml:space="preserve"> </w:t>
      </w:r>
      <w:r w:rsidRPr="00995C95">
        <w:rPr>
          <w:spacing w:val="-3"/>
          <w:sz w:val="16"/>
          <w:szCs w:val="16"/>
        </w:rPr>
        <w:t xml:space="preserve">Data on unemployment rates in the Czech Republic are based on the LFSS (according to the ILO methodology) and are seasonally adjusted using a trend cycle. </w:t>
      </w:r>
    </w:p>
  </w:footnote>
  <w:footnote w:id="26">
    <w:p w14:paraId="7ED7A9BC" w14:textId="77777777" w:rsidR="00010596" w:rsidRPr="00B131B0" w:rsidRDefault="00010596" w:rsidP="00010596">
      <w:pPr>
        <w:pStyle w:val="Textpoznpodarou"/>
        <w:rPr>
          <w:sz w:val="16"/>
          <w:szCs w:val="16"/>
        </w:rPr>
      </w:pPr>
      <w:r w:rsidRPr="00B131B0">
        <w:rPr>
          <w:rStyle w:val="Znakapoznpodarou"/>
          <w:sz w:val="16"/>
          <w:szCs w:val="16"/>
        </w:rPr>
        <w:footnoteRef/>
      </w:r>
      <w:r w:rsidRPr="00B131B0">
        <w:rPr>
          <w:sz w:val="16"/>
          <w:szCs w:val="16"/>
        </w:rPr>
        <w:t xml:space="preserve"> </w:t>
      </w:r>
      <w:r w:rsidRPr="00C10383">
        <w:rPr>
          <w:sz w:val="16"/>
          <w:szCs w:val="16"/>
        </w:rPr>
        <w:t xml:space="preserve">The number of economically inactive persons who are not actively looking for work, </w:t>
      </w:r>
      <w:r>
        <w:rPr>
          <w:sz w:val="16"/>
          <w:szCs w:val="16"/>
        </w:rPr>
        <w:t xml:space="preserve">however </w:t>
      </w:r>
      <w:r w:rsidRPr="00C10383">
        <w:rPr>
          <w:sz w:val="16"/>
          <w:szCs w:val="16"/>
        </w:rPr>
        <w:t xml:space="preserve">at the same time state their willingness to work, reached 76 thousand in </w:t>
      </w:r>
      <w:r>
        <w:rPr>
          <w:sz w:val="16"/>
          <w:szCs w:val="16"/>
        </w:rPr>
        <w:t>H1</w:t>
      </w:r>
      <w:r w:rsidRPr="00C10383">
        <w:rPr>
          <w:sz w:val="16"/>
          <w:szCs w:val="16"/>
        </w:rPr>
        <w:t>this year, and this group decreased by 5 thousand</w:t>
      </w:r>
      <w:r>
        <w:rPr>
          <w:sz w:val="16"/>
          <w:szCs w:val="16"/>
        </w:rPr>
        <w:t>,</w:t>
      </w:r>
      <w:r w:rsidRPr="00C10383">
        <w:rPr>
          <w:sz w:val="16"/>
          <w:szCs w:val="16"/>
        </w:rPr>
        <w:t xml:space="preserve"> year-on-year.</w:t>
      </w:r>
      <w:r>
        <w:rPr>
          <w:sz w:val="16"/>
          <w:szCs w:val="16"/>
        </w:rPr>
        <w:t xml:space="preserve"> </w:t>
      </w:r>
    </w:p>
  </w:footnote>
  <w:footnote w:id="27">
    <w:p w14:paraId="32979A31" w14:textId="77777777" w:rsidR="00010596" w:rsidRPr="00A9048E" w:rsidRDefault="00010596" w:rsidP="00010596">
      <w:pPr>
        <w:pStyle w:val="Textpoznpodarou"/>
        <w:jc w:val="both"/>
        <w:rPr>
          <w:sz w:val="16"/>
          <w:szCs w:val="16"/>
        </w:rPr>
      </w:pPr>
      <w:r w:rsidRPr="00B131B0">
        <w:rPr>
          <w:rStyle w:val="Znakapoznpodarou"/>
          <w:sz w:val="16"/>
          <w:szCs w:val="16"/>
        </w:rPr>
        <w:footnoteRef/>
      </w:r>
      <w:r w:rsidRPr="00B131B0">
        <w:rPr>
          <w:sz w:val="16"/>
          <w:szCs w:val="16"/>
        </w:rPr>
        <w:t xml:space="preserve"> </w:t>
      </w:r>
      <w:r w:rsidRPr="00A9048E">
        <w:rPr>
          <w:sz w:val="16"/>
          <w:szCs w:val="16"/>
        </w:rPr>
        <w:t xml:space="preserve">In January this year, it reached 0.8 p. p., which at the time represented the most significant deterioration since the peak of the pandemic (or March 2021). </w:t>
      </w:r>
    </w:p>
  </w:footnote>
  <w:footnote w:id="28">
    <w:p w14:paraId="7D031E3E" w14:textId="77777777" w:rsidR="00010596" w:rsidRPr="00A9048E" w:rsidRDefault="00010596" w:rsidP="00010596">
      <w:pPr>
        <w:pStyle w:val="Textpoznpodarou"/>
        <w:rPr>
          <w:rFonts w:eastAsiaTheme="majorEastAsia"/>
          <w:color w:val="0D0D0D" w:themeColor="text1" w:themeTint="F2"/>
          <w:sz w:val="16"/>
          <w:szCs w:val="16"/>
        </w:rPr>
      </w:pPr>
      <w:r w:rsidRPr="00A9048E">
        <w:rPr>
          <w:rStyle w:val="Znakapoznpodarou"/>
          <w:color w:val="0D0D0D" w:themeColor="text1" w:themeTint="F2"/>
          <w:sz w:val="16"/>
          <w:szCs w:val="16"/>
        </w:rPr>
        <w:footnoteRef/>
      </w:r>
      <w:r w:rsidRPr="00A9048E">
        <w:rPr>
          <w:color w:val="0D0D0D" w:themeColor="text1" w:themeTint="F2"/>
          <w:sz w:val="16"/>
          <w:szCs w:val="16"/>
        </w:rPr>
        <w:t xml:space="preserve"> The highest share of unemployed (to the population aged 15 to 64 years) in July this year was recorded by males in the “</w:t>
      </w:r>
      <w:r w:rsidRPr="00A9048E">
        <w:rPr>
          <w:i/>
          <w:iCs/>
          <w:color w:val="0D0D0D" w:themeColor="text1" w:themeTint="F2"/>
          <w:sz w:val="16"/>
          <w:szCs w:val="16"/>
        </w:rPr>
        <w:t>Karviná</w:t>
      </w:r>
      <w:r w:rsidRPr="00A9048E">
        <w:rPr>
          <w:color w:val="0D0D0D" w:themeColor="text1" w:themeTint="F2"/>
          <w:sz w:val="16"/>
          <w:szCs w:val="16"/>
        </w:rPr>
        <w:t xml:space="preserve"> district” (11.0%) and females in the “</w:t>
      </w:r>
      <w:r w:rsidRPr="00A9048E">
        <w:rPr>
          <w:i/>
          <w:iCs/>
          <w:color w:val="0D0D0D" w:themeColor="text1" w:themeTint="F2"/>
          <w:sz w:val="16"/>
          <w:szCs w:val="16"/>
        </w:rPr>
        <w:t>Most</w:t>
      </w:r>
      <w:r>
        <w:rPr>
          <w:i/>
          <w:iCs/>
          <w:color w:val="0D0D0D" w:themeColor="text1" w:themeTint="F2"/>
          <w:sz w:val="16"/>
          <w:szCs w:val="16"/>
        </w:rPr>
        <w:t xml:space="preserve"> district”</w:t>
      </w:r>
      <w:r w:rsidRPr="00A9048E">
        <w:rPr>
          <w:color w:val="0D0D0D" w:themeColor="text1" w:themeTint="F2"/>
          <w:sz w:val="16"/>
          <w:szCs w:val="16"/>
        </w:rPr>
        <w:t xml:space="preserve">” (12.0%). Total unemployment in the range of 7 to 10% plagued the </w:t>
      </w:r>
      <w:r>
        <w:rPr>
          <w:color w:val="0D0D0D" w:themeColor="text1" w:themeTint="F2"/>
          <w:sz w:val="16"/>
          <w:szCs w:val="16"/>
        </w:rPr>
        <w:t>“</w:t>
      </w:r>
      <w:r w:rsidRPr="00A9048E">
        <w:rPr>
          <w:color w:val="0D0D0D" w:themeColor="text1" w:themeTint="F2"/>
          <w:sz w:val="16"/>
          <w:szCs w:val="16"/>
        </w:rPr>
        <w:t xml:space="preserve">districts of </w:t>
      </w:r>
      <w:r w:rsidRPr="00A9048E">
        <w:rPr>
          <w:i/>
          <w:iCs/>
          <w:color w:val="0D0D0D" w:themeColor="text1" w:themeTint="F2"/>
          <w:sz w:val="16"/>
          <w:szCs w:val="16"/>
        </w:rPr>
        <w:t xml:space="preserve">Bruntál, Ostrava, Sokolov, Chomutov, Ústí nad Labem, Děčín </w:t>
      </w:r>
      <w:r w:rsidRPr="00A9048E">
        <w:rPr>
          <w:color w:val="0D0D0D" w:themeColor="text1" w:themeTint="F2"/>
          <w:sz w:val="16"/>
          <w:szCs w:val="16"/>
        </w:rPr>
        <w:t xml:space="preserve">and </w:t>
      </w:r>
      <w:r w:rsidRPr="00A9048E">
        <w:rPr>
          <w:i/>
          <w:iCs/>
          <w:color w:val="0D0D0D" w:themeColor="text1" w:themeTint="F2"/>
          <w:sz w:val="16"/>
          <w:szCs w:val="16"/>
        </w:rPr>
        <w:t>Louny</w:t>
      </w:r>
      <w:r>
        <w:rPr>
          <w:i/>
          <w:iCs/>
          <w:color w:val="0D0D0D" w:themeColor="text1" w:themeTint="F2"/>
          <w:sz w:val="16"/>
          <w:szCs w:val="16"/>
        </w:rPr>
        <w:t>”</w:t>
      </w:r>
      <w:r w:rsidRPr="00A9048E">
        <w:rPr>
          <w:color w:val="0D0D0D" w:themeColor="text1" w:themeTint="F2"/>
          <w:sz w:val="16"/>
          <w:szCs w:val="16"/>
        </w:rPr>
        <w:t xml:space="preserve">. On the contrary, the lowest unemployment rate was still recorded in the districts of Prague-West and Prague-East (2.0%), </w:t>
      </w:r>
      <w:r w:rsidRPr="00A9048E">
        <w:rPr>
          <w:i/>
          <w:iCs/>
          <w:color w:val="0D0D0D" w:themeColor="text1" w:themeTint="F2"/>
          <w:sz w:val="16"/>
          <w:szCs w:val="16"/>
        </w:rPr>
        <w:t>Rychnov nad Kněžnou</w:t>
      </w:r>
      <w:r w:rsidRPr="00A9048E">
        <w:rPr>
          <w:color w:val="0D0D0D" w:themeColor="text1" w:themeTint="F2"/>
          <w:sz w:val="16"/>
          <w:szCs w:val="16"/>
        </w:rPr>
        <w:t xml:space="preserve"> (2.9%), </w:t>
      </w:r>
      <w:r w:rsidRPr="00A9048E">
        <w:rPr>
          <w:i/>
          <w:iCs/>
          <w:color w:val="0D0D0D" w:themeColor="text1" w:themeTint="F2"/>
          <w:sz w:val="16"/>
          <w:szCs w:val="16"/>
        </w:rPr>
        <w:t>Pelhřimov</w:t>
      </w:r>
      <w:r w:rsidRPr="00A9048E">
        <w:rPr>
          <w:color w:val="0D0D0D" w:themeColor="text1" w:themeTint="F2"/>
          <w:sz w:val="16"/>
          <w:szCs w:val="16"/>
        </w:rPr>
        <w:t xml:space="preserve"> (3.0%), </w:t>
      </w:r>
      <w:r w:rsidRPr="00A9048E">
        <w:rPr>
          <w:i/>
          <w:iCs/>
          <w:color w:val="0D0D0D" w:themeColor="text1" w:themeTint="F2"/>
          <w:sz w:val="16"/>
          <w:szCs w:val="16"/>
        </w:rPr>
        <w:t xml:space="preserve">Zlín </w:t>
      </w:r>
      <w:r w:rsidRPr="00A9048E">
        <w:rPr>
          <w:color w:val="0D0D0D" w:themeColor="text1" w:themeTint="F2"/>
          <w:sz w:val="16"/>
          <w:szCs w:val="16"/>
        </w:rPr>
        <w:t xml:space="preserve">(3.5%), </w:t>
      </w:r>
      <w:r w:rsidRPr="00A9048E">
        <w:rPr>
          <w:i/>
          <w:iCs/>
          <w:color w:val="0D0D0D" w:themeColor="text1" w:themeTint="F2"/>
          <w:sz w:val="16"/>
          <w:szCs w:val="16"/>
        </w:rPr>
        <w:t>Kroměříž, Ústí</w:t>
      </w:r>
      <w:r w:rsidRPr="00A9048E">
        <w:rPr>
          <w:color w:val="0D0D0D" w:themeColor="text1" w:themeTint="F2"/>
          <w:sz w:val="16"/>
          <w:szCs w:val="16"/>
        </w:rPr>
        <w:t xml:space="preserve"> </w:t>
      </w:r>
      <w:r w:rsidRPr="00A9048E">
        <w:rPr>
          <w:i/>
          <w:iCs/>
          <w:color w:val="0D0D0D" w:themeColor="text1" w:themeTint="F2"/>
          <w:sz w:val="16"/>
          <w:szCs w:val="16"/>
        </w:rPr>
        <w:t>nad Orlicí</w:t>
      </w:r>
      <w:r w:rsidRPr="00A9048E">
        <w:rPr>
          <w:color w:val="0D0D0D" w:themeColor="text1" w:themeTint="F2"/>
          <w:sz w:val="16"/>
          <w:szCs w:val="16"/>
        </w:rPr>
        <w:t xml:space="preserve"> and </w:t>
      </w:r>
      <w:r w:rsidRPr="00A9048E">
        <w:rPr>
          <w:i/>
          <w:iCs/>
          <w:color w:val="0D0D0D" w:themeColor="text1" w:themeTint="F2"/>
          <w:sz w:val="16"/>
          <w:szCs w:val="16"/>
        </w:rPr>
        <w:t>Jindřichův Hradec</w:t>
      </w:r>
      <w:r w:rsidRPr="00A9048E">
        <w:rPr>
          <w:color w:val="0D0D0D" w:themeColor="text1" w:themeTint="F2"/>
          <w:sz w:val="16"/>
          <w:szCs w:val="16"/>
        </w:rPr>
        <w:t xml:space="preserve"> (both 3.6%). Year-on-year, unemployment increased in all districts of the Czech Republic – mostly due to the decline of coal mining in the </w:t>
      </w:r>
      <w:r w:rsidRPr="00750971">
        <w:rPr>
          <w:i/>
          <w:iCs/>
          <w:color w:val="0D0D0D" w:themeColor="text1" w:themeTint="F2"/>
          <w:sz w:val="16"/>
          <w:szCs w:val="16"/>
        </w:rPr>
        <w:t>“Karviná</w:t>
      </w:r>
      <w:r w:rsidRPr="00A9048E">
        <w:rPr>
          <w:color w:val="0D0D0D" w:themeColor="text1" w:themeTint="F2"/>
          <w:sz w:val="16"/>
          <w:szCs w:val="16"/>
        </w:rPr>
        <w:t xml:space="preserve"> </w:t>
      </w:r>
      <w:r>
        <w:rPr>
          <w:color w:val="0D0D0D" w:themeColor="text1" w:themeTint="F2"/>
          <w:sz w:val="16"/>
          <w:szCs w:val="16"/>
        </w:rPr>
        <w:t>district”</w:t>
      </w:r>
      <w:r w:rsidRPr="00A9048E">
        <w:rPr>
          <w:color w:val="0D0D0D" w:themeColor="text1" w:themeTint="F2"/>
          <w:sz w:val="16"/>
          <w:szCs w:val="16"/>
        </w:rPr>
        <w:t xml:space="preserve"> (+1.1 p. p.), followed by the </w:t>
      </w:r>
      <w:r>
        <w:rPr>
          <w:color w:val="0D0D0D" w:themeColor="text1" w:themeTint="F2"/>
          <w:sz w:val="16"/>
          <w:szCs w:val="16"/>
        </w:rPr>
        <w:t>“</w:t>
      </w:r>
      <w:r w:rsidRPr="00750971">
        <w:rPr>
          <w:i/>
          <w:iCs/>
          <w:color w:val="0D0D0D" w:themeColor="text1" w:themeTint="F2"/>
          <w:sz w:val="16"/>
          <w:szCs w:val="16"/>
        </w:rPr>
        <w:t xml:space="preserve">Bruntál </w:t>
      </w:r>
      <w:r>
        <w:rPr>
          <w:color w:val="0D0D0D" w:themeColor="text1" w:themeTint="F2"/>
          <w:sz w:val="16"/>
          <w:szCs w:val="16"/>
        </w:rPr>
        <w:t>district”</w:t>
      </w:r>
      <w:r w:rsidRPr="00A9048E">
        <w:rPr>
          <w:color w:val="0D0D0D" w:themeColor="text1" w:themeTint="F2"/>
          <w:sz w:val="16"/>
          <w:szCs w:val="16"/>
        </w:rPr>
        <w:t xml:space="preserve"> (+1.1 p. p.), the </w:t>
      </w:r>
      <w:r w:rsidRPr="00520B53">
        <w:rPr>
          <w:i/>
          <w:iCs/>
          <w:color w:val="0D0D0D" w:themeColor="text1" w:themeTint="F2"/>
          <w:sz w:val="16"/>
          <w:szCs w:val="16"/>
        </w:rPr>
        <w:t>Prostě</w:t>
      </w:r>
      <w:r w:rsidRPr="00A9048E">
        <w:rPr>
          <w:color w:val="0D0D0D" w:themeColor="text1" w:themeTint="F2"/>
          <w:sz w:val="16"/>
          <w:szCs w:val="16"/>
        </w:rPr>
        <w:t xml:space="preserve">jov </w:t>
      </w:r>
      <w:r>
        <w:rPr>
          <w:color w:val="0D0D0D" w:themeColor="text1" w:themeTint="F2"/>
          <w:sz w:val="16"/>
          <w:szCs w:val="16"/>
        </w:rPr>
        <w:t>district a</w:t>
      </w:r>
      <w:r w:rsidRPr="00A9048E">
        <w:rPr>
          <w:color w:val="0D0D0D" w:themeColor="text1" w:themeTint="F2"/>
          <w:sz w:val="16"/>
          <w:szCs w:val="16"/>
        </w:rPr>
        <w:t xml:space="preserve">nd the </w:t>
      </w:r>
      <w:r w:rsidRPr="00520B53">
        <w:rPr>
          <w:i/>
          <w:iCs/>
          <w:color w:val="0D0D0D" w:themeColor="text1" w:themeTint="F2"/>
          <w:sz w:val="16"/>
          <w:szCs w:val="16"/>
        </w:rPr>
        <w:t>Děčín</w:t>
      </w:r>
      <w:r w:rsidRPr="00A9048E">
        <w:rPr>
          <w:color w:val="0D0D0D" w:themeColor="text1" w:themeTint="F2"/>
          <w:sz w:val="16"/>
          <w:szCs w:val="16"/>
        </w:rPr>
        <w:t xml:space="preserve"> </w:t>
      </w:r>
      <w:r>
        <w:rPr>
          <w:color w:val="0D0D0D" w:themeColor="text1" w:themeTint="F2"/>
          <w:sz w:val="16"/>
          <w:szCs w:val="16"/>
        </w:rPr>
        <w:t xml:space="preserve">district </w:t>
      </w:r>
      <w:r w:rsidRPr="00A9048E">
        <w:rPr>
          <w:color w:val="0D0D0D" w:themeColor="text1" w:themeTint="F2"/>
          <w:sz w:val="16"/>
          <w:szCs w:val="16"/>
        </w:rPr>
        <w:t xml:space="preserve">(+0.8 to 0.9 p. p.). However, slightly above-average growth also occurred, for example, in </w:t>
      </w:r>
      <w:r w:rsidRPr="00773605">
        <w:rPr>
          <w:i/>
          <w:iCs/>
          <w:color w:val="0D0D0D" w:themeColor="text1" w:themeTint="F2"/>
          <w:sz w:val="16"/>
          <w:szCs w:val="16"/>
        </w:rPr>
        <w:t>Plzeň</w:t>
      </w:r>
      <w:r>
        <w:rPr>
          <w:color w:val="0D0D0D" w:themeColor="text1" w:themeTint="F2"/>
          <w:sz w:val="16"/>
          <w:szCs w:val="16"/>
        </w:rPr>
        <w:t xml:space="preserve"> </w:t>
      </w:r>
      <w:r w:rsidRPr="00A9048E">
        <w:rPr>
          <w:color w:val="0D0D0D" w:themeColor="text1" w:themeTint="F2"/>
          <w:sz w:val="16"/>
          <w:szCs w:val="16"/>
        </w:rPr>
        <w:t>(from 3.5% to 4.1%) and Prague (from 3.4% to 3.9%).</w:t>
      </w:r>
      <w:r w:rsidRPr="00A9048E">
        <w:rPr>
          <w:sz w:val="16"/>
          <w:szCs w:val="16"/>
        </w:rPr>
        <w:t xml:space="preserve"> </w:t>
      </w:r>
    </w:p>
  </w:footnote>
  <w:footnote w:id="29">
    <w:p w14:paraId="7BAC258F" w14:textId="77777777" w:rsidR="00010596" w:rsidRPr="00A9048E" w:rsidRDefault="00010596" w:rsidP="00010596">
      <w:pPr>
        <w:pStyle w:val="Textpoznpodarou"/>
        <w:rPr>
          <w:sz w:val="16"/>
          <w:szCs w:val="16"/>
        </w:rPr>
      </w:pPr>
      <w:r w:rsidRPr="00A9048E">
        <w:rPr>
          <w:rStyle w:val="Znakapoznpodarou"/>
          <w:sz w:val="16"/>
          <w:szCs w:val="16"/>
        </w:rPr>
        <w:footnoteRef/>
      </w:r>
      <w:r w:rsidRPr="00A9048E">
        <w:rPr>
          <w:sz w:val="16"/>
          <w:szCs w:val="16"/>
        </w:rPr>
        <w:t xml:space="preserve"> For three quarters of the job vacancies offered, only basic education was sufficient for the applicants and for 90% secondary education without a school-leaving certificate. On the contrary, more than a third of all registered job applicants have at least a school-leaving certificate and as many as 70% of applicants have achieved at least a lower form of secondary education. However, it should not be forgotten that better-paid jobs for applicants with higher qualifications are often primarily offered in a form other than through labour offices.</w:t>
      </w:r>
      <w:r w:rsidRPr="00A9048E">
        <w:rPr>
          <w:color w:val="0D0D0D" w:themeColor="text1" w:themeTint="F2"/>
          <w:sz w:val="16"/>
          <w:szCs w:val="16"/>
        </w:rPr>
        <w:t xml:space="preserve"> </w:t>
      </w:r>
    </w:p>
  </w:footnote>
  <w:footnote w:id="30">
    <w:p w14:paraId="1629D4AA" w14:textId="77777777" w:rsidR="00010596" w:rsidRPr="00B131B0" w:rsidRDefault="00010596" w:rsidP="00010596">
      <w:pPr>
        <w:pStyle w:val="paragraph"/>
        <w:spacing w:before="0" w:beforeAutospacing="0" w:after="0" w:afterAutospacing="0"/>
        <w:textAlignment w:val="baseline"/>
        <w:rPr>
          <w:rFonts w:ascii="Arial" w:eastAsiaTheme="majorEastAsia" w:hAnsi="Arial" w:cs="Arial"/>
          <w:sz w:val="16"/>
          <w:szCs w:val="16"/>
        </w:rPr>
      </w:pPr>
      <w:r w:rsidRPr="00A9048E">
        <w:rPr>
          <w:rStyle w:val="Znakapoznpodarou"/>
          <w:rFonts w:ascii="Arial" w:hAnsi="Arial" w:cs="Arial"/>
          <w:sz w:val="16"/>
          <w:szCs w:val="16"/>
        </w:rPr>
        <w:footnoteRef/>
      </w:r>
      <w:r w:rsidRPr="00A9048E">
        <w:rPr>
          <w:rFonts w:ascii="Arial" w:hAnsi="Arial" w:cs="Arial"/>
          <w:sz w:val="16"/>
          <w:szCs w:val="16"/>
        </w:rPr>
        <w:t xml:space="preserve"> The highest number of applicants per position is traditionally in the </w:t>
      </w:r>
      <w:r>
        <w:rPr>
          <w:rFonts w:ascii="Arial" w:hAnsi="Arial" w:cs="Arial"/>
          <w:sz w:val="16"/>
          <w:szCs w:val="16"/>
        </w:rPr>
        <w:t>“</w:t>
      </w:r>
      <w:r w:rsidRPr="00A9048E">
        <w:rPr>
          <w:rFonts w:ascii="Arial" w:hAnsi="Arial" w:cs="Arial"/>
          <w:sz w:val="16"/>
          <w:szCs w:val="16"/>
        </w:rPr>
        <w:t>mining districts</w:t>
      </w:r>
      <w:r>
        <w:rPr>
          <w:rFonts w:ascii="Arial" w:hAnsi="Arial" w:cs="Arial"/>
          <w:sz w:val="16"/>
          <w:szCs w:val="16"/>
        </w:rPr>
        <w:t>”</w:t>
      </w:r>
      <w:r w:rsidRPr="00A9048E">
        <w:rPr>
          <w:rFonts w:ascii="Arial" w:hAnsi="Arial" w:cs="Arial"/>
          <w:sz w:val="16"/>
          <w:szCs w:val="16"/>
        </w:rPr>
        <w:t xml:space="preserve"> of </w:t>
      </w:r>
      <w:r w:rsidRPr="00773605">
        <w:rPr>
          <w:rFonts w:ascii="Arial" w:hAnsi="Arial" w:cs="Arial"/>
          <w:i/>
          <w:iCs/>
          <w:sz w:val="16"/>
          <w:szCs w:val="16"/>
        </w:rPr>
        <w:t>Karviná</w:t>
      </w:r>
      <w:r w:rsidRPr="00A9048E">
        <w:rPr>
          <w:rFonts w:ascii="Arial" w:hAnsi="Arial" w:cs="Arial"/>
          <w:sz w:val="16"/>
          <w:szCs w:val="16"/>
        </w:rPr>
        <w:t xml:space="preserve"> (19.1) and </w:t>
      </w:r>
      <w:r w:rsidRPr="00773605">
        <w:rPr>
          <w:rFonts w:ascii="Arial" w:hAnsi="Arial" w:cs="Arial"/>
          <w:i/>
          <w:iCs/>
          <w:sz w:val="16"/>
          <w:szCs w:val="16"/>
        </w:rPr>
        <w:t>Sokolov</w:t>
      </w:r>
      <w:r w:rsidRPr="00A9048E">
        <w:rPr>
          <w:rFonts w:ascii="Arial" w:hAnsi="Arial" w:cs="Arial"/>
          <w:sz w:val="16"/>
          <w:szCs w:val="16"/>
        </w:rPr>
        <w:t xml:space="preserve"> (18.3), followed by </w:t>
      </w:r>
      <w:r w:rsidRPr="00773605">
        <w:rPr>
          <w:rFonts w:ascii="Arial" w:hAnsi="Arial" w:cs="Arial"/>
          <w:i/>
          <w:iCs/>
          <w:sz w:val="16"/>
          <w:szCs w:val="16"/>
        </w:rPr>
        <w:t>Ústí nad Labem</w:t>
      </w:r>
      <w:r w:rsidRPr="00A9048E">
        <w:rPr>
          <w:rFonts w:ascii="Arial" w:hAnsi="Arial" w:cs="Arial"/>
          <w:sz w:val="16"/>
          <w:szCs w:val="16"/>
        </w:rPr>
        <w:t xml:space="preserve"> (17.1), </w:t>
      </w:r>
      <w:r w:rsidRPr="00773605">
        <w:rPr>
          <w:rFonts w:ascii="Arial" w:hAnsi="Arial" w:cs="Arial"/>
          <w:i/>
          <w:iCs/>
          <w:sz w:val="16"/>
          <w:szCs w:val="16"/>
        </w:rPr>
        <w:t>Děčín</w:t>
      </w:r>
      <w:r w:rsidRPr="00A9048E">
        <w:rPr>
          <w:rFonts w:ascii="Arial" w:hAnsi="Arial" w:cs="Arial"/>
          <w:sz w:val="16"/>
          <w:szCs w:val="16"/>
        </w:rPr>
        <w:t xml:space="preserve"> (16.4), </w:t>
      </w:r>
      <w:r w:rsidRPr="00773605">
        <w:rPr>
          <w:rFonts w:ascii="Arial" w:hAnsi="Arial" w:cs="Arial"/>
          <w:i/>
          <w:iCs/>
          <w:sz w:val="16"/>
          <w:szCs w:val="16"/>
        </w:rPr>
        <w:t>Bruntál</w:t>
      </w:r>
      <w:r w:rsidRPr="00A9048E">
        <w:rPr>
          <w:rFonts w:ascii="Arial" w:hAnsi="Arial" w:cs="Arial"/>
          <w:sz w:val="16"/>
          <w:szCs w:val="16"/>
        </w:rPr>
        <w:t xml:space="preserve"> (10.5), </w:t>
      </w:r>
      <w:r w:rsidRPr="00773605">
        <w:rPr>
          <w:rFonts w:ascii="Arial" w:hAnsi="Arial" w:cs="Arial"/>
          <w:i/>
          <w:iCs/>
          <w:sz w:val="16"/>
          <w:szCs w:val="16"/>
        </w:rPr>
        <w:t>Jablonec n. Nisa</w:t>
      </w:r>
      <w:r w:rsidRPr="00A9048E">
        <w:rPr>
          <w:rFonts w:ascii="Arial" w:hAnsi="Arial" w:cs="Arial"/>
          <w:sz w:val="16"/>
          <w:szCs w:val="16"/>
        </w:rPr>
        <w:t xml:space="preserve"> (9.5) and </w:t>
      </w:r>
      <w:r w:rsidRPr="00773605">
        <w:rPr>
          <w:rFonts w:ascii="Arial" w:hAnsi="Arial" w:cs="Arial"/>
          <w:i/>
          <w:iCs/>
          <w:sz w:val="16"/>
          <w:szCs w:val="16"/>
        </w:rPr>
        <w:t>Ostrava</w:t>
      </w:r>
      <w:r w:rsidRPr="00A9048E">
        <w:rPr>
          <w:rFonts w:ascii="Arial" w:hAnsi="Arial" w:cs="Arial"/>
          <w:sz w:val="16"/>
          <w:szCs w:val="16"/>
        </w:rPr>
        <w:t xml:space="preserve"> (8.6). On the contrary, the ratio between applicants and vacancies was almost equal in the districts of </w:t>
      </w:r>
      <w:r w:rsidRPr="00773605">
        <w:rPr>
          <w:rFonts w:ascii="Arial" w:hAnsi="Arial" w:cs="Arial"/>
          <w:i/>
          <w:iCs/>
          <w:sz w:val="16"/>
          <w:szCs w:val="16"/>
        </w:rPr>
        <w:t>Tachov</w:t>
      </w:r>
      <w:r w:rsidRPr="00A9048E">
        <w:rPr>
          <w:rFonts w:ascii="Arial" w:hAnsi="Arial" w:cs="Arial"/>
          <w:sz w:val="16"/>
          <w:szCs w:val="16"/>
        </w:rPr>
        <w:t xml:space="preserve"> (1.2), Prague-East and Prague-West, </w:t>
      </w:r>
      <w:r w:rsidRPr="00773605">
        <w:rPr>
          <w:rFonts w:ascii="Arial" w:hAnsi="Arial" w:cs="Arial"/>
          <w:i/>
          <w:iCs/>
          <w:sz w:val="16"/>
          <w:szCs w:val="16"/>
        </w:rPr>
        <w:t>Mladá Boleslav</w:t>
      </w:r>
      <w:r w:rsidRPr="00A9048E">
        <w:rPr>
          <w:rFonts w:ascii="Arial" w:hAnsi="Arial" w:cs="Arial"/>
          <w:sz w:val="16"/>
          <w:szCs w:val="16"/>
        </w:rPr>
        <w:t xml:space="preserve"> and </w:t>
      </w:r>
      <w:r w:rsidRPr="00773605">
        <w:rPr>
          <w:rFonts w:ascii="Arial" w:hAnsi="Arial" w:cs="Arial"/>
          <w:i/>
          <w:iCs/>
          <w:sz w:val="16"/>
          <w:szCs w:val="16"/>
        </w:rPr>
        <w:t>Prachatic</w:t>
      </w:r>
      <w:r w:rsidRPr="00A9048E">
        <w:rPr>
          <w:rFonts w:ascii="Arial" w:hAnsi="Arial" w:cs="Arial"/>
          <w:sz w:val="16"/>
          <w:szCs w:val="16"/>
        </w:rPr>
        <w:t xml:space="preserve">e (both 1.3), and it was also relatively favourable, for example, in Prague (1.7) and in the vicinity of </w:t>
      </w:r>
      <w:r w:rsidRPr="00773605">
        <w:rPr>
          <w:rFonts w:ascii="Arial" w:hAnsi="Arial" w:cs="Arial"/>
          <w:i/>
          <w:iCs/>
          <w:sz w:val="16"/>
          <w:szCs w:val="16"/>
        </w:rPr>
        <w:t>Plzeň</w:t>
      </w:r>
      <w:r w:rsidRPr="00A9048E">
        <w:rPr>
          <w:rFonts w:ascii="Arial" w:hAnsi="Arial" w:cs="Arial"/>
          <w:sz w:val="16"/>
          <w:szCs w:val="16"/>
        </w:rPr>
        <w:t xml:space="preserve">. The pressure of applicants for vacancies increased, year-on-year, in 60% of districts, most notably in </w:t>
      </w:r>
      <w:r w:rsidRPr="00773605">
        <w:rPr>
          <w:rFonts w:ascii="Arial" w:hAnsi="Arial" w:cs="Arial"/>
          <w:i/>
          <w:iCs/>
          <w:sz w:val="16"/>
          <w:szCs w:val="16"/>
        </w:rPr>
        <w:t>Ústí nad Labem</w:t>
      </w:r>
      <w:r w:rsidRPr="00A9048E">
        <w:rPr>
          <w:rFonts w:ascii="Arial" w:hAnsi="Arial" w:cs="Arial"/>
          <w:sz w:val="16"/>
          <w:szCs w:val="16"/>
        </w:rPr>
        <w:t xml:space="preserve"> (from 8.8 to 17.0, mainly due to the absolute decrease of vacancies) and </w:t>
      </w:r>
      <w:r w:rsidRPr="00773605">
        <w:rPr>
          <w:rFonts w:ascii="Arial" w:hAnsi="Arial" w:cs="Arial"/>
          <w:i/>
          <w:iCs/>
          <w:sz w:val="16"/>
          <w:szCs w:val="16"/>
        </w:rPr>
        <w:t>Děčín</w:t>
      </w:r>
      <w:r w:rsidRPr="00A9048E">
        <w:rPr>
          <w:rFonts w:ascii="Arial" w:hAnsi="Arial" w:cs="Arial"/>
          <w:sz w:val="16"/>
          <w:szCs w:val="16"/>
        </w:rPr>
        <w:t xml:space="preserve"> (from 13.8 to 16.4), and among the regions the most in the </w:t>
      </w:r>
      <w:r>
        <w:rPr>
          <w:rFonts w:ascii="Arial" w:hAnsi="Arial" w:cs="Arial"/>
          <w:sz w:val="16"/>
          <w:szCs w:val="16"/>
        </w:rPr>
        <w:t>“</w:t>
      </w:r>
      <w:r w:rsidRPr="00773605">
        <w:rPr>
          <w:rFonts w:ascii="Arial" w:hAnsi="Arial" w:cs="Arial"/>
          <w:i/>
          <w:iCs/>
          <w:sz w:val="16"/>
          <w:szCs w:val="16"/>
        </w:rPr>
        <w:t>Liberecký</w:t>
      </w:r>
      <w:r w:rsidRPr="00A9048E">
        <w:rPr>
          <w:rFonts w:ascii="Arial" w:hAnsi="Arial" w:cs="Arial"/>
          <w:sz w:val="16"/>
          <w:szCs w:val="16"/>
        </w:rPr>
        <w:t xml:space="preserve"> region</w:t>
      </w:r>
      <w:r>
        <w:rPr>
          <w:rFonts w:ascii="Arial" w:hAnsi="Arial" w:cs="Arial"/>
          <w:sz w:val="16"/>
          <w:szCs w:val="16"/>
        </w:rPr>
        <w:t>”</w:t>
      </w:r>
      <w:r w:rsidRPr="00A9048E">
        <w:rPr>
          <w:rFonts w:ascii="Arial" w:hAnsi="Arial" w:cs="Arial"/>
          <w:sz w:val="16"/>
          <w:szCs w:val="16"/>
        </w:rPr>
        <w:t xml:space="preserve"> and </w:t>
      </w:r>
      <w:r>
        <w:rPr>
          <w:rFonts w:ascii="Arial" w:hAnsi="Arial" w:cs="Arial"/>
          <w:sz w:val="16"/>
          <w:szCs w:val="16"/>
        </w:rPr>
        <w:t>“</w:t>
      </w:r>
      <w:r w:rsidRPr="00444D89">
        <w:rPr>
          <w:rFonts w:ascii="Arial" w:hAnsi="Arial" w:cs="Arial"/>
          <w:i/>
          <w:iCs/>
          <w:sz w:val="16"/>
          <w:szCs w:val="16"/>
        </w:rPr>
        <w:t>Střední Čechy</w:t>
      </w:r>
      <w:r>
        <w:rPr>
          <w:rFonts w:ascii="Arial" w:hAnsi="Arial" w:cs="Arial"/>
          <w:sz w:val="16"/>
          <w:szCs w:val="16"/>
        </w:rPr>
        <w:t>”</w:t>
      </w:r>
      <w:r w:rsidRPr="00A9048E">
        <w:rPr>
          <w:rFonts w:ascii="Arial" w:hAnsi="Arial" w:cs="Arial"/>
          <w:sz w:val="16"/>
          <w:szCs w:val="16"/>
        </w:rPr>
        <w:t xml:space="preserve">. By contrast, among the districts, it decreased mainly in </w:t>
      </w:r>
      <w:r w:rsidRPr="00444D89">
        <w:rPr>
          <w:rFonts w:ascii="Arial" w:hAnsi="Arial" w:cs="Arial"/>
          <w:i/>
          <w:iCs/>
          <w:sz w:val="16"/>
          <w:szCs w:val="16"/>
        </w:rPr>
        <w:t>Hodonín</w:t>
      </w:r>
      <w:r w:rsidRPr="00A9048E">
        <w:rPr>
          <w:rFonts w:ascii="Arial" w:hAnsi="Arial" w:cs="Arial"/>
          <w:sz w:val="16"/>
          <w:szCs w:val="16"/>
        </w:rPr>
        <w:t xml:space="preserve"> (from 12.2 to 7.4) and </w:t>
      </w:r>
      <w:r w:rsidRPr="00444D89">
        <w:rPr>
          <w:rFonts w:ascii="Arial" w:hAnsi="Arial" w:cs="Arial"/>
          <w:i/>
          <w:iCs/>
          <w:sz w:val="16"/>
          <w:szCs w:val="16"/>
        </w:rPr>
        <w:t>Karviná</w:t>
      </w:r>
      <w:r w:rsidRPr="00A9048E">
        <w:rPr>
          <w:rFonts w:ascii="Arial" w:hAnsi="Arial" w:cs="Arial"/>
          <w:sz w:val="16"/>
          <w:szCs w:val="16"/>
        </w:rPr>
        <w:t xml:space="preserve"> (from 24.4 to 19.1), and among the regions mainly in the </w:t>
      </w:r>
      <w:r>
        <w:rPr>
          <w:rFonts w:ascii="Arial" w:hAnsi="Arial" w:cs="Arial"/>
          <w:sz w:val="16"/>
          <w:szCs w:val="16"/>
        </w:rPr>
        <w:t>“</w:t>
      </w:r>
      <w:r w:rsidRPr="00900C93">
        <w:rPr>
          <w:rFonts w:ascii="Arial" w:hAnsi="Arial" w:cs="Arial"/>
          <w:i/>
          <w:iCs/>
          <w:sz w:val="16"/>
          <w:szCs w:val="16"/>
        </w:rPr>
        <w:t xml:space="preserve">Jihomoravský </w:t>
      </w:r>
      <w:r>
        <w:rPr>
          <w:rFonts w:ascii="Arial" w:hAnsi="Arial" w:cs="Arial"/>
          <w:sz w:val="16"/>
          <w:szCs w:val="16"/>
        </w:rPr>
        <w:t>r</w:t>
      </w:r>
      <w:r w:rsidRPr="00A9048E">
        <w:rPr>
          <w:rFonts w:ascii="Arial" w:hAnsi="Arial" w:cs="Arial"/>
          <w:sz w:val="16"/>
          <w:szCs w:val="16"/>
        </w:rPr>
        <w:t>egion</w:t>
      </w:r>
      <w:r>
        <w:rPr>
          <w:rFonts w:ascii="Arial" w:hAnsi="Arial" w:cs="Arial"/>
          <w:sz w:val="16"/>
          <w:szCs w:val="16"/>
        </w:rPr>
        <w:t>”</w:t>
      </w:r>
      <w:r w:rsidRPr="00A9048E">
        <w:rPr>
          <w:rFonts w:ascii="Arial" w:hAnsi="Arial" w:cs="Arial"/>
          <w:sz w:val="16"/>
          <w:szCs w:val="16"/>
        </w:rPr>
        <w:t xml:space="preserve"> and the </w:t>
      </w:r>
      <w:r>
        <w:rPr>
          <w:rFonts w:ascii="Arial" w:hAnsi="Arial" w:cs="Arial"/>
          <w:sz w:val="16"/>
          <w:szCs w:val="16"/>
        </w:rPr>
        <w:t>“</w:t>
      </w:r>
      <w:r w:rsidRPr="00900C93">
        <w:rPr>
          <w:rFonts w:ascii="Arial" w:hAnsi="Arial" w:cs="Arial"/>
          <w:i/>
          <w:iCs/>
          <w:sz w:val="16"/>
          <w:szCs w:val="16"/>
        </w:rPr>
        <w:t xml:space="preserve">Vysočina </w:t>
      </w:r>
      <w:r>
        <w:rPr>
          <w:rFonts w:ascii="Arial" w:hAnsi="Arial" w:cs="Arial"/>
          <w:sz w:val="16"/>
          <w:szCs w:val="16"/>
        </w:rPr>
        <w:t>r</w:t>
      </w:r>
      <w:r w:rsidRPr="00A9048E">
        <w:rPr>
          <w:rFonts w:ascii="Arial" w:hAnsi="Arial" w:cs="Arial"/>
          <w:sz w:val="16"/>
          <w:szCs w:val="16"/>
        </w:rPr>
        <w:t>egion</w:t>
      </w:r>
      <w:r>
        <w:rPr>
          <w:rFonts w:ascii="Arial" w:hAnsi="Arial" w:cs="Arial"/>
          <w:sz w:val="16"/>
          <w:szCs w:val="16"/>
        </w:rPr>
        <w:t>”</w:t>
      </w:r>
      <w:r w:rsidRPr="00A9048E">
        <w:rPr>
          <w:rFonts w:ascii="Arial" w:hAnsi="Arial" w:cs="Arial"/>
          <w:sz w:val="16"/>
          <w:szCs w:val="16"/>
        </w:rPr>
        <w:t>.</w:t>
      </w:r>
      <w:r w:rsidRPr="00B131B0">
        <w:rPr>
          <w:rFonts w:ascii="Arial" w:hAnsi="Arial" w:cs="Arial"/>
          <w:sz w:val="16"/>
          <w:szCs w:val="16"/>
        </w:rPr>
        <w:t xml:space="preserve"> </w:t>
      </w:r>
    </w:p>
  </w:footnote>
  <w:footnote w:id="31">
    <w:p w14:paraId="5DD03F05" w14:textId="77777777" w:rsidR="00010596" w:rsidRPr="006124C5" w:rsidRDefault="00010596" w:rsidP="00010596">
      <w:pPr>
        <w:pStyle w:val="Textpoznpodarou"/>
        <w:rPr>
          <w:spacing w:val="-4"/>
          <w:sz w:val="16"/>
          <w:szCs w:val="16"/>
        </w:rPr>
      </w:pPr>
      <w:r w:rsidRPr="00B131B0">
        <w:rPr>
          <w:rStyle w:val="Znakapoznpodarou"/>
          <w:spacing w:val="-4"/>
          <w:sz w:val="16"/>
          <w:szCs w:val="16"/>
        </w:rPr>
        <w:footnoteRef/>
      </w:r>
      <w:r w:rsidRPr="00B131B0">
        <w:rPr>
          <w:spacing w:val="-4"/>
          <w:sz w:val="16"/>
          <w:szCs w:val="16"/>
        </w:rPr>
        <w:t xml:space="preserve"> </w:t>
      </w:r>
      <w:r w:rsidRPr="001D0146">
        <w:rPr>
          <w:spacing w:val="-4"/>
          <w:sz w:val="16"/>
          <w:szCs w:val="16"/>
        </w:rPr>
        <w:t>Regarding net earnings, the slight increase of the</w:t>
      </w:r>
      <w:r w:rsidRPr="00EF325E">
        <w:rPr>
          <w:spacing w:val="-4"/>
          <w:sz w:val="16"/>
          <w:szCs w:val="16"/>
          <w:lang w:val="en"/>
        </w:rPr>
        <w:t xml:space="preserve"> tax burden on labor due to the reintroduction of employee contributions to sickness insurance (the total social insurance contribution for employees increased from 6.5% to 7.1%), which was approved as part of the government's consolidation package (with effect from January 2024), has an adverse effect on their development. On the other hand, the abolition of the super-gross wage (as of January 2021) contributed significantly to the growth </w:t>
      </w:r>
      <w:r>
        <w:rPr>
          <w:spacing w:val="-4"/>
          <w:sz w:val="16"/>
          <w:szCs w:val="16"/>
          <w:lang w:val="en"/>
        </w:rPr>
        <w:t>of</w:t>
      </w:r>
      <w:r w:rsidRPr="00EF325E">
        <w:rPr>
          <w:spacing w:val="-4"/>
          <w:sz w:val="16"/>
          <w:szCs w:val="16"/>
          <w:lang w:val="en"/>
        </w:rPr>
        <w:t xml:space="preserve"> the purchasing power of earnings.</w:t>
      </w:r>
      <w:r>
        <w:rPr>
          <w:spacing w:val="-4"/>
          <w:sz w:val="16"/>
          <w:szCs w:val="16"/>
          <w:lang w:val="en"/>
        </w:rPr>
        <w:t xml:space="preserve"> </w:t>
      </w:r>
    </w:p>
  </w:footnote>
  <w:footnote w:id="32">
    <w:p w14:paraId="190E84AD" w14:textId="77777777" w:rsidR="00010596" w:rsidRPr="006124C5" w:rsidRDefault="00010596" w:rsidP="00010596">
      <w:pPr>
        <w:pStyle w:val="Textpoznpodarou"/>
        <w:rPr>
          <w:sz w:val="16"/>
          <w:szCs w:val="16"/>
        </w:rPr>
      </w:pPr>
      <w:r w:rsidRPr="006124C5">
        <w:rPr>
          <w:rStyle w:val="Znakapoznpodarou"/>
          <w:sz w:val="16"/>
          <w:szCs w:val="16"/>
        </w:rPr>
        <w:footnoteRef/>
      </w:r>
      <w:r w:rsidRPr="006124C5">
        <w:rPr>
          <w:sz w:val="16"/>
          <w:szCs w:val="16"/>
        </w:rPr>
        <w:t xml:space="preserve"> </w:t>
      </w:r>
      <w:r w:rsidRPr="009432AC">
        <w:rPr>
          <w:sz w:val="16"/>
          <w:szCs w:val="16"/>
        </w:rPr>
        <w:t>It has increased by 7.7%</w:t>
      </w:r>
      <w:r>
        <w:rPr>
          <w:sz w:val="16"/>
          <w:szCs w:val="16"/>
        </w:rPr>
        <w:t>,</w:t>
      </w:r>
      <w:r w:rsidRPr="009432AC">
        <w:rPr>
          <w:sz w:val="16"/>
          <w:szCs w:val="16"/>
        </w:rPr>
        <w:t xml:space="preserve"> year-on-year</w:t>
      </w:r>
      <w:r>
        <w:rPr>
          <w:sz w:val="16"/>
          <w:szCs w:val="16"/>
        </w:rPr>
        <w:t>,</w:t>
      </w:r>
      <w:r w:rsidRPr="009432AC">
        <w:rPr>
          <w:sz w:val="16"/>
          <w:szCs w:val="16"/>
        </w:rPr>
        <w:t xml:space="preserve"> to 22,400 thousand </w:t>
      </w:r>
      <w:r>
        <w:rPr>
          <w:sz w:val="16"/>
          <w:szCs w:val="16"/>
        </w:rPr>
        <w:t xml:space="preserve">CZK </w:t>
      </w:r>
      <w:r w:rsidRPr="009432AC">
        <w:rPr>
          <w:sz w:val="16"/>
          <w:szCs w:val="16"/>
        </w:rPr>
        <w:t>since January 2026.</w:t>
      </w:r>
      <w:r>
        <w:rPr>
          <w:sz w:val="16"/>
          <w:szCs w:val="16"/>
        </w:rPr>
        <w:t xml:space="preserve"> </w:t>
      </w:r>
      <w:r w:rsidRPr="006124C5">
        <w:rPr>
          <w:sz w:val="16"/>
          <w:szCs w:val="16"/>
        </w:rPr>
        <w:t xml:space="preserve">  </w:t>
      </w:r>
    </w:p>
  </w:footnote>
  <w:footnote w:id="33">
    <w:p w14:paraId="5D049CDD" w14:textId="77777777" w:rsidR="00010596" w:rsidRPr="006124C5" w:rsidRDefault="00010596" w:rsidP="00010596">
      <w:pPr>
        <w:pStyle w:val="Textpoznpodarou"/>
        <w:rPr>
          <w:sz w:val="16"/>
          <w:szCs w:val="16"/>
        </w:rPr>
      </w:pPr>
      <w:r w:rsidRPr="006124C5">
        <w:rPr>
          <w:rStyle w:val="Znakapoznpodarou"/>
          <w:sz w:val="16"/>
          <w:szCs w:val="16"/>
        </w:rPr>
        <w:footnoteRef/>
      </w:r>
      <w:r w:rsidRPr="006124C5">
        <w:rPr>
          <w:sz w:val="16"/>
          <w:szCs w:val="16"/>
        </w:rPr>
        <w:t xml:space="preserve"> </w:t>
      </w:r>
      <w:r w:rsidRPr="00934EB8">
        <w:rPr>
          <w:sz w:val="16"/>
          <w:szCs w:val="16"/>
        </w:rPr>
        <w:t xml:space="preserve">Since January this year, expenditure on salaries of education workers, soldiers and security forces has increased. </w:t>
      </w:r>
      <w:r>
        <w:rPr>
          <w:sz w:val="16"/>
          <w:szCs w:val="16"/>
        </w:rPr>
        <w:t>T</w:t>
      </w:r>
      <w:r w:rsidRPr="00934EB8">
        <w:rPr>
          <w:sz w:val="16"/>
          <w:szCs w:val="16"/>
        </w:rPr>
        <w:t>he salary tariffs have been indexed for employees remunerated under the Civil Service Act and the Labour Code</w:t>
      </w:r>
      <w:r>
        <w:rPr>
          <w:sz w:val="16"/>
          <w:szCs w:val="16"/>
        </w:rPr>
        <w:t xml:space="preserve"> since April</w:t>
      </w:r>
      <w:r w:rsidRPr="00934EB8">
        <w:rPr>
          <w:sz w:val="16"/>
          <w:szCs w:val="16"/>
        </w:rPr>
        <w:t xml:space="preserve">: for civil servants and other administrative professions, including culture (by 9%), for </w:t>
      </w:r>
      <w:r>
        <w:rPr>
          <w:sz w:val="16"/>
          <w:szCs w:val="16"/>
        </w:rPr>
        <w:t xml:space="preserve">human </w:t>
      </w:r>
      <w:r w:rsidRPr="00934EB8">
        <w:rPr>
          <w:sz w:val="16"/>
          <w:szCs w:val="16"/>
        </w:rPr>
        <w:t>health care workers and employees in social services (by 5%) and for doctors and dentists (by 2%)</w:t>
      </w:r>
      <w:r>
        <w:rPr>
          <w:sz w:val="16"/>
          <w:szCs w:val="16"/>
        </w:rPr>
        <w:t xml:space="preserve">. </w:t>
      </w:r>
      <w:r w:rsidRPr="006124C5">
        <w:rPr>
          <w:sz w:val="16"/>
          <w:szCs w:val="16"/>
        </w:rPr>
        <w:t xml:space="preserve"> </w:t>
      </w:r>
    </w:p>
  </w:footnote>
  <w:footnote w:id="34">
    <w:p w14:paraId="1502B715" w14:textId="77777777" w:rsidR="00010596" w:rsidRPr="00D633D2" w:rsidRDefault="00010596" w:rsidP="00010596">
      <w:pPr>
        <w:pStyle w:val="Textpoznpodarou"/>
      </w:pPr>
      <w:r w:rsidRPr="00B131B0">
        <w:rPr>
          <w:rStyle w:val="Znakapoznpodarou"/>
          <w:sz w:val="16"/>
          <w:szCs w:val="16"/>
        </w:rPr>
        <w:footnoteRef/>
      </w:r>
      <w:r w:rsidRPr="00D633D2">
        <w:rPr>
          <w:sz w:val="16"/>
          <w:szCs w:val="16"/>
        </w:rPr>
        <w:t xml:space="preserve"> </w:t>
      </w:r>
      <w:r w:rsidRPr="00BE2493">
        <w:rPr>
          <w:sz w:val="16"/>
          <w:szCs w:val="16"/>
        </w:rPr>
        <w:t>These include mainly various services for households (product repairs, hairdressing and beauty activities, etc.).</w:t>
      </w:r>
    </w:p>
  </w:footnote>
  <w:footnote w:id="35">
    <w:p w14:paraId="24367094" w14:textId="77777777" w:rsidR="00010596" w:rsidRPr="00D633D2" w:rsidRDefault="00010596" w:rsidP="00010596">
      <w:pPr>
        <w:pStyle w:val="Textpoznpodarou"/>
        <w:rPr>
          <w:sz w:val="16"/>
          <w:szCs w:val="16"/>
        </w:rPr>
      </w:pPr>
      <w:r w:rsidRPr="00B131B0">
        <w:rPr>
          <w:rStyle w:val="Znakapoznpodarou"/>
          <w:sz w:val="16"/>
          <w:szCs w:val="16"/>
        </w:rPr>
        <w:footnoteRef/>
      </w:r>
      <w:r w:rsidRPr="00D633D2">
        <w:rPr>
          <w:sz w:val="16"/>
          <w:szCs w:val="16"/>
        </w:rPr>
        <w:t xml:space="preserve"> </w:t>
      </w:r>
      <w:r w:rsidRPr="00BE2493">
        <w:rPr>
          <w:sz w:val="16"/>
          <w:szCs w:val="16"/>
        </w:rPr>
        <w:t>However, the earnings of employees residing in this small region may actually be higher due to commuting to other regions of the Czech Republic and also due to work in Germany.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99EBB" w14:textId="379149F3" w:rsidR="00763B85" w:rsidRPr="00B131B0" w:rsidRDefault="00E92DFE" w:rsidP="00937AE2">
    <w:pPr>
      <w:pStyle w:val="Zhlav"/>
      <w:rPr>
        <w:lang w:val="en-GB"/>
      </w:rPr>
    </w:pPr>
    <w:r w:rsidRPr="00B131B0">
      <w:rPr>
        <w:lang w:val="en-GB"/>
      </w:rPr>
      <w:t>The Czech Economy Development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BA682" w14:textId="6C803F4A" w:rsidR="00763B85" w:rsidRPr="00B131B0" w:rsidRDefault="007A7100" w:rsidP="00937AE2">
    <w:pPr>
      <w:pStyle w:val="Zhlav"/>
      <w:rPr>
        <w:lang w:val="en-GB"/>
      </w:rPr>
    </w:pPr>
    <w:r w:rsidRPr="00B131B0">
      <w:rPr>
        <w:lang w:val="en-GB"/>
      </w:rPr>
      <w:t>The Czech Economy Development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7pt;height:11.7pt" o:bullet="t">
        <v:imagedata r:id="rId1" o:title="msoFAAF"/>
      </v:shape>
    </w:pict>
  </w:numPicBullet>
  <w:abstractNum w:abstractNumId="0" w15:restartNumberingAfterBreak="0">
    <w:nsid w:val="FFFFFF7C"/>
    <w:multiLevelType w:val="singleLevel"/>
    <w:tmpl w:val="49CEEC4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EC69A9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37A1C9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B76230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6965B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0DE27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7AED3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68C5BA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7C8EEA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18AD8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AC5946"/>
    <w:multiLevelType w:val="hybridMultilevel"/>
    <w:tmpl w:val="4C1C2D78"/>
    <w:lvl w:ilvl="0" w:tplc="B01A563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895764B"/>
    <w:multiLevelType w:val="hybridMultilevel"/>
    <w:tmpl w:val="84788BC8"/>
    <w:lvl w:ilvl="0" w:tplc="1B96A2C2">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09D55121"/>
    <w:multiLevelType w:val="hybridMultilevel"/>
    <w:tmpl w:val="338E27CE"/>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3" w15:restartNumberingAfterBreak="0">
    <w:nsid w:val="0D361065"/>
    <w:multiLevelType w:val="hybridMultilevel"/>
    <w:tmpl w:val="991072CE"/>
    <w:lvl w:ilvl="0" w:tplc="0405000F">
      <w:start w:val="1"/>
      <w:numFmt w:val="decimal"/>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4" w15:restartNumberingAfterBreak="0">
    <w:nsid w:val="0E145AAD"/>
    <w:multiLevelType w:val="hybridMultilevel"/>
    <w:tmpl w:val="963044A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18B35353"/>
    <w:multiLevelType w:val="multilevel"/>
    <w:tmpl w:val="1C0E9EAE"/>
    <w:name w:val="Analyza"/>
    <w:lvl w:ilvl="0">
      <w:start w:val="1"/>
      <w:numFmt w:val="decimal"/>
      <w:suff w:val="space"/>
      <w:lvlText w:val="%1"/>
      <w:lvlJc w:val="left"/>
      <w:pPr>
        <w:ind w:left="432" w:hanging="432"/>
      </w:pPr>
      <w:rPr>
        <w:rFonts w:hint="default"/>
      </w:rPr>
    </w:lvl>
    <w:lvl w:ilvl="1">
      <w:start w:val="1"/>
      <w:numFmt w:val="decimal"/>
      <w:suff w:val="space"/>
      <w:lvlText w:val="%1.%2"/>
      <w:lvlJc w:val="left"/>
      <w:pPr>
        <w:ind w:left="576" w:hanging="576"/>
      </w:pPr>
      <w:rPr>
        <w:rFonts w:hint="default"/>
        <w:i w:val="0"/>
      </w:rPr>
    </w:lvl>
    <w:lvl w:ilvl="2">
      <w:start w:val="1"/>
      <w:numFmt w:val="decimal"/>
      <w:suff w:val="space"/>
      <w:lvlText w:val="%1.%2.%3"/>
      <w:lvlJc w:val="left"/>
      <w:pPr>
        <w:ind w:left="720" w:hanging="720"/>
      </w:pPr>
      <w:rPr>
        <w:rFonts w:hint="default"/>
      </w:rPr>
    </w:lvl>
    <w:lvl w:ilvl="3">
      <w:start w:val="1"/>
      <w:numFmt w:val="decimal"/>
      <w:suff w:val="space"/>
      <w:lvlText w:val="%1.%2.%3.%4"/>
      <w:lvlJc w:val="left"/>
      <w:pPr>
        <w:ind w:left="864" w:hanging="864"/>
      </w:pPr>
      <w:rPr>
        <w:rFonts w:hint="default"/>
      </w:rPr>
    </w:lvl>
    <w:lvl w:ilvl="4">
      <w:start w:val="1"/>
      <w:numFmt w:val="decimal"/>
      <w:pStyle w:val="Nadpis5"/>
      <w:suff w:val="space"/>
      <w:lvlText w:val="%1.%2.%3.%4.%5"/>
      <w:lvlJc w:val="left"/>
      <w:pPr>
        <w:ind w:left="1008" w:hanging="1008"/>
      </w:pPr>
      <w:rPr>
        <w:rFonts w:hint="default"/>
      </w:rPr>
    </w:lvl>
    <w:lvl w:ilvl="5">
      <w:start w:val="1"/>
      <w:numFmt w:val="decimal"/>
      <w:pStyle w:val="Nadpis6"/>
      <w:suff w:val="space"/>
      <w:lvlText w:val="%1.%2.%3.%4.%5.%6"/>
      <w:lvlJc w:val="left"/>
      <w:pPr>
        <w:ind w:left="1152" w:hanging="1152"/>
      </w:pPr>
      <w:rPr>
        <w:rFonts w:hint="default"/>
      </w:rPr>
    </w:lvl>
    <w:lvl w:ilvl="6">
      <w:start w:val="1"/>
      <w:numFmt w:val="decimal"/>
      <w:pStyle w:val="Nadpis7"/>
      <w:suff w:val="space"/>
      <w:lvlText w:val="%1.%2.%3.%4.%5.%6.%7"/>
      <w:lvlJc w:val="left"/>
      <w:pPr>
        <w:ind w:left="1296" w:hanging="1296"/>
      </w:pPr>
      <w:rPr>
        <w:rFonts w:hint="default"/>
      </w:rPr>
    </w:lvl>
    <w:lvl w:ilvl="7">
      <w:start w:val="1"/>
      <w:numFmt w:val="decimal"/>
      <w:pStyle w:val="Nadpis8"/>
      <w:suff w:val="space"/>
      <w:lvlText w:val="%1.%2.%3.%4.%5.%6.%7.%8"/>
      <w:lvlJc w:val="left"/>
      <w:pPr>
        <w:ind w:left="1440" w:hanging="1440"/>
      </w:pPr>
      <w:rPr>
        <w:rFonts w:hint="default"/>
      </w:rPr>
    </w:lvl>
    <w:lvl w:ilvl="8">
      <w:start w:val="1"/>
      <w:numFmt w:val="decimal"/>
      <w:pStyle w:val="Nadpis9"/>
      <w:suff w:val="space"/>
      <w:lvlText w:val="%1.%2.%3.%4.%5.%6.%7.%8.%9"/>
      <w:lvlJc w:val="left"/>
      <w:pPr>
        <w:ind w:left="1584" w:hanging="1584"/>
      </w:pPr>
      <w:rPr>
        <w:rFonts w:hint="default"/>
      </w:rPr>
    </w:lvl>
  </w:abstractNum>
  <w:abstractNum w:abstractNumId="16" w15:restartNumberingAfterBreak="0">
    <w:nsid w:val="1E462C8E"/>
    <w:multiLevelType w:val="hybridMultilevel"/>
    <w:tmpl w:val="84B4641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22C64F20"/>
    <w:multiLevelType w:val="hybridMultilevel"/>
    <w:tmpl w:val="ADE25A6C"/>
    <w:lvl w:ilvl="0" w:tplc="04050001">
      <w:start w:val="1"/>
      <w:numFmt w:val="bullet"/>
      <w:lvlText w:val=""/>
      <w:lvlJc w:val="left"/>
      <w:pPr>
        <w:ind w:left="363" w:hanging="363"/>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58473A1"/>
    <w:multiLevelType w:val="hybridMultilevel"/>
    <w:tmpl w:val="7984410C"/>
    <w:lvl w:ilvl="0" w:tplc="3712003C">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28352333"/>
    <w:multiLevelType w:val="multilevel"/>
    <w:tmpl w:val="D0ACFA48"/>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0" w15:restartNumberingAfterBreak="0">
    <w:nsid w:val="28DA62F8"/>
    <w:multiLevelType w:val="hybridMultilevel"/>
    <w:tmpl w:val="419C87D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2A5A7A8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2C24203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2D106EA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311355C0"/>
    <w:multiLevelType w:val="multilevel"/>
    <w:tmpl w:val="697E8BEA"/>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5" w15:restartNumberingAfterBreak="0">
    <w:nsid w:val="39914012"/>
    <w:multiLevelType w:val="multilevel"/>
    <w:tmpl w:val="F380FB8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3C7C1667"/>
    <w:multiLevelType w:val="hybridMultilevel"/>
    <w:tmpl w:val="735E7570"/>
    <w:lvl w:ilvl="0" w:tplc="5588AF8E">
      <w:start w:val="1"/>
      <w:numFmt w:val="decimal"/>
      <w:lvlText w:val="%1."/>
      <w:lvlJc w:val="left"/>
      <w:pPr>
        <w:ind w:left="4800" w:hanging="360"/>
      </w:pPr>
      <w:rPr>
        <w:rFonts w:hint="default"/>
      </w:rPr>
    </w:lvl>
    <w:lvl w:ilvl="1" w:tplc="04050019" w:tentative="1">
      <w:start w:val="1"/>
      <w:numFmt w:val="lowerLetter"/>
      <w:lvlText w:val="%2."/>
      <w:lvlJc w:val="left"/>
      <w:pPr>
        <w:ind w:left="5520" w:hanging="360"/>
      </w:pPr>
    </w:lvl>
    <w:lvl w:ilvl="2" w:tplc="0405001B" w:tentative="1">
      <w:start w:val="1"/>
      <w:numFmt w:val="lowerRoman"/>
      <w:lvlText w:val="%3."/>
      <w:lvlJc w:val="right"/>
      <w:pPr>
        <w:ind w:left="6240" w:hanging="180"/>
      </w:pPr>
    </w:lvl>
    <w:lvl w:ilvl="3" w:tplc="0405000F" w:tentative="1">
      <w:start w:val="1"/>
      <w:numFmt w:val="decimal"/>
      <w:lvlText w:val="%4."/>
      <w:lvlJc w:val="left"/>
      <w:pPr>
        <w:ind w:left="6960" w:hanging="360"/>
      </w:pPr>
    </w:lvl>
    <w:lvl w:ilvl="4" w:tplc="04050019" w:tentative="1">
      <w:start w:val="1"/>
      <w:numFmt w:val="lowerLetter"/>
      <w:lvlText w:val="%5."/>
      <w:lvlJc w:val="left"/>
      <w:pPr>
        <w:ind w:left="7680" w:hanging="360"/>
      </w:pPr>
    </w:lvl>
    <w:lvl w:ilvl="5" w:tplc="0405001B" w:tentative="1">
      <w:start w:val="1"/>
      <w:numFmt w:val="lowerRoman"/>
      <w:lvlText w:val="%6."/>
      <w:lvlJc w:val="right"/>
      <w:pPr>
        <w:ind w:left="8400" w:hanging="180"/>
      </w:pPr>
    </w:lvl>
    <w:lvl w:ilvl="6" w:tplc="0405000F" w:tentative="1">
      <w:start w:val="1"/>
      <w:numFmt w:val="decimal"/>
      <w:lvlText w:val="%7."/>
      <w:lvlJc w:val="left"/>
      <w:pPr>
        <w:ind w:left="9120" w:hanging="360"/>
      </w:pPr>
    </w:lvl>
    <w:lvl w:ilvl="7" w:tplc="04050019" w:tentative="1">
      <w:start w:val="1"/>
      <w:numFmt w:val="lowerLetter"/>
      <w:lvlText w:val="%8."/>
      <w:lvlJc w:val="left"/>
      <w:pPr>
        <w:ind w:left="9840" w:hanging="360"/>
      </w:pPr>
    </w:lvl>
    <w:lvl w:ilvl="8" w:tplc="0405001B" w:tentative="1">
      <w:start w:val="1"/>
      <w:numFmt w:val="lowerRoman"/>
      <w:lvlText w:val="%9."/>
      <w:lvlJc w:val="right"/>
      <w:pPr>
        <w:ind w:left="10560" w:hanging="180"/>
      </w:pPr>
    </w:lvl>
  </w:abstractNum>
  <w:abstractNum w:abstractNumId="27" w15:restartNumberingAfterBreak="0">
    <w:nsid w:val="3D4D0562"/>
    <w:multiLevelType w:val="hybridMultilevel"/>
    <w:tmpl w:val="E8A8F28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43BB1D16"/>
    <w:multiLevelType w:val="hybridMultilevel"/>
    <w:tmpl w:val="CA44090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444558D6"/>
    <w:multiLevelType w:val="hybridMultilevel"/>
    <w:tmpl w:val="1B90B8E0"/>
    <w:lvl w:ilvl="0" w:tplc="4B66ED1E">
      <w:start w:val="1"/>
      <w:numFmt w:val="decimal"/>
      <w:lvlText w:val="%1."/>
      <w:lvlJc w:val="left"/>
      <w:pPr>
        <w:ind w:left="4905" w:hanging="360"/>
      </w:pPr>
      <w:rPr>
        <w:rFonts w:hint="default"/>
      </w:rPr>
    </w:lvl>
    <w:lvl w:ilvl="1" w:tplc="04050019" w:tentative="1">
      <w:start w:val="1"/>
      <w:numFmt w:val="lowerLetter"/>
      <w:lvlText w:val="%2."/>
      <w:lvlJc w:val="left"/>
      <w:pPr>
        <w:ind w:left="5625" w:hanging="360"/>
      </w:pPr>
    </w:lvl>
    <w:lvl w:ilvl="2" w:tplc="0405001B" w:tentative="1">
      <w:start w:val="1"/>
      <w:numFmt w:val="lowerRoman"/>
      <w:lvlText w:val="%3."/>
      <w:lvlJc w:val="right"/>
      <w:pPr>
        <w:ind w:left="6345" w:hanging="180"/>
      </w:pPr>
    </w:lvl>
    <w:lvl w:ilvl="3" w:tplc="0405000F" w:tentative="1">
      <w:start w:val="1"/>
      <w:numFmt w:val="decimal"/>
      <w:lvlText w:val="%4."/>
      <w:lvlJc w:val="left"/>
      <w:pPr>
        <w:ind w:left="7065" w:hanging="360"/>
      </w:pPr>
    </w:lvl>
    <w:lvl w:ilvl="4" w:tplc="04050019" w:tentative="1">
      <w:start w:val="1"/>
      <w:numFmt w:val="lowerLetter"/>
      <w:lvlText w:val="%5."/>
      <w:lvlJc w:val="left"/>
      <w:pPr>
        <w:ind w:left="7785" w:hanging="360"/>
      </w:pPr>
    </w:lvl>
    <w:lvl w:ilvl="5" w:tplc="0405001B" w:tentative="1">
      <w:start w:val="1"/>
      <w:numFmt w:val="lowerRoman"/>
      <w:lvlText w:val="%6."/>
      <w:lvlJc w:val="right"/>
      <w:pPr>
        <w:ind w:left="8505" w:hanging="180"/>
      </w:pPr>
    </w:lvl>
    <w:lvl w:ilvl="6" w:tplc="0405000F" w:tentative="1">
      <w:start w:val="1"/>
      <w:numFmt w:val="decimal"/>
      <w:lvlText w:val="%7."/>
      <w:lvlJc w:val="left"/>
      <w:pPr>
        <w:ind w:left="9225" w:hanging="360"/>
      </w:pPr>
    </w:lvl>
    <w:lvl w:ilvl="7" w:tplc="04050019" w:tentative="1">
      <w:start w:val="1"/>
      <w:numFmt w:val="lowerLetter"/>
      <w:lvlText w:val="%8."/>
      <w:lvlJc w:val="left"/>
      <w:pPr>
        <w:ind w:left="9945" w:hanging="360"/>
      </w:pPr>
    </w:lvl>
    <w:lvl w:ilvl="8" w:tplc="0405001B" w:tentative="1">
      <w:start w:val="1"/>
      <w:numFmt w:val="lowerRoman"/>
      <w:lvlText w:val="%9."/>
      <w:lvlJc w:val="right"/>
      <w:pPr>
        <w:ind w:left="10665" w:hanging="180"/>
      </w:pPr>
    </w:lvl>
  </w:abstractNum>
  <w:abstractNum w:abstractNumId="30" w15:restartNumberingAfterBreak="0">
    <w:nsid w:val="479678F7"/>
    <w:multiLevelType w:val="hybridMultilevel"/>
    <w:tmpl w:val="A4DE713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48384A27"/>
    <w:multiLevelType w:val="hybridMultilevel"/>
    <w:tmpl w:val="1050503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495051A8"/>
    <w:multiLevelType w:val="hybridMultilevel"/>
    <w:tmpl w:val="DEACEA0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4ADA4287"/>
    <w:multiLevelType w:val="multilevel"/>
    <w:tmpl w:val="1C0E9EAE"/>
    <w:lvl w:ilvl="0">
      <w:start w:val="1"/>
      <w:numFmt w:val="decimal"/>
      <w:suff w:val="space"/>
      <w:lvlText w:val="%1"/>
      <w:lvlJc w:val="left"/>
      <w:pPr>
        <w:ind w:left="432" w:hanging="432"/>
      </w:pPr>
      <w:rPr>
        <w:rFonts w:hint="default"/>
      </w:rPr>
    </w:lvl>
    <w:lvl w:ilvl="1">
      <w:start w:val="1"/>
      <w:numFmt w:val="decimal"/>
      <w:suff w:val="space"/>
      <w:lvlText w:val="%1.%2"/>
      <w:lvlJc w:val="left"/>
      <w:pPr>
        <w:ind w:left="576" w:hanging="576"/>
      </w:pPr>
      <w:rPr>
        <w:rFonts w:hint="default"/>
        <w:i w:val="0"/>
      </w:rPr>
    </w:lvl>
    <w:lvl w:ilvl="2">
      <w:start w:val="1"/>
      <w:numFmt w:val="decimal"/>
      <w:suff w:val="space"/>
      <w:lvlText w:val="%1.%2.%3"/>
      <w:lvlJc w:val="left"/>
      <w:pPr>
        <w:ind w:left="720" w:hanging="720"/>
      </w:pPr>
      <w:rPr>
        <w:rFonts w:hint="default"/>
      </w:rPr>
    </w:lvl>
    <w:lvl w:ilvl="3">
      <w:start w:val="1"/>
      <w:numFmt w:val="decimal"/>
      <w:suff w:val="space"/>
      <w:lvlText w:val="%1.%2.%3.%4"/>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suff w:val="space"/>
      <w:lvlText w:val="%1.%2.%3.%4.%5.%6"/>
      <w:lvlJc w:val="left"/>
      <w:pPr>
        <w:ind w:left="1152" w:hanging="1152"/>
      </w:pPr>
      <w:rPr>
        <w:rFonts w:hint="default"/>
      </w:rPr>
    </w:lvl>
    <w:lvl w:ilvl="6">
      <w:start w:val="1"/>
      <w:numFmt w:val="decimal"/>
      <w:suff w:val="space"/>
      <w:lvlText w:val="%1.%2.%3.%4.%5.%6.%7"/>
      <w:lvlJc w:val="left"/>
      <w:pPr>
        <w:ind w:left="1296" w:hanging="1296"/>
      </w:pPr>
      <w:rPr>
        <w:rFonts w:hint="default"/>
      </w:rPr>
    </w:lvl>
    <w:lvl w:ilvl="7">
      <w:start w:val="1"/>
      <w:numFmt w:val="decimal"/>
      <w:suff w:val="space"/>
      <w:lvlText w:val="%1.%2.%3.%4.%5.%6.%7.%8"/>
      <w:lvlJc w:val="left"/>
      <w:pPr>
        <w:ind w:left="1440" w:hanging="1440"/>
      </w:pPr>
      <w:rPr>
        <w:rFonts w:hint="default"/>
      </w:rPr>
    </w:lvl>
    <w:lvl w:ilvl="8">
      <w:start w:val="1"/>
      <w:numFmt w:val="decimal"/>
      <w:suff w:val="space"/>
      <w:lvlText w:val="%1.%2.%3.%4.%5.%6.%7.%8.%9"/>
      <w:lvlJc w:val="left"/>
      <w:pPr>
        <w:ind w:left="1584" w:hanging="1584"/>
      </w:pPr>
      <w:rPr>
        <w:rFonts w:hint="default"/>
      </w:rPr>
    </w:lvl>
  </w:abstractNum>
  <w:abstractNum w:abstractNumId="34" w15:restartNumberingAfterBreak="0">
    <w:nsid w:val="4C581760"/>
    <w:multiLevelType w:val="hybridMultilevel"/>
    <w:tmpl w:val="CFEE972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4E490F3B"/>
    <w:multiLevelType w:val="hybridMultilevel"/>
    <w:tmpl w:val="D64CB604"/>
    <w:lvl w:ilvl="0" w:tplc="67AC8A1C">
      <w:start w:val="1"/>
      <w:numFmt w:val="bullet"/>
      <w:lvlText w:val=""/>
      <w:lvlJc w:val="left"/>
      <w:pPr>
        <w:ind w:left="357" w:hanging="357"/>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1655F88"/>
    <w:multiLevelType w:val="hybridMultilevel"/>
    <w:tmpl w:val="70283F0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15:restartNumberingAfterBreak="0">
    <w:nsid w:val="538567A6"/>
    <w:multiLevelType w:val="hybridMultilevel"/>
    <w:tmpl w:val="50E0FCA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8" w15:restartNumberingAfterBreak="0">
    <w:nsid w:val="58CB210F"/>
    <w:multiLevelType w:val="multilevel"/>
    <w:tmpl w:val="D64CB604"/>
    <w:lvl w:ilvl="0">
      <w:start w:val="1"/>
      <w:numFmt w:val="bullet"/>
      <w:lvlText w:val=""/>
      <w:lvlJc w:val="left"/>
      <w:pPr>
        <w:ind w:left="357" w:hanging="357"/>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5CD405E1"/>
    <w:multiLevelType w:val="multilevel"/>
    <w:tmpl w:val="5FCA5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6EF3AA7"/>
    <w:multiLevelType w:val="multilevel"/>
    <w:tmpl w:val="9092D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9B048D2"/>
    <w:multiLevelType w:val="hybridMultilevel"/>
    <w:tmpl w:val="D2A0FC6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2" w15:restartNumberingAfterBreak="0">
    <w:nsid w:val="6B235D04"/>
    <w:multiLevelType w:val="hybridMultilevel"/>
    <w:tmpl w:val="26840EA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3" w15:restartNumberingAfterBreak="0">
    <w:nsid w:val="787747AF"/>
    <w:multiLevelType w:val="hybridMultilevel"/>
    <w:tmpl w:val="76204D1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4" w15:restartNumberingAfterBreak="0">
    <w:nsid w:val="7B651B2D"/>
    <w:multiLevelType w:val="hybridMultilevel"/>
    <w:tmpl w:val="4C1C2D78"/>
    <w:lvl w:ilvl="0" w:tplc="B01A5632">
      <w:start w:val="1"/>
      <w:numFmt w:val="bullet"/>
      <w:pStyle w:val="Normalodrka"/>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DDA7946"/>
    <w:multiLevelType w:val="multilevel"/>
    <w:tmpl w:val="6F3E3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F8E301A"/>
    <w:multiLevelType w:val="hybridMultilevel"/>
    <w:tmpl w:val="1A92D798"/>
    <w:lvl w:ilvl="0" w:tplc="04050001">
      <w:start w:val="1"/>
      <w:numFmt w:val="bullet"/>
      <w:lvlText w:val=""/>
      <w:lvlJc w:val="left"/>
      <w:pPr>
        <w:ind w:left="360" w:hanging="360"/>
      </w:pPr>
      <w:rPr>
        <w:rFonts w:ascii="Symbol" w:hAnsi="Symbol" w:hint="default"/>
      </w:rPr>
    </w:lvl>
    <w:lvl w:ilvl="1" w:tplc="04050003">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num w:numId="1" w16cid:durableId="2000647203">
    <w:abstractNumId w:val="31"/>
  </w:num>
  <w:num w:numId="2" w16cid:durableId="2108306025">
    <w:abstractNumId w:val="8"/>
  </w:num>
  <w:num w:numId="3" w16cid:durableId="1851791032">
    <w:abstractNumId w:val="3"/>
  </w:num>
  <w:num w:numId="4" w16cid:durableId="1418281433">
    <w:abstractNumId w:val="2"/>
  </w:num>
  <w:num w:numId="5" w16cid:durableId="1057360773">
    <w:abstractNumId w:val="1"/>
  </w:num>
  <w:num w:numId="6" w16cid:durableId="917859753">
    <w:abstractNumId w:val="0"/>
  </w:num>
  <w:num w:numId="7" w16cid:durableId="1884097028">
    <w:abstractNumId w:val="9"/>
  </w:num>
  <w:num w:numId="8" w16cid:durableId="824902319">
    <w:abstractNumId w:val="7"/>
  </w:num>
  <w:num w:numId="9" w16cid:durableId="1803766138">
    <w:abstractNumId w:val="6"/>
  </w:num>
  <w:num w:numId="10" w16cid:durableId="566259340">
    <w:abstractNumId w:val="5"/>
  </w:num>
  <w:num w:numId="11" w16cid:durableId="52774508">
    <w:abstractNumId w:val="4"/>
  </w:num>
  <w:num w:numId="12" w16cid:durableId="1533685237">
    <w:abstractNumId w:val="18"/>
  </w:num>
  <w:num w:numId="13" w16cid:durableId="195428688">
    <w:abstractNumId w:val="34"/>
  </w:num>
  <w:num w:numId="14" w16cid:durableId="1684941278">
    <w:abstractNumId w:val="15"/>
  </w:num>
  <w:num w:numId="15" w16cid:durableId="1238784906">
    <w:abstractNumId w:val="24"/>
  </w:num>
  <w:num w:numId="16" w16cid:durableId="2045134713">
    <w:abstractNumId w:val="19"/>
  </w:num>
  <w:num w:numId="17" w16cid:durableId="1458451516">
    <w:abstractNumId w:val="35"/>
  </w:num>
  <w:num w:numId="18" w16cid:durableId="849877926">
    <w:abstractNumId w:val="25"/>
  </w:num>
  <w:num w:numId="19" w16cid:durableId="1118066606">
    <w:abstractNumId w:val="38"/>
  </w:num>
  <w:num w:numId="20" w16cid:durableId="508564300">
    <w:abstractNumId w:val="44"/>
  </w:num>
  <w:num w:numId="21" w16cid:durableId="316148911">
    <w:abstractNumId w:val="33"/>
  </w:num>
  <w:num w:numId="22" w16cid:durableId="360010707">
    <w:abstractNumId w:val="23"/>
  </w:num>
  <w:num w:numId="23" w16cid:durableId="999309269">
    <w:abstractNumId w:val="21"/>
  </w:num>
  <w:num w:numId="24" w16cid:durableId="1194266313">
    <w:abstractNumId w:val="22"/>
  </w:num>
  <w:num w:numId="25" w16cid:durableId="1815366340">
    <w:abstractNumId w:val="41"/>
  </w:num>
  <w:num w:numId="26" w16cid:durableId="1577863405">
    <w:abstractNumId w:val="43"/>
  </w:num>
  <w:num w:numId="27" w16cid:durableId="1207061094">
    <w:abstractNumId w:val="13"/>
  </w:num>
  <w:num w:numId="28" w16cid:durableId="1693920833">
    <w:abstractNumId w:val="27"/>
  </w:num>
  <w:num w:numId="29" w16cid:durableId="1876775477">
    <w:abstractNumId w:val="26"/>
  </w:num>
  <w:num w:numId="30" w16cid:durableId="179972127">
    <w:abstractNumId w:val="10"/>
  </w:num>
  <w:num w:numId="31" w16cid:durableId="970136012">
    <w:abstractNumId w:val="28"/>
  </w:num>
  <w:num w:numId="32" w16cid:durableId="1617836376">
    <w:abstractNumId w:val="12"/>
  </w:num>
  <w:num w:numId="33" w16cid:durableId="357007340">
    <w:abstractNumId w:val="46"/>
  </w:num>
  <w:num w:numId="34" w16cid:durableId="2131776467">
    <w:abstractNumId w:val="11"/>
  </w:num>
  <w:num w:numId="35" w16cid:durableId="1776095800">
    <w:abstractNumId w:val="37"/>
  </w:num>
  <w:num w:numId="36" w16cid:durableId="862209000">
    <w:abstractNumId w:val="30"/>
  </w:num>
  <w:num w:numId="37" w16cid:durableId="322010878">
    <w:abstractNumId w:val="29"/>
  </w:num>
  <w:num w:numId="38" w16cid:durableId="1458373311">
    <w:abstractNumId w:val="39"/>
  </w:num>
  <w:num w:numId="39" w16cid:durableId="288441997">
    <w:abstractNumId w:val="45"/>
  </w:num>
  <w:num w:numId="40" w16cid:durableId="952595072">
    <w:abstractNumId w:val="40"/>
  </w:num>
  <w:num w:numId="41" w16cid:durableId="1427652868">
    <w:abstractNumId w:val="32"/>
  </w:num>
  <w:num w:numId="42" w16cid:durableId="1024401835">
    <w:abstractNumId w:val="20"/>
  </w:num>
  <w:num w:numId="43" w16cid:durableId="428089243">
    <w:abstractNumId w:val="14"/>
  </w:num>
  <w:num w:numId="44" w16cid:durableId="82647767">
    <w:abstractNumId w:val="36"/>
  </w:num>
  <w:num w:numId="45" w16cid:durableId="215163427">
    <w:abstractNumId w:val="16"/>
  </w:num>
  <w:num w:numId="46" w16cid:durableId="1639922006">
    <w:abstractNumId w:val="44"/>
    <w:lvlOverride w:ilvl="0">
      <w:startOverride w:val="1"/>
    </w:lvlOverride>
  </w:num>
  <w:num w:numId="47" w16cid:durableId="1509101590">
    <w:abstractNumId w:val="17"/>
  </w:num>
  <w:num w:numId="48" w16cid:durableId="1481652047">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4"/>
  <w:defaultTabStop w:val="708"/>
  <w:hyphenationZone w:val="425"/>
  <w:evenAndOddHeaders/>
  <w:drawingGridHorizontalSpacing w:val="110"/>
  <w:displayHorizontalDrawingGridEvery w:val="2"/>
  <w:characterSpacingControl w:val="doNotCompress"/>
  <w:hdrShapeDefaults>
    <o:shapedefaults v:ext="edit" spidmax="2050">
      <o:colormru v:ext="edit" colors="#ecf4dd,#eaecee,#fcec0a,#fcecdb,#f1daf5"/>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7443"/>
    <w:rsid w:val="00000B00"/>
    <w:rsid w:val="00001128"/>
    <w:rsid w:val="0000209D"/>
    <w:rsid w:val="000022E1"/>
    <w:rsid w:val="00002724"/>
    <w:rsid w:val="00002D96"/>
    <w:rsid w:val="00003DD9"/>
    <w:rsid w:val="0000484B"/>
    <w:rsid w:val="00004B10"/>
    <w:rsid w:val="00004D5A"/>
    <w:rsid w:val="000056D5"/>
    <w:rsid w:val="00005B8C"/>
    <w:rsid w:val="00005C79"/>
    <w:rsid w:val="00006ABD"/>
    <w:rsid w:val="0000767A"/>
    <w:rsid w:val="00010256"/>
    <w:rsid w:val="00010596"/>
    <w:rsid w:val="00010702"/>
    <w:rsid w:val="00011630"/>
    <w:rsid w:val="00011912"/>
    <w:rsid w:val="00014E27"/>
    <w:rsid w:val="00015E7C"/>
    <w:rsid w:val="00017678"/>
    <w:rsid w:val="00017AA1"/>
    <w:rsid w:val="00020384"/>
    <w:rsid w:val="0002195D"/>
    <w:rsid w:val="000234D6"/>
    <w:rsid w:val="00023D29"/>
    <w:rsid w:val="00025C47"/>
    <w:rsid w:val="00025CDB"/>
    <w:rsid w:val="00026031"/>
    <w:rsid w:val="000262C7"/>
    <w:rsid w:val="00026389"/>
    <w:rsid w:val="00026E93"/>
    <w:rsid w:val="00027CCB"/>
    <w:rsid w:val="00031AE0"/>
    <w:rsid w:val="00031D22"/>
    <w:rsid w:val="00031F70"/>
    <w:rsid w:val="000322EF"/>
    <w:rsid w:val="00032837"/>
    <w:rsid w:val="00033FCD"/>
    <w:rsid w:val="000354C7"/>
    <w:rsid w:val="0003581C"/>
    <w:rsid w:val="0003646D"/>
    <w:rsid w:val="00036AE8"/>
    <w:rsid w:val="00036F4B"/>
    <w:rsid w:val="0003723F"/>
    <w:rsid w:val="000409D9"/>
    <w:rsid w:val="00040D10"/>
    <w:rsid w:val="00041CEC"/>
    <w:rsid w:val="000435E2"/>
    <w:rsid w:val="00043819"/>
    <w:rsid w:val="00043AB6"/>
    <w:rsid w:val="000447F9"/>
    <w:rsid w:val="00045433"/>
    <w:rsid w:val="000460C2"/>
    <w:rsid w:val="0004694F"/>
    <w:rsid w:val="00046B0C"/>
    <w:rsid w:val="00047081"/>
    <w:rsid w:val="00050267"/>
    <w:rsid w:val="000522E4"/>
    <w:rsid w:val="00053503"/>
    <w:rsid w:val="000537E7"/>
    <w:rsid w:val="00053ADA"/>
    <w:rsid w:val="000557DB"/>
    <w:rsid w:val="0005689E"/>
    <w:rsid w:val="0005692B"/>
    <w:rsid w:val="00056EE3"/>
    <w:rsid w:val="00060C1D"/>
    <w:rsid w:val="000610E1"/>
    <w:rsid w:val="0006181C"/>
    <w:rsid w:val="00061936"/>
    <w:rsid w:val="00062EC5"/>
    <w:rsid w:val="00062F22"/>
    <w:rsid w:val="0006472D"/>
    <w:rsid w:val="00064C3D"/>
    <w:rsid w:val="00064D4F"/>
    <w:rsid w:val="000664E1"/>
    <w:rsid w:val="00066A92"/>
    <w:rsid w:val="0007020E"/>
    <w:rsid w:val="000712B3"/>
    <w:rsid w:val="000744F1"/>
    <w:rsid w:val="0007704E"/>
    <w:rsid w:val="00080F3C"/>
    <w:rsid w:val="000819EA"/>
    <w:rsid w:val="000824B7"/>
    <w:rsid w:val="0008263E"/>
    <w:rsid w:val="00082C19"/>
    <w:rsid w:val="00085395"/>
    <w:rsid w:val="000860FB"/>
    <w:rsid w:val="00086700"/>
    <w:rsid w:val="00086DF8"/>
    <w:rsid w:val="00087634"/>
    <w:rsid w:val="00087F2B"/>
    <w:rsid w:val="00090F62"/>
    <w:rsid w:val="0009134C"/>
    <w:rsid w:val="00092231"/>
    <w:rsid w:val="00092F8C"/>
    <w:rsid w:val="00093912"/>
    <w:rsid w:val="0009395E"/>
    <w:rsid w:val="0009438F"/>
    <w:rsid w:val="00095135"/>
    <w:rsid w:val="000951C7"/>
    <w:rsid w:val="00095D97"/>
    <w:rsid w:val="000968FA"/>
    <w:rsid w:val="00097361"/>
    <w:rsid w:val="000974D1"/>
    <w:rsid w:val="0009799E"/>
    <w:rsid w:val="000A0692"/>
    <w:rsid w:val="000A1183"/>
    <w:rsid w:val="000A2122"/>
    <w:rsid w:val="000A256D"/>
    <w:rsid w:val="000A3536"/>
    <w:rsid w:val="000A3957"/>
    <w:rsid w:val="000A3A2C"/>
    <w:rsid w:val="000A3C98"/>
    <w:rsid w:val="000A4CFF"/>
    <w:rsid w:val="000A565C"/>
    <w:rsid w:val="000A57D4"/>
    <w:rsid w:val="000A5A08"/>
    <w:rsid w:val="000A6BDB"/>
    <w:rsid w:val="000A7E10"/>
    <w:rsid w:val="000B0C26"/>
    <w:rsid w:val="000B2E84"/>
    <w:rsid w:val="000B3277"/>
    <w:rsid w:val="000B3D9C"/>
    <w:rsid w:val="000B4EFA"/>
    <w:rsid w:val="000B5132"/>
    <w:rsid w:val="000B5F58"/>
    <w:rsid w:val="000B613B"/>
    <w:rsid w:val="000B7FD1"/>
    <w:rsid w:val="000C0A4B"/>
    <w:rsid w:val="000C1805"/>
    <w:rsid w:val="000C1C67"/>
    <w:rsid w:val="000C207E"/>
    <w:rsid w:val="000C303B"/>
    <w:rsid w:val="000C3408"/>
    <w:rsid w:val="000C4A3F"/>
    <w:rsid w:val="000C4DF2"/>
    <w:rsid w:val="000C6AFD"/>
    <w:rsid w:val="000C6D60"/>
    <w:rsid w:val="000C6F50"/>
    <w:rsid w:val="000C726A"/>
    <w:rsid w:val="000C7ADD"/>
    <w:rsid w:val="000D3ACB"/>
    <w:rsid w:val="000D3FF0"/>
    <w:rsid w:val="000D48D5"/>
    <w:rsid w:val="000D4A24"/>
    <w:rsid w:val="000D50DE"/>
    <w:rsid w:val="000D5637"/>
    <w:rsid w:val="000E3B90"/>
    <w:rsid w:val="000E3F61"/>
    <w:rsid w:val="000E4376"/>
    <w:rsid w:val="000E45EF"/>
    <w:rsid w:val="000E6FBD"/>
    <w:rsid w:val="000F0B68"/>
    <w:rsid w:val="000F13D0"/>
    <w:rsid w:val="000F5116"/>
    <w:rsid w:val="000F5227"/>
    <w:rsid w:val="00100F5C"/>
    <w:rsid w:val="00101CDA"/>
    <w:rsid w:val="00101DD7"/>
    <w:rsid w:val="00102391"/>
    <w:rsid w:val="0010309C"/>
    <w:rsid w:val="00104C4C"/>
    <w:rsid w:val="001056D3"/>
    <w:rsid w:val="001062D9"/>
    <w:rsid w:val="001075D1"/>
    <w:rsid w:val="0011034F"/>
    <w:rsid w:val="0011243F"/>
    <w:rsid w:val="00112479"/>
    <w:rsid w:val="00113466"/>
    <w:rsid w:val="00115A8D"/>
    <w:rsid w:val="00117623"/>
    <w:rsid w:val="0012011F"/>
    <w:rsid w:val="0012192F"/>
    <w:rsid w:val="00121AEA"/>
    <w:rsid w:val="001221E1"/>
    <w:rsid w:val="00122AD9"/>
    <w:rsid w:val="00123742"/>
    <w:rsid w:val="0012390C"/>
    <w:rsid w:val="00123BA2"/>
    <w:rsid w:val="00123EA3"/>
    <w:rsid w:val="0012513F"/>
    <w:rsid w:val="00125609"/>
    <w:rsid w:val="00125D69"/>
    <w:rsid w:val="001261F1"/>
    <w:rsid w:val="001318C4"/>
    <w:rsid w:val="00131915"/>
    <w:rsid w:val="00131BDF"/>
    <w:rsid w:val="00132276"/>
    <w:rsid w:val="0013332E"/>
    <w:rsid w:val="00134A27"/>
    <w:rsid w:val="001405FA"/>
    <w:rsid w:val="00140A87"/>
    <w:rsid w:val="00140C22"/>
    <w:rsid w:val="001425C3"/>
    <w:rsid w:val="00142E49"/>
    <w:rsid w:val="001441CF"/>
    <w:rsid w:val="00144525"/>
    <w:rsid w:val="00145802"/>
    <w:rsid w:val="00145E07"/>
    <w:rsid w:val="0014755F"/>
    <w:rsid w:val="001476BD"/>
    <w:rsid w:val="00147B49"/>
    <w:rsid w:val="00147E0D"/>
    <w:rsid w:val="00147F51"/>
    <w:rsid w:val="001507EC"/>
    <w:rsid w:val="001514B1"/>
    <w:rsid w:val="00151510"/>
    <w:rsid w:val="001529DB"/>
    <w:rsid w:val="00152B0C"/>
    <w:rsid w:val="00152C5B"/>
    <w:rsid w:val="00152E68"/>
    <w:rsid w:val="00154A8F"/>
    <w:rsid w:val="00155004"/>
    <w:rsid w:val="00156004"/>
    <w:rsid w:val="0015693C"/>
    <w:rsid w:val="001612F4"/>
    <w:rsid w:val="00161801"/>
    <w:rsid w:val="00161D7B"/>
    <w:rsid w:val="0016256B"/>
    <w:rsid w:val="001630CA"/>
    <w:rsid w:val="001635B9"/>
    <w:rsid w:val="00163793"/>
    <w:rsid w:val="0016420F"/>
    <w:rsid w:val="00165C94"/>
    <w:rsid w:val="00165D64"/>
    <w:rsid w:val="00166B9A"/>
    <w:rsid w:val="001706D6"/>
    <w:rsid w:val="001714F2"/>
    <w:rsid w:val="00171C40"/>
    <w:rsid w:val="0017287E"/>
    <w:rsid w:val="001737B3"/>
    <w:rsid w:val="00173E87"/>
    <w:rsid w:val="00174334"/>
    <w:rsid w:val="00174DC0"/>
    <w:rsid w:val="00175063"/>
    <w:rsid w:val="00175B9F"/>
    <w:rsid w:val="001769F3"/>
    <w:rsid w:val="00177087"/>
    <w:rsid w:val="001806A2"/>
    <w:rsid w:val="00180E26"/>
    <w:rsid w:val="00180FC4"/>
    <w:rsid w:val="00181BBC"/>
    <w:rsid w:val="001820F2"/>
    <w:rsid w:val="00182FAC"/>
    <w:rsid w:val="00184212"/>
    <w:rsid w:val="001842AC"/>
    <w:rsid w:val="00184B08"/>
    <w:rsid w:val="00185010"/>
    <w:rsid w:val="00185A34"/>
    <w:rsid w:val="0018654A"/>
    <w:rsid w:val="001865C5"/>
    <w:rsid w:val="0019143B"/>
    <w:rsid w:val="00192232"/>
    <w:rsid w:val="0019271F"/>
    <w:rsid w:val="00193CDC"/>
    <w:rsid w:val="00195620"/>
    <w:rsid w:val="00196F3D"/>
    <w:rsid w:val="001A0347"/>
    <w:rsid w:val="001A0487"/>
    <w:rsid w:val="001A09BF"/>
    <w:rsid w:val="001A1D37"/>
    <w:rsid w:val="001A1FFB"/>
    <w:rsid w:val="001A26EA"/>
    <w:rsid w:val="001A42E4"/>
    <w:rsid w:val="001A528C"/>
    <w:rsid w:val="001A5438"/>
    <w:rsid w:val="001A552F"/>
    <w:rsid w:val="001A6DE1"/>
    <w:rsid w:val="001B14BC"/>
    <w:rsid w:val="001B1B92"/>
    <w:rsid w:val="001B246F"/>
    <w:rsid w:val="001B2CA9"/>
    <w:rsid w:val="001B3110"/>
    <w:rsid w:val="001B4729"/>
    <w:rsid w:val="001B59C2"/>
    <w:rsid w:val="001B6180"/>
    <w:rsid w:val="001B62E1"/>
    <w:rsid w:val="001B6310"/>
    <w:rsid w:val="001B6C09"/>
    <w:rsid w:val="001B6CC9"/>
    <w:rsid w:val="001B7B54"/>
    <w:rsid w:val="001C04A7"/>
    <w:rsid w:val="001C05CD"/>
    <w:rsid w:val="001C1B5E"/>
    <w:rsid w:val="001C1F96"/>
    <w:rsid w:val="001C2DF4"/>
    <w:rsid w:val="001C6497"/>
    <w:rsid w:val="001C7114"/>
    <w:rsid w:val="001D0146"/>
    <w:rsid w:val="001D07CA"/>
    <w:rsid w:val="001D16A8"/>
    <w:rsid w:val="001D35D0"/>
    <w:rsid w:val="001D3E75"/>
    <w:rsid w:val="001D48B3"/>
    <w:rsid w:val="001D48D4"/>
    <w:rsid w:val="001D5A2A"/>
    <w:rsid w:val="001D5E38"/>
    <w:rsid w:val="001D68B2"/>
    <w:rsid w:val="001D7B29"/>
    <w:rsid w:val="001E0542"/>
    <w:rsid w:val="001E0E69"/>
    <w:rsid w:val="001E2362"/>
    <w:rsid w:val="001E2605"/>
    <w:rsid w:val="001E353A"/>
    <w:rsid w:val="001E3FD2"/>
    <w:rsid w:val="001E4382"/>
    <w:rsid w:val="001E504C"/>
    <w:rsid w:val="001E5085"/>
    <w:rsid w:val="001E54C6"/>
    <w:rsid w:val="001E563B"/>
    <w:rsid w:val="001E5803"/>
    <w:rsid w:val="001E5D41"/>
    <w:rsid w:val="001E6062"/>
    <w:rsid w:val="001E7360"/>
    <w:rsid w:val="001F22A0"/>
    <w:rsid w:val="001F3EDB"/>
    <w:rsid w:val="001F4597"/>
    <w:rsid w:val="001F5B15"/>
    <w:rsid w:val="001F67A0"/>
    <w:rsid w:val="001F67E9"/>
    <w:rsid w:val="001F7DD4"/>
    <w:rsid w:val="00200875"/>
    <w:rsid w:val="00200EFB"/>
    <w:rsid w:val="002013BA"/>
    <w:rsid w:val="00201ABB"/>
    <w:rsid w:val="00202E51"/>
    <w:rsid w:val="00203629"/>
    <w:rsid w:val="00203DA4"/>
    <w:rsid w:val="00204A14"/>
    <w:rsid w:val="0021031A"/>
    <w:rsid w:val="00210453"/>
    <w:rsid w:val="00211350"/>
    <w:rsid w:val="002118B9"/>
    <w:rsid w:val="00211E86"/>
    <w:rsid w:val="002144D9"/>
    <w:rsid w:val="002147C5"/>
    <w:rsid w:val="00214CF7"/>
    <w:rsid w:val="00216139"/>
    <w:rsid w:val="00216425"/>
    <w:rsid w:val="00217C5B"/>
    <w:rsid w:val="00217CAD"/>
    <w:rsid w:val="00220412"/>
    <w:rsid w:val="0022084F"/>
    <w:rsid w:val="00220F08"/>
    <w:rsid w:val="002210EF"/>
    <w:rsid w:val="002211EE"/>
    <w:rsid w:val="0022139E"/>
    <w:rsid w:val="00221763"/>
    <w:rsid w:val="00221B37"/>
    <w:rsid w:val="00222729"/>
    <w:rsid w:val="002234F2"/>
    <w:rsid w:val="0022400B"/>
    <w:rsid w:val="0022515D"/>
    <w:rsid w:val="0022526B"/>
    <w:rsid w:val="002252E0"/>
    <w:rsid w:val="002255F6"/>
    <w:rsid w:val="00225B14"/>
    <w:rsid w:val="00225FE1"/>
    <w:rsid w:val="00226932"/>
    <w:rsid w:val="002269CF"/>
    <w:rsid w:val="00226C8D"/>
    <w:rsid w:val="00226CEB"/>
    <w:rsid w:val="00226FF4"/>
    <w:rsid w:val="00227850"/>
    <w:rsid w:val="00227A53"/>
    <w:rsid w:val="00230C6E"/>
    <w:rsid w:val="00230FF6"/>
    <w:rsid w:val="002313F4"/>
    <w:rsid w:val="0023423D"/>
    <w:rsid w:val="00234285"/>
    <w:rsid w:val="00235DF4"/>
    <w:rsid w:val="00236029"/>
    <w:rsid w:val="00236443"/>
    <w:rsid w:val="0023672F"/>
    <w:rsid w:val="00241B06"/>
    <w:rsid w:val="002436BA"/>
    <w:rsid w:val="00244A15"/>
    <w:rsid w:val="0024577B"/>
    <w:rsid w:val="00246B57"/>
    <w:rsid w:val="00247319"/>
    <w:rsid w:val="002477F5"/>
    <w:rsid w:val="0024799E"/>
    <w:rsid w:val="0025314E"/>
    <w:rsid w:val="00253C0F"/>
    <w:rsid w:val="002548EA"/>
    <w:rsid w:val="002558C1"/>
    <w:rsid w:val="0025596D"/>
    <w:rsid w:val="00255E0A"/>
    <w:rsid w:val="0026041B"/>
    <w:rsid w:val="0026273F"/>
    <w:rsid w:val="002629D1"/>
    <w:rsid w:val="00264588"/>
    <w:rsid w:val="00264FF1"/>
    <w:rsid w:val="0026505B"/>
    <w:rsid w:val="00265D04"/>
    <w:rsid w:val="00265D9E"/>
    <w:rsid w:val="00267252"/>
    <w:rsid w:val="0027004A"/>
    <w:rsid w:val="00271465"/>
    <w:rsid w:val="00271D6A"/>
    <w:rsid w:val="00271F7E"/>
    <w:rsid w:val="00273548"/>
    <w:rsid w:val="0027435A"/>
    <w:rsid w:val="00275A69"/>
    <w:rsid w:val="00276221"/>
    <w:rsid w:val="0027788C"/>
    <w:rsid w:val="00280348"/>
    <w:rsid w:val="002809EE"/>
    <w:rsid w:val="002813FB"/>
    <w:rsid w:val="00283497"/>
    <w:rsid w:val="00283F2E"/>
    <w:rsid w:val="00285412"/>
    <w:rsid w:val="00285DBC"/>
    <w:rsid w:val="002876DC"/>
    <w:rsid w:val="002914B8"/>
    <w:rsid w:val="00291640"/>
    <w:rsid w:val="002922FC"/>
    <w:rsid w:val="00294911"/>
    <w:rsid w:val="0029592F"/>
    <w:rsid w:val="00296A55"/>
    <w:rsid w:val="002A01A6"/>
    <w:rsid w:val="002A16D4"/>
    <w:rsid w:val="002A1D63"/>
    <w:rsid w:val="002A230C"/>
    <w:rsid w:val="002A2B09"/>
    <w:rsid w:val="002A2FD4"/>
    <w:rsid w:val="002A4755"/>
    <w:rsid w:val="002B2299"/>
    <w:rsid w:val="002B3535"/>
    <w:rsid w:val="002B4121"/>
    <w:rsid w:val="002B4845"/>
    <w:rsid w:val="002B4D75"/>
    <w:rsid w:val="002C02CF"/>
    <w:rsid w:val="002C02EB"/>
    <w:rsid w:val="002C12F5"/>
    <w:rsid w:val="002C1377"/>
    <w:rsid w:val="002C1BB3"/>
    <w:rsid w:val="002C2803"/>
    <w:rsid w:val="002C2ECB"/>
    <w:rsid w:val="002C43BD"/>
    <w:rsid w:val="002C5FE0"/>
    <w:rsid w:val="002C60B2"/>
    <w:rsid w:val="002D0576"/>
    <w:rsid w:val="002D0E59"/>
    <w:rsid w:val="002D12DC"/>
    <w:rsid w:val="002D19F2"/>
    <w:rsid w:val="002D1DEA"/>
    <w:rsid w:val="002D2069"/>
    <w:rsid w:val="002D3023"/>
    <w:rsid w:val="002D3F57"/>
    <w:rsid w:val="002D4F48"/>
    <w:rsid w:val="002D6876"/>
    <w:rsid w:val="002D783C"/>
    <w:rsid w:val="002E02A1"/>
    <w:rsid w:val="002E05FC"/>
    <w:rsid w:val="002E182F"/>
    <w:rsid w:val="002E3BF0"/>
    <w:rsid w:val="002E42AC"/>
    <w:rsid w:val="002E4E4C"/>
    <w:rsid w:val="002E54B5"/>
    <w:rsid w:val="002E5531"/>
    <w:rsid w:val="002E559F"/>
    <w:rsid w:val="002E6113"/>
    <w:rsid w:val="002E6AB3"/>
    <w:rsid w:val="002E6CE0"/>
    <w:rsid w:val="002E6E34"/>
    <w:rsid w:val="002F0C93"/>
    <w:rsid w:val="002F1363"/>
    <w:rsid w:val="002F2227"/>
    <w:rsid w:val="002F3C21"/>
    <w:rsid w:val="002F3DA7"/>
    <w:rsid w:val="002F64C0"/>
    <w:rsid w:val="002F6F94"/>
    <w:rsid w:val="002F6FFF"/>
    <w:rsid w:val="00300650"/>
    <w:rsid w:val="003027B5"/>
    <w:rsid w:val="00302ADD"/>
    <w:rsid w:val="00304771"/>
    <w:rsid w:val="00304872"/>
    <w:rsid w:val="003052D4"/>
    <w:rsid w:val="00305E92"/>
    <w:rsid w:val="00306C5B"/>
    <w:rsid w:val="003076DD"/>
    <w:rsid w:val="00310073"/>
    <w:rsid w:val="00310351"/>
    <w:rsid w:val="00310819"/>
    <w:rsid w:val="00311100"/>
    <w:rsid w:val="00311901"/>
    <w:rsid w:val="003121C1"/>
    <w:rsid w:val="003129DA"/>
    <w:rsid w:val="00312E9C"/>
    <w:rsid w:val="00315C99"/>
    <w:rsid w:val="003166B7"/>
    <w:rsid w:val="00317908"/>
    <w:rsid w:val="00320393"/>
    <w:rsid w:val="003209D6"/>
    <w:rsid w:val="00320C1A"/>
    <w:rsid w:val="00321247"/>
    <w:rsid w:val="00321924"/>
    <w:rsid w:val="00321FF9"/>
    <w:rsid w:val="003221F3"/>
    <w:rsid w:val="003222B8"/>
    <w:rsid w:val="00323605"/>
    <w:rsid w:val="00323797"/>
    <w:rsid w:val="00325F8D"/>
    <w:rsid w:val="00326029"/>
    <w:rsid w:val="0032656E"/>
    <w:rsid w:val="003306E3"/>
    <w:rsid w:val="00331CDB"/>
    <w:rsid w:val="00332190"/>
    <w:rsid w:val="00333E16"/>
    <w:rsid w:val="00334998"/>
    <w:rsid w:val="00335A1E"/>
    <w:rsid w:val="003368F5"/>
    <w:rsid w:val="00337AC5"/>
    <w:rsid w:val="0034181E"/>
    <w:rsid w:val="0034335E"/>
    <w:rsid w:val="003445EF"/>
    <w:rsid w:val="00344668"/>
    <w:rsid w:val="003451F4"/>
    <w:rsid w:val="00345216"/>
    <w:rsid w:val="003457D6"/>
    <w:rsid w:val="003458C3"/>
    <w:rsid w:val="003462D9"/>
    <w:rsid w:val="0035030A"/>
    <w:rsid w:val="00350517"/>
    <w:rsid w:val="00351684"/>
    <w:rsid w:val="00352E3D"/>
    <w:rsid w:val="00353918"/>
    <w:rsid w:val="00355510"/>
    <w:rsid w:val="00355624"/>
    <w:rsid w:val="00355AD6"/>
    <w:rsid w:val="0035782C"/>
    <w:rsid w:val="0036026A"/>
    <w:rsid w:val="0036039D"/>
    <w:rsid w:val="0036073B"/>
    <w:rsid w:val="00360C86"/>
    <w:rsid w:val="00360FBC"/>
    <w:rsid w:val="003612D3"/>
    <w:rsid w:val="00361E3A"/>
    <w:rsid w:val="00361F0F"/>
    <w:rsid w:val="00362E90"/>
    <w:rsid w:val="0036331C"/>
    <w:rsid w:val="003634E5"/>
    <w:rsid w:val="00364FA0"/>
    <w:rsid w:val="003657F3"/>
    <w:rsid w:val="00366728"/>
    <w:rsid w:val="00366A26"/>
    <w:rsid w:val="00366F38"/>
    <w:rsid w:val="00366FAF"/>
    <w:rsid w:val="0036772A"/>
    <w:rsid w:val="00367CB3"/>
    <w:rsid w:val="00370B5C"/>
    <w:rsid w:val="00374B06"/>
    <w:rsid w:val="00374BD4"/>
    <w:rsid w:val="003750D1"/>
    <w:rsid w:val="00375A2B"/>
    <w:rsid w:val="003818DC"/>
    <w:rsid w:val="0038313A"/>
    <w:rsid w:val="00384327"/>
    <w:rsid w:val="00384A52"/>
    <w:rsid w:val="00384A54"/>
    <w:rsid w:val="003859D7"/>
    <w:rsid w:val="00385D98"/>
    <w:rsid w:val="00387AD2"/>
    <w:rsid w:val="0039192B"/>
    <w:rsid w:val="00395B42"/>
    <w:rsid w:val="00396E54"/>
    <w:rsid w:val="003A017C"/>
    <w:rsid w:val="003A023D"/>
    <w:rsid w:val="003A2472"/>
    <w:rsid w:val="003A2B4D"/>
    <w:rsid w:val="003A2D12"/>
    <w:rsid w:val="003A478C"/>
    <w:rsid w:val="003A526B"/>
    <w:rsid w:val="003A5525"/>
    <w:rsid w:val="003A6058"/>
    <w:rsid w:val="003A6B38"/>
    <w:rsid w:val="003A6E8E"/>
    <w:rsid w:val="003B0235"/>
    <w:rsid w:val="003B0859"/>
    <w:rsid w:val="003B1855"/>
    <w:rsid w:val="003B2D3D"/>
    <w:rsid w:val="003B2D42"/>
    <w:rsid w:val="003B461F"/>
    <w:rsid w:val="003B4BB5"/>
    <w:rsid w:val="003B524C"/>
    <w:rsid w:val="003B5A32"/>
    <w:rsid w:val="003B7535"/>
    <w:rsid w:val="003C11F1"/>
    <w:rsid w:val="003C308F"/>
    <w:rsid w:val="003C3490"/>
    <w:rsid w:val="003C3E52"/>
    <w:rsid w:val="003C4C2B"/>
    <w:rsid w:val="003C687F"/>
    <w:rsid w:val="003C7E62"/>
    <w:rsid w:val="003D021F"/>
    <w:rsid w:val="003D1135"/>
    <w:rsid w:val="003D1702"/>
    <w:rsid w:val="003D4412"/>
    <w:rsid w:val="003D6074"/>
    <w:rsid w:val="003D6920"/>
    <w:rsid w:val="003E2FF1"/>
    <w:rsid w:val="003E3DB8"/>
    <w:rsid w:val="003E40FE"/>
    <w:rsid w:val="003E42F4"/>
    <w:rsid w:val="003E4C91"/>
    <w:rsid w:val="003E58A7"/>
    <w:rsid w:val="003E6A39"/>
    <w:rsid w:val="003F11D9"/>
    <w:rsid w:val="003F1491"/>
    <w:rsid w:val="003F313C"/>
    <w:rsid w:val="003F37FC"/>
    <w:rsid w:val="003F4B2C"/>
    <w:rsid w:val="003F551C"/>
    <w:rsid w:val="003F5CBE"/>
    <w:rsid w:val="003F72ED"/>
    <w:rsid w:val="003F7D23"/>
    <w:rsid w:val="00400A19"/>
    <w:rsid w:val="0040101B"/>
    <w:rsid w:val="004010B3"/>
    <w:rsid w:val="0040361C"/>
    <w:rsid w:val="00404F7F"/>
    <w:rsid w:val="00405480"/>
    <w:rsid w:val="004058D9"/>
    <w:rsid w:val="00407458"/>
    <w:rsid w:val="0040782B"/>
    <w:rsid w:val="00407C13"/>
    <w:rsid w:val="0041041D"/>
    <w:rsid w:val="00410638"/>
    <w:rsid w:val="00410754"/>
    <w:rsid w:val="00411C8A"/>
    <w:rsid w:val="00412D98"/>
    <w:rsid w:val="00412EDC"/>
    <w:rsid w:val="0041327E"/>
    <w:rsid w:val="00414CFC"/>
    <w:rsid w:val="0041501E"/>
    <w:rsid w:val="004150B9"/>
    <w:rsid w:val="00415467"/>
    <w:rsid w:val="004159C3"/>
    <w:rsid w:val="00416579"/>
    <w:rsid w:val="004204A7"/>
    <w:rsid w:val="00420850"/>
    <w:rsid w:val="00424AF2"/>
    <w:rsid w:val="00425371"/>
    <w:rsid w:val="00425E09"/>
    <w:rsid w:val="00426A0A"/>
    <w:rsid w:val="00431955"/>
    <w:rsid w:val="00432973"/>
    <w:rsid w:val="00432A58"/>
    <w:rsid w:val="00432C06"/>
    <w:rsid w:val="00432F4B"/>
    <w:rsid w:val="0043379F"/>
    <w:rsid w:val="00433E51"/>
    <w:rsid w:val="00434617"/>
    <w:rsid w:val="00434970"/>
    <w:rsid w:val="004354AF"/>
    <w:rsid w:val="0043582E"/>
    <w:rsid w:val="004372DC"/>
    <w:rsid w:val="00440802"/>
    <w:rsid w:val="00440900"/>
    <w:rsid w:val="0044104A"/>
    <w:rsid w:val="004414FA"/>
    <w:rsid w:val="00441BF6"/>
    <w:rsid w:val="00442055"/>
    <w:rsid w:val="00443A3C"/>
    <w:rsid w:val="00443BDD"/>
    <w:rsid w:val="004441A0"/>
    <w:rsid w:val="00444CC9"/>
    <w:rsid w:val="00444D89"/>
    <w:rsid w:val="004455BA"/>
    <w:rsid w:val="00447D51"/>
    <w:rsid w:val="004500B9"/>
    <w:rsid w:val="0045078A"/>
    <w:rsid w:val="0045086D"/>
    <w:rsid w:val="00451504"/>
    <w:rsid w:val="004517D9"/>
    <w:rsid w:val="00451BDE"/>
    <w:rsid w:val="00452746"/>
    <w:rsid w:val="00453F88"/>
    <w:rsid w:val="004545ED"/>
    <w:rsid w:val="00454F11"/>
    <w:rsid w:val="00457047"/>
    <w:rsid w:val="0045727E"/>
    <w:rsid w:val="00460FB3"/>
    <w:rsid w:val="00461115"/>
    <w:rsid w:val="004615B2"/>
    <w:rsid w:val="0046167C"/>
    <w:rsid w:val="00462A13"/>
    <w:rsid w:val="00463463"/>
    <w:rsid w:val="00463661"/>
    <w:rsid w:val="00464621"/>
    <w:rsid w:val="00464BF4"/>
    <w:rsid w:val="0046588D"/>
    <w:rsid w:val="00466519"/>
    <w:rsid w:val="00470F34"/>
    <w:rsid w:val="00472C42"/>
    <w:rsid w:val="00472CBB"/>
    <w:rsid w:val="00472D76"/>
    <w:rsid w:val="00473240"/>
    <w:rsid w:val="00474C10"/>
    <w:rsid w:val="00476240"/>
    <w:rsid w:val="00476439"/>
    <w:rsid w:val="0047735C"/>
    <w:rsid w:val="004776BC"/>
    <w:rsid w:val="00480239"/>
    <w:rsid w:val="00481390"/>
    <w:rsid w:val="0048139F"/>
    <w:rsid w:val="00481E40"/>
    <w:rsid w:val="0048297A"/>
    <w:rsid w:val="00484BA3"/>
    <w:rsid w:val="00484E60"/>
    <w:rsid w:val="00484ECE"/>
    <w:rsid w:val="00485B5A"/>
    <w:rsid w:val="00487CB4"/>
    <w:rsid w:val="00490D16"/>
    <w:rsid w:val="004915CB"/>
    <w:rsid w:val="00491B47"/>
    <w:rsid w:val="004924DC"/>
    <w:rsid w:val="00492A59"/>
    <w:rsid w:val="00494317"/>
    <w:rsid w:val="0049733B"/>
    <w:rsid w:val="004A03CF"/>
    <w:rsid w:val="004A14E4"/>
    <w:rsid w:val="004A3212"/>
    <w:rsid w:val="004A3285"/>
    <w:rsid w:val="004A4158"/>
    <w:rsid w:val="004A4643"/>
    <w:rsid w:val="004A4A88"/>
    <w:rsid w:val="004A5494"/>
    <w:rsid w:val="004A61C5"/>
    <w:rsid w:val="004A69F2"/>
    <w:rsid w:val="004A77DF"/>
    <w:rsid w:val="004B1417"/>
    <w:rsid w:val="004B17B5"/>
    <w:rsid w:val="004B2390"/>
    <w:rsid w:val="004B2835"/>
    <w:rsid w:val="004B55B7"/>
    <w:rsid w:val="004B6119"/>
    <w:rsid w:val="004B6468"/>
    <w:rsid w:val="004B711E"/>
    <w:rsid w:val="004B7125"/>
    <w:rsid w:val="004B7213"/>
    <w:rsid w:val="004C14E8"/>
    <w:rsid w:val="004C1E8B"/>
    <w:rsid w:val="004C32B6"/>
    <w:rsid w:val="004C34F2"/>
    <w:rsid w:val="004C384C"/>
    <w:rsid w:val="004C3867"/>
    <w:rsid w:val="004C4CD0"/>
    <w:rsid w:val="004C70DC"/>
    <w:rsid w:val="004D0211"/>
    <w:rsid w:val="004D0794"/>
    <w:rsid w:val="004D2529"/>
    <w:rsid w:val="004D365C"/>
    <w:rsid w:val="004D3967"/>
    <w:rsid w:val="004D626B"/>
    <w:rsid w:val="004E071D"/>
    <w:rsid w:val="004E2CE1"/>
    <w:rsid w:val="004E51EB"/>
    <w:rsid w:val="004E5A97"/>
    <w:rsid w:val="004E672F"/>
    <w:rsid w:val="004E6BFC"/>
    <w:rsid w:val="004E6EED"/>
    <w:rsid w:val="004F06F5"/>
    <w:rsid w:val="004F33A0"/>
    <w:rsid w:val="004F3E4C"/>
    <w:rsid w:val="004F3F33"/>
    <w:rsid w:val="004F4587"/>
    <w:rsid w:val="004F4B2E"/>
    <w:rsid w:val="004F4B78"/>
    <w:rsid w:val="004F4EB8"/>
    <w:rsid w:val="00502009"/>
    <w:rsid w:val="005036D2"/>
    <w:rsid w:val="005042B1"/>
    <w:rsid w:val="00504404"/>
    <w:rsid w:val="0050440D"/>
    <w:rsid w:val="005058B3"/>
    <w:rsid w:val="00505FE3"/>
    <w:rsid w:val="0050689D"/>
    <w:rsid w:val="00510084"/>
    <w:rsid w:val="0051059A"/>
    <w:rsid w:val="005108C0"/>
    <w:rsid w:val="005111FA"/>
    <w:rsid w:val="00511735"/>
    <w:rsid w:val="00511873"/>
    <w:rsid w:val="00511AFF"/>
    <w:rsid w:val="00512A2F"/>
    <w:rsid w:val="00512E34"/>
    <w:rsid w:val="00513844"/>
    <w:rsid w:val="00513B7E"/>
    <w:rsid w:val="00515349"/>
    <w:rsid w:val="00515C74"/>
    <w:rsid w:val="005174DD"/>
    <w:rsid w:val="0052007E"/>
    <w:rsid w:val="00520B53"/>
    <w:rsid w:val="00522EEA"/>
    <w:rsid w:val="0052337A"/>
    <w:rsid w:val="005235C8"/>
    <w:rsid w:val="00523FCE"/>
    <w:rsid w:val="00524FBF"/>
    <w:rsid w:val="00525137"/>
    <w:rsid w:val="005251DD"/>
    <w:rsid w:val="00526E55"/>
    <w:rsid w:val="00527F94"/>
    <w:rsid w:val="00530B89"/>
    <w:rsid w:val="0053135D"/>
    <w:rsid w:val="00532CE7"/>
    <w:rsid w:val="0053324C"/>
    <w:rsid w:val="00534210"/>
    <w:rsid w:val="00534A28"/>
    <w:rsid w:val="0054014B"/>
    <w:rsid w:val="00540B19"/>
    <w:rsid w:val="0054130E"/>
    <w:rsid w:val="00541508"/>
    <w:rsid w:val="005433DC"/>
    <w:rsid w:val="00543498"/>
    <w:rsid w:val="00543C8F"/>
    <w:rsid w:val="0054585F"/>
    <w:rsid w:val="005500AF"/>
    <w:rsid w:val="00550752"/>
    <w:rsid w:val="0055599F"/>
    <w:rsid w:val="00555C3C"/>
    <w:rsid w:val="00556D68"/>
    <w:rsid w:val="00556EF1"/>
    <w:rsid w:val="00557294"/>
    <w:rsid w:val="00557755"/>
    <w:rsid w:val="00560FF3"/>
    <w:rsid w:val="00562964"/>
    <w:rsid w:val="00563EB8"/>
    <w:rsid w:val="00564059"/>
    <w:rsid w:val="005647BF"/>
    <w:rsid w:val="00564AF1"/>
    <w:rsid w:val="00564FAC"/>
    <w:rsid w:val="005653B3"/>
    <w:rsid w:val="0056569C"/>
    <w:rsid w:val="00565C32"/>
    <w:rsid w:val="00566404"/>
    <w:rsid w:val="00566CAE"/>
    <w:rsid w:val="005705DD"/>
    <w:rsid w:val="00570DC6"/>
    <w:rsid w:val="0057157C"/>
    <w:rsid w:val="00572A4E"/>
    <w:rsid w:val="00572FB1"/>
    <w:rsid w:val="0057327E"/>
    <w:rsid w:val="0057364B"/>
    <w:rsid w:val="00574589"/>
    <w:rsid w:val="00574773"/>
    <w:rsid w:val="00575218"/>
    <w:rsid w:val="00575F5F"/>
    <w:rsid w:val="005774D7"/>
    <w:rsid w:val="005777D4"/>
    <w:rsid w:val="00577C25"/>
    <w:rsid w:val="00580606"/>
    <w:rsid w:val="005820B6"/>
    <w:rsid w:val="00582D01"/>
    <w:rsid w:val="00583FFD"/>
    <w:rsid w:val="00590017"/>
    <w:rsid w:val="005911BE"/>
    <w:rsid w:val="00591EC6"/>
    <w:rsid w:val="005923B1"/>
    <w:rsid w:val="00592603"/>
    <w:rsid w:val="00593152"/>
    <w:rsid w:val="00595676"/>
    <w:rsid w:val="00597817"/>
    <w:rsid w:val="00597D54"/>
    <w:rsid w:val="005A10F2"/>
    <w:rsid w:val="005A1C6C"/>
    <w:rsid w:val="005A21E0"/>
    <w:rsid w:val="005A2372"/>
    <w:rsid w:val="005A25CD"/>
    <w:rsid w:val="005A262D"/>
    <w:rsid w:val="005A28FF"/>
    <w:rsid w:val="005A3738"/>
    <w:rsid w:val="005A3DF8"/>
    <w:rsid w:val="005A425E"/>
    <w:rsid w:val="005A5549"/>
    <w:rsid w:val="005A5A30"/>
    <w:rsid w:val="005A74A4"/>
    <w:rsid w:val="005A7626"/>
    <w:rsid w:val="005B0E6C"/>
    <w:rsid w:val="005B121D"/>
    <w:rsid w:val="005B16F4"/>
    <w:rsid w:val="005B1D39"/>
    <w:rsid w:val="005B4A98"/>
    <w:rsid w:val="005B4C46"/>
    <w:rsid w:val="005B53F9"/>
    <w:rsid w:val="005B5DEF"/>
    <w:rsid w:val="005B6459"/>
    <w:rsid w:val="005B7AF7"/>
    <w:rsid w:val="005C06ED"/>
    <w:rsid w:val="005C0924"/>
    <w:rsid w:val="005C143E"/>
    <w:rsid w:val="005C2609"/>
    <w:rsid w:val="005C26FE"/>
    <w:rsid w:val="005C299F"/>
    <w:rsid w:val="005C4E7C"/>
    <w:rsid w:val="005C746A"/>
    <w:rsid w:val="005D03ED"/>
    <w:rsid w:val="005D34B1"/>
    <w:rsid w:val="005D5308"/>
    <w:rsid w:val="005D565E"/>
    <w:rsid w:val="005D5802"/>
    <w:rsid w:val="005D5D54"/>
    <w:rsid w:val="005D7119"/>
    <w:rsid w:val="005D7890"/>
    <w:rsid w:val="005E1BDA"/>
    <w:rsid w:val="005E313D"/>
    <w:rsid w:val="005E376E"/>
    <w:rsid w:val="005E565F"/>
    <w:rsid w:val="005E7019"/>
    <w:rsid w:val="005E7C78"/>
    <w:rsid w:val="005F0514"/>
    <w:rsid w:val="005F1858"/>
    <w:rsid w:val="005F18C5"/>
    <w:rsid w:val="005F3EB1"/>
    <w:rsid w:val="005F41C4"/>
    <w:rsid w:val="005F46D8"/>
    <w:rsid w:val="005F5469"/>
    <w:rsid w:val="005F7AAB"/>
    <w:rsid w:val="00600BE1"/>
    <w:rsid w:val="006030F6"/>
    <w:rsid w:val="0060408A"/>
    <w:rsid w:val="00604307"/>
    <w:rsid w:val="006044DA"/>
    <w:rsid w:val="006045F0"/>
    <w:rsid w:val="0060487F"/>
    <w:rsid w:val="00604CDA"/>
    <w:rsid w:val="00604EAD"/>
    <w:rsid w:val="00606408"/>
    <w:rsid w:val="00606E6F"/>
    <w:rsid w:val="00606F15"/>
    <w:rsid w:val="006104FB"/>
    <w:rsid w:val="006124C5"/>
    <w:rsid w:val="00612A2F"/>
    <w:rsid w:val="0061482A"/>
    <w:rsid w:val="006166D8"/>
    <w:rsid w:val="00616E05"/>
    <w:rsid w:val="0062054C"/>
    <w:rsid w:val="00622254"/>
    <w:rsid w:val="00622363"/>
    <w:rsid w:val="00624093"/>
    <w:rsid w:val="0062503F"/>
    <w:rsid w:val="0062588C"/>
    <w:rsid w:val="00627BA2"/>
    <w:rsid w:val="00630E1F"/>
    <w:rsid w:val="00630F20"/>
    <w:rsid w:val="00631BC9"/>
    <w:rsid w:val="006350D5"/>
    <w:rsid w:val="00635191"/>
    <w:rsid w:val="00635B43"/>
    <w:rsid w:val="00637B2C"/>
    <w:rsid w:val="006404A7"/>
    <w:rsid w:val="00641F0B"/>
    <w:rsid w:val="0064287A"/>
    <w:rsid w:val="0064335A"/>
    <w:rsid w:val="00643FC3"/>
    <w:rsid w:val="00643FD3"/>
    <w:rsid w:val="006448DE"/>
    <w:rsid w:val="00644B90"/>
    <w:rsid w:val="00645133"/>
    <w:rsid w:val="006451E4"/>
    <w:rsid w:val="0064553D"/>
    <w:rsid w:val="00645B33"/>
    <w:rsid w:val="00645D1E"/>
    <w:rsid w:val="00650942"/>
    <w:rsid w:val="00650E0D"/>
    <w:rsid w:val="0065105B"/>
    <w:rsid w:val="006516CB"/>
    <w:rsid w:val="006517A7"/>
    <w:rsid w:val="00652F37"/>
    <w:rsid w:val="006533EC"/>
    <w:rsid w:val="00654154"/>
    <w:rsid w:val="0065479A"/>
    <w:rsid w:val="00655088"/>
    <w:rsid w:val="00656141"/>
    <w:rsid w:val="006567A9"/>
    <w:rsid w:val="00656B23"/>
    <w:rsid w:val="00656FC8"/>
    <w:rsid w:val="00657057"/>
    <w:rsid w:val="006574CC"/>
    <w:rsid w:val="00657D66"/>
    <w:rsid w:val="00657E87"/>
    <w:rsid w:val="00660910"/>
    <w:rsid w:val="00660F6A"/>
    <w:rsid w:val="00661EE7"/>
    <w:rsid w:val="006620C5"/>
    <w:rsid w:val="006645DB"/>
    <w:rsid w:val="00664803"/>
    <w:rsid w:val="00664BC8"/>
    <w:rsid w:val="00665BA4"/>
    <w:rsid w:val="00666348"/>
    <w:rsid w:val="006663A1"/>
    <w:rsid w:val="006679C7"/>
    <w:rsid w:val="00667AF2"/>
    <w:rsid w:val="00670242"/>
    <w:rsid w:val="006710C9"/>
    <w:rsid w:val="00671F5F"/>
    <w:rsid w:val="00673CDD"/>
    <w:rsid w:val="006740E4"/>
    <w:rsid w:val="006741AC"/>
    <w:rsid w:val="006745CB"/>
    <w:rsid w:val="006747BA"/>
    <w:rsid w:val="00674D89"/>
    <w:rsid w:val="006759FA"/>
    <w:rsid w:val="00675E37"/>
    <w:rsid w:val="00675F55"/>
    <w:rsid w:val="00680054"/>
    <w:rsid w:val="0068174E"/>
    <w:rsid w:val="00681DCE"/>
    <w:rsid w:val="00682216"/>
    <w:rsid w:val="0068260E"/>
    <w:rsid w:val="006827F0"/>
    <w:rsid w:val="00683398"/>
    <w:rsid w:val="00683C47"/>
    <w:rsid w:val="00683D7F"/>
    <w:rsid w:val="00683E1E"/>
    <w:rsid w:val="0068471C"/>
    <w:rsid w:val="00685F86"/>
    <w:rsid w:val="006864A6"/>
    <w:rsid w:val="00686E0A"/>
    <w:rsid w:val="0068704B"/>
    <w:rsid w:val="00691BCC"/>
    <w:rsid w:val="0069316A"/>
    <w:rsid w:val="00693CA2"/>
    <w:rsid w:val="00693F4A"/>
    <w:rsid w:val="00694375"/>
    <w:rsid w:val="006943B9"/>
    <w:rsid w:val="006952B0"/>
    <w:rsid w:val="006953FB"/>
    <w:rsid w:val="00695A1C"/>
    <w:rsid w:val="00695BEF"/>
    <w:rsid w:val="006977F6"/>
    <w:rsid w:val="00697A13"/>
    <w:rsid w:val="006A109C"/>
    <w:rsid w:val="006A10F4"/>
    <w:rsid w:val="006A1720"/>
    <w:rsid w:val="006A190E"/>
    <w:rsid w:val="006A2410"/>
    <w:rsid w:val="006A3561"/>
    <w:rsid w:val="006A3F9B"/>
    <w:rsid w:val="006A46F7"/>
    <w:rsid w:val="006A4CFF"/>
    <w:rsid w:val="006A726E"/>
    <w:rsid w:val="006A7ED6"/>
    <w:rsid w:val="006B0083"/>
    <w:rsid w:val="006B0F92"/>
    <w:rsid w:val="006B18CD"/>
    <w:rsid w:val="006B1AFC"/>
    <w:rsid w:val="006B1CAA"/>
    <w:rsid w:val="006B1E28"/>
    <w:rsid w:val="006B1FE2"/>
    <w:rsid w:val="006B2799"/>
    <w:rsid w:val="006B344A"/>
    <w:rsid w:val="006B3C13"/>
    <w:rsid w:val="006B4100"/>
    <w:rsid w:val="006B424F"/>
    <w:rsid w:val="006B78D8"/>
    <w:rsid w:val="006C0340"/>
    <w:rsid w:val="006C0C0D"/>
    <w:rsid w:val="006C113F"/>
    <w:rsid w:val="006C123E"/>
    <w:rsid w:val="006C1750"/>
    <w:rsid w:val="006C1752"/>
    <w:rsid w:val="006C2D41"/>
    <w:rsid w:val="006C4905"/>
    <w:rsid w:val="006C5547"/>
    <w:rsid w:val="006C56D4"/>
    <w:rsid w:val="006C5F30"/>
    <w:rsid w:val="006C6924"/>
    <w:rsid w:val="006C6BA8"/>
    <w:rsid w:val="006C7CA6"/>
    <w:rsid w:val="006D208B"/>
    <w:rsid w:val="006D3E8A"/>
    <w:rsid w:val="006D47A4"/>
    <w:rsid w:val="006D49FF"/>
    <w:rsid w:val="006D5247"/>
    <w:rsid w:val="006D592D"/>
    <w:rsid w:val="006D61F6"/>
    <w:rsid w:val="006D6781"/>
    <w:rsid w:val="006D6B9A"/>
    <w:rsid w:val="006D75BB"/>
    <w:rsid w:val="006E1CF2"/>
    <w:rsid w:val="006E279A"/>
    <w:rsid w:val="006E27B1"/>
    <w:rsid w:val="006E2B04"/>
    <w:rsid w:val="006E313B"/>
    <w:rsid w:val="006E489E"/>
    <w:rsid w:val="006E54AC"/>
    <w:rsid w:val="006E58F2"/>
    <w:rsid w:val="006E7227"/>
    <w:rsid w:val="006E7B31"/>
    <w:rsid w:val="006F0120"/>
    <w:rsid w:val="006F09CB"/>
    <w:rsid w:val="006F0B6A"/>
    <w:rsid w:val="006F0DC7"/>
    <w:rsid w:val="006F398D"/>
    <w:rsid w:val="006F438E"/>
    <w:rsid w:val="006F5416"/>
    <w:rsid w:val="00700059"/>
    <w:rsid w:val="00700E03"/>
    <w:rsid w:val="00700F27"/>
    <w:rsid w:val="0070119D"/>
    <w:rsid w:val="00701A28"/>
    <w:rsid w:val="00701BEB"/>
    <w:rsid w:val="00704818"/>
    <w:rsid w:val="00705242"/>
    <w:rsid w:val="00706AD4"/>
    <w:rsid w:val="00707150"/>
    <w:rsid w:val="00707AC1"/>
    <w:rsid w:val="00707AE9"/>
    <w:rsid w:val="00710CE5"/>
    <w:rsid w:val="00711224"/>
    <w:rsid w:val="007112BD"/>
    <w:rsid w:val="0071159D"/>
    <w:rsid w:val="007122B1"/>
    <w:rsid w:val="007129B5"/>
    <w:rsid w:val="007140BE"/>
    <w:rsid w:val="0071505D"/>
    <w:rsid w:val="007157A4"/>
    <w:rsid w:val="007178A8"/>
    <w:rsid w:val="007208B8"/>
    <w:rsid w:val="007211F5"/>
    <w:rsid w:val="00721757"/>
    <w:rsid w:val="007225A9"/>
    <w:rsid w:val="0072283D"/>
    <w:rsid w:val="007232CB"/>
    <w:rsid w:val="00723946"/>
    <w:rsid w:val="007240E2"/>
    <w:rsid w:val="007248BA"/>
    <w:rsid w:val="007250FE"/>
    <w:rsid w:val="007256B5"/>
    <w:rsid w:val="00725BB5"/>
    <w:rsid w:val="007270F2"/>
    <w:rsid w:val="00727828"/>
    <w:rsid w:val="00730030"/>
    <w:rsid w:val="007302A5"/>
    <w:rsid w:val="00730711"/>
    <w:rsid w:val="00730AE8"/>
    <w:rsid w:val="00730F1B"/>
    <w:rsid w:val="007316A3"/>
    <w:rsid w:val="007317FA"/>
    <w:rsid w:val="00732CDD"/>
    <w:rsid w:val="007339BF"/>
    <w:rsid w:val="00735591"/>
    <w:rsid w:val="00736AFB"/>
    <w:rsid w:val="00737F89"/>
    <w:rsid w:val="00740EA1"/>
    <w:rsid w:val="00741493"/>
    <w:rsid w:val="00741A3D"/>
    <w:rsid w:val="0074220B"/>
    <w:rsid w:val="007427E1"/>
    <w:rsid w:val="00742EC2"/>
    <w:rsid w:val="00745508"/>
    <w:rsid w:val="007467FF"/>
    <w:rsid w:val="0075027A"/>
    <w:rsid w:val="00750971"/>
    <w:rsid w:val="00750BFF"/>
    <w:rsid w:val="00750C64"/>
    <w:rsid w:val="00752180"/>
    <w:rsid w:val="00753454"/>
    <w:rsid w:val="007534DF"/>
    <w:rsid w:val="00753CAB"/>
    <w:rsid w:val="00755202"/>
    <w:rsid w:val="007554BD"/>
    <w:rsid w:val="00755B99"/>
    <w:rsid w:val="00755D3A"/>
    <w:rsid w:val="007578D3"/>
    <w:rsid w:val="007609C6"/>
    <w:rsid w:val="00760EA4"/>
    <w:rsid w:val="00761600"/>
    <w:rsid w:val="0076175D"/>
    <w:rsid w:val="007617CE"/>
    <w:rsid w:val="00762F7C"/>
    <w:rsid w:val="00763B85"/>
    <w:rsid w:val="00764FD3"/>
    <w:rsid w:val="0076521E"/>
    <w:rsid w:val="007655D2"/>
    <w:rsid w:val="00765629"/>
    <w:rsid w:val="00765BF6"/>
    <w:rsid w:val="007661E9"/>
    <w:rsid w:val="007672C6"/>
    <w:rsid w:val="00767AD0"/>
    <w:rsid w:val="00771FF6"/>
    <w:rsid w:val="007732E9"/>
    <w:rsid w:val="00773605"/>
    <w:rsid w:val="00774E36"/>
    <w:rsid w:val="00775480"/>
    <w:rsid w:val="00776169"/>
    <w:rsid w:val="00776527"/>
    <w:rsid w:val="00776C89"/>
    <w:rsid w:val="0077762A"/>
    <w:rsid w:val="00780EF1"/>
    <w:rsid w:val="0078132B"/>
    <w:rsid w:val="00781398"/>
    <w:rsid w:val="00781C0F"/>
    <w:rsid w:val="00781F7A"/>
    <w:rsid w:val="00782B78"/>
    <w:rsid w:val="00782F4F"/>
    <w:rsid w:val="00783CCB"/>
    <w:rsid w:val="00783F57"/>
    <w:rsid w:val="0078437D"/>
    <w:rsid w:val="00785A69"/>
    <w:rsid w:val="007871C9"/>
    <w:rsid w:val="00787903"/>
    <w:rsid w:val="00787B25"/>
    <w:rsid w:val="00787F15"/>
    <w:rsid w:val="00790764"/>
    <w:rsid w:val="0079095D"/>
    <w:rsid w:val="00791B5A"/>
    <w:rsid w:val="00794183"/>
    <w:rsid w:val="0079453C"/>
    <w:rsid w:val="00794677"/>
    <w:rsid w:val="007948ED"/>
    <w:rsid w:val="007968D2"/>
    <w:rsid w:val="007970DC"/>
    <w:rsid w:val="00797445"/>
    <w:rsid w:val="007A17E3"/>
    <w:rsid w:val="007A2610"/>
    <w:rsid w:val="007A317C"/>
    <w:rsid w:val="007A516D"/>
    <w:rsid w:val="007A5250"/>
    <w:rsid w:val="007A7100"/>
    <w:rsid w:val="007B188F"/>
    <w:rsid w:val="007B356F"/>
    <w:rsid w:val="007B3A96"/>
    <w:rsid w:val="007B4059"/>
    <w:rsid w:val="007B4322"/>
    <w:rsid w:val="007B4428"/>
    <w:rsid w:val="007B583C"/>
    <w:rsid w:val="007B5A8A"/>
    <w:rsid w:val="007B6689"/>
    <w:rsid w:val="007B6F5E"/>
    <w:rsid w:val="007B71C6"/>
    <w:rsid w:val="007B7F13"/>
    <w:rsid w:val="007C174A"/>
    <w:rsid w:val="007C29D1"/>
    <w:rsid w:val="007C2E6E"/>
    <w:rsid w:val="007C443D"/>
    <w:rsid w:val="007C4E0E"/>
    <w:rsid w:val="007C5E1F"/>
    <w:rsid w:val="007C65E8"/>
    <w:rsid w:val="007C6BBD"/>
    <w:rsid w:val="007C7443"/>
    <w:rsid w:val="007C7F29"/>
    <w:rsid w:val="007D0553"/>
    <w:rsid w:val="007D15F4"/>
    <w:rsid w:val="007D2975"/>
    <w:rsid w:val="007D2DA7"/>
    <w:rsid w:val="007D342C"/>
    <w:rsid w:val="007D40DF"/>
    <w:rsid w:val="007D5B74"/>
    <w:rsid w:val="007D7139"/>
    <w:rsid w:val="007D7F01"/>
    <w:rsid w:val="007E1365"/>
    <w:rsid w:val="007E25C8"/>
    <w:rsid w:val="007E29B4"/>
    <w:rsid w:val="007E3625"/>
    <w:rsid w:val="007E435A"/>
    <w:rsid w:val="007E5D94"/>
    <w:rsid w:val="007E7E61"/>
    <w:rsid w:val="007F0845"/>
    <w:rsid w:val="007F24F4"/>
    <w:rsid w:val="007F307A"/>
    <w:rsid w:val="007F6620"/>
    <w:rsid w:val="007F708D"/>
    <w:rsid w:val="00801BFB"/>
    <w:rsid w:val="00801E13"/>
    <w:rsid w:val="00806686"/>
    <w:rsid w:val="00807B7B"/>
    <w:rsid w:val="00807C82"/>
    <w:rsid w:val="00811590"/>
    <w:rsid w:val="0081237C"/>
    <w:rsid w:val="008124FC"/>
    <w:rsid w:val="00813E3C"/>
    <w:rsid w:val="00814B15"/>
    <w:rsid w:val="0081562A"/>
    <w:rsid w:val="0081565E"/>
    <w:rsid w:val="008161DB"/>
    <w:rsid w:val="00816905"/>
    <w:rsid w:val="00817343"/>
    <w:rsid w:val="008207EF"/>
    <w:rsid w:val="00820A4A"/>
    <w:rsid w:val="00821277"/>
    <w:rsid w:val="00821777"/>
    <w:rsid w:val="008217F0"/>
    <w:rsid w:val="00821FF6"/>
    <w:rsid w:val="00822574"/>
    <w:rsid w:val="00823182"/>
    <w:rsid w:val="008241CD"/>
    <w:rsid w:val="00825C4D"/>
    <w:rsid w:val="00827DE6"/>
    <w:rsid w:val="00827EA6"/>
    <w:rsid w:val="00830C97"/>
    <w:rsid w:val="0083143E"/>
    <w:rsid w:val="00831CDE"/>
    <w:rsid w:val="00832105"/>
    <w:rsid w:val="00833895"/>
    <w:rsid w:val="00833B3D"/>
    <w:rsid w:val="00833FF1"/>
    <w:rsid w:val="00834304"/>
    <w:rsid w:val="008343A4"/>
    <w:rsid w:val="00834710"/>
    <w:rsid w:val="00834FAA"/>
    <w:rsid w:val="00835C7A"/>
    <w:rsid w:val="00836086"/>
    <w:rsid w:val="0084234E"/>
    <w:rsid w:val="00844B49"/>
    <w:rsid w:val="00845975"/>
    <w:rsid w:val="008459FF"/>
    <w:rsid w:val="00846121"/>
    <w:rsid w:val="00846366"/>
    <w:rsid w:val="0084708F"/>
    <w:rsid w:val="008477C8"/>
    <w:rsid w:val="00847BA0"/>
    <w:rsid w:val="00850DE0"/>
    <w:rsid w:val="0085114D"/>
    <w:rsid w:val="00851BB5"/>
    <w:rsid w:val="00852217"/>
    <w:rsid w:val="0085343F"/>
    <w:rsid w:val="008539D1"/>
    <w:rsid w:val="00854AD0"/>
    <w:rsid w:val="00855408"/>
    <w:rsid w:val="00855A1F"/>
    <w:rsid w:val="00856069"/>
    <w:rsid w:val="00856D65"/>
    <w:rsid w:val="00857DDE"/>
    <w:rsid w:val="00860BA9"/>
    <w:rsid w:val="00861B41"/>
    <w:rsid w:val="00861BE3"/>
    <w:rsid w:val="00863434"/>
    <w:rsid w:val="00863B2B"/>
    <w:rsid w:val="00865C90"/>
    <w:rsid w:val="00865E4C"/>
    <w:rsid w:val="008701E4"/>
    <w:rsid w:val="0087040B"/>
    <w:rsid w:val="00871069"/>
    <w:rsid w:val="0087121C"/>
    <w:rsid w:val="00872C61"/>
    <w:rsid w:val="00874866"/>
    <w:rsid w:val="00875A32"/>
    <w:rsid w:val="00875E9E"/>
    <w:rsid w:val="00876086"/>
    <w:rsid w:val="008774DC"/>
    <w:rsid w:val="00877817"/>
    <w:rsid w:val="008804E9"/>
    <w:rsid w:val="00880D2A"/>
    <w:rsid w:val="0088128D"/>
    <w:rsid w:val="008815BC"/>
    <w:rsid w:val="0088160C"/>
    <w:rsid w:val="008819A3"/>
    <w:rsid w:val="008825B0"/>
    <w:rsid w:val="00883762"/>
    <w:rsid w:val="00883991"/>
    <w:rsid w:val="00884124"/>
    <w:rsid w:val="00884AD6"/>
    <w:rsid w:val="0088582F"/>
    <w:rsid w:val="00886EB0"/>
    <w:rsid w:val="008873D4"/>
    <w:rsid w:val="00887FC8"/>
    <w:rsid w:val="00891049"/>
    <w:rsid w:val="0089126C"/>
    <w:rsid w:val="008917FE"/>
    <w:rsid w:val="0089296D"/>
    <w:rsid w:val="00893E85"/>
    <w:rsid w:val="00894031"/>
    <w:rsid w:val="00895508"/>
    <w:rsid w:val="0089685F"/>
    <w:rsid w:val="0089721E"/>
    <w:rsid w:val="00897506"/>
    <w:rsid w:val="00897C11"/>
    <w:rsid w:val="008A0C81"/>
    <w:rsid w:val="008A60E8"/>
    <w:rsid w:val="008A64A6"/>
    <w:rsid w:val="008A6745"/>
    <w:rsid w:val="008A73F2"/>
    <w:rsid w:val="008A7557"/>
    <w:rsid w:val="008B1171"/>
    <w:rsid w:val="008B167B"/>
    <w:rsid w:val="008B2F54"/>
    <w:rsid w:val="008B2FE5"/>
    <w:rsid w:val="008B4316"/>
    <w:rsid w:val="008B4333"/>
    <w:rsid w:val="008B483B"/>
    <w:rsid w:val="008B4FDA"/>
    <w:rsid w:val="008B5523"/>
    <w:rsid w:val="008B7C02"/>
    <w:rsid w:val="008B7D2B"/>
    <w:rsid w:val="008C0049"/>
    <w:rsid w:val="008C0445"/>
    <w:rsid w:val="008C08D8"/>
    <w:rsid w:val="008C0E88"/>
    <w:rsid w:val="008C285F"/>
    <w:rsid w:val="008C53CB"/>
    <w:rsid w:val="008C7E99"/>
    <w:rsid w:val="008C7F67"/>
    <w:rsid w:val="008D12F1"/>
    <w:rsid w:val="008D13C5"/>
    <w:rsid w:val="008D17C7"/>
    <w:rsid w:val="008D1B4D"/>
    <w:rsid w:val="008D1E6A"/>
    <w:rsid w:val="008D27D2"/>
    <w:rsid w:val="008D2A16"/>
    <w:rsid w:val="008D34AF"/>
    <w:rsid w:val="008D5DC6"/>
    <w:rsid w:val="008D7813"/>
    <w:rsid w:val="008E1880"/>
    <w:rsid w:val="008E1A36"/>
    <w:rsid w:val="008E2C57"/>
    <w:rsid w:val="008E31FF"/>
    <w:rsid w:val="008E49ED"/>
    <w:rsid w:val="008E4A1C"/>
    <w:rsid w:val="008E5AE8"/>
    <w:rsid w:val="008E6BB0"/>
    <w:rsid w:val="008E6F06"/>
    <w:rsid w:val="008E7FC9"/>
    <w:rsid w:val="008F0128"/>
    <w:rsid w:val="008F029B"/>
    <w:rsid w:val="008F069A"/>
    <w:rsid w:val="008F2791"/>
    <w:rsid w:val="008F375E"/>
    <w:rsid w:val="008F3FC9"/>
    <w:rsid w:val="008F4385"/>
    <w:rsid w:val="008F4D23"/>
    <w:rsid w:val="008F585B"/>
    <w:rsid w:val="008F5994"/>
    <w:rsid w:val="008F7B77"/>
    <w:rsid w:val="009003A8"/>
    <w:rsid w:val="00900C93"/>
    <w:rsid w:val="00902233"/>
    <w:rsid w:val="00902500"/>
    <w:rsid w:val="00902DC8"/>
    <w:rsid w:val="00902EFF"/>
    <w:rsid w:val="00904752"/>
    <w:rsid w:val="00906401"/>
    <w:rsid w:val="0090670F"/>
    <w:rsid w:val="0091155E"/>
    <w:rsid w:val="00912634"/>
    <w:rsid w:val="00912A92"/>
    <w:rsid w:val="00915AAA"/>
    <w:rsid w:val="0091728D"/>
    <w:rsid w:val="009174FA"/>
    <w:rsid w:val="00917A40"/>
    <w:rsid w:val="009203C8"/>
    <w:rsid w:val="0092042D"/>
    <w:rsid w:val="00920A97"/>
    <w:rsid w:val="0092180B"/>
    <w:rsid w:val="00921F14"/>
    <w:rsid w:val="009231A3"/>
    <w:rsid w:val="00923F80"/>
    <w:rsid w:val="009240B9"/>
    <w:rsid w:val="00924AC8"/>
    <w:rsid w:val="0092597A"/>
    <w:rsid w:val="009272A4"/>
    <w:rsid w:val="00927BC1"/>
    <w:rsid w:val="00930FB1"/>
    <w:rsid w:val="009312E4"/>
    <w:rsid w:val="0093139F"/>
    <w:rsid w:val="00932443"/>
    <w:rsid w:val="009324EF"/>
    <w:rsid w:val="009328A9"/>
    <w:rsid w:val="00932E8F"/>
    <w:rsid w:val="00932F35"/>
    <w:rsid w:val="00933121"/>
    <w:rsid w:val="00934EB8"/>
    <w:rsid w:val="00935432"/>
    <w:rsid w:val="0093776B"/>
    <w:rsid w:val="00937AE2"/>
    <w:rsid w:val="00941670"/>
    <w:rsid w:val="0094207A"/>
    <w:rsid w:val="00942992"/>
    <w:rsid w:val="00942CF8"/>
    <w:rsid w:val="009432AC"/>
    <w:rsid w:val="009437A5"/>
    <w:rsid w:val="0094427A"/>
    <w:rsid w:val="00945245"/>
    <w:rsid w:val="00946FCD"/>
    <w:rsid w:val="0094731A"/>
    <w:rsid w:val="00951606"/>
    <w:rsid w:val="00951B96"/>
    <w:rsid w:val="00953DEB"/>
    <w:rsid w:val="0095691D"/>
    <w:rsid w:val="00956983"/>
    <w:rsid w:val="0095759C"/>
    <w:rsid w:val="009607D0"/>
    <w:rsid w:val="00960E8F"/>
    <w:rsid w:val="009612F1"/>
    <w:rsid w:val="009619DC"/>
    <w:rsid w:val="00961DA7"/>
    <w:rsid w:val="0096270C"/>
    <w:rsid w:val="0096364B"/>
    <w:rsid w:val="00964303"/>
    <w:rsid w:val="00964F05"/>
    <w:rsid w:val="00964F1A"/>
    <w:rsid w:val="009652BE"/>
    <w:rsid w:val="00966025"/>
    <w:rsid w:val="00966405"/>
    <w:rsid w:val="0096694C"/>
    <w:rsid w:val="00966AEE"/>
    <w:rsid w:val="00970158"/>
    <w:rsid w:val="0097032F"/>
    <w:rsid w:val="00971090"/>
    <w:rsid w:val="00971358"/>
    <w:rsid w:val="009721DB"/>
    <w:rsid w:val="00972205"/>
    <w:rsid w:val="00972A59"/>
    <w:rsid w:val="00972E4A"/>
    <w:rsid w:val="00973735"/>
    <w:rsid w:val="009743FF"/>
    <w:rsid w:val="009744E6"/>
    <w:rsid w:val="00974923"/>
    <w:rsid w:val="00975148"/>
    <w:rsid w:val="0097575C"/>
    <w:rsid w:val="00975C2D"/>
    <w:rsid w:val="00980D3D"/>
    <w:rsid w:val="009816FF"/>
    <w:rsid w:val="00981831"/>
    <w:rsid w:val="00981ED4"/>
    <w:rsid w:val="0098211F"/>
    <w:rsid w:val="00982ACD"/>
    <w:rsid w:val="00982BD0"/>
    <w:rsid w:val="0098402C"/>
    <w:rsid w:val="00985B99"/>
    <w:rsid w:val="00986ADB"/>
    <w:rsid w:val="00987A30"/>
    <w:rsid w:val="00990210"/>
    <w:rsid w:val="00992CF3"/>
    <w:rsid w:val="009938FB"/>
    <w:rsid w:val="00993D9C"/>
    <w:rsid w:val="00994868"/>
    <w:rsid w:val="009968D6"/>
    <w:rsid w:val="009A180C"/>
    <w:rsid w:val="009A1CAB"/>
    <w:rsid w:val="009A2AFC"/>
    <w:rsid w:val="009A5349"/>
    <w:rsid w:val="009A56B6"/>
    <w:rsid w:val="009A60D1"/>
    <w:rsid w:val="009A6D06"/>
    <w:rsid w:val="009A76A7"/>
    <w:rsid w:val="009B1932"/>
    <w:rsid w:val="009B1F0B"/>
    <w:rsid w:val="009B2782"/>
    <w:rsid w:val="009B4BAF"/>
    <w:rsid w:val="009B52F3"/>
    <w:rsid w:val="009B64D1"/>
    <w:rsid w:val="009B6FD3"/>
    <w:rsid w:val="009C05E8"/>
    <w:rsid w:val="009C0ED9"/>
    <w:rsid w:val="009C1750"/>
    <w:rsid w:val="009C2E29"/>
    <w:rsid w:val="009C554B"/>
    <w:rsid w:val="009C693C"/>
    <w:rsid w:val="009C719E"/>
    <w:rsid w:val="009C7A10"/>
    <w:rsid w:val="009D0223"/>
    <w:rsid w:val="009D0B58"/>
    <w:rsid w:val="009D1131"/>
    <w:rsid w:val="009D1237"/>
    <w:rsid w:val="009D2465"/>
    <w:rsid w:val="009D39BC"/>
    <w:rsid w:val="009D3ACD"/>
    <w:rsid w:val="009D4DC4"/>
    <w:rsid w:val="009D6235"/>
    <w:rsid w:val="009D77F7"/>
    <w:rsid w:val="009E0347"/>
    <w:rsid w:val="009E03A3"/>
    <w:rsid w:val="009E2524"/>
    <w:rsid w:val="009E3BDB"/>
    <w:rsid w:val="009E5273"/>
    <w:rsid w:val="009E55AD"/>
    <w:rsid w:val="009E5DDB"/>
    <w:rsid w:val="009F1474"/>
    <w:rsid w:val="009F2CFA"/>
    <w:rsid w:val="009F3941"/>
    <w:rsid w:val="009F4CA7"/>
    <w:rsid w:val="009F4ECC"/>
    <w:rsid w:val="009F582C"/>
    <w:rsid w:val="009F67D6"/>
    <w:rsid w:val="009F698D"/>
    <w:rsid w:val="009F7085"/>
    <w:rsid w:val="009F7509"/>
    <w:rsid w:val="009F77D8"/>
    <w:rsid w:val="00A04321"/>
    <w:rsid w:val="00A0439C"/>
    <w:rsid w:val="00A05C22"/>
    <w:rsid w:val="00A06AA1"/>
    <w:rsid w:val="00A076D5"/>
    <w:rsid w:val="00A10D66"/>
    <w:rsid w:val="00A118C8"/>
    <w:rsid w:val="00A126CC"/>
    <w:rsid w:val="00A12E08"/>
    <w:rsid w:val="00A14114"/>
    <w:rsid w:val="00A1498C"/>
    <w:rsid w:val="00A14EFD"/>
    <w:rsid w:val="00A16413"/>
    <w:rsid w:val="00A16E1D"/>
    <w:rsid w:val="00A171A3"/>
    <w:rsid w:val="00A17D5B"/>
    <w:rsid w:val="00A20B57"/>
    <w:rsid w:val="00A23305"/>
    <w:rsid w:val="00A23E43"/>
    <w:rsid w:val="00A25216"/>
    <w:rsid w:val="00A260BE"/>
    <w:rsid w:val="00A279A0"/>
    <w:rsid w:val="00A30942"/>
    <w:rsid w:val="00A30F65"/>
    <w:rsid w:val="00A31FD4"/>
    <w:rsid w:val="00A331E6"/>
    <w:rsid w:val="00A33A89"/>
    <w:rsid w:val="00A345C6"/>
    <w:rsid w:val="00A34C23"/>
    <w:rsid w:val="00A35EB2"/>
    <w:rsid w:val="00A37F31"/>
    <w:rsid w:val="00A4078F"/>
    <w:rsid w:val="00A40D93"/>
    <w:rsid w:val="00A40EAC"/>
    <w:rsid w:val="00A40FE0"/>
    <w:rsid w:val="00A41568"/>
    <w:rsid w:val="00A418BC"/>
    <w:rsid w:val="00A434DE"/>
    <w:rsid w:val="00A461F2"/>
    <w:rsid w:val="00A46DE0"/>
    <w:rsid w:val="00A5015F"/>
    <w:rsid w:val="00A508CB"/>
    <w:rsid w:val="00A50D73"/>
    <w:rsid w:val="00A50F37"/>
    <w:rsid w:val="00A51CDA"/>
    <w:rsid w:val="00A51ED9"/>
    <w:rsid w:val="00A52CAD"/>
    <w:rsid w:val="00A53FC7"/>
    <w:rsid w:val="00A54062"/>
    <w:rsid w:val="00A548FE"/>
    <w:rsid w:val="00A55588"/>
    <w:rsid w:val="00A55F61"/>
    <w:rsid w:val="00A60080"/>
    <w:rsid w:val="00A6148D"/>
    <w:rsid w:val="00A61517"/>
    <w:rsid w:val="00A62130"/>
    <w:rsid w:val="00A624C3"/>
    <w:rsid w:val="00A62CE1"/>
    <w:rsid w:val="00A62D32"/>
    <w:rsid w:val="00A64A96"/>
    <w:rsid w:val="00A66A9D"/>
    <w:rsid w:val="00A66E67"/>
    <w:rsid w:val="00A66F56"/>
    <w:rsid w:val="00A67213"/>
    <w:rsid w:val="00A6741E"/>
    <w:rsid w:val="00A70F6A"/>
    <w:rsid w:val="00A7106F"/>
    <w:rsid w:val="00A7237E"/>
    <w:rsid w:val="00A72902"/>
    <w:rsid w:val="00A75E40"/>
    <w:rsid w:val="00A7607F"/>
    <w:rsid w:val="00A776F6"/>
    <w:rsid w:val="00A77D1D"/>
    <w:rsid w:val="00A8051D"/>
    <w:rsid w:val="00A83420"/>
    <w:rsid w:val="00A83CE5"/>
    <w:rsid w:val="00A84A6A"/>
    <w:rsid w:val="00A857C0"/>
    <w:rsid w:val="00A857E5"/>
    <w:rsid w:val="00A8580D"/>
    <w:rsid w:val="00A86602"/>
    <w:rsid w:val="00A9048E"/>
    <w:rsid w:val="00A90F6C"/>
    <w:rsid w:val="00A90FED"/>
    <w:rsid w:val="00A935FE"/>
    <w:rsid w:val="00A9418D"/>
    <w:rsid w:val="00A95B59"/>
    <w:rsid w:val="00A9743E"/>
    <w:rsid w:val="00A97A8A"/>
    <w:rsid w:val="00AA029D"/>
    <w:rsid w:val="00AA0A71"/>
    <w:rsid w:val="00AA113D"/>
    <w:rsid w:val="00AA2996"/>
    <w:rsid w:val="00AA456D"/>
    <w:rsid w:val="00AA4ED2"/>
    <w:rsid w:val="00AA52BF"/>
    <w:rsid w:val="00AA559A"/>
    <w:rsid w:val="00AA708D"/>
    <w:rsid w:val="00AA77D2"/>
    <w:rsid w:val="00AA792F"/>
    <w:rsid w:val="00AA7980"/>
    <w:rsid w:val="00AB0284"/>
    <w:rsid w:val="00AB1182"/>
    <w:rsid w:val="00AB1E57"/>
    <w:rsid w:val="00AB29C6"/>
    <w:rsid w:val="00AB2AF1"/>
    <w:rsid w:val="00AB347D"/>
    <w:rsid w:val="00AB478F"/>
    <w:rsid w:val="00AC0091"/>
    <w:rsid w:val="00AC0732"/>
    <w:rsid w:val="00AC1E82"/>
    <w:rsid w:val="00AC224B"/>
    <w:rsid w:val="00AC2359"/>
    <w:rsid w:val="00AC2482"/>
    <w:rsid w:val="00AC2885"/>
    <w:rsid w:val="00AC2B78"/>
    <w:rsid w:val="00AC42FE"/>
    <w:rsid w:val="00AC45BD"/>
    <w:rsid w:val="00AC605E"/>
    <w:rsid w:val="00AD0253"/>
    <w:rsid w:val="00AD0771"/>
    <w:rsid w:val="00AD0D0E"/>
    <w:rsid w:val="00AD1119"/>
    <w:rsid w:val="00AD168E"/>
    <w:rsid w:val="00AD2F1C"/>
    <w:rsid w:val="00AD306C"/>
    <w:rsid w:val="00AD5A73"/>
    <w:rsid w:val="00AD68C4"/>
    <w:rsid w:val="00AD72A7"/>
    <w:rsid w:val="00AE09B3"/>
    <w:rsid w:val="00AE0EB9"/>
    <w:rsid w:val="00AE1A83"/>
    <w:rsid w:val="00AE291E"/>
    <w:rsid w:val="00AE4270"/>
    <w:rsid w:val="00AE4A31"/>
    <w:rsid w:val="00AE5F81"/>
    <w:rsid w:val="00AE6AD6"/>
    <w:rsid w:val="00AF0FB3"/>
    <w:rsid w:val="00AF104F"/>
    <w:rsid w:val="00AF108F"/>
    <w:rsid w:val="00AF24B2"/>
    <w:rsid w:val="00AF2957"/>
    <w:rsid w:val="00AF3E41"/>
    <w:rsid w:val="00AF5D0A"/>
    <w:rsid w:val="00AF6128"/>
    <w:rsid w:val="00AF685A"/>
    <w:rsid w:val="00B00034"/>
    <w:rsid w:val="00B003E4"/>
    <w:rsid w:val="00B00913"/>
    <w:rsid w:val="00B0140A"/>
    <w:rsid w:val="00B01593"/>
    <w:rsid w:val="00B0175C"/>
    <w:rsid w:val="00B023F2"/>
    <w:rsid w:val="00B02B19"/>
    <w:rsid w:val="00B035C6"/>
    <w:rsid w:val="00B04705"/>
    <w:rsid w:val="00B047A2"/>
    <w:rsid w:val="00B04A38"/>
    <w:rsid w:val="00B05641"/>
    <w:rsid w:val="00B073EF"/>
    <w:rsid w:val="00B07415"/>
    <w:rsid w:val="00B10A4D"/>
    <w:rsid w:val="00B11B62"/>
    <w:rsid w:val="00B11EEF"/>
    <w:rsid w:val="00B12572"/>
    <w:rsid w:val="00B12726"/>
    <w:rsid w:val="00B12947"/>
    <w:rsid w:val="00B131B0"/>
    <w:rsid w:val="00B13D2C"/>
    <w:rsid w:val="00B145D0"/>
    <w:rsid w:val="00B14BC1"/>
    <w:rsid w:val="00B15561"/>
    <w:rsid w:val="00B155A3"/>
    <w:rsid w:val="00B1568F"/>
    <w:rsid w:val="00B1631C"/>
    <w:rsid w:val="00B1681F"/>
    <w:rsid w:val="00B16ED9"/>
    <w:rsid w:val="00B17E42"/>
    <w:rsid w:val="00B17E71"/>
    <w:rsid w:val="00B17FDE"/>
    <w:rsid w:val="00B20BB1"/>
    <w:rsid w:val="00B21C3C"/>
    <w:rsid w:val="00B2379C"/>
    <w:rsid w:val="00B245FC"/>
    <w:rsid w:val="00B24748"/>
    <w:rsid w:val="00B247C9"/>
    <w:rsid w:val="00B24D78"/>
    <w:rsid w:val="00B2687D"/>
    <w:rsid w:val="00B268A6"/>
    <w:rsid w:val="00B27963"/>
    <w:rsid w:val="00B306DC"/>
    <w:rsid w:val="00B30D70"/>
    <w:rsid w:val="00B32DDB"/>
    <w:rsid w:val="00B33700"/>
    <w:rsid w:val="00B34528"/>
    <w:rsid w:val="00B34CC9"/>
    <w:rsid w:val="00B35999"/>
    <w:rsid w:val="00B35F2C"/>
    <w:rsid w:val="00B402A2"/>
    <w:rsid w:val="00B402FC"/>
    <w:rsid w:val="00B409F6"/>
    <w:rsid w:val="00B40C70"/>
    <w:rsid w:val="00B417F4"/>
    <w:rsid w:val="00B41B15"/>
    <w:rsid w:val="00B41E5E"/>
    <w:rsid w:val="00B421C9"/>
    <w:rsid w:val="00B43255"/>
    <w:rsid w:val="00B439DA"/>
    <w:rsid w:val="00B43A6C"/>
    <w:rsid w:val="00B4440B"/>
    <w:rsid w:val="00B464AF"/>
    <w:rsid w:val="00B46604"/>
    <w:rsid w:val="00B46D77"/>
    <w:rsid w:val="00B50B58"/>
    <w:rsid w:val="00B51356"/>
    <w:rsid w:val="00B5179B"/>
    <w:rsid w:val="00B530CD"/>
    <w:rsid w:val="00B536DD"/>
    <w:rsid w:val="00B53D0B"/>
    <w:rsid w:val="00B53E3E"/>
    <w:rsid w:val="00B554E0"/>
    <w:rsid w:val="00B55B71"/>
    <w:rsid w:val="00B55F5E"/>
    <w:rsid w:val="00B5752E"/>
    <w:rsid w:val="00B57B76"/>
    <w:rsid w:val="00B60535"/>
    <w:rsid w:val="00B6122B"/>
    <w:rsid w:val="00B62355"/>
    <w:rsid w:val="00B63A11"/>
    <w:rsid w:val="00B63B6A"/>
    <w:rsid w:val="00B641C3"/>
    <w:rsid w:val="00B642BE"/>
    <w:rsid w:val="00B64C24"/>
    <w:rsid w:val="00B6608F"/>
    <w:rsid w:val="00B663D7"/>
    <w:rsid w:val="00B66DDC"/>
    <w:rsid w:val="00B67249"/>
    <w:rsid w:val="00B679FB"/>
    <w:rsid w:val="00B70C99"/>
    <w:rsid w:val="00B70E89"/>
    <w:rsid w:val="00B7145F"/>
    <w:rsid w:val="00B74213"/>
    <w:rsid w:val="00B75D58"/>
    <w:rsid w:val="00B76665"/>
    <w:rsid w:val="00B76D1E"/>
    <w:rsid w:val="00B770E4"/>
    <w:rsid w:val="00B7741A"/>
    <w:rsid w:val="00B77670"/>
    <w:rsid w:val="00B77F70"/>
    <w:rsid w:val="00B80227"/>
    <w:rsid w:val="00B804CF"/>
    <w:rsid w:val="00B80EC6"/>
    <w:rsid w:val="00B81258"/>
    <w:rsid w:val="00B81B29"/>
    <w:rsid w:val="00B83791"/>
    <w:rsid w:val="00B83A24"/>
    <w:rsid w:val="00B84CF6"/>
    <w:rsid w:val="00B85B42"/>
    <w:rsid w:val="00B87FEC"/>
    <w:rsid w:val="00B92D1D"/>
    <w:rsid w:val="00B93515"/>
    <w:rsid w:val="00B938C5"/>
    <w:rsid w:val="00B94078"/>
    <w:rsid w:val="00B952CB"/>
    <w:rsid w:val="00B95940"/>
    <w:rsid w:val="00B95A9F"/>
    <w:rsid w:val="00B96272"/>
    <w:rsid w:val="00B96613"/>
    <w:rsid w:val="00B97499"/>
    <w:rsid w:val="00B978C1"/>
    <w:rsid w:val="00B97B49"/>
    <w:rsid w:val="00BA007C"/>
    <w:rsid w:val="00BA066E"/>
    <w:rsid w:val="00BA0E9B"/>
    <w:rsid w:val="00BA11A1"/>
    <w:rsid w:val="00BA1627"/>
    <w:rsid w:val="00BA213E"/>
    <w:rsid w:val="00BA3A6A"/>
    <w:rsid w:val="00BA4175"/>
    <w:rsid w:val="00BA43A6"/>
    <w:rsid w:val="00BA50CC"/>
    <w:rsid w:val="00BA5149"/>
    <w:rsid w:val="00BA5C1D"/>
    <w:rsid w:val="00BA60B4"/>
    <w:rsid w:val="00BA6C2B"/>
    <w:rsid w:val="00BB099E"/>
    <w:rsid w:val="00BB0A40"/>
    <w:rsid w:val="00BB12BC"/>
    <w:rsid w:val="00BB14BF"/>
    <w:rsid w:val="00BB25B7"/>
    <w:rsid w:val="00BB2F43"/>
    <w:rsid w:val="00BB33C1"/>
    <w:rsid w:val="00BB46F3"/>
    <w:rsid w:val="00BB4C12"/>
    <w:rsid w:val="00BB4CB1"/>
    <w:rsid w:val="00BB4F98"/>
    <w:rsid w:val="00BC127C"/>
    <w:rsid w:val="00BC31C3"/>
    <w:rsid w:val="00BC3472"/>
    <w:rsid w:val="00BC4118"/>
    <w:rsid w:val="00BC595A"/>
    <w:rsid w:val="00BC5C12"/>
    <w:rsid w:val="00BC6349"/>
    <w:rsid w:val="00BC64FE"/>
    <w:rsid w:val="00BC6E6A"/>
    <w:rsid w:val="00BC7154"/>
    <w:rsid w:val="00BC731E"/>
    <w:rsid w:val="00BC7713"/>
    <w:rsid w:val="00BD05F4"/>
    <w:rsid w:val="00BD1281"/>
    <w:rsid w:val="00BD157E"/>
    <w:rsid w:val="00BD1E30"/>
    <w:rsid w:val="00BD366B"/>
    <w:rsid w:val="00BD4F61"/>
    <w:rsid w:val="00BD5003"/>
    <w:rsid w:val="00BD5976"/>
    <w:rsid w:val="00BD5BF6"/>
    <w:rsid w:val="00BD6D50"/>
    <w:rsid w:val="00BE06D1"/>
    <w:rsid w:val="00BE0A1D"/>
    <w:rsid w:val="00BE107D"/>
    <w:rsid w:val="00BE18B9"/>
    <w:rsid w:val="00BE2034"/>
    <w:rsid w:val="00BE2493"/>
    <w:rsid w:val="00BE2495"/>
    <w:rsid w:val="00BE2EB8"/>
    <w:rsid w:val="00BE7E97"/>
    <w:rsid w:val="00BF10F5"/>
    <w:rsid w:val="00BF1578"/>
    <w:rsid w:val="00BF2616"/>
    <w:rsid w:val="00BF403B"/>
    <w:rsid w:val="00BF41E2"/>
    <w:rsid w:val="00BF46DD"/>
    <w:rsid w:val="00BF68BB"/>
    <w:rsid w:val="00C01C7B"/>
    <w:rsid w:val="00C03723"/>
    <w:rsid w:val="00C047C7"/>
    <w:rsid w:val="00C05690"/>
    <w:rsid w:val="00C05D23"/>
    <w:rsid w:val="00C07FF2"/>
    <w:rsid w:val="00C10383"/>
    <w:rsid w:val="00C10613"/>
    <w:rsid w:val="00C106AE"/>
    <w:rsid w:val="00C1101A"/>
    <w:rsid w:val="00C1144F"/>
    <w:rsid w:val="00C13324"/>
    <w:rsid w:val="00C14D89"/>
    <w:rsid w:val="00C15D65"/>
    <w:rsid w:val="00C16030"/>
    <w:rsid w:val="00C16A6F"/>
    <w:rsid w:val="00C206B0"/>
    <w:rsid w:val="00C20ECF"/>
    <w:rsid w:val="00C21F94"/>
    <w:rsid w:val="00C232F2"/>
    <w:rsid w:val="00C24CBB"/>
    <w:rsid w:val="00C24F9F"/>
    <w:rsid w:val="00C253E5"/>
    <w:rsid w:val="00C25842"/>
    <w:rsid w:val="00C26052"/>
    <w:rsid w:val="00C2611D"/>
    <w:rsid w:val="00C27913"/>
    <w:rsid w:val="00C27D07"/>
    <w:rsid w:val="00C33B68"/>
    <w:rsid w:val="00C3459E"/>
    <w:rsid w:val="00C35666"/>
    <w:rsid w:val="00C3627A"/>
    <w:rsid w:val="00C36A79"/>
    <w:rsid w:val="00C379E5"/>
    <w:rsid w:val="00C37B47"/>
    <w:rsid w:val="00C401D2"/>
    <w:rsid w:val="00C405D4"/>
    <w:rsid w:val="00C40E78"/>
    <w:rsid w:val="00C41EDB"/>
    <w:rsid w:val="00C43327"/>
    <w:rsid w:val="00C437E2"/>
    <w:rsid w:val="00C438C9"/>
    <w:rsid w:val="00C43A79"/>
    <w:rsid w:val="00C446A2"/>
    <w:rsid w:val="00C4513B"/>
    <w:rsid w:val="00C46168"/>
    <w:rsid w:val="00C467CF"/>
    <w:rsid w:val="00C50278"/>
    <w:rsid w:val="00C50D23"/>
    <w:rsid w:val="00C50D32"/>
    <w:rsid w:val="00C52271"/>
    <w:rsid w:val="00C5390B"/>
    <w:rsid w:val="00C54697"/>
    <w:rsid w:val="00C5619B"/>
    <w:rsid w:val="00C561C8"/>
    <w:rsid w:val="00C611D4"/>
    <w:rsid w:val="00C615C3"/>
    <w:rsid w:val="00C6281A"/>
    <w:rsid w:val="00C641A6"/>
    <w:rsid w:val="00C64292"/>
    <w:rsid w:val="00C64A07"/>
    <w:rsid w:val="00C64EFA"/>
    <w:rsid w:val="00C65C3F"/>
    <w:rsid w:val="00C66688"/>
    <w:rsid w:val="00C66D7C"/>
    <w:rsid w:val="00C672E6"/>
    <w:rsid w:val="00C67D9A"/>
    <w:rsid w:val="00C71017"/>
    <w:rsid w:val="00C717F9"/>
    <w:rsid w:val="00C73885"/>
    <w:rsid w:val="00C747B1"/>
    <w:rsid w:val="00C74FFE"/>
    <w:rsid w:val="00C769D3"/>
    <w:rsid w:val="00C77514"/>
    <w:rsid w:val="00C800FC"/>
    <w:rsid w:val="00C805C5"/>
    <w:rsid w:val="00C80971"/>
    <w:rsid w:val="00C82191"/>
    <w:rsid w:val="00C83134"/>
    <w:rsid w:val="00C841AF"/>
    <w:rsid w:val="00C84212"/>
    <w:rsid w:val="00C85545"/>
    <w:rsid w:val="00C8791B"/>
    <w:rsid w:val="00C90CF4"/>
    <w:rsid w:val="00C91838"/>
    <w:rsid w:val="00C92EB6"/>
    <w:rsid w:val="00C93389"/>
    <w:rsid w:val="00C93F1A"/>
    <w:rsid w:val="00C94401"/>
    <w:rsid w:val="00C94B63"/>
    <w:rsid w:val="00C952FB"/>
    <w:rsid w:val="00C96C30"/>
    <w:rsid w:val="00C976FB"/>
    <w:rsid w:val="00C978AC"/>
    <w:rsid w:val="00C97B70"/>
    <w:rsid w:val="00CA0914"/>
    <w:rsid w:val="00CA115A"/>
    <w:rsid w:val="00CA32CC"/>
    <w:rsid w:val="00CA3633"/>
    <w:rsid w:val="00CA6180"/>
    <w:rsid w:val="00CA6AB4"/>
    <w:rsid w:val="00CB0C2D"/>
    <w:rsid w:val="00CB26CA"/>
    <w:rsid w:val="00CB2B1B"/>
    <w:rsid w:val="00CB4930"/>
    <w:rsid w:val="00CB49A7"/>
    <w:rsid w:val="00CB5CF9"/>
    <w:rsid w:val="00CB61A2"/>
    <w:rsid w:val="00CB6A56"/>
    <w:rsid w:val="00CC0A09"/>
    <w:rsid w:val="00CC1203"/>
    <w:rsid w:val="00CC136E"/>
    <w:rsid w:val="00CC2E7D"/>
    <w:rsid w:val="00CC2F52"/>
    <w:rsid w:val="00CC5675"/>
    <w:rsid w:val="00CC5DB8"/>
    <w:rsid w:val="00CD10A5"/>
    <w:rsid w:val="00CD2076"/>
    <w:rsid w:val="00CD2937"/>
    <w:rsid w:val="00CD29B5"/>
    <w:rsid w:val="00CD2ACE"/>
    <w:rsid w:val="00CD3186"/>
    <w:rsid w:val="00CD3285"/>
    <w:rsid w:val="00CD3E07"/>
    <w:rsid w:val="00CD5415"/>
    <w:rsid w:val="00CD5BA3"/>
    <w:rsid w:val="00CD6331"/>
    <w:rsid w:val="00CD6446"/>
    <w:rsid w:val="00CD6507"/>
    <w:rsid w:val="00CD7B25"/>
    <w:rsid w:val="00CE05F4"/>
    <w:rsid w:val="00CE0E88"/>
    <w:rsid w:val="00CE27D8"/>
    <w:rsid w:val="00CE34B8"/>
    <w:rsid w:val="00CE4FB5"/>
    <w:rsid w:val="00CE603A"/>
    <w:rsid w:val="00CE670B"/>
    <w:rsid w:val="00CE6CEA"/>
    <w:rsid w:val="00CE6F57"/>
    <w:rsid w:val="00CE75B2"/>
    <w:rsid w:val="00CE765C"/>
    <w:rsid w:val="00CE7F0B"/>
    <w:rsid w:val="00CF0CDC"/>
    <w:rsid w:val="00CF1FC5"/>
    <w:rsid w:val="00CF22AF"/>
    <w:rsid w:val="00CF3AEF"/>
    <w:rsid w:val="00CF4908"/>
    <w:rsid w:val="00CF4BAA"/>
    <w:rsid w:val="00CF51EC"/>
    <w:rsid w:val="00CF5C9F"/>
    <w:rsid w:val="00CF64BE"/>
    <w:rsid w:val="00CF672C"/>
    <w:rsid w:val="00CF702F"/>
    <w:rsid w:val="00CF73AE"/>
    <w:rsid w:val="00CF7A05"/>
    <w:rsid w:val="00CF7B9A"/>
    <w:rsid w:val="00CF7CDF"/>
    <w:rsid w:val="00D0029C"/>
    <w:rsid w:val="00D00BA2"/>
    <w:rsid w:val="00D01C1C"/>
    <w:rsid w:val="00D02BD2"/>
    <w:rsid w:val="00D03317"/>
    <w:rsid w:val="00D040DD"/>
    <w:rsid w:val="00D047B6"/>
    <w:rsid w:val="00D05CD0"/>
    <w:rsid w:val="00D0710C"/>
    <w:rsid w:val="00D071D3"/>
    <w:rsid w:val="00D075BE"/>
    <w:rsid w:val="00D078E6"/>
    <w:rsid w:val="00D10007"/>
    <w:rsid w:val="00D134DC"/>
    <w:rsid w:val="00D13986"/>
    <w:rsid w:val="00D141F9"/>
    <w:rsid w:val="00D1517D"/>
    <w:rsid w:val="00D15220"/>
    <w:rsid w:val="00D160F5"/>
    <w:rsid w:val="00D16C1E"/>
    <w:rsid w:val="00D16D70"/>
    <w:rsid w:val="00D17AE6"/>
    <w:rsid w:val="00D17B73"/>
    <w:rsid w:val="00D2104D"/>
    <w:rsid w:val="00D21D83"/>
    <w:rsid w:val="00D235B7"/>
    <w:rsid w:val="00D23F7E"/>
    <w:rsid w:val="00D250DC"/>
    <w:rsid w:val="00D25F28"/>
    <w:rsid w:val="00D26071"/>
    <w:rsid w:val="00D26105"/>
    <w:rsid w:val="00D2768B"/>
    <w:rsid w:val="00D27914"/>
    <w:rsid w:val="00D27973"/>
    <w:rsid w:val="00D30A70"/>
    <w:rsid w:val="00D3310D"/>
    <w:rsid w:val="00D33CAC"/>
    <w:rsid w:val="00D33E27"/>
    <w:rsid w:val="00D34CC3"/>
    <w:rsid w:val="00D35921"/>
    <w:rsid w:val="00D35E1A"/>
    <w:rsid w:val="00D40424"/>
    <w:rsid w:val="00D425AB"/>
    <w:rsid w:val="00D47CD1"/>
    <w:rsid w:val="00D505CE"/>
    <w:rsid w:val="00D50F46"/>
    <w:rsid w:val="00D51C64"/>
    <w:rsid w:val="00D52CA1"/>
    <w:rsid w:val="00D57677"/>
    <w:rsid w:val="00D61326"/>
    <w:rsid w:val="00D630F1"/>
    <w:rsid w:val="00D633D2"/>
    <w:rsid w:val="00D64DD7"/>
    <w:rsid w:val="00D66223"/>
    <w:rsid w:val="00D71625"/>
    <w:rsid w:val="00D71EEE"/>
    <w:rsid w:val="00D73087"/>
    <w:rsid w:val="00D74BD3"/>
    <w:rsid w:val="00D75FE8"/>
    <w:rsid w:val="00D76112"/>
    <w:rsid w:val="00D76A18"/>
    <w:rsid w:val="00D8064E"/>
    <w:rsid w:val="00D8084C"/>
    <w:rsid w:val="00D80E50"/>
    <w:rsid w:val="00D81BE1"/>
    <w:rsid w:val="00D81FB9"/>
    <w:rsid w:val="00D827C6"/>
    <w:rsid w:val="00D82B11"/>
    <w:rsid w:val="00D83602"/>
    <w:rsid w:val="00D84DC1"/>
    <w:rsid w:val="00D8530D"/>
    <w:rsid w:val="00D85BA9"/>
    <w:rsid w:val="00D85D5E"/>
    <w:rsid w:val="00D87B10"/>
    <w:rsid w:val="00D90C5E"/>
    <w:rsid w:val="00D91566"/>
    <w:rsid w:val="00D915EA"/>
    <w:rsid w:val="00D92C17"/>
    <w:rsid w:val="00D9395B"/>
    <w:rsid w:val="00D94D95"/>
    <w:rsid w:val="00DA0A29"/>
    <w:rsid w:val="00DA235F"/>
    <w:rsid w:val="00DA24D0"/>
    <w:rsid w:val="00DA3C0A"/>
    <w:rsid w:val="00DA4C6E"/>
    <w:rsid w:val="00DA4E06"/>
    <w:rsid w:val="00DA4F20"/>
    <w:rsid w:val="00DA538E"/>
    <w:rsid w:val="00DA56D1"/>
    <w:rsid w:val="00DA7C0C"/>
    <w:rsid w:val="00DB08A9"/>
    <w:rsid w:val="00DB1312"/>
    <w:rsid w:val="00DB2EC8"/>
    <w:rsid w:val="00DB3858"/>
    <w:rsid w:val="00DB3F5C"/>
    <w:rsid w:val="00DB5E34"/>
    <w:rsid w:val="00DB759B"/>
    <w:rsid w:val="00DC0071"/>
    <w:rsid w:val="00DC1EF0"/>
    <w:rsid w:val="00DC5B3B"/>
    <w:rsid w:val="00DC713A"/>
    <w:rsid w:val="00DC7665"/>
    <w:rsid w:val="00DC774F"/>
    <w:rsid w:val="00DD0698"/>
    <w:rsid w:val="00DD129F"/>
    <w:rsid w:val="00DD1A46"/>
    <w:rsid w:val="00DD1D26"/>
    <w:rsid w:val="00DD27EF"/>
    <w:rsid w:val="00DD3153"/>
    <w:rsid w:val="00DD39A2"/>
    <w:rsid w:val="00DD5277"/>
    <w:rsid w:val="00DD5290"/>
    <w:rsid w:val="00DD5E62"/>
    <w:rsid w:val="00DE02BD"/>
    <w:rsid w:val="00DE0F3B"/>
    <w:rsid w:val="00DE2FD1"/>
    <w:rsid w:val="00DE3A08"/>
    <w:rsid w:val="00DF0CD6"/>
    <w:rsid w:val="00DF1F61"/>
    <w:rsid w:val="00DF42FF"/>
    <w:rsid w:val="00DF4435"/>
    <w:rsid w:val="00DF66E4"/>
    <w:rsid w:val="00DF6EF2"/>
    <w:rsid w:val="00DF7A52"/>
    <w:rsid w:val="00E00AB3"/>
    <w:rsid w:val="00E016D0"/>
    <w:rsid w:val="00E01C0E"/>
    <w:rsid w:val="00E02005"/>
    <w:rsid w:val="00E03F9A"/>
    <w:rsid w:val="00E04694"/>
    <w:rsid w:val="00E05A22"/>
    <w:rsid w:val="00E06132"/>
    <w:rsid w:val="00E11C33"/>
    <w:rsid w:val="00E12773"/>
    <w:rsid w:val="00E12B1E"/>
    <w:rsid w:val="00E136C1"/>
    <w:rsid w:val="00E13DC6"/>
    <w:rsid w:val="00E14EAC"/>
    <w:rsid w:val="00E15588"/>
    <w:rsid w:val="00E16B15"/>
    <w:rsid w:val="00E16F6F"/>
    <w:rsid w:val="00E17262"/>
    <w:rsid w:val="00E176F0"/>
    <w:rsid w:val="00E200D3"/>
    <w:rsid w:val="00E20290"/>
    <w:rsid w:val="00E20EAB"/>
    <w:rsid w:val="00E24AEA"/>
    <w:rsid w:val="00E24BA4"/>
    <w:rsid w:val="00E253A2"/>
    <w:rsid w:val="00E25D89"/>
    <w:rsid w:val="00E275EB"/>
    <w:rsid w:val="00E31220"/>
    <w:rsid w:val="00E3178F"/>
    <w:rsid w:val="00E328D2"/>
    <w:rsid w:val="00E3309D"/>
    <w:rsid w:val="00E3500A"/>
    <w:rsid w:val="00E36743"/>
    <w:rsid w:val="00E40373"/>
    <w:rsid w:val="00E40C69"/>
    <w:rsid w:val="00E40EF7"/>
    <w:rsid w:val="00E42FAF"/>
    <w:rsid w:val="00E44B44"/>
    <w:rsid w:val="00E46138"/>
    <w:rsid w:val="00E46470"/>
    <w:rsid w:val="00E47622"/>
    <w:rsid w:val="00E47EBA"/>
    <w:rsid w:val="00E50156"/>
    <w:rsid w:val="00E51643"/>
    <w:rsid w:val="00E527B2"/>
    <w:rsid w:val="00E53470"/>
    <w:rsid w:val="00E53883"/>
    <w:rsid w:val="00E539F6"/>
    <w:rsid w:val="00E54419"/>
    <w:rsid w:val="00E55345"/>
    <w:rsid w:val="00E57E83"/>
    <w:rsid w:val="00E613FA"/>
    <w:rsid w:val="00E6149A"/>
    <w:rsid w:val="00E61F4D"/>
    <w:rsid w:val="00E6289D"/>
    <w:rsid w:val="00E63EAC"/>
    <w:rsid w:val="00E64094"/>
    <w:rsid w:val="00E6519D"/>
    <w:rsid w:val="00E65BE3"/>
    <w:rsid w:val="00E67696"/>
    <w:rsid w:val="00E678F3"/>
    <w:rsid w:val="00E67BC9"/>
    <w:rsid w:val="00E67C58"/>
    <w:rsid w:val="00E71A58"/>
    <w:rsid w:val="00E72A7A"/>
    <w:rsid w:val="00E7523C"/>
    <w:rsid w:val="00E75466"/>
    <w:rsid w:val="00E75B0D"/>
    <w:rsid w:val="00E75C94"/>
    <w:rsid w:val="00E762AD"/>
    <w:rsid w:val="00E76A3F"/>
    <w:rsid w:val="00E77E5C"/>
    <w:rsid w:val="00E80746"/>
    <w:rsid w:val="00E80B5C"/>
    <w:rsid w:val="00E80B8A"/>
    <w:rsid w:val="00E82E50"/>
    <w:rsid w:val="00E83143"/>
    <w:rsid w:val="00E84330"/>
    <w:rsid w:val="00E84959"/>
    <w:rsid w:val="00E85536"/>
    <w:rsid w:val="00E85E57"/>
    <w:rsid w:val="00E867C3"/>
    <w:rsid w:val="00E87952"/>
    <w:rsid w:val="00E879FB"/>
    <w:rsid w:val="00E914EF"/>
    <w:rsid w:val="00E92DFE"/>
    <w:rsid w:val="00E93820"/>
    <w:rsid w:val="00E94A86"/>
    <w:rsid w:val="00E955AA"/>
    <w:rsid w:val="00E96143"/>
    <w:rsid w:val="00E963D6"/>
    <w:rsid w:val="00E97C66"/>
    <w:rsid w:val="00EA0987"/>
    <w:rsid w:val="00EA0C68"/>
    <w:rsid w:val="00EA1095"/>
    <w:rsid w:val="00EA32BC"/>
    <w:rsid w:val="00EB2447"/>
    <w:rsid w:val="00EB4258"/>
    <w:rsid w:val="00EB42ED"/>
    <w:rsid w:val="00EB4511"/>
    <w:rsid w:val="00EB46EF"/>
    <w:rsid w:val="00EB4A3B"/>
    <w:rsid w:val="00EB4B95"/>
    <w:rsid w:val="00EB5AFB"/>
    <w:rsid w:val="00EB7212"/>
    <w:rsid w:val="00EB77C9"/>
    <w:rsid w:val="00EC03D7"/>
    <w:rsid w:val="00EC0DB3"/>
    <w:rsid w:val="00EC115D"/>
    <w:rsid w:val="00EC17DB"/>
    <w:rsid w:val="00EC1F2D"/>
    <w:rsid w:val="00EC2996"/>
    <w:rsid w:val="00EC34DF"/>
    <w:rsid w:val="00EC40E8"/>
    <w:rsid w:val="00EC51BB"/>
    <w:rsid w:val="00EC6630"/>
    <w:rsid w:val="00EC7F02"/>
    <w:rsid w:val="00ED0337"/>
    <w:rsid w:val="00ED03A0"/>
    <w:rsid w:val="00ED0E37"/>
    <w:rsid w:val="00ED2AE4"/>
    <w:rsid w:val="00ED3ECA"/>
    <w:rsid w:val="00ED59D0"/>
    <w:rsid w:val="00ED62C6"/>
    <w:rsid w:val="00ED64C1"/>
    <w:rsid w:val="00ED7B4E"/>
    <w:rsid w:val="00EE09CB"/>
    <w:rsid w:val="00EE10D0"/>
    <w:rsid w:val="00EE2A7B"/>
    <w:rsid w:val="00EE3446"/>
    <w:rsid w:val="00EE3E78"/>
    <w:rsid w:val="00EE4B1B"/>
    <w:rsid w:val="00EE515A"/>
    <w:rsid w:val="00EE6242"/>
    <w:rsid w:val="00EE7F19"/>
    <w:rsid w:val="00EE7FAB"/>
    <w:rsid w:val="00EF150D"/>
    <w:rsid w:val="00EF1C85"/>
    <w:rsid w:val="00EF1F5A"/>
    <w:rsid w:val="00EF325E"/>
    <w:rsid w:val="00EF333C"/>
    <w:rsid w:val="00EF3538"/>
    <w:rsid w:val="00EF47BF"/>
    <w:rsid w:val="00EF48AB"/>
    <w:rsid w:val="00EF6A41"/>
    <w:rsid w:val="00EF7BC2"/>
    <w:rsid w:val="00F0185A"/>
    <w:rsid w:val="00F01B67"/>
    <w:rsid w:val="00F02A9B"/>
    <w:rsid w:val="00F04811"/>
    <w:rsid w:val="00F0488C"/>
    <w:rsid w:val="00F04F38"/>
    <w:rsid w:val="00F05157"/>
    <w:rsid w:val="00F05A59"/>
    <w:rsid w:val="00F07110"/>
    <w:rsid w:val="00F10432"/>
    <w:rsid w:val="00F10F11"/>
    <w:rsid w:val="00F12233"/>
    <w:rsid w:val="00F1277D"/>
    <w:rsid w:val="00F12B0B"/>
    <w:rsid w:val="00F12E85"/>
    <w:rsid w:val="00F14A26"/>
    <w:rsid w:val="00F15AAA"/>
    <w:rsid w:val="00F15BEF"/>
    <w:rsid w:val="00F169B9"/>
    <w:rsid w:val="00F17893"/>
    <w:rsid w:val="00F214D6"/>
    <w:rsid w:val="00F21BF9"/>
    <w:rsid w:val="00F22047"/>
    <w:rsid w:val="00F24407"/>
    <w:rsid w:val="00F24931"/>
    <w:rsid w:val="00F24A18"/>
    <w:rsid w:val="00F24FAA"/>
    <w:rsid w:val="00F25368"/>
    <w:rsid w:val="00F256FA"/>
    <w:rsid w:val="00F25C3D"/>
    <w:rsid w:val="00F25D36"/>
    <w:rsid w:val="00F26B70"/>
    <w:rsid w:val="00F2764F"/>
    <w:rsid w:val="00F2776B"/>
    <w:rsid w:val="00F27853"/>
    <w:rsid w:val="00F27C9E"/>
    <w:rsid w:val="00F30E9D"/>
    <w:rsid w:val="00F32A0E"/>
    <w:rsid w:val="00F32A3C"/>
    <w:rsid w:val="00F3364D"/>
    <w:rsid w:val="00F33667"/>
    <w:rsid w:val="00F33D7E"/>
    <w:rsid w:val="00F3443C"/>
    <w:rsid w:val="00F3462D"/>
    <w:rsid w:val="00F3571A"/>
    <w:rsid w:val="00F361AD"/>
    <w:rsid w:val="00F403B3"/>
    <w:rsid w:val="00F4214D"/>
    <w:rsid w:val="00F42496"/>
    <w:rsid w:val="00F437CC"/>
    <w:rsid w:val="00F44537"/>
    <w:rsid w:val="00F44B6A"/>
    <w:rsid w:val="00F45E99"/>
    <w:rsid w:val="00F4688D"/>
    <w:rsid w:val="00F47067"/>
    <w:rsid w:val="00F47341"/>
    <w:rsid w:val="00F51BF8"/>
    <w:rsid w:val="00F51CA5"/>
    <w:rsid w:val="00F51D7D"/>
    <w:rsid w:val="00F525EB"/>
    <w:rsid w:val="00F52E00"/>
    <w:rsid w:val="00F530F8"/>
    <w:rsid w:val="00F542D6"/>
    <w:rsid w:val="00F55D41"/>
    <w:rsid w:val="00F55E62"/>
    <w:rsid w:val="00F55EF3"/>
    <w:rsid w:val="00F567AD"/>
    <w:rsid w:val="00F5766E"/>
    <w:rsid w:val="00F57EF6"/>
    <w:rsid w:val="00F6132C"/>
    <w:rsid w:val="00F62DAD"/>
    <w:rsid w:val="00F62F30"/>
    <w:rsid w:val="00F63DDE"/>
    <w:rsid w:val="00F63FB7"/>
    <w:rsid w:val="00F6421B"/>
    <w:rsid w:val="00F649D2"/>
    <w:rsid w:val="00F6602B"/>
    <w:rsid w:val="00F6699E"/>
    <w:rsid w:val="00F678E2"/>
    <w:rsid w:val="00F70DA3"/>
    <w:rsid w:val="00F71ED4"/>
    <w:rsid w:val="00F726D3"/>
    <w:rsid w:val="00F72A27"/>
    <w:rsid w:val="00F7396B"/>
    <w:rsid w:val="00F73A03"/>
    <w:rsid w:val="00F73A0C"/>
    <w:rsid w:val="00F73DC2"/>
    <w:rsid w:val="00F74580"/>
    <w:rsid w:val="00F747FB"/>
    <w:rsid w:val="00F74C5B"/>
    <w:rsid w:val="00F756DB"/>
    <w:rsid w:val="00F8143E"/>
    <w:rsid w:val="00F8279A"/>
    <w:rsid w:val="00F82A88"/>
    <w:rsid w:val="00F83FCE"/>
    <w:rsid w:val="00F842CA"/>
    <w:rsid w:val="00F84381"/>
    <w:rsid w:val="00F84A11"/>
    <w:rsid w:val="00F84E7D"/>
    <w:rsid w:val="00F85066"/>
    <w:rsid w:val="00F857FF"/>
    <w:rsid w:val="00F858E6"/>
    <w:rsid w:val="00F86294"/>
    <w:rsid w:val="00F87A4D"/>
    <w:rsid w:val="00F9005D"/>
    <w:rsid w:val="00F91C37"/>
    <w:rsid w:val="00F934BA"/>
    <w:rsid w:val="00F9438D"/>
    <w:rsid w:val="00F97562"/>
    <w:rsid w:val="00F9785E"/>
    <w:rsid w:val="00FA040D"/>
    <w:rsid w:val="00FA0D8F"/>
    <w:rsid w:val="00FA1025"/>
    <w:rsid w:val="00FA2CFE"/>
    <w:rsid w:val="00FA38CB"/>
    <w:rsid w:val="00FA5AA6"/>
    <w:rsid w:val="00FA5B81"/>
    <w:rsid w:val="00FA5D4D"/>
    <w:rsid w:val="00FA60E1"/>
    <w:rsid w:val="00FA7AAE"/>
    <w:rsid w:val="00FA7F2F"/>
    <w:rsid w:val="00FB0B0C"/>
    <w:rsid w:val="00FB0CE3"/>
    <w:rsid w:val="00FB0EE2"/>
    <w:rsid w:val="00FB1FE2"/>
    <w:rsid w:val="00FB2A15"/>
    <w:rsid w:val="00FB4820"/>
    <w:rsid w:val="00FB4E50"/>
    <w:rsid w:val="00FB5207"/>
    <w:rsid w:val="00FB542E"/>
    <w:rsid w:val="00FB612F"/>
    <w:rsid w:val="00FB613E"/>
    <w:rsid w:val="00FC0E5F"/>
    <w:rsid w:val="00FC11AF"/>
    <w:rsid w:val="00FC1A95"/>
    <w:rsid w:val="00FC270D"/>
    <w:rsid w:val="00FC3B85"/>
    <w:rsid w:val="00FC3F37"/>
    <w:rsid w:val="00FC56DE"/>
    <w:rsid w:val="00FC58D0"/>
    <w:rsid w:val="00FC6545"/>
    <w:rsid w:val="00FC684B"/>
    <w:rsid w:val="00FC7989"/>
    <w:rsid w:val="00FC7F37"/>
    <w:rsid w:val="00FD1407"/>
    <w:rsid w:val="00FD18EA"/>
    <w:rsid w:val="00FD1CBA"/>
    <w:rsid w:val="00FD2E17"/>
    <w:rsid w:val="00FD3265"/>
    <w:rsid w:val="00FD4559"/>
    <w:rsid w:val="00FD4AAD"/>
    <w:rsid w:val="00FE2EB4"/>
    <w:rsid w:val="00FE2F78"/>
    <w:rsid w:val="00FE3A47"/>
    <w:rsid w:val="00FE40D5"/>
    <w:rsid w:val="00FE59C6"/>
    <w:rsid w:val="00FE6150"/>
    <w:rsid w:val="00FF226F"/>
    <w:rsid w:val="00FF2E5E"/>
    <w:rsid w:val="00FF2FD7"/>
    <w:rsid w:val="00FF38D1"/>
    <w:rsid w:val="00FF6933"/>
    <w:rsid w:val="00FF6D79"/>
    <w:rsid w:val="00FF6FB2"/>
    <w:rsid w:val="00FF719E"/>
    <w:rsid w:val="00FF730D"/>
    <w:rsid w:val="00FF735D"/>
    <w:rsid w:val="00FF7B96"/>
  </w:rsids>
  <m:mathPr>
    <m:mathFont m:val="Cambria Math"/>
    <m:brkBin m:val="before"/>
    <m:brkBinSub m:val="--"/>
    <m:smallFrac m:val="0"/>
    <m:dispDef/>
    <m:lMargin m:val="0"/>
    <m:rMargin m:val="0"/>
    <m:defJc m:val="centerGroup"/>
    <m:wrapIndent m:val="1440"/>
    <m:intLim m:val="subSup"/>
    <m:naryLim m:val="undOvr"/>
  </m:mathPr>
  <w:themeFontLang w:val="cs-CZ"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ru v:ext="edit" colors="#ecf4dd,#eaecee,#fcec0a,#fcecdb,#f1daf5"/>
    </o:shapedefaults>
    <o:shapelayout v:ext="edit">
      <o:idmap v:ext="edit" data="2"/>
    </o:shapelayout>
  </w:shapeDefaults>
  <w:decimalSymbol w:val=","/>
  <w:listSeparator w:val=";"/>
  <w14:docId w14:val="16D78745"/>
  <w15:docId w15:val="{FC3C9807-8A20-484D-A937-0CB633FC8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364FA0"/>
    <w:pPr>
      <w:spacing w:after="240" w:line="276" w:lineRule="auto"/>
      <w:jc w:val="both"/>
    </w:pPr>
    <w:rPr>
      <w:rFonts w:ascii="Arial" w:eastAsia="Times New Roman" w:hAnsi="Arial"/>
      <w:szCs w:val="24"/>
      <w:lang w:val="en-GB" w:eastAsia="cs-CZ"/>
    </w:rPr>
  </w:style>
  <w:style w:type="paragraph" w:styleId="Nadpis1">
    <w:name w:val="heading 1"/>
    <w:next w:val="Normln"/>
    <w:link w:val="Nadpis1Char"/>
    <w:uiPriority w:val="9"/>
    <w:qFormat/>
    <w:rsid w:val="00EA0987"/>
    <w:pPr>
      <w:keepNext/>
      <w:keepLines/>
      <w:spacing w:after="100" w:line="276" w:lineRule="auto"/>
      <w:contextualSpacing/>
      <w:outlineLvl w:val="0"/>
    </w:pPr>
    <w:rPr>
      <w:rFonts w:ascii="Arial" w:eastAsia="MS Gothic" w:hAnsi="Arial"/>
      <w:b/>
      <w:bCs/>
      <w:color w:val="86BF5E"/>
      <w:sz w:val="32"/>
      <w:szCs w:val="28"/>
      <w:lang w:eastAsia="cs-CZ"/>
    </w:rPr>
  </w:style>
  <w:style w:type="paragraph" w:styleId="Nadpis2">
    <w:name w:val="heading 2"/>
    <w:next w:val="Normln"/>
    <w:link w:val="Nadpis2Char"/>
    <w:uiPriority w:val="9"/>
    <w:qFormat/>
    <w:rsid w:val="00EA0987"/>
    <w:pPr>
      <w:keepNext/>
      <w:keepLines/>
      <w:spacing w:line="276" w:lineRule="auto"/>
      <w:outlineLvl w:val="1"/>
    </w:pPr>
    <w:rPr>
      <w:rFonts w:ascii="Arial" w:eastAsia="MS Gothic" w:hAnsi="Arial"/>
      <w:b/>
      <w:bCs/>
      <w:color w:val="86BF5E"/>
      <w:sz w:val="28"/>
      <w:szCs w:val="26"/>
      <w:lang w:eastAsia="cs-CZ"/>
    </w:rPr>
  </w:style>
  <w:style w:type="paragraph" w:styleId="Nadpis3">
    <w:name w:val="heading 3"/>
    <w:next w:val="Normln"/>
    <w:link w:val="Nadpis3Char"/>
    <w:uiPriority w:val="9"/>
    <w:qFormat/>
    <w:rsid w:val="00EA0987"/>
    <w:pPr>
      <w:keepNext/>
      <w:keepLines/>
      <w:spacing w:line="276" w:lineRule="auto"/>
      <w:outlineLvl w:val="2"/>
    </w:pPr>
    <w:rPr>
      <w:rFonts w:ascii="Arial" w:eastAsia="MS Gothic" w:hAnsi="Arial"/>
      <w:b/>
      <w:bCs/>
      <w:color w:val="86BF5E"/>
      <w:sz w:val="24"/>
      <w:szCs w:val="24"/>
      <w:lang w:eastAsia="cs-CZ"/>
    </w:rPr>
  </w:style>
  <w:style w:type="paragraph" w:styleId="Nadpis4">
    <w:name w:val="heading 4"/>
    <w:next w:val="Normln"/>
    <w:link w:val="Nadpis4Char"/>
    <w:uiPriority w:val="9"/>
    <w:qFormat/>
    <w:rsid w:val="0041041D"/>
    <w:pPr>
      <w:keepNext/>
      <w:keepLines/>
      <w:spacing w:line="276" w:lineRule="auto"/>
      <w:outlineLvl w:val="3"/>
    </w:pPr>
    <w:rPr>
      <w:rFonts w:ascii="Arial" w:eastAsia="MS Gothic" w:hAnsi="Arial"/>
      <w:b/>
      <w:bCs/>
      <w:iCs/>
      <w:color w:val="86BF5E"/>
      <w:szCs w:val="24"/>
      <w:lang w:eastAsia="cs-CZ"/>
    </w:rPr>
  </w:style>
  <w:style w:type="paragraph" w:styleId="Nadpis5">
    <w:name w:val="heading 5"/>
    <w:basedOn w:val="Normln"/>
    <w:next w:val="Normln"/>
    <w:link w:val="Nadpis5Char"/>
    <w:uiPriority w:val="9"/>
    <w:semiHidden/>
    <w:unhideWhenUsed/>
    <w:rsid w:val="007A516D"/>
    <w:pPr>
      <w:keepNext/>
      <w:keepLines/>
      <w:numPr>
        <w:ilvl w:val="4"/>
        <w:numId w:val="14"/>
      </w:numPr>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7A516D"/>
    <w:pPr>
      <w:keepNext/>
      <w:keepLines/>
      <w:numPr>
        <w:ilvl w:val="5"/>
        <w:numId w:val="14"/>
      </w:numPr>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
    <w:semiHidden/>
    <w:unhideWhenUsed/>
    <w:qFormat/>
    <w:rsid w:val="007A516D"/>
    <w:pPr>
      <w:keepNext/>
      <w:keepLines/>
      <w:numPr>
        <w:ilvl w:val="6"/>
        <w:numId w:val="14"/>
      </w:numPr>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7A516D"/>
    <w:pPr>
      <w:keepNext/>
      <w:keepLines/>
      <w:numPr>
        <w:ilvl w:val="7"/>
        <w:numId w:val="14"/>
      </w:numPr>
      <w:spacing w:before="200" w:after="0"/>
      <w:outlineLvl w:val="7"/>
    </w:pPr>
    <w:rPr>
      <w:rFonts w:asciiTheme="majorHAnsi" w:eastAsiaTheme="majorEastAsia" w:hAnsiTheme="majorHAnsi" w:cstheme="majorBidi"/>
      <w:color w:val="404040" w:themeColor="text1" w:themeTint="BF"/>
      <w:szCs w:val="20"/>
    </w:rPr>
  </w:style>
  <w:style w:type="paragraph" w:styleId="Nadpis9">
    <w:name w:val="heading 9"/>
    <w:basedOn w:val="Normln"/>
    <w:next w:val="Normln"/>
    <w:link w:val="Nadpis9Char"/>
    <w:uiPriority w:val="9"/>
    <w:semiHidden/>
    <w:unhideWhenUsed/>
    <w:qFormat/>
    <w:rsid w:val="007A516D"/>
    <w:pPr>
      <w:numPr>
        <w:ilvl w:val="8"/>
        <w:numId w:val="14"/>
      </w:numPr>
      <w:spacing w:before="240" w:after="60"/>
      <w:outlineLvl w:val="8"/>
    </w:pPr>
    <w:rPr>
      <w:rFonts w:ascii="Cambria" w:hAnsi="Cambria"/>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uiPriority w:val="9"/>
    <w:qFormat/>
    <w:rsid w:val="00EA0987"/>
    <w:rPr>
      <w:rFonts w:ascii="Arial" w:eastAsia="MS Gothic" w:hAnsi="Arial"/>
      <w:b/>
      <w:bCs/>
      <w:color w:val="86BF5E"/>
      <w:sz w:val="32"/>
      <w:szCs w:val="28"/>
      <w:lang w:eastAsia="cs-CZ"/>
    </w:rPr>
  </w:style>
  <w:style w:type="character" w:customStyle="1" w:styleId="Nadpis2Char">
    <w:name w:val="Nadpis 2 Char"/>
    <w:link w:val="Nadpis2"/>
    <w:uiPriority w:val="9"/>
    <w:rsid w:val="00EA0987"/>
    <w:rPr>
      <w:rFonts w:ascii="Arial" w:eastAsia="MS Gothic" w:hAnsi="Arial"/>
      <w:b/>
      <w:bCs/>
      <w:color w:val="86BF5E"/>
      <w:sz w:val="28"/>
      <w:szCs w:val="26"/>
      <w:lang w:eastAsia="cs-CZ"/>
    </w:rPr>
  </w:style>
  <w:style w:type="character" w:customStyle="1" w:styleId="Nadpis3Char">
    <w:name w:val="Nadpis 3 Char"/>
    <w:link w:val="Nadpis3"/>
    <w:uiPriority w:val="9"/>
    <w:rsid w:val="00EA0987"/>
    <w:rPr>
      <w:rFonts w:ascii="Arial" w:eastAsia="MS Gothic" w:hAnsi="Arial"/>
      <w:b/>
      <w:bCs/>
      <w:color w:val="86BF5E"/>
      <w:sz w:val="24"/>
      <w:szCs w:val="24"/>
      <w:lang w:eastAsia="cs-CZ"/>
    </w:rPr>
  </w:style>
  <w:style w:type="character" w:customStyle="1" w:styleId="Nadpis4Char">
    <w:name w:val="Nadpis 4 Char"/>
    <w:link w:val="Nadpis4"/>
    <w:uiPriority w:val="9"/>
    <w:rsid w:val="0041041D"/>
    <w:rPr>
      <w:rFonts w:ascii="Arial" w:eastAsia="MS Gothic" w:hAnsi="Arial"/>
      <w:b/>
      <w:bCs/>
      <w:iCs/>
      <w:color w:val="86BF5E"/>
      <w:szCs w:val="24"/>
      <w:lang w:eastAsia="cs-CZ"/>
    </w:rPr>
  </w:style>
  <w:style w:type="character" w:customStyle="1" w:styleId="Nadpis9Char">
    <w:name w:val="Nadpis 9 Char"/>
    <w:link w:val="Nadpis9"/>
    <w:uiPriority w:val="9"/>
    <w:semiHidden/>
    <w:rsid w:val="007A516D"/>
    <w:rPr>
      <w:rFonts w:ascii="Cambria" w:eastAsia="Times New Roman" w:hAnsi="Cambria"/>
      <w:sz w:val="22"/>
      <w:szCs w:val="22"/>
      <w:lang w:eastAsia="cs-CZ"/>
    </w:rPr>
  </w:style>
  <w:style w:type="character" w:styleId="Hypertextovodkaz">
    <w:name w:val="Hyperlink"/>
    <w:uiPriority w:val="99"/>
    <w:rsid w:val="00E71A58"/>
    <w:rPr>
      <w:color w:val="0000FF"/>
      <w:u w:val="single"/>
    </w:rPr>
  </w:style>
  <w:style w:type="paragraph" w:styleId="Zhlav">
    <w:name w:val="header"/>
    <w:link w:val="ZhlavChar"/>
    <w:uiPriority w:val="99"/>
    <w:unhideWhenUsed/>
    <w:qFormat/>
    <w:rsid w:val="00A418BC"/>
    <w:pPr>
      <w:spacing w:line="288" w:lineRule="auto"/>
    </w:pPr>
    <w:rPr>
      <w:rFonts w:ascii="Arial" w:hAnsi="Arial"/>
      <w:sz w:val="16"/>
      <w:szCs w:val="22"/>
    </w:rPr>
  </w:style>
  <w:style w:type="character" w:customStyle="1" w:styleId="ZhlavChar">
    <w:name w:val="Záhlaví Char"/>
    <w:link w:val="Zhlav"/>
    <w:uiPriority w:val="99"/>
    <w:rsid w:val="00A418BC"/>
    <w:rPr>
      <w:rFonts w:ascii="Arial" w:hAnsi="Arial"/>
      <w:sz w:val="16"/>
      <w:szCs w:val="22"/>
      <w:lang w:eastAsia="en-US"/>
    </w:rPr>
  </w:style>
  <w:style w:type="paragraph" w:styleId="Zpat">
    <w:name w:val="footer"/>
    <w:link w:val="ZpatChar"/>
    <w:uiPriority w:val="99"/>
    <w:unhideWhenUsed/>
    <w:qFormat/>
    <w:rsid w:val="00031AE0"/>
    <w:pPr>
      <w:tabs>
        <w:tab w:val="center" w:pos="4820"/>
        <w:tab w:val="right" w:pos="9639"/>
      </w:tabs>
    </w:pPr>
    <w:rPr>
      <w:rFonts w:ascii="Arial" w:hAnsi="Arial" w:cs="Arial"/>
      <w:noProof/>
      <w:sz w:val="16"/>
    </w:rPr>
  </w:style>
  <w:style w:type="character" w:customStyle="1" w:styleId="ZpatChar">
    <w:name w:val="Zápatí Char"/>
    <w:link w:val="Zpat"/>
    <w:uiPriority w:val="99"/>
    <w:rsid w:val="00031AE0"/>
    <w:rPr>
      <w:rFonts w:ascii="Arial" w:hAnsi="Arial" w:cs="Arial"/>
      <w:noProof/>
      <w:sz w:val="16"/>
      <w:lang w:eastAsia="en-US"/>
    </w:rPr>
  </w:style>
  <w:style w:type="paragraph" w:styleId="Textbubliny">
    <w:name w:val="Balloon Text"/>
    <w:basedOn w:val="Normln"/>
    <w:link w:val="TextbublinyChar"/>
    <w:uiPriority w:val="99"/>
    <w:semiHidden/>
    <w:unhideWhenUsed/>
    <w:rsid w:val="00E71A58"/>
    <w:rPr>
      <w:rFonts w:ascii="Tahoma" w:eastAsia="Calibri" w:hAnsi="Tahoma"/>
      <w:sz w:val="16"/>
      <w:szCs w:val="16"/>
      <w:lang w:val="x-none" w:eastAsia="x-none"/>
    </w:rPr>
  </w:style>
  <w:style w:type="character" w:customStyle="1" w:styleId="TextbublinyChar">
    <w:name w:val="Text bubliny Char"/>
    <w:link w:val="Textbubliny"/>
    <w:uiPriority w:val="99"/>
    <w:semiHidden/>
    <w:rsid w:val="00E71A58"/>
    <w:rPr>
      <w:rFonts w:ascii="Tahoma" w:hAnsi="Tahoma" w:cs="Tahoma"/>
      <w:sz w:val="16"/>
      <w:szCs w:val="16"/>
    </w:rPr>
  </w:style>
  <w:style w:type="paragraph" w:customStyle="1" w:styleId="Zkladnodstavec">
    <w:name w:val="[Základní odstavec]"/>
    <w:link w:val="ZkladnodstavecChar"/>
    <w:uiPriority w:val="99"/>
    <w:rsid w:val="0008263E"/>
    <w:pPr>
      <w:autoSpaceDE w:val="0"/>
      <w:autoSpaceDN w:val="0"/>
      <w:adjustRightInd w:val="0"/>
      <w:spacing w:line="276" w:lineRule="auto"/>
      <w:textAlignment w:val="center"/>
    </w:pPr>
    <w:rPr>
      <w:rFonts w:ascii="Arial" w:hAnsi="Arial" w:cs="Minion Pro"/>
      <w:color w:val="000000"/>
      <w:szCs w:val="24"/>
      <w:lang w:eastAsia="cs-CZ"/>
    </w:rPr>
  </w:style>
  <w:style w:type="character" w:customStyle="1" w:styleId="ZkladnodstavecChar">
    <w:name w:val="[Základní odstavec] Char"/>
    <w:link w:val="Zkladnodstavec"/>
    <w:uiPriority w:val="99"/>
    <w:rsid w:val="0008263E"/>
    <w:rPr>
      <w:rFonts w:ascii="Arial" w:hAnsi="Arial" w:cs="Minion Pro"/>
      <w:color w:val="000000"/>
      <w:szCs w:val="24"/>
    </w:rPr>
  </w:style>
  <w:style w:type="paragraph" w:styleId="Obsah1">
    <w:name w:val="toc 1"/>
    <w:basedOn w:val="Obsahpoloky"/>
    <w:next w:val="Obsahpoloky"/>
    <w:autoRedefine/>
    <w:uiPriority w:val="39"/>
    <w:unhideWhenUsed/>
    <w:rsid w:val="00FC1A95"/>
  </w:style>
  <w:style w:type="paragraph" w:customStyle="1" w:styleId="TLIdentifikace-sted">
    <w:name w:val="TL Identifikace - střed"/>
    <w:qFormat/>
    <w:rsid w:val="009A60D1"/>
    <w:pPr>
      <w:spacing w:after="200" w:line="288" w:lineRule="auto"/>
    </w:pPr>
    <w:rPr>
      <w:rFonts w:ascii="Arial" w:eastAsia="Times New Roman" w:hAnsi="Arial"/>
      <w:sz w:val="24"/>
      <w:szCs w:val="24"/>
      <w:lang w:eastAsia="cs-CZ"/>
    </w:rPr>
  </w:style>
  <w:style w:type="paragraph" w:customStyle="1" w:styleId="Obsah">
    <w:name w:val="Obsah"/>
    <w:next w:val="Normln"/>
    <w:qFormat/>
    <w:rsid w:val="000A57D4"/>
    <w:pPr>
      <w:spacing w:after="80" w:line="288" w:lineRule="auto"/>
    </w:pPr>
    <w:rPr>
      <w:rFonts w:ascii="Arial" w:eastAsia="Times New Roman" w:hAnsi="Arial"/>
      <w:b/>
      <w:color w:val="86BF5E"/>
      <w:sz w:val="32"/>
      <w:szCs w:val="24"/>
      <w:lang w:eastAsia="cs-CZ"/>
    </w:rPr>
  </w:style>
  <w:style w:type="paragraph" w:customStyle="1" w:styleId="Obsahpoloky">
    <w:name w:val="Obsah položky"/>
    <w:qFormat/>
    <w:rsid w:val="00616E05"/>
    <w:pPr>
      <w:tabs>
        <w:tab w:val="right" w:leader="dot" w:pos="9639"/>
      </w:tabs>
      <w:spacing w:line="288" w:lineRule="auto"/>
    </w:pPr>
    <w:rPr>
      <w:rFonts w:ascii="Arial" w:eastAsia="Times New Roman" w:hAnsi="Arial"/>
      <w:szCs w:val="24"/>
      <w:lang w:eastAsia="cs-CZ"/>
    </w:rPr>
  </w:style>
  <w:style w:type="paragraph" w:customStyle="1" w:styleId="A-Box1">
    <w:name w:val="A-Box 1"/>
    <w:next w:val="Normln"/>
    <w:qFormat/>
    <w:rsid w:val="00EA0987"/>
    <w:pPr>
      <w:shd w:val="clear" w:color="auto" w:fill="F0F6E9"/>
      <w:spacing w:before="240" w:after="240" w:line="276" w:lineRule="auto"/>
      <w:contextualSpacing/>
      <w:jc w:val="both"/>
    </w:pPr>
    <w:rPr>
      <w:rFonts w:ascii="Arial" w:hAnsi="Arial" w:cs="Arial"/>
      <w:lang w:eastAsia="cs-CZ"/>
    </w:rPr>
  </w:style>
  <w:style w:type="paragraph" w:customStyle="1" w:styleId="A-Box2">
    <w:name w:val="A-Box 2"/>
    <w:next w:val="Normln"/>
    <w:qFormat/>
    <w:rsid w:val="00EA0987"/>
    <w:pPr>
      <w:spacing w:before="240" w:after="240" w:line="276" w:lineRule="auto"/>
      <w:contextualSpacing/>
      <w:jc w:val="both"/>
    </w:pPr>
    <w:rPr>
      <w:rFonts w:ascii="Arial" w:hAnsi="Arial" w:cs="Arial"/>
      <w:color w:val="86BF5E"/>
      <w:lang w:eastAsia="cs-CZ"/>
    </w:rPr>
  </w:style>
  <w:style w:type="paragraph" w:styleId="Seznam">
    <w:name w:val="List"/>
    <w:basedOn w:val="Normln"/>
    <w:uiPriority w:val="99"/>
    <w:unhideWhenUsed/>
    <w:qFormat/>
    <w:rsid w:val="00481E40"/>
    <w:pPr>
      <w:contextualSpacing/>
    </w:pPr>
  </w:style>
  <w:style w:type="character" w:styleId="Siln">
    <w:name w:val="Strong"/>
    <w:aliases w:val="Tučné"/>
    <w:uiPriority w:val="22"/>
    <w:qFormat/>
    <w:rsid w:val="00EC03D7"/>
    <w:rPr>
      <w:rFonts w:ascii="Arial" w:hAnsi="Arial"/>
      <w:b/>
      <w:bCs/>
      <w:sz w:val="20"/>
    </w:rPr>
  </w:style>
  <w:style w:type="paragraph" w:customStyle="1" w:styleId="TLKontaktyerven">
    <w:name w:val="TL Kontakty červené"/>
    <w:basedOn w:val="Normln"/>
    <w:qFormat/>
    <w:rsid w:val="000A57D4"/>
    <w:pPr>
      <w:spacing w:after="40"/>
      <w:contextualSpacing/>
    </w:pPr>
    <w:rPr>
      <w:b/>
      <w:caps/>
      <w:sz w:val="24"/>
    </w:rPr>
  </w:style>
  <w:style w:type="paragraph" w:customStyle="1" w:styleId="TLKontakty">
    <w:name w:val="TL Kontakty"/>
    <w:qFormat/>
    <w:rsid w:val="000A57D4"/>
    <w:pPr>
      <w:spacing w:after="160" w:line="259" w:lineRule="auto"/>
      <w:contextualSpacing/>
    </w:pPr>
    <w:rPr>
      <w:rFonts w:ascii="Arial" w:eastAsia="Times New Roman" w:hAnsi="Arial"/>
      <w:b/>
      <w:color w:val="86BF5E"/>
      <w:lang w:eastAsia="cs-CZ"/>
    </w:rPr>
  </w:style>
  <w:style w:type="paragraph" w:styleId="Nzev">
    <w:name w:val="Title"/>
    <w:link w:val="NzevChar"/>
    <w:uiPriority w:val="10"/>
    <w:qFormat/>
    <w:rsid w:val="001E6062"/>
    <w:pPr>
      <w:spacing w:line="288" w:lineRule="auto"/>
    </w:pPr>
    <w:rPr>
      <w:rFonts w:ascii="Arial" w:eastAsia="Times New Roman" w:hAnsi="Arial"/>
      <w:b/>
      <w:bCs/>
      <w:caps/>
      <w:color w:val="000000" w:themeColor="text1"/>
      <w:kern w:val="28"/>
      <w:sz w:val="56"/>
      <w:szCs w:val="32"/>
      <w:lang w:eastAsia="cs-CZ"/>
    </w:rPr>
  </w:style>
  <w:style w:type="character" w:customStyle="1" w:styleId="NzevChar">
    <w:name w:val="Název Char"/>
    <w:link w:val="Nzev"/>
    <w:uiPriority w:val="10"/>
    <w:rsid w:val="001E6062"/>
    <w:rPr>
      <w:rFonts w:ascii="Arial" w:eastAsia="Times New Roman" w:hAnsi="Arial"/>
      <w:b/>
      <w:bCs/>
      <w:caps/>
      <w:color w:val="000000" w:themeColor="text1"/>
      <w:kern w:val="28"/>
      <w:sz w:val="56"/>
      <w:szCs w:val="32"/>
      <w:lang w:eastAsia="cs-CZ"/>
    </w:rPr>
  </w:style>
  <w:style w:type="paragraph" w:styleId="Podnadpis">
    <w:name w:val="Subtitle"/>
    <w:link w:val="PodnadpisChar"/>
    <w:uiPriority w:val="11"/>
    <w:qFormat/>
    <w:rsid w:val="001E6062"/>
    <w:pPr>
      <w:spacing w:line="288" w:lineRule="auto"/>
    </w:pPr>
    <w:rPr>
      <w:rFonts w:ascii="Arial" w:eastAsia="Times New Roman" w:hAnsi="Arial" w:cs="Arial"/>
      <w:b/>
      <w:color w:val="000000" w:themeColor="text1"/>
      <w:sz w:val="28"/>
      <w:szCs w:val="24"/>
      <w:lang w:eastAsia="cs-CZ"/>
    </w:rPr>
  </w:style>
  <w:style w:type="character" w:customStyle="1" w:styleId="PodnadpisChar">
    <w:name w:val="Podnadpis Char"/>
    <w:link w:val="Podnadpis"/>
    <w:uiPriority w:val="11"/>
    <w:rsid w:val="001E6062"/>
    <w:rPr>
      <w:rFonts w:ascii="Arial" w:eastAsia="Times New Roman" w:hAnsi="Arial" w:cs="Arial"/>
      <w:b/>
      <w:color w:val="000000" w:themeColor="text1"/>
      <w:sz w:val="28"/>
      <w:szCs w:val="24"/>
      <w:lang w:eastAsia="cs-CZ"/>
    </w:rPr>
  </w:style>
  <w:style w:type="paragraph" w:styleId="Obsah2">
    <w:name w:val="toc 2"/>
    <w:basedOn w:val="Obsahpoloky"/>
    <w:next w:val="Obsahpoloky"/>
    <w:autoRedefine/>
    <w:uiPriority w:val="39"/>
    <w:unhideWhenUsed/>
    <w:rsid w:val="00FC1A95"/>
    <w:pPr>
      <w:ind w:left="200"/>
    </w:pPr>
  </w:style>
  <w:style w:type="paragraph" w:styleId="Obsah3">
    <w:name w:val="toc 3"/>
    <w:basedOn w:val="Obsahpoloky"/>
    <w:next w:val="Obsahpoloky"/>
    <w:autoRedefine/>
    <w:uiPriority w:val="39"/>
    <w:unhideWhenUsed/>
    <w:rsid w:val="00FC1A95"/>
    <w:pPr>
      <w:ind w:left="400"/>
    </w:pPr>
  </w:style>
  <w:style w:type="paragraph" w:styleId="Obsah4">
    <w:name w:val="toc 4"/>
    <w:basedOn w:val="Obsahpoloky"/>
    <w:next w:val="Obsahpoloky"/>
    <w:autoRedefine/>
    <w:uiPriority w:val="39"/>
    <w:unhideWhenUsed/>
    <w:rsid w:val="00FC1A95"/>
    <w:pPr>
      <w:ind w:left="600"/>
    </w:pPr>
  </w:style>
  <w:style w:type="paragraph" w:styleId="Obsah5">
    <w:name w:val="toc 5"/>
    <w:basedOn w:val="Obsahpoloky"/>
    <w:next w:val="Obsahpoloky"/>
    <w:autoRedefine/>
    <w:uiPriority w:val="39"/>
    <w:semiHidden/>
    <w:unhideWhenUsed/>
    <w:rsid w:val="00FC1A95"/>
    <w:pPr>
      <w:ind w:left="800"/>
    </w:pPr>
  </w:style>
  <w:style w:type="paragraph" w:styleId="Obsah6">
    <w:name w:val="toc 6"/>
    <w:basedOn w:val="Obsahpoloky"/>
    <w:next w:val="Obsahpoloky"/>
    <w:autoRedefine/>
    <w:uiPriority w:val="39"/>
    <w:semiHidden/>
    <w:unhideWhenUsed/>
    <w:rsid w:val="00FC1A95"/>
    <w:pPr>
      <w:ind w:left="1000"/>
    </w:pPr>
  </w:style>
  <w:style w:type="paragraph" w:styleId="Obsah7">
    <w:name w:val="toc 7"/>
    <w:basedOn w:val="Obsahpoloky"/>
    <w:next w:val="Obsahpoloky"/>
    <w:autoRedefine/>
    <w:uiPriority w:val="39"/>
    <w:semiHidden/>
    <w:unhideWhenUsed/>
    <w:rsid w:val="00FC1A95"/>
    <w:pPr>
      <w:ind w:left="1200"/>
    </w:pPr>
  </w:style>
  <w:style w:type="paragraph" w:styleId="Obsah8">
    <w:name w:val="toc 8"/>
    <w:basedOn w:val="Obsahpoloky"/>
    <w:next w:val="Obsahpoloky"/>
    <w:autoRedefine/>
    <w:uiPriority w:val="39"/>
    <w:semiHidden/>
    <w:unhideWhenUsed/>
    <w:rsid w:val="00FC1A95"/>
    <w:pPr>
      <w:ind w:left="1400"/>
    </w:pPr>
  </w:style>
  <w:style w:type="paragraph" w:styleId="Obsah9">
    <w:name w:val="toc 9"/>
    <w:basedOn w:val="Obsahpoloky"/>
    <w:next w:val="Obsahpoloky"/>
    <w:autoRedefine/>
    <w:uiPriority w:val="39"/>
    <w:semiHidden/>
    <w:unhideWhenUsed/>
    <w:rsid w:val="00924AC8"/>
    <w:pPr>
      <w:ind w:left="1600"/>
    </w:pPr>
  </w:style>
  <w:style w:type="character" w:customStyle="1" w:styleId="Nadpis5Char">
    <w:name w:val="Nadpis 5 Char"/>
    <w:basedOn w:val="Standardnpsmoodstavce"/>
    <w:link w:val="Nadpis5"/>
    <w:uiPriority w:val="9"/>
    <w:semiHidden/>
    <w:rsid w:val="007A516D"/>
    <w:rPr>
      <w:rFonts w:asciiTheme="majorHAnsi" w:eastAsiaTheme="majorEastAsia" w:hAnsiTheme="majorHAnsi" w:cstheme="majorBidi"/>
      <w:color w:val="243F60" w:themeColor="accent1" w:themeShade="7F"/>
      <w:szCs w:val="24"/>
      <w:lang w:eastAsia="cs-CZ"/>
    </w:rPr>
  </w:style>
  <w:style w:type="character" w:customStyle="1" w:styleId="Nadpis6Char">
    <w:name w:val="Nadpis 6 Char"/>
    <w:basedOn w:val="Standardnpsmoodstavce"/>
    <w:link w:val="Nadpis6"/>
    <w:uiPriority w:val="9"/>
    <w:semiHidden/>
    <w:rsid w:val="007A516D"/>
    <w:rPr>
      <w:rFonts w:asciiTheme="majorHAnsi" w:eastAsiaTheme="majorEastAsia" w:hAnsiTheme="majorHAnsi" w:cstheme="majorBidi"/>
      <w:i/>
      <w:iCs/>
      <w:color w:val="243F60" w:themeColor="accent1" w:themeShade="7F"/>
      <w:szCs w:val="24"/>
      <w:lang w:eastAsia="cs-CZ"/>
    </w:rPr>
  </w:style>
  <w:style w:type="character" w:customStyle="1" w:styleId="Nadpis7Char">
    <w:name w:val="Nadpis 7 Char"/>
    <w:basedOn w:val="Standardnpsmoodstavce"/>
    <w:link w:val="Nadpis7"/>
    <w:uiPriority w:val="9"/>
    <w:semiHidden/>
    <w:rsid w:val="007A516D"/>
    <w:rPr>
      <w:rFonts w:asciiTheme="majorHAnsi" w:eastAsiaTheme="majorEastAsia" w:hAnsiTheme="majorHAnsi" w:cstheme="majorBidi"/>
      <w:i/>
      <w:iCs/>
      <w:color w:val="404040" w:themeColor="text1" w:themeTint="BF"/>
      <w:szCs w:val="24"/>
      <w:lang w:eastAsia="cs-CZ"/>
    </w:rPr>
  </w:style>
  <w:style w:type="character" w:customStyle="1" w:styleId="Nadpis8Char">
    <w:name w:val="Nadpis 8 Char"/>
    <w:basedOn w:val="Standardnpsmoodstavce"/>
    <w:link w:val="Nadpis8"/>
    <w:uiPriority w:val="9"/>
    <w:semiHidden/>
    <w:rsid w:val="007A516D"/>
    <w:rPr>
      <w:rFonts w:asciiTheme="majorHAnsi" w:eastAsiaTheme="majorEastAsia" w:hAnsiTheme="majorHAnsi" w:cstheme="majorBidi"/>
      <w:color w:val="404040" w:themeColor="text1" w:themeTint="BF"/>
      <w:lang w:eastAsia="cs-CZ"/>
    </w:rPr>
  </w:style>
  <w:style w:type="paragraph" w:styleId="Textpoznpodarou">
    <w:name w:val="footnote text"/>
    <w:aliases w:val="Text pozn. pod čarou_martin_ang"/>
    <w:basedOn w:val="Normln"/>
    <w:link w:val="TextpoznpodarouChar"/>
    <w:qFormat/>
    <w:rsid w:val="008E7FC9"/>
    <w:pPr>
      <w:spacing w:after="0" w:line="240" w:lineRule="auto"/>
      <w:jc w:val="left"/>
    </w:pPr>
    <w:rPr>
      <w:rFonts w:eastAsia="Calibri"/>
      <w:szCs w:val="20"/>
    </w:rPr>
  </w:style>
  <w:style w:type="character" w:customStyle="1" w:styleId="TextpoznpodarouChar">
    <w:name w:val="Text pozn. pod čarou Char"/>
    <w:aliases w:val="Text pozn. pod čarou_martin_ang Char"/>
    <w:basedOn w:val="Standardnpsmoodstavce"/>
    <w:link w:val="Textpoznpodarou"/>
    <w:qFormat/>
    <w:rsid w:val="008E7FC9"/>
    <w:rPr>
      <w:rFonts w:ascii="Arial" w:hAnsi="Arial"/>
      <w:lang w:eastAsia="cs-CZ"/>
    </w:rPr>
  </w:style>
  <w:style w:type="paragraph" w:styleId="Bezmezer">
    <w:name w:val="No Spacing"/>
    <w:uiPriority w:val="1"/>
    <w:qFormat/>
    <w:rsid w:val="00AD68C4"/>
    <w:pPr>
      <w:jc w:val="both"/>
    </w:pPr>
    <w:rPr>
      <w:rFonts w:ascii="Arial" w:eastAsia="Times New Roman" w:hAnsi="Arial"/>
      <w:szCs w:val="24"/>
      <w:lang w:eastAsia="cs-CZ"/>
    </w:rPr>
  </w:style>
  <w:style w:type="paragraph" w:customStyle="1" w:styleId="Marginlie">
    <w:name w:val="Marginálie"/>
    <w:basedOn w:val="Normln"/>
    <w:qFormat/>
    <w:rsid w:val="0089296D"/>
    <w:pPr>
      <w:spacing w:after="0"/>
      <w:jc w:val="left"/>
    </w:pPr>
    <w:rPr>
      <w:spacing w:val="-2"/>
      <w:sz w:val="16"/>
      <w:szCs w:val="16"/>
    </w:rPr>
  </w:style>
  <w:style w:type="paragraph" w:styleId="Odstavecseseznamem">
    <w:name w:val="List Paragraph"/>
    <w:basedOn w:val="Normln"/>
    <w:link w:val="OdstavecseseznamemChar"/>
    <w:uiPriority w:val="34"/>
    <w:qFormat/>
    <w:rsid w:val="006B0F92"/>
    <w:pPr>
      <w:ind w:left="720"/>
      <w:contextualSpacing/>
    </w:pPr>
  </w:style>
  <w:style w:type="paragraph" w:customStyle="1" w:styleId="Normalodrka">
    <w:name w:val="Normal odrážka"/>
    <w:qFormat/>
    <w:rsid w:val="006B0F92"/>
    <w:pPr>
      <w:numPr>
        <w:numId w:val="20"/>
      </w:numPr>
      <w:spacing w:after="240" w:line="276" w:lineRule="auto"/>
      <w:ind w:left="357" w:hanging="357"/>
      <w:jc w:val="both"/>
    </w:pPr>
    <w:rPr>
      <w:rFonts w:ascii="Arial" w:eastAsia="Times New Roman" w:hAnsi="Arial"/>
      <w:szCs w:val="24"/>
      <w:lang w:eastAsia="cs-CZ"/>
    </w:rPr>
  </w:style>
  <w:style w:type="paragraph" w:customStyle="1" w:styleId="Box1">
    <w:name w:val="Box 1"/>
    <w:next w:val="Normln"/>
    <w:qFormat/>
    <w:rsid w:val="00EA0987"/>
    <w:pPr>
      <w:shd w:val="clear" w:color="auto" w:fill="F0F6E9"/>
      <w:spacing w:before="240" w:after="240" w:line="276" w:lineRule="auto"/>
      <w:ind w:left="709"/>
      <w:contextualSpacing/>
      <w:jc w:val="both"/>
    </w:pPr>
    <w:rPr>
      <w:rFonts w:ascii="Arial" w:hAnsi="Arial" w:cs="Arial"/>
      <w:lang w:eastAsia="cs-CZ"/>
    </w:rPr>
  </w:style>
  <w:style w:type="paragraph" w:customStyle="1" w:styleId="Box2">
    <w:name w:val="Box 2"/>
    <w:next w:val="Normln"/>
    <w:qFormat/>
    <w:rsid w:val="00EA0987"/>
    <w:pPr>
      <w:spacing w:before="240" w:after="240" w:line="276" w:lineRule="auto"/>
      <w:ind w:left="709"/>
      <w:contextualSpacing/>
      <w:jc w:val="both"/>
    </w:pPr>
    <w:rPr>
      <w:rFonts w:ascii="Arial" w:hAnsi="Arial" w:cs="Arial"/>
      <w:b/>
      <w:color w:val="86BF5E"/>
      <w:lang w:eastAsia="cs-CZ"/>
    </w:rPr>
  </w:style>
  <w:style w:type="character" w:styleId="Zdraznnintenzivn">
    <w:name w:val="Intense Emphasis"/>
    <w:basedOn w:val="Standardnpsmoodstavce"/>
    <w:uiPriority w:val="21"/>
    <w:qFormat/>
    <w:rsid w:val="001E6062"/>
    <w:rPr>
      <w:i/>
      <w:iCs/>
      <w:color w:val="000000" w:themeColor="text1"/>
    </w:rPr>
  </w:style>
  <w:style w:type="character" w:styleId="Odkazintenzivn">
    <w:name w:val="Intense Reference"/>
    <w:basedOn w:val="Standardnpsmoodstavce"/>
    <w:uiPriority w:val="32"/>
    <w:qFormat/>
    <w:rsid w:val="001E6062"/>
    <w:rPr>
      <w:b/>
      <w:bCs/>
      <w:smallCaps/>
      <w:color w:val="000000" w:themeColor="text1"/>
      <w:spacing w:val="5"/>
    </w:rPr>
  </w:style>
  <w:style w:type="character" w:styleId="Znakapoznpodarou">
    <w:name w:val="footnote reference"/>
    <w:basedOn w:val="Standardnpsmoodstavce"/>
    <w:rsid w:val="009324EF"/>
    <w:rPr>
      <w:rFonts w:cs="Times New Roman"/>
      <w:vertAlign w:val="superscript"/>
    </w:rPr>
  </w:style>
  <w:style w:type="paragraph" w:customStyle="1" w:styleId="Nadpis11">
    <w:name w:val="Nadpis 11"/>
    <w:basedOn w:val="Normln"/>
    <w:uiPriority w:val="9"/>
    <w:qFormat/>
    <w:rsid w:val="009324EF"/>
    <w:pPr>
      <w:keepNext/>
      <w:keepLines/>
      <w:spacing w:after="100"/>
      <w:contextualSpacing/>
      <w:jc w:val="left"/>
      <w:outlineLvl w:val="0"/>
    </w:pPr>
    <w:rPr>
      <w:rFonts w:eastAsia="MS Gothic"/>
      <w:b/>
      <w:bCs/>
      <w:color w:val="71818C"/>
      <w:sz w:val="32"/>
      <w:szCs w:val="28"/>
    </w:rPr>
  </w:style>
  <w:style w:type="paragraph" w:customStyle="1" w:styleId="Textpoznpodarou1">
    <w:name w:val="Text pozn. pod čarou1"/>
    <w:basedOn w:val="Normln"/>
    <w:qFormat/>
    <w:rsid w:val="009324EF"/>
    <w:pPr>
      <w:spacing w:after="0" w:line="240" w:lineRule="auto"/>
      <w:jc w:val="left"/>
    </w:pPr>
    <w:rPr>
      <w:rFonts w:eastAsia="Calibri"/>
      <w:szCs w:val="20"/>
    </w:rPr>
  </w:style>
  <w:style w:type="character" w:styleId="Zdraznn">
    <w:name w:val="Emphasis"/>
    <w:basedOn w:val="Standardnpsmoodstavce"/>
    <w:uiPriority w:val="20"/>
    <w:qFormat/>
    <w:rsid w:val="009324EF"/>
    <w:rPr>
      <w:i/>
      <w:iCs/>
    </w:rPr>
  </w:style>
  <w:style w:type="character" w:customStyle="1" w:styleId="normaltextrun">
    <w:name w:val="normaltextrun"/>
    <w:basedOn w:val="Standardnpsmoodstavce"/>
    <w:rsid w:val="009324EF"/>
  </w:style>
  <w:style w:type="paragraph" w:customStyle="1" w:styleId="paragraph">
    <w:name w:val="paragraph"/>
    <w:basedOn w:val="Normln"/>
    <w:rsid w:val="009324EF"/>
    <w:pPr>
      <w:spacing w:before="100" w:beforeAutospacing="1" w:after="100" w:afterAutospacing="1" w:line="240" w:lineRule="auto"/>
      <w:jc w:val="left"/>
    </w:pPr>
    <w:rPr>
      <w:rFonts w:ascii="Times New Roman" w:hAnsi="Times New Roman"/>
      <w:sz w:val="24"/>
    </w:rPr>
  </w:style>
  <w:style w:type="character" w:customStyle="1" w:styleId="eop">
    <w:name w:val="eop"/>
    <w:basedOn w:val="Standardnpsmoodstavce"/>
    <w:rsid w:val="009324EF"/>
  </w:style>
  <w:style w:type="table" w:styleId="Mkatabulky">
    <w:name w:val="Table Grid"/>
    <w:basedOn w:val="Normlntabulka"/>
    <w:uiPriority w:val="59"/>
    <w:rsid w:val="009324E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adpisobsahu">
    <w:name w:val="TOC Heading"/>
    <w:basedOn w:val="Nadpis1"/>
    <w:next w:val="Normln"/>
    <w:uiPriority w:val="39"/>
    <w:unhideWhenUsed/>
    <w:qFormat/>
    <w:rsid w:val="009324EF"/>
    <w:pPr>
      <w:spacing w:before="240" w:after="0" w:line="259" w:lineRule="auto"/>
      <w:contextualSpacing w:val="0"/>
      <w:outlineLvl w:val="9"/>
    </w:pPr>
    <w:rPr>
      <w:rFonts w:asciiTheme="majorHAnsi" w:eastAsiaTheme="majorEastAsia" w:hAnsiTheme="majorHAnsi" w:cstheme="majorBidi"/>
      <w:b w:val="0"/>
      <w:bCs w:val="0"/>
      <w:color w:val="365F91" w:themeColor="accent1" w:themeShade="BF"/>
      <w:szCs w:val="32"/>
    </w:rPr>
  </w:style>
  <w:style w:type="character" w:styleId="Odkaznakoment">
    <w:name w:val="annotation reference"/>
    <w:basedOn w:val="Standardnpsmoodstavce"/>
    <w:uiPriority w:val="99"/>
    <w:semiHidden/>
    <w:unhideWhenUsed/>
    <w:rsid w:val="009324EF"/>
    <w:rPr>
      <w:sz w:val="16"/>
      <w:szCs w:val="16"/>
    </w:rPr>
  </w:style>
  <w:style w:type="paragraph" w:styleId="Textkomente">
    <w:name w:val="annotation text"/>
    <w:basedOn w:val="Normln"/>
    <w:link w:val="TextkomenteChar"/>
    <w:uiPriority w:val="99"/>
    <w:unhideWhenUsed/>
    <w:rsid w:val="009324EF"/>
    <w:pPr>
      <w:spacing w:line="240" w:lineRule="auto"/>
    </w:pPr>
    <w:rPr>
      <w:szCs w:val="20"/>
    </w:rPr>
  </w:style>
  <w:style w:type="character" w:customStyle="1" w:styleId="TextkomenteChar">
    <w:name w:val="Text komentáře Char"/>
    <w:basedOn w:val="Standardnpsmoodstavce"/>
    <w:link w:val="Textkomente"/>
    <w:uiPriority w:val="99"/>
    <w:rsid w:val="009324EF"/>
    <w:rPr>
      <w:rFonts w:ascii="Arial" w:eastAsia="Times New Roman" w:hAnsi="Arial"/>
      <w:lang w:eastAsia="cs-CZ"/>
    </w:rPr>
  </w:style>
  <w:style w:type="paragraph" w:styleId="Pedmtkomente">
    <w:name w:val="annotation subject"/>
    <w:basedOn w:val="Textkomente"/>
    <w:next w:val="Textkomente"/>
    <w:link w:val="PedmtkomenteChar"/>
    <w:uiPriority w:val="99"/>
    <w:semiHidden/>
    <w:unhideWhenUsed/>
    <w:rsid w:val="009324EF"/>
    <w:rPr>
      <w:b/>
      <w:bCs/>
    </w:rPr>
  </w:style>
  <w:style w:type="character" w:customStyle="1" w:styleId="PedmtkomenteChar">
    <w:name w:val="Předmět komentáře Char"/>
    <w:basedOn w:val="TextkomenteChar"/>
    <w:link w:val="Pedmtkomente"/>
    <w:uiPriority w:val="99"/>
    <w:semiHidden/>
    <w:rsid w:val="009324EF"/>
    <w:rPr>
      <w:rFonts w:ascii="Arial" w:eastAsia="Times New Roman" w:hAnsi="Arial"/>
      <w:b/>
      <w:bCs/>
      <w:lang w:eastAsia="cs-CZ"/>
    </w:rPr>
  </w:style>
  <w:style w:type="paragraph" w:styleId="Rozloendokumentu">
    <w:name w:val="Document Map"/>
    <w:basedOn w:val="Normln"/>
    <w:link w:val="RozloendokumentuChar"/>
    <w:uiPriority w:val="99"/>
    <w:semiHidden/>
    <w:rsid w:val="009324EF"/>
    <w:pPr>
      <w:spacing w:after="0" w:line="288" w:lineRule="auto"/>
      <w:jc w:val="left"/>
    </w:pPr>
    <w:rPr>
      <w:rFonts w:ascii="Tahoma" w:eastAsia="Calibri" w:hAnsi="Tahoma" w:cs="Tahoma"/>
      <w:sz w:val="16"/>
      <w:szCs w:val="16"/>
    </w:rPr>
  </w:style>
  <w:style w:type="character" w:customStyle="1" w:styleId="RozloendokumentuChar">
    <w:name w:val="Rozložení dokumentu Char"/>
    <w:basedOn w:val="Standardnpsmoodstavce"/>
    <w:link w:val="Rozloendokumentu"/>
    <w:uiPriority w:val="99"/>
    <w:semiHidden/>
    <w:rsid w:val="009324EF"/>
    <w:rPr>
      <w:rFonts w:ascii="Tahoma" w:hAnsi="Tahoma" w:cs="Tahoma"/>
      <w:sz w:val="16"/>
      <w:szCs w:val="16"/>
      <w:lang w:eastAsia="cs-CZ"/>
    </w:rPr>
  </w:style>
  <w:style w:type="paragraph" w:customStyle="1" w:styleId="Nadpis12">
    <w:name w:val="Nadpis 12"/>
    <w:basedOn w:val="Normln"/>
    <w:uiPriority w:val="9"/>
    <w:qFormat/>
    <w:rsid w:val="009324EF"/>
    <w:pPr>
      <w:keepNext/>
      <w:keepLines/>
      <w:spacing w:after="100"/>
      <w:contextualSpacing/>
      <w:jc w:val="left"/>
      <w:outlineLvl w:val="0"/>
    </w:pPr>
    <w:rPr>
      <w:rFonts w:eastAsia="MS Gothic"/>
      <w:b/>
      <w:bCs/>
      <w:color w:val="71818C"/>
      <w:sz w:val="32"/>
      <w:szCs w:val="28"/>
    </w:rPr>
  </w:style>
  <w:style w:type="character" w:customStyle="1" w:styleId="spelle">
    <w:name w:val="spelle"/>
    <w:basedOn w:val="Standardnpsmoodstavce"/>
    <w:rsid w:val="009324EF"/>
  </w:style>
  <w:style w:type="paragraph" w:styleId="Revize">
    <w:name w:val="Revision"/>
    <w:hidden/>
    <w:uiPriority w:val="99"/>
    <w:semiHidden/>
    <w:rsid w:val="009324EF"/>
    <w:rPr>
      <w:rFonts w:ascii="Arial" w:eastAsia="Times New Roman" w:hAnsi="Arial"/>
      <w:szCs w:val="24"/>
      <w:lang w:eastAsia="cs-CZ"/>
    </w:rPr>
  </w:style>
  <w:style w:type="character" w:customStyle="1" w:styleId="odkaz-style-wrapper">
    <w:name w:val="odkaz-style-wrapper"/>
    <w:basedOn w:val="Standardnpsmoodstavce"/>
    <w:rsid w:val="009324EF"/>
  </w:style>
  <w:style w:type="character" w:customStyle="1" w:styleId="tabulka">
    <w:name w:val="tabulka"/>
    <w:basedOn w:val="Standardnpsmoodstavce"/>
    <w:rsid w:val="009324EF"/>
  </w:style>
  <w:style w:type="paragraph" w:customStyle="1" w:styleId="Default">
    <w:name w:val="Default"/>
    <w:rsid w:val="009324EF"/>
    <w:pPr>
      <w:autoSpaceDE w:val="0"/>
      <w:autoSpaceDN w:val="0"/>
      <w:adjustRightInd w:val="0"/>
    </w:pPr>
    <w:rPr>
      <w:rFonts w:cs="Calibri"/>
      <w:color w:val="000000"/>
      <w:sz w:val="24"/>
      <w:szCs w:val="24"/>
    </w:rPr>
  </w:style>
  <w:style w:type="paragraph" w:styleId="Normlnweb">
    <w:name w:val="Normal (Web)"/>
    <w:basedOn w:val="Normln"/>
    <w:uiPriority w:val="99"/>
    <w:semiHidden/>
    <w:unhideWhenUsed/>
    <w:rsid w:val="009324EF"/>
    <w:pPr>
      <w:spacing w:before="100" w:beforeAutospacing="1" w:after="100" w:afterAutospacing="1" w:line="240" w:lineRule="auto"/>
      <w:jc w:val="left"/>
    </w:pPr>
    <w:rPr>
      <w:rFonts w:ascii="Times New Roman" w:hAnsi="Times New Roman"/>
      <w:sz w:val="24"/>
    </w:rPr>
  </w:style>
  <w:style w:type="paragraph" w:styleId="FormtovanvHTML">
    <w:name w:val="HTML Preformatted"/>
    <w:basedOn w:val="Normln"/>
    <w:link w:val="FormtovanvHTMLChar"/>
    <w:uiPriority w:val="99"/>
    <w:semiHidden/>
    <w:unhideWhenUsed/>
    <w:rsid w:val="009324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hAnsi="Courier New" w:cs="Courier New"/>
      <w:szCs w:val="20"/>
    </w:rPr>
  </w:style>
  <w:style w:type="character" w:customStyle="1" w:styleId="FormtovanvHTMLChar">
    <w:name w:val="Formátovaný v HTML Char"/>
    <w:basedOn w:val="Standardnpsmoodstavce"/>
    <w:link w:val="FormtovanvHTML"/>
    <w:uiPriority w:val="99"/>
    <w:semiHidden/>
    <w:rsid w:val="009324EF"/>
    <w:rPr>
      <w:rFonts w:ascii="Courier New" w:eastAsia="Times New Roman" w:hAnsi="Courier New" w:cs="Courier New"/>
      <w:lang w:eastAsia="cs-CZ"/>
    </w:rPr>
  </w:style>
  <w:style w:type="paragraph" w:customStyle="1" w:styleId="cay">
    <w:name w:val="c_ay"/>
    <w:basedOn w:val="Normln"/>
    <w:rsid w:val="009324EF"/>
    <w:pPr>
      <w:spacing w:before="100" w:beforeAutospacing="1" w:after="100" w:afterAutospacing="1" w:line="240" w:lineRule="auto"/>
      <w:jc w:val="left"/>
    </w:pPr>
    <w:rPr>
      <w:rFonts w:ascii="Times New Roman" w:hAnsi="Times New Roman"/>
      <w:sz w:val="24"/>
    </w:rPr>
  </w:style>
  <w:style w:type="character" w:customStyle="1" w:styleId="cew">
    <w:name w:val="c_ew"/>
    <w:basedOn w:val="Standardnpsmoodstavce"/>
    <w:rsid w:val="009324EF"/>
  </w:style>
  <w:style w:type="character" w:styleId="Sledovanodkaz">
    <w:name w:val="FollowedHyperlink"/>
    <w:basedOn w:val="Standardnpsmoodstavce"/>
    <w:uiPriority w:val="99"/>
    <w:semiHidden/>
    <w:unhideWhenUsed/>
    <w:rsid w:val="009324EF"/>
    <w:rPr>
      <w:color w:val="800080" w:themeColor="followedHyperlink"/>
      <w:u w:val="single"/>
    </w:rPr>
  </w:style>
  <w:style w:type="character" w:customStyle="1" w:styleId="cfu">
    <w:name w:val="c_fu"/>
    <w:basedOn w:val="Standardnpsmoodstavce"/>
    <w:rsid w:val="009324EF"/>
  </w:style>
  <w:style w:type="character" w:customStyle="1" w:styleId="OdstavecseseznamemChar">
    <w:name w:val="Odstavec se seznamem Char"/>
    <w:basedOn w:val="Standardnpsmoodstavce"/>
    <w:link w:val="Odstavecseseznamem"/>
    <w:uiPriority w:val="34"/>
    <w:rsid w:val="009324EF"/>
    <w:rPr>
      <w:rFonts w:ascii="Arial" w:eastAsia="Times New Roman" w:hAnsi="Arial"/>
      <w:szCs w:val="24"/>
      <w:lang w:eastAsia="cs-CZ"/>
    </w:rPr>
  </w:style>
  <w:style w:type="paragraph" w:styleId="Textvysvtlivek">
    <w:name w:val="endnote text"/>
    <w:basedOn w:val="Normln"/>
    <w:link w:val="TextvysvtlivekChar"/>
    <w:uiPriority w:val="99"/>
    <w:semiHidden/>
    <w:unhideWhenUsed/>
    <w:rsid w:val="00BB2F43"/>
    <w:pPr>
      <w:spacing w:after="0" w:line="240" w:lineRule="auto"/>
    </w:pPr>
    <w:rPr>
      <w:szCs w:val="20"/>
    </w:rPr>
  </w:style>
  <w:style w:type="character" w:customStyle="1" w:styleId="TextvysvtlivekChar">
    <w:name w:val="Text vysvětlivek Char"/>
    <w:basedOn w:val="Standardnpsmoodstavce"/>
    <w:link w:val="Textvysvtlivek"/>
    <w:uiPriority w:val="99"/>
    <w:semiHidden/>
    <w:rsid w:val="00BB2F43"/>
    <w:rPr>
      <w:rFonts w:ascii="Arial" w:eastAsia="Times New Roman" w:hAnsi="Arial"/>
      <w:lang w:eastAsia="cs-CZ"/>
    </w:rPr>
  </w:style>
  <w:style w:type="character" w:styleId="Odkaznavysvtlivky">
    <w:name w:val="endnote reference"/>
    <w:basedOn w:val="Standardnpsmoodstavce"/>
    <w:uiPriority w:val="99"/>
    <w:semiHidden/>
    <w:unhideWhenUsed/>
    <w:rsid w:val="00BB2F43"/>
    <w:rPr>
      <w:vertAlign w:val="superscript"/>
    </w:rPr>
  </w:style>
  <w:style w:type="character" w:customStyle="1" w:styleId="ts-alignment-element">
    <w:name w:val="ts-alignment-element"/>
    <w:basedOn w:val="Standardnpsmoodstavce"/>
    <w:rsid w:val="00EB42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6699">
      <w:bodyDiv w:val="1"/>
      <w:marLeft w:val="0"/>
      <w:marRight w:val="0"/>
      <w:marTop w:val="0"/>
      <w:marBottom w:val="0"/>
      <w:divBdr>
        <w:top w:val="none" w:sz="0" w:space="0" w:color="auto"/>
        <w:left w:val="none" w:sz="0" w:space="0" w:color="auto"/>
        <w:bottom w:val="none" w:sz="0" w:space="0" w:color="auto"/>
        <w:right w:val="none" w:sz="0" w:space="0" w:color="auto"/>
      </w:divBdr>
    </w:div>
    <w:div w:id="112676334">
      <w:bodyDiv w:val="1"/>
      <w:marLeft w:val="0"/>
      <w:marRight w:val="0"/>
      <w:marTop w:val="0"/>
      <w:marBottom w:val="0"/>
      <w:divBdr>
        <w:top w:val="none" w:sz="0" w:space="0" w:color="auto"/>
        <w:left w:val="none" w:sz="0" w:space="0" w:color="auto"/>
        <w:bottom w:val="none" w:sz="0" w:space="0" w:color="auto"/>
        <w:right w:val="none" w:sz="0" w:space="0" w:color="auto"/>
      </w:divBdr>
    </w:div>
    <w:div w:id="243729605">
      <w:bodyDiv w:val="1"/>
      <w:marLeft w:val="0"/>
      <w:marRight w:val="0"/>
      <w:marTop w:val="0"/>
      <w:marBottom w:val="0"/>
      <w:divBdr>
        <w:top w:val="none" w:sz="0" w:space="0" w:color="auto"/>
        <w:left w:val="none" w:sz="0" w:space="0" w:color="auto"/>
        <w:bottom w:val="none" w:sz="0" w:space="0" w:color="auto"/>
        <w:right w:val="none" w:sz="0" w:space="0" w:color="auto"/>
      </w:divBdr>
    </w:div>
    <w:div w:id="255015632">
      <w:bodyDiv w:val="1"/>
      <w:marLeft w:val="0"/>
      <w:marRight w:val="0"/>
      <w:marTop w:val="0"/>
      <w:marBottom w:val="0"/>
      <w:divBdr>
        <w:top w:val="none" w:sz="0" w:space="0" w:color="auto"/>
        <w:left w:val="none" w:sz="0" w:space="0" w:color="auto"/>
        <w:bottom w:val="none" w:sz="0" w:space="0" w:color="auto"/>
        <w:right w:val="none" w:sz="0" w:space="0" w:color="auto"/>
      </w:divBdr>
    </w:div>
    <w:div w:id="264115308">
      <w:bodyDiv w:val="1"/>
      <w:marLeft w:val="0"/>
      <w:marRight w:val="0"/>
      <w:marTop w:val="0"/>
      <w:marBottom w:val="0"/>
      <w:divBdr>
        <w:top w:val="none" w:sz="0" w:space="0" w:color="auto"/>
        <w:left w:val="none" w:sz="0" w:space="0" w:color="auto"/>
        <w:bottom w:val="none" w:sz="0" w:space="0" w:color="auto"/>
        <w:right w:val="none" w:sz="0" w:space="0" w:color="auto"/>
      </w:divBdr>
    </w:div>
    <w:div w:id="493226895">
      <w:bodyDiv w:val="1"/>
      <w:marLeft w:val="0"/>
      <w:marRight w:val="0"/>
      <w:marTop w:val="0"/>
      <w:marBottom w:val="0"/>
      <w:divBdr>
        <w:top w:val="none" w:sz="0" w:space="0" w:color="auto"/>
        <w:left w:val="none" w:sz="0" w:space="0" w:color="auto"/>
        <w:bottom w:val="none" w:sz="0" w:space="0" w:color="auto"/>
        <w:right w:val="none" w:sz="0" w:space="0" w:color="auto"/>
      </w:divBdr>
    </w:div>
    <w:div w:id="533806547">
      <w:bodyDiv w:val="1"/>
      <w:marLeft w:val="0"/>
      <w:marRight w:val="0"/>
      <w:marTop w:val="0"/>
      <w:marBottom w:val="0"/>
      <w:divBdr>
        <w:top w:val="none" w:sz="0" w:space="0" w:color="auto"/>
        <w:left w:val="none" w:sz="0" w:space="0" w:color="auto"/>
        <w:bottom w:val="none" w:sz="0" w:space="0" w:color="auto"/>
        <w:right w:val="none" w:sz="0" w:space="0" w:color="auto"/>
      </w:divBdr>
    </w:div>
    <w:div w:id="683020579">
      <w:bodyDiv w:val="1"/>
      <w:marLeft w:val="0"/>
      <w:marRight w:val="0"/>
      <w:marTop w:val="0"/>
      <w:marBottom w:val="0"/>
      <w:divBdr>
        <w:top w:val="none" w:sz="0" w:space="0" w:color="auto"/>
        <w:left w:val="none" w:sz="0" w:space="0" w:color="auto"/>
        <w:bottom w:val="none" w:sz="0" w:space="0" w:color="auto"/>
        <w:right w:val="none" w:sz="0" w:space="0" w:color="auto"/>
      </w:divBdr>
    </w:div>
    <w:div w:id="883518353">
      <w:bodyDiv w:val="1"/>
      <w:marLeft w:val="0"/>
      <w:marRight w:val="0"/>
      <w:marTop w:val="0"/>
      <w:marBottom w:val="0"/>
      <w:divBdr>
        <w:top w:val="none" w:sz="0" w:space="0" w:color="auto"/>
        <w:left w:val="none" w:sz="0" w:space="0" w:color="auto"/>
        <w:bottom w:val="none" w:sz="0" w:space="0" w:color="auto"/>
        <w:right w:val="none" w:sz="0" w:space="0" w:color="auto"/>
      </w:divBdr>
    </w:div>
    <w:div w:id="932319695">
      <w:bodyDiv w:val="1"/>
      <w:marLeft w:val="0"/>
      <w:marRight w:val="0"/>
      <w:marTop w:val="0"/>
      <w:marBottom w:val="0"/>
      <w:divBdr>
        <w:top w:val="none" w:sz="0" w:space="0" w:color="auto"/>
        <w:left w:val="none" w:sz="0" w:space="0" w:color="auto"/>
        <w:bottom w:val="none" w:sz="0" w:space="0" w:color="auto"/>
        <w:right w:val="none" w:sz="0" w:space="0" w:color="auto"/>
      </w:divBdr>
    </w:div>
    <w:div w:id="1208487203">
      <w:bodyDiv w:val="1"/>
      <w:marLeft w:val="0"/>
      <w:marRight w:val="0"/>
      <w:marTop w:val="0"/>
      <w:marBottom w:val="0"/>
      <w:divBdr>
        <w:top w:val="none" w:sz="0" w:space="0" w:color="auto"/>
        <w:left w:val="none" w:sz="0" w:space="0" w:color="auto"/>
        <w:bottom w:val="none" w:sz="0" w:space="0" w:color="auto"/>
        <w:right w:val="none" w:sz="0" w:space="0" w:color="auto"/>
      </w:divBdr>
    </w:div>
    <w:div w:id="1276136441">
      <w:bodyDiv w:val="1"/>
      <w:marLeft w:val="0"/>
      <w:marRight w:val="0"/>
      <w:marTop w:val="0"/>
      <w:marBottom w:val="0"/>
      <w:divBdr>
        <w:top w:val="none" w:sz="0" w:space="0" w:color="auto"/>
        <w:left w:val="none" w:sz="0" w:space="0" w:color="auto"/>
        <w:bottom w:val="none" w:sz="0" w:space="0" w:color="auto"/>
        <w:right w:val="none" w:sz="0" w:space="0" w:color="auto"/>
      </w:divBdr>
    </w:div>
    <w:div w:id="1283000633">
      <w:bodyDiv w:val="1"/>
      <w:marLeft w:val="0"/>
      <w:marRight w:val="0"/>
      <w:marTop w:val="0"/>
      <w:marBottom w:val="0"/>
      <w:divBdr>
        <w:top w:val="none" w:sz="0" w:space="0" w:color="auto"/>
        <w:left w:val="none" w:sz="0" w:space="0" w:color="auto"/>
        <w:bottom w:val="none" w:sz="0" w:space="0" w:color="auto"/>
        <w:right w:val="none" w:sz="0" w:space="0" w:color="auto"/>
      </w:divBdr>
    </w:div>
    <w:div w:id="1405689476">
      <w:bodyDiv w:val="1"/>
      <w:marLeft w:val="0"/>
      <w:marRight w:val="0"/>
      <w:marTop w:val="0"/>
      <w:marBottom w:val="0"/>
      <w:divBdr>
        <w:top w:val="none" w:sz="0" w:space="0" w:color="auto"/>
        <w:left w:val="none" w:sz="0" w:space="0" w:color="auto"/>
        <w:bottom w:val="none" w:sz="0" w:space="0" w:color="auto"/>
        <w:right w:val="none" w:sz="0" w:space="0" w:color="auto"/>
      </w:divBdr>
    </w:div>
    <w:div w:id="1486582325">
      <w:bodyDiv w:val="1"/>
      <w:marLeft w:val="0"/>
      <w:marRight w:val="0"/>
      <w:marTop w:val="0"/>
      <w:marBottom w:val="0"/>
      <w:divBdr>
        <w:top w:val="none" w:sz="0" w:space="0" w:color="auto"/>
        <w:left w:val="none" w:sz="0" w:space="0" w:color="auto"/>
        <w:bottom w:val="none" w:sz="0" w:space="0" w:color="auto"/>
        <w:right w:val="none" w:sz="0" w:space="0" w:color="auto"/>
      </w:divBdr>
    </w:div>
    <w:div w:id="1856962653">
      <w:bodyDiv w:val="1"/>
      <w:marLeft w:val="0"/>
      <w:marRight w:val="0"/>
      <w:marTop w:val="0"/>
      <w:marBottom w:val="0"/>
      <w:divBdr>
        <w:top w:val="none" w:sz="0" w:space="0" w:color="auto"/>
        <w:left w:val="none" w:sz="0" w:space="0" w:color="auto"/>
        <w:bottom w:val="none" w:sz="0" w:space="0" w:color="auto"/>
        <w:right w:val="none" w:sz="0" w:space="0" w:color="auto"/>
      </w:divBdr>
    </w:div>
    <w:div w:id="1893350832">
      <w:bodyDiv w:val="1"/>
      <w:marLeft w:val="0"/>
      <w:marRight w:val="0"/>
      <w:marTop w:val="0"/>
      <w:marBottom w:val="0"/>
      <w:divBdr>
        <w:top w:val="none" w:sz="0" w:space="0" w:color="auto"/>
        <w:left w:val="none" w:sz="0" w:space="0" w:color="auto"/>
        <w:bottom w:val="none" w:sz="0" w:space="0" w:color="auto"/>
        <w:right w:val="none" w:sz="0" w:space="0" w:color="auto"/>
      </w:divBdr>
    </w:div>
    <w:div w:id="2088262363">
      <w:bodyDiv w:val="1"/>
      <w:marLeft w:val="0"/>
      <w:marRight w:val="0"/>
      <w:marTop w:val="0"/>
      <w:marBottom w:val="0"/>
      <w:divBdr>
        <w:top w:val="none" w:sz="0" w:space="0" w:color="auto"/>
        <w:left w:val="none" w:sz="0" w:space="0" w:color="auto"/>
        <w:bottom w:val="none" w:sz="0" w:space="0" w:color="auto"/>
        <w:right w:val="none" w:sz="0" w:space="0" w:color="auto"/>
      </w:divBdr>
    </w:div>
    <w:div w:id="21109235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3.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chart" Target="charts/chart2.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hart" Target="charts/chart1.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abojnikova31519.CZSO\Downloads\Form_c444_Publikace_regiony%20a%20zeme%20-%20analyzy.dotx"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E:\Qmakro-2026\2q-2026\ENGL-verze\ENGL-trh%20pr&#225;ce-grafy%202q-2026.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E:\Qmakro-2026\2q-2026\ENGL-verze\ENGL-trh%20pr&#225;ce-grafy%202q-2026.xlsx" TargetMode="External"/></Relationships>
</file>

<file path=word/charts/_rels/chart3.xml.rels><?xml version="1.0" encoding="UTF-8" standalone="yes"?>
<Relationships xmlns="http://schemas.openxmlformats.org/package/2006/relationships"><Relationship Id="rId3" Type="http://schemas.openxmlformats.org/officeDocument/2006/relationships/oleObject" Target="file:///E:\Qmakro-2026\2q-2026\ENGL-verze\ENGL-trh%20pr&#225;ce-grafy%202q-2026.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8.3488731014312048E-2"/>
          <c:y val="1.4522051060224651E-2"/>
          <c:w val="0.84495121574960907"/>
          <c:h val="0.67903185372898445"/>
        </c:manualLayout>
      </c:layout>
      <c:barChart>
        <c:barDir val="col"/>
        <c:grouping val="stacked"/>
        <c:varyColors val="0"/>
        <c:ser>
          <c:idx val="0"/>
          <c:order val="0"/>
          <c:tx>
            <c:strRef>
              <c:f>'Trh práce 1-SNÚ'!$AC$7</c:f>
              <c:strCache>
                <c:ptCount val="1"/>
                <c:pt idx="0">
                  <c:v>Agriculture, forestry and fishing</c:v>
                </c:pt>
              </c:strCache>
            </c:strRef>
          </c:tx>
          <c:spPr>
            <a:solidFill>
              <a:srgbClr val="85BF5E"/>
            </a:solidFill>
            <a:ln>
              <a:noFill/>
            </a:ln>
          </c:spPr>
          <c:invertIfNegative val="0"/>
          <c:cat>
            <c:multiLvlStrRef>
              <c:f>'Trh práce 1-SNÚ'!$AA$52:$AB$74</c:f>
              <c:multiLvlStrCache>
                <c:ptCount val="23"/>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lvl>
                <c:lvl>
                  <c:pt idx="0">
                    <c:v>2021</c:v>
                  </c:pt>
                  <c:pt idx="4">
                    <c:v>2022</c:v>
                  </c:pt>
                  <c:pt idx="8">
                    <c:v>2023</c:v>
                  </c:pt>
                  <c:pt idx="12">
                    <c:v>2024</c:v>
                  </c:pt>
                  <c:pt idx="16">
                    <c:v>2025</c:v>
                  </c:pt>
                  <c:pt idx="20">
                    <c:v>2026</c:v>
                  </c:pt>
                </c:lvl>
              </c:multiLvlStrCache>
            </c:multiLvlStrRef>
          </c:cat>
          <c:val>
            <c:numRef>
              <c:f>'Trh práce 1-SNÚ'!$AC$52:$AC$74</c:f>
              <c:numCache>
                <c:formatCode>#\ ##0.0</c:formatCode>
                <c:ptCount val="23"/>
                <c:pt idx="0">
                  <c:v>2.8002776784144496E-2</c:v>
                </c:pt>
                <c:pt idx="1">
                  <c:v>-4.1461393064381027E-2</c:v>
                </c:pt>
                <c:pt idx="2">
                  <c:v>-5.8397268273598195E-2</c:v>
                </c:pt>
                <c:pt idx="3">
                  <c:v>-1.1262996336935964E-2</c:v>
                </c:pt>
                <c:pt idx="4">
                  <c:v>0.10513424306014746</c:v>
                </c:pt>
                <c:pt idx="5">
                  <c:v>0.19711462834772112</c:v>
                </c:pt>
                <c:pt idx="6">
                  <c:v>0.16489789174754407</c:v>
                </c:pt>
                <c:pt idx="7">
                  <c:v>7.3111933711846711E-2</c:v>
                </c:pt>
                <c:pt idx="8">
                  <c:v>1.2313656789678582E-2</c:v>
                </c:pt>
                <c:pt idx="9">
                  <c:v>-1.3215311541128334E-2</c:v>
                </c:pt>
                <c:pt idx="10">
                  <c:v>-1.7186709567985316E-2</c:v>
                </c:pt>
                <c:pt idx="11">
                  <c:v>1.4564431082512574E-2</c:v>
                </c:pt>
                <c:pt idx="12">
                  <c:v>-5.0240416422815938E-2</c:v>
                </c:pt>
                <c:pt idx="13">
                  <c:v>-5.5135905948623894E-2</c:v>
                </c:pt>
                <c:pt idx="14">
                  <c:v>-0.11813549510593412</c:v>
                </c:pt>
                <c:pt idx="15">
                  <c:v>-7.982011684016925E-2</c:v>
                </c:pt>
                <c:pt idx="16">
                  <c:v>-4.1146206802937665E-2</c:v>
                </c:pt>
                <c:pt idx="17">
                  <c:v>-6.1876591960553916E-2</c:v>
                </c:pt>
                <c:pt idx="18">
                  <c:v>-3.7960551072880384E-2</c:v>
                </c:pt>
                <c:pt idx="19">
                  <c:v>-5.1245833190882301E-2</c:v>
                </c:pt>
                <c:pt idx="20">
                  <c:v>-6.4630605421872975E-2</c:v>
                </c:pt>
                <c:pt idx="21">
                  <c:v>-4.1579303004729833E-2</c:v>
                </c:pt>
              </c:numCache>
            </c:numRef>
          </c:val>
          <c:extLst>
            <c:ext xmlns:c16="http://schemas.microsoft.com/office/drawing/2014/chart" uri="{C3380CC4-5D6E-409C-BE32-E72D297353CC}">
              <c16:uniqueId val="{00000000-B5A8-4691-8FBF-7D8E6289EA3C}"/>
            </c:ext>
          </c:extLst>
        </c:ser>
        <c:ser>
          <c:idx val="1"/>
          <c:order val="1"/>
          <c:tx>
            <c:strRef>
              <c:f>'Trh práce 1-SNÚ'!$AD$7</c:f>
              <c:strCache>
                <c:ptCount val="1"/>
                <c:pt idx="0">
                  <c:v>Manufacturing</c:v>
                </c:pt>
              </c:strCache>
            </c:strRef>
          </c:tx>
          <c:spPr>
            <a:solidFill>
              <a:srgbClr val="9FC9D7"/>
            </a:solidFill>
            <a:ln>
              <a:noFill/>
            </a:ln>
          </c:spPr>
          <c:invertIfNegative val="0"/>
          <c:cat>
            <c:multiLvlStrRef>
              <c:f>'Trh práce 1-SNÚ'!$AA$52:$AB$74</c:f>
              <c:multiLvlStrCache>
                <c:ptCount val="23"/>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lvl>
                <c:lvl>
                  <c:pt idx="0">
                    <c:v>2021</c:v>
                  </c:pt>
                  <c:pt idx="4">
                    <c:v>2022</c:v>
                  </c:pt>
                  <c:pt idx="8">
                    <c:v>2023</c:v>
                  </c:pt>
                  <c:pt idx="12">
                    <c:v>2024</c:v>
                  </c:pt>
                  <c:pt idx="16">
                    <c:v>2025</c:v>
                  </c:pt>
                  <c:pt idx="20">
                    <c:v>2026</c:v>
                  </c:pt>
                </c:lvl>
              </c:multiLvlStrCache>
            </c:multiLvlStrRef>
          </c:cat>
          <c:val>
            <c:numRef>
              <c:f>'Trh práce 1-SNÚ'!$AD$52:$AD$74</c:f>
              <c:numCache>
                <c:formatCode>#\ ##0.0</c:formatCode>
                <c:ptCount val="23"/>
                <c:pt idx="0">
                  <c:v>-0.34634016212054219</c:v>
                </c:pt>
                <c:pt idx="1">
                  <c:v>3.1509121698602822E-3</c:v>
                </c:pt>
                <c:pt idx="2">
                  <c:v>0.30654250774554798</c:v>
                </c:pt>
                <c:pt idx="3">
                  <c:v>0.30045529751291367</c:v>
                </c:pt>
                <c:pt idx="4">
                  <c:v>-2.8033255450465585E-2</c:v>
                </c:pt>
                <c:pt idx="5">
                  <c:v>0.16787935055456787</c:v>
                </c:pt>
                <c:pt idx="6">
                  <c:v>-2.7366675160206622E-2</c:v>
                </c:pt>
                <c:pt idx="7">
                  <c:v>-8.9710318662644353E-2</c:v>
                </c:pt>
                <c:pt idx="8">
                  <c:v>-8.0114313039595944E-2</c:v>
                </c:pt>
                <c:pt idx="9">
                  <c:v>-0.32149760034310931</c:v>
                </c:pt>
                <c:pt idx="10">
                  <c:v>-0.49529142132592296</c:v>
                </c:pt>
                <c:pt idx="11">
                  <c:v>-0.43398270156379137</c:v>
                </c:pt>
                <c:pt idx="12">
                  <c:v>-0.11074759444586799</c:v>
                </c:pt>
                <c:pt idx="13">
                  <c:v>-0.11440515959888493</c:v>
                </c:pt>
                <c:pt idx="14">
                  <c:v>0.10203616834547823</c:v>
                </c:pt>
                <c:pt idx="15">
                  <c:v>0.14494185309603444</c:v>
                </c:pt>
                <c:pt idx="16">
                  <c:v>-0.25163552022379271</c:v>
                </c:pt>
                <c:pt idx="17">
                  <c:v>-0.22841522017448104</c:v>
                </c:pt>
                <c:pt idx="18">
                  <c:v>-0.21655102011652805</c:v>
                </c:pt>
                <c:pt idx="19">
                  <c:v>-8.3496154185786473E-2</c:v>
                </c:pt>
                <c:pt idx="20">
                  <c:v>-0.19880599916167793</c:v>
                </c:pt>
                <c:pt idx="21">
                  <c:v>-4.4642468744834171E-2</c:v>
                </c:pt>
              </c:numCache>
            </c:numRef>
          </c:val>
          <c:extLst>
            <c:ext xmlns:c16="http://schemas.microsoft.com/office/drawing/2014/chart" uri="{C3380CC4-5D6E-409C-BE32-E72D297353CC}">
              <c16:uniqueId val="{00000001-B5A8-4691-8FBF-7D8E6289EA3C}"/>
            </c:ext>
          </c:extLst>
        </c:ser>
        <c:ser>
          <c:idx val="2"/>
          <c:order val="2"/>
          <c:tx>
            <c:strRef>
              <c:f>'Trh práce 1-SNÚ'!$AE$7</c:f>
              <c:strCache>
                <c:ptCount val="1"/>
                <c:pt idx="0">
                  <c:v>Construction</c:v>
                </c:pt>
              </c:strCache>
            </c:strRef>
          </c:tx>
          <c:spPr>
            <a:solidFill>
              <a:srgbClr val="009CB5"/>
            </a:solidFill>
            <a:ln w="19050">
              <a:noFill/>
            </a:ln>
          </c:spPr>
          <c:invertIfNegative val="0"/>
          <c:cat>
            <c:multiLvlStrRef>
              <c:f>'Trh práce 1-SNÚ'!$AA$52:$AB$74</c:f>
              <c:multiLvlStrCache>
                <c:ptCount val="23"/>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lvl>
                <c:lvl>
                  <c:pt idx="0">
                    <c:v>2021</c:v>
                  </c:pt>
                  <c:pt idx="4">
                    <c:v>2022</c:v>
                  </c:pt>
                  <c:pt idx="8">
                    <c:v>2023</c:v>
                  </c:pt>
                  <c:pt idx="12">
                    <c:v>2024</c:v>
                  </c:pt>
                  <c:pt idx="16">
                    <c:v>2025</c:v>
                  </c:pt>
                  <c:pt idx="20">
                    <c:v>2026</c:v>
                  </c:pt>
                </c:lvl>
              </c:multiLvlStrCache>
            </c:multiLvlStrRef>
          </c:cat>
          <c:val>
            <c:numRef>
              <c:f>'Trh práce 1-SNÚ'!$AE$52:$AE$74</c:f>
              <c:numCache>
                <c:formatCode>#\ ##0.0</c:formatCode>
                <c:ptCount val="23"/>
                <c:pt idx="0">
                  <c:v>0.10155269523884607</c:v>
                </c:pt>
                <c:pt idx="1">
                  <c:v>0.31580209351215521</c:v>
                </c:pt>
                <c:pt idx="2">
                  <c:v>0.17095344807581425</c:v>
                </c:pt>
                <c:pt idx="3">
                  <c:v>0.23464255912161827</c:v>
                </c:pt>
                <c:pt idx="4">
                  <c:v>0.12338446446565465</c:v>
                </c:pt>
                <c:pt idx="5">
                  <c:v>0.14952408505658937</c:v>
                </c:pt>
                <c:pt idx="6">
                  <c:v>0.1411524444514034</c:v>
                </c:pt>
                <c:pt idx="7">
                  <c:v>0.12302000274757839</c:v>
                </c:pt>
                <c:pt idx="8">
                  <c:v>0.42812620516138616</c:v>
                </c:pt>
                <c:pt idx="9">
                  <c:v>0.39068584842581094</c:v>
                </c:pt>
                <c:pt idx="10">
                  <c:v>0.35022362359049081</c:v>
                </c:pt>
                <c:pt idx="11">
                  <c:v>0.24262848395662612</c:v>
                </c:pt>
                <c:pt idx="12">
                  <c:v>-0.36604526196365195</c:v>
                </c:pt>
                <c:pt idx="13">
                  <c:v>-0.30361653161936331</c:v>
                </c:pt>
                <c:pt idx="14">
                  <c:v>-0.23920316999985505</c:v>
                </c:pt>
                <c:pt idx="15">
                  <c:v>-0.18018853294525411</c:v>
                </c:pt>
                <c:pt idx="16">
                  <c:v>0.26710914976555189</c:v>
                </c:pt>
                <c:pt idx="17">
                  <c:v>0.20281364270651028</c:v>
                </c:pt>
                <c:pt idx="18">
                  <c:v>0.32957159905890215</c:v>
                </c:pt>
                <c:pt idx="19">
                  <c:v>0.37107979888524373</c:v>
                </c:pt>
                <c:pt idx="20">
                  <c:v>0.18362663421607334</c:v>
                </c:pt>
                <c:pt idx="21">
                  <c:v>0.17804424298843119</c:v>
                </c:pt>
              </c:numCache>
            </c:numRef>
          </c:val>
          <c:extLst>
            <c:ext xmlns:c16="http://schemas.microsoft.com/office/drawing/2014/chart" uri="{C3380CC4-5D6E-409C-BE32-E72D297353CC}">
              <c16:uniqueId val="{00000002-B5A8-4691-8FBF-7D8E6289EA3C}"/>
            </c:ext>
          </c:extLst>
        </c:ser>
        <c:ser>
          <c:idx val="3"/>
          <c:order val="3"/>
          <c:tx>
            <c:strRef>
              <c:f>'Trh práce 1-SNÚ'!$AF$7</c:f>
              <c:strCache>
                <c:ptCount val="1"/>
                <c:pt idx="0">
                  <c:v>Trade, transport., accommod., food service</c:v>
                </c:pt>
              </c:strCache>
            </c:strRef>
          </c:tx>
          <c:spPr>
            <a:solidFill>
              <a:srgbClr val="E6C483"/>
            </a:solidFill>
            <a:ln w="19050">
              <a:noFill/>
            </a:ln>
          </c:spPr>
          <c:invertIfNegative val="0"/>
          <c:cat>
            <c:multiLvlStrRef>
              <c:f>'Trh práce 1-SNÚ'!$AA$52:$AB$74</c:f>
              <c:multiLvlStrCache>
                <c:ptCount val="23"/>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lvl>
                <c:lvl>
                  <c:pt idx="0">
                    <c:v>2021</c:v>
                  </c:pt>
                  <c:pt idx="4">
                    <c:v>2022</c:v>
                  </c:pt>
                  <c:pt idx="8">
                    <c:v>2023</c:v>
                  </c:pt>
                  <c:pt idx="12">
                    <c:v>2024</c:v>
                  </c:pt>
                  <c:pt idx="16">
                    <c:v>2025</c:v>
                  </c:pt>
                  <c:pt idx="20">
                    <c:v>2026</c:v>
                  </c:pt>
                </c:lvl>
              </c:multiLvlStrCache>
            </c:multiLvlStrRef>
          </c:cat>
          <c:val>
            <c:numRef>
              <c:f>'Trh práce 1-SNÚ'!$AF$52:$AF$74</c:f>
              <c:numCache>
                <c:formatCode>#\ ##0.0</c:formatCode>
                <c:ptCount val="23"/>
                <c:pt idx="0">
                  <c:v>-0.82949226683804478</c:v>
                </c:pt>
                <c:pt idx="1">
                  <c:v>-0.3128433101331401</c:v>
                </c:pt>
                <c:pt idx="2">
                  <c:v>0.15177536325689855</c:v>
                </c:pt>
                <c:pt idx="3">
                  <c:v>0.63713638222196889</c:v>
                </c:pt>
                <c:pt idx="4">
                  <c:v>9.8879203748751046E-2</c:v>
                </c:pt>
                <c:pt idx="5">
                  <c:v>0.36067621178514792</c:v>
                </c:pt>
                <c:pt idx="6">
                  <c:v>-4.4718392008855891E-2</c:v>
                </c:pt>
                <c:pt idx="7">
                  <c:v>-0.17298452887497942</c:v>
                </c:pt>
                <c:pt idx="8">
                  <c:v>0.21484687061255145</c:v>
                </c:pt>
                <c:pt idx="9">
                  <c:v>0.18741373728822849</c:v>
                </c:pt>
                <c:pt idx="10">
                  <c:v>0.31792607470701895</c:v>
                </c:pt>
                <c:pt idx="11">
                  <c:v>0.43316111827195725</c:v>
                </c:pt>
                <c:pt idx="12">
                  <c:v>0.45436906302272279</c:v>
                </c:pt>
                <c:pt idx="13">
                  <c:v>0.49945233142951906</c:v>
                </c:pt>
                <c:pt idx="14">
                  <c:v>0.32676285322854309</c:v>
                </c:pt>
                <c:pt idx="15">
                  <c:v>0.17535039265279861</c:v>
                </c:pt>
                <c:pt idx="16">
                  <c:v>0.29746623465915806</c:v>
                </c:pt>
                <c:pt idx="17">
                  <c:v>0.27127402142279594</c:v>
                </c:pt>
                <c:pt idx="18">
                  <c:v>0.32773952613067431</c:v>
                </c:pt>
                <c:pt idx="19">
                  <c:v>0.21167472589512498</c:v>
                </c:pt>
                <c:pt idx="20">
                  <c:v>0.14263870872746226</c:v>
                </c:pt>
                <c:pt idx="21">
                  <c:v>0.20932840906783995</c:v>
                </c:pt>
              </c:numCache>
            </c:numRef>
          </c:val>
          <c:extLst>
            <c:ext xmlns:c16="http://schemas.microsoft.com/office/drawing/2014/chart" uri="{C3380CC4-5D6E-409C-BE32-E72D297353CC}">
              <c16:uniqueId val="{00000003-B5A8-4691-8FBF-7D8E6289EA3C}"/>
            </c:ext>
          </c:extLst>
        </c:ser>
        <c:ser>
          <c:idx val="4"/>
          <c:order val="4"/>
          <c:tx>
            <c:strRef>
              <c:f>'Trh práce 1-SNÚ'!$AG$7</c:f>
              <c:strCache>
                <c:ptCount val="1"/>
                <c:pt idx="0">
                  <c:v>Information and communication</c:v>
                </c:pt>
              </c:strCache>
            </c:strRef>
          </c:tx>
          <c:spPr>
            <a:solidFill>
              <a:srgbClr val="CC9610"/>
            </a:solidFill>
            <a:ln w="19050">
              <a:noFill/>
            </a:ln>
          </c:spPr>
          <c:invertIfNegative val="0"/>
          <c:cat>
            <c:multiLvlStrRef>
              <c:f>'Trh práce 1-SNÚ'!$AA$52:$AB$74</c:f>
              <c:multiLvlStrCache>
                <c:ptCount val="23"/>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lvl>
                <c:lvl>
                  <c:pt idx="0">
                    <c:v>2021</c:v>
                  </c:pt>
                  <c:pt idx="4">
                    <c:v>2022</c:v>
                  </c:pt>
                  <c:pt idx="8">
                    <c:v>2023</c:v>
                  </c:pt>
                  <c:pt idx="12">
                    <c:v>2024</c:v>
                  </c:pt>
                  <c:pt idx="16">
                    <c:v>2025</c:v>
                  </c:pt>
                  <c:pt idx="20">
                    <c:v>2026</c:v>
                  </c:pt>
                </c:lvl>
              </c:multiLvlStrCache>
            </c:multiLvlStrRef>
          </c:cat>
          <c:val>
            <c:numRef>
              <c:f>'Trh práce 1-SNÚ'!$AG$52:$AG$74</c:f>
              <c:numCache>
                <c:formatCode>#\ ##0.0</c:formatCode>
                <c:ptCount val="23"/>
                <c:pt idx="0">
                  <c:v>3.1735217262139397E-2</c:v>
                </c:pt>
                <c:pt idx="1">
                  <c:v>8.4094771752917394E-2</c:v>
                </c:pt>
                <c:pt idx="2">
                  <c:v>6.1350693335711207E-2</c:v>
                </c:pt>
                <c:pt idx="3">
                  <c:v>-2.3830735009326184E-2</c:v>
                </c:pt>
                <c:pt idx="4">
                  <c:v>0.18057611963296502</c:v>
                </c:pt>
                <c:pt idx="5">
                  <c:v>0.17130313064745503</c:v>
                </c:pt>
                <c:pt idx="6">
                  <c:v>0.18147632556272095</c:v>
                </c:pt>
                <c:pt idx="7">
                  <c:v>0.27067411649356277</c:v>
                </c:pt>
                <c:pt idx="8">
                  <c:v>0.27739722534785127</c:v>
                </c:pt>
                <c:pt idx="9">
                  <c:v>0.19288731313221355</c:v>
                </c:pt>
                <c:pt idx="10">
                  <c:v>0.15595209041069594</c:v>
                </c:pt>
                <c:pt idx="11">
                  <c:v>0.13802599302811916</c:v>
                </c:pt>
                <c:pt idx="12">
                  <c:v>0.10733769528622278</c:v>
                </c:pt>
                <c:pt idx="13">
                  <c:v>9.2354487708454669E-2</c:v>
                </c:pt>
                <c:pt idx="14">
                  <c:v>5.416233985734132E-2</c:v>
                </c:pt>
                <c:pt idx="15">
                  <c:v>-8.2763472151168777E-2</c:v>
                </c:pt>
                <c:pt idx="16">
                  <c:v>0.10781744731957579</c:v>
                </c:pt>
                <c:pt idx="17">
                  <c:v>7.348533016773548E-2</c:v>
                </c:pt>
                <c:pt idx="18">
                  <c:v>0.14949715094338994</c:v>
                </c:pt>
                <c:pt idx="19">
                  <c:v>0.13386442762170539</c:v>
                </c:pt>
                <c:pt idx="20">
                  <c:v>3.8403429298831865E-2</c:v>
                </c:pt>
                <c:pt idx="21">
                  <c:v>5.6097621098360438E-2</c:v>
                </c:pt>
              </c:numCache>
            </c:numRef>
          </c:val>
          <c:extLst>
            <c:ext xmlns:c16="http://schemas.microsoft.com/office/drawing/2014/chart" uri="{C3380CC4-5D6E-409C-BE32-E72D297353CC}">
              <c16:uniqueId val="{00000004-B5A8-4691-8FBF-7D8E6289EA3C}"/>
            </c:ext>
          </c:extLst>
        </c:ser>
        <c:ser>
          <c:idx val="5"/>
          <c:order val="5"/>
          <c:tx>
            <c:strRef>
              <c:f>'Trh práce 1-SNÚ'!$AH$7</c:f>
              <c:strCache>
                <c:ptCount val="1"/>
                <c:pt idx="0">
                  <c:v>Professional, scientific, technic.,admin. act.</c:v>
                </c:pt>
              </c:strCache>
            </c:strRef>
          </c:tx>
          <c:spPr>
            <a:solidFill>
              <a:srgbClr val="D8A7B7"/>
            </a:solidFill>
            <a:ln w="19050">
              <a:noFill/>
            </a:ln>
          </c:spPr>
          <c:invertIfNegative val="0"/>
          <c:cat>
            <c:multiLvlStrRef>
              <c:f>'Trh práce 1-SNÚ'!$AA$52:$AB$74</c:f>
              <c:multiLvlStrCache>
                <c:ptCount val="23"/>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lvl>
                <c:lvl>
                  <c:pt idx="0">
                    <c:v>2021</c:v>
                  </c:pt>
                  <c:pt idx="4">
                    <c:v>2022</c:v>
                  </c:pt>
                  <c:pt idx="8">
                    <c:v>2023</c:v>
                  </c:pt>
                  <c:pt idx="12">
                    <c:v>2024</c:v>
                  </c:pt>
                  <c:pt idx="16">
                    <c:v>2025</c:v>
                  </c:pt>
                  <c:pt idx="20">
                    <c:v>2026</c:v>
                  </c:pt>
                </c:lvl>
              </c:multiLvlStrCache>
            </c:multiLvlStrRef>
          </c:cat>
          <c:val>
            <c:numRef>
              <c:f>'Trh práce 1-SNÚ'!$AH$52:$AH$74</c:f>
              <c:numCache>
                <c:formatCode>#\ ##0.0</c:formatCode>
                <c:ptCount val="23"/>
                <c:pt idx="0">
                  <c:v>-0.13232164618434719</c:v>
                </c:pt>
                <c:pt idx="1">
                  <c:v>0.15130142279054706</c:v>
                </c:pt>
                <c:pt idx="2">
                  <c:v>0.30216990440683522</c:v>
                </c:pt>
                <c:pt idx="3">
                  <c:v>0.12765368761436965</c:v>
                </c:pt>
                <c:pt idx="4">
                  <c:v>0.15014001371531671</c:v>
                </c:pt>
                <c:pt idx="5">
                  <c:v>0.10353130580880499</c:v>
                </c:pt>
                <c:pt idx="6">
                  <c:v>0.16495447343292013</c:v>
                </c:pt>
                <c:pt idx="7">
                  <c:v>0.24152343816160637</c:v>
                </c:pt>
                <c:pt idx="8">
                  <c:v>0.45743724095522231</c:v>
                </c:pt>
                <c:pt idx="9">
                  <c:v>0.46710971389131484</c:v>
                </c:pt>
                <c:pt idx="10">
                  <c:v>0.51683558827077503</c:v>
                </c:pt>
                <c:pt idx="11">
                  <c:v>0.51050198178960737</c:v>
                </c:pt>
                <c:pt idx="12">
                  <c:v>9.3623970405040988E-2</c:v>
                </c:pt>
                <c:pt idx="13">
                  <c:v>5.9195443869874652E-2</c:v>
                </c:pt>
                <c:pt idx="14">
                  <c:v>1.9234361753900916E-2</c:v>
                </c:pt>
                <c:pt idx="15">
                  <c:v>-2.9562324904851802E-2</c:v>
                </c:pt>
                <c:pt idx="16">
                  <c:v>0.29803796590563547</c:v>
                </c:pt>
                <c:pt idx="17">
                  <c:v>0.26232447285233051</c:v>
                </c:pt>
                <c:pt idx="18">
                  <c:v>0.26024595945476153</c:v>
                </c:pt>
                <c:pt idx="19">
                  <c:v>0.31370932990451283</c:v>
                </c:pt>
                <c:pt idx="20">
                  <c:v>0.15605260796596418</c:v>
                </c:pt>
                <c:pt idx="21">
                  <c:v>0.26705730186211396</c:v>
                </c:pt>
              </c:numCache>
            </c:numRef>
          </c:val>
          <c:extLst>
            <c:ext xmlns:c16="http://schemas.microsoft.com/office/drawing/2014/chart" uri="{C3380CC4-5D6E-409C-BE32-E72D297353CC}">
              <c16:uniqueId val="{00000005-B5A8-4691-8FBF-7D8E6289EA3C}"/>
            </c:ext>
          </c:extLst>
        </c:ser>
        <c:ser>
          <c:idx val="6"/>
          <c:order val="6"/>
          <c:tx>
            <c:strRef>
              <c:f>'Trh práce 1-SNÚ'!$AI$7</c:f>
              <c:strCache>
                <c:ptCount val="1"/>
                <c:pt idx="0">
                  <c:v>Public admin, education, health,soc.work</c:v>
                </c:pt>
              </c:strCache>
            </c:strRef>
          </c:tx>
          <c:spPr>
            <a:solidFill>
              <a:srgbClr val="BC5B80"/>
            </a:solidFill>
            <a:ln>
              <a:noFill/>
            </a:ln>
          </c:spPr>
          <c:invertIfNegative val="0"/>
          <c:cat>
            <c:multiLvlStrRef>
              <c:f>'Trh práce 1-SNÚ'!$AA$52:$AB$74</c:f>
              <c:multiLvlStrCache>
                <c:ptCount val="23"/>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lvl>
                <c:lvl>
                  <c:pt idx="0">
                    <c:v>2021</c:v>
                  </c:pt>
                  <c:pt idx="4">
                    <c:v>2022</c:v>
                  </c:pt>
                  <c:pt idx="8">
                    <c:v>2023</c:v>
                  </c:pt>
                  <c:pt idx="12">
                    <c:v>2024</c:v>
                  </c:pt>
                  <c:pt idx="16">
                    <c:v>2025</c:v>
                  </c:pt>
                  <c:pt idx="20">
                    <c:v>2026</c:v>
                  </c:pt>
                </c:lvl>
              </c:multiLvlStrCache>
            </c:multiLvlStrRef>
          </c:cat>
          <c:val>
            <c:numRef>
              <c:f>'Trh práce 1-SNÚ'!$AI$52:$AI$74</c:f>
              <c:numCache>
                <c:formatCode>#\ ##0.0</c:formatCode>
                <c:ptCount val="23"/>
                <c:pt idx="0">
                  <c:v>0.48671402761020832</c:v>
                </c:pt>
                <c:pt idx="1">
                  <c:v>0.61617624511944569</c:v>
                </c:pt>
                <c:pt idx="2">
                  <c:v>0.59097268369488631</c:v>
                </c:pt>
                <c:pt idx="3">
                  <c:v>0.46765419032391881</c:v>
                </c:pt>
                <c:pt idx="4">
                  <c:v>0.2585734086073897</c:v>
                </c:pt>
                <c:pt idx="5">
                  <c:v>0.20930708967850267</c:v>
                </c:pt>
                <c:pt idx="6">
                  <c:v>0.20882414016113554</c:v>
                </c:pt>
                <c:pt idx="7">
                  <c:v>0.25738788092070208</c:v>
                </c:pt>
                <c:pt idx="8">
                  <c:v>0.31677448670748293</c:v>
                </c:pt>
                <c:pt idx="9">
                  <c:v>0.29049316730902952</c:v>
                </c:pt>
                <c:pt idx="10">
                  <c:v>0.13152788725967438</c:v>
                </c:pt>
                <c:pt idx="11">
                  <c:v>0.10734732601713433</c:v>
                </c:pt>
                <c:pt idx="12">
                  <c:v>0.13836036481473399</c:v>
                </c:pt>
                <c:pt idx="13">
                  <c:v>0.12962842680357525</c:v>
                </c:pt>
                <c:pt idx="14">
                  <c:v>0.21454704184552567</c:v>
                </c:pt>
                <c:pt idx="15">
                  <c:v>0.34479567871290434</c:v>
                </c:pt>
                <c:pt idx="16">
                  <c:v>0.27349040819397702</c:v>
                </c:pt>
                <c:pt idx="17">
                  <c:v>0.36359374991403143</c:v>
                </c:pt>
                <c:pt idx="18">
                  <c:v>0.33842051130224254</c:v>
                </c:pt>
                <c:pt idx="19">
                  <c:v>0.2398846155182186</c:v>
                </c:pt>
                <c:pt idx="20">
                  <c:v>0.47003249366935212</c:v>
                </c:pt>
                <c:pt idx="21">
                  <c:v>0.44584467973423908</c:v>
                </c:pt>
              </c:numCache>
            </c:numRef>
          </c:val>
          <c:extLst>
            <c:ext xmlns:c16="http://schemas.microsoft.com/office/drawing/2014/chart" uri="{C3380CC4-5D6E-409C-BE32-E72D297353CC}">
              <c16:uniqueId val="{00000006-B5A8-4691-8FBF-7D8E6289EA3C}"/>
            </c:ext>
          </c:extLst>
        </c:ser>
        <c:ser>
          <c:idx val="7"/>
          <c:order val="7"/>
          <c:tx>
            <c:strRef>
              <c:f>'Trh práce 1-SNÚ'!$AJ$7</c:f>
              <c:strCache>
                <c:ptCount val="1"/>
                <c:pt idx="0">
                  <c:v>Other branches*</c:v>
                </c:pt>
              </c:strCache>
            </c:strRef>
          </c:tx>
          <c:spPr>
            <a:solidFill>
              <a:srgbClr val="BBBBC0"/>
            </a:solidFill>
            <a:ln>
              <a:noFill/>
            </a:ln>
          </c:spPr>
          <c:invertIfNegative val="0"/>
          <c:cat>
            <c:multiLvlStrRef>
              <c:f>'Trh práce 1-SNÚ'!$AA$52:$AB$74</c:f>
              <c:multiLvlStrCache>
                <c:ptCount val="23"/>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lvl>
                <c:lvl>
                  <c:pt idx="0">
                    <c:v>2021</c:v>
                  </c:pt>
                  <c:pt idx="4">
                    <c:v>2022</c:v>
                  </c:pt>
                  <c:pt idx="8">
                    <c:v>2023</c:v>
                  </c:pt>
                  <c:pt idx="12">
                    <c:v>2024</c:v>
                  </c:pt>
                  <c:pt idx="16">
                    <c:v>2025</c:v>
                  </c:pt>
                  <c:pt idx="20">
                    <c:v>2026</c:v>
                  </c:pt>
                </c:lvl>
              </c:multiLvlStrCache>
            </c:multiLvlStrRef>
          </c:cat>
          <c:val>
            <c:numRef>
              <c:f>'Trh práce 1-SNÚ'!$AJ$52:$AJ$74</c:f>
              <c:numCache>
                <c:formatCode>#\ ##0.0</c:formatCode>
                <c:ptCount val="23"/>
                <c:pt idx="0">
                  <c:v>1.0742607873213753E-2</c:v>
                </c:pt>
                <c:pt idx="1">
                  <c:v>0.19255147418499846</c:v>
                </c:pt>
                <c:pt idx="2">
                  <c:v>0.15816166550159752</c:v>
                </c:pt>
                <c:pt idx="3">
                  <c:v>0.22491455376756969</c:v>
                </c:pt>
                <c:pt idx="4">
                  <c:v>8.7017513347261544E-2</c:v>
                </c:pt>
                <c:pt idx="5">
                  <c:v>0.11239509204927955</c:v>
                </c:pt>
                <c:pt idx="6">
                  <c:v>6.112708076790465E-2</c:v>
                </c:pt>
                <c:pt idx="7">
                  <c:v>8.2540268020633134E-2</c:v>
                </c:pt>
                <c:pt idx="8">
                  <c:v>0.28296858846588063</c:v>
                </c:pt>
                <c:pt idx="9">
                  <c:v>0.39224169361434097</c:v>
                </c:pt>
                <c:pt idx="10">
                  <c:v>0.45070696473171507</c:v>
                </c:pt>
                <c:pt idx="11">
                  <c:v>0.49013045062163141</c:v>
                </c:pt>
                <c:pt idx="12">
                  <c:v>0.21654712869812037</c:v>
                </c:pt>
                <c:pt idx="13">
                  <c:v>0.309816553171819</c:v>
                </c:pt>
                <c:pt idx="14">
                  <c:v>0.29915610390391251</c:v>
                </c:pt>
                <c:pt idx="15">
                  <c:v>0.32792657358673816</c:v>
                </c:pt>
                <c:pt idx="16">
                  <c:v>0.3799430776993809</c:v>
                </c:pt>
                <c:pt idx="17">
                  <c:v>0.29746245453473164</c:v>
                </c:pt>
                <c:pt idx="18">
                  <c:v>0.22120448535422674</c:v>
                </c:pt>
                <c:pt idx="19">
                  <c:v>0.28517035537330798</c:v>
                </c:pt>
                <c:pt idx="20">
                  <c:v>0.31352486876856761</c:v>
                </c:pt>
                <c:pt idx="21">
                  <c:v>0.43522328846973524</c:v>
                </c:pt>
              </c:numCache>
            </c:numRef>
          </c:val>
          <c:extLst>
            <c:ext xmlns:c16="http://schemas.microsoft.com/office/drawing/2014/chart" uri="{C3380CC4-5D6E-409C-BE32-E72D297353CC}">
              <c16:uniqueId val="{00000007-B5A8-4691-8FBF-7D8E6289EA3C}"/>
            </c:ext>
          </c:extLst>
        </c:ser>
        <c:dLbls>
          <c:showLegendKey val="0"/>
          <c:showVal val="0"/>
          <c:showCatName val="0"/>
          <c:showSerName val="0"/>
          <c:showPercent val="0"/>
          <c:showBubbleSize val="0"/>
        </c:dLbls>
        <c:gapWidth val="47"/>
        <c:overlap val="100"/>
        <c:axId val="101898496"/>
        <c:axId val="101781504"/>
      </c:barChart>
      <c:lineChart>
        <c:grouping val="standard"/>
        <c:varyColors val="0"/>
        <c:ser>
          <c:idx val="8"/>
          <c:order val="8"/>
          <c:tx>
            <c:strRef>
              <c:f>'Trh práce 1-SNÚ'!$AK$7</c:f>
              <c:strCache>
                <c:ptCount val="1"/>
                <c:pt idx="0">
                  <c:v>Total employment</c:v>
                </c:pt>
              </c:strCache>
            </c:strRef>
          </c:tx>
          <c:spPr>
            <a:ln w="19050">
              <a:solidFill>
                <a:schemeClr val="tx1">
                  <a:lumMod val="95000"/>
                  <a:lumOff val="5000"/>
                </a:schemeClr>
              </a:solidFill>
            </a:ln>
          </c:spPr>
          <c:marker>
            <c:symbol val="none"/>
          </c:marker>
          <c:cat>
            <c:multiLvlStrRef>
              <c:f>'Trh práce 1-SNÚ'!$AA$52:$AB$74</c:f>
              <c:multiLvlStrCache>
                <c:ptCount val="23"/>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lvl>
                <c:lvl>
                  <c:pt idx="0">
                    <c:v>2021</c:v>
                  </c:pt>
                  <c:pt idx="4">
                    <c:v>2022</c:v>
                  </c:pt>
                  <c:pt idx="8">
                    <c:v>2023</c:v>
                  </c:pt>
                  <c:pt idx="12">
                    <c:v>2024</c:v>
                  </c:pt>
                  <c:pt idx="16">
                    <c:v>2025</c:v>
                  </c:pt>
                  <c:pt idx="20">
                    <c:v>2026</c:v>
                  </c:pt>
                </c:lvl>
              </c:multiLvlStrCache>
            </c:multiLvlStrRef>
          </c:cat>
          <c:val>
            <c:numRef>
              <c:f>'Trh práce 1-SNÚ'!$AK$52:$AK$74</c:f>
              <c:numCache>
                <c:formatCode>#\ ##0.0</c:formatCode>
                <c:ptCount val="23"/>
                <c:pt idx="0">
                  <c:v>-0.64940675037438211</c:v>
                </c:pt>
                <c:pt idx="1">
                  <c:v>1.0087722163324031</c:v>
                </c:pt>
                <c:pt idx="2">
                  <c:v>1.6835289977436929</c:v>
                </c:pt>
                <c:pt idx="3">
                  <c:v>1.9573629392160967</c:v>
                </c:pt>
                <c:pt idx="4">
                  <c:v>0.97567171112702056</c:v>
                </c:pt>
                <c:pt idx="5">
                  <c:v>1.4717308939280684</c:v>
                </c:pt>
                <c:pt idx="6">
                  <c:v>0.85034728895456624</c:v>
                </c:pt>
                <c:pt idx="7">
                  <c:v>0.78556279251830574</c:v>
                </c:pt>
                <c:pt idx="8">
                  <c:v>1.9097499610004576</c:v>
                </c:pt>
                <c:pt idx="9">
                  <c:v>1.5861185617767006</c:v>
                </c:pt>
                <c:pt idx="10">
                  <c:v>1.410694098076462</c:v>
                </c:pt>
                <c:pt idx="11">
                  <c:v>1.5023770832037968</c:v>
                </c:pt>
                <c:pt idx="12">
                  <c:v>0.48320494939450498</c:v>
                </c:pt>
                <c:pt idx="13">
                  <c:v>0.61728964581637058</c:v>
                </c:pt>
                <c:pt idx="14">
                  <c:v>0.65856020382891245</c:v>
                </c:pt>
                <c:pt idx="15">
                  <c:v>0.62068005120703162</c:v>
                </c:pt>
                <c:pt idx="16">
                  <c:v>1.3310825565165487</c:v>
                </c:pt>
                <c:pt idx="17">
                  <c:v>1.1806618594631004</c:v>
                </c:pt>
                <c:pt idx="18">
                  <c:v>1.3721676610547888</c:v>
                </c:pt>
                <c:pt idx="19">
                  <c:v>1.4206412658214447</c:v>
                </c:pt>
                <c:pt idx="20">
                  <c:v>1.0408421380627004</c:v>
                </c:pt>
                <c:pt idx="21">
                  <c:v>1.5053737714711559</c:v>
                </c:pt>
              </c:numCache>
            </c:numRef>
          </c:val>
          <c:smooth val="0"/>
          <c:extLst>
            <c:ext xmlns:c16="http://schemas.microsoft.com/office/drawing/2014/chart" uri="{C3380CC4-5D6E-409C-BE32-E72D297353CC}">
              <c16:uniqueId val="{00000008-B5A8-4691-8FBF-7D8E6289EA3C}"/>
            </c:ext>
          </c:extLst>
        </c:ser>
        <c:dLbls>
          <c:showLegendKey val="0"/>
          <c:showVal val="0"/>
          <c:showCatName val="0"/>
          <c:showSerName val="0"/>
          <c:showPercent val="0"/>
          <c:showBubbleSize val="0"/>
        </c:dLbls>
        <c:marker val="1"/>
        <c:smooth val="0"/>
        <c:axId val="101898496"/>
        <c:axId val="101781504"/>
      </c:lineChart>
      <c:lineChart>
        <c:grouping val="standard"/>
        <c:varyColors val="0"/>
        <c:ser>
          <c:idx val="9"/>
          <c:order val="9"/>
          <c:tx>
            <c:strRef>
              <c:f>'Trh práce 1-SNÚ'!$AL$7</c:f>
              <c:strCache>
                <c:ptCount val="1"/>
              </c:strCache>
            </c:strRef>
          </c:tx>
          <c:spPr>
            <a:ln>
              <a:noFill/>
            </a:ln>
          </c:spPr>
          <c:marker>
            <c:symbol val="none"/>
          </c:marker>
          <c:cat>
            <c:multiLvlStrRef>
              <c:f>'Trh práce 1-SNÚ'!$AA$52:$AB$74</c:f>
              <c:multiLvlStrCache>
                <c:ptCount val="23"/>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lvl>
                <c:lvl>
                  <c:pt idx="0">
                    <c:v>2021</c:v>
                  </c:pt>
                  <c:pt idx="4">
                    <c:v>2022</c:v>
                  </c:pt>
                  <c:pt idx="8">
                    <c:v>2023</c:v>
                  </c:pt>
                  <c:pt idx="12">
                    <c:v>2024</c:v>
                  </c:pt>
                  <c:pt idx="16">
                    <c:v>2025</c:v>
                  </c:pt>
                  <c:pt idx="20">
                    <c:v>2026</c:v>
                  </c:pt>
                </c:lvl>
              </c:multiLvlStrCache>
            </c:multiLvlStrRef>
          </c:cat>
          <c:val>
            <c:numRef>
              <c:f>'Trh práce 1-SNÚ'!$AL$52:$AL$74</c:f>
              <c:numCache>
                <c:formatCode>General</c:formatCode>
                <c:ptCount val="23"/>
              </c:numCache>
            </c:numRef>
          </c:val>
          <c:smooth val="0"/>
          <c:extLst>
            <c:ext xmlns:c16="http://schemas.microsoft.com/office/drawing/2014/chart" uri="{C3380CC4-5D6E-409C-BE32-E72D297353CC}">
              <c16:uniqueId val="{00000009-B5A8-4691-8FBF-7D8E6289EA3C}"/>
            </c:ext>
          </c:extLst>
        </c:ser>
        <c:ser>
          <c:idx val="10"/>
          <c:order val="10"/>
          <c:tx>
            <c:strRef>
              <c:f>'Trh práce 1-SNÚ'!$AM$7</c:f>
              <c:strCache>
                <c:ptCount val="1"/>
                <c:pt idx="0">
                  <c:v>Employment expectations (industry)</c:v>
                </c:pt>
              </c:strCache>
            </c:strRef>
          </c:tx>
          <c:spPr>
            <a:ln w="15875">
              <a:solidFill>
                <a:schemeClr val="tx1">
                  <a:lumMod val="95000"/>
                  <a:lumOff val="5000"/>
                </a:schemeClr>
              </a:solidFill>
              <a:prstDash val="sysDot"/>
            </a:ln>
          </c:spPr>
          <c:marker>
            <c:symbol val="none"/>
          </c:marker>
          <c:cat>
            <c:multiLvlStrRef>
              <c:f>'Trh práce 1-SNÚ'!$AA$52:$AB$74</c:f>
              <c:multiLvlStrCache>
                <c:ptCount val="23"/>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lvl>
                <c:lvl>
                  <c:pt idx="0">
                    <c:v>2021</c:v>
                  </c:pt>
                  <c:pt idx="4">
                    <c:v>2022</c:v>
                  </c:pt>
                  <c:pt idx="8">
                    <c:v>2023</c:v>
                  </c:pt>
                  <c:pt idx="12">
                    <c:v>2024</c:v>
                  </c:pt>
                  <c:pt idx="16">
                    <c:v>2025</c:v>
                  </c:pt>
                  <c:pt idx="20">
                    <c:v>2026</c:v>
                  </c:pt>
                </c:lvl>
              </c:multiLvlStrCache>
            </c:multiLvlStrRef>
          </c:cat>
          <c:val>
            <c:numRef>
              <c:f>'Trh práce 1-SNÚ'!$AM$52:$AM$74</c:f>
              <c:numCache>
                <c:formatCode>#\ ##0.0</c:formatCode>
                <c:ptCount val="23"/>
                <c:pt idx="0">
                  <c:v>2.3333333333333335</c:v>
                </c:pt>
                <c:pt idx="1">
                  <c:v>7.3</c:v>
                </c:pt>
                <c:pt idx="2">
                  <c:v>4.7333333333333334</c:v>
                </c:pt>
                <c:pt idx="3">
                  <c:v>2.4333333333333331</c:v>
                </c:pt>
                <c:pt idx="4">
                  <c:v>8.7666666666666675</c:v>
                </c:pt>
                <c:pt idx="5">
                  <c:v>6.333333333333333</c:v>
                </c:pt>
                <c:pt idx="6">
                  <c:v>1.7666666666666666</c:v>
                </c:pt>
                <c:pt idx="7">
                  <c:v>-7.3</c:v>
                </c:pt>
                <c:pt idx="8">
                  <c:v>-7</c:v>
                </c:pt>
                <c:pt idx="9">
                  <c:v>-4.8666666666666663</c:v>
                </c:pt>
                <c:pt idx="10">
                  <c:v>-6.1000000000000005</c:v>
                </c:pt>
                <c:pt idx="11">
                  <c:v>-10.100000000000001</c:v>
                </c:pt>
                <c:pt idx="12">
                  <c:v>-7.4333333333333327</c:v>
                </c:pt>
                <c:pt idx="13">
                  <c:v>-9.3666666666666671</c:v>
                </c:pt>
                <c:pt idx="14">
                  <c:v>-10.833333333333334</c:v>
                </c:pt>
                <c:pt idx="15">
                  <c:v>-13.6</c:v>
                </c:pt>
                <c:pt idx="16">
                  <c:v>-11.6</c:v>
                </c:pt>
                <c:pt idx="17">
                  <c:v>-10.700000000000001</c:v>
                </c:pt>
                <c:pt idx="18">
                  <c:v>-9.7666666666666657</c:v>
                </c:pt>
                <c:pt idx="19">
                  <c:v>-10.299999999999999</c:v>
                </c:pt>
                <c:pt idx="20">
                  <c:v>-3.3000000000000003</c:v>
                </c:pt>
                <c:pt idx="21">
                  <c:v>-1.1666666666666667</c:v>
                </c:pt>
                <c:pt idx="22">
                  <c:v>0.39999999999999991</c:v>
                </c:pt>
              </c:numCache>
            </c:numRef>
          </c:val>
          <c:smooth val="0"/>
          <c:extLst>
            <c:ext xmlns:c16="http://schemas.microsoft.com/office/drawing/2014/chart" uri="{C3380CC4-5D6E-409C-BE32-E72D297353CC}">
              <c16:uniqueId val="{0000000A-B5A8-4691-8FBF-7D8E6289EA3C}"/>
            </c:ext>
          </c:extLst>
        </c:ser>
        <c:ser>
          <c:idx val="11"/>
          <c:order val="11"/>
          <c:tx>
            <c:strRef>
              <c:f>'Trh práce 1-SNÚ'!$AN$7</c:f>
              <c:strCache>
                <c:ptCount val="1"/>
                <c:pt idx="0">
                  <c:v>Employment expectations (construction)</c:v>
                </c:pt>
              </c:strCache>
            </c:strRef>
          </c:tx>
          <c:spPr>
            <a:ln w="15875">
              <a:solidFill>
                <a:srgbClr val="009CB5"/>
              </a:solidFill>
              <a:prstDash val="sysDot"/>
            </a:ln>
          </c:spPr>
          <c:marker>
            <c:symbol val="none"/>
          </c:marker>
          <c:cat>
            <c:multiLvlStrRef>
              <c:f>'Trh práce 1-SNÚ'!$AA$52:$AB$74</c:f>
              <c:multiLvlStrCache>
                <c:ptCount val="23"/>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lvl>
                <c:lvl>
                  <c:pt idx="0">
                    <c:v>2021</c:v>
                  </c:pt>
                  <c:pt idx="4">
                    <c:v>2022</c:v>
                  </c:pt>
                  <c:pt idx="8">
                    <c:v>2023</c:v>
                  </c:pt>
                  <c:pt idx="12">
                    <c:v>2024</c:v>
                  </c:pt>
                  <c:pt idx="16">
                    <c:v>2025</c:v>
                  </c:pt>
                  <c:pt idx="20">
                    <c:v>2026</c:v>
                  </c:pt>
                </c:lvl>
              </c:multiLvlStrCache>
            </c:multiLvlStrRef>
          </c:cat>
          <c:val>
            <c:numRef>
              <c:f>'Trh práce 1-SNÚ'!$AN$52:$AN$74</c:f>
              <c:numCache>
                <c:formatCode>#\ ##0.0</c:formatCode>
                <c:ptCount val="23"/>
                <c:pt idx="0">
                  <c:v>0.70000000000000007</c:v>
                </c:pt>
                <c:pt idx="1">
                  <c:v>4.166666666666667</c:v>
                </c:pt>
                <c:pt idx="2">
                  <c:v>7.4000000000000012</c:v>
                </c:pt>
                <c:pt idx="3">
                  <c:v>7.3</c:v>
                </c:pt>
                <c:pt idx="4">
                  <c:v>11.566666666666668</c:v>
                </c:pt>
                <c:pt idx="5">
                  <c:v>6.8999999999999995</c:v>
                </c:pt>
                <c:pt idx="6">
                  <c:v>3.7666666666666671</c:v>
                </c:pt>
                <c:pt idx="7">
                  <c:v>-0.6333333333333333</c:v>
                </c:pt>
                <c:pt idx="8">
                  <c:v>-11.433333333333332</c:v>
                </c:pt>
                <c:pt idx="9">
                  <c:v>-12.533333333333333</c:v>
                </c:pt>
                <c:pt idx="10">
                  <c:v>-10.666666666666666</c:v>
                </c:pt>
                <c:pt idx="11">
                  <c:v>-4.5</c:v>
                </c:pt>
                <c:pt idx="12">
                  <c:v>0.6333333333333333</c:v>
                </c:pt>
                <c:pt idx="13">
                  <c:v>-8.1</c:v>
                </c:pt>
                <c:pt idx="14">
                  <c:v>-4.6000000000000005</c:v>
                </c:pt>
                <c:pt idx="15">
                  <c:v>5.5666666666666673</c:v>
                </c:pt>
                <c:pt idx="16">
                  <c:v>3.7666666666666671</c:v>
                </c:pt>
                <c:pt idx="17">
                  <c:v>6.666666666666667</c:v>
                </c:pt>
                <c:pt idx="18">
                  <c:v>11.299999999999999</c:v>
                </c:pt>
                <c:pt idx="19">
                  <c:v>4.4333333333333327</c:v>
                </c:pt>
                <c:pt idx="20">
                  <c:v>2.1333333333333333</c:v>
                </c:pt>
                <c:pt idx="21">
                  <c:v>5.2333333333333334</c:v>
                </c:pt>
                <c:pt idx="22">
                  <c:v>2.7</c:v>
                </c:pt>
              </c:numCache>
            </c:numRef>
          </c:val>
          <c:smooth val="0"/>
          <c:extLst>
            <c:ext xmlns:c16="http://schemas.microsoft.com/office/drawing/2014/chart" uri="{C3380CC4-5D6E-409C-BE32-E72D297353CC}">
              <c16:uniqueId val="{0000000B-B5A8-4691-8FBF-7D8E6289EA3C}"/>
            </c:ext>
          </c:extLst>
        </c:ser>
        <c:ser>
          <c:idx val="12"/>
          <c:order val="12"/>
          <c:tx>
            <c:strRef>
              <c:f>'Trh práce 1-SNÚ'!$AO$7</c:f>
              <c:strCache>
                <c:ptCount val="1"/>
                <c:pt idx="0">
                  <c:v>Employment expectations (trade)</c:v>
                </c:pt>
              </c:strCache>
            </c:strRef>
          </c:tx>
          <c:spPr>
            <a:ln w="15875">
              <a:solidFill>
                <a:srgbClr val="CC9610"/>
              </a:solidFill>
              <a:prstDash val="sysDot"/>
            </a:ln>
          </c:spPr>
          <c:marker>
            <c:symbol val="none"/>
          </c:marker>
          <c:cat>
            <c:multiLvlStrRef>
              <c:f>'Trh práce 1-SNÚ'!$AA$52:$AB$74</c:f>
              <c:multiLvlStrCache>
                <c:ptCount val="23"/>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lvl>
                <c:lvl>
                  <c:pt idx="0">
                    <c:v>2021</c:v>
                  </c:pt>
                  <c:pt idx="4">
                    <c:v>2022</c:v>
                  </c:pt>
                  <c:pt idx="8">
                    <c:v>2023</c:v>
                  </c:pt>
                  <c:pt idx="12">
                    <c:v>2024</c:v>
                  </c:pt>
                  <c:pt idx="16">
                    <c:v>2025</c:v>
                  </c:pt>
                  <c:pt idx="20">
                    <c:v>2026</c:v>
                  </c:pt>
                </c:lvl>
              </c:multiLvlStrCache>
            </c:multiLvlStrRef>
          </c:cat>
          <c:val>
            <c:numRef>
              <c:f>'Trh práce 1-SNÚ'!$AO$52:$AO$74</c:f>
              <c:numCache>
                <c:formatCode>#\ ##0.0</c:formatCode>
                <c:ptCount val="23"/>
                <c:pt idx="0">
                  <c:v>6.4333333333333336</c:v>
                </c:pt>
                <c:pt idx="1">
                  <c:v>9.2000000000000011</c:v>
                </c:pt>
                <c:pt idx="2">
                  <c:v>13.133333333333335</c:v>
                </c:pt>
                <c:pt idx="3">
                  <c:v>10.433333333333335</c:v>
                </c:pt>
                <c:pt idx="4">
                  <c:v>9.7666666666666657</c:v>
                </c:pt>
                <c:pt idx="5">
                  <c:v>4.2333333333333334</c:v>
                </c:pt>
                <c:pt idx="6">
                  <c:v>3.5</c:v>
                </c:pt>
                <c:pt idx="7">
                  <c:v>9.6666666666666661</c:v>
                </c:pt>
                <c:pt idx="8">
                  <c:v>9.1666666666666661</c:v>
                </c:pt>
                <c:pt idx="9">
                  <c:v>9</c:v>
                </c:pt>
                <c:pt idx="10">
                  <c:v>11.066666666666668</c:v>
                </c:pt>
                <c:pt idx="11">
                  <c:v>12.766666666666666</c:v>
                </c:pt>
                <c:pt idx="12">
                  <c:v>7.9000000000000012</c:v>
                </c:pt>
                <c:pt idx="13">
                  <c:v>10.133333333333333</c:v>
                </c:pt>
                <c:pt idx="14">
                  <c:v>4.166666666666667</c:v>
                </c:pt>
                <c:pt idx="15">
                  <c:v>9.7999999999999989</c:v>
                </c:pt>
                <c:pt idx="16">
                  <c:v>7.3999999999999995</c:v>
                </c:pt>
                <c:pt idx="17">
                  <c:v>6.9333333333333336</c:v>
                </c:pt>
                <c:pt idx="18">
                  <c:v>13</c:v>
                </c:pt>
                <c:pt idx="19">
                  <c:v>5.9333333333333336</c:v>
                </c:pt>
                <c:pt idx="20">
                  <c:v>12.666666666666666</c:v>
                </c:pt>
                <c:pt idx="21">
                  <c:v>11.933333333333332</c:v>
                </c:pt>
                <c:pt idx="22">
                  <c:v>6.65</c:v>
                </c:pt>
              </c:numCache>
            </c:numRef>
          </c:val>
          <c:smooth val="0"/>
          <c:extLst>
            <c:ext xmlns:c16="http://schemas.microsoft.com/office/drawing/2014/chart" uri="{C3380CC4-5D6E-409C-BE32-E72D297353CC}">
              <c16:uniqueId val="{0000000C-B5A8-4691-8FBF-7D8E6289EA3C}"/>
            </c:ext>
          </c:extLst>
        </c:ser>
        <c:ser>
          <c:idx val="13"/>
          <c:order val="13"/>
          <c:tx>
            <c:strRef>
              <c:f>'Trh práce 1-SNÚ'!$AP$7</c:f>
              <c:strCache>
                <c:ptCount val="1"/>
                <c:pt idx="0">
                  <c:v>Employment expectations (services)</c:v>
                </c:pt>
              </c:strCache>
            </c:strRef>
          </c:tx>
          <c:spPr>
            <a:ln w="15875">
              <a:solidFill>
                <a:srgbClr val="BC5B80"/>
              </a:solidFill>
              <a:prstDash val="sysDot"/>
            </a:ln>
          </c:spPr>
          <c:marker>
            <c:symbol val="none"/>
          </c:marker>
          <c:cat>
            <c:multiLvlStrRef>
              <c:f>'Trh práce 1-SNÚ'!$AA$52:$AB$74</c:f>
              <c:multiLvlStrCache>
                <c:ptCount val="23"/>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lvl>
                <c:lvl>
                  <c:pt idx="0">
                    <c:v>2021</c:v>
                  </c:pt>
                  <c:pt idx="4">
                    <c:v>2022</c:v>
                  </c:pt>
                  <c:pt idx="8">
                    <c:v>2023</c:v>
                  </c:pt>
                  <c:pt idx="12">
                    <c:v>2024</c:v>
                  </c:pt>
                  <c:pt idx="16">
                    <c:v>2025</c:v>
                  </c:pt>
                  <c:pt idx="20">
                    <c:v>2026</c:v>
                  </c:pt>
                </c:lvl>
              </c:multiLvlStrCache>
            </c:multiLvlStrRef>
          </c:cat>
          <c:val>
            <c:numRef>
              <c:f>'Trh práce 1-SNÚ'!$AP$52:$AP$74</c:f>
              <c:numCache>
                <c:formatCode>#\ ##0.0</c:formatCode>
                <c:ptCount val="23"/>
                <c:pt idx="0">
                  <c:v>-29.566666666666666</c:v>
                </c:pt>
                <c:pt idx="1">
                  <c:v>-24.233333333333331</c:v>
                </c:pt>
                <c:pt idx="2">
                  <c:v>-8.1666666666666661</c:v>
                </c:pt>
                <c:pt idx="3">
                  <c:v>-19.633333333333333</c:v>
                </c:pt>
                <c:pt idx="4">
                  <c:v>-9.9333333333333336</c:v>
                </c:pt>
                <c:pt idx="5">
                  <c:v>-6.3666666666666671</c:v>
                </c:pt>
                <c:pt idx="6">
                  <c:v>-5.9333333333333327</c:v>
                </c:pt>
                <c:pt idx="7">
                  <c:v>-8.0666666666666682</c:v>
                </c:pt>
                <c:pt idx="8">
                  <c:v>-11.199999999999998</c:v>
                </c:pt>
                <c:pt idx="9">
                  <c:v>-17.766666666666669</c:v>
                </c:pt>
                <c:pt idx="10">
                  <c:v>-10.299999999999999</c:v>
                </c:pt>
                <c:pt idx="11">
                  <c:v>-15.566666666666665</c:v>
                </c:pt>
                <c:pt idx="12">
                  <c:v>-23.933333333333334</c:v>
                </c:pt>
                <c:pt idx="13">
                  <c:v>-17.933333333333334</c:v>
                </c:pt>
                <c:pt idx="14">
                  <c:v>-13.366666666666667</c:v>
                </c:pt>
                <c:pt idx="15">
                  <c:v>-8</c:v>
                </c:pt>
                <c:pt idx="16">
                  <c:v>-12.200000000000001</c:v>
                </c:pt>
                <c:pt idx="17">
                  <c:v>-10.933333333333335</c:v>
                </c:pt>
                <c:pt idx="18">
                  <c:v>-14.699999999999998</c:v>
                </c:pt>
                <c:pt idx="19">
                  <c:v>-12.333333333333334</c:v>
                </c:pt>
                <c:pt idx="20">
                  <c:v>-14.033333333333333</c:v>
                </c:pt>
                <c:pt idx="21">
                  <c:v>-23.833333333333332</c:v>
                </c:pt>
                <c:pt idx="22">
                  <c:v>-12.25</c:v>
                </c:pt>
              </c:numCache>
            </c:numRef>
          </c:val>
          <c:smooth val="0"/>
          <c:extLst>
            <c:ext xmlns:c16="http://schemas.microsoft.com/office/drawing/2014/chart" uri="{C3380CC4-5D6E-409C-BE32-E72D297353CC}">
              <c16:uniqueId val="{0000000D-B5A8-4691-8FBF-7D8E6289EA3C}"/>
            </c:ext>
          </c:extLst>
        </c:ser>
        <c:dLbls>
          <c:showLegendKey val="0"/>
          <c:showVal val="0"/>
          <c:showCatName val="0"/>
          <c:showSerName val="0"/>
          <c:showPercent val="0"/>
          <c:showBubbleSize val="0"/>
        </c:dLbls>
        <c:marker val="1"/>
        <c:smooth val="0"/>
        <c:axId val="332941824"/>
        <c:axId val="332936832"/>
      </c:lineChart>
      <c:catAx>
        <c:axId val="101898496"/>
        <c:scaling>
          <c:orientation val="minMax"/>
        </c:scaling>
        <c:delete val="0"/>
        <c:axPos val="b"/>
        <c:numFmt formatCode="General" sourceLinked="1"/>
        <c:majorTickMark val="out"/>
        <c:minorTickMark val="none"/>
        <c:tickLblPos val="low"/>
        <c:spPr>
          <a:ln>
            <a:solidFill>
              <a:schemeClr val="tx1"/>
            </a:solidFill>
          </a:ln>
        </c:spPr>
        <c:crossAx val="101781504"/>
        <c:crosses val="autoZero"/>
        <c:auto val="1"/>
        <c:lblAlgn val="ctr"/>
        <c:lblOffset val="10"/>
        <c:noMultiLvlLbl val="0"/>
      </c:catAx>
      <c:valAx>
        <c:axId val="101781504"/>
        <c:scaling>
          <c:orientation val="minMax"/>
          <c:max val="2.5"/>
          <c:min val="-4.5"/>
        </c:scaling>
        <c:delete val="0"/>
        <c:axPos val="l"/>
        <c:majorGridlines>
          <c:spPr>
            <a:ln w="6350">
              <a:solidFill>
                <a:schemeClr val="bg1">
                  <a:lumMod val="75000"/>
                </a:schemeClr>
              </a:solidFill>
            </a:ln>
          </c:spPr>
        </c:majorGridlines>
        <c:title>
          <c:tx>
            <c:rich>
              <a:bodyPr/>
              <a:lstStyle/>
              <a:p>
                <a:pPr>
                  <a:defRPr sz="700" b="0" i="1"/>
                </a:pPr>
                <a:r>
                  <a:rPr lang="cs-CZ" sz="700" b="0" i="1"/>
                  <a:t>Contribution to the employment growth</a:t>
                </a:r>
              </a:p>
            </c:rich>
          </c:tx>
          <c:overlay val="0"/>
        </c:title>
        <c:numFmt formatCode="0.0" sourceLinked="0"/>
        <c:majorTickMark val="out"/>
        <c:minorTickMark val="none"/>
        <c:tickLblPos val="nextTo"/>
        <c:spPr>
          <a:ln>
            <a:solidFill>
              <a:schemeClr val="tx1"/>
            </a:solidFill>
          </a:ln>
        </c:spPr>
        <c:crossAx val="101898496"/>
        <c:crosses val="autoZero"/>
        <c:crossBetween val="between"/>
        <c:majorUnit val="0.5"/>
      </c:valAx>
      <c:valAx>
        <c:axId val="332936832"/>
        <c:scaling>
          <c:orientation val="minMax"/>
          <c:max val="100"/>
          <c:min val="-40"/>
        </c:scaling>
        <c:delete val="0"/>
        <c:axPos val="r"/>
        <c:title>
          <c:tx>
            <c:rich>
              <a:bodyPr/>
              <a:lstStyle/>
              <a:p>
                <a:pPr>
                  <a:defRPr sz="700" b="0" i="1"/>
                </a:pPr>
                <a:r>
                  <a:rPr lang="cs-CZ" sz="700" b="0" i="1"/>
                  <a:t>Expectations of the employment</a:t>
                </a:r>
              </a:p>
            </c:rich>
          </c:tx>
          <c:overlay val="0"/>
        </c:title>
        <c:numFmt formatCode="#,##0" sourceLinked="0"/>
        <c:majorTickMark val="out"/>
        <c:minorTickMark val="none"/>
        <c:tickLblPos val="nextTo"/>
        <c:crossAx val="332941824"/>
        <c:crosses val="max"/>
        <c:crossBetween val="between"/>
        <c:majorUnit val="10"/>
      </c:valAx>
      <c:catAx>
        <c:axId val="332941824"/>
        <c:scaling>
          <c:orientation val="minMax"/>
        </c:scaling>
        <c:delete val="1"/>
        <c:axPos val="b"/>
        <c:numFmt formatCode="General" sourceLinked="1"/>
        <c:majorTickMark val="out"/>
        <c:minorTickMark val="none"/>
        <c:tickLblPos val="nextTo"/>
        <c:crossAx val="332936832"/>
        <c:crosses val="autoZero"/>
        <c:auto val="1"/>
        <c:lblAlgn val="ctr"/>
        <c:lblOffset val="100"/>
        <c:noMultiLvlLbl val="0"/>
      </c:catAx>
      <c:spPr>
        <a:ln>
          <a:solidFill>
            <a:schemeClr val="tx1"/>
          </a:solidFill>
        </a:ln>
      </c:spPr>
    </c:plotArea>
    <c:legend>
      <c:legendPos val="b"/>
      <c:layout>
        <c:manualLayout>
          <c:xMode val="edge"/>
          <c:yMode val="edge"/>
          <c:x val="1.2822898706986479E-2"/>
          <c:y val="0.77650317447341888"/>
          <c:w val="0.973618996543687"/>
          <c:h val="0.21537108953613804"/>
        </c:manualLayout>
      </c:layout>
      <c:overlay val="0"/>
      <c:spPr>
        <a:ln w="6350">
          <a:solidFill>
            <a:schemeClr val="tx1"/>
          </a:solidFill>
        </a:ln>
      </c:spPr>
      <c:txPr>
        <a:bodyPr/>
        <a:lstStyle/>
        <a:p>
          <a:pPr>
            <a:defRPr sz="750"/>
          </a:pPr>
          <a:endParaRPr lang="cs-CZ"/>
        </a:p>
      </c:txPr>
    </c:legend>
    <c:plotVisOnly val="1"/>
    <c:dispBlanksAs val="gap"/>
    <c:showDLblsOverMax val="0"/>
  </c:chart>
  <c:spPr>
    <a:ln>
      <a:noFill/>
    </a:ln>
  </c:spPr>
  <c:txPr>
    <a:bodyPr/>
    <a:lstStyle/>
    <a:p>
      <a:pPr>
        <a:defRPr sz="800">
          <a:latin typeface="Arial" panose="020B0604020202020204" pitchFamily="34" charset="0"/>
          <a:cs typeface="Arial" panose="020B0604020202020204" pitchFamily="34" charset="0"/>
        </a:defRPr>
      </a:pPr>
      <a:endParaRPr lang="cs-CZ"/>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6036417007492182E-2"/>
          <c:y val="1.6081916099773243E-2"/>
          <c:w val="0.84656370352623134"/>
          <c:h val="0.77566448100228325"/>
        </c:manualLayout>
      </c:layout>
      <c:barChart>
        <c:barDir val="col"/>
        <c:grouping val="clustered"/>
        <c:varyColors val="0"/>
        <c:ser>
          <c:idx val="0"/>
          <c:order val="0"/>
          <c:tx>
            <c:strRef>
              <c:f>'Trh práce-2b'!$A$3</c:f>
              <c:strCache>
                <c:ptCount val="1"/>
                <c:pt idx="0">
                  <c:v>Male unemployment rate</c:v>
                </c:pt>
              </c:strCache>
            </c:strRef>
          </c:tx>
          <c:spPr>
            <a:solidFill>
              <a:srgbClr val="BBBBC0"/>
            </a:solidFill>
          </c:spPr>
          <c:invertIfNegative val="0"/>
          <c:cat>
            <c:multiLvlStrRef>
              <c:f>'Trh práce-2b'!$B$1:$X$2</c:f>
              <c:multiLvlStrCache>
                <c:ptCount val="23"/>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lvl>
                <c:lvl>
                  <c:pt idx="0">
                    <c:v>2021</c:v>
                  </c:pt>
                  <c:pt idx="4">
                    <c:v>2022</c:v>
                  </c:pt>
                  <c:pt idx="8">
                    <c:v>2023</c:v>
                  </c:pt>
                  <c:pt idx="12">
                    <c:v>2024</c:v>
                  </c:pt>
                  <c:pt idx="16">
                    <c:v>2025</c:v>
                  </c:pt>
                  <c:pt idx="20">
                    <c:v>2026</c:v>
                  </c:pt>
                </c:lvl>
              </c:multiLvlStrCache>
            </c:multiLvlStrRef>
          </c:cat>
          <c:val>
            <c:numRef>
              <c:f>'Trh práce-2b'!$B$3:$X$3</c:f>
              <c:numCache>
                <c:formatCode>0.0</c:formatCode>
                <c:ptCount val="23"/>
                <c:pt idx="0">
                  <c:v>2.6783883811398574</c:v>
                </c:pt>
                <c:pt idx="1">
                  <c:v>2.5536010071555162</c:v>
                </c:pt>
                <c:pt idx="2">
                  <c:v>2.259830822160243</c:v>
                </c:pt>
                <c:pt idx="3">
                  <c:v>1.9979657942438862</c:v>
                </c:pt>
                <c:pt idx="4">
                  <c:v>1.9744075739885485</c:v>
                </c:pt>
                <c:pt idx="5">
                  <c:v>1.9076349041299208</c:v>
                </c:pt>
                <c:pt idx="6">
                  <c:v>1.9343548779440736</c:v>
                </c:pt>
                <c:pt idx="7">
                  <c:v>2.081167309633035</c:v>
                </c:pt>
                <c:pt idx="8">
                  <c:v>2.194494023603375</c:v>
                </c:pt>
                <c:pt idx="9">
                  <c:v>2.2408151052019591</c:v>
                </c:pt>
                <c:pt idx="10">
                  <c:v>2.3202748783710629</c:v>
                </c:pt>
                <c:pt idx="11">
                  <c:v>2.4221829715582923</c:v>
                </c:pt>
                <c:pt idx="12">
                  <c:v>2.4005106212983693</c:v>
                </c:pt>
                <c:pt idx="13">
                  <c:v>2.3910452784841367</c:v>
                </c:pt>
                <c:pt idx="14">
                  <c:v>2.3330625466537587</c:v>
                </c:pt>
                <c:pt idx="15">
                  <c:v>2.3088180586422502</c:v>
                </c:pt>
                <c:pt idx="16">
                  <c:v>2.308675922296707</c:v>
                </c:pt>
                <c:pt idx="17">
                  <c:v>2.5584972066839788</c:v>
                </c:pt>
                <c:pt idx="18">
                  <c:v>2.7723553309098157</c:v>
                </c:pt>
                <c:pt idx="19">
                  <c:v>2.8567356387455889</c:v>
                </c:pt>
                <c:pt idx="20">
                  <c:v>2.7943031702918986</c:v>
                </c:pt>
                <c:pt idx="21">
                  <c:v>2.7523650947163372</c:v>
                </c:pt>
              </c:numCache>
            </c:numRef>
          </c:val>
          <c:extLst>
            <c:ext xmlns:c16="http://schemas.microsoft.com/office/drawing/2014/chart" uri="{C3380CC4-5D6E-409C-BE32-E72D297353CC}">
              <c16:uniqueId val="{00000000-955F-4E71-9D8B-94BA1AE898CF}"/>
            </c:ext>
          </c:extLst>
        </c:ser>
        <c:ser>
          <c:idx val="1"/>
          <c:order val="1"/>
          <c:tx>
            <c:strRef>
              <c:f>'Trh práce-2b'!$A$4</c:f>
              <c:strCache>
                <c:ptCount val="1"/>
                <c:pt idx="0">
                  <c:v>Female unemployment rate</c:v>
                </c:pt>
              </c:strCache>
            </c:strRef>
          </c:tx>
          <c:spPr>
            <a:solidFill>
              <a:schemeClr val="bg1">
                <a:lumMod val="95000"/>
              </a:schemeClr>
            </a:solidFill>
            <a:ln>
              <a:solidFill>
                <a:srgbClr val="BBBBC0"/>
              </a:solidFill>
            </a:ln>
          </c:spPr>
          <c:invertIfNegative val="0"/>
          <c:cat>
            <c:multiLvlStrRef>
              <c:f>'Trh práce-2b'!$B$1:$X$2</c:f>
              <c:multiLvlStrCache>
                <c:ptCount val="23"/>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lvl>
                <c:lvl>
                  <c:pt idx="0">
                    <c:v>2021</c:v>
                  </c:pt>
                  <c:pt idx="4">
                    <c:v>2022</c:v>
                  </c:pt>
                  <c:pt idx="8">
                    <c:v>2023</c:v>
                  </c:pt>
                  <c:pt idx="12">
                    <c:v>2024</c:v>
                  </c:pt>
                  <c:pt idx="16">
                    <c:v>2025</c:v>
                  </c:pt>
                  <c:pt idx="20">
                    <c:v>2026</c:v>
                  </c:pt>
                </c:lvl>
              </c:multiLvlStrCache>
            </c:multiLvlStrRef>
          </c:cat>
          <c:val>
            <c:numRef>
              <c:f>'Trh práce-2b'!$B$4:$X$4</c:f>
              <c:numCache>
                <c:formatCode>0.0</c:formatCode>
                <c:ptCount val="23"/>
                <c:pt idx="0">
                  <c:v>4.0898135319190461</c:v>
                </c:pt>
                <c:pt idx="1">
                  <c:v>3.8056507886598703</c:v>
                </c:pt>
                <c:pt idx="2">
                  <c:v>3.253665119752863</c:v>
                </c:pt>
                <c:pt idx="3">
                  <c:v>2.8630213212374502</c:v>
                </c:pt>
                <c:pt idx="4">
                  <c:v>2.9756982986395406</c:v>
                </c:pt>
                <c:pt idx="5">
                  <c:v>3.1163422185889567</c:v>
                </c:pt>
                <c:pt idx="6">
                  <c:v>2.9257386005498667</c:v>
                </c:pt>
                <c:pt idx="7">
                  <c:v>2.8359338864526875</c:v>
                </c:pt>
                <c:pt idx="8">
                  <c:v>3.0277784073550369</c:v>
                </c:pt>
                <c:pt idx="9">
                  <c:v>3.1756620476017883</c:v>
                </c:pt>
                <c:pt idx="10">
                  <c:v>3.2183040116876058</c:v>
                </c:pt>
                <c:pt idx="11">
                  <c:v>3.3028384544749176</c:v>
                </c:pt>
                <c:pt idx="12">
                  <c:v>3.4355601135176159</c:v>
                </c:pt>
                <c:pt idx="13">
                  <c:v>3.2794742063655913</c:v>
                </c:pt>
                <c:pt idx="14">
                  <c:v>3.2547007396736425</c:v>
                </c:pt>
                <c:pt idx="15">
                  <c:v>3.2758850020352237</c:v>
                </c:pt>
                <c:pt idx="16">
                  <c:v>3.2097726018627051</c:v>
                </c:pt>
                <c:pt idx="17">
                  <c:v>3.2879396462132924</c:v>
                </c:pt>
                <c:pt idx="18">
                  <c:v>3.4404273095221618</c:v>
                </c:pt>
                <c:pt idx="19">
                  <c:v>3.6678179507402962</c:v>
                </c:pt>
                <c:pt idx="20">
                  <c:v>3.779685991817376</c:v>
                </c:pt>
                <c:pt idx="21">
                  <c:v>3.7911034236656502</c:v>
                </c:pt>
              </c:numCache>
            </c:numRef>
          </c:val>
          <c:extLst>
            <c:ext xmlns:c16="http://schemas.microsoft.com/office/drawing/2014/chart" uri="{C3380CC4-5D6E-409C-BE32-E72D297353CC}">
              <c16:uniqueId val="{00000001-955F-4E71-9D8B-94BA1AE898CF}"/>
            </c:ext>
          </c:extLst>
        </c:ser>
        <c:dLbls>
          <c:showLegendKey val="0"/>
          <c:showVal val="0"/>
          <c:showCatName val="0"/>
          <c:showSerName val="0"/>
          <c:showPercent val="0"/>
          <c:showBubbleSize val="0"/>
        </c:dLbls>
        <c:gapWidth val="68"/>
        <c:axId val="100654464"/>
        <c:axId val="101647488"/>
      </c:barChart>
      <c:lineChart>
        <c:grouping val="standard"/>
        <c:varyColors val="0"/>
        <c:ser>
          <c:idx val="4"/>
          <c:order val="2"/>
          <c:tx>
            <c:strRef>
              <c:f>'Trh práce-2b'!$A$5</c:f>
              <c:strCache>
                <c:ptCount val="1"/>
                <c:pt idx="0">
                  <c:v>Vacancies for lower qualifications</c:v>
                </c:pt>
              </c:strCache>
            </c:strRef>
          </c:tx>
          <c:spPr>
            <a:ln w="15875">
              <a:solidFill>
                <a:srgbClr val="BC5B80"/>
              </a:solidFill>
              <a:prstDash val="solid"/>
            </a:ln>
          </c:spPr>
          <c:marker>
            <c:symbol val="none"/>
          </c:marker>
          <c:cat>
            <c:multiLvlStrRef>
              <c:f>'Trh práce-2b'!$B$1:$X$2</c:f>
              <c:multiLvlStrCache>
                <c:ptCount val="23"/>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lvl>
                <c:lvl>
                  <c:pt idx="0">
                    <c:v>2021</c:v>
                  </c:pt>
                  <c:pt idx="4">
                    <c:v>2022</c:v>
                  </c:pt>
                  <c:pt idx="8">
                    <c:v>2023</c:v>
                  </c:pt>
                  <c:pt idx="12">
                    <c:v>2024</c:v>
                  </c:pt>
                  <c:pt idx="16">
                    <c:v>2025</c:v>
                  </c:pt>
                  <c:pt idx="20">
                    <c:v>2026</c:v>
                  </c:pt>
                </c:lvl>
              </c:multiLvlStrCache>
            </c:multiLvlStrRef>
          </c:cat>
          <c:val>
            <c:numRef>
              <c:f>'Trh práce-2b'!$B$5:$X$5</c:f>
              <c:numCache>
                <c:formatCode>0.0</c:formatCode>
                <c:ptCount val="23"/>
                <c:pt idx="0">
                  <c:v>21.22</c:v>
                </c:pt>
                <c:pt idx="1">
                  <c:v>28</c:v>
                </c:pt>
                <c:pt idx="2">
                  <c:v>28.465</c:v>
                </c:pt>
                <c:pt idx="3">
                  <c:v>22.591000000000001</c:v>
                </c:pt>
                <c:pt idx="4">
                  <c:v>26.402999999999999</c:v>
                </c:pt>
                <c:pt idx="5">
                  <c:v>24.98</c:v>
                </c:pt>
                <c:pt idx="6">
                  <c:v>20.081</c:v>
                </c:pt>
                <c:pt idx="7">
                  <c:v>16.219000000000001</c:v>
                </c:pt>
                <c:pt idx="8">
                  <c:v>18.276</c:v>
                </c:pt>
                <c:pt idx="9">
                  <c:v>19.419</c:v>
                </c:pt>
                <c:pt idx="10">
                  <c:v>17.792000000000002</c:v>
                </c:pt>
                <c:pt idx="11">
                  <c:v>14.455</c:v>
                </c:pt>
                <c:pt idx="12">
                  <c:v>14.478</c:v>
                </c:pt>
                <c:pt idx="13">
                  <c:v>15.478</c:v>
                </c:pt>
                <c:pt idx="14">
                  <c:v>15.435</c:v>
                </c:pt>
                <c:pt idx="15">
                  <c:v>14.093</c:v>
                </c:pt>
                <c:pt idx="16">
                  <c:v>12.814</c:v>
                </c:pt>
                <c:pt idx="17">
                  <c:v>14.827999999999999</c:v>
                </c:pt>
                <c:pt idx="18">
                  <c:v>13.662000000000001</c:v>
                </c:pt>
                <c:pt idx="19">
                  <c:v>11.477</c:v>
                </c:pt>
                <c:pt idx="20">
                  <c:v>12.683999999999999</c:v>
                </c:pt>
                <c:pt idx="21">
                  <c:v>14.701000000000001</c:v>
                </c:pt>
              </c:numCache>
            </c:numRef>
          </c:val>
          <c:smooth val="0"/>
          <c:extLst>
            <c:ext xmlns:c16="http://schemas.microsoft.com/office/drawing/2014/chart" uri="{C3380CC4-5D6E-409C-BE32-E72D297353CC}">
              <c16:uniqueId val="{00000002-955F-4E71-9D8B-94BA1AE898CF}"/>
            </c:ext>
          </c:extLst>
        </c:ser>
        <c:ser>
          <c:idx val="5"/>
          <c:order val="3"/>
          <c:tx>
            <c:strRef>
              <c:f>'Trh práce-2b'!$A$6</c:f>
              <c:strCache>
                <c:ptCount val="1"/>
                <c:pt idx="0">
                  <c:v>Vacancies for higher qualifications</c:v>
                </c:pt>
              </c:strCache>
            </c:strRef>
          </c:tx>
          <c:spPr>
            <a:ln w="15875">
              <a:solidFill>
                <a:srgbClr val="009CB5"/>
              </a:solidFill>
              <a:prstDash val="solid"/>
            </a:ln>
          </c:spPr>
          <c:marker>
            <c:symbol val="none"/>
          </c:marker>
          <c:cat>
            <c:multiLvlStrRef>
              <c:f>'Trh práce-2b'!$B$1:$X$2</c:f>
              <c:multiLvlStrCache>
                <c:ptCount val="23"/>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lvl>
                <c:lvl>
                  <c:pt idx="0">
                    <c:v>2021</c:v>
                  </c:pt>
                  <c:pt idx="4">
                    <c:v>2022</c:v>
                  </c:pt>
                  <c:pt idx="8">
                    <c:v>2023</c:v>
                  </c:pt>
                  <c:pt idx="12">
                    <c:v>2024</c:v>
                  </c:pt>
                  <c:pt idx="16">
                    <c:v>2025</c:v>
                  </c:pt>
                  <c:pt idx="20">
                    <c:v>2026</c:v>
                  </c:pt>
                </c:lvl>
              </c:multiLvlStrCache>
            </c:multiLvlStrRef>
          </c:cat>
          <c:val>
            <c:numRef>
              <c:f>'Trh práce-2b'!$B$6:$X$6</c:f>
              <c:numCache>
                <c:formatCode>0.0</c:formatCode>
                <c:ptCount val="23"/>
                <c:pt idx="0">
                  <c:v>16.512</c:v>
                </c:pt>
                <c:pt idx="1">
                  <c:v>19.815999999999999</c:v>
                </c:pt>
                <c:pt idx="2">
                  <c:v>19.486999999999998</c:v>
                </c:pt>
                <c:pt idx="3">
                  <c:v>18.061</c:v>
                </c:pt>
                <c:pt idx="4">
                  <c:v>21.087</c:v>
                </c:pt>
                <c:pt idx="5">
                  <c:v>21.347999999999999</c:v>
                </c:pt>
                <c:pt idx="6">
                  <c:v>18.567</c:v>
                </c:pt>
                <c:pt idx="7">
                  <c:v>16.672999999999998</c:v>
                </c:pt>
                <c:pt idx="8">
                  <c:v>18.158000000000001</c:v>
                </c:pt>
                <c:pt idx="9">
                  <c:v>18.765000000000001</c:v>
                </c:pt>
                <c:pt idx="10">
                  <c:v>17.125</c:v>
                </c:pt>
                <c:pt idx="11">
                  <c:v>15.332000000000001</c:v>
                </c:pt>
                <c:pt idx="12">
                  <c:v>16.600000000000001</c:v>
                </c:pt>
                <c:pt idx="13">
                  <c:v>15.853999999999999</c:v>
                </c:pt>
                <c:pt idx="14">
                  <c:v>14.837999999999999</c:v>
                </c:pt>
                <c:pt idx="15">
                  <c:v>13.59</c:v>
                </c:pt>
                <c:pt idx="16">
                  <c:v>10.319000000000001</c:v>
                </c:pt>
                <c:pt idx="17">
                  <c:v>11.635</c:v>
                </c:pt>
                <c:pt idx="18">
                  <c:v>11.321999999999999</c:v>
                </c:pt>
                <c:pt idx="19">
                  <c:v>9.5069999999999997</c:v>
                </c:pt>
                <c:pt idx="20">
                  <c:v>10.015000000000001</c:v>
                </c:pt>
                <c:pt idx="21">
                  <c:v>11.193</c:v>
                </c:pt>
              </c:numCache>
            </c:numRef>
          </c:val>
          <c:smooth val="0"/>
          <c:extLst>
            <c:ext xmlns:c16="http://schemas.microsoft.com/office/drawing/2014/chart" uri="{C3380CC4-5D6E-409C-BE32-E72D297353CC}">
              <c16:uniqueId val="{00000003-955F-4E71-9D8B-94BA1AE898CF}"/>
            </c:ext>
          </c:extLst>
        </c:ser>
        <c:ser>
          <c:idx val="6"/>
          <c:order val="4"/>
          <c:tx>
            <c:strRef>
              <c:f>'Trh práce-2b'!$A$7</c:f>
              <c:strCache>
                <c:ptCount val="1"/>
                <c:pt idx="0">
                  <c:v>Unemployment expectations</c:v>
                </c:pt>
              </c:strCache>
            </c:strRef>
          </c:tx>
          <c:spPr>
            <a:ln w="15875">
              <a:noFill/>
              <a:prstDash val="sysDash"/>
            </a:ln>
          </c:spPr>
          <c:marker>
            <c:symbol val="circle"/>
            <c:size val="4"/>
            <c:spPr>
              <a:solidFill>
                <a:srgbClr val="CC9610"/>
              </a:solidFill>
              <a:ln>
                <a:solidFill>
                  <a:srgbClr val="CC9610"/>
                </a:solidFill>
              </a:ln>
            </c:spPr>
          </c:marker>
          <c:cat>
            <c:multiLvlStrRef>
              <c:f>'Trh práce-2b'!$B$1:$X$2</c:f>
              <c:multiLvlStrCache>
                <c:ptCount val="23"/>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lvl>
                <c:lvl>
                  <c:pt idx="0">
                    <c:v>2021</c:v>
                  </c:pt>
                  <c:pt idx="4">
                    <c:v>2022</c:v>
                  </c:pt>
                  <c:pt idx="8">
                    <c:v>2023</c:v>
                  </c:pt>
                  <c:pt idx="12">
                    <c:v>2024</c:v>
                  </c:pt>
                  <c:pt idx="16">
                    <c:v>2025</c:v>
                  </c:pt>
                  <c:pt idx="20">
                    <c:v>2026</c:v>
                  </c:pt>
                </c:lvl>
              </c:multiLvlStrCache>
            </c:multiLvlStrRef>
          </c:cat>
          <c:val>
            <c:numRef>
              <c:f>'Trh práce-2b'!$B$7:$X$7</c:f>
              <c:numCache>
                <c:formatCode>0.0</c:formatCode>
                <c:ptCount val="23"/>
                <c:pt idx="0">
                  <c:v>57</c:v>
                </c:pt>
                <c:pt idx="1">
                  <c:v>28.666666666666668</c:v>
                </c:pt>
                <c:pt idx="2">
                  <c:v>15.666666666666666</c:v>
                </c:pt>
                <c:pt idx="3">
                  <c:v>17.333333333333332</c:v>
                </c:pt>
                <c:pt idx="4">
                  <c:v>15.666666666666666</c:v>
                </c:pt>
                <c:pt idx="5">
                  <c:v>20.333333333333332</c:v>
                </c:pt>
                <c:pt idx="6">
                  <c:v>29</c:v>
                </c:pt>
                <c:pt idx="7">
                  <c:v>40.333333333333336</c:v>
                </c:pt>
                <c:pt idx="8">
                  <c:v>34.666666666666664</c:v>
                </c:pt>
                <c:pt idx="9">
                  <c:v>28.666666666666668</c:v>
                </c:pt>
                <c:pt idx="10">
                  <c:v>25.333333333333332</c:v>
                </c:pt>
                <c:pt idx="11">
                  <c:v>21</c:v>
                </c:pt>
                <c:pt idx="12">
                  <c:v>23</c:v>
                </c:pt>
                <c:pt idx="13">
                  <c:v>20.333333333333332</c:v>
                </c:pt>
                <c:pt idx="14">
                  <c:v>23.666666666666668</c:v>
                </c:pt>
                <c:pt idx="15">
                  <c:v>21.333333333333332</c:v>
                </c:pt>
                <c:pt idx="16">
                  <c:v>29.333333333333332</c:v>
                </c:pt>
                <c:pt idx="17">
                  <c:v>28.666666666666668</c:v>
                </c:pt>
                <c:pt idx="18">
                  <c:v>25.666666666666668</c:v>
                </c:pt>
                <c:pt idx="19">
                  <c:v>15.666666666666666</c:v>
                </c:pt>
                <c:pt idx="20">
                  <c:v>17</c:v>
                </c:pt>
                <c:pt idx="21">
                  <c:v>21</c:v>
                </c:pt>
                <c:pt idx="22">
                  <c:v>22.5</c:v>
                </c:pt>
              </c:numCache>
            </c:numRef>
          </c:val>
          <c:smooth val="0"/>
          <c:extLst>
            <c:ext xmlns:c16="http://schemas.microsoft.com/office/drawing/2014/chart" uri="{C3380CC4-5D6E-409C-BE32-E72D297353CC}">
              <c16:uniqueId val="{00000004-955F-4E71-9D8B-94BA1AE898CF}"/>
            </c:ext>
          </c:extLst>
        </c:ser>
        <c:dLbls>
          <c:showLegendKey val="0"/>
          <c:showVal val="0"/>
          <c:showCatName val="0"/>
          <c:showSerName val="0"/>
          <c:showPercent val="0"/>
          <c:showBubbleSize val="0"/>
        </c:dLbls>
        <c:marker val="1"/>
        <c:smooth val="0"/>
        <c:axId val="331670576"/>
        <c:axId val="323971328"/>
      </c:lineChart>
      <c:catAx>
        <c:axId val="100654464"/>
        <c:scaling>
          <c:orientation val="minMax"/>
        </c:scaling>
        <c:delete val="0"/>
        <c:axPos val="b"/>
        <c:numFmt formatCode="General" sourceLinked="0"/>
        <c:majorTickMark val="out"/>
        <c:minorTickMark val="none"/>
        <c:tickLblPos val="low"/>
        <c:spPr>
          <a:ln>
            <a:solidFill>
              <a:schemeClr val="tx1"/>
            </a:solidFill>
          </a:ln>
        </c:spPr>
        <c:crossAx val="101647488"/>
        <c:crossesAt val="-50"/>
        <c:auto val="1"/>
        <c:lblAlgn val="ctr"/>
        <c:lblOffset val="0"/>
        <c:noMultiLvlLbl val="0"/>
      </c:catAx>
      <c:valAx>
        <c:axId val="101647488"/>
        <c:scaling>
          <c:orientation val="minMax"/>
          <c:max val="5"/>
          <c:min val="0"/>
        </c:scaling>
        <c:delete val="0"/>
        <c:axPos val="l"/>
        <c:majorGridlines>
          <c:spPr>
            <a:ln w="6350">
              <a:solidFill>
                <a:schemeClr val="bg1">
                  <a:lumMod val="75000"/>
                </a:schemeClr>
              </a:solidFill>
            </a:ln>
          </c:spPr>
        </c:majorGridlines>
        <c:title>
          <c:tx>
            <c:rich>
              <a:bodyPr/>
              <a:lstStyle/>
              <a:p>
                <a:pPr>
                  <a:defRPr sz="700" b="0" i="1"/>
                </a:pPr>
                <a:r>
                  <a:rPr lang="cs-CZ" sz="700" b="0" i="1"/>
                  <a:t>Unemployment rate</a:t>
                </a:r>
              </a:p>
            </c:rich>
          </c:tx>
          <c:overlay val="0"/>
        </c:title>
        <c:numFmt formatCode="0.0" sourceLinked="0"/>
        <c:majorTickMark val="out"/>
        <c:minorTickMark val="none"/>
        <c:tickLblPos val="nextTo"/>
        <c:spPr>
          <a:ln>
            <a:solidFill>
              <a:schemeClr val="tx1"/>
            </a:solidFill>
          </a:ln>
        </c:spPr>
        <c:crossAx val="100654464"/>
        <c:crosses val="autoZero"/>
        <c:crossBetween val="between"/>
        <c:majorUnit val="0.5"/>
      </c:valAx>
      <c:valAx>
        <c:axId val="323971328"/>
        <c:scaling>
          <c:orientation val="minMax"/>
          <c:max val="90"/>
          <c:min val="-10"/>
        </c:scaling>
        <c:delete val="0"/>
        <c:axPos val="r"/>
        <c:title>
          <c:tx>
            <c:rich>
              <a:bodyPr/>
              <a:lstStyle/>
              <a:p>
                <a:pPr>
                  <a:defRPr sz="700" b="0" i="1"/>
                </a:pPr>
                <a:r>
                  <a:rPr lang="cs-CZ" sz="700" b="0" i="1" baseline="0"/>
                  <a:t>Job vacancies, unemployment expectations</a:t>
                </a:r>
                <a:endParaRPr lang="cs-CZ" sz="700" b="0" i="1"/>
              </a:p>
            </c:rich>
          </c:tx>
          <c:overlay val="0"/>
        </c:title>
        <c:numFmt formatCode="#,##0" sourceLinked="0"/>
        <c:majorTickMark val="out"/>
        <c:minorTickMark val="none"/>
        <c:tickLblPos val="nextTo"/>
        <c:crossAx val="331670576"/>
        <c:crosses val="max"/>
        <c:crossBetween val="between"/>
        <c:majorUnit val="10"/>
      </c:valAx>
      <c:catAx>
        <c:axId val="331670576"/>
        <c:scaling>
          <c:orientation val="minMax"/>
        </c:scaling>
        <c:delete val="1"/>
        <c:axPos val="b"/>
        <c:numFmt formatCode="General" sourceLinked="1"/>
        <c:majorTickMark val="out"/>
        <c:minorTickMark val="none"/>
        <c:tickLblPos val="nextTo"/>
        <c:crossAx val="323971328"/>
        <c:crosses val="autoZero"/>
        <c:auto val="1"/>
        <c:lblAlgn val="ctr"/>
        <c:lblOffset val="100"/>
        <c:noMultiLvlLbl val="0"/>
      </c:catAx>
      <c:spPr>
        <a:ln>
          <a:solidFill>
            <a:schemeClr val="tx1"/>
          </a:solidFill>
        </a:ln>
      </c:spPr>
    </c:plotArea>
    <c:legend>
      <c:legendPos val="b"/>
      <c:layout>
        <c:manualLayout>
          <c:xMode val="edge"/>
          <c:yMode val="edge"/>
          <c:x val="7.2323130460832843E-2"/>
          <c:y val="0.88507093775279932"/>
          <c:w val="0.84458621047248839"/>
          <c:h val="0.11132549647630853"/>
        </c:manualLayout>
      </c:layout>
      <c:overlay val="0"/>
      <c:spPr>
        <a:ln w="6350">
          <a:solidFill>
            <a:schemeClr val="tx1"/>
          </a:solidFill>
        </a:ln>
      </c:spPr>
      <c:txPr>
        <a:bodyPr/>
        <a:lstStyle/>
        <a:p>
          <a:pPr>
            <a:defRPr sz="770"/>
          </a:pPr>
          <a:endParaRPr lang="cs-CZ"/>
        </a:p>
      </c:txPr>
    </c:legend>
    <c:plotVisOnly val="1"/>
    <c:dispBlanksAs val="gap"/>
    <c:showDLblsOverMax val="0"/>
  </c:chart>
  <c:spPr>
    <a:ln>
      <a:noFill/>
    </a:ln>
  </c:spPr>
  <c:txPr>
    <a:bodyPr/>
    <a:lstStyle/>
    <a:p>
      <a:pPr>
        <a:defRPr sz="800">
          <a:latin typeface="Arial" panose="020B0604020202020204" pitchFamily="34" charset="0"/>
          <a:cs typeface="Arial" panose="020B0604020202020204" pitchFamily="34" charset="0"/>
        </a:defRPr>
      </a:pPr>
      <a:endParaRPr lang="cs-CZ"/>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857959249939119E-2"/>
          <c:y val="1.6330737879601123E-2"/>
          <c:w val="0.91492556213978382"/>
          <c:h val="0.77371166457119966"/>
        </c:manualLayout>
      </c:layout>
      <c:barChart>
        <c:barDir val="col"/>
        <c:grouping val="clustered"/>
        <c:varyColors val="0"/>
        <c:ser>
          <c:idx val="1"/>
          <c:order val="1"/>
          <c:tx>
            <c:strRef>
              <c:f>'Trh práce 3'!$Z$113</c:f>
              <c:strCache>
                <c:ptCount val="1"/>
                <c:pt idx="0">
                  <c:v>Total average wage (real)</c:v>
                </c:pt>
              </c:strCache>
            </c:strRef>
          </c:tx>
          <c:spPr>
            <a:solidFill>
              <a:srgbClr val="D7D9DB"/>
            </a:solidFill>
            <a:ln>
              <a:noFill/>
            </a:ln>
            <a:effectLst/>
          </c:spPr>
          <c:invertIfNegative val="0"/>
          <c:cat>
            <c:multiLvlStrRef>
              <c:f>'Trh práce 3'!$W$114:$X$135</c:f>
              <c:multiLvlStrCache>
                <c:ptCount val="22"/>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lvl>
                <c:lvl>
                  <c:pt idx="0">
                    <c:v>2021</c:v>
                  </c:pt>
                  <c:pt idx="4">
                    <c:v>2022</c:v>
                  </c:pt>
                  <c:pt idx="8">
                    <c:v>2023</c:v>
                  </c:pt>
                  <c:pt idx="12">
                    <c:v>2024</c:v>
                  </c:pt>
                  <c:pt idx="16">
                    <c:v>2025</c:v>
                  </c:pt>
                  <c:pt idx="20">
                    <c:v>2026</c:v>
                  </c:pt>
                </c:lvl>
              </c:multiLvlStrCache>
            </c:multiLvlStrRef>
          </c:cat>
          <c:val>
            <c:numRef>
              <c:f>'Trh práce 3'!$Z$114:$Z$135</c:f>
              <c:numCache>
                <c:formatCode>#\ ##0.0</c:formatCode>
                <c:ptCount val="22"/>
                <c:pt idx="0">
                  <c:v>0.79999999999999716</c:v>
                </c:pt>
                <c:pt idx="1">
                  <c:v>8.0999999999999943</c:v>
                </c:pt>
                <c:pt idx="2">
                  <c:v>1.2000000000000028</c:v>
                </c:pt>
                <c:pt idx="3">
                  <c:v>-2.0999999999999943</c:v>
                </c:pt>
                <c:pt idx="4">
                  <c:v>-5.2999999999999972</c:v>
                </c:pt>
                <c:pt idx="5">
                  <c:v>-11.5</c:v>
                </c:pt>
                <c:pt idx="6">
                  <c:v>-11.599999999999994</c:v>
                </c:pt>
                <c:pt idx="7">
                  <c:v>-8.7000000000000028</c:v>
                </c:pt>
                <c:pt idx="8">
                  <c:v>-7</c:v>
                </c:pt>
                <c:pt idx="9">
                  <c:v>-3.0999999999999943</c:v>
                </c:pt>
                <c:pt idx="10">
                  <c:v>-1.0999999999999943</c:v>
                </c:pt>
                <c:pt idx="11">
                  <c:v>-1.2999999999999972</c:v>
                </c:pt>
                <c:pt idx="12">
                  <c:v>5.0999999999999943</c:v>
                </c:pt>
                <c:pt idx="13">
                  <c:v>4</c:v>
                </c:pt>
                <c:pt idx="14">
                  <c:v>4.0999999999999943</c:v>
                </c:pt>
                <c:pt idx="15">
                  <c:v>3.2000000000000028</c:v>
                </c:pt>
                <c:pt idx="16">
                  <c:v>3.4000000000000057</c:v>
                </c:pt>
                <c:pt idx="17">
                  <c:v>4.7000000000000028</c:v>
                </c:pt>
                <c:pt idx="18">
                  <c:v>3.9000000000000057</c:v>
                </c:pt>
                <c:pt idx="19">
                  <c:v>4.4000000000000057</c:v>
                </c:pt>
                <c:pt idx="20">
                  <c:v>4.4000000000000057</c:v>
                </c:pt>
                <c:pt idx="21">
                  <c:v>4.2999999999999972</c:v>
                </c:pt>
              </c:numCache>
            </c:numRef>
          </c:val>
          <c:extLst>
            <c:ext xmlns:c16="http://schemas.microsoft.com/office/drawing/2014/chart" uri="{C3380CC4-5D6E-409C-BE32-E72D297353CC}">
              <c16:uniqueId val="{00000000-A627-444F-B30E-DAE3BEAA2219}"/>
            </c:ext>
          </c:extLst>
        </c:ser>
        <c:dLbls>
          <c:showLegendKey val="0"/>
          <c:showVal val="0"/>
          <c:showCatName val="0"/>
          <c:showSerName val="0"/>
          <c:showPercent val="0"/>
          <c:showBubbleSize val="0"/>
        </c:dLbls>
        <c:gapWidth val="50"/>
        <c:axId val="850416976"/>
        <c:axId val="627665280"/>
      </c:barChart>
      <c:lineChart>
        <c:grouping val="standard"/>
        <c:varyColors val="0"/>
        <c:ser>
          <c:idx val="0"/>
          <c:order val="0"/>
          <c:tx>
            <c:strRef>
              <c:f>'Trh práce 3'!$Y$113</c:f>
              <c:strCache>
                <c:ptCount val="1"/>
                <c:pt idx="0">
                  <c:v>Total average wage (nominal)</c:v>
                </c:pt>
              </c:strCache>
            </c:strRef>
          </c:tx>
          <c:spPr>
            <a:ln w="19050" cap="rnd">
              <a:solidFill>
                <a:srgbClr val="8390A7"/>
              </a:solidFill>
              <a:round/>
            </a:ln>
            <a:effectLst/>
          </c:spPr>
          <c:marker>
            <c:symbol val="none"/>
          </c:marker>
          <c:cat>
            <c:multiLvlStrRef>
              <c:f>'Trh práce 3'!$W$114:$X$135</c:f>
              <c:multiLvlStrCache>
                <c:ptCount val="22"/>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lvl>
                <c:lvl>
                  <c:pt idx="0">
                    <c:v>2021</c:v>
                  </c:pt>
                  <c:pt idx="4">
                    <c:v>2022</c:v>
                  </c:pt>
                  <c:pt idx="8">
                    <c:v>2023</c:v>
                  </c:pt>
                  <c:pt idx="12">
                    <c:v>2024</c:v>
                  </c:pt>
                  <c:pt idx="16">
                    <c:v>2025</c:v>
                  </c:pt>
                  <c:pt idx="20">
                    <c:v>2026</c:v>
                  </c:pt>
                </c:lvl>
              </c:multiLvlStrCache>
            </c:multiLvlStrRef>
          </c:cat>
          <c:val>
            <c:numRef>
              <c:f>'Trh práce 3'!$Y$114:$Y$135</c:f>
              <c:numCache>
                <c:formatCode>#\ ##0.0</c:formatCode>
                <c:ptCount val="22"/>
                <c:pt idx="0">
                  <c:v>3.0004890538246798</c:v>
                </c:pt>
                <c:pt idx="1">
                  <c:v>11.168458781362006</c:v>
                </c:pt>
                <c:pt idx="2">
                  <c:v>5.3398193189715215</c:v>
                </c:pt>
                <c:pt idx="3">
                  <c:v>3.8601248337255782</c:v>
                </c:pt>
                <c:pt idx="4">
                  <c:v>5.2703608535359194</c:v>
                </c:pt>
                <c:pt idx="5">
                  <c:v>2.4658240907918554</c:v>
                </c:pt>
                <c:pt idx="6">
                  <c:v>3.9318133839983034</c:v>
                </c:pt>
                <c:pt idx="7">
                  <c:v>5.6082362503386634</c:v>
                </c:pt>
                <c:pt idx="8">
                  <c:v>8.2513066779867899</c:v>
                </c:pt>
                <c:pt idx="9">
                  <c:v>7.6725570155565634</c:v>
                </c:pt>
                <c:pt idx="10">
                  <c:v>6.8171431473112278</c:v>
                </c:pt>
                <c:pt idx="11">
                  <c:v>6.1896543682074707</c:v>
                </c:pt>
                <c:pt idx="12">
                  <c:v>7.303742555329535</c:v>
                </c:pt>
                <c:pt idx="13">
                  <c:v>6.5834385374292879</c:v>
                </c:pt>
                <c:pt idx="14">
                  <c:v>6.510422856599547</c:v>
                </c:pt>
                <c:pt idx="15">
                  <c:v>6.1890538522357872</c:v>
                </c:pt>
                <c:pt idx="16">
                  <c:v>6.1944679198739294</c:v>
                </c:pt>
                <c:pt idx="17">
                  <c:v>7.1726255757841528</c:v>
                </c:pt>
                <c:pt idx="18">
                  <c:v>6.4873912073198028</c:v>
                </c:pt>
                <c:pt idx="19">
                  <c:v>6.6804550155118818</c:v>
                </c:pt>
                <c:pt idx="20">
                  <c:v>6.097692125696355</c:v>
                </c:pt>
                <c:pt idx="21">
                  <c:v>6.3569381907490765</c:v>
                </c:pt>
              </c:numCache>
            </c:numRef>
          </c:val>
          <c:smooth val="0"/>
          <c:extLst>
            <c:ext xmlns:c16="http://schemas.microsoft.com/office/drawing/2014/chart" uri="{C3380CC4-5D6E-409C-BE32-E72D297353CC}">
              <c16:uniqueId val="{00000001-A627-444F-B30E-DAE3BEAA2219}"/>
            </c:ext>
          </c:extLst>
        </c:ser>
        <c:ser>
          <c:idx val="2"/>
          <c:order val="2"/>
          <c:tx>
            <c:strRef>
              <c:f>'Trh práce 3'!$AA$113</c:f>
              <c:strCache>
                <c:ptCount val="1"/>
                <c:pt idx="0">
                  <c:v>Average wage in industry (nominal)</c:v>
                </c:pt>
              </c:strCache>
            </c:strRef>
          </c:tx>
          <c:spPr>
            <a:ln w="15875" cap="rnd">
              <a:solidFill>
                <a:srgbClr val="BC5B80"/>
              </a:solidFill>
              <a:prstDash val="dash"/>
              <a:round/>
            </a:ln>
            <a:effectLst/>
          </c:spPr>
          <c:marker>
            <c:symbol val="none"/>
          </c:marker>
          <c:cat>
            <c:multiLvlStrRef>
              <c:f>'Trh práce 3'!$W$114:$X$135</c:f>
              <c:multiLvlStrCache>
                <c:ptCount val="22"/>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lvl>
                <c:lvl>
                  <c:pt idx="0">
                    <c:v>2021</c:v>
                  </c:pt>
                  <c:pt idx="4">
                    <c:v>2022</c:v>
                  </c:pt>
                  <c:pt idx="8">
                    <c:v>2023</c:v>
                  </c:pt>
                  <c:pt idx="12">
                    <c:v>2024</c:v>
                  </c:pt>
                  <c:pt idx="16">
                    <c:v>2025</c:v>
                  </c:pt>
                  <c:pt idx="20">
                    <c:v>2026</c:v>
                  </c:pt>
                </c:lvl>
              </c:multiLvlStrCache>
            </c:multiLvlStrRef>
          </c:cat>
          <c:val>
            <c:numRef>
              <c:f>'Trh práce 3'!$AA$114:$AA$135</c:f>
              <c:numCache>
                <c:formatCode>#\ ##0.0</c:formatCode>
                <c:ptCount val="22"/>
                <c:pt idx="0">
                  <c:v>1.8985680538948344</c:v>
                </c:pt>
                <c:pt idx="1">
                  <c:v>10.170242950877807</c:v>
                </c:pt>
                <c:pt idx="2">
                  <c:v>4.7656227408114233</c:v>
                </c:pt>
                <c:pt idx="3">
                  <c:v>3.7112962913660397</c:v>
                </c:pt>
                <c:pt idx="4">
                  <c:v>4.9627933600457936</c:v>
                </c:pt>
                <c:pt idx="5">
                  <c:v>5.8242790073776121</c:v>
                </c:pt>
                <c:pt idx="6">
                  <c:v>5.6391288746584252</c:v>
                </c:pt>
                <c:pt idx="7">
                  <c:v>7.3649082274419158</c:v>
                </c:pt>
                <c:pt idx="8">
                  <c:v>10.053443856683202</c:v>
                </c:pt>
                <c:pt idx="9">
                  <c:v>9.2759722151802464</c:v>
                </c:pt>
                <c:pt idx="10">
                  <c:v>8.1338837792642096</c:v>
                </c:pt>
                <c:pt idx="11">
                  <c:v>6.9888102524866156</c:v>
                </c:pt>
                <c:pt idx="12">
                  <c:v>8.089492331706353</c:v>
                </c:pt>
                <c:pt idx="13">
                  <c:v>7.5814870664655984</c:v>
                </c:pt>
                <c:pt idx="14">
                  <c:v>7.0267004953485497</c:v>
                </c:pt>
                <c:pt idx="15">
                  <c:v>6.8473864169665006</c:v>
                </c:pt>
                <c:pt idx="16">
                  <c:v>6.4021455095585083</c:v>
                </c:pt>
                <c:pt idx="17">
                  <c:v>7.7458866150561789</c:v>
                </c:pt>
                <c:pt idx="18">
                  <c:v>6.0099790034542764</c:v>
                </c:pt>
                <c:pt idx="19">
                  <c:v>7.1740812783668986</c:v>
                </c:pt>
                <c:pt idx="20">
                  <c:v>6.1246472349684353</c:v>
                </c:pt>
                <c:pt idx="21">
                  <c:v>5.1275893125187508</c:v>
                </c:pt>
              </c:numCache>
            </c:numRef>
          </c:val>
          <c:smooth val="0"/>
          <c:extLst>
            <c:ext xmlns:c16="http://schemas.microsoft.com/office/drawing/2014/chart" uri="{C3380CC4-5D6E-409C-BE32-E72D297353CC}">
              <c16:uniqueId val="{00000002-A627-444F-B30E-DAE3BEAA2219}"/>
            </c:ext>
          </c:extLst>
        </c:ser>
        <c:ser>
          <c:idx val="3"/>
          <c:order val="3"/>
          <c:tx>
            <c:strRef>
              <c:f>'Trh práce 3'!$AB$113</c:f>
              <c:strCache>
                <c:ptCount val="1"/>
                <c:pt idx="0">
                  <c:v>Average wage in trade (nominal)</c:v>
                </c:pt>
              </c:strCache>
            </c:strRef>
          </c:tx>
          <c:spPr>
            <a:ln w="15875" cap="rnd">
              <a:solidFill>
                <a:srgbClr val="009CB5"/>
              </a:solidFill>
              <a:prstDash val="dash"/>
              <a:round/>
            </a:ln>
            <a:effectLst/>
          </c:spPr>
          <c:marker>
            <c:symbol val="none"/>
          </c:marker>
          <c:cat>
            <c:multiLvlStrRef>
              <c:f>'Trh práce 3'!$W$114:$X$135</c:f>
              <c:multiLvlStrCache>
                <c:ptCount val="22"/>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lvl>
                <c:lvl>
                  <c:pt idx="0">
                    <c:v>2021</c:v>
                  </c:pt>
                  <c:pt idx="4">
                    <c:v>2022</c:v>
                  </c:pt>
                  <c:pt idx="8">
                    <c:v>2023</c:v>
                  </c:pt>
                  <c:pt idx="12">
                    <c:v>2024</c:v>
                  </c:pt>
                  <c:pt idx="16">
                    <c:v>2025</c:v>
                  </c:pt>
                  <c:pt idx="20">
                    <c:v>2026</c:v>
                  </c:pt>
                </c:lvl>
              </c:multiLvlStrCache>
            </c:multiLvlStrRef>
          </c:cat>
          <c:val>
            <c:numRef>
              <c:f>'Trh práce 3'!$AB$114:$AB$135</c:f>
              <c:numCache>
                <c:formatCode>#\ ##0.0</c:formatCode>
                <c:ptCount val="22"/>
                <c:pt idx="0">
                  <c:v>2.2321294994165299</c:v>
                </c:pt>
                <c:pt idx="1">
                  <c:v>9.8898705823792881</c:v>
                </c:pt>
                <c:pt idx="2">
                  <c:v>6.6146127126443588</c:v>
                </c:pt>
                <c:pt idx="3">
                  <c:v>8.7059366526279263</c:v>
                </c:pt>
                <c:pt idx="4">
                  <c:v>6.7609096496619543</c:v>
                </c:pt>
                <c:pt idx="5">
                  <c:v>5.6167369702460093</c:v>
                </c:pt>
                <c:pt idx="6">
                  <c:v>3.4585503049205073</c:v>
                </c:pt>
                <c:pt idx="7">
                  <c:v>5.3444432650461664</c:v>
                </c:pt>
                <c:pt idx="8">
                  <c:v>8.2325849165227396</c:v>
                </c:pt>
                <c:pt idx="9">
                  <c:v>6.9557991797785945</c:v>
                </c:pt>
                <c:pt idx="10">
                  <c:v>6.314429521169231</c:v>
                </c:pt>
                <c:pt idx="11">
                  <c:v>5.6073353821351191</c:v>
                </c:pt>
                <c:pt idx="12">
                  <c:v>7.6063829787234027</c:v>
                </c:pt>
                <c:pt idx="13">
                  <c:v>6.302942208410613</c:v>
                </c:pt>
                <c:pt idx="14">
                  <c:v>6.8102989949112498</c:v>
                </c:pt>
                <c:pt idx="15">
                  <c:v>5.5982253601755616</c:v>
                </c:pt>
                <c:pt idx="16">
                  <c:v>3.3872372478403179</c:v>
                </c:pt>
                <c:pt idx="17">
                  <c:v>5.1253035339604338</c:v>
                </c:pt>
                <c:pt idx="18">
                  <c:v>4.4276944227168258</c:v>
                </c:pt>
                <c:pt idx="19">
                  <c:v>5.2178627092227288</c:v>
                </c:pt>
                <c:pt idx="20">
                  <c:v>6.34078593870953</c:v>
                </c:pt>
                <c:pt idx="21">
                  <c:v>6.173891592473808</c:v>
                </c:pt>
              </c:numCache>
            </c:numRef>
          </c:val>
          <c:smooth val="0"/>
          <c:extLst>
            <c:ext xmlns:c16="http://schemas.microsoft.com/office/drawing/2014/chart" uri="{C3380CC4-5D6E-409C-BE32-E72D297353CC}">
              <c16:uniqueId val="{00000003-A627-444F-B30E-DAE3BEAA2219}"/>
            </c:ext>
          </c:extLst>
        </c:ser>
        <c:ser>
          <c:idx val="4"/>
          <c:order val="4"/>
          <c:tx>
            <c:strRef>
              <c:f>'Trh práce 3'!$AC$113</c:f>
              <c:strCache>
                <c:ptCount val="1"/>
                <c:pt idx="0">
                  <c:v>Average wage in public services (nominal)*</c:v>
                </c:pt>
              </c:strCache>
            </c:strRef>
          </c:tx>
          <c:spPr>
            <a:ln w="15875" cap="rnd">
              <a:solidFill>
                <a:srgbClr val="85BF5E"/>
              </a:solidFill>
              <a:prstDash val="dash"/>
              <a:round/>
            </a:ln>
            <a:effectLst/>
          </c:spPr>
          <c:marker>
            <c:symbol val="none"/>
          </c:marker>
          <c:cat>
            <c:multiLvlStrRef>
              <c:f>'Trh práce 3'!$W$114:$X$135</c:f>
              <c:multiLvlStrCache>
                <c:ptCount val="22"/>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lvl>
                <c:lvl>
                  <c:pt idx="0">
                    <c:v>2021</c:v>
                  </c:pt>
                  <c:pt idx="4">
                    <c:v>2022</c:v>
                  </c:pt>
                  <c:pt idx="8">
                    <c:v>2023</c:v>
                  </c:pt>
                  <c:pt idx="12">
                    <c:v>2024</c:v>
                  </c:pt>
                  <c:pt idx="16">
                    <c:v>2025</c:v>
                  </c:pt>
                  <c:pt idx="20">
                    <c:v>2026</c:v>
                  </c:pt>
                </c:lvl>
              </c:multiLvlStrCache>
            </c:multiLvlStrRef>
          </c:cat>
          <c:val>
            <c:numRef>
              <c:f>'Trh práce 3'!$AC$114:$AC$135</c:f>
              <c:numCache>
                <c:formatCode>#\ ##0.0</c:formatCode>
                <c:ptCount val="22"/>
                <c:pt idx="0">
                  <c:v>4.5485385483402752</c:v>
                </c:pt>
                <c:pt idx="1">
                  <c:v>17.785684079315018</c:v>
                </c:pt>
                <c:pt idx="2">
                  <c:v>5.4643357321226631</c:v>
                </c:pt>
                <c:pt idx="3">
                  <c:v>-0.40508430459891542</c:v>
                </c:pt>
                <c:pt idx="4">
                  <c:v>2.3050985414715655</c:v>
                </c:pt>
                <c:pt idx="5">
                  <c:v>-7.0315803873919265</c:v>
                </c:pt>
                <c:pt idx="6">
                  <c:v>0.30518367768182486</c:v>
                </c:pt>
                <c:pt idx="7">
                  <c:v>3.4014494016982155</c:v>
                </c:pt>
                <c:pt idx="8">
                  <c:v>7.9558858004871666</c:v>
                </c:pt>
                <c:pt idx="9">
                  <c:v>6.6185978338731104</c:v>
                </c:pt>
                <c:pt idx="10">
                  <c:v>6.1956460416074748</c:v>
                </c:pt>
                <c:pt idx="11">
                  <c:v>5.4315381637976827</c:v>
                </c:pt>
                <c:pt idx="12">
                  <c:v>4.9055773020722171</c:v>
                </c:pt>
                <c:pt idx="13">
                  <c:v>5.1422675010122134</c:v>
                </c:pt>
                <c:pt idx="14">
                  <c:v>5.2333623000588148</c:v>
                </c:pt>
                <c:pt idx="15">
                  <c:v>4.088030032660626</c:v>
                </c:pt>
                <c:pt idx="16">
                  <c:v>5.2201477242158774</c:v>
                </c:pt>
                <c:pt idx="17">
                  <c:v>6.0948127472935028</c:v>
                </c:pt>
                <c:pt idx="18">
                  <c:v>5.9730216581103832</c:v>
                </c:pt>
                <c:pt idx="19">
                  <c:v>5.8514536384590912</c:v>
                </c:pt>
                <c:pt idx="20">
                  <c:v>5.2436213824090743</c:v>
                </c:pt>
                <c:pt idx="21">
                  <c:v>7.1109780909529121</c:v>
                </c:pt>
              </c:numCache>
            </c:numRef>
          </c:val>
          <c:smooth val="0"/>
          <c:extLst>
            <c:ext xmlns:c16="http://schemas.microsoft.com/office/drawing/2014/chart" uri="{C3380CC4-5D6E-409C-BE32-E72D297353CC}">
              <c16:uniqueId val="{00000004-A627-444F-B30E-DAE3BEAA2219}"/>
            </c:ext>
          </c:extLst>
        </c:ser>
        <c:dLbls>
          <c:showLegendKey val="0"/>
          <c:showVal val="0"/>
          <c:showCatName val="0"/>
          <c:showSerName val="0"/>
          <c:showPercent val="0"/>
          <c:showBubbleSize val="0"/>
        </c:dLbls>
        <c:marker val="1"/>
        <c:smooth val="0"/>
        <c:axId val="850416976"/>
        <c:axId val="627665280"/>
      </c:lineChart>
      <c:catAx>
        <c:axId val="850416976"/>
        <c:scaling>
          <c:orientation val="minMax"/>
        </c:scaling>
        <c:delete val="0"/>
        <c:axPos val="b"/>
        <c:numFmt formatCode="General" sourceLinked="1"/>
        <c:majorTickMark val="none"/>
        <c:minorTickMark val="none"/>
        <c:tickLblPos val="low"/>
        <c:spPr>
          <a:noFill/>
          <a:ln w="6350" cap="flat" cmpd="sng" algn="ctr">
            <a:solidFill>
              <a:schemeClr val="tx1">
                <a:lumMod val="95000"/>
                <a:lumOff val="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cs-CZ"/>
          </a:p>
        </c:txPr>
        <c:crossAx val="627665280"/>
        <c:crossesAt val="0"/>
        <c:auto val="1"/>
        <c:lblAlgn val="ctr"/>
        <c:lblOffset val="0"/>
        <c:noMultiLvlLbl val="0"/>
      </c:catAx>
      <c:valAx>
        <c:axId val="627665280"/>
        <c:scaling>
          <c:orientation val="minMax"/>
          <c:max val="18"/>
          <c:min val="-12"/>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cs-CZ"/>
          </a:p>
        </c:txPr>
        <c:crossAx val="850416976"/>
        <c:crossesAt val="1"/>
        <c:crossBetween val="between"/>
        <c:majorUnit val="2"/>
      </c:valAx>
      <c:spPr>
        <a:noFill/>
        <a:ln w="6350">
          <a:solidFill>
            <a:schemeClr val="tx1"/>
          </a:solidFill>
        </a:ln>
        <a:effectLst/>
      </c:spPr>
    </c:plotArea>
    <c:legend>
      <c:legendPos val="b"/>
      <c:layout>
        <c:manualLayout>
          <c:xMode val="edge"/>
          <c:yMode val="edge"/>
          <c:x val="1.9915469329220441E-2"/>
          <c:y val="0.88366251634401494"/>
          <c:w val="0.97116540844765542"/>
          <c:h val="9.6990440399767369E-2"/>
        </c:manualLayout>
      </c:layout>
      <c:overlay val="0"/>
      <c:spPr>
        <a:noFill/>
        <a:ln w="6350">
          <a:solidFill>
            <a:schemeClr val="tx1"/>
          </a:solidFill>
        </a:ln>
        <a:effectLst/>
      </c:spPr>
      <c:txPr>
        <a:bodyPr rot="0" spcFirstLastPara="1" vertOverflow="ellipsis" vert="horz" wrap="square" anchor="ctr" anchorCtr="1"/>
        <a:lstStyle/>
        <a:p>
          <a:pPr>
            <a:defRPr sz="75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cs-CZ"/>
        </a:p>
      </c:txPr>
    </c:legend>
    <c:plotVisOnly val="1"/>
    <c:dispBlanksAs val="gap"/>
    <c:showDLblsOverMax val="0"/>
  </c:chart>
  <c:spPr>
    <a:solidFill>
      <a:schemeClr val="bg1"/>
    </a:solidFill>
    <a:ln w="9525" cap="flat" cmpd="sng" algn="ctr">
      <a:noFill/>
      <a:round/>
    </a:ln>
    <a:effectLst/>
  </c:spPr>
  <c:txPr>
    <a:bodyPr/>
    <a:lstStyle/>
    <a:p>
      <a:pPr>
        <a:defRPr/>
      </a:pPr>
      <a:endParaRPr lang="cs-CZ"/>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BD76F913C5B1A4797255AD7259AA9ED" ma:contentTypeVersion="40" ma:contentTypeDescription="Vytvoří nový dokument" ma:contentTypeScope="" ma:versionID="110421115ddc15f999b8bb81d2de1ec1">
  <xsd:schema xmlns:xsd="http://www.w3.org/2001/XMLSchema" xmlns:xs="http://www.w3.org/2001/XMLSchema" xmlns:p="http://schemas.microsoft.com/office/2006/metadata/properties" xmlns:ns2="8675fb2b-b414-4bad-b4c4-d9349268b5a1" xmlns:ns3="406a38fe-c53c-4047-b0f8-c641386931ae" targetNamespace="http://schemas.microsoft.com/office/2006/metadata/properties" ma:root="true" ma:fieldsID="68ff216229c3f5ed4e0b6e8627bc5742" ns2:_="" ns3:_="">
    <xsd:import namespace="8675fb2b-b414-4bad-b4c4-d9349268b5a1"/>
    <xsd:import namespace="406a38fe-c53c-4047-b0f8-c641386931ae"/>
    <xsd:element name="properties">
      <xsd:complexType>
        <xsd:sequence>
          <xsd:element name="documentManagement">
            <xsd:complexType>
              <xsd:all>
                <xsd:element ref="ns2:Forma" minOccurs="0"/>
                <xsd:element ref="ns2:Verzeform" minOccurs="0"/>
                <xsd:element ref="ns2:Vazbanaproces" minOccurs="0"/>
                <xsd:element ref="ns2:Gestor" minOccurs="0"/>
                <xsd:element ref="ns2:Historieverze" minOccurs="0"/>
                <xsd:element ref="ns2:MediaServiceMetadata" minOccurs="0"/>
                <xsd:element ref="ns2:MediaServiceFastMetadata" minOccurs="0"/>
                <xsd:element ref="ns2:Form_c" minOccurs="0"/>
                <xsd:element ref="ns2:NazevForm" minOccurs="0"/>
                <xsd:element ref="ns2:UcinnostOdForm" minOccurs="0"/>
                <xsd:element ref="ns2:DomenaForm" minOccurs="0"/>
                <xsd:element ref="ns2:PredpisForm" minOccurs="0"/>
                <xsd:element ref="ns2:UstanoveniForm" minOccurs="0"/>
                <xsd:element ref="ns2:PoznForm" minOccurs="0"/>
                <xsd:element ref="ns2:Oznaceni" minOccurs="0"/>
                <xsd:element ref="ns2:UcinnostDoForm" minOccurs="0"/>
                <xsd:element ref="ns2:MediaServiceObjectDetectorVersions" minOccurs="0"/>
                <xsd:element ref="ns2:Platnost" minOccurs="0"/>
                <xsd:element ref="ns2:Odkaz"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3:SiteKnihDok" minOccurs="0"/>
                <xsd:element ref="ns3:ProcDomen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75fb2b-b414-4bad-b4c4-d9349268b5a1" elementFormDefault="qualified">
    <xsd:import namespace="http://schemas.microsoft.com/office/2006/documentManagement/types"/>
    <xsd:import namespace="http://schemas.microsoft.com/office/infopath/2007/PartnerControls"/>
    <xsd:element name="Forma" ma:index="8" nillable="true" ma:displayName="Forma" ma:description="Forma formuláře" ma:format="Dropdown" ma:internalName="Forma">
      <xsd:complexType>
        <xsd:complexContent>
          <xsd:extension base="dms:MultiChoice">
            <xsd:sequence>
              <xsd:element name="Value" maxOccurs="unbounded" minOccurs="0" nillable="true">
                <xsd:simpleType>
                  <xsd:restriction base="dms:Choice">
                    <xsd:enumeration value="Listinná  (analogová)"/>
                    <xsd:enumeration value="Elektronická"/>
                    <xsd:enumeration value="Formulář IS"/>
                  </xsd:restriction>
                </xsd:simpleType>
              </xsd:element>
            </xsd:sequence>
          </xsd:extension>
        </xsd:complexContent>
      </xsd:complexType>
    </xsd:element>
    <xsd:element name="Verzeform" ma:index="9" nillable="true" ma:displayName="Ver." ma:format="Dropdown" ma:internalName="Verzeform">
      <xsd:simpleType>
        <xsd:restriction base="dms:Text">
          <xsd:maxLength value="255"/>
        </xsd:restriction>
      </xsd:simpleType>
    </xsd:element>
    <xsd:element name="Vazbanaproces" ma:index="10" nillable="true" ma:displayName="Vazba na proces" ma:format="Dropdown" ma:internalName="Vazbanaproces">
      <xsd:simpleType>
        <xsd:restriction base="dms:Note">
          <xsd:maxLength value="255"/>
        </xsd:restriction>
      </xsd:simpleType>
    </xsd:element>
    <xsd:element name="Gestor" ma:index="11" nillable="true" ma:displayName="Gestor" ma:format="Dropdown" ma:list="UserInfo" ma:SharePointGroup="0" ma:internalName="Gest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istorieverze" ma:index="12" nillable="true" ma:displayName="Historie verze" ma:format="Dropdown" ma:internalName="Historieverze">
      <xsd:simpleType>
        <xsd:restriction base="dms:Note">
          <xsd:maxLength value="255"/>
        </xsd:restrictio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Form_c" ma:index="15" nillable="true" ma:displayName="Form_c" ma:format="Dropdown" ma:internalName="Form_c" ma:percentage="FALSE">
      <xsd:simpleType>
        <xsd:restriction base="dms:Number"/>
      </xsd:simpleType>
    </xsd:element>
    <xsd:element name="NazevForm" ma:index="16" nillable="true" ma:displayName="Název formuláře" ma:internalName="NazevForm">
      <xsd:simpleType>
        <xsd:restriction base="dms:Text">
          <xsd:maxLength value="255"/>
        </xsd:restriction>
      </xsd:simpleType>
    </xsd:element>
    <xsd:element name="UcinnostOdForm" ma:index="17" nillable="true" ma:displayName="Účinnost od" ma:description="Datum účinnosti formuláře" ma:format="DateOnly" ma:internalName="UcinnostOdForm">
      <xsd:simpleType>
        <xsd:restriction base="dms:DateTime"/>
      </xsd:simpleType>
    </xsd:element>
    <xsd:element name="DomenaForm" ma:index="18" nillable="true" ma:displayName="Doména_old" ma:description="Na formuláře na procesní doménu" ma:format="Dropdown" ma:internalName="DomenaForm">
      <xsd:complexType>
        <xsd:complexContent>
          <xsd:extension base="dms:MultiChoice">
            <xsd:sequence>
              <xsd:element name="Value" maxOccurs="unbounded" minOccurs="0" nillable="true">
                <xsd:simpleType>
                  <xsd:restriction base="dms:Choice">
                    <xsd:enumeration value="P1 Bezpečnost"/>
                    <xsd:enumeration value="P2 Účetnictví"/>
                    <xsd:enumeration value="P3 Správa dokumentů"/>
                    <xsd:enumeration value="P4 Komunikace a propagace"/>
                    <xsd:enumeration value="P5 Právní služby"/>
                    <xsd:enumeration value="P6 Personalistika"/>
                    <xsd:enumeration value="P7 Nákup a investice"/>
                    <xsd:enumeration value="P8 Projektové řízení"/>
                    <xsd:enumeration value="P9 IT"/>
                    <xsd:enumeration value="P10 Hospodaření, nakládání s majetkem a jeho správa"/>
                    <xsd:enumeration value="P11 Služební a pracovní tuzemské a zahraniční cesty"/>
                    <xsd:enumeration value="P12 Mezinárodní spolupráce"/>
                    <xsd:enumeration value="P13 Legislativa"/>
                    <xsd:enumeration value="R1 Interní audit"/>
                    <xsd:enumeration value="R2 Řízení a plánování"/>
                    <xsd:enumeration value="R3 Ochrana osobních údajů"/>
                    <xsd:enumeration value="R4 Finanční řízení"/>
                    <xsd:enumeration value="H1. Koordinace a správa metodiky"/>
                    <xsd:enumeration value="H2. Posouzení požadavků"/>
                    <xsd:enumeration value="H3. Specifikace úlohy"/>
                    <xsd:enumeration value="H4. Příprava zpracování"/>
                    <xsd:enumeration value="H5. Sběr dat"/>
                    <xsd:enumeration value="H6. Statistické zpracování"/>
                    <xsd:enumeration value="H7. Analýza a tvorba výstupů"/>
                    <xsd:enumeration value="H8. Diseminace"/>
                    <xsd:enumeration value="H9. Evaluace"/>
                    <xsd:enumeration value="H10. Zpracování voleb"/>
                  </xsd:restriction>
                </xsd:simpleType>
              </xsd:element>
            </xsd:sequence>
          </xsd:extension>
        </xsd:complexContent>
      </xsd:complexType>
    </xsd:element>
    <xsd:element name="PredpisForm" ma:index="19" nillable="true" ma:displayName="Definiční předpis" ma:description="Definiční předpis formuláře" ma:format="Dropdown" ma:internalName="PredpisForm">
      <xsd:simpleType>
        <xsd:restriction base="dms:Text">
          <xsd:maxLength value="255"/>
        </xsd:restriction>
      </xsd:simpleType>
    </xsd:element>
    <xsd:element name="UstanoveniForm" ma:index="20" nillable="true" ma:displayName="Ustanovení" ma:description="Ustanovení (čl., odst., písm.)" ma:format="Dropdown" ma:internalName="UstanoveniForm">
      <xsd:simpleType>
        <xsd:restriction base="dms:Note">
          <xsd:maxLength value="255"/>
        </xsd:restriction>
      </xsd:simpleType>
    </xsd:element>
    <xsd:element name="PoznForm" ma:index="21" nillable="true" ma:displayName="Poznámka" ma:description="Poznámka k formuláři" ma:format="Dropdown" ma:internalName="PoznForm">
      <xsd:simpleType>
        <xsd:restriction base="dms:Note">
          <xsd:maxLength value="255"/>
        </xsd:restriction>
      </xsd:simpleType>
    </xsd:element>
    <xsd:element name="Oznaceni" ma:index="22" nillable="true" ma:displayName="Označení" ma:description="Označení formuláře" ma:format="Dropdown" ma:internalName="Oznaceni">
      <xsd:simpleType>
        <xsd:restriction base="dms:Text">
          <xsd:maxLength value="12"/>
        </xsd:restriction>
      </xsd:simpleType>
    </xsd:element>
    <xsd:element name="UcinnostDoForm" ma:index="23" nillable="true" ma:displayName="Účinnost do" ma:format="DateOnly" ma:internalName="UcinnostDoForm">
      <xsd:simpleType>
        <xsd:restriction base="dms:DateTim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Platnost" ma:index="25" nillable="true" ma:displayName="Platnost" ma:default="1" ma:internalName="Platnost">
      <xsd:simpleType>
        <xsd:restriction base="dms:Boolean"/>
      </xsd:simpleType>
    </xsd:element>
    <xsd:element name="Odkaz" ma:index="26" nillable="true" ma:displayName="Odkaz" ma:format="Hyperlink" ma:internalName="Odkaz">
      <xsd:complexType>
        <xsd:complexContent>
          <xsd:extension base="dms:URL">
            <xsd:sequence>
              <xsd:element name="Url" type="dms:ValidUrl" minOccurs="0" nillable="true"/>
              <xsd:element name="Description" type="xsd:string" nillable="true"/>
            </xsd:sequence>
          </xsd:extension>
        </xsd:complexContent>
      </xsd:complexType>
    </xsd:element>
    <xsd:element name="MediaServiceSearchProperties" ma:index="27" nillable="true" ma:displayName="MediaServiceSearchProperties" ma:hidden="true" ma:internalName="MediaServiceSearchProperties" ma:readOnly="true">
      <xsd:simpleType>
        <xsd:restriction base="dms:Note"/>
      </xsd:simpleType>
    </xsd:element>
    <xsd:element name="lcf76f155ced4ddcb4097134ff3c332f" ma:index="31" nillable="true" ma:taxonomy="true" ma:internalName="lcf76f155ced4ddcb4097134ff3c332f" ma:taxonomyFieldName="MediaServiceImageTags" ma:displayName="Značky obrázků" ma:readOnly="false" ma:fieldId="{5cf76f15-5ced-4ddc-b409-7134ff3c332f}" ma:taxonomyMulti="true" ma:sspId="ba8a29a4-82ad-4cdb-8b82-dfa74bb481e8" ma:termSetId="09814cd3-568e-fe90-9814-8d621ff8fb84" ma:anchorId="fba54fb3-c3e1-fe81-a776-ca4b69148c4d" ma:open="true" ma:isKeyword="false">
      <xsd:complexType>
        <xsd:sequence>
          <xsd:element ref="pc:Terms" minOccurs="0" maxOccurs="1"/>
        </xsd:sequence>
      </xsd:complexType>
    </xsd:element>
    <xsd:element name="MediaServiceDateTaken" ma:index="33" nillable="true" ma:displayName="MediaServiceDateTaken" ma:hidden="true" ma:indexed="true" ma:internalName="MediaServiceDateTaken" ma:readOnly="true">
      <xsd:simpleType>
        <xsd:restriction base="dms:Text"/>
      </xsd:simpleType>
    </xsd:element>
    <xsd:element name="MediaServiceGenerationTime" ma:index="34" nillable="true" ma:displayName="MediaServiceGenerationTime" ma:hidden="true" ma:internalName="MediaServiceGenerationTime" ma:readOnly="true">
      <xsd:simpleType>
        <xsd:restriction base="dms:Text"/>
      </xsd:simpleType>
    </xsd:element>
    <xsd:element name="MediaServiceEventHashCode" ma:index="35" nillable="true" ma:displayName="MediaServiceEventHashCode" ma:hidden="true" ma:internalName="MediaServiceEventHashCode"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6a38fe-c53c-4047-b0f8-c641386931ae" elementFormDefault="qualified">
    <xsd:import namespace="http://schemas.microsoft.com/office/2006/documentManagement/types"/>
    <xsd:import namespace="http://schemas.microsoft.com/office/infopath/2007/PartnerControls"/>
    <xsd:element name="SharedWithUsers" ma:index="2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dílené s podrobnostmi" ma:internalName="SharedWithDetails" ma:readOnly="true">
      <xsd:simpleType>
        <xsd:restriction base="dms:Note">
          <xsd:maxLength value="255"/>
        </xsd:restriction>
      </xsd:simpleType>
    </xsd:element>
    <xsd:element name="TaxCatchAll" ma:index="32" nillable="true" ma:displayName="Taxonomy Catch All Column" ma:hidden="true" ma:list="{d4d15468-1f14-4f0d-947e-4bef9f86f2ae}" ma:internalName="TaxCatchAll" ma:showField="CatchAllData" ma:web="406a38fe-c53c-4047-b0f8-c641386931ae">
      <xsd:complexType>
        <xsd:complexContent>
          <xsd:extension base="dms:MultiChoiceLookup">
            <xsd:sequence>
              <xsd:element name="Value" type="dms:Lookup" maxOccurs="unbounded" minOccurs="0" nillable="true"/>
            </xsd:sequence>
          </xsd:extension>
        </xsd:complexContent>
      </xsd:complexType>
    </xsd:element>
    <xsd:element name="SiteKnihDok" ma:index="37" nillable="true" ma:displayName="SiteKnihDok" ma:default="Vnitřní předpisy" ma:description="Seznam knihoven v Site Knihovna dokumentů ČSÚ" ma:format="Dropdown" ma:internalName="SiteKnihDok">
      <xsd:simpleType>
        <xsd:restriction base="dms:Choice">
          <xsd:enumeration value="Vnitřní předpisy"/>
          <xsd:enumeration value="Formuláře"/>
          <xsd:enumeration value="Návody a manuály"/>
          <xsd:enumeration value="Zápisy a reporty"/>
        </xsd:restriction>
      </xsd:simpleType>
    </xsd:element>
    <xsd:element name="ProcDomena" ma:index="38" nillable="true" ma:displayName="Procesní doména" ma:default="P1 Bezpečnost" ma:internalName="ProcDomena">
      <xsd:complexType>
        <xsd:complexContent>
          <xsd:extension base="dms:MultiChoice">
            <xsd:sequence>
              <xsd:element name="Value" maxOccurs="unbounded" minOccurs="0" nillable="true">
                <xsd:simpleType>
                  <xsd:restriction base="dms:Choice">
                    <xsd:enumeration value="P1 Bezpečnost"/>
                    <xsd:enumeration value="P2 Účetnictví"/>
                    <xsd:enumeration value="P3 Správa dokumentů"/>
                    <xsd:enumeration value="P4 Komunikace a propagace"/>
                    <xsd:enumeration value="P5 Právní služby"/>
                    <xsd:enumeration value="P6 Personalistika"/>
                    <xsd:enumeration value="P7 Nákup a investice"/>
                    <xsd:enumeration value="P8 Projektové řízení"/>
                    <xsd:enumeration value="P9 IT"/>
                    <xsd:enumeration value="P10 Hospodaření, nakládání s majetkem a jeho správa"/>
                    <xsd:enumeration value="P11 Služební a pracovní tuzemské a zahraniční cesty"/>
                    <xsd:enumeration value="P12 Mezinárodní spolupráce"/>
                    <xsd:enumeration value="P13 Legislativa"/>
                    <xsd:enumeration value="R1 Interní audit"/>
                    <xsd:enumeration value="R2 Řízení a plánování"/>
                    <xsd:enumeration value="R3 Ochrana osobních údajů"/>
                    <xsd:enumeration value="R4 Finanční řízení"/>
                    <xsd:enumeration value="H1 Koordinace a správa metodiky"/>
                    <xsd:enumeration value="H2 Posouzení požadavků"/>
                    <xsd:enumeration value="H3 Specifikace úlohy"/>
                    <xsd:enumeration value="H4 Příprava zpracování"/>
                    <xsd:enumeration value="H5 Sběr dat"/>
                    <xsd:enumeration value="H6 Statistické zpracování"/>
                    <xsd:enumeration value="H7 Analýza a tvorba výstupů"/>
                    <xsd:enumeration value="H8 Diseminace"/>
                    <xsd:enumeration value="H9 Evaluace"/>
                    <xsd:enumeration value="H10 Zpracování voleb"/>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Historieverze xmlns="8675fb2b-b414-4bad-b4c4-d9349268b5a1" xsi:nil="true"/>
    <Verzeform xmlns="8675fb2b-b414-4bad-b4c4-d9349268b5a1">v1.2</Verzeform>
    <Forma xmlns="8675fb2b-b414-4bad-b4c4-d9349268b5a1">
      <Value>Elektronická</Value>
    </Forma>
    <Vazbanaproces xmlns="8675fb2b-b414-4bad-b4c4-d9349268b5a1">179. Vnější komunikace
</Vazbanaproces>
    <Gestor xmlns="8675fb2b-b414-4bad-b4c4-d9349268b5a1">
      <UserInfo>
        <DisplayName>Novotný Michal</DisplayName>
        <AccountId>24</AccountId>
        <AccountType/>
      </UserInfo>
    </Gestor>
    <Form_c xmlns="8675fb2b-b414-4bad-b4c4-d9349268b5a1">444</Form_c>
    <NazevForm xmlns="8675fb2b-b414-4bad-b4c4-d9349268b5a1">Publikace CZ barevná - regiony a země - analýzy</NazevForm>
    <UcinnostOdForm xmlns="8675fb2b-b414-4bad-b4c4-d9349268b5a1">2026-09-06T22:00:00+00:00</UcinnostOdForm>
    <PredpisForm xmlns="8675fb2b-b414-4bad-b4c4-d9349268b5a1">Manuál značky a jednotného vizuálního stylu Českého statistického úřadu</PredpisForm>
    <UstanoveniForm xmlns="8675fb2b-b414-4bad-b4c4-d9349268b5a1" xsi:nil="true"/>
    <PoznForm xmlns="8675fb2b-b414-4bad-b4c4-d9349268b5a1" xsi:nil="true"/>
    <Oznaceni xmlns="8675fb2b-b414-4bad-b4c4-d9349268b5a1">Form_c444</Oznaceni>
    <UcinnostDoForm xmlns="8675fb2b-b414-4bad-b4c4-d9349268b5a1" xsi:nil="true"/>
    <Platnost xmlns="8675fb2b-b414-4bad-b4c4-d9349268b5a1">true</Platnost>
    <Odkaz xmlns="8675fb2b-b414-4bad-b4c4-d9349268b5a1">
      <Url xsi:nil="true"/>
      <Description xsi:nil="true"/>
    </Odkaz>
    <lcf76f155ced4ddcb4097134ff3c332f xmlns="8675fb2b-b414-4bad-b4c4-d9349268b5a1">
      <Terms xmlns="http://schemas.microsoft.com/office/infopath/2007/PartnerControls"/>
    </lcf76f155ced4ddcb4097134ff3c332f>
    <TaxCatchAll xmlns="406a38fe-c53c-4047-b0f8-c641386931ae" xsi:nil="true"/>
    <ProcDomena xmlns="406a38fe-c53c-4047-b0f8-c641386931ae">
      <Value>P4 Komunikace a propagace</Value>
    </ProcDomena>
    <DomenaForm xmlns="8675fb2b-b414-4bad-b4c4-d9349268b5a1" xsi:nil="true"/>
    <SiteKnihDok xmlns="406a38fe-c53c-4047-b0f8-c641386931ae">Vnitřní předpisy</SiteKnihDok>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520BFF4-F202-41B8-B99D-38B5B95117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75fb2b-b414-4bad-b4c4-d9349268b5a1"/>
    <ds:schemaRef ds:uri="406a38fe-c53c-4047-b0f8-c641386931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E7681AD-41B0-431A-9D34-CF6700A12FAC}">
  <ds:schemaRefs>
    <ds:schemaRef ds:uri="http://schemas.microsoft.com/office/2006/metadata/properties"/>
    <ds:schemaRef ds:uri="http://schemas.microsoft.com/office/infopath/2007/PartnerControls"/>
    <ds:schemaRef ds:uri="8675fb2b-b414-4bad-b4c4-d9349268b5a1"/>
    <ds:schemaRef ds:uri="406a38fe-c53c-4047-b0f8-c641386931ae"/>
  </ds:schemaRefs>
</ds:datastoreItem>
</file>

<file path=customXml/itemProps3.xml><?xml version="1.0" encoding="utf-8"?>
<ds:datastoreItem xmlns:ds="http://schemas.openxmlformats.org/officeDocument/2006/customXml" ds:itemID="{BD4A6635-18E5-4C5D-A03B-290B098117D4}">
  <ds:schemaRefs>
    <ds:schemaRef ds:uri="http://schemas.openxmlformats.org/officeDocument/2006/bibliography"/>
  </ds:schemaRefs>
</ds:datastoreItem>
</file>

<file path=customXml/itemProps4.xml><?xml version="1.0" encoding="utf-8"?>
<ds:datastoreItem xmlns:ds="http://schemas.openxmlformats.org/officeDocument/2006/customXml" ds:itemID="{DFA8A1E1-1E99-4B4F-B9B5-70567730AA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Form_c444_Publikace_regiony a zeme - analyzy.dotx</Template>
  <TotalTime>568</TotalTime>
  <Pages>9</Pages>
  <Words>4123</Words>
  <Characters>24327</Characters>
  <Application>Microsoft Office Word</Application>
  <DocSecurity>0</DocSecurity>
  <Lines>202</Lines>
  <Paragraphs>56</Paragraphs>
  <ScaleCrop>false</ScaleCrop>
  <HeadingPairs>
    <vt:vector size="6" baseType="variant">
      <vt:variant>
        <vt:lpstr>Název</vt:lpstr>
      </vt:variant>
      <vt:variant>
        <vt:i4>1</vt:i4>
      </vt:variant>
      <vt:variant>
        <vt:lpstr>Title</vt:lpstr>
      </vt:variant>
      <vt:variant>
        <vt:i4>1</vt:i4>
      </vt:variant>
      <vt:variant>
        <vt:lpstr>Headings</vt:lpstr>
      </vt:variant>
      <vt:variant>
        <vt:i4>8</vt:i4>
      </vt:variant>
    </vt:vector>
  </HeadingPairs>
  <TitlesOfParts>
    <vt:vector size="10" baseType="lpstr">
      <vt:lpstr/>
      <vt:lpstr/>
      <vt:lpstr>Styl: Nadpis 1</vt:lpstr>
      <vt:lpstr>    Styl: Nadpis 2</vt:lpstr>
      <vt:lpstr>        Styl: Nadpis 3</vt:lpstr>
      <vt:lpstr>        Styl: Nadpis 3</vt:lpstr>
      <vt:lpstr>    Styl: Nadpis 2</vt:lpstr>
      <vt:lpstr>        Styl: Nadpis 3</vt:lpstr>
      <vt:lpstr>    Styl: Nadpis 2</vt:lpstr>
      <vt:lpstr>        Styl: Nadpis 3</vt:lpstr>
    </vt:vector>
  </TitlesOfParts>
  <Company>CSU</Company>
  <LinksUpToDate>false</LinksUpToDate>
  <CharactersWithSpaces>28394</CharactersWithSpaces>
  <SharedDoc>false</SharedDoc>
  <HLinks>
    <vt:vector size="18" baseType="variant">
      <vt:variant>
        <vt:i4>7602181</vt:i4>
      </vt:variant>
      <vt:variant>
        <vt:i4>11092</vt:i4>
      </vt:variant>
      <vt:variant>
        <vt:i4>1025</vt:i4>
      </vt:variant>
      <vt:variant>
        <vt:i4>1</vt:i4>
      </vt:variant>
      <vt:variant>
        <vt:lpwstr>msoFAAF</vt:lpwstr>
      </vt:variant>
      <vt:variant>
        <vt:lpwstr/>
      </vt:variant>
      <vt:variant>
        <vt:i4>7995509</vt:i4>
      </vt:variant>
      <vt:variant>
        <vt:i4>-1</vt:i4>
      </vt:variant>
      <vt:variant>
        <vt:i4>2058</vt:i4>
      </vt:variant>
      <vt:variant>
        <vt:i4>1</vt:i4>
      </vt:variant>
      <vt:variant>
        <vt:lpwstr>CSU RGB CZ logo-02</vt:lpwstr>
      </vt:variant>
      <vt:variant>
        <vt:lpwstr/>
      </vt:variant>
      <vt:variant>
        <vt:i4>7929973</vt:i4>
      </vt:variant>
      <vt:variant>
        <vt:i4>-1</vt:i4>
      </vt:variant>
      <vt:variant>
        <vt:i4>2059</vt:i4>
      </vt:variant>
      <vt:variant>
        <vt:i4>1</vt:i4>
      </vt:variant>
      <vt:variant>
        <vt:lpwstr>CSU RGB CZ logo-01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Publikace CZ barevná - regiony a země - analýzy</dc:title>
  <dc:subject/>
  <dc:creator>Zábojníková Karolína</dc:creator>
  <cp:keywords/>
  <cp:lastModifiedBy>Dohnal Martin</cp:lastModifiedBy>
  <cp:revision>73</cp:revision>
  <cp:lastPrinted>2026-10-15T10:40:00Z</cp:lastPrinted>
  <dcterms:created xsi:type="dcterms:W3CDTF">2026-10-09T10:57:00Z</dcterms:created>
  <dcterms:modified xsi:type="dcterms:W3CDTF">2026-10-15T10:42:00Z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0x010100FBD76F913C5B1A4797255AD7259AA9ED</vt:lpwstr>
  </property>
  <property fmtid="{D5CDD505-2E9C-101B-9397-08002B2CF9AE}" pid="3" name="Názevformuláře">
    <vt:lpwstr>Publikace CZ barevné - vícetematické analýzy
</vt:lpwstr>
  </property>
  <property fmtid="{D5CDD505-2E9C-101B-9397-08002B2CF9AE}" pid="4" name="Vazbanaprocesnídoménu">
    <vt:lpwstr>;#4. Komunikace a propagace;#</vt:lpwstr>
  </property>
  <property fmtid="{D5CDD505-2E9C-101B-9397-08002B2CF9AE}" pid="5" name="Vazbanadefiničnípředpis">
    <vt:lpwstr>Manuál ke zveřejňování produktů ČSÚ
</vt:lpwstr>
  </property>
  <property fmtid="{D5CDD505-2E9C-101B-9397-08002B2CF9AE}" pid="6" name="Ustanovení">
    <vt:lpwstr>část první čl. 2, odst. 3b,c; část pátá; příloha 1
</vt:lpwstr>
  </property>
  <property fmtid="{D5CDD505-2E9C-101B-9397-08002B2CF9AE}" pid="7" name="Účinnostod">
    <vt:filetime>2018-04-17T07:00:00Z</vt:filetime>
  </property>
  <property fmtid="{D5CDD505-2E9C-101B-9397-08002B2CF9AE}" pid="8" name="Označení">
    <vt:lpwstr>Form_c444</vt:lpwstr>
  </property>
  <property fmtid="{D5CDD505-2E9C-101B-9397-08002B2CF9AE}" pid="9" name="MediaServiceImageTags">
    <vt:lpwstr/>
  </property>
  <property fmtid="{D5CDD505-2E9C-101B-9397-08002B2CF9AE}" pid="10" name="xd_ProgID">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y fmtid="{D5CDD505-2E9C-101B-9397-08002B2CF9AE}" pid="16" name="MSIP_Label_29db9e61-aac5-4f6e-805d-ceb8cb9983a1_Enabled">
    <vt:lpwstr>true</vt:lpwstr>
  </property>
  <property fmtid="{D5CDD505-2E9C-101B-9397-08002B2CF9AE}" pid="17" name="MSIP_Label_29db9e61-aac5-4f6e-805d-ceb8cb9983a1_SetDate">
    <vt:lpwstr>2026-09-16T09:02:17Z</vt:lpwstr>
  </property>
  <property fmtid="{D5CDD505-2E9C-101B-9397-08002B2CF9AE}" pid="18" name="MSIP_Label_29db9e61-aac5-4f6e-805d-ceb8cb9983a1_Method">
    <vt:lpwstr>Standard</vt:lpwstr>
  </property>
  <property fmtid="{D5CDD505-2E9C-101B-9397-08002B2CF9AE}" pid="19" name="MSIP_Label_29db9e61-aac5-4f6e-805d-ceb8cb9983a1_Name">
    <vt:lpwstr>UniCredit - Internal Use Only - no visual markings</vt:lpwstr>
  </property>
  <property fmtid="{D5CDD505-2E9C-101B-9397-08002B2CF9AE}" pid="20" name="MSIP_Label_29db9e61-aac5-4f6e-805d-ceb8cb9983a1_SiteId">
    <vt:lpwstr>2cc49ce9-66a1-41ac-a96b-bdc54247696a</vt:lpwstr>
  </property>
  <property fmtid="{D5CDD505-2E9C-101B-9397-08002B2CF9AE}" pid="21" name="MSIP_Label_29db9e61-aac5-4f6e-805d-ceb8cb9983a1_ActionId">
    <vt:lpwstr>dd88b259-0c19-43b2-b8a9-ca92370eeaec</vt:lpwstr>
  </property>
  <property fmtid="{D5CDD505-2E9C-101B-9397-08002B2CF9AE}" pid="22" name="MSIP_Label_29db9e61-aac5-4f6e-805d-ceb8cb9983a1_ContentBits">
    <vt:lpwstr>0</vt:lpwstr>
  </property>
  <property fmtid="{D5CDD505-2E9C-101B-9397-08002B2CF9AE}" pid="23" name="MSIP_Label_29db9e61-aac5-4f6e-805d-ceb8cb9983a1_Tag">
    <vt:lpwstr>10, 3, 0, 1</vt:lpwstr>
  </property>
</Properties>
</file>