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2DEE3" w14:textId="77777777" w:rsidR="00485E82" w:rsidRPr="000A5DBC" w:rsidRDefault="001D1BE6" w:rsidP="00485E82">
      <w:pPr>
        <w:pStyle w:val="Nadpis11"/>
        <w:rPr>
          <w:lang w:val="en-GB"/>
        </w:rPr>
      </w:pPr>
      <w:bookmarkStart w:id="0" w:name="_Toc19090679"/>
      <w:bookmarkStart w:id="1" w:name="_Toc37403645"/>
      <w:bookmarkStart w:id="2" w:name="_Toc532558287"/>
      <w:r w:rsidRPr="000A5DBC">
        <w:rPr>
          <w:lang w:val="en-GB"/>
        </w:rPr>
        <w:t>6. Labour Market</w:t>
      </w:r>
      <w:bookmarkEnd w:id="0"/>
      <w:bookmarkEnd w:id="1"/>
    </w:p>
    <w:tbl>
      <w:tblPr>
        <w:tblW w:w="9664" w:type="dxa"/>
        <w:tblInd w:w="-30" w:type="dxa"/>
        <w:tblCellMar>
          <w:left w:w="0" w:type="dxa"/>
          <w:right w:w="0" w:type="dxa"/>
        </w:tblCellMar>
        <w:tblLook w:val="00A0" w:firstRow="1" w:lastRow="0" w:firstColumn="1" w:lastColumn="0" w:noHBand="0" w:noVBand="0"/>
      </w:tblPr>
      <w:tblGrid>
        <w:gridCol w:w="1724"/>
        <w:gridCol w:w="210"/>
        <w:gridCol w:w="7730"/>
      </w:tblGrid>
      <w:tr w:rsidR="00485E82" w:rsidRPr="000A5DBC" w14:paraId="44FE8BA1" w14:textId="77777777" w:rsidTr="00FC42DE">
        <w:trPr>
          <w:trHeight w:val="145"/>
        </w:trPr>
        <w:tc>
          <w:tcPr>
            <w:tcW w:w="1724" w:type="dxa"/>
            <w:shd w:val="clear" w:color="auto" w:fill="auto"/>
            <w:tcMar>
              <w:left w:w="0" w:type="dxa"/>
            </w:tcMar>
          </w:tcPr>
          <w:p w14:paraId="4E8D7C5C" w14:textId="77777777" w:rsidR="00485E82" w:rsidRPr="000A5DBC" w:rsidRDefault="00747ACF" w:rsidP="00485E82">
            <w:pPr>
              <w:pStyle w:val="Marginlie"/>
              <w:rPr>
                <w:lang w:val="en-GB"/>
              </w:rPr>
            </w:pPr>
            <w:r w:rsidRPr="000A5DBC">
              <w:rPr>
                <w:lang w:val="en-GB"/>
              </w:rPr>
              <w:t xml:space="preserve">Labour market in the CR started to display the first symptoms of the economic slowdown in the second half of the year. Demand for employees however still even despite corrections remained high. </w:t>
            </w:r>
          </w:p>
        </w:tc>
        <w:tc>
          <w:tcPr>
            <w:tcW w:w="210" w:type="dxa"/>
            <w:shd w:val="clear" w:color="auto" w:fill="auto"/>
            <w:tcMar>
              <w:left w:w="0" w:type="dxa"/>
            </w:tcMar>
          </w:tcPr>
          <w:p w14:paraId="24E8C3B8" w14:textId="77777777" w:rsidR="00485E82" w:rsidRPr="000A5DBC" w:rsidRDefault="00485E82" w:rsidP="00485E82">
            <w:pPr>
              <w:pStyle w:val="Textpoznpodarou"/>
              <w:jc w:val="both"/>
              <w:rPr>
                <w:spacing w:val="-4"/>
                <w:lang w:val="en-GB"/>
              </w:rPr>
            </w:pPr>
          </w:p>
        </w:tc>
        <w:tc>
          <w:tcPr>
            <w:tcW w:w="7730" w:type="dxa"/>
            <w:shd w:val="clear" w:color="auto" w:fill="auto"/>
            <w:tcMar>
              <w:left w:w="0" w:type="dxa"/>
            </w:tcMar>
          </w:tcPr>
          <w:p w14:paraId="10A92BB5" w14:textId="77777777" w:rsidR="00485E82" w:rsidRPr="000A5DBC" w:rsidRDefault="00485E82" w:rsidP="00485E82">
            <w:pPr>
              <w:rPr>
                <w:spacing w:val="-4"/>
                <w:lang w:val="en-GB"/>
              </w:rPr>
            </w:pPr>
            <w:r w:rsidRPr="000A5DBC">
              <w:rPr>
                <w:spacing w:val="-4"/>
                <w:lang w:val="en-GB"/>
              </w:rPr>
              <w:t>M</w:t>
            </w:r>
            <w:r w:rsidR="00747ACF" w:rsidRPr="000A5DBC">
              <w:rPr>
                <w:spacing w:val="-4"/>
                <w:lang w:val="en-GB"/>
              </w:rPr>
              <w:t>ild easing of economic growth pace in the CR</w:t>
            </w:r>
            <w:r w:rsidRPr="000A5DBC">
              <w:rPr>
                <w:spacing w:val="-4"/>
                <w:lang w:val="en-GB"/>
              </w:rPr>
              <w:t xml:space="preserve">, </w:t>
            </w:r>
            <w:r w:rsidR="00747ACF" w:rsidRPr="000A5DBC">
              <w:rPr>
                <w:spacing w:val="-4"/>
                <w:lang w:val="en-GB"/>
              </w:rPr>
              <w:t xml:space="preserve">perceptible in the second half of year </w:t>
            </w:r>
            <w:r w:rsidRPr="000A5DBC">
              <w:rPr>
                <w:spacing w:val="-4"/>
                <w:lang w:val="en-GB"/>
              </w:rPr>
              <w:t xml:space="preserve">2019, </w:t>
            </w:r>
            <w:r w:rsidR="00747ACF" w:rsidRPr="000A5DBC">
              <w:rPr>
                <w:spacing w:val="-4"/>
                <w:lang w:val="en-GB"/>
              </w:rPr>
              <w:t xml:space="preserve">gradually started to </w:t>
            </w:r>
            <w:r w:rsidR="005D0A3B" w:rsidRPr="000A5DBC">
              <w:rPr>
                <w:spacing w:val="-4"/>
                <w:lang w:val="en-GB"/>
              </w:rPr>
              <w:t xml:space="preserve">have effect also on the labour market. </w:t>
            </w:r>
            <w:r w:rsidR="00A75945" w:rsidRPr="000A5DBC">
              <w:rPr>
                <w:spacing w:val="-4"/>
                <w:lang w:val="en-GB"/>
              </w:rPr>
              <w:t xml:space="preserve">Growth of employment halted primarily due to the development in the export branches, number of job vacancies also ceased to increase and the number of working foreigners slightly decreased after a long time at the </w:t>
            </w:r>
            <w:r w:rsidR="0092799E" w:rsidRPr="000A5DBC">
              <w:rPr>
                <w:spacing w:val="-4"/>
                <w:lang w:val="en-GB"/>
              </w:rPr>
              <w:t xml:space="preserve">very </w:t>
            </w:r>
            <w:r w:rsidR="00A75945" w:rsidRPr="000A5DBC">
              <w:rPr>
                <w:spacing w:val="-4"/>
                <w:lang w:val="en-GB"/>
              </w:rPr>
              <w:t xml:space="preserve">end of the year. </w:t>
            </w:r>
            <w:r w:rsidR="0092799E" w:rsidRPr="000A5DBC">
              <w:rPr>
                <w:spacing w:val="-4"/>
                <w:lang w:val="en-GB"/>
              </w:rPr>
              <w:t xml:space="preserve">Even though the unemployment rate still hovered around record low values, with minimal fluctuations during the year, the tension between the supply and demand on the labour market slightly abated. </w:t>
            </w:r>
            <w:r w:rsidR="008642CD" w:rsidRPr="000A5DBC">
              <w:rPr>
                <w:spacing w:val="-4"/>
                <w:lang w:val="en-GB"/>
              </w:rPr>
              <w:t xml:space="preserve">If we leave aside the situation in construction and trade, </w:t>
            </w:r>
            <w:r w:rsidR="0038418F" w:rsidRPr="000A5DBC">
              <w:rPr>
                <w:spacing w:val="-4"/>
                <w:lang w:val="en-GB"/>
              </w:rPr>
              <w:t xml:space="preserve">the </w:t>
            </w:r>
            <w:r w:rsidR="00A5761C" w:rsidRPr="000A5DBC">
              <w:rPr>
                <w:spacing w:val="-4"/>
                <w:lang w:val="en-GB"/>
              </w:rPr>
              <w:t>shortage</w:t>
            </w:r>
            <w:r w:rsidR="0038418F" w:rsidRPr="000A5DBC">
              <w:rPr>
                <w:spacing w:val="-4"/>
                <w:lang w:val="en-GB"/>
              </w:rPr>
              <w:t xml:space="preserve"> of labour force stopped dominating among the barriers to growth and on the contrary the role of inadequate demand became more highlighted </w:t>
            </w:r>
            <w:r w:rsidRPr="000A5DBC">
              <w:rPr>
                <w:spacing w:val="-4"/>
                <w:lang w:val="en-GB"/>
              </w:rPr>
              <w:t>(</w:t>
            </w:r>
            <w:r w:rsidR="008642CD" w:rsidRPr="000A5DBC">
              <w:rPr>
                <w:spacing w:val="-4"/>
                <w:lang w:val="en-GB"/>
              </w:rPr>
              <w:t>in industry, but to a lesser extent also in construction</w:t>
            </w:r>
            <w:r w:rsidRPr="000A5DBC">
              <w:rPr>
                <w:spacing w:val="-4"/>
                <w:lang w:val="en-GB"/>
              </w:rPr>
              <w:t>). Dy</w:t>
            </w:r>
            <w:r w:rsidR="008642CD" w:rsidRPr="000A5DBC">
              <w:rPr>
                <w:spacing w:val="-4"/>
                <w:lang w:val="en-GB"/>
              </w:rPr>
              <w:t>namics of the average wages during the last year</w:t>
            </w:r>
            <w:r w:rsidR="00336FFF" w:rsidRPr="000A5DBC">
              <w:rPr>
                <w:spacing w:val="-4"/>
                <w:lang w:val="en-GB"/>
              </w:rPr>
              <w:t xml:space="preserve"> continuously slowed down</w:t>
            </w:r>
            <w:r w:rsidRPr="000A5DBC">
              <w:rPr>
                <w:spacing w:val="-4"/>
                <w:lang w:val="en-GB"/>
              </w:rPr>
              <w:t xml:space="preserve">, </w:t>
            </w:r>
            <w:r w:rsidR="008642CD" w:rsidRPr="000A5DBC">
              <w:rPr>
                <w:spacing w:val="-4"/>
                <w:lang w:val="en-GB"/>
              </w:rPr>
              <w:t xml:space="preserve">the development was however differentiated at the level of branches. </w:t>
            </w:r>
            <w:r w:rsidR="00747ACF" w:rsidRPr="000A5DBC">
              <w:rPr>
                <w:spacing w:val="-4"/>
                <w:lang w:val="en-GB"/>
              </w:rPr>
              <w:t xml:space="preserve">Growth of real employee earnings moderated more markedly, still it remained comparable to the business cycle peak of the last decade. </w:t>
            </w:r>
          </w:p>
        </w:tc>
      </w:tr>
      <w:tr w:rsidR="00485E82" w:rsidRPr="000A5DBC" w14:paraId="260AC899" w14:textId="77777777" w:rsidTr="00FC42DE">
        <w:trPr>
          <w:trHeight w:val="145"/>
        </w:trPr>
        <w:tc>
          <w:tcPr>
            <w:tcW w:w="1724" w:type="dxa"/>
            <w:shd w:val="clear" w:color="auto" w:fill="auto"/>
            <w:tcMar>
              <w:left w:w="0" w:type="dxa"/>
            </w:tcMar>
          </w:tcPr>
          <w:p w14:paraId="743F8743" w14:textId="77777777" w:rsidR="00485E82" w:rsidRPr="000A5DBC" w:rsidRDefault="004E2D26" w:rsidP="00485E82">
            <w:pPr>
              <w:pStyle w:val="Marginlie"/>
              <w:rPr>
                <w:lang w:val="en-GB"/>
              </w:rPr>
            </w:pPr>
            <w:r w:rsidRPr="000A5DBC">
              <w:rPr>
                <w:lang w:val="en-GB"/>
              </w:rPr>
              <w:t xml:space="preserve">Year-on-year growth of employment halted at the end of the year, for the first time after six years. The dynamics has not more noticeably slowed neither in Germany nor in the EU so far. </w:t>
            </w:r>
          </w:p>
          <w:p w14:paraId="44350522" w14:textId="77777777" w:rsidR="004E2D26" w:rsidRPr="000A5DBC" w:rsidRDefault="004E2D26" w:rsidP="00485E82">
            <w:pPr>
              <w:pStyle w:val="Marginlie"/>
              <w:rPr>
                <w:lang w:val="en-GB"/>
              </w:rPr>
            </w:pPr>
          </w:p>
          <w:p w14:paraId="4112C37E" w14:textId="77777777" w:rsidR="004E2D26" w:rsidRPr="000A5DBC" w:rsidRDefault="004E2D26" w:rsidP="00485E82">
            <w:pPr>
              <w:pStyle w:val="Marginlie"/>
              <w:rPr>
                <w:lang w:val="en-GB"/>
              </w:rPr>
            </w:pPr>
          </w:p>
          <w:p w14:paraId="07E27FF6" w14:textId="77777777" w:rsidR="00485E82" w:rsidRPr="000A5DBC" w:rsidRDefault="00485E82" w:rsidP="00485E82">
            <w:pPr>
              <w:pStyle w:val="Marginlie"/>
              <w:rPr>
                <w:lang w:val="en-GB"/>
              </w:rPr>
            </w:pPr>
          </w:p>
          <w:p w14:paraId="1753A2E9" w14:textId="77777777" w:rsidR="00485E82" w:rsidRPr="000A5DBC" w:rsidRDefault="00485E82" w:rsidP="00485E82">
            <w:pPr>
              <w:pStyle w:val="Marginlie"/>
              <w:rPr>
                <w:lang w:val="en-GB"/>
              </w:rPr>
            </w:pPr>
          </w:p>
          <w:p w14:paraId="7E9D945D" w14:textId="77777777" w:rsidR="00485E82" w:rsidRPr="000A5DBC" w:rsidRDefault="00C47E94" w:rsidP="00485E82">
            <w:pPr>
              <w:pStyle w:val="Marginlie"/>
              <w:rPr>
                <w:lang w:val="en-GB"/>
              </w:rPr>
            </w:pPr>
            <w:r w:rsidRPr="000A5DBC">
              <w:rPr>
                <w:lang w:val="en-GB"/>
              </w:rPr>
              <w:t>Employees in industry were dwindling, on the contrary construction and majority of branches of services generated growth.</w:t>
            </w:r>
          </w:p>
        </w:tc>
        <w:tc>
          <w:tcPr>
            <w:tcW w:w="210" w:type="dxa"/>
            <w:shd w:val="clear" w:color="auto" w:fill="auto"/>
            <w:tcMar>
              <w:left w:w="0" w:type="dxa"/>
            </w:tcMar>
          </w:tcPr>
          <w:p w14:paraId="7E51BE2D" w14:textId="77777777" w:rsidR="00485E82" w:rsidRPr="000A5DBC" w:rsidRDefault="00485E82" w:rsidP="00485E82">
            <w:pPr>
              <w:pStyle w:val="Textpoznpodarou"/>
              <w:jc w:val="both"/>
              <w:rPr>
                <w:spacing w:val="-4"/>
                <w:lang w:val="en-GB"/>
              </w:rPr>
            </w:pPr>
          </w:p>
        </w:tc>
        <w:tc>
          <w:tcPr>
            <w:tcW w:w="7730" w:type="dxa"/>
            <w:shd w:val="clear" w:color="auto" w:fill="auto"/>
            <w:tcMar>
              <w:left w:w="0" w:type="dxa"/>
            </w:tcMar>
          </w:tcPr>
          <w:p w14:paraId="20F9B112" w14:textId="77777777" w:rsidR="00485E82" w:rsidRPr="000A5DBC" w:rsidRDefault="009477E1" w:rsidP="00485E82">
            <w:pPr>
              <w:rPr>
                <w:spacing w:val="-4"/>
                <w:lang w:val="en-GB"/>
              </w:rPr>
            </w:pPr>
            <w:r w:rsidRPr="00BD2202">
              <w:rPr>
                <w:spacing w:val="-2"/>
                <w:lang w:val="en-GB"/>
              </w:rPr>
              <w:t xml:space="preserve">Number of all </w:t>
            </w:r>
            <w:r w:rsidR="00A61108" w:rsidRPr="00BD2202">
              <w:rPr>
                <w:spacing w:val="-2"/>
                <w:lang w:val="en-GB"/>
              </w:rPr>
              <w:t>employed</w:t>
            </w:r>
            <w:r w:rsidR="00485E82" w:rsidRPr="00BD2202">
              <w:rPr>
                <w:rStyle w:val="Znakapoznpodarou"/>
                <w:color w:val="0D0D0D" w:themeColor="text1" w:themeTint="F2"/>
                <w:spacing w:val="-2"/>
                <w:lang w:val="en-GB"/>
              </w:rPr>
              <w:footnoteReference w:id="1"/>
            </w:r>
            <w:r w:rsidR="00485E82" w:rsidRPr="00BD2202">
              <w:rPr>
                <w:spacing w:val="-2"/>
                <w:lang w:val="en-GB"/>
              </w:rPr>
              <w:t xml:space="preserve"> </w:t>
            </w:r>
            <w:r w:rsidR="00A61108" w:rsidRPr="00BD2202">
              <w:rPr>
                <w:spacing w:val="-2"/>
                <w:lang w:val="en-GB"/>
              </w:rPr>
              <w:t xml:space="preserve">expanded year-on-year by </w:t>
            </w:r>
            <w:r w:rsidR="00485E82" w:rsidRPr="00BD2202">
              <w:rPr>
                <w:spacing w:val="-2"/>
                <w:lang w:val="en-GB"/>
              </w:rPr>
              <w:t>0</w:t>
            </w:r>
            <w:r w:rsidR="00A61108" w:rsidRPr="00BD2202">
              <w:rPr>
                <w:spacing w:val="-2"/>
                <w:lang w:val="en-GB"/>
              </w:rPr>
              <w:t>.</w:t>
            </w:r>
            <w:r w:rsidR="00485E82" w:rsidRPr="00BD2202">
              <w:rPr>
                <w:spacing w:val="-2"/>
                <w:lang w:val="en-GB"/>
              </w:rPr>
              <w:t>7%</w:t>
            </w:r>
            <w:r w:rsidR="00A61108" w:rsidRPr="00BD2202">
              <w:rPr>
                <w:spacing w:val="-2"/>
                <w:lang w:val="en-GB"/>
              </w:rPr>
              <w:t xml:space="preserve"> in 2019, however it only stagnated in Q4</w:t>
            </w:r>
            <w:r w:rsidR="00485E82" w:rsidRPr="00BD2202">
              <w:rPr>
                <w:spacing w:val="-2"/>
                <w:lang w:val="en-GB"/>
              </w:rPr>
              <w:t>;</w:t>
            </w:r>
            <w:r w:rsidR="00A61108" w:rsidRPr="00BD2202">
              <w:rPr>
                <w:spacing w:val="-2"/>
                <w:lang w:val="en-GB"/>
              </w:rPr>
              <w:t xml:space="preserve"> the same phenomenon </w:t>
            </w:r>
            <w:r w:rsidR="00D658DF" w:rsidRPr="00BD2202">
              <w:rPr>
                <w:spacing w:val="-2"/>
                <w:lang w:val="en-GB"/>
              </w:rPr>
              <w:t>occurred</w:t>
            </w:r>
            <w:r w:rsidR="00A61108" w:rsidRPr="00BD2202">
              <w:rPr>
                <w:spacing w:val="-2"/>
                <w:lang w:val="en-GB"/>
              </w:rPr>
              <w:t xml:space="preserve"> last at the end of year </w:t>
            </w:r>
            <w:r w:rsidR="00485E82" w:rsidRPr="00BD2202">
              <w:rPr>
                <w:spacing w:val="-2"/>
                <w:lang w:val="en-GB"/>
              </w:rPr>
              <w:t xml:space="preserve">2013. </w:t>
            </w:r>
            <w:r w:rsidR="00D658DF" w:rsidRPr="00BD2202">
              <w:rPr>
                <w:spacing w:val="-2"/>
                <w:lang w:val="en-GB"/>
              </w:rPr>
              <w:t xml:space="preserve">In the quarter-on-quarter expression, employment mildly decreased already for the second time in a row </w:t>
            </w:r>
            <w:r w:rsidR="00485E82" w:rsidRPr="00BD2202">
              <w:rPr>
                <w:spacing w:val="-2"/>
                <w:lang w:val="en-GB"/>
              </w:rPr>
              <w:t>(</w:t>
            </w:r>
            <w:r w:rsidR="00AA342C" w:rsidRPr="00BD2202">
              <w:rPr>
                <w:spacing w:val="-2"/>
                <w:lang w:val="en-GB"/>
              </w:rPr>
              <w:t>-</w:t>
            </w:r>
            <w:r w:rsidR="00485E82" w:rsidRPr="00BD2202">
              <w:rPr>
                <w:spacing w:val="-2"/>
                <w:lang w:val="en-GB"/>
              </w:rPr>
              <w:t>0</w:t>
            </w:r>
            <w:r w:rsidR="00D658DF" w:rsidRPr="00BD2202">
              <w:rPr>
                <w:spacing w:val="-2"/>
                <w:lang w:val="en-GB"/>
              </w:rPr>
              <w:t>.</w:t>
            </w:r>
            <w:r w:rsidR="00485E82" w:rsidRPr="00BD2202">
              <w:rPr>
                <w:spacing w:val="-2"/>
                <w:lang w:val="en-GB"/>
              </w:rPr>
              <w:t>3%</w:t>
            </w:r>
            <w:r w:rsidR="00E43120" w:rsidRPr="00BD2202">
              <w:rPr>
                <w:spacing w:val="-2"/>
                <w:lang w:val="en-GB"/>
              </w:rPr>
              <w:t xml:space="preserve"> </w:t>
            </w:r>
            <w:r w:rsidR="00E43120">
              <w:rPr>
                <w:spacing w:val="-4"/>
                <w:lang w:val="en-GB"/>
              </w:rPr>
              <w:t>and</w:t>
            </w:r>
            <w:r w:rsidR="00485E82" w:rsidRPr="000A5DBC">
              <w:rPr>
                <w:spacing w:val="-4"/>
                <w:lang w:val="en-GB"/>
              </w:rPr>
              <w:t xml:space="preserve"> </w:t>
            </w:r>
            <w:r w:rsidR="00AA342C">
              <w:rPr>
                <w:spacing w:val="-4"/>
                <w:lang w:val="en-GB"/>
              </w:rPr>
              <w:t>-</w:t>
            </w:r>
            <w:r w:rsidR="00485E82" w:rsidRPr="000A5DBC">
              <w:rPr>
                <w:spacing w:val="-4"/>
                <w:lang w:val="en-GB"/>
              </w:rPr>
              <w:t>0</w:t>
            </w:r>
            <w:r w:rsidR="00D658DF" w:rsidRPr="000A5DBC">
              <w:rPr>
                <w:spacing w:val="-4"/>
                <w:lang w:val="en-GB"/>
              </w:rPr>
              <w:t>.</w:t>
            </w:r>
            <w:r w:rsidR="00485E82" w:rsidRPr="000A5DBC">
              <w:rPr>
                <w:spacing w:val="-4"/>
                <w:lang w:val="en-GB"/>
              </w:rPr>
              <w:t xml:space="preserve">2% </w:t>
            </w:r>
            <w:r w:rsidR="00E43120">
              <w:rPr>
                <w:spacing w:val="-4"/>
                <w:lang w:val="en-GB"/>
              </w:rPr>
              <w:t xml:space="preserve">resp. </w:t>
            </w:r>
            <w:r w:rsidR="00D658DF" w:rsidRPr="000A5DBC">
              <w:rPr>
                <w:spacing w:val="-4"/>
                <w:lang w:val="en-GB"/>
              </w:rPr>
              <w:t>in Q</w:t>
            </w:r>
            <w:r w:rsidR="00485E82" w:rsidRPr="000A5DBC">
              <w:rPr>
                <w:spacing w:val="-4"/>
                <w:lang w:val="en-GB"/>
              </w:rPr>
              <w:t>3</w:t>
            </w:r>
            <w:r w:rsidR="00D658DF" w:rsidRPr="000A5DBC">
              <w:rPr>
                <w:spacing w:val="-4"/>
                <w:lang w:val="en-GB"/>
              </w:rPr>
              <w:t xml:space="preserve"> </w:t>
            </w:r>
            <w:r w:rsidR="00485E82" w:rsidRPr="000A5DBC">
              <w:rPr>
                <w:spacing w:val="-4"/>
                <w:lang w:val="en-GB"/>
              </w:rPr>
              <w:t xml:space="preserve">2019), </w:t>
            </w:r>
            <w:r w:rsidR="00C47E94" w:rsidRPr="000A5DBC">
              <w:rPr>
                <w:spacing w:val="-4"/>
                <w:lang w:val="en-GB"/>
              </w:rPr>
              <w:t xml:space="preserve">although it recorded a swift growth in the first quarter of the year </w:t>
            </w:r>
            <w:r w:rsidR="00485E82" w:rsidRPr="000A5DBC">
              <w:rPr>
                <w:spacing w:val="-4"/>
                <w:lang w:val="en-GB"/>
              </w:rPr>
              <w:t>(0</w:t>
            </w:r>
            <w:r w:rsidR="00C47E94" w:rsidRPr="000A5DBC">
              <w:rPr>
                <w:spacing w:val="-4"/>
                <w:lang w:val="en-GB"/>
              </w:rPr>
              <w:t>.</w:t>
            </w:r>
            <w:r w:rsidR="00485E82" w:rsidRPr="000A5DBC">
              <w:rPr>
                <w:spacing w:val="-4"/>
                <w:lang w:val="en-GB"/>
              </w:rPr>
              <w:t xml:space="preserve">5%). </w:t>
            </w:r>
            <w:r w:rsidR="00C47E94" w:rsidRPr="000A5DBC">
              <w:rPr>
                <w:spacing w:val="-4"/>
                <w:lang w:val="en-GB"/>
              </w:rPr>
              <w:t xml:space="preserve">Year-on-year employment dynamics in the CR for the first time after more than five years more notably lagged behind the rates of growth of the whole EU as well as Germany </w:t>
            </w:r>
            <w:r w:rsidR="00485E82" w:rsidRPr="000A5DBC">
              <w:rPr>
                <w:spacing w:val="-4"/>
                <w:lang w:val="en-GB"/>
              </w:rPr>
              <w:t>(</w:t>
            </w:r>
            <w:r w:rsidR="00002566" w:rsidRPr="000A5DBC">
              <w:rPr>
                <w:spacing w:val="-4"/>
                <w:lang w:val="en-GB"/>
              </w:rPr>
              <w:t>1</w:t>
            </w:r>
            <w:r w:rsidR="00C47E94" w:rsidRPr="000A5DBC">
              <w:rPr>
                <w:spacing w:val="-4"/>
                <w:lang w:val="en-GB"/>
              </w:rPr>
              <w:t>.</w:t>
            </w:r>
            <w:r w:rsidR="00002566" w:rsidRPr="000A5DBC">
              <w:rPr>
                <w:spacing w:val="-4"/>
                <w:lang w:val="en-GB"/>
              </w:rPr>
              <w:t>0</w:t>
            </w:r>
            <w:r w:rsidR="00485E82" w:rsidRPr="000A5DBC">
              <w:rPr>
                <w:spacing w:val="-4"/>
                <w:lang w:val="en-GB"/>
              </w:rPr>
              <w:t>%</w:t>
            </w:r>
            <w:r w:rsidR="00F95594">
              <w:rPr>
                <w:spacing w:val="-4"/>
                <w:lang w:val="en-GB"/>
              </w:rPr>
              <w:t xml:space="preserve"> and</w:t>
            </w:r>
            <w:r w:rsidR="00485E82" w:rsidRPr="000A5DBC">
              <w:rPr>
                <w:spacing w:val="-4"/>
                <w:lang w:val="en-GB"/>
              </w:rPr>
              <w:t xml:space="preserve"> 0</w:t>
            </w:r>
            <w:r w:rsidR="00C47E94" w:rsidRPr="000A5DBC">
              <w:rPr>
                <w:spacing w:val="-4"/>
                <w:lang w:val="en-GB"/>
              </w:rPr>
              <w:t>.</w:t>
            </w:r>
            <w:r w:rsidR="00485E82" w:rsidRPr="000A5DBC">
              <w:rPr>
                <w:spacing w:val="-4"/>
                <w:lang w:val="en-GB"/>
              </w:rPr>
              <w:t xml:space="preserve">7% </w:t>
            </w:r>
            <w:r w:rsidR="00C47E94" w:rsidRPr="000A5DBC">
              <w:rPr>
                <w:spacing w:val="-4"/>
                <w:lang w:val="en-GB"/>
              </w:rPr>
              <w:t>in Q</w:t>
            </w:r>
            <w:r w:rsidR="00485E82" w:rsidRPr="000A5DBC">
              <w:rPr>
                <w:spacing w:val="-4"/>
                <w:lang w:val="en-GB"/>
              </w:rPr>
              <w:t>4</w:t>
            </w:r>
            <w:r w:rsidR="00F95594">
              <w:rPr>
                <w:spacing w:val="-4"/>
                <w:lang w:val="en-GB"/>
              </w:rPr>
              <w:t xml:space="preserve"> resp.</w:t>
            </w:r>
            <w:r w:rsidR="00485E82" w:rsidRPr="000A5DBC">
              <w:rPr>
                <w:spacing w:val="-4"/>
                <w:lang w:val="en-GB"/>
              </w:rPr>
              <w:t xml:space="preserve">). </w:t>
            </w:r>
            <w:r w:rsidR="00C47E94" w:rsidRPr="000A5DBC">
              <w:rPr>
                <w:spacing w:val="-4"/>
                <w:lang w:val="en-GB"/>
              </w:rPr>
              <w:t>Situation in the CR was mostly impacted by the development in industry, where the employment reduced already since the half of the year</w:t>
            </w:r>
            <w:r w:rsidR="00485E82" w:rsidRPr="000A5DBC">
              <w:rPr>
                <w:rStyle w:val="Znakapoznpodarou"/>
                <w:color w:val="0D0D0D" w:themeColor="text1" w:themeTint="F2"/>
                <w:spacing w:val="-4"/>
                <w:lang w:val="en-GB"/>
              </w:rPr>
              <w:footnoteReference w:id="2"/>
            </w:r>
            <w:r w:rsidR="00485E82" w:rsidRPr="000A5DBC">
              <w:rPr>
                <w:spacing w:val="-4"/>
                <w:lang w:val="en-GB"/>
              </w:rPr>
              <w:t xml:space="preserve">. </w:t>
            </w:r>
            <w:r w:rsidR="00846BAE" w:rsidRPr="000A5DBC">
              <w:rPr>
                <w:spacing w:val="-4"/>
                <w:lang w:val="en-GB"/>
              </w:rPr>
              <w:t xml:space="preserve">Number of workers also diminished in the primary </w:t>
            </w:r>
            <w:r w:rsidR="00C42800" w:rsidRPr="000A5DBC">
              <w:rPr>
                <w:spacing w:val="-4"/>
                <w:lang w:val="en-GB"/>
              </w:rPr>
              <w:t>sector</w:t>
            </w:r>
            <w:r w:rsidR="00846BAE" w:rsidRPr="000A5DBC">
              <w:rPr>
                <w:spacing w:val="-4"/>
                <w:lang w:val="en-GB"/>
              </w:rPr>
              <w:t xml:space="preserve"> last year. </w:t>
            </w:r>
            <w:r w:rsidR="00C42800" w:rsidRPr="000A5DBC">
              <w:rPr>
                <w:spacing w:val="-4"/>
                <w:lang w:val="en-GB"/>
              </w:rPr>
              <w:t xml:space="preserve">In contrast the growth was strengthening in construction during the year 2019 </w:t>
            </w:r>
            <w:r w:rsidR="00485E82" w:rsidRPr="000A5DBC">
              <w:rPr>
                <w:spacing w:val="-4"/>
                <w:lang w:val="en-GB"/>
              </w:rPr>
              <w:t>(</w:t>
            </w:r>
            <w:r w:rsidR="00C42800" w:rsidRPr="000A5DBC">
              <w:rPr>
                <w:spacing w:val="-4"/>
                <w:lang w:val="en-GB"/>
              </w:rPr>
              <w:t xml:space="preserve">up to </w:t>
            </w:r>
            <w:r w:rsidR="00485E82" w:rsidRPr="000A5DBC">
              <w:rPr>
                <w:spacing w:val="-4"/>
                <w:lang w:val="en-GB"/>
              </w:rPr>
              <w:t>2</w:t>
            </w:r>
            <w:r w:rsidR="00C42800" w:rsidRPr="000A5DBC">
              <w:rPr>
                <w:spacing w:val="-4"/>
                <w:lang w:val="en-GB"/>
              </w:rPr>
              <w:t>.</w:t>
            </w:r>
            <w:r w:rsidR="00485E82" w:rsidRPr="000A5DBC">
              <w:rPr>
                <w:spacing w:val="-4"/>
                <w:lang w:val="en-GB"/>
              </w:rPr>
              <w:t>4%,</w:t>
            </w:r>
            <w:r w:rsidR="00C42800" w:rsidRPr="000A5DBC">
              <w:rPr>
                <w:spacing w:val="-4"/>
                <w:lang w:val="en-GB"/>
              </w:rPr>
              <w:t xml:space="preserve"> the ten-year maximum</w:t>
            </w:r>
            <w:r w:rsidR="00485E82" w:rsidRPr="000A5DBC">
              <w:rPr>
                <w:spacing w:val="-4"/>
                <w:lang w:val="en-GB"/>
              </w:rPr>
              <w:t xml:space="preserve">). </w:t>
            </w:r>
            <w:r w:rsidR="007C5B08" w:rsidRPr="000A5DBC">
              <w:rPr>
                <w:spacing w:val="-4"/>
                <w:lang w:val="en-GB"/>
              </w:rPr>
              <w:t xml:space="preserve">Services, mainly information and communication fared well </w:t>
            </w:r>
            <w:r w:rsidR="00485E82" w:rsidRPr="000A5DBC">
              <w:rPr>
                <w:spacing w:val="-4"/>
                <w:lang w:val="en-GB"/>
              </w:rPr>
              <w:t>(+4</w:t>
            </w:r>
            <w:r w:rsidR="007C5B08" w:rsidRPr="000A5DBC">
              <w:rPr>
                <w:spacing w:val="-4"/>
                <w:lang w:val="en-GB"/>
              </w:rPr>
              <w:t>.</w:t>
            </w:r>
            <w:r w:rsidR="00485E82" w:rsidRPr="000A5DBC">
              <w:rPr>
                <w:spacing w:val="-4"/>
                <w:lang w:val="en-GB"/>
              </w:rPr>
              <w:t>5%</w:t>
            </w:r>
            <w:r w:rsidR="007C5B08" w:rsidRPr="000A5DBC">
              <w:rPr>
                <w:spacing w:val="-4"/>
                <w:lang w:val="en-GB"/>
              </w:rPr>
              <w:t xml:space="preserve"> last year</w:t>
            </w:r>
            <w:r w:rsidR="00485E82" w:rsidRPr="000A5DBC">
              <w:rPr>
                <w:spacing w:val="-4"/>
                <w:lang w:val="en-GB"/>
              </w:rPr>
              <w:t>).</w:t>
            </w:r>
            <w:r w:rsidR="007C5B08" w:rsidRPr="000A5DBC">
              <w:rPr>
                <w:spacing w:val="-4"/>
                <w:lang w:val="en-GB"/>
              </w:rPr>
              <w:t xml:space="preserve"> Activities connected to tourism also increased the number of workers. Number of employees also increased in branches with the predominant public sector, mainly thanks to education as well as health care. </w:t>
            </w:r>
            <w:r w:rsidR="005E2BF1" w:rsidRPr="000A5DBC">
              <w:rPr>
                <w:spacing w:val="-4"/>
                <w:lang w:val="en-GB"/>
              </w:rPr>
              <w:t>Branch shifts were for the major part influenced by employees in Q4 as well as the whole last year, since the number of self-employed (entrepreneurs without employees) did not change significantly</w:t>
            </w:r>
            <w:r w:rsidR="00485E82" w:rsidRPr="000A5DBC">
              <w:rPr>
                <w:rStyle w:val="Znakapoznpodarou"/>
                <w:color w:val="0D0D0D" w:themeColor="text1" w:themeTint="F2"/>
                <w:spacing w:val="-4"/>
                <w:lang w:val="en-GB"/>
              </w:rPr>
              <w:footnoteReference w:id="3"/>
            </w:r>
            <w:r w:rsidR="00485E82" w:rsidRPr="000A5DBC">
              <w:rPr>
                <w:spacing w:val="-4"/>
                <w:lang w:val="en-GB"/>
              </w:rPr>
              <w:t>.</w:t>
            </w:r>
          </w:p>
        </w:tc>
      </w:tr>
      <w:tr w:rsidR="00485E82" w:rsidRPr="000A5DBC" w14:paraId="34895B3C" w14:textId="77777777" w:rsidTr="00FC42DE">
        <w:trPr>
          <w:trHeight w:val="145"/>
        </w:trPr>
        <w:tc>
          <w:tcPr>
            <w:tcW w:w="1724" w:type="dxa"/>
            <w:shd w:val="clear" w:color="auto" w:fill="auto"/>
            <w:tcMar>
              <w:left w:w="0" w:type="dxa"/>
            </w:tcMar>
          </w:tcPr>
          <w:p w14:paraId="06BE4CE2" w14:textId="508EB9D7" w:rsidR="00485E82" w:rsidRPr="000A5DBC" w:rsidRDefault="00A32184" w:rsidP="00A32184">
            <w:pPr>
              <w:pStyle w:val="Marginlie"/>
              <w:rPr>
                <w:lang w:val="en-GB"/>
              </w:rPr>
            </w:pPr>
            <w:r>
              <w:rPr>
                <w:lang w:val="en-GB"/>
              </w:rPr>
              <w:t>Short-</w:t>
            </w:r>
            <w:r w:rsidR="00A61108" w:rsidRPr="000A5DBC">
              <w:rPr>
                <w:lang w:val="en-GB"/>
              </w:rPr>
              <w:t xml:space="preserve">term expectations </w:t>
            </w:r>
            <w:r>
              <w:rPr>
                <w:lang w:val="en-GB"/>
              </w:rPr>
              <w:t>concerning</w:t>
            </w:r>
            <w:r w:rsidR="00A61108" w:rsidRPr="000A5DBC">
              <w:rPr>
                <w:lang w:val="en-GB"/>
              </w:rPr>
              <w:t xml:space="preserve"> </w:t>
            </w:r>
            <w:r w:rsidR="009F06F8" w:rsidRPr="000A5DBC">
              <w:rPr>
                <w:lang w:val="en-GB"/>
              </w:rPr>
              <w:t>employment</w:t>
            </w:r>
            <w:r w:rsidR="00A61108" w:rsidRPr="000A5DBC">
              <w:rPr>
                <w:lang w:val="en-GB"/>
              </w:rPr>
              <w:t xml:space="preserve"> stayed positive in both trade and construction at the turn of years </w:t>
            </w:r>
            <w:r w:rsidR="002C1110" w:rsidRPr="000A5DBC">
              <w:rPr>
                <w:lang w:val="en-GB"/>
              </w:rPr>
              <w:t>2019 a</w:t>
            </w:r>
            <w:r w:rsidR="00A61108" w:rsidRPr="000A5DBC">
              <w:rPr>
                <w:lang w:val="en-GB"/>
              </w:rPr>
              <w:t>nd</w:t>
            </w:r>
            <w:r w:rsidR="002C1110" w:rsidRPr="000A5DBC">
              <w:rPr>
                <w:lang w:val="en-GB"/>
              </w:rPr>
              <w:t xml:space="preserve"> 2020</w:t>
            </w:r>
            <w:r w:rsidR="00A61108" w:rsidRPr="000A5DBC">
              <w:rPr>
                <w:lang w:val="en-GB"/>
              </w:rPr>
              <w:t xml:space="preserve">. </w:t>
            </w:r>
            <w:r w:rsidR="002C1110" w:rsidRPr="000A5DBC">
              <w:rPr>
                <w:lang w:val="en-GB"/>
              </w:rPr>
              <w:t xml:space="preserve"> </w:t>
            </w:r>
          </w:p>
        </w:tc>
        <w:tc>
          <w:tcPr>
            <w:tcW w:w="210" w:type="dxa"/>
            <w:shd w:val="clear" w:color="auto" w:fill="auto"/>
            <w:tcMar>
              <w:left w:w="0" w:type="dxa"/>
            </w:tcMar>
          </w:tcPr>
          <w:p w14:paraId="4D982F86" w14:textId="77777777" w:rsidR="00485E82" w:rsidRPr="000A5DBC" w:rsidRDefault="00485E82" w:rsidP="00485E82">
            <w:pPr>
              <w:pStyle w:val="Textpoznpodarou"/>
              <w:jc w:val="both"/>
              <w:rPr>
                <w:spacing w:val="-4"/>
                <w:lang w:val="en-GB"/>
              </w:rPr>
            </w:pPr>
          </w:p>
        </w:tc>
        <w:tc>
          <w:tcPr>
            <w:tcW w:w="7730" w:type="dxa"/>
            <w:shd w:val="clear" w:color="auto" w:fill="auto"/>
            <w:tcMar>
              <w:left w:w="0" w:type="dxa"/>
            </w:tcMar>
          </w:tcPr>
          <w:p w14:paraId="62641513" w14:textId="77777777" w:rsidR="00485E82" w:rsidRPr="000A5DBC" w:rsidRDefault="009F06F8" w:rsidP="00485E82">
            <w:pPr>
              <w:rPr>
                <w:spacing w:val="-4"/>
                <w:lang w:val="en-GB"/>
              </w:rPr>
            </w:pPr>
            <w:r w:rsidRPr="000A5DBC">
              <w:rPr>
                <w:spacing w:val="-4"/>
                <w:lang w:val="en-GB"/>
              </w:rPr>
              <w:t>Short term expectations of employment, expressed by businesses in the business cycle surveys</w:t>
            </w:r>
            <w:r w:rsidR="00485E82" w:rsidRPr="000A5DBC">
              <w:rPr>
                <w:rStyle w:val="Znakapoznpodarou"/>
                <w:color w:val="0D0D0D" w:themeColor="text1" w:themeTint="F2"/>
                <w:spacing w:val="-4"/>
                <w:lang w:val="en-GB"/>
              </w:rPr>
              <w:footnoteReference w:id="4"/>
            </w:r>
            <w:r w:rsidR="00485E82" w:rsidRPr="000A5DBC">
              <w:rPr>
                <w:spacing w:val="-4"/>
                <w:lang w:val="en-GB"/>
              </w:rPr>
              <w:t xml:space="preserve">, </w:t>
            </w:r>
            <w:r w:rsidRPr="000A5DBC">
              <w:rPr>
                <w:spacing w:val="-4"/>
                <w:lang w:val="en-GB"/>
              </w:rPr>
              <w:t xml:space="preserve">stayed positive in the branches of trade and construction also at the turn of years </w:t>
            </w:r>
            <w:r w:rsidR="00485E82" w:rsidRPr="000A5DBC">
              <w:rPr>
                <w:spacing w:val="-4"/>
                <w:lang w:val="en-GB"/>
              </w:rPr>
              <w:t>2019 a</w:t>
            </w:r>
            <w:r w:rsidRPr="000A5DBC">
              <w:rPr>
                <w:spacing w:val="-4"/>
                <w:lang w:val="en-GB"/>
              </w:rPr>
              <w:t>nd</w:t>
            </w:r>
            <w:r w:rsidR="00485E82" w:rsidRPr="000A5DBC">
              <w:rPr>
                <w:spacing w:val="-4"/>
                <w:lang w:val="en-GB"/>
              </w:rPr>
              <w:t> 2020</w:t>
            </w:r>
            <w:r w:rsidRPr="000A5DBC">
              <w:rPr>
                <w:spacing w:val="-4"/>
                <w:lang w:val="en-GB"/>
              </w:rPr>
              <w:t>. Mild reduction of employment was on the contrary foresaw in industry (because of the development in Q4) an in the selected branches of market services (already more than one year</w:t>
            </w:r>
            <w:r w:rsidR="00485E82" w:rsidRPr="000A5DBC">
              <w:rPr>
                <w:spacing w:val="-4"/>
                <w:lang w:val="en-GB"/>
              </w:rPr>
              <w:t xml:space="preserve">). </w:t>
            </w:r>
            <w:r w:rsidR="00EB0C75" w:rsidRPr="000A5DBC">
              <w:rPr>
                <w:spacing w:val="-4"/>
                <w:lang w:val="en-GB"/>
              </w:rPr>
              <w:t>Within these weight important branches however the situation was relatively varied</w:t>
            </w:r>
            <w:r w:rsidR="00485E82" w:rsidRPr="000A5DBC">
              <w:rPr>
                <w:rStyle w:val="Znakapoznpodarou"/>
                <w:color w:val="0D0D0D" w:themeColor="text1" w:themeTint="F2"/>
                <w:spacing w:val="-4"/>
                <w:lang w:val="en-GB"/>
              </w:rPr>
              <w:footnoteReference w:id="5"/>
            </w:r>
            <w:r w:rsidR="00485E82" w:rsidRPr="000A5DBC">
              <w:rPr>
                <w:spacing w:val="-4"/>
                <w:lang w:val="en-GB"/>
              </w:rPr>
              <w:t>.</w:t>
            </w:r>
          </w:p>
        </w:tc>
      </w:tr>
      <w:tr w:rsidR="00485E82" w:rsidRPr="000A5DBC" w14:paraId="02B73FB8" w14:textId="77777777" w:rsidTr="00FC42DE">
        <w:trPr>
          <w:trHeight w:val="145"/>
        </w:trPr>
        <w:tc>
          <w:tcPr>
            <w:tcW w:w="1724" w:type="dxa"/>
            <w:shd w:val="clear" w:color="auto" w:fill="auto"/>
            <w:tcMar>
              <w:left w:w="0" w:type="dxa"/>
            </w:tcMar>
          </w:tcPr>
          <w:p w14:paraId="147DE4C4" w14:textId="6DA572E5" w:rsidR="00485E82" w:rsidRPr="000A5DBC" w:rsidRDefault="008D6189" w:rsidP="00560AB8">
            <w:pPr>
              <w:pStyle w:val="Marginlie"/>
              <w:rPr>
                <w:lang w:val="en-GB"/>
              </w:rPr>
            </w:pPr>
            <w:r w:rsidRPr="000A5DBC">
              <w:rPr>
                <w:lang w:val="en-GB"/>
              </w:rPr>
              <w:lastRenderedPageBreak/>
              <w:t xml:space="preserve">Number of </w:t>
            </w:r>
            <w:r w:rsidR="00560AB8">
              <w:rPr>
                <w:lang w:val="en-GB"/>
              </w:rPr>
              <w:t xml:space="preserve">legally </w:t>
            </w:r>
            <w:r w:rsidRPr="000A5DBC">
              <w:rPr>
                <w:lang w:val="en-GB"/>
              </w:rPr>
              <w:t xml:space="preserve">working </w:t>
            </w:r>
            <w:r w:rsidR="009A5D8C" w:rsidRPr="000A5DBC">
              <w:rPr>
                <w:lang w:val="en-GB"/>
              </w:rPr>
              <w:t>foreigners</w:t>
            </w:r>
            <w:r w:rsidR="00560AB8">
              <w:rPr>
                <w:lang w:val="en-GB"/>
              </w:rPr>
              <w:t xml:space="preserve"> in the CR </w:t>
            </w:r>
            <w:r w:rsidR="009A5D8C" w:rsidRPr="000A5DBC">
              <w:rPr>
                <w:lang w:val="en-GB"/>
              </w:rPr>
              <w:t>was expanding especially in the 1</w:t>
            </w:r>
            <w:r w:rsidR="009A5D8C" w:rsidRPr="000A5DBC">
              <w:rPr>
                <w:vertAlign w:val="superscript"/>
                <w:lang w:val="en-GB"/>
              </w:rPr>
              <w:t>st</w:t>
            </w:r>
            <w:r w:rsidR="009A5D8C" w:rsidRPr="000A5DBC">
              <w:rPr>
                <w:lang w:val="en-GB"/>
              </w:rPr>
              <w:t xml:space="preserve"> half of the year 2</w:t>
            </w:r>
            <w:r w:rsidR="00485E82" w:rsidRPr="000A5DBC">
              <w:rPr>
                <w:lang w:val="en-GB"/>
              </w:rPr>
              <w:t xml:space="preserve">019. </w:t>
            </w:r>
            <w:r w:rsidR="00EF5598" w:rsidRPr="000A5DBC">
              <w:rPr>
                <w:lang w:val="en-GB"/>
              </w:rPr>
              <w:t>It grew by the half rate than in both years 201</w:t>
            </w:r>
            <w:r w:rsidR="00017775">
              <w:rPr>
                <w:lang w:val="en-GB"/>
              </w:rPr>
              <w:t>7 and 2018 for the last</w:t>
            </w:r>
            <w:r w:rsidR="00EF5598" w:rsidRPr="000A5DBC">
              <w:rPr>
                <w:lang w:val="en-GB"/>
              </w:rPr>
              <w:t xml:space="preserve"> year.</w:t>
            </w:r>
          </w:p>
        </w:tc>
        <w:tc>
          <w:tcPr>
            <w:tcW w:w="210" w:type="dxa"/>
            <w:shd w:val="clear" w:color="auto" w:fill="auto"/>
            <w:tcMar>
              <w:left w:w="0" w:type="dxa"/>
            </w:tcMar>
          </w:tcPr>
          <w:p w14:paraId="3CBDF01F" w14:textId="77777777" w:rsidR="00485E82" w:rsidRPr="000A5DBC" w:rsidRDefault="00485E82" w:rsidP="00485E82">
            <w:pPr>
              <w:pStyle w:val="Textpoznpodarou"/>
              <w:jc w:val="both"/>
              <w:rPr>
                <w:spacing w:val="-4"/>
                <w:lang w:val="en-GB"/>
              </w:rPr>
            </w:pPr>
          </w:p>
        </w:tc>
        <w:tc>
          <w:tcPr>
            <w:tcW w:w="7730" w:type="dxa"/>
            <w:shd w:val="clear" w:color="auto" w:fill="auto"/>
            <w:tcMar>
              <w:left w:w="0" w:type="dxa"/>
            </w:tcMar>
          </w:tcPr>
          <w:p w14:paraId="5DB1A296" w14:textId="77777777" w:rsidR="00485E82" w:rsidRPr="000A5DBC" w:rsidRDefault="00FF423E" w:rsidP="00FC42DE">
            <w:pPr>
              <w:spacing w:after="220"/>
              <w:rPr>
                <w:spacing w:val="-4"/>
                <w:lang w:val="en-GB"/>
              </w:rPr>
            </w:pPr>
            <w:r w:rsidRPr="000A5DBC">
              <w:rPr>
                <w:spacing w:val="-4"/>
                <w:lang w:val="en-GB"/>
              </w:rPr>
              <w:t xml:space="preserve">Even though the factor of </w:t>
            </w:r>
            <w:r w:rsidR="00A5761C" w:rsidRPr="000A5DBC">
              <w:rPr>
                <w:spacing w:val="-4"/>
                <w:lang w:val="en-GB"/>
              </w:rPr>
              <w:t>shortage</w:t>
            </w:r>
            <w:r w:rsidRPr="000A5DBC">
              <w:rPr>
                <w:spacing w:val="-4"/>
                <w:lang w:val="en-GB"/>
              </w:rPr>
              <w:t xml:space="preserve"> of labour force as a barrier to growth of businesses gradually weakened during the last year, </w:t>
            </w:r>
            <w:r w:rsidR="008D6189" w:rsidRPr="000A5DBC">
              <w:rPr>
                <w:spacing w:val="-4"/>
                <w:lang w:val="en-GB"/>
              </w:rPr>
              <w:t xml:space="preserve">its role was </w:t>
            </w:r>
            <w:r w:rsidRPr="000A5DBC">
              <w:rPr>
                <w:spacing w:val="-4"/>
                <w:lang w:val="en-GB"/>
              </w:rPr>
              <w:t xml:space="preserve">still </w:t>
            </w:r>
            <w:r w:rsidR="008D6189" w:rsidRPr="000A5DBC">
              <w:rPr>
                <w:spacing w:val="-4"/>
                <w:lang w:val="en-GB"/>
              </w:rPr>
              <w:t xml:space="preserve">not </w:t>
            </w:r>
            <w:r w:rsidRPr="000A5DBC">
              <w:rPr>
                <w:spacing w:val="-4"/>
                <w:lang w:val="en-GB"/>
              </w:rPr>
              <w:t>negligible</w:t>
            </w:r>
            <w:r w:rsidR="008D6189" w:rsidRPr="000A5DBC">
              <w:rPr>
                <w:spacing w:val="-4"/>
                <w:lang w:val="en-GB"/>
              </w:rPr>
              <w:t xml:space="preserve"> at</w:t>
            </w:r>
            <w:r w:rsidRPr="000A5DBC">
              <w:rPr>
                <w:spacing w:val="-4"/>
                <w:lang w:val="en-GB"/>
              </w:rPr>
              <w:t xml:space="preserve"> t</w:t>
            </w:r>
            <w:r w:rsidR="008D6189" w:rsidRPr="000A5DBC">
              <w:rPr>
                <w:spacing w:val="-4"/>
                <w:lang w:val="en-GB"/>
              </w:rPr>
              <w:t xml:space="preserve">he beginning of year </w:t>
            </w:r>
            <w:r w:rsidR="00485E82" w:rsidRPr="000A5DBC">
              <w:rPr>
                <w:spacing w:val="-4"/>
                <w:lang w:val="en-GB"/>
              </w:rPr>
              <w:t>2020</w:t>
            </w:r>
            <w:r w:rsidR="008D6189" w:rsidRPr="000A5DBC">
              <w:rPr>
                <w:spacing w:val="-4"/>
                <w:lang w:val="en-GB"/>
              </w:rPr>
              <w:t xml:space="preserve"> </w:t>
            </w:r>
            <w:r w:rsidR="00485E82" w:rsidRPr="000A5DBC">
              <w:rPr>
                <w:spacing w:val="-4"/>
                <w:lang w:val="en-GB"/>
              </w:rPr>
              <w:t>(48%</w:t>
            </w:r>
            <w:r w:rsidR="008D6189" w:rsidRPr="000A5DBC">
              <w:rPr>
                <w:spacing w:val="-4"/>
                <w:lang w:val="en-GB"/>
              </w:rPr>
              <w:t xml:space="preserve"> in construction, </w:t>
            </w:r>
            <w:r w:rsidR="00485E82" w:rsidRPr="000A5DBC">
              <w:rPr>
                <w:spacing w:val="-4"/>
                <w:lang w:val="en-GB"/>
              </w:rPr>
              <w:t xml:space="preserve">28% </w:t>
            </w:r>
            <w:r w:rsidR="008D6189" w:rsidRPr="000A5DBC">
              <w:rPr>
                <w:spacing w:val="-4"/>
                <w:lang w:val="en-GB"/>
              </w:rPr>
              <w:t xml:space="preserve">in industry, </w:t>
            </w:r>
            <w:r w:rsidR="00485E82" w:rsidRPr="000A5DBC">
              <w:rPr>
                <w:spacing w:val="-4"/>
                <w:lang w:val="en-GB"/>
              </w:rPr>
              <w:t>20%</w:t>
            </w:r>
            <w:r w:rsidR="008D6189" w:rsidRPr="000A5DBC">
              <w:rPr>
                <w:spacing w:val="-4"/>
                <w:lang w:val="en-GB"/>
              </w:rPr>
              <w:t xml:space="preserve"> in the tertiary sector</w:t>
            </w:r>
            <w:r w:rsidR="00485E82" w:rsidRPr="000A5DBC">
              <w:rPr>
                <w:spacing w:val="-4"/>
                <w:lang w:val="en-GB"/>
              </w:rPr>
              <w:t xml:space="preserve"> – </w:t>
            </w:r>
            <w:r w:rsidR="008D6189" w:rsidRPr="000A5DBC">
              <w:rPr>
                <w:spacing w:val="-4"/>
                <w:lang w:val="en-GB"/>
              </w:rPr>
              <w:t>except for trade and public services</w:t>
            </w:r>
            <w:r w:rsidR="00485E82" w:rsidRPr="000A5DBC">
              <w:rPr>
                <w:spacing w:val="-4"/>
                <w:lang w:val="en-GB"/>
              </w:rPr>
              <w:t xml:space="preserve">). </w:t>
            </w:r>
            <w:r w:rsidR="003F5543" w:rsidRPr="000A5DBC">
              <w:rPr>
                <w:spacing w:val="-4"/>
                <w:lang w:val="en-GB"/>
              </w:rPr>
              <w:t>Given the factual exhaustion of vacant domestic labour force, the inflow of labour force from aboard continued</w:t>
            </w:r>
            <w:r w:rsidR="00485E82" w:rsidRPr="000A5DBC">
              <w:rPr>
                <w:spacing w:val="-4"/>
                <w:lang w:val="en-GB"/>
              </w:rPr>
              <w:t xml:space="preserve">. </w:t>
            </w:r>
            <w:r w:rsidR="004C6959" w:rsidRPr="000A5DBC">
              <w:rPr>
                <w:spacing w:val="-4"/>
                <w:lang w:val="en-GB"/>
              </w:rPr>
              <w:t>Number of foreign</w:t>
            </w:r>
            <w:r w:rsidR="00A5761C" w:rsidRPr="000A5DBC">
              <w:rPr>
                <w:spacing w:val="-4"/>
                <w:lang w:val="en-GB"/>
              </w:rPr>
              <w:t>ers</w:t>
            </w:r>
            <w:r w:rsidR="004C6959" w:rsidRPr="000A5DBC">
              <w:rPr>
                <w:spacing w:val="-4"/>
                <w:lang w:val="en-GB"/>
              </w:rPr>
              <w:t xml:space="preserve"> holding employee positions was according to the MLSA data </w:t>
            </w:r>
            <w:r w:rsidR="00485E82" w:rsidRPr="000A5DBC">
              <w:rPr>
                <w:spacing w:val="-4"/>
                <w:lang w:val="en-GB"/>
              </w:rPr>
              <w:t>622 t</w:t>
            </w:r>
            <w:r w:rsidR="004C6959" w:rsidRPr="000A5DBC">
              <w:rPr>
                <w:spacing w:val="-4"/>
                <w:lang w:val="en-GB"/>
              </w:rPr>
              <w:t>housand at the end of the year</w:t>
            </w:r>
            <w:r w:rsidR="00485E82" w:rsidRPr="000A5DBC">
              <w:rPr>
                <w:spacing w:val="-4"/>
                <w:lang w:val="en-GB"/>
              </w:rPr>
              <w:t xml:space="preserve">, </w:t>
            </w:r>
            <w:r w:rsidR="004C6959" w:rsidRPr="000A5DBC">
              <w:rPr>
                <w:spacing w:val="-4"/>
                <w:lang w:val="en-GB"/>
              </w:rPr>
              <w:t>year-on-year increase was however only one half compared to both years 2</w:t>
            </w:r>
            <w:r w:rsidR="00485E82" w:rsidRPr="000A5DBC">
              <w:rPr>
                <w:spacing w:val="-4"/>
                <w:lang w:val="en-GB"/>
              </w:rPr>
              <w:t xml:space="preserve">017 </w:t>
            </w:r>
            <w:r w:rsidR="004C6959" w:rsidRPr="000A5DBC">
              <w:rPr>
                <w:spacing w:val="-4"/>
                <w:lang w:val="en-GB"/>
              </w:rPr>
              <w:t>and</w:t>
            </w:r>
            <w:r w:rsidR="00485E82" w:rsidRPr="000A5DBC">
              <w:rPr>
                <w:spacing w:val="-4"/>
                <w:lang w:val="en-GB"/>
              </w:rPr>
              <w:t> 2018</w:t>
            </w:r>
            <w:r w:rsidR="004C6959" w:rsidRPr="000A5DBC">
              <w:rPr>
                <w:spacing w:val="-4"/>
                <w:lang w:val="en-GB"/>
              </w:rPr>
              <w:t xml:space="preserve"> last year </w:t>
            </w:r>
            <w:r w:rsidR="00485E82" w:rsidRPr="000A5DBC">
              <w:rPr>
                <w:spacing w:val="-4"/>
                <w:lang w:val="en-GB"/>
              </w:rPr>
              <w:t>(+53 t</w:t>
            </w:r>
            <w:r w:rsidR="004C6959" w:rsidRPr="000A5DBC">
              <w:rPr>
                <w:spacing w:val="-4"/>
                <w:lang w:val="en-GB"/>
              </w:rPr>
              <w:t>housand</w:t>
            </w:r>
            <w:r w:rsidR="00485E82" w:rsidRPr="000A5DBC">
              <w:rPr>
                <w:spacing w:val="-4"/>
                <w:lang w:val="en-GB"/>
              </w:rPr>
              <w:t>)</w:t>
            </w:r>
            <w:r w:rsidR="00485E82" w:rsidRPr="000A5DBC">
              <w:rPr>
                <w:rStyle w:val="Znakapoznpodarou"/>
                <w:color w:val="0D0D0D" w:themeColor="text1" w:themeTint="F2"/>
                <w:spacing w:val="-4"/>
                <w:lang w:val="en-GB"/>
              </w:rPr>
              <w:footnoteReference w:id="6"/>
            </w:r>
            <w:r w:rsidR="00485E82" w:rsidRPr="000A5DBC">
              <w:rPr>
                <w:spacing w:val="-4"/>
                <w:lang w:val="en-GB"/>
              </w:rPr>
              <w:t xml:space="preserve">. </w:t>
            </w:r>
            <w:r w:rsidR="00EF5598" w:rsidRPr="000A5DBC">
              <w:rPr>
                <w:spacing w:val="-4"/>
                <w:lang w:val="en-GB"/>
              </w:rPr>
              <w:t xml:space="preserve">Worsened situation in the industry </w:t>
            </w:r>
            <w:r w:rsidR="004C6959" w:rsidRPr="000A5DBC">
              <w:rPr>
                <w:spacing w:val="-4"/>
                <w:lang w:val="en-GB"/>
              </w:rPr>
              <w:t xml:space="preserve">in </w:t>
            </w:r>
            <w:r w:rsidR="00EF5598" w:rsidRPr="000A5DBC">
              <w:rPr>
                <w:spacing w:val="-4"/>
                <w:lang w:val="en-GB"/>
              </w:rPr>
              <w:t>the second half o</w:t>
            </w:r>
            <w:r w:rsidR="004C6959" w:rsidRPr="000A5DBC">
              <w:rPr>
                <w:spacing w:val="-4"/>
                <w:lang w:val="en-GB"/>
              </w:rPr>
              <w:t>f t</w:t>
            </w:r>
            <w:r w:rsidR="00EF5598" w:rsidRPr="000A5DBC">
              <w:rPr>
                <w:spacing w:val="-4"/>
                <w:lang w:val="en-GB"/>
              </w:rPr>
              <w:t xml:space="preserve">he year was reflected </w:t>
            </w:r>
            <w:r w:rsidR="004C6959" w:rsidRPr="000A5DBC">
              <w:rPr>
                <w:spacing w:val="-4"/>
                <w:lang w:val="en-GB"/>
              </w:rPr>
              <w:t xml:space="preserve">in </w:t>
            </w:r>
            <w:r w:rsidR="00EF5598" w:rsidRPr="000A5DBC">
              <w:rPr>
                <w:spacing w:val="-4"/>
                <w:lang w:val="en-GB"/>
              </w:rPr>
              <w:t xml:space="preserve">the weaker demand for workers </w:t>
            </w:r>
            <w:r w:rsidR="00485E82" w:rsidRPr="000A5DBC">
              <w:rPr>
                <w:spacing w:val="-4"/>
                <w:lang w:val="en-GB"/>
              </w:rPr>
              <w:t xml:space="preserve">– </w:t>
            </w:r>
            <w:r w:rsidR="00EF5598" w:rsidRPr="000A5DBC">
              <w:rPr>
                <w:spacing w:val="-4"/>
                <w:lang w:val="en-GB"/>
              </w:rPr>
              <w:t xml:space="preserve">number of persons with valid work permit dropped from </w:t>
            </w:r>
            <w:r w:rsidR="00485E82" w:rsidRPr="000A5DBC">
              <w:rPr>
                <w:spacing w:val="-4"/>
                <w:lang w:val="en-GB"/>
              </w:rPr>
              <w:t>57</w:t>
            </w:r>
            <w:r w:rsidR="00EF5598" w:rsidRPr="000A5DBC">
              <w:rPr>
                <w:spacing w:val="-4"/>
                <w:lang w:val="en-GB"/>
              </w:rPr>
              <w:t xml:space="preserve"> to </w:t>
            </w:r>
            <w:r w:rsidR="00485E82" w:rsidRPr="000A5DBC">
              <w:rPr>
                <w:spacing w:val="-4"/>
                <w:lang w:val="en-GB"/>
              </w:rPr>
              <w:t>31 t</w:t>
            </w:r>
            <w:r w:rsidR="00EF5598" w:rsidRPr="000A5DBC">
              <w:rPr>
                <w:spacing w:val="-4"/>
                <w:lang w:val="en-GB"/>
              </w:rPr>
              <w:t>housand during December</w:t>
            </w:r>
            <w:r w:rsidR="00485E82" w:rsidRPr="000A5DBC">
              <w:rPr>
                <w:spacing w:val="-4"/>
                <w:lang w:val="en-GB"/>
              </w:rPr>
              <w:t>,</w:t>
            </w:r>
            <w:r w:rsidR="00EF5598" w:rsidRPr="000A5DBC">
              <w:rPr>
                <w:spacing w:val="-4"/>
                <w:lang w:val="en-GB"/>
              </w:rPr>
              <w:t xml:space="preserve"> especially due to the reduction of citizens of Ukraine</w:t>
            </w:r>
            <w:r w:rsidR="00485E82" w:rsidRPr="000A5DBC">
              <w:rPr>
                <w:rStyle w:val="Znakapoznpodarou"/>
                <w:color w:val="0D0D0D" w:themeColor="text1" w:themeTint="F2"/>
                <w:spacing w:val="-4"/>
                <w:lang w:val="en-GB"/>
              </w:rPr>
              <w:footnoteReference w:id="7"/>
            </w:r>
            <w:r w:rsidR="00485E82" w:rsidRPr="000A5DBC">
              <w:rPr>
                <w:spacing w:val="-4"/>
                <w:lang w:val="en-GB"/>
              </w:rPr>
              <w:t>.</w:t>
            </w:r>
          </w:p>
        </w:tc>
      </w:tr>
      <w:tr w:rsidR="00485E82" w:rsidRPr="000A5DBC" w14:paraId="7DDAFAFE" w14:textId="77777777" w:rsidTr="00FC42DE">
        <w:trPr>
          <w:trHeight w:val="145"/>
        </w:trPr>
        <w:tc>
          <w:tcPr>
            <w:tcW w:w="1724" w:type="dxa"/>
            <w:shd w:val="clear" w:color="auto" w:fill="auto"/>
            <w:tcMar>
              <w:left w:w="0" w:type="dxa"/>
            </w:tcMar>
          </w:tcPr>
          <w:p w14:paraId="4B14268C" w14:textId="77777777" w:rsidR="00485E82" w:rsidRPr="000A5DBC" w:rsidRDefault="004C667D" w:rsidP="00485E82">
            <w:pPr>
              <w:pStyle w:val="Marginlie"/>
              <w:rPr>
                <w:lang w:val="en-GB"/>
              </w:rPr>
            </w:pPr>
            <w:r w:rsidRPr="000A5DBC">
              <w:rPr>
                <w:lang w:val="en-GB"/>
              </w:rPr>
              <w:t xml:space="preserve">Employment rate of persons in the productive age stagnated in </w:t>
            </w:r>
            <w:r w:rsidR="00485E82" w:rsidRPr="000A5DBC">
              <w:rPr>
                <w:lang w:val="en-GB"/>
              </w:rPr>
              <w:t>2019</w:t>
            </w:r>
            <w:r w:rsidRPr="000A5DBC">
              <w:rPr>
                <w:lang w:val="en-GB"/>
              </w:rPr>
              <w:t>. In the context of the EU however it still ranked among the significantly above average, mainly thanks to males.</w:t>
            </w:r>
          </w:p>
        </w:tc>
        <w:tc>
          <w:tcPr>
            <w:tcW w:w="210" w:type="dxa"/>
            <w:shd w:val="clear" w:color="auto" w:fill="auto"/>
            <w:tcMar>
              <w:left w:w="0" w:type="dxa"/>
            </w:tcMar>
          </w:tcPr>
          <w:p w14:paraId="5F17A53F" w14:textId="77777777" w:rsidR="00485E82" w:rsidRPr="000A5DBC" w:rsidRDefault="00485E82" w:rsidP="00485E82">
            <w:pPr>
              <w:pStyle w:val="Textpoznpodarou"/>
              <w:jc w:val="both"/>
              <w:rPr>
                <w:spacing w:val="-4"/>
                <w:lang w:val="en-GB"/>
              </w:rPr>
            </w:pPr>
          </w:p>
        </w:tc>
        <w:tc>
          <w:tcPr>
            <w:tcW w:w="7730" w:type="dxa"/>
            <w:shd w:val="clear" w:color="auto" w:fill="auto"/>
            <w:tcMar>
              <w:left w:w="0" w:type="dxa"/>
            </w:tcMar>
          </w:tcPr>
          <w:p w14:paraId="292B514F" w14:textId="77777777" w:rsidR="00485E82" w:rsidRPr="000A5DBC" w:rsidRDefault="00B96072" w:rsidP="00FC42DE">
            <w:pPr>
              <w:spacing w:after="220"/>
              <w:rPr>
                <w:spacing w:val="-2"/>
                <w:lang w:val="en-GB"/>
              </w:rPr>
            </w:pPr>
            <w:r w:rsidRPr="000A5DBC">
              <w:rPr>
                <w:spacing w:val="-2"/>
                <w:lang w:val="en-GB"/>
              </w:rPr>
              <w:t>Employment rate of persons aged 1</w:t>
            </w:r>
            <w:r w:rsidR="00485E82" w:rsidRPr="000A5DBC">
              <w:rPr>
                <w:spacing w:val="-2"/>
                <w:lang w:val="en-GB"/>
              </w:rPr>
              <w:t>5 </w:t>
            </w:r>
            <w:r w:rsidRPr="000A5DBC">
              <w:rPr>
                <w:spacing w:val="-2"/>
                <w:lang w:val="en-GB"/>
              </w:rPr>
              <w:t xml:space="preserve">to </w:t>
            </w:r>
            <w:r w:rsidR="00485E82" w:rsidRPr="000A5DBC">
              <w:rPr>
                <w:spacing w:val="-2"/>
                <w:lang w:val="en-GB"/>
              </w:rPr>
              <w:t>64 </w:t>
            </w:r>
            <w:r w:rsidRPr="000A5DBC">
              <w:rPr>
                <w:spacing w:val="-2"/>
                <w:lang w:val="en-GB"/>
              </w:rPr>
              <w:t xml:space="preserve">years reached </w:t>
            </w:r>
            <w:r w:rsidR="00485E82" w:rsidRPr="000A5DBC">
              <w:rPr>
                <w:spacing w:val="-2"/>
                <w:lang w:val="en-GB"/>
              </w:rPr>
              <w:t>(</w:t>
            </w:r>
            <w:r w:rsidRPr="000A5DBC">
              <w:rPr>
                <w:spacing w:val="-2"/>
                <w:lang w:val="en-GB"/>
              </w:rPr>
              <w:t>based on the seasonally adjusted data from the LFSS</w:t>
            </w:r>
            <w:r w:rsidR="00485E82" w:rsidRPr="000A5DBC">
              <w:rPr>
                <w:spacing w:val="-2"/>
                <w:lang w:val="en-GB"/>
              </w:rPr>
              <w:t>) 82</w:t>
            </w:r>
            <w:r w:rsidRPr="000A5DBC">
              <w:rPr>
                <w:spacing w:val="-2"/>
                <w:lang w:val="en-GB"/>
              </w:rPr>
              <w:t>.</w:t>
            </w:r>
            <w:r w:rsidR="00485E82" w:rsidRPr="000A5DBC">
              <w:rPr>
                <w:spacing w:val="-2"/>
                <w:lang w:val="en-GB"/>
              </w:rPr>
              <w:t>1</w:t>
            </w:r>
            <w:r w:rsidR="00840317">
              <w:rPr>
                <w:spacing w:val="-2"/>
                <w:lang w:val="en-GB"/>
              </w:rPr>
              <w:t>%</w:t>
            </w:r>
            <w:r w:rsidRPr="000A5DBC">
              <w:rPr>
                <w:spacing w:val="-2"/>
                <w:lang w:val="en-GB"/>
              </w:rPr>
              <w:t xml:space="preserve"> for males</w:t>
            </w:r>
            <w:r w:rsidR="00485E82" w:rsidRPr="000A5DBC">
              <w:rPr>
                <w:spacing w:val="-2"/>
                <w:lang w:val="en-GB"/>
              </w:rPr>
              <w:t>, 68</w:t>
            </w:r>
            <w:r w:rsidRPr="000A5DBC">
              <w:rPr>
                <w:spacing w:val="-2"/>
                <w:lang w:val="en-GB"/>
              </w:rPr>
              <w:t>.</w:t>
            </w:r>
            <w:r w:rsidR="00485E82" w:rsidRPr="000A5DBC">
              <w:rPr>
                <w:spacing w:val="-2"/>
                <w:lang w:val="en-GB"/>
              </w:rPr>
              <w:t>2%</w:t>
            </w:r>
            <w:r w:rsidRPr="000A5DBC">
              <w:rPr>
                <w:spacing w:val="-2"/>
                <w:lang w:val="en-GB"/>
              </w:rPr>
              <w:t xml:space="preserve"> for females in Q4 2019</w:t>
            </w:r>
            <w:r w:rsidR="00485E82" w:rsidRPr="000A5DBC">
              <w:rPr>
                <w:spacing w:val="-2"/>
                <w:lang w:val="en-GB"/>
              </w:rPr>
              <w:t>.</w:t>
            </w:r>
            <w:r w:rsidRPr="000A5DBC">
              <w:rPr>
                <w:spacing w:val="-2"/>
                <w:lang w:val="en-GB"/>
              </w:rPr>
              <w:t xml:space="preserve"> Its long-term growth was interrupted at the end of year</w:t>
            </w:r>
            <w:r w:rsidR="00485E82" w:rsidRPr="000A5DBC">
              <w:rPr>
                <w:spacing w:val="-2"/>
                <w:lang w:val="en-GB"/>
              </w:rPr>
              <w:t xml:space="preserve"> 2018 (</w:t>
            </w:r>
            <w:r w:rsidRPr="000A5DBC">
              <w:rPr>
                <w:spacing w:val="-2"/>
                <w:lang w:val="en-GB"/>
              </w:rPr>
              <w:t>employment has been stagnated since then</w:t>
            </w:r>
            <w:r w:rsidR="00485E82" w:rsidRPr="000A5DBC">
              <w:rPr>
                <w:spacing w:val="-2"/>
                <w:lang w:val="en-GB"/>
              </w:rPr>
              <w:t xml:space="preserve">). </w:t>
            </w:r>
            <w:r w:rsidR="00430020" w:rsidRPr="000A5DBC">
              <w:rPr>
                <w:spacing w:val="-2"/>
                <w:lang w:val="en-GB"/>
              </w:rPr>
              <w:t xml:space="preserve">Higher economic activity towards the end as well as after the end of the productive age </w:t>
            </w:r>
            <w:r w:rsidR="00485E82" w:rsidRPr="000A5DBC">
              <w:rPr>
                <w:spacing w:val="-2"/>
                <w:lang w:val="en-GB"/>
              </w:rPr>
              <w:t>(</w:t>
            </w:r>
            <w:r w:rsidR="00430020" w:rsidRPr="000A5DBC">
              <w:rPr>
                <w:spacing w:val="-2"/>
                <w:lang w:val="en-GB"/>
              </w:rPr>
              <w:t>due to strong demand for workers</w:t>
            </w:r>
            <w:r w:rsidR="00485E82" w:rsidRPr="000A5DBC">
              <w:rPr>
                <w:spacing w:val="-2"/>
                <w:lang w:val="en-GB"/>
              </w:rPr>
              <w:t xml:space="preserve">, </w:t>
            </w:r>
            <w:r w:rsidR="00430020" w:rsidRPr="000A5DBC">
              <w:rPr>
                <w:spacing w:val="-2"/>
                <w:lang w:val="en-GB"/>
              </w:rPr>
              <w:t>especially in services as well as the lengthening of the legal retirement age</w:t>
            </w:r>
            <w:r w:rsidR="00485E82" w:rsidRPr="000A5DBC">
              <w:rPr>
                <w:spacing w:val="-2"/>
                <w:lang w:val="en-GB"/>
              </w:rPr>
              <w:t xml:space="preserve">), </w:t>
            </w:r>
            <w:r w:rsidR="00430020" w:rsidRPr="000A5DBC">
              <w:rPr>
                <w:spacing w:val="-2"/>
                <w:lang w:val="en-GB"/>
              </w:rPr>
              <w:t>and also the continuing foreign work migration affected the rate positively</w:t>
            </w:r>
            <w:r w:rsidR="00485E82" w:rsidRPr="000A5DBC">
              <w:rPr>
                <w:spacing w:val="-2"/>
                <w:lang w:val="en-GB"/>
              </w:rPr>
              <w:t xml:space="preserve">. </w:t>
            </w:r>
            <w:r w:rsidR="000366B2" w:rsidRPr="000A5DBC">
              <w:rPr>
                <w:spacing w:val="-2"/>
                <w:lang w:val="en-GB"/>
              </w:rPr>
              <w:t xml:space="preserve">Employment rate in the CR stays significantly above average in the European context, especially thanks to males, whose position was exceeded in the EU only by Netherlands </w:t>
            </w:r>
            <w:r w:rsidR="00002566" w:rsidRPr="000A5DBC">
              <w:rPr>
                <w:spacing w:val="-2"/>
                <w:lang w:val="en-GB"/>
              </w:rPr>
              <w:t>(82</w:t>
            </w:r>
            <w:r w:rsidR="000366B2" w:rsidRPr="000A5DBC">
              <w:rPr>
                <w:spacing w:val="-2"/>
                <w:lang w:val="en-GB"/>
              </w:rPr>
              <w:t>.</w:t>
            </w:r>
            <w:r w:rsidR="00002566" w:rsidRPr="000A5DBC">
              <w:rPr>
                <w:spacing w:val="-2"/>
                <w:lang w:val="en-GB"/>
              </w:rPr>
              <w:t>3%) a</w:t>
            </w:r>
            <w:r w:rsidR="000366B2" w:rsidRPr="000A5DBC">
              <w:rPr>
                <w:spacing w:val="-2"/>
                <w:lang w:val="en-GB"/>
              </w:rPr>
              <w:t>nd</w:t>
            </w:r>
            <w:r w:rsidR="00002566" w:rsidRPr="000A5DBC">
              <w:rPr>
                <w:spacing w:val="-2"/>
                <w:lang w:val="en-GB"/>
              </w:rPr>
              <w:t> Malta (8</w:t>
            </w:r>
            <w:r w:rsidR="00A5761C" w:rsidRPr="000A5DBC">
              <w:rPr>
                <w:spacing w:val="-2"/>
                <w:lang w:val="en-GB"/>
              </w:rPr>
              <w:t>3.4</w:t>
            </w:r>
            <w:r w:rsidR="00485E82" w:rsidRPr="000A5DBC">
              <w:rPr>
                <w:spacing w:val="-2"/>
                <w:lang w:val="en-GB"/>
              </w:rPr>
              <w:t xml:space="preserve">%). </w:t>
            </w:r>
            <w:r w:rsidR="000366B2" w:rsidRPr="000A5DBC">
              <w:rPr>
                <w:spacing w:val="-2"/>
                <w:lang w:val="en-GB"/>
              </w:rPr>
              <w:t xml:space="preserve">Employment of females was also above average in the CR </w:t>
            </w:r>
            <w:r w:rsidR="00002566" w:rsidRPr="000A5DBC">
              <w:rPr>
                <w:spacing w:val="-2"/>
                <w:lang w:val="en-GB"/>
              </w:rPr>
              <w:t>(</w:t>
            </w:r>
            <w:r w:rsidR="000366B2" w:rsidRPr="000A5DBC">
              <w:rPr>
                <w:spacing w:val="-2"/>
                <w:lang w:val="en-GB"/>
              </w:rPr>
              <w:t>by</w:t>
            </w:r>
            <w:r w:rsidR="00002566" w:rsidRPr="000A5DBC">
              <w:rPr>
                <w:spacing w:val="-2"/>
                <w:lang w:val="en-GB"/>
              </w:rPr>
              <w:t> 3</w:t>
            </w:r>
            <w:r w:rsidR="000366B2" w:rsidRPr="000A5DBC">
              <w:rPr>
                <w:spacing w:val="-2"/>
                <w:lang w:val="en-GB"/>
              </w:rPr>
              <w:t>.</w:t>
            </w:r>
            <w:r w:rsidR="00002566" w:rsidRPr="000A5DBC">
              <w:rPr>
                <w:spacing w:val="-2"/>
                <w:lang w:val="en-GB"/>
              </w:rPr>
              <w:t>9 p.</w:t>
            </w:r>
            <w:r w:rsidR="000366B2" w:rsidRPr="000A5DBC">
              <w:rPr>
                <w:spacing w:val="-2"/>
                <w:lang w:val="en-GB"/>
              </w:rPr>
              <w:t>p. higher than in the Union</w:t>
            </w:r>
            <w:r w:rsidR="00485E82" w:rsidRPr="000A5DBC">
              <w:rPr>
                <w:spacing w:val="-2"/>
                <w:lang w:val="en-GB"/>
              </w:rPr>
              <w:t xml:space="preserve">), </w:t>
            </w:r>
            <w:r w:rsidR="000366B2" w:rsidRPr="000A5DBC">
              <w:rPr>
                <w:spacing w:val="-2"/>
                <w:lang w:val="en-GB"/>
              </w:rPr>
              <w:t xml:space="preserve">however distinctly below the level of the best placed Sweden </w:t>
            </w:r>
            <w:r w:rsidR="00002566" w:rsidRPr="000A5DBC">
              <w:rPr>
                <w:spacing w:val="-2"/>
                <w:lang w:val="en-GB"/>
              </w:rPr>
              <w:t>(75</w:t>
            </w:r>
            <w:r w:rsidR="000366B2" w:rsidRPr="000A5DBC">
              <w:rPr>
                <w:spacing w:val="-2"/>
                <w:lang w:val="en-GB"/>
              </w:rPr>
              <w:t>.</w:t>
            </w:r>
            <w:r w:rsidR="00002566" w:rsidRPr="000A5DBC">
              <w:rPr>
                <w:spacing w:val="-2"/>
                <w:lang w:val="en-GB"/>
              </w:rPr>
              <w:t>2</w:t>
            </w:r>
            <w:r w:rsidR="00485E82" w:rsidRPr="000A5DBC">
              <w:rPr>
                <w:spacing w:val="-2"/>
                <w:lang w:val="en-GB"/>
              </w:rPr>
              <w:t>%),</w:t>
            </w:r>
            <w:r w:rsidR="000366B2" w:rsidRPr="000A5DBC">
              <w:rPr>
                <w:spacing w:val="-2"/>
                <w:lang w:val="en-GB"/>
              </w:rPr>
              <w:t xml:space="preserve"> but also the Baltic</w:t>
            </w:r>
            <w:r w:rsidR="00A5761C" w:rsidRPr="000A5DBC">
              <w:rPr>
                <w:spacing w:val="-2"/>
                <w:lang w:val="en-GB"/>
              </w:rPr>
              <w:t xml:space="preserve"> States</w:t>
            </w:r>
            <w:r w:rsidR="000366B2" w:rsidRPr="000A5DBC">
              <w:rPr>
                <w:spacing w:val="-2"/>
                <w:lang w:val="en-GB"/>
              </w:rPr>
              <w:t xml:space="preserve"> </w:t>
            </w:r>
            <w:r w:rsidR="00485E82" w:rsidRPr="000A5DBC">
              <w:rPr>
                <w:spacing w:val="-2"/>
                <w:lang w:val="en-GB"/>
              </w:rPr>
              <w:t>(71</w:t>
            </w:r>
            <w:r w:rsidR="00485E82" w:rsidRPr="000A5DBC">
              <w:rPr>
                <w:spacing w:val="-4"/>
                <w:lang w:val="en-GB"/>
              </w:rPr>
              <w:t>–</w:t>
            </w:r>
            <w:r w:rsidR="00485E82" w:rsidRPr="000A5DBC">
              <w:rPr>
                <w:spacing w:val="-2"/>
                <w:lang w:val="en-GB"/>
              </w:rPr>
              <w:t>73%).</w:t>
            </w:r>
          </w:p>
        </w:tc>
      </w:tr>
      <w:tr w:rsidR="00485E82" w:rsidRPr="000A5DBC" w14:paraId="6DFC8725" w14:textId="77777777" w:rsidTr="00FC42DE">
        <w:trPr>
          <w:trHeight w:val="98"/>
        </w:trPr>
        <w:tc>
          <w:tcPr>
            <w:tcW w:w="1724" w:type="dxa"/>
            <w:vMerge w:val="restart"/>
            <w:shd w:val="clear" w:color="auto" w:fill="auto"/>
            <w:tcMar>
              <w:left w:w="0" w:type="dxa"/>
            </w:tcMar>
          </w:tcPr>
          <w:p w14:paraId="54DBE46C" w14:textId="77777777" w:rsidR="00485E82" w:rsidRPr="000A5DBC" w:rsidRDefault="00485E82" w:rsidP="00485E82">
            <w:pPr>
              <w:pStyle w:val="Marginlie"/>
              <w:rPr>
                <w:lang w:val="en-GB"/>
              </w:rPr>
            </w:pPr>
          </w:p>
        </w:tc>
        <w:tc>
          <w:tcPr>
            <w:tcW w:w="210" w:type="dxa"/>
            <w:vMerge w:val="restart"/>
            <w:shd w:val="clear" w:color="auto" w:fill="auto"/>
            <w:tcMar>
              <w:left w:w="0" w:type="dxa"/>
            </w:tcMar>
          </w:tcPr>
          <w:p w14:paraId="12D6F0B5" w14:textId="77777777" w:rsidR="00485E82" w:rsidRPr="000A5DBC" w:rsidRDefault="00485E82" w:rsidP="00485E82">
            <w:pPr>
              <w:pStyle w:val="Textpoznpodarou"/>
              <w:jc w:val="both"/>
              <w:rPr>
                <w:spacing w:val="-4"/>
                <w:lang w:val="en-GB"/>
              </w:rPr>
            </w:pPr>
          </w:p>
        </w:tc>
        <w:tc>
          <w:tcPr>
            <w:tcW w:w="7730" w:type="dxa"/>
            <w:shd w:val="clear" w:color="auto" w:fill="auto"/>
            <w:tcMar>
              <w:left w:w="0" w:type="dxa"/>
            </w:tcMar>
          </w:tcPr>
          <w:p w14:paraId="5ADD11B1" w14:textId="77777777" w:rsidR="00485E82" w:rsidRPr="000A5DBC" w:rsidRDefault="001D1BE6" w:rsidP="00FC42DE">
            <w:pPr>
              <w:spacing w:after="40"/>
              <w:rPr>
                <w:b/>
                <w:bCs/>
                <w:spacing w:val="-2"/>
                <w:lang w:val="en-GB"/>
              </w:rPr>
            </w:pPr>
            <w:r w:rsidRPr="000A5DBC">
              <w:rPr>
                <w:rFonts w:cs="Arial"/>
                <w:b/>
                <w:bCs/>
                <w:color w:val="000000"/>
                <w:szCs w:val="20"/>
                <w:lang w:val="en-GB"/>
              </w:rPr>
              <w:t xml:space="preserve">Chart </w:t>
            </w:r>
            <w:r w:rsidR="00636A40" w:rsidRPr="000A5DBC">
              <w:rPr>
                <w:rFonts w:cs="Arial"/>
                <w:b/>
                <w:bCs/>
                <w:color w:val="000000"/>
                <w:szCs w:val="20"/>
                <w:lang w:val="en-GB"/>
              </w:rPr>
              <w:t>12</w:t>
            </w:r>
            <w:r w:rsidR="00636A40" w:rsidRPr="000A5DBC">
              <w:rPr>
                <w:rFonts w:cs="Arial"/>
                <w:b/>
                <w:bCs/>
                <w:color w:val="000000"/>
                <w:sz w:val="18"/>
                <w:szCs w:val="18"/>
                <w:lang w:val="en-GB"/>
              </w:rPr>
              <w:t xml:space="preserve"> Total</w:t>
            </w:r>
            <w:r w:rsidR="00A5761C" w:rsidRPr="000A5DBC">
              <w:rPr>
                <w:b/>
                <w:bCs/>
                <w:lang w:val="en-GB" w:eastAsia="en-US"/>
              </w:rPr>
              <w:t xml:space="preserve"> employment </w:t>
            </w:r>
            <w:r w:rsidR="00A5761C" w:rsidRPr="000A5DBC">
              <w:rPr>
                <w:lang w:val="en-GB" w:eastAsia="en-US"/>
              </w:rPr>
              <w:t xml:space="preserve">(year-on-year in </w:t>
            </w:r>
            <w:r w:rsidR="00485E82" w:rsidRPr="000A5DBC">
              <w:rPr>
                <w:spacing w:val="-2"/>
                <w:lang w:val="en-GB"/>
              </w:rPr>
              <w:t>%)</w:t>
            </w:r>
            <w:r w:rsidR="00485E82" w:rsidRPr="000A5DBC">
              <w:rPr>
                <w:b/>
                <w:bCs/>
                <w:spacing w:val="-2"/>
                <w:lang w:val="en-GB"/>
              </w:rPr>
              <w:t xml:space="preserve">, </w:t>
            </w:r>
            <w:r w:rsidR="00A5761C" w:rsidRPr="000A5DBC">
              <w:rPr>
                <w:b/>
                <w:bCs/>
                <w:spacing w:val="-2"/>
                <w:lang w:val="en-GB"/>
              </w:rPr>
              <w:t xml:space="preserve">contributions of main branches to year-on-year employment change </w:t>
            </w:r>
            <w:r w:rsidR="00485E82" w:rsidRPr="000A5DBC">
              <w:rPr>
                <w:spacing w:val="-2"/>
                <w:lang w:val="en-GB"/>
              </w:rPr>
              <w:t>(</w:t>
            </w:r>
            <w:r w:rsidR="00A5761C" w:rsidRPr="000A5DBC">
              <w:rPr>
                <w:spacing w:val="-2"/>
                <w:lang w:val="en-GB"/>
              </w:rPr>
              <w:t>in p.p.</w:t>
            </w:r>
            <w:r w:rsidR="00485E82" w:rsidRPr="000A5DBC">
              <w:rPr>
                <w:spacing w:val="-2"/>
                <w:lang w:val="en-GB"/>
              </w:rPr>
              <w:t>)</w:t>
            </w:r>
            <w:r w:rsidR="00485E82" w:rsidRPr="000A5DBC">
              <w:rPr>
                <w:b/>
                <w:bCs/>
                <w:spacing w:val="-2"/>
                <w:lang w:val="en-GB"/>
              </w:rPr>
              <w:t xml:space="preserve"> a</w:t>
            </w:r>
            <w:r w:rsidR="00A5761C" w:rsidRPr="000A5DBC">
              <w:rPr>
                <w:b/>
                <w:bCs/>
                <w:spacing w:val="-2"/>
                <w:lang w:val="en-GB"/>
              </w:rPr>
              <w:t>nd expectations of employment development in the next quarter</w:t>
            </w:r>
            <w:r w:rsidR="00485E82" w:rsidRPr="000A5DBC">
              <w:rPr>
                <w:b/>
                <w:bCs/>
                <w:spacing w:val="-2"/>
                <w:lang w:val="en-GB"/>
              </w:rPr>
              <w:t> </w:t>
            </w:r>
            <w:r w:rsidR="00485E82" w:rsidRPr="000A5DBC">
              <w:rPr>
                <w:spacing w:val="-2"/>
                <w:lang w:val="en-GB"/>
              </w:rPr>
              <w:t>(</w:t>
            </w:r>
            <w:r w:rsidR="00A5761C" w:rsidRPr="000A5DBC">
              <w:rPr>
                <w:spacing w:val="-2"/>
                <w:lang w:val="en-GB"/>
              </w:rPr>
              <w:t>balance in p.p., seasonally adjusted</w:t>
            </w:r>
            <w:r w:rsidR="00485E82" w:rsidRPr="000A5DBC">
              <w:rPr>
                <w:spacing w:val="-2"/>
                <w:lang w:val="en-GB"/>
              </w:rPr>
              <w:t>)</w:t>
            </w:r>
          </w:p>
        </w:tc>
      </w:tr>
      <w:tr w:rsidR="00485E82" w:rsidRPr="000A5DBC" w14:paraId="69168B59" w14:textId="77777777" w:rsidTr="00FC42DE">
        <w:tblPrEx>
          <w:tblCellMar>
            <w:left w:w="70" w:type="dxa"/>
            <w:right w:w="70" w:type="dxa"/>
          </w:tblCellMar>
        </w:tblPrEx>
        <w:trPr>
          <w:trHeight w:val="96"/>
        </w:trPr>
        <w:tc>
          <w:tcPr>
            <w:tcW w:w="1724" w:type="dxa"/>
            <w:vMerge/>
            <w:shd w:val="clear" w:color="auto" w:fill="auto"/>
          </w:tcPr>
          <w:p w14:paraId="0BD97A19" w14:textId="77777777" w:rsidR="00485E82" w:rsidRPr="000A5DBC" w:rsidRDefault="00485E82" w:rsidP="00485E82">
            <w:pPr>
              <w:pStyle w:val="Marginlie"/>
              <w:rPr>
                <w:lang w:val="en-GB"/>
              </w:rPr>
            </w:pPr>
          </w:p>
        </w:tc>
        <w:tc>
          <w:tcPr>
            <w:tcW w:w="210" w:type="dxa"/>
            <w:vMerge/>
            <w:shd w:val="clear" w:color="auto" w:fill="auto"/>
          </w:tcPr>
          <w:p w14:paraId="312DDB0A" w14:textId="77777777" w:rsidR="00485E82" w:rsidRPr="000A5DBC" w:rsidRDefault="00485E82" w:rsidP="00485E82">
            <w:pPr>
              <w:pStyle w:val="Textpoznpodarou"/>
              <w:jc w:val="both"/>
              <w:rPr>
                <w:spacing w:val="-4"/>
                <w:lang w:val="en-GB"/>
              </w:rPr>
            </w:pPr>
          </w:p>
        </w:tc>
        <w:tc>
          <w:tcPr>
            <w:tcW w:w="7730" w:type="dxa"/>
            <w:shd w:val="clear" w:color="auto" w:fill="auto"/>
          </w:tcPr>
          <w:p w14:paraId="4738CCD3" w14:textId="2BA72B2A" w:rsidR="00485E82" w:rsidRPr="000A5DBC" w:rsidRDefault="00FC42DE" w:rsidP="00485E82">
            <w:pPr>
              <w:spacing w:after="40" w:line="240" w:lineRule="auto"/>
              <w:rPr>
                <w:spacing w:val="-2"/>
                <w:lang w:val="en-GB"/>
              </w:rPr>
            </w:pPr>
            <w:r>
              <w:rPr>
                <w:noProof/>
              </w:rPr>
              <w:drawing>
                <wp:inline distT="0" distB="0" distL="0" distR="0" wp14:anchorId="472FC632" wp14:editId="5A228C43">
                  <wp:extent cx="4812665" cy="3562503"/>
                  <wp:effectExtent l="0" t="0" r="6985"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FC42DE" w:rsidRPr="000A5DBC" w14:paraId="4F6C4552" w14:textId="77777777" w:rsidTr="00FC42DE">
        <w:trPr>
          <w:trHeight w:val="96"/>
        </w:trPr>
        <w:tc>
          <w:tcPr>
            <w:tcW w:w="1724" w:type="dxa"/>
            <w:vMerge/>
            <w:shd w:val="clear" w:color="auto" w:fill="auto"/>
            <w:tcMar>
              <w:left w:w="0" w:type="dxa"/>
            </w:tcMar>
          </w:tcPr>
          <w:p w14:paraId="20ECC73A" w14:textId="77777777" w:rsidR="00FC42DE" w:rsidRPr="000A5DBC" w:rsidRDefault="00FC42DE" w:rsidP="00FC42DE">
            <w:pPr>
              <w:pStyle w:val="Marginlie"/>
              <w:rPr>
                <w:lang w:val="en-GB"/>
              </w:rPr>
            </w:pPr>
          </w:p>
        </w:tc>
        <w:tc>
          <w:tcPr>
            <w:tcW w:w="210" w:type="dxa"/>
            <w:vMerge/>
            <w:shd w:val="clear" w:color="auto" w:fill="auto"/>
            <w:tcMar>
              <w:left w:w="0" w:type="dxa"/>
            </w:tcMar>
          </w:tcPr>
          <w:p w14:paraId="36A3B325" w14:textId="77777777" w:rsidR="00FC42DE" w:rsidRPr="000A5DBC" w:rsidRDefault="00FC42DE" w:rsidP="00FC42DE">
            <w:pPr>
              <w:pStyle w:val="Textpoznpodarou"/>
              <w:jc w:val="both"/>
              <w:rPr>
                <w:spacing w:val="-4"/>
                <w:lang w:val="en-GB"/>
              </w:rPr>
            </w:pPr>
          </w:p>
        </w:tc>
        <w:tc>
          <w:tcPr>
            <w:tcW w:w="7730" w:type="dxa"/>
            <w:shd w:val="clear" w:color="auto" w:fill="auto"/>
            <w:tcMar>
              <w:left w:w="0" w:type="dxa"/>
            </w:tcMar>
          </w:tcPr>
          <w:p w14:paraId="14A601B7" w14:textId="77777777" w:rsidR="00FC42DE" w:rsidRPr="000A5DBC" w:rsidRDefault="00FC42DE" w:rsidP="00FC42DE">
            <w:pPr>
              <w:spacing w:after="0" w:line="240" w:lineRule="auto"/>
              <w:rPr>
                <w:rFonts w:cs="Arial"/>
                <w:sz w:val="14"/>
                <w:szCs w:val="14"/>
                <w:lang w:val="en-GB"/>
              </w:rPr>
            </w:pPr>
            <w:r w:rsidRPr="000A5DBC">
              <w:rPr>
                <w:rFonts w:cs="Arial"/>
                <w:sz w:val="14"/>
                <w:szCs w:val="14"/>
                <w:lang w:val="en-GB"/>
              </w:rPr>
              <w:t>*Mining and energetics; Financial and insurance activities; Real estate activities; Arts, entertainment and recreation activitie</w:t>
            </w:r>
            <w:r>
              <w:rPr>
                <w:rFonts w:cs="Arial"/>
                <w:sz w:val="14"/>
                <w:szCs w:val="14"/>
                <w:lang w:val="en-GB"/>
              </w:rPr>
              <w:t>s; Other services.</w:t>
            </w:r>
          </w:p>
          <w:p w14:paraId="3F9C8AF8" w14:textId="77777777" w:rsidR="00FC42DE" w:rsidRPr="000A5DBC" w:rsidRDefault="00FC42DE" w:rsidP="00FC42DE">
            <w:pPr>
              <w:spacing w:after="0" w:line="240" w:lineRule="auto"/>
              <w:rPr>
                <w:rFonts w:cs="Arial"/>
                <w:sz w:val="14"/>
                <w:szCs w:val="14"/>
                <w:lang w:val="en-GB"/>
              </w:rPr>
            </w:pPr>
            <w:r w:rsidRPr="000A5DBC">
              <w:rPr>
                <w:rFonts w:cs="Arial"/>
                <w:sz w:val="14"/>
                <w:szCs w:val="14"/>
                <w:lang w:val="en-GB"/>
              </w:rPr>
              <w:t xml:space="preserve">Note: Balance of expectations expresses the difference in p.p. between categories (growth vs. decrease of employment in the following quarter) </w:t>
            </w:r>
          </w:p>
          <w:p w14:paraId="2154DB42" w14:textId="738C1C7D" w:rsidR="00FC42DE" w:rsidRPr="000A5DBC" w:rsidRDefault="00FC42DE" w:rsidP="00FC42DE">
            <w:pPr>
              <w:spacing w:after="0" w:line="240" w:lineRule="auto"/>
              <w:rPr>
                <w:rFonts w:cs="Arial"/>
                <w:b/>
                <w:bCs/>
                <w:sz w:val="16"/>
                <w:szCs w:val="16"/>
                <w:lang w:val="en-GB"/>
              </w:rPr>
            </w:pPr>
            <w:r w:rsidRPr="000A5DBC">
              <w:rPr>
                <w:rFonts w:cs="Arial"/>
                <w:sz w:val="14"/>
                <w:szCs w:val="14"/>
                <w:lang w:val="en-GB"/>
              </w:rPr>
              <w:t>Source: CZSO (national accounts, business cycle surveys</w:t>
            </w:r>
            <w:r>
              <w:rPr>
                <w:rFonts w:cs="Arial"/>
                <w:sz w:val="14"/>
                <w:szCs w:val="14"/>
                <w:lang w:val="en-GB"/>
              </w:rPr>
              <w:t>)</w:t>
            </w:r>
          </w:p>
        </w:tc>
      </w:tr>
      <w:tr w:rsidR="00FC42DE" w:rsidRPr="000A5DBC" w14:paraId="32C90147" w14:textId="77777777" w:rsidTr="00FC42DE">
        <w:trPr>
          <w:trHeight w:val="145"/>
        </w:trPr>
        <w:tc>
          <w:tcPr>
            <w:tcW w:w="1724" w:type="dxa"/>
            <w:shd w:val="clear" w:color="auto" w:fill="auto"/>
            <w:tcMar>
              <w:left w:w="0" w:type="dxa"/>
            </w:tcMar>
          </w:tcPr>
          <w:p w14:paraId="0E72FB6E" w14:textId="5D22D1EE" w:rsidR="00FC42DE" w:rsidRPr="000A5DBC" w:rsidRDefault="00FC42DE" w:rsidP="00FC42DE">
            <w:pPr>
              <w:pStyle w:val="Marginlie"/>
              <w:rPr>
                <w:lang w:val="en-GB"/>
              </w:rPr>
            </w:pPr>
            <w:r w:rsidRPr="000A5DBC">
              <w:rPr>
                <w:lang w:val="en-GB"/>
              </w:rPr>
              <w:lastRenderedPageBreak/>
              <w:t>Unemployment rate as well as the number of long-term unemployed stagnated during year 2019. Concerns of households related to the growth of unemployment in contrast slightly increased.</w:t>
            </w:r>
          </w:p>
          <w:p w14:paraId="6C246BD9" w14:textId="77777777" w:rsidR="00FC42DE" w:rsidRPr="000A5DBC" w:rsidRDefault="00FC42DE" w:rsidP="00FC42DE">
            <w:pPr>
              <w:pStyle w:val="Marginlie"/>
              <w:rPr>
                <w:lang w:val="en-GB"/>
              </w:rPr>
            </w:pPr>
          </w:p>
          <w:p w14:paraId="2E6E7434" w14:textId="3C696F6B" w:rsidR="00FC42DE" w:rsidRPr="000A5DBC" w:rsidRDefault="00FC42DE" w:rsidP="00FC42DE">
            <w:pPr>
              <w:pStyle w:val="Marginlie"/>
              <w:rPr>
                <w:lang w:val="en-GB"/>
              </w:rPr>
            </w:pPr>
          </w:p>
        </w:tc>
        <w:tc>
          <w:tcPr>
            <w:tcW w:w="210" w:type="dxa"/>
            <w:shd w:val="clear" w:color="auto" w:fill="auto"/>
            <w:tcMar>
              <w:left w:w="0" w:type="dxa"/>
            </w:tcMar>
          </w:tcPr>
          <w:p w14:paraId="5E6CA8CF" w14:textId="77777777" w:rsidR="00FC42DE" w:rsidRPr="000A5DBC" w:rsidRDefault="00FC42DE" w:rsidP="00FC42DE">
            <w:pPr>
              <w:pStyle w:val="Textpoznpodarou"/>
              <w:jc w:val="both"/>
              <w:rPr>
                <w:spacing w:val="-4"/>
                <w:lang w:val="en-GB"/>
              </w:rPr>
            </w:pPr>
          </w:p>
        </w:tc>
        <w:tc>
          <w:tcPr>
            <w:tcW w:w="7730" w:type="dxa"/>
            <w:shd w:val="clear" w:color="auto" w:fill="auto"/>
            <w:tcMar>
              <w:left w:w="0" w:type="dxa"/>
            </w:tcMar>
          </w:tcPr>
          <w:p w14:paraId="0994F6B4" w14:textId="7536A358" w:rsidR="00FC42DE" w:rsidRPr="000A5DBC" w:rsidRDefault="00FC42DE" w:rsidP="00FC42DE">
            <w:pPr>
              <w:spacing w:after="200"/>
              <w:rPr>
                <w:spacing w:val="-4"/>
                <w:lang w:val="en-GB"/>
              </w:rPr>
            </w:pPr>
            <w:r w:rsidRPr="000A5DBC">
              <w:rPr>
                <w:spacing w:val="-3"/>
                <w:lang w:val="en-GB"/>
              </w:rPr>
              <w:t>General unemployment rate</w:t>
            </w:r>
            <w:r w:rsidRPr="000A5DBC">
              <w:rPr>
                <w:rStyle w:val="Znakapoznpodarou"/>
                <w:color w:val="0D0D0D" w:themeColor="text1" w:themeTint="F2"/>
                <w:spacing w:val="-2"/>
                <w:lang w:val="en-GB"/>
              </w:rPr>
              <w:footnoteReference w:id="8"/>
            </w:r>
            <w:r w:rsidRPr="000A5DBC">
              <w:rPr>
                <w:spacing w:val="-3"/>
                <w:lang w:val="en-GB"/>
              </w:rPr>
              <w:t xml:space="preserve"> went only through minimal changes during the last year. In December 2019, it was 1.8% for males and 2.3% in case of females. Proportion of persons unemployed for more than one year mildly fluctuated (around 30%) and was placed near the historical minimums in the era of the independent CR (similarly to the total unemployment or number of economically inactive persons willing to work). These data lightly contrasted to the growing concerns of households regarding the growth of unemployment expressed in the business cycle survey (it cannot be ruled out though, that households more sensitively reacted also to the worsening economic development of the euro area). </w:t>
            </w:r>
          </w:p>
        </w:tc>
      </w:tr>
      <w:tr w:rsidR="00FC42DE" w:rsidRPr="000A5DBC" w14:paraId="4429D0B5" w14:textId="77777777" w:rsidTr="00FC42DE">
        <w:trPr>
          <w:trHeight w:val="155"/>
        </w:trPr>
        <w:tc>
          <w:tcPr>
            <w:tcW w:w="1724" w:type="dxa"/>
            <w:vMerge w:val="restart"/>
            <w:shd w:val="clear" w:color="auto" w:fill="auto"/>
            <w:tcMar>
              <w:left w:w="0" w:type="dxa"/>
            </w:tcMar>
          </w:tcPr>
          <w:p w14:paraId="6442C8DF" w14:textId="77777777" w:rsidR="00FC42DE" w:rsidRPr="000A5DBC" w:rsidRDefault="00FC42DE" w:rsidP="00FC42DE">
            <w:pPr>
              <w:pStyle w:val="Marginlie"/>
              <w:rPr>
                <w:spacing w:val="-4"/>
                <w:lang w:val="en-GB"/>
              </w:rPr>
            </w:pPr>
          </w:p>
        </w:tc>
        <w:tc>
          <w:tcPr>
            <w:tcW w:w="210" w:type="dxa"/>
            <w:vMerge w:val="restart"/>
            <w:shd w:val="clear" w:color="auto" w:fill="auto"/>
            <w:tcMar>
              <w:left w:w="0" w:type="dxa"/>
            </w:tcMar>
          </w:tcPr>
          <w:p w14:paraId="7121092C" w14:textId="77777777" w:rsidR="00FC42DE" w:rsidRPr="000A5DBC" w:rsidRDefault="00FC42DE" w:rsidP="00FC42DE">
            <w:pPr>
              <w:pStyle w:val="Textpoznpodarou"/>
              <w:jc w:val="both"/>
              <w:rPr>
                <w:spacing w:val="-4"/>
                <w:lang w:val="en-GB"/>
              </w:rPr>
            </w:pPr>
          </w:p>
        </w:tc>
        <w:tc>
          <w:tcPr>
            <w:tcW w:w="7730" w:type="dxa"/>
            <w:shd w:val="clear" w:color="auto" w:fill="auto"/>
            <w:tcMar>
              <w:left w:w="0" w:type="dxa"/>
            </w:tcMar>
          </w:tcPr>
          <w:p w14:paraId="1B69C7FC" w14:textId="77777777" w:rsidR="00FC42DE" w:rsidRPr="000A5DBC" w:rsidRDefault="00FC42DE" w:rsidP="00FC42DE">
            <w:pPr>
              <w:spacing w:after="0"/>
              <w:rPr>
                <w:b/>
                <w:spacing w:val="-3"/>
                <w:lang w:val="en-GB"/>
              </w:rPr>
            </w:pPr>
            <w:r w:rsidRPr="000A5DBC">
              <w:rPr>
                <w:b/>
                <w:spacing w:val="-3"/>
                <w:lang w:val="en-GB"/>
              </w:rPr>
              <w:t>Chart 13 General</w:t>
            </w:r>
            <w:r w:rsidRPr="000A5DBC">
              <w:rPr>
                <w:rFonts w:cs="Arial"/>
                <w:b/>
                <w:spacing w:val="-3"/>
                <w:lang w:val="en-GB"/>
              </w:rPr>
              <w:t xml:space="preserve"> unemployment rate </w:t>
            </w:r>
            <w:r w:rsidRPr="000A5DBC">
              <w:rPr>
                <w:rFonts w:cs="Arial"/>
                <w:bCs/>
                <w:spacing w:val="-3"/>
                <w:lang w:val="en-GB"/>
              </w:rPr>
              <w:t>(in %)</w:t>
            </w:r>
            <w:r w:rsidRPr="000A5DBC">
              <w:rPr>
                <w:rFonts w:cs="Arial"/>
                <w:b/>
                <w:spacing w:val="-3"/>
                <w:lang w:val="en-GB"/>
              </w:rPr>
              <w:t xml:space="preserve">, ratio of long-term unemployed </w:t>
            </w:r>
            <w:r w:rsidRPr="000A5DBC">
              <w:rPr>
                <w:rFonts w:cs="Arial"/>
                <w:bCs/>
                <w:spacing w:val="-3"/>
                <w:lang w:val="en-GB"/>
              </w:rPr>
              <w:t>(in %)</w:t>
            </w:r>
            <w:r w:rsidRPr="000A5DBC">
              <w:rPr>
                <w:rFonts w:cs="Arial"/>
                <w:b/>
                <w:spacing w:val="-3"/>
                <w:lang w:val="en-GB"/>
              </w:rPr>
              <w:t xml:space="preserve">, economically inactive willing to work </w:t>
            </w:r>
            <w:r w:rsidRPr="000A5DBC">
              <w:rPr>
                <w:rFonts w:cs="Arial"/>
                <w:bCs/>
                <w:spacing w:val="-3"/>
                <w:lang w:val="en-GB"/>
              </w:rPr>
              <w:t>(in thousand)</w:t>
            </w:r>
            <w:r w:rsidRPr="000A5DBC">
              <w:rPr>
                <w:rFonts w:cs="Arial"/>
                <w:b/>
                <w:spacing w:val="-3"/>
                <w:lang w:val="en-GB"/>
              </w:rPr>
              <w:t xml:space="preserve"> and share of persons concerned about unemployment growth </w:t>
            </w:r>
            <w:r w:rsidRPr="000A5DBC">
              <w:rPr>
                <w:rFonts w:cs="Arial"/>
                <w:bCs/>
                <w:spacing w:val="-3"/>
                <w:lang w:val="en-GB"/>
              </w:rPr>
              <w:t>(in %)</w:t>
            </w:r>
          </w:p>
        </w:tc>
      </w:tr>
      <w:tr w:rsidR="00FC42DE" w:rsidRPr="000A5DBC" w14:paraId="7A6103EB" w14:textId="77777777" w:rsidTr="00FC42DE">
        <w:tblPrEx>
          <w:tblCellMar>
            <w:left w:w="70" w:type="dxa"/>
            <w:right w:w="70" w:type="dxa"/>
          </w:tblCellMar>
        </w:tblPrEx>
        <w:trPr>
          <w:trHeight w:val="155"/>
        </w:trPr>
        <w:tc>
          <w:tcPr>
            <w:tcW w:w="1724" w:type="dxa"/>
            <w:vMerge/>
            <w:shd w:val="clear" w:color="auto" w:fill="auto"/>
          </w:tcPr>
          <w:p w14:paraId="13389882" w14:textId="77777777" w:rsidR="00FC42DE" w:rsidRPr="000A5DBC" w:rsidRDefault="00FC42DE" w:rsidP="00FC42DE">
            <w:pPr>
              <w:pStyle w:val="Marginlie"/>
              <w:rPr>
                <w:spacing w:val="-4"/>
                <w:lang w:val="en-GB"/>
              </w:rPr>
            </w:pPr>
          </w:p>
        </w:tc>
        <w:tc>
          <w:tcPr>
            <w:tcW w:w="210" w:type="dxa"/>
            <w:vMerge/>
            <w:shd w:val="clear" w:color="auto" w:fill="auto"/>
          </w:tcPr>
          <w:p w14:paraId="7D3F6427" w14:textId="77777777" w:rsidR="00FC42DE" w:rsidRPr="000A5DBC" w:rsidRDefault="00FC42DE" w:rsidP="00FC42DE">
            <w:pPr>
              <w:pStyle w:val="Textpoznpodarou"/>
              <w:jc w:val="both"/>
              <w:rPr>
                <w:spacing w:val="-4"/>
                <w:lang w:val="en-GB"/>
              </w:rPr>
            </w:pPr>
          </w:p>
        </w:tc>
        <w:tc>
          <w:tcPr>
            <w:tcW w:w="7730" w:type="dxa"/>
            <w:shd w:val="clear" w:color="auto" w:fill="auto"/>
          </w:tcPr>
          <w:p w14:paraId="03F21D77" w14:textId="7DA52FEB" w:rsidR="00FC42DE" w:rsidRPr="000A5DBC" w:rsidRDefault="00FC42DE" w:rsidP="00FC42DE">
            <w:pPr>
              <w:spacing w:after="0"/>
              <w:rPr>
                <w:spacing w:val="-4"/>
                <w:lang w:val="en-GB"/>
              </w:rPr>
            </w:pPr>
            <w:r>
              <w:rPr>
                <w:noProof/>
              </w:rPr>
              <w:drawing>
                <wp:inline distT="0" distB="0" distL="0" distR="0" wp14:anchorId="452C3AFD" wp14:editId="4CDFD60C">
                  <wp:extent cx="4692294" cy="3482988"/>
                  <wp:effectExtent l="0" t="0" r="0" b="317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FC42DE" w:rsidRPr="000A5DBC" w14:paraId="577B570A" w14:textId="77777777" w:rsidTr="00FC42DE">
        <w:trPr>
          <w:trHeight w:val="933"/>
        </w:trPr>
        <w:tc>
          <w:tcPr>
            <w:tcW w:w="1724" w:type="dxa"/>
            <w:vMerge/>
            <w:shd w:val="clear" w:color="auto" w:fill="auto"/>
            <w:tcMar>
              <w:left w:w="0" w:type="dxa"/>
            </w:tcMar>
          </w:tcPr>
          <w:p w14:paraId="76E03638" w14:textId="77777777" w:rsidR="00FC42DE" w:rsidRPr="000A5DBC" w:rsidRDefault="00FC42DE" w:rsidP="00FC42DE">
            <w:pPr>
              <w:pStyle w:val="Marginlie"/>
              <w:rPr>
                <w:spacing w:val="-4"/>
                <w:lang w:val="en-GB"/>
              </w:rPr>
            </w:pPr>
          </w:p>
        </w:tc>
        <w:tc>
          <w:tcPr>
            <w:tcW w:w="210" w:type="dxa"/>
            <w:vMerge/>
            <w:shd w:val="clear" w:color="auto" w:fill="auto"/>
            <w:tcMar>
              <w:left w:w="0" w:type="dxa"/>
            </w:tcMar>
          </w:tcPr>
          <w:p w14:paraId="128CF942" w14:textId="77777777" w:rsidR="00FC42DE" w:rsidRPr="000A5DBC" w:rsidRDefault="00FC42DE" w:rsidP="00FC42DE">
            <w:pPr>
              <w:pStyle w:val="Textpoznpodarou"/>
              <w:jc w:val="both"/>
              <w:rPr>
                <w:spacing w:val="-4"/>
                <w:lang w:val="en-GB"/>
              </w:rPr>
            </w:pPr>
          </w:p>
        </w:tc>
        <w:tc>
          <w:tcPr>
            <w:tcW w:w="7730" w:type="dxa"/>
            <w:shd w:val="clear" w:color="auto" w:fill="auto"/>
            <w:tcMar>
              <w:left w:w="0" w:type="dxa"/>
            </w:tcMar>
          </w:tcPr>
          <w:p w14:paraId="454316A4" w14:textId="77777777" w:rsidR="00FC42DE" w:rsidRPr="000A5DBC" w:rsidRDefault="00FC42DE" w:rsidP="00FC42DE">
            <w:pPr>
              <w:spacing w:after="0" w:line="240" w:lineRule="auto"/>
              <w:rPr>
                <w:rFonts w:cs="Arial"/>
                <w:color w:val="0D0D0D" w:themeColor="text1" w:themeTint="F2"/>
                <w:sz w:val="14"/>
                <w:szCs w:val="14"/>
                <w:lang w:val="en-GB"/>
              </w:rPr>
            </w:pPr>
            <w:r w:rsidRPr="000A5DBC">
              <w:rPr>
                <w:rFonts w:cs="Arial"/>
                <w:color w:val="0D0D0D" w:themeColor="text1" w:themeTint="F2"/>
                <w:sz w:val="14"/>
                <w:szCs w:val="14"/>
                <w:lang w:val="en-GB"/>
              </w:rPr>
              <w:t>Note.: Figures regarding the unemployment rate are seasonally adjusted, other data are not.</w:t>
            </w:r>
          </w:p>
          <w:p w14:paraId="39C87E3A" w14:textId="77777777" w:rsidR="00FC42DE" w:rsidRPr="000A5DBC" w:rsidRDefault="00FC42DE" w:rsidP="00FC42DE">
            <w:pPr>
              <w:spacing w:after="0" w:line="240" w:lineRule="auto"/>
              <w:rPr>
                <w:rFonts w:cs="Arial"/>
                <w:bCs/>
                <w:color w:val="0D0D0D" w:themeColor="text1" w:themeTint="F2"/>
                <w:sz w:val="14"/>
                <w:szCs w:val="14"/>
                <w:lang w:val="en-GB"/>
              </w:rPr>
            </w:pPr>
            <w:r w:rsidRPr="000A5DBC">
              <w:rPr>
                <w:rFonts w:cs="Arial"/>
                <w:bCs/>
                <w:color w:val="0D0D0D" w:themeColor="text1" w:themeTint="F2"/>
                <w:sz w:val="14"/>
                <w:szCs w:val="14"/>
                <w:lang w:val="en-GB"/>
              </w:rPr>
              <w:t xml:space="preserve">*Persons not in employment, not seeking work, but expressing the willingness to work. </w:t>
            </w:r>
          </w:p>
          <w:p w14:paraId="5B9F3915" w14:textId="77777777" w:rsidR="00FC42DE" w:rsidRPr="000A5DBC" w:rsidRDefault="00FC42DE" w:rsidP="00FC42DE">
            <w:pPr>
              <w:spacing w:after="0" w:line="240" w:lineRule="auto"/>
              <w:rPr>
                <w:rFonts w:cs="Arial"/>
                <w:color w:val="0D0D0D" w:themeColor="text1" w:themeTint="F2"/>
                <w:spacing w:val="-2"/>
                <w:sz w:val="14"/>
                <w:szCs w:val="14"/>
                <w:lang w:val="en-GB"/>
              </w:rPr>
            </w:pPr>
            <w:r w:rsidRPr="000A5DBC">
              <w:rPr>
                <w:rFonts w:cs="Arial"/>
                <w:color w:val="0D0D0D" w:themeColor="text1" w:themeTint="F2"/>
                <w:spacing w:val="-2"/>
                <w:sz w:val="14"/>
                <w:szCs w:val="14"/>
                <w:lang w:val="en-GB"/>
              </w:rPr>
              <w:t>**Expectations in the next 12 months (for consumers). Expresses the difference in p.p. between the categories (growth vs. decrease of unemployment).</w:t>
            </w:r>
          </w:p>
          <w:p w14:paraId="065DB572" w14:textId="77777777" w:rsidR="00FC42DE" w:rsidRPr="000A5DBC" w:rsidRDefault="00FC42DE" w:rsidP="00FC42DE">
            <w:pPr>
              <w:spacing w:after="0" w:line="240" w:lineRule="auto"/>
              <w:rPr>
                <w:rFonts w:cs="Arial"/>
                <w:color w:val="0D0D0D" w:themeColor="text1" w:themeTint="F2"/>
                <w:sz w:val="14"/>
                <w:szCs w:val="14"/>
                <w:lang w:val="en-GB"/>
              </w:rPr>
            </w:pPr>
            <w:r w:rsidRPr="000A5DBC">
              <w:rPr>
                <w:rFonts w:cs="Arial"/>
                <w:color w:val="0D0D0D" w:themeColor="text1" w:themeTint="F2"/>
                <w:sz w:val="14"/>
                <w:szCs w:val="14"/>
                <w:lang w:val="en-GB"/>
              </w:rPr>
              <w:t>Source: CZSO (LFSS, business cycle surveys)</w:t>
            </w:r>
          </w:p>
          <w:p w14:paraId="7F9D7AC2" w14:textId="0601B4A6" w:rsidR="00FC42DE" w:rsidRPr="00FC42DE" w:rsidRDefault="00FC42DE" w:rsidP="00FC42DE">
            <w:pPr>
              <w:spacing w:after="0" w:line="240" w:lineRule="auto"/>
              <w:rPr>
                <w:rFonts w:cs="Arial"/>
                <w:b/>
                <w:bCs/>
                <w:color w:val="0D0D0D" w:themeColor="text1" w:themeTint="F2"/>
                <w:sz w:val="16"/>
                <w:szCs w:val="16"/>
                <w:lang w:val="en-GB"/>
              </w:rPr>
            </w:pPr>
          </w:p>
        </w:tc>
      </w:tr>
      <w:tr w:rsidR="00FC42DE" w:rsidRPr="000A5DBC" w14:paraId="19DF21E4" w14:textId="77777777" w:rsidTr="00FC42DE">
        <w:trPr>
          <w:trHeight w:val="145"/>
        </w:trPr>
        <w:tc>
          <w:tcPr>
            <w:tcW w:w="1724" w:type="dxa"/>
            <w:shd w:val="clear" w:color="auto" w:fill="auto"/>
            <w:tcMar>
              <w:left w:w="0" w:type="dxa"/>
            </w:tcMar>
          </w:tcPr>
          <w:p w14:paraId="2F020018" w14:textId="77777777" w:rsidR="00FC42DE" w:rsidRPr="000A5DBC" w:rsidRDefault="00FC42DE" w:rsidP="00FC42DE">
            <w:pPr>
              <w:pStyle w:val="Marginlie"/>
              <w:rPr>
                <w:lang w:val="en-GB"/>
              </w:rPr>
            </w:pPr>
            <w:r w:rsidRPr="000A5DBC">
              <w:rPr>
                <w:lang w:val="en-GB"/>
              </w:rPr>
              <w:t>Labour offices offered the record number of vacant positions in May. The second half of the year brought only negligible decrease.</w:t>
            </w:r>
          </w:p>
          <w:p w14:paraId="7ACA5748" w14:textId="77777777" w:rsidR="00FC42DE" w:rsidRPr="000A5DBC" w:rsidRDefault="00FC42DE" w:rsidP="00FC42DE">
            <w:pPr>
              <w:pStyle w:val="Marginlie"/>
              <w:rPr>
                <w:lang w:val="en-GB"/>
              </w:rPr>
            </w:pPr>
          </w:p>
          <w:p w14:paraId="3F8358B2" w14:textId="77777777" w:rsidR="00FC42DE" w:rsidRPr="000A5DBC" w:rsidRDefault="00FC42DE" w:rsidP="00FC42DE">
            <w:pPr>
              <w:pStyle w:val="Marginlie"/>
              <w:rPr>
                <w:lang w:val="en-GB"/>
              </w:rPr>
            </w:pPr>
          </w:p>
          <w:p w14:paraId="2CEE821A" w14:textId="77777777" w:rsidR="00FC42DE" w:rsidRDefault="00FC42DE" w:rsidP="00FC42DE">
            <w:pPr>
              <w:pStyle w:val="Marginlie"/>
              <w:rPr>
                <w:lang w:val="en-GB"/>
              </w:rPr>
            </w:pPr>
          </w:p>
          <w:p w14:paraId="5501E654" w14:textId="77777777" w:rsidR="00FC42DE" w:rsidRDefault="00FC42DE" w:rsidP="00FC42DE">
            <w:pPr>
              <w:pStyle w:val="Marginlie"/>
              <w:rPr>
                <w:lang w:val="en-GB"/>
              </w:rPr>
            </w:pPr>
          </w:p>
          <w:p w14:paraId="44EDF7E9" w14:textId="77777777" w:rsidR="00FC42DE" w:rsidRDefault="00FC42DE" w:rsidP="00FC42DE">
            <w:pPr>
              <w:pStyle w:val="Marginlie"/>
              <w:rPr>
                <w:lang w:val="en-GB"/>
              </w:rPr>
            </w:pPr>
          </w:p>
          <w:p w14:paraId="784C85D9" w14:textId="77777777" w:rsidR="00FC42DE" w:rsidRPr="000A5DBC" w:rsidRDefault="00FC42DE" w:rsidP="00FC42DE">
            <w:pPr>
              <w:pStyle w:val="Marginlie"/>
              <w:rPr>
                <w:lang w:val="en-GB"/>
              </w:rPr>
            </w:pPr>
          </w:p>
          <w:p w14:paraId="0F42C86B" w14:textId="2AB7DEBA" w:rsidR="00FC42DE" w:rsidRPr="000A5DBC" w:rsidRDefault="00FC42DE" w:rsidP="00FC42DE">
            <w:pPr>
              <w:pStyle w:val="Marginlie"/>
              <w:rPr>
                <w:lang w:val="en-GB"/>
              </w:rPr>
            </w:pPr>
            <w:r w:rsidRPr="000A5DBC">
              <w:rPr>
                <w:lang w:val="en-GB"/>
              </w:rPr>
              <w:t>Excess number of job applicants over vacant positions was registered only in one third of the CR regions.</w:t>
            </w:r>
          </w:p>
        </w:tc>
        <w:tc>
          <w:tcPr>
            <w:tcW w:w="210" w:type="dxa"/>
            <w:shd w:val="clear" w:color="auto" w:fill="auto"/>
            <w:tcMar>
              <w:left w:w="0" w:type="dxa"/>
            </w:tcMar>
          </w:tcPr>
          <w:p w14:paraId="100F5C08" w14:textId="77777777" w:rsidR="00FC42DE" w:rsidRPr="000A5DBC" w:rsidRDefault="00FC42DE" w:rsidP="00FC42DE">
            <w:pPr>
              <w:pStyle w:val="Textpoznpodarou"/>
              <w:jc w:val="both"/>
              <w:rPr>
                <w:spacing w:val="-4"/>
                <w:lang w:val="en-GB"/>
              </w:rPr>
            </w:pPr>
          </w:p>
        </w:tc>
        <w:tc>
          <w:tcPr>
            <w:tcW w:w="7730" w:type="dxa"/>
            <w:shd w:val="clear" w:color="auto" w:fill="auto"/>
            <w:tcMar>
              <w:left w:w="0" w:type="dxa"/>
            </w:tcMar>
          </w:tcPr>
          <w:p w14:paraId="384A6A5C" w14:textId="6AE85A03" w:rsidR="00FC42DE" w:rsidRPr="00FC42DE" w:rsidRDefault="00FC42DE" w:rsidP="00FC42DE">
            <w:pPr>
              <w:spacing w:after="200"/>
              <w:rPr>
                <w:spacing w:val="-2"/>
                <w:lang w:val="en-GB"/>
              </w:rPr>
            </w:pPr>
            <w:r w:rsidRPr="00FC42DE">
              <w:rPr>
                <w:spacing w:val="-2"/>
                <w:lang w:val="en-GB"/>
              </w:rPr>
              <w:t xml:space="preserve">One of the reasons why the slight economic slowdown in the CR has not so far manifested on the “hard” data regarding unemployment is the fact, that part of the persons, who lost their employment, already did not have to strive for return on the domestic labour market (working seniors, alternatively foreigners, whose work permit in the CR expires). Demographic influences also work against the unemployment increase in the last years (natural departure of populous cohorts born in the 50s blended with the onset of historically weakest cohorts from the end of 90s of the last century) and also the fact, that the demand for workers still stays high. In June 2019, labour offices (LO) in the CR had available the historically largest supply of job vacancies (351 thousand), it was 341 thousand at the end of the year (by 5% more year-on-year). During the last year again mainly the number of the least qualified positions requiring only primary education grew (+28 thousand), aiming in the first place on the foreign workers. Number of job vacancies for apprentices decreased (-11 thousand) and the supply of positions with higher qualification requirements, forming only one tenth of all positions, stagnated. Already one third of all job </w:t>
            </w:r>
            <w:r w:rsidRPr="00FC42DE">
              <w:rPr>
                <w:spacing w:val="-2"/>
                <w:lang w:val="en-GB"/>
              </w:rPr>
              <w:lastRenderedPageBreak/>
              <w:t xml:space="preserve">vacancies stayed in the LO for more than one year in the CR. Ratio of one job vacancy to number of applicants was 0.6 at the end of the last year. Only one third of regions reported excess of applicants over offered number of job vacancies (only </w:t>
            </w:r>
            <w:proofErr w:type="spellStart"/>
            <w:r w:rsidRPr="00FC42DE">
              <w:rPr>
                <w:spacing w:val="-2"/>
                <w:lang w:val="en-GB"/>
              </w:rPr>
              <w:t>Karviná</w:t>
            </w:r>
            <w:proofErr w:type="spellEnd"/>
            <w:r w:rsidRPr="00FC42DE">
              <w:rPr>
                <w:spacing w:val="-2"/>
                <w:lang w:val="en-GB"/>
              </w:rPr>
              <w:t xml:space="preserve">, </w:t>
            </w:r>
            <w:proofErr w:type="spellStart"/>
            <w:r w:rsidRPr="00FC42DE">
              <w:rPr>
                <w:spacing w:val="-2"/>
                <w:lang w:val="en-GB"/>
              </w:rPr>
              <w:t>Jeseník</w:t>
            </w:r>
            <w:proofErr w:type="spellEnd"/>
            <w:r w:rsidRPr="00FC42DE">
              <w:rPr>
                <w:spacing w:val="-2"/>
                <w:lang w:val="en-GB"/>
              </w:rPr>
              <w:t xml:space="preserve"> and Sokolov more than 3 applicants per vacancy).</w:t>
            </w:r>
          </w:p>
        </w:tc>
      </w:tr>
      <w:tr w:rsidR="00FC42DE" w:rsidRPr="000A5DBC" w14:paraId="5739550F" w14:textId="77777777" w:rsidTr="00FC42DE">
        <w:trPr>
          <w:trHeight w:val="145"/>
        </w:trPr>
        <w:tc>
          <w:tcPr>
            <w:tcW w:w="1724" w:type="dxa"/>
            <w:shd w:val="clear" w:color="auto" w:fill="auto"/>
            <w:tcMar>
              <w:left w:w="0" w:type="dxa"/>
            </w:tcMar>
          </w:tcPr>
          <w:p w14:paraId="31C7107F" w14:textId="77777777" w:rsidR="00FC42DE" w:rsidRPr="000A5DBC" w:rsidRDefault="00FC42DE" w:rsidP="00FC42DE">
            <w:pPr>
              <w:pStyle w:val="Marginlie"/>
              <w:rPr>
                <w:lang w:val="en-GB"/>
              </w:rPr>
            </w:pPr>
            <w:r w:rsidRPr="000A5DBC">
              <w:rPr>
                <w:lang w:val="en-GB"/>
              </w:rPr>
              <w:lastRenderedPageBreak/>
              <w:t xml:space="preserve">Rate of growth of average wages mildly slowed last year compared to year 2018, still it counted to the highest in the last decade.  </w:t>
            </w:r>
          </w:p>
          <w:p w14:paraId="3CD0A743" w14:textId="77777777" w:rsidR="00FC42DE" w:rsidRPr="000A5DBC" w:rsidRDefault="00FC42DE" w:rsidP="00FC42DE">
            <w:pPr>
              <w:pStyle w:val="Marginlie"/>
              <w:rPr>
                <w:lang w:val="en-GB"/>
              </w:rPr>
            </w:pPr>
          </w:p>
          <w:p w14:paraId="2BAD87FD" w14:textId="77777777" w:rsidR="00FC42DE" w:rsidRPr="000A5DBC" w:rsidRDefault="00FC42DE" w:rsidP="00FC42DE">
            <w:pPr>
              <w:pStyle w:val="Marginlie"/>
              <w:rPr>
                <w:lang w:val="en-GB"/>
              </w:rPr>
            </w:pPr>
          </w:p>
          <w:p w14:paraId="3B46B5CC" w14:textId="77777777" w:rsidR="00FC42DE" w:rsidRPr="000A5DBC" w:rsidRDefault="00FC42DE" w:rsidP="00FC42DE">
            <w:pPr>
              <w:pStyle w:val="Marginlie"/>
              <w:rPr>
                <w:lang w:val="en-GB"/>
              </w:rPr>
            </w:pPr>
          </w:p>
          <w:p w14:paraId="22B9387D" w14:textId="77777777" w:rsidR="00FC42DE" w:rsidRPr="000A5DBC" w:rsidRDefault="00FC42DE" w:rsidP="00FC42DE">
            <w:pPr>
              <w:pStyle w:val="Marginlie"/>
              <w:rPr>
                <w:lang w:val="en-GB"/>
              </w:rPr>
            </w:pPr>
          </w:p>
          <w:p w14:paraId="36B8E409" w14:textId="7B289539" w:rsidR="00FC42DE" w:rsidRPr="000A5DBC" w:rsidRDefault="00547FBF" w:rsidP="00FC42DE">
            <w:pPr>
              <w:pStyle w:val="Marginlie"/>
              <w:rPr>
                <w:lang w:val="en-GB"/>
              </w:rPr>
            </w:pPr>
            <w:r>
              <w:rPr>
                <w:lang w:val="en-GB"/>
              </w:rPr>
              <w:t xml:space="preserve">Factors acting against </w:t>
            </w:r>
            <w:r w:rsidR="00FC42DE" w:rsidRPr="000A5DBC">
              <w:rPr>
                <w:lang w:val="en-GB"/>
              </w:rPr>
              <w:t>dynamic wage growth gained in importance during the last year.</w:t>
            </w:r>
          </w:p>
        </w:tc>
        <w:tc>
          <w:tcPr>
            <w:tcW w:w="210" w:type="dxa"/>
            <w:shd w:val="clear" w:color="auto" w:fill="auto"/>
            <w:tcMar>
              <w:left w:w="0" w:type="dxa"/>
            </w:tcMar>
          </w:tcPr>
          <w:p w14:paraId="6E10F1D4" w14:textId="77777777" w:rsidR="00FC42DE" w:rsidRPr="000A5DBC" w:rsidRDefault="00FC42DE" w:rsidP="00FC42DE">
            <w:pPr>
              <w:pStyle w:val="Textpoznpodarou"/>
              <w:jc w:val="both"/>
              <w:rPr>
                <w:spacing w:val="-4"/>
                <w:lang w:val="en-GB"/>
              </w:rPr>
            </w:pPr>
          </w:p>
        </w:tc>
        <w:tc>
          <w:tcPr>
            <w:tcW w:w="7730" w:type="dxa"/>
            <w:shd w:val="clear" w:color="auto" w:fill="auto"/>
            <w:tcMar>
              <w:left w:w="0" w:type="dxa"/>
            </w:tcMar>
          </w:tcPr>
          <w:p w14:paraId="1B1A3393" w14:textId="77777777" w:rsidR="00FC42DE" w:rsidRPr="000A5DBC" w:rsidRDefault="00FC42DE" w:rsidP="00FC42DE">
            <w:pPr>
              <w:spacing w:after="200"/>
              <w:rPr>
                <w:spacing w:val="-3"/>
                <w:lang w:val="en-GB"/>
              </w:rPr>
            </w:pPr>
            <w:r w:rsidRPr="000A5DBC">
              <w:rPr>
                <w:spacing w:val="-4"/>
                <w:lang w:val="en-GB"/>
              </w:rPr>
              <w:t>The average gross nominal monthly wage of employee grew (based on business statistics) by 7.1% (to 34 125 CZK) in 2019. It represented the second highest year-on-year rate of growth in the last eleven years (after year 2018: +7.5%). The dynamics of the average earnings however gradually slightly weakened during the last year (+7.5% in Q1, +6.7% in Q4</w:t>
            </w:r>
            <w:r w:rsidRPr="000A5DBC">
              <w:rPr>
                <w:rStyle w:val="Znakapoznpodarou"/>
                <w:color w:val="0D0D0D" w:themeColor="text1" w:themeTint="F2"/>
                <w:spacing w:val="-2"/>
                <w:lang w:val="en-GB"/>
              </w:rPr>
              <w:footnoteReference w:id="9"/>
            </w:r>
            <w:r w:rsidRPr="000A5DBC">
              <w:rPr>
                <w:spacing w:val="-4"/>
                <w:lang w:val="en-GB"/>
              </w:rPr>
              <w:t xml:space="preserve">). Decline was apparent in the majority of market branches (in key branches – manufacturing and trade, but also in construction). High demand for employees in majority of branches, very low unemployment as well as gradually diminishing reservoir of domestic labour force from ranks of economically inactive assisted in keeping the relatively brisk wage dynamics – similarly to years 2017 and 2018. Slightly decreasing (even though still high) profitability of businesses related apart from cost pressures (wages, energies) also to the weakening of the foreign demand for industrial products worked in the opposite direction. In addition, expanding supply of workers from economically less developed countries dampened faster growth of earnings in some </w:t>
            </w:r>
            <w:r>
              <w:rPr>
                <w:spacing w:val="-4"/>
                <w:lang w:val="en-GB"/>
              </w:rPr>
              <w:t>“l</w:t>
            </w:r>
            <w:r w:rsidRPr="000A5DBC">
              <w:rPr>
                <w:spacing w:val="-4"/>
                <w:lang w:val="en-GB"/>
              </w:rPr>
              <w:t>ow-income</w:t>
            </w:r>
            <w:r>
              <w:rPr>
                <w:spacing w:val="-4"/>
                <w:lang w:val="en-GB"/>
              </w:rPr>
              <w:t>”</w:t>
            </w:r>
            <w:r w:rsidRPr="000A5DBC">
              <w:rPr>
                <w:spacing w:val="-4"/>
                <w:lang w:val="en-GB"/>
              </w:rPr>
              <w:t xml:space="preserve"> branches (e.g. in the area of tourism).  </w:t>
            </w:r>
          </w:p>
        </w:tc>
      </w:tr>
      <w:tr w:rsidR="00FC42DE" w:rsidRPr="000A5DBC" w14:paraId="089C60C0" w14:textId="77777777" w:rsidTr="00FC42DE">
        <w:trPr>
          <w:trHeight w:val="145"/>
        </w:trPr>
        <w:tc>
          <w:tcPr>
            <w:tcW w:w="1724" w:type="dxa"/>
            <w:shd w:val="clear" w:color="auto" w:fill="auto"/>
            <w:tcMar>
              <w:left w:w="0" w:type="dxa"/>
            </w:tcMar>
          </w:tcPr>
          <w:p w14:paraId="4D81054D" w14:textId="77777777" w:rsidR="00FC42DE" w:rsidRPr="000A5DBC" w:rsidRDefault="00FC42DE" w:rsidP="00FC42DE">
            <w:pPr>
              <w:pStyle w:val="Marginlie"/>
              <w:rPr>
                <w:lang w:val="en-GB"/>
              </w:rPr>
            </w:pPr>
            <w:r w:rsidRPr="000A5DBC">
              <w:rPr>
                <w:lang w:val="en-GB"/>
              </w:rPr>
              <w:t xml:space="preserve">The average earnings grew relatively the most in education already second year in a row. </w:t>
            </w:r>
          </w:p>
          <w:p w14:paraId="69B5478B" w14:textId="77777777" w:rsidR="00FC42DE" w:rsidRPr="000A5DBC" w:rsidRDefault="00FC42DE" w:rsidP="00FC42DE">
            <w:pPr>
              <w:pStyle w:val="Marginlie"/>
              <w:rPr>
                <w:lang w:val="en-GB"/>
              </w:rPr>
            </w:pPr>
          </w:p>
          <w:p w14:paraId="6A8680E7" w14:textId="77777777" w:rsidR="00FC42DE" w:rsidRPr="000A5DBC" w:rsidRDefault="00FC42DE" w:rsidP="00FC42DE">
            <w:pPr>
              <w:pStyle w:val="Marginlie"/>
              <w:rPr>
                <w:lang w:val="en-GB"/>
              </w:rPr>
            </w:pPr>
          </w:p>
          <w:p w14:paraId="450BFCDA" w14:textId="77777777" w:rsidR="00FC42DE" w:rsidRPr="000A5DBC" w:rsidRDefault="00FC42DE" w:rsidP="00FC42DE">
            <w:pPr>
              <w:pStyle w:val="Marginlie"/>
              <w:rPr>
                <w:lang w:val="en-GB"/>
              </w:rPr>
            </w:pPr>
          </w:p>
          <w:p w14:paraId="77F0165A" w14:textId="77777777" w:rsidR="00FC42DE" w:rsidRPr="000A5DBC" w:rsidRDefault="00FC42DE" w:rsidP="00FC42DE">
            <w:pPr>
              <w:pStyle w:val="Marginlie"/>
              <w:rPr>
                <w:lang w:val="en-GB"/>
              </w:rPr>
            </w:pPr>
            <w:r w:rsidRPr="000A5DBC">
              <w:rPr>
                <w:lang w:val="en-GB"/>
              </w:rPr>
              <w:t>Wages were raised by below average pace in industry, trade or construction. Slowdown was evident during the year</w:t>
            </w:r>
          </w:p>
          <w:p w14:paraId="50966EC2" w14:textId="77777777" w:rsidR="00FC42DE" w:rsidRPr="000A5DBC" w:rsidRDefault="00FC42DE" w:rsidP="00FC42DE">
            <w:pPr>
              <w:pStyle w:val="Marginlie"/>
              <w:rPr>
                <w:lang w:val="en-GB"/>
              </w:rPr>
            </w:pPr>
          </w:p>
          <w:p w14:paraId="3623F041" w14:textId="77777777" w:rsidR="00FC42DE" w:rsidRPr="000A5DBC" w:rsidRDefault="00FC42DE" w:rsidP="00FC42DE">
            <w:pPr>
              <w:pStyle w:val="Marginlie"/>
              <w:rPr>
                <w:lang w:val="en-GB"/>
              </w:rPr>
            </w:pPr>
          </w:p>
          <w:p w14:paraId="1BC4B70C" w14:textId="77777777" w:rsidR="00FC42DE" w:rsidRPr="000A5DBC" w:rsidRDefault="00FC42DE" w:rsidP="00FC42DE">
            <w:pPr>
              <w:pStyle w:val="Marginlie"/>
              <w:rPr>
                <w:lang w:val="en-GB"/>
              </w:rPr>
            </w:pPr>
          </w:p>
          <w:p w14:paraId="64AEFB22" w14:textId="77777777" w:rsidR="00FC42DE" w:rsidRPr="000A5DBC" w:rsidRDefault="00FC42DE" w:rsidP="00FC42DE">
            <w:pPr>
              <w:pStyle w:val="Marginlie"/>
              <w:rPr>
                <w:lang w:val="en-GB"/>
              </w:rPr>
            </w:pPr>
          </w:p>
          <w:p w14:paraId="27E534E6" w14:textId="77777777" w:rsidR="00FC42DE" w:rsidRPr="000A5DBC" w:rsidRDefault="00FC42DE" w:rsidP="00FC42DE">
            <w:pPr>
              <w:pStyle w:val="Marginlie"/>
              <w:rPr>
                <w:lang w:val="en-GB"/>
              </w:rPr>
            </w:pPr>
          </w:p>
          <w:p w14:paraId="1F2B2476" w14:textId="78A3C649" w:rsidR="00FC42DE" w:rsidRPr="000A5DBC" w:rsidRDefault="00FC42DE" w:rsidP="00FC42DE">
            <w:pPr>
              <w:pStyle w:val="Marginlie"/>
              <w:rPr>
                <w:lang w:val="en-GB"/>
              </w:rPr>
            </w:pPr>
            <w:r w:rsidRPr="000A5DBC">
              <w:rPr>
                <w:lang w:val="en-GB"/>
              </w:rPr>
              <w:t xml:space="preserve">Total wage differentiation did not decline any more, since the acceleration </w:t>
            </w:r>
            <w:r w:rsidR="00ED38AF">
              <w:rPr>
                <w:lang w:val="en-GB"/>
              </w:rPr>
              <w:t xml:space="preserve">of earnings in finance and insurance activities </w:t>
            </w:r>
            <w:r w:rsidRPr="000A5DBC">
              <w:rPr>
                <w:lang w:val="en-GB"/>
              </w:rPr>
              <w:t xml:space="preserve">occurred and also </w:t>
            </w:r>
            <w:r w:rsidR="00ED38AF">
              <w:rPr>
                <w:lang w:val="en-GB"/>
              </w:rPr>
              <w:t xml:space="preserve">due </w:t>
            </w:r>
            <w:r w:rsidRPr="000A5DBC">
              <w:rPr>
                <w:lang w:val="en-GB"/>
              </w:rPr>
              <w:t xml:space="preserve">its weaker growth in branches linked to tourism. </w:t>
            </w:r>
          </w:p>
        </w:tc>
        <w:tc>
          <w:tcPr>
            <w:tcW w:w="210" w:type="dxa"/>
            <w:shd w:val="clear" w:color="auto" w:fill="auto"/>
            <w:tcMar>
              <w:left w:w="0" w:type="dxa"/>
            </w:tcMar>
          </w:tcPr>
          <w:p w14:paraId="55229297" w14:textId="77777777" w:rsidR="00FC42DE" w:rsidRPr="000A5DBC" w:rsidRDefault="00FC42DE" w:rsidP="00FC42DE">
            <w:pPr>
              <w:pStyle w:val="Textpoznpodarou"/>
              <w:jc w:val="both"/>
              <w:rPr>
                <w:spacing w:val="-4"/>
                <w:lang w:val="en-GB"/>
              </w:rPr>
            </w:pPr>
          </w:p>
        </w:tc>
        <w:tc>
          <w:tcPr>
            <w:tcW w:w="7730" w:type="dxa"/>
            <w:shd w:val="clear" w:color="auto" w:fill="auto"/>
            <w:tcMar>
              <w:left w:w="0" w:type="dxa"/>
            </w:tcMar>
          </w:tcPr>
          <w:p w14:paraId="2A5E8EE3" w14:textId="77777777" w:rsidR="00FC42DE" w:rsidRPr="000A5DBC" w:rsidRDefault="00FC42DE" w:rsidP="00FC42DE">
            <w:pPr>
              <w:spacing w:after="200"/>
              <w:rPr>
                <w:spacing w:val="-3"/>
                <w:lang w:val="en-GB"/>
              </w:rPr>
            </w:pPr>
            <w:r w:rsidRPr="000A5DBC">
              <w:rPr>
                <w:spacing w:val="-3"/>
                <w:lang w:val="en-GB"/>
              </w:rPr>
              <w:t>Varying resilience of branches towards the fluctuations of the foreign demand together with a more selective approach to increase in remuneration in the public sector (mainly with employees in education) was reflected in wider inter-branch differentiation of the wage growth last year. The average earnings grew the fastest in education, for the second year in a row (+12.5%, +10.7% in year 2018). Their annual size overtook the level of the national economy last year (by 3.5%, for the first time since year 2009)</w:t>
            </w:r>
            <w:r w:rsidRPr="000A5DBC">
              <w:rPr>
                <w:rStyle w:val="Znakapoznpodarou"/>
                <w:color w:val="0D0D0D" w:themeColor="text1" w:themeTint="F2"/>
                <w:spacing w:val="-2"/>
                <w:lang w:val="en-GB"/>
              </w:rPr>
              <w:footnoteReference w:id="10"/>
            </w:r>
            <w:r w:rsidRPr="000A5DBC">
              <w:rPr>
                <w:spacing w:val="-3"/>
                <w:lang w:val="en-GB"/>
              </w:rPr>
              <w:t>. Earnings in cultural, amusement and recreational activities increased by one tenth, branch health and social care in effect also maintained the pace from year 2018 last year (+8.5%). Among the market services, financial and insurance activities recorded the largest improvement in absolute (4 471 CZK) as well as relative terms (+8.2%, the highest annual rate of growth after year 2002)</w:t>
            </w:r>
            <w:r w:rsidRPr="000A5DBC">
              <w:rPr>
                <w:rStyle w:val="Znakapoznpodarou"/>
                <w:color w:val="0D0D0D" w:themeColor="text1" w:themeTint="F2"/>
                <w:spacing w:val="-2"/>
                <w:lang w:val="en-GB"/>
              </w:rPr>
              <w:footnoteReference w:id="11"/>
            </w:r>
            <w:r w:rsidRPr="000A5DBC">
              <w:rPr>
                <w:spacing w:val="-3"/>
                <w:lang w:val="en-GB"/>
              </w:rPr>
              <w:t xml:space="preserve"> last year. On the contrary, professional, scientific and technical activities showed the lowest pace within the services sector (+5.0%), still the wage level here exceeded the whole economy by one fifth. Principal branch of trade recorded weaker growth also due to considerable slowdown at the end of the year (6.4%). Despite solid increase of the minimum wage, the earnings in accommodation, food service activities and restaurants grew by below-average 6.6% and in the annual total stayed narrowly below the 20thousand boundary last year (only on one third of the financial sector or IT area level). Wages strengthened by even 6% in manufacturing. Rate of growth as well as the level of wages thus stayed slightly below the level of the whole economy, identically to year 2018. More humble wage growth despite strengthening of production as well as orders was typical for construction last year (+6.1%). Total wage differentiation in the economy already presumably did not decrease in contrast to the last three years last year anymore. Wage median increased by </w:t>
            </w:r>
            <w:r w:rsidRPr="000A5DBC">
              <w:rPr>
                <w:spacing w:val="-4"/>
                <w:lang w:val="en-GB"/>
              </w:rPr>
              <w:t xml:space="preserve">6.9%. It was growing faster for females than males already fourth year in a row (also due to the influence of strengthening wages in education). Even though the year-on-year growth of the purchasing power of wages mildly weakened mainly because of the impact of strengthening inflation (down to 3.6% in Q4 2019, the least in nearly three </w:t>
            </w:r>
            <w:r w:rsidRPr="000A5DBC">
              <w:rPr>
                <w:spacing w:val="-4"/>
                <w:lang w:val="en-GB"/>
              </w:rPr>
              <w:lastRenderedPageBreak/>
              <w:t xml:space="preserve">years), in total from the beginning of the last year it was 4.2%, which still meant the second highest rate of growth for the last twelve years. </w:t>
            </w:r>
          </w:p>
        </w:tc>
      </w:tr>
      <w:tr w:rsidR="00FC42DE" w:rsidRPr="000A5DBC" w14:paraId="599F1125" w14:textId="77777777" w:rsidTr="00FC42DE">
        <w:trPr>
          <w:trHeight w:val="145"/>
        </w:trPr>
        <w:tc>
          <w:tcPr>
            <w:tcW w:w="1724" w:type="dxa"/>
            <w:shd w:val="clear" w:color="auto" w:fill="auto"/>
            <w:tcMar>
              <w:left w:w="0" w:type="dxa"/>
            </w:tcMar>
          </w:tcPr>
          <w:p w14:paraId="723867C2" w14:textId="77777777" w:rsidR="00FC42DE" w:rsidRPr="000A5DBC" w:rsidRDefault="00FC42DE" w:rsidP="00FC42DE">
            <w:pPr>
              <w:pStyle w:val="Marginlie"/>
              <w:rPr>
                <w:lang w:val="en-GB"/>
              </w:rPr>
            </w:pPr>
          </w:p>
        </w:tc>
        <w:tc>
          <w:tcPr>
            <w:tcW w:w="210" w:type="dxa"/>
            <w:shd w:val="clear" w:color="auto" w:fill="auto"/>
            <w:tcMar>
              <w:left w:w="0" w:type="dxa"/>
            </w:tcMar>
          </w:tcPr>
          <w:p w14:paraId="78F17EA6" w14:textId="77777777" w:rsidR="00FC42DE" w:rsidRPr="000A5DBC" w:rsidRDefault="00FC42DE" w:rsidP="00FC42DE">
            <w:pPr>
              <w:pStyle w:val="Textpoznpodarou"/>
              <w:jc w:val="both"/>
              <w:rPr>
                <w:rFonts w:eastAsia="Times New Roman"/>
                <w:spacing w:val="-2"/>
                <w:sz w:val="16"/>
                <w:szCs w:val="16"/>
                <w:lang w:val="en-GB"/>
              </w:rPr>
            </w:pPr>
          </w:p>
        </w:tc>
        <w:tc>
          <w:tcPr>
            <w:tcW w:w="7730" w:type="dxa"/>
            <w:shd w:val="clear" w:color="auto" w:fill="auto"/>
            <w:tcMar>
              <w:left w:w="0" w:type="dxa"/>
            </w:tcMar>
          </w:tcPr>
          <w:p w14:paraId="6394AC33" w14:textId="77777777" w:rsidR="00FC42DE" w:rsidRPr="000A5DBC" w:rsidRDefault="00FC42DE" w:rsidP="00FC42DE">
            <w:pPr>
              <w:spacing w:after="0"/>
              <w:rPr>
                <w:spacing w:val="-2"/>
                <w:sz w:val="16"/>
                <w:szCs w:val="16"/>
                <w:lang w:val="en-GB"/>
              </w:rPr>
            </w:pPr>
            <w:r w:rsidRPr="000A5DBC">
              <w:rPr>
                <w:b/>
                <w:spacing w:val="-2"/>
                <w:lang w:val="en-GB"/>
              </w:rPr>
              <w:t xml:space="preserve">Chart 14 Average nominal and real wage, labour productivity </w:t>
            </w:r>
            <w:r w:rsidRPr="000A5DBC">
              <w:rPr>
                <w:spacing w:val="-2"/>
                <w:lang w:val="en-GB"/>
              </w:rPr>
              <w:t>(year-on-year, in %)</w:t>
            </w:r>
          </w:p>
        </w:tc>
      </w:tr>
      <w:tr w:rsidR="00FC42DE" w:rsidRPr="000A5DBC" w14:paraId="6B9A479D" w14:textId="77777777" w:rsidTr="00FC42DE">
        <w:tblPrEx>
          <w:tblCellMar>
            <w:left w:w="70" w:type="dxa"/>
            <w:right w:w="70" w:type="dxa"/>
          </w:tblCellMar>
        </w:tblPrEx>
        <w:trPr>
          <w:trHeight w:val="145"/>
        </w:trPr>
        <w:tc>
          <w:tcPr>
            <w:tcW w:w="1724" w:type="dxa"/>
            <w:shd w:val="clear" w:color="auto" w:fill="auto"/>
          </w:tcPr>
          <w:p w14:paraId="46619281" w14:textId="77777777" w:rsidR="00FC42DE" w:rsidRPr="000A5DBC" w:rsidRDefault="00FC42DE" w:rsidP="00FC42DE">
            <w:pPr>
              <w:pStyle w:val="Marginlie"/>
              <w:rPr>
                <w:lang w:val="en-GB"/>
              </w:rPr>
            </w:pPr>
          </w:p>
        </w:tc>
        <w:tc>
          <w:tcPr>
            <w:tcW w:w="210" w:type="dxa"/>
            <w:shd w:val="clear" w:color="auto" w:fill="auto"/>
          </w:tcPr>
          <w:p w14:paraId="283E4571" w14:textId="77777777" w:rsidR="00FC42DE" w:rsidRPr="000A5DBC" w:rsidRDefault="00FC42DE" w:rsidP="00FC42DE">
            <w:pPr>
              <w:pStyle w:val="Textpoznpodarou"/>
              <w:jc w:val="both"/>
              <w:rPr>
                <w:rFonts w:eastAsia="Times New Roman"/>
                <w:spacing w:val="-2"/>
                <w:sz w:val="16"/>
                <w:szCs w:val="16"/>
                <w:lang w:val="en-GB"/>
              </w:rPr>
            </w:pPr>
          </w:p>
        </w:tc>
        <w:tc>
          <w:tcPr>
            <w:tcW w:w="7730" w:type="dxa"/>
            <w:shd w:val="clear" w:color="auto" w:fill="auto"/>
          </w:tcPr>
          <w:p w14:paraId="77FACD13" w14:textId="196E7E19" w:rsidR="00FC42DE" w:rsidRPr="000A5DBC" w:rsidRDefault="00387299" w:rsidP="00FC42DE">
            <w:pPr>
              <w:spacing w:after="0"/>
              <w:rPr>
                <w:spacing w:val="-2"/>
                <w:sz w:val="16"/>
                <w:szCs w:val="16"/>
                <w:lang w:val="en-GB"/>
              </w:rPr>
            </w:pPr>
            <w:r>
              <w:rPr>
                <w:noProof/>
              </w:rPr>
              <w:drawing>
                <wp:inline distT="0" distB="0" distL="0" distR="0" wp14:anchorId="3EE84299" wp14:editId="6F4FC64A">
                  <wp:extent cx="4788877" cy="3670875"/>
                  <wp:effectExtent l="0" t="0" r="0" b="635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FC42DE" w:rsidRPr="000A5DBC" w14:paraId="3C500189" w14:textId="77777777" w:rsidTr="00FC42DE">
        <w:trPr>
          <w:trHeight w:val="145"/>
        </w:trPr>
        <w:tc>
          <w:tcPr>
            <w:tcW w:w="1724" w:type="dxa"/>
            <w:shd w:val="clear" w:color="auto" w:fill="auto"/>
            <w:tcMar>
              <w:left w:w="0" w:type="dxa"/>
            </w:tcMar>
          </w:tcPr>
          <w:p w14:paraId="18BA39AA" w14:textId="77777777" w:rsidR="00FC42DE" w:rsidRPr="000A5DBC" w:rsidRDefault="00FC42DE" w:rsidP="00FC42DE">
            <w:pPr>
              <w:pStyle w:val="Marginlie"/>
              <w:rPr>
                <w:lang w:val="en-GB"/>
              </w:rPr>
            </w:pPr>
          </w:p>
        </w:tc>
        <w:tc>
          <w:tcPr>
            <w:tcW w:w="210" w:type="dxa"/>
            <w:shd w:val="clear" w:color="auto" w:fill="auto"/>
            <w:tcMar>
              <w:left w:w="0" w:type="dxa"/>
            </w:tcMar>
          </w:tcPr>
          <w:p w14:paraId="3B42EA54" w14:textId="77777777" w:rsidR="00FC42DE" w:rsidRPr="000A5DBC" w:rsidRDefault="00FC42DE" w:rsidP="00FC42DE">
            <w:pPr>
              <w:pStyle w:val="Textpoznpodarou"/>
              <w:jc w:val="both"/>
              <w:rPr>
                <w:rFonts w:eastAsia="Times New Roman"/>
                <w:spacing w:val="-2"/>
                <w:sz w:val="16"/>
                <w:szCs w:val="16"/>
                <w:lang w:val="en-GB"/>
              </w:rPr>
            </w:pPr>
          </w:p>
        </w:tc>
        <w:tc>
          <w:tcPr>
            <w:tcW w:w="7730" w:type="dxa"/>
            <w:shd w:val="clear" w:color="auto" w:fill="auto"/>
            <w:tcMar>
              <w:left w:w="0" w:type="dxa"/>
            </w:tcMar>
          </w:tcPr>
          <w:p w14:paraId="11245B81" w14:textId="77777777" w:rsidR="00FC42DE" w:rsidRPr="000A5DBC" w:rsidRDefault="00FC42DE" w:rsidP="00FC42DE">
            <w:pPr>
              <w:spacing w:after="0"/>
              <w:rPr>
                <w:rFonts w:cs="Arial"/>
                <w:spacing w:val="-3"/>
                <w:sz w:val="14"/>
                <w:szCs w:val="14"/>
                <w:lang w:val="en-GB"/>
              </w:rPr>
            </w:pPr>
            <w:r w:rsidRPr="000A5DBC">
              <w:rPr>
                <w:spacing w:val="-3"/>
                <w:sz w:val="14"/>
                <w:szCs w:val="14"/>
                <w:lang w:val="en-GB"/>
              </w:rPr>
              <w:t>*</w:t>
            </w:r>
            <w:r w:rsidRPr="000A5DBC">
              <w:rPr>
                <w:rFonts w:cs="Arial"/>
                <w:spacing w:val="-3"/>
                <w:sz w:val="14"/>
                <w:szCs w:val="14"/>
                <w:lang w:val="en-GB"/>
              </w:rPr>
              <w:t xml:space="preserve"> Includes branches: Public administration, defence, social security; Education Human health and social work activities; Arts, entertainment and recreation activities. </w:t>
            </w:r>
          </w:p>
          <w:p w14:paraId="3AD7262D" w14:textId="77777777" w:rsidR="00FC42DE" w:rsidRPr="000A5DBC" w:rsidRDefault="00FC42DE" w:rsidP="00FC42DE">
            <w:pPr>
              <w:spacing w:after="0"/>
              <w:rPr>
                <w:spacing w:val="-3"/>
                <w:sz w:val="14"/>
                <w:szCs w:val="14"/>
                <w:lang w:val="en-GB"/>
              </w:rPr>
            </w:pPr>
            <w:r w:rsidRPr="000A5DBC">
              <w:rPr>
                <w:spacing w:val="-3"/>
                <w:sz w:val="14"/>
                <w:szCs w:val="14"/>
                <w:lang w:val="en-GB"/>
              </w:rPr>
              <w:t>**Share of seasonally non-adjusted GDP and total employment (in the national accounts conception).</w:t>
            </w:r>
          </w:p>
          <w:p w14:paraId="6AE05CAB" w14:textId="69DD36E6" w:rsidR="00387299" w:rsidRPr="00387299" w:rsidRDefault="00FC42DE" w:rsidP="00FC42DE">
            <w:pPr>
              <w:spacing w:after="0"/>
              <w:rPr>
                <w:rFonts w:cs="Arial"/>
                <w:sz w:val="14"/>
                <w:szCs w:val="14"/>
                <w:lang w:val="en-GB"/>
              </w:rPr>
            </w:pPr>
            <w:r w:rsidRPr="000A5DBC">
              <w:rPr>
                <w:spacing w:val="-3"/>
                <w:sz w:val="14"/>
                <w:szCs w:val="14"/>
                <w:lang w:val="en-GB"/>
              </w:rPr>
              <w:t>Source:</w:t>
            </w:r>
            <w:r w:rsidRPr="000A5DBC">
              <w:rPr>
                <w:rFonts w:cs="Arial"/>
                <w:sz w:val="14"/>
                <w:szCs w:val="14"/>
                <w:lang w:val="en-GB"/>
              </w:rPr>
              <w:t xml:space="preserve"> CZSO </w:t>
            </w:r>
          </w:p>
        </w:tc>
      </w:tr>
    </w:tbl>
    <w:p w14:paraId="2195283C" w14:textId="340BB1BE" w:rsidR="004D7B7C" w:rsidRDefault="004D7B7C" w:rsidP="004D7B7C">
      <w:pPr>
        <w:spacing w:after="0" w:line="240" w:lineRule="auto"/>
        <w:jc w:val="left"/>
        <w:rPr>
          <w:rFonts w:eastAsia="MS Gothic"/>
          <w:b/>
          <w:bCs/>
          <w:sz w:val="16"/>
          <w:szCs w:val="16"/>
          <w:lang w:val="en-GB"/>
        </w:rPr>
      </w:pPr>
      <w:bookmarkStart w:id="3" w:name="_Toc37403646"/>
    </w:p>
    <w:bookmarkEnd w:id="2"/>
    <w:bookmarkEnd w:id="3"/>
    <w:sectPr w:rsidR="004D7B7C" w:rsidSect="00BC6E48">
      <w:headerReference w:type="even" r:id="rId12"/>
      <w:headerReference w:type="default" r:id="rId13"/>
      <w:footerReference w:type="even" r:id="rId14"/>
      <w:footerReference w:type="default" r:id="rId15"/>
      <w:pgSz w:w="11906" w:h="16838" w:code="9"/>
      <w:pgMar w:top="1134" w:right="1134" w:bottom="1418" w:left="1134" w:header="680" w:footer="737"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E3F86" w14:textId="77777777" w:rsidR="000F13F8" w:rsidRDefault="000F13F8" w:rsidP="00E71A58">
      <w:r>
        <w:separator/>
      </w:r>
    </w:p>
  </w:endnote>
  <w:endnote w:type="continuationSeparator" w:id="0">
    <w:p w14:paraId="50BA106C" w14:textId="77777777" w:rsidR="000F13F8" w:rsidRDefault="000F13F8"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84D79" w14:textId="22D2CA09" w:rsidR="00E71422" w:rsidRPr="00932443" w:rsidRDefault="00E71422" w:rsidP="00A418BC">
    <w:pPr>
      <w:pStyle w:val="Zpat"/>
      <w:rPr>
        <w:szCs w:val="16"/>
      </w:rPr>
    </w:pPr>
    <w:r>
      <w:rPr>
        <w:szCs w:val="16"/>
        <w:lang w:eastAsia="cs-CZ"/>
      </w:rPr>
      <w:drawing>
        <wp:anchor distT="0" distB="0" distL="114300" distR="114300" simplePos="0" relativeHeight="251667968" behindDoc="0" locked="0" layoutInCell="1" allowOverlap="1" wp14:anchorId="62B4BAC6" wp14:editId="4A6E1F69">
          <wp:simplePos x="0" y="0"/>
          <wp:positionH relativeFrom="column">
            <wp:align>right</wp:align>
          </wp:positionH>
          <wp:positionV relativeFrom="paragraph">
            <wp:posOffset>-64770</wp:posOffset>
          </wp:positionV>
          <wp:extent cx="428625" cy="201295"/>
          <wp:effectExtent l="0" t="0" r="3175" b="1905"/>
          <wp:wrapNone/>
          <wp:docPr id="4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7B66F8">
      <w:rPr>
        <w:szCs w:val="16"/>
      </w:rPr>
      <w:t>20</w:t>
    </w:r>
    <w:r w:rsidRPr="00932443">
      <w:rPr>
        <w:szCs w:val="16"/>
      </w:rPr>
      <w:fldChar w:fldCharType="end"/>
    </w:r>
    <w:r w:rsidRPr="00932443">
      <w:rPr>
        <w:szCs w:val="16"/>
      </w:rPr>
      <w:tab/>
    </w:r>
    <w:r>
      <w:rPr>
        <w:szCs w:val="16"/>
      </w:rPr>
      <w:t>Year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BC6B5" w14:textId="5DA60D38" w:rsidR="00E71422" w:rsidRPr="00932443" w:rsidRDefault="00E71422" w:rsidP="00FA6CB6">
    <w:pPr>
      <w:pStyle w:val="Zpat"/>
      <w:rPr>
        <w:szCs w:val="16"/>
      </w:rPr>
    </w:pPr>
    <w:r w:rsidRPr="00FA6CB6">
      <w:rPr>
        <w:szCs w:val="16"/>
      </w:rPr>
      <w:tab/>
    </w:r>
    <w:r>
      <w:rPr>
        <w:szCs w:val="16"/>
      </w:rPr>
      <w:t xml:space="preserve">Year </w:t>
    </w:r>
    <w:r>
      <w:rPr>
        <w:szCs w:val="16"/>
        <w:lang w:eastAsia="cs-CZ"/>
      </w:rPr>
      <w:drawing>
        <wp:anchor distT="0" distB="0" distL="114300" distR="114300" simplePos="0" relativeHeight="251658752" behindDoc="0" locked="0" layoutInCell="1" allowOverlap="1" wp14:anchorId="7DB7E50B" wp14:editId="12DAD866">
          <wp:simplePos x="0" y="0"/>
          <wp:positionH relativeFrom="column">
            <wp:align>left</wp:align>
          </wp:positionH>
          <wp:positionV relativeFrom="paragraph">
            <wp:posOffset>-122555</wp:posOffset>
          </wp:positionV>
          <wp:extent cx="510540" cy="272415"/>
          <wp:effectExtent l="0" t="0" r="0" b="6985"/>
          <wp:wrapNone/>
          <wp:docPr id="45"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t>019</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7B66F8">
      <w:rPr>
        <w:rStyle w:val="ZpatChar"/>
        <w:szCs w:val="16"/>
      </w:rPr>
      <w:t>3</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5C7C6" w14:textId="77777777" w:rsidR="000F13F8" w:rsidRDefault="000F13F8" w:rsidP="00A21B4D">
      <w:pPr>
        <w:spacing w:after="0"/>
      </w:pPr>
      <w:r>
        <w:separator/>
      </w:r>
    </w:p>
  </w:footnote>
  <w:footnote w:type="continuationSeparator" w:id="0">
    <w:p w14:paraId="693BB67F" w14:textId="77777777" w:rsidR="000F13F8" w:rsidRDefault="000F13F8" w:rsidP="00E71A58">
      <w:r>
        <w:continuationSeparator/>
      </w:r>
    </w:p>
  </w:footnote>
  <w:footnote w:id="1">
    <w:p w14:paraId="00D1240C" w14:textId="77777777" w:rsidR="00E71422" w:rsidRPr="00095C9F" w:rsidRDefault="00E71422" w:rsidP="00A5761C">
      <w:pPr>
        <w:pStyle w:val="Textpoznpodarou"/>
        <w:jc w:val="both"/>
        <w:rPr>
          <w:spacing w:val="-4"/>
          <w:sz w:val="16"/>
          <w:szCs w:val="16"/>
          <w:lang w:val="en-GB"/>
        </w:rPr>
      </w:pPr>
      <w:r w:rsidRPr="00363D19">
        <w:rPr>
          <w:rStyle w:val="Znakapoznpodarou"/>
          <w:spacing w:val="-4"/>
          <w:sz w:val="16"/>
          <w:szCs w:val="16"/>
        </w:rPr>
        <w:footnoteRef/>
      </w:r>
      <w:r w:rsidRPr="00363D19">
        <w:rPr>
          <w:spacing w:val="-4"/>
          <w:sz w:val="16"/>
          <w:szCs w:val="16"/>
        </w:rPr>
        <w:t xml:space="preserve"> </w:t>
      </w:r>
      <w:r w:rsidRPr="009477E1">
        <w:rPr>
          <w:spacing w:val="-4"/>
          <w:sz w:val="16"/>
          <w:szCs w:val="16"/>
          <w:lang w:val="en-GB"/>
        </w:rPr>
        <w:t xml:space="preserve">Unless stated otherwise, data regarding employment used in this chapter are given in the national </w:t>
      </w:r>
      <w:proofErr w:type="gramStart"/>
      <w:r w:rsidRPr="009477E1">
        <w:rPr>
          <w:spacing w:val="-4"/>
          <w:sz w:val="16"/>
          <w:szCs w:val="16"/>
          <w:lang w:val="en-GB"/>
        </w:rPr>
        <w:t>accounts</w:t>
      </w:r>
      <w:proofErr w:type="gramEnd"/>
      <w:r w:rsidRPr="009477E1">
        <w:rPr>
          <w:spacing w:val="-4"/>
          <w:sz w:val="16"/>
          <w:szCs w:val="16"/>
          <w:lang w:val="en-GB"/>
        </w:rPr>
        <w:t xml:space="preserve"> conception after adjustment for </w:t>
      </w:r>
      <w:r w:rsidRPr="00095C9F">
        <w:rPr>
          <w:spacing w:val="-4"/>
          <w:sz w:val="16"/>
          <w:szCs w:val="16"/>
          <w:lang w:val="en-GB"/>
        </w:rPr>
        <w:t xml:space="preserve">seasonal effects. </w:t>
      </w:r>
    </w:p>
  </w:footnote>
  <w:footnote w:id="2">
    <w:p w14:paraId="72608B37" w14:textId="77777777" w:rsidR="00E71422" w:rsidRPr="00FD0631" w:rsidRDefault="00E71422" w:rsidP="008F7339">
      <w:pPr>
        <w:pStyle w:val="Textpoznpodarou"/>
        <w:jc w:val="both"/>
        <w:rPr>
          <w:spacing w:val="-2"/>
          <w:sz w:val="16"/>
          <w:szCs w:val="16"/>
          <w:lang w:val="en-GB"/>
        </w:rPr>
      </w:pPr>
      <w:r w:rsidRPr="00FD0631">
        <w:rPr>
          <w:rStyle w:val="Znakapoznpodarou"/>
          <w:spacing w:val="-2"/>
          <w:sz w:val="16"/>
          <w:szCs w:val="16"/>
          <w:lang w:val="en-GB"/>
        </w:rPr>
        <w:footnoteRef/>
      </w:r>
      <w:r w:rsidRPr="00FD0631">
        <w:rPr>
          <w:spacing w:val="-2"/>
          <w:sz w:val="16"/>
          <w:szCs w:val="16"/>
          <w:lang w:val="en-GB"/>
        </w:rPr>
        <w:t xml:space="preserve"> It is also confirmed by business statistics figures. The number of employees in industry dropped by 1.5% year-on-year in Q4 (by 0.8% for the whole year 2019). However, in this conception agency workers are not included into industry and the effect of the shadow economy is not allowed for. </w:t>
      </w:r>
    </w:p>
  </w:footnote>
  <w:footnote w:id="3">
    <w:p w14:paraId="7CC9B949" w14:textId="77777777" w:rsidR="00E71422" w:rsidRPr="00095C9F" w:rsidRDefault="00E71422" w:rsidP="008F7339">
      <w:pPr>
        <w:pStyle w:val="Textpoznpodarou"/>
        <w:jc w:val="both"/>
        <w:rPr>
          <w:spacing w:val="-4"/>
          <w:sz w:val="16"/>
          <w:szCs w:val="16"/>
          <w:lang w:val="en-GB"/>
        </w:rPr>
      </w:pPr>
      <w:r w:rsidRPr="00095C9F">
        <w:rPr>
          <w:rStyle w:val="Znakapoznpodarou"/>
          <w:spacing w:val="-4"/>
          <w:sz w:val="16"/>
          <w:szCs w:val="16"/>
          <w:lang w:val="en-GB"/>
        </w:rPr>
        <w:footnoteRef/>
      </w:r>
      <w:r w:rsidRPr="00095C9F">
        <w:rPr>
          <w:spacing w:val="-4"/>
          <w:sz w:val="16"/>
          <w:szCs w:val="16"/>
          <w:lang w:val="en-GB"/>
        </w:rPr>
        <w:t xml:space="preserve"> M</w:t>
      </w:r>
      <w:r>
        <w:rPr>
          <w:spacing w:val="-4"/>
          <w:sz w:val="16"/>
          <w:szCs w:val="16"/>
          <w:lang w:val="en-GB"/>
        </w:rPr>
        <w:t>ild decrease of the number of self-employed in the primary sector, industry and grouping trade, transportation, accommodation and restaurants was to a large extent compensated by their increase in construction and majority of services activities (especially in information and communication).</w:t>
      </w:r>
    </w:p>
  </w:footnote>
  <w:footnote w:id="4">
    <w:p w14:paraId="61D61815" w14:textId="77777777" w:rsidR="00E71422" w:rsidRPr="00095C9F" w:rsidRDefault="00E71422" w:rsidP="008F7339">
      <w:pPr>
        <w:pStyle w:val="Textpoznpodarou"/>
        <w:jc w:val="both"/>
        <w:rPr>
          <w:spacing w:val="-4"/>
          <w:sz w:val="16"/>
          <w:szCs w:val="16"/>
          <w:lang w:val="en-GB"/>
        </w:rPr>
      </w:pPr>
      <w:r w:rsidRPr="00095C9F">
        <w:rPr>
          <w:rStyle w:val="Znakapoznpodarou"/>
          <w:spacing w:val="-4"/>
          <w:sz w:val="16"/>
          <w:szCs w:val="16"/>
          <w:lang w:val="en-GB"/>
        </w:rPr>
        <w:footnoteRef/>
      </w:r>
      <w:r w:rsidRPr="00095C9F">
        <w:rPr>
          <w:spacing w:val="-4"/>
          <w:sz w:val="16"/>
          <w:szCs w:val="16"/>
          <w:lang w:val="en-GB"/>
        </w:rPr>
        <w:t xml:space="preserve"> T</w:t>
      </w:r>
      <w:r>
        <w:rPr>
          <w:spacing w:val="-4"/>
          <w:sz w:val="16"/>
          <w:szCs w:val="16"/>
          <w:lang w:val="en-GB"/>
        </w:rPr>
        <w:t>hey are expressed with the help of seasonally adjusted figures as differences (in p.p.) between the ratio of businesses expecting the employment increase in the next three months and businesses on the contrary foreseeing the reduction of level of their workers</w:t>
      </w:r>
      <w:r w:rsidRPr="00095C9F">
        <w:rPr>
          <w:spacing w:val="-4"/>
          <w:sz w:val="16"/>
          <w:szCs w:val="16"/>
          <w:lang w:val="en-GB"/>
        </w:rPr>
        <w:t>.</w:t>
      </w:r>
    </w:p>
  </w:footnote>
  <w:footnote w:id="5">
    <w:p w14:paraId="6D66D37D" w14:textId="1EA9DFB2" w:rsidR="00E71422" w:rsidRPr="00095C9F" w:rsidRDefault="00E71422" w:rsidP="008F7339">
      <w:pPr>
        <w:pStyle w:val="Textpoznpodarou"/>
        <w:jc w:val="both"/>
        <w:rPr>
          <w:spacing w:val="-4"/>
          <w:sz w:val="16"/>
          <w:szCs w:val="16"/>
          <w:lang w:val="en-GB"/>
        </w:rPr>
      </w:pPr>
      <w:r w:rsidRPr="00095C9F">
        <w:rPr>
          <w:rStyle w:val="Znakapoznpodarou"/>
          <w:spacing w:val="-4"/>
          <w:sz w:val="16"/>
          <w:szCs w:val="16"/>
          <w:lang w:val="en-GB"/>
        </w:rPr>
        <w:footnoteRef/>
      </w:r>
      <w:r w:rsidRPr="00095C9F">
        <w:rPr>
          <w:spacing w:val="-4"/>
          <w:sz w:val="16"/>
          <w:szCs w:val="16"/>
          <w:lang w:val="en-GB"/>
        </w:rPr>
        <w:t xml:space="preserve"> </w:t>
      </w:r>
      <w:r>
        <w:rPr>
          <w:spacing w:val="-4"/>
          <w:sz w:val="16"/>
          <w:szCs w:val="16"/>
          <w:lang w:val="en-GB"/>
        </w:rPr>
        <w:t>Within industry, mainly branches of leather, footwear and textile industry had negative expectations regarding the employment</w:t>
      </w:r>
      <w:r w:rsidRPr="00095C9F">
        <w:rPr>
          <w:spacing w:val="-4"/>
          <w:sz w:val="16"/>
          <w:szCs w:val="16"/>
          <w:lang w:val="en-GB"/>
        </w:rPr>
        <w:t xml:space="preserve">. </w:t>
      </w:r>
      <w:r>
        <w:rPr>
          <w:spacing w:val="-4"/>
          <w:sz w:val="16"/>
          <w:szCs w:val="16"/>
          <w:lang w:val="en-GB"/>
        </w:rPr>
        <w:t xml:space="preserve">Among the larger branches then especially rubber and plastic activities, machinery, manufacture of metal products, metallurgy and foundry industry. </w:t>
      </w:r>
      <w:r w:rsidRPr="00095C9F">
        <w:rPr>
          <w:spacing w:val="-4"/>
          <w:sz w:val="16"/>
          <w:szCs w:val="16"/>
          <w:lang w:val="en-GB"/>
        </w:rPr>
        <w:t>M</w:t>
      </w:r>
      <w:r>
        <w:rPr>
          <w:spacing w:val="-4"/>
          <w:sz w:val="16"/>
          <w:szCs w:val="16"/>
          <w:lang w:val="en-GB"/>
        </w:rPr>
        <w:t xml:space="preserve">oderately negative expectations </w:t>
      </w:r>
      <w:r w:rsidR="00F62324">
        <w:rPr>
          <w:spacing w:val="-4"/>
          <w:sz w:val="16"/>
          <w:szCs w:val="16"/>
          <w:lang w:val="en-GB"/>
        </w:rPr>
        <w:t>were also in automotive industry (for the major part of the year 2019). O</w:t>
      </w:r>
      <w:r>
        <w:rPr>
          <w:spacing w:val="-4"/>
          <w:sz w:val="16"/>
          <w:szCs w:val="16"/>
          <w:lang w:val="en-GB"/>
        </w:rPr>
        <w:t>n the contrary</w:t>
      </w:r>
      <w:r w:rsidR="00F62324">
        <w:rPr>
          <w:spacing w:val="-4"/>
          <w:sz w:val="16"/>
          <w:szCs w:val="16"/>
          <w:lang w:val="en-GB"/>
        </w:rPr>
        <w:t>,</w:t>
      </w:r>
      <w:r>
        <w:rPr>
          <w:spacing w:val="-4"/>
          <w:sz w:val="16"/>
          <w:szCs w:val="16"/>
          <w:lang w:val="en-GB"/>
        </w:rPr>
        <w:t xml:space="preserve"> </w:t>
      </w:r>
      <w:r w:rsidR="00F62324">
        <w:rPr>
          <w:spacing w:val="-4"/>
          <w:sz w:val="16"/>
          <w:szCs w:val="16"/>
          <w:lang w:val="en-GB"/>
        </w:rPr>
        <w:t xml:space="preserve">positive anticipations </w:t>
      </w:r>
      <w:r>
        <w:rPr>
          <w:spacing w:val="-4"/>
          <w:sz w:val="16"/>
          <w:szCs w:val="16"/>
          <w:lang w:val="en-GB"/>
        </w:rPr>
        <w:t xml:space="preserve">prevailed in paper, printing, chemical or pharmaceutical industry and also in branch other manufacturing </w:t>
      </w:r>
      <w:r w:rsidRPr="00095C9F">
        <w:rPr>
          <w:spacing w:val="-4"/>
          <w:sz w:val="16"/>
          <w:szCs w:val="16"/>
          <w:lang w:val="en-GB"/>
        </w:rPr>
        <w:t>(</w:t>
      </w:r>
      <w:r>
        <w:rPr>
          <w:spacing w:val="-4"/>
          <w:sz w:val="16"/>
          <w:szCs w:val="16"/>
          <w:lang w:val="en-GB"/>
        </w:rPr>
        <w:t xml:space="preserve">including mainly manufacturing of medical and dental instruments and supplies and further also toys or sporting equipment). </w:t>
      </w:r>
    </w:p>
    <w:p w14:paraId="1CCC57E6" w14:textId="77777777" w:rsidR="00E71422" w:rsidRPr="00095C9F" w:rsidRDefault="00E71422" w:rsidP="008F7339">
      <w:pPr>
        <w:pStyle w:val="Textpoznpodarou"/>
        <w:jc w:val="both"/>
        <w:rPr>
          <w:spacing w:val="-4"/>
          <w:sz w:val="16"/>
          <w:szCs w:val="16"/>
          <w:lang w:val="en-GB"/>
        </w:rPr>
      </w:pPr>
      <w:r>
        <w:rPr>
          <w:spacing w:val="-4"/>
          <w:sz w:val="16"/>
          <w:szCs w:val="16"/>
          <w:lang w:val="en-GB"/>
        </w:rPr>
        <w:t xml:space="preserve">Within the market services, the negative balance of employment expectations was apparent in transportation, telecommunication, financial activities, real estate activities, in the area of renting and operational leasing or travel agencies. On the contrary, anticipated employment increase was indicated traditionally especially by employment placement agencies, food service and restaurants, storage, legal and accounting activities, science and research and IT activities.   </w:t>
      </w:r>
    </w:p>
  </w:footnote>
  <w:footnote w:id="6">
    <w:p w14:paraId="6654E533" w14:textId="77777777" w:rsidR="00E71422" w:rsidRPr="000E7033" w:rsidRDefault="00E71422" w:rsidP="000E7033">
      <w:pPr>
        <w:pStyle w:val="Textpoznpodarou"/>
        <w:jc w:val="both"/>
        <w:rPr>
          <w:spacing w:val="-2"/>
          <w:sz w:val="16"/>
          <w:szCs w:val="16"/>
          <w:lang w:val="en-GB"/>
        </w:rPr>
      </w:pPr>
      <w:r w:rsidRPr="000E7033">
        <w:rPr>
          <w:rStyle w:val="Znakapoznpodarou"/>
          <w:spacing w:val="-4"/>
          <w:sz w:val="16"/>
          <w:szCs w:val="16"/>
          <w:lang w:val="en-GB"/>
        </w:rPr>
        <w:footnoteRef/>
      </w:r>
      <w:r w:rsidRPr="000E7033">
        <w:rPr>
          <w:spacing w:val="-4"/>
          <w:sz w:val="16"/>
          <w:szCs w:val="16"/>
          <w:lang w:val="en-GB"/>
        </w:rPr>
        <w:t xml:space="preserve"> Mostly citizens of Ukraine (+23 thousand), Slovakia (+10.1), Russia (+2.3), Poland (+1.5), Vietnam (+1.4), Bulgaria and Belarus shared in it.</w:t>
      </w:r>
    </w:p>
  </w:footnote>
  <w:footnote w:id="7">
    <w:p w14:paraId="61E9BCC7" w14:textId="77777777" w:rsidR="00E71422" w:rsidRPr="006A4CF3" w:rsidRDefault="00E71422" w:rsidP="000E7033">
      <w:pPr>
        <w:pStyle w:val="Textpoznpodarou"/>
        <w:jc w:val="both"/>
        <w:rPr>
          <w:spacing w:val="-2"/>
          <w:sz w:val="16"/>
          <w:szCs w:val="16"/>
        </w:rPr>
      </w:pPr>
      <w:r w:rsidRPr="000E7033">
        <w:rPr>
          <w:rStyle w:val="Znakapoznpodarou"/>
          <w:spacing w:val="-2"/>
          <w:sz w:val="16"/>
          <w:szCs w:val="16"/>
          <w:lang w:val="en-GB"/>
        </w:rPr>
        <w:footnoteRef/>
      </w:r>
      <w:r w:rsidRPr="000E7033">
        <w:rPr>
          <w:spacing w:val="-2"/>
          <w:sz w:val="16"/>
          <w:szCs w:val="16"/>
          <w:lang w:val="en-GB"/>
        </w:rPr>
        <w:t xml:space="preserve"> </w:t>
      </w:r>
      <w:r>
        <w:rPr>
          <w:spacing w:val="-2"/>
          <w:sz w:val="16"/>
          <w:szCs w:val="16"/>
          <w:lang w:val="en-GB"/>
        </w:rPr>
        <w:t xml:space="preserve">Below one half of citizens of Ukraine as well as all citizens from so called “third countries” working in the CR on employee positions do not need working permit for this reason </w:t>
      </w:r>
      <w:r w:rsidRPr="000E7033">
        <w:rPr>
          <w:spacing w:val="-2"/>
          <w:sz w:val="16"/>
          <w:szCs w:val="16"/>
          <w:lang w:val="en-GB"/>
        </w:rPr>
        <w:t>(</w:t>
      </w:r>
      <w:r>
        <w:rPr>
          <w:spacing w:val="-2"/>
          <w:sz w:val="16"/>
          <w:szCs w:val="16"/>
          <w:lang w:val="en-GB"/>
        </w:rPr>
        <w:t xml:space="preserve">mostly foreigners with residence permit on the CR territory, </w:t>
      </w:r>
      <w:r>
        <w:rPr>
          <w:rFonts w:cs="Arial"/>
          <w:spacing w:val="-2"/>
          <w:sz w:val="16"/>
          <w:szCs w:val="16"/>
          <w:lang w:val="en-GB"/>
        </w:rPr>
        <w:t xml:space="preserve">asylum seekers or persons, who were granted a subsidiary protection, and further people residing on the CR territory based on long-term stay permit for the purpose of family reunification). </w:t>
      </w:r>
    </w:p>
  </w:footnote>
  <w:footnote w:id="8">
    <w:p w14:paraId="5EFC03AB" w14:textId="77777777" w:rsidR="00E71422" w:rsidRPr="00BF40E0" w:rsidRDefault="00E71422" w:rsidP="00BF40E0">
      <w:pPr>
        <w:pStyle w:val="Textpoznpodarou"/>
        <w:jc w:val="both"/>
        <w:rPr>
          <w:spacing w:val="-2"/>
          <w:sz w:val="16"/>
          <w:szCs w:val="16"/>
          <w:lang w:val="en-GB"/>
        </w:rPr>
      </w:pPr>
      <w:r w:rsidRPr="006A4CF3">
        <w:rPr>
          <w:rStyle w:val="Znakapoznpodarou"/>
          <w:spacing w:val="-2"/>
          <w:sz w:val="16"/>
          <w:szCs w:val="16"/>
        </w:rPr>
        <w:footnoteRef/>
      </w:r>
      <w:r>
        <w:rPr>
          <w:spacing w:val="-2"/>
          <w:sz w:val="16"/>
          <w:szCs w:val="16"/>
        </w:rPr>
        <w:t xml:space="preserve"> </w:t>
      </w:r>
      <w:r w:rsidRPr="00BF40E0">
        <w:rPr>
          <w:spacing w:val="-2"/>
          <w:sz w:val="16"/>
          <w:szCs w:val="16"/>
          <w:lang w:val="en-GB"/>
        </w:rPr>
        <w:t>All g</w:t>
      </w:r>
      <w:r>
        <w:rPr>
          <w:spacing w:val="-2"/>
          <w:sz w:val="16"/>
          <w:szCs w:val="16"/>
          <w:lang w:val="en-GB"/>
        </w:rPr>
        <w:t>iven</w:t>
      </w:r>
      <w:r w:rsidRPr="00BF40E0">
        <w:rPr>
          <w:spacing w:val="-2"/>
          <w:sz w:val="16"/>
          <w:szCs w:val="16"/>
          <w:lang w:val="en-GB"/>
        </w:rPr>
        <w:t xml:space="preserve"> unemployment rates are sourced from</w:t>
      </w:r>
      <w:r>
        <w:rPr>
          <w:spacing w:val="-2"/>
          <w:sz w:val="16"/>
          <w:szCs w:val="16"/>
          <w:lang w:val="en-GB"/>
        </w:rPr>
        <w:t xml:space="preserve"> </w:t>
      </w:r>
      <w:r w:rsidRPr="00BF40E0">
        <w:rPr>
          <w:spacing w:val="-2"/>
          <w:sz w:val="16"/>
          <w:szCs w:val="16"/>
          <w:lang w:val="en-GB"/>
        </w:rPr>
        <w:t>the data of Labour Force Sample Survey and express the reality after seasonal adjustment.</w:t>
      </w:r>
    </w:p>
  </w:footnote>
  <w:footnote w:id="9">
    <w:p w14:paraId="0525AE1C" w14:textId="77777777" w:rsidR="00E71422" w:rsidRPr="005D1179" w:rsidRDefault="00E71422" w:rsidP="00485E82">
      <w:pPr>
        <w:pStyle w:val="Textpoznpodarou"/>
        <w:jc w:val="both"/>
        <w:rPr>
          <w:spacing w:val="-2"/>
          <w:sz w:val="16"/>
          <w:szCs w:val="16"/>
          <w:lang w:val="en-GB"/>
        </w:rPr>
      </w:pPr>
      <w:r w:rsidRPr="006A4CF3">
        <w:rPr>
          <w:rStyle w:val="Znakapoznpodarou"/>
          <w:spacing w:val="-2"/>
          <w:sz w:val="16"/>
          <w:szCs w:val="16"/>
        </w:rPr>
        <w:footnoteRef/>
      </w:r>
      <w:r>
        <w:rPr>
          <w:spacing w:val="-2"/>
          <w:sz w:val="16"/>
          <w:szCs w:val="16"/>
        </w:rPr>
        <w:t xml:space="preserve"> </w:t>
      </w:r>
      <w:r w:rsidRPr="005D1179">
        <w:rPr>
          <w:spacing w:val="-2"/>
          <w:sz w:val="16"/>
          <w:szCs w:val="16"/>
          <w:lang w:val="en-GB"/>
        </w:rPr>
        <w:t>The lower number of hours worked year-on-year (there was one workin</w:t>
      </w:r>
      <w:r>
        <w:rPr>
          <w:spacing w:val="-2"/>
          <w:sz w:val="16"/>
          <w:szCs w:val="16"/>
          <w:lang w:val="en-GB"/>
        </w:rPr>
        <w:t>g</w:t>
      </w:r>
      <w:r w:rsidRPr="005D1179">
        <w:rPr>
          <w:spacing w:val="-2"/>
          <w:sz w:val="16"/>
          <w:szCs w:val="16"/>
          <w:lang w:val="en-GB"/>
        </w:rPr>
        <w:t xml:space="preserve"> day less in Q4 compared to the same period of the previous year), </w:t>
      </w:r>
      <w:r>
        <w:rPr>
          <w:spacing w:val="-2"/>
          <w:sz w:val="16"/>
          <w:szCs w:val="16"/>
          <w:lang w:val="en-GB"/>
        </w:rPr>
        <w:t xml:space="preserve">lower volume of overtime work as well as small decrease of the role of special bonuses (evident e.g. in mining and quarrying) </w:t>
      </w:r>
      <w:r w:rsidRPr="005D1179">
        <w:rPr>
          <w:spacing w:val="-2"/>
          <w:sz w:val="16"/>
          <w:szCs w:val="16"/>
          <w:lang w:val="en-GB"/>
        </w:rPr>
        <w:t xml:space="preserve">impacted this slow down as well. </w:t>
      </w:r>
      <w:r>
        <w:rPr>
          <w:spacing w:val="-2"/>
          <w:sz w:val="16"/>
          <w:szCs w:val="16"/>
          <w:lang w:val="en-GB"/>
        </w:rPr>
        <w:t>On the contrary, the volume of paid not worked time increased, especially due to higher sickness.</w:t>
      </w:r>
    </w:p>
  </w:footnote>
  <w:footnote w:id="10">
    <w:p w14:paraId="11952CBC" w14:textId="77777777" w:rsidR="00E71422" w:rsidRPr="005D1179" w:rsidRDefault="00E71422" w:rsidP="00485E82">
      <w:pPr>
        <w:pStyle w:val="Textpoznpodarou"/>
        <w:jc w:val="both"/>
        <w:rPr>
          <w:spacing w:val="-2"/>
          <w:sz w:val="16"/>
          <w:szCs w:val="16"/>
          <w:lang w:val="en-GB"/>
        </w:rPr>
      </w:pPr>
      <w:r w:rsidRPr="005D1179">
        <w:rPr>
          <w:rStyle w:val="Znakapoznpodarou"/>
          <w:spacing w:val="-2"/>
          <w:sz w:val="16"/>
          <w:szCs w:val="16"/>
          <w:lang w:val="en-GB"/>
        </w:rPr>
        <w:footnoteRef/>
      </w:r>
      <w:r w:rsidRPr="005D1179">
        <w:rPr>
          <w:spacing w:val="-2"/>
          <w:sz w:val="16"/>
          <w:szCs w:val="16"/>
          <w:lang w:val="en-GB"/>
        </w:rPr>
        <w:t xml:space="preserve"> </w:t>
      </w:r>
      <w:r>
        <w:rPr>
          <w:spacing w:val="-2"/>
          <w:sz w:val="16"/>
          <w:szCs w:val="16"/>
          <w:lang w:val="en-GB"/>
        </w:rPr>
        <w:t xml:space="preserve">Year-on-year growth of wages in education accelerated also thanks to payment of bonuses at the end of the year to 16.2% in Q4. The size of average gross monthly earnings </w:t>
      </w:r>
      <w:r w:rsidRPr="005D1179">
        <w:rPr>
          <w:spacing w:val="-2"/>
          <w:sz w:val="16"/>
          <w:szCs w:val="16"/>
          <w:lang w:val="en-GB"/>
        </w:rPr>
        <w:t>(41 674 </w:t>
      </w:r>
      <w:r>
        <w:rPr>
          <w:spacing w:val="-2"/>
          <w:sz w:val="16"/>
          <w:szCs w:val="16"/>
          <w:lang w:val="en-GB"/>
        </w:rPr>
        <w:t>CZK</w:t>
      </w:r>
      <w:r w:rsidRPr="005D1179">
        <w:rPr>
          <w:spacing w:val="-2"/>
          <w:sz w:val="16"/>
          <w:szCs w:val="16"/>
          <w:lang w:val="en-GB"/>
        </w:rPr>
        <w:t>)</w:t>
      </w:r>
      <w:r>
        <w:rPr>
          <w:spacing w:val="-2"/>
          <w:sz w:val="16"/>
          <w:szCs w:val="16"/>
          <w:lang w:val="en-GB"/>
        </w:rPr>
        <w:t xml:space="preserve"> already neared here close to the level of best positioned branch in the long-term with the dominant public sector (public administration and social work) and it exceeded the level of national economy by record 15%.  </w:t>
      </w:r>
    </w:p>
  </w:footnote>
  <w:footnote w:id="11">
    <w:p w14:paraId="22E1E37E" w14:textId="77777777" w:rsidR="00E71422" w:rsidRPr="005D1179" w:rsidRDefault="00E71422" w:rsidP="00485E82">
      <w:pPr>
        <w:pStyle w:val="Textpoznpodarou"/>
        <w:jc w:val="both"/>
        <w:rPr>
          <w:spacing w:val="-2"/>
          <w:sz w:val="16"/>
          <w:szCs w:val="16"/>
          <w:lang w:val="en-GB"/>
        </w:rPr>
      </w:pPr>
      <w:r w:rsidRPr="005D1179">
        <w:rPr>
          <w:rStyle w:val="Znakapoznpodarou"/>
          <w:spacing w:val="-2"/>
          <w:sz w:val="16"/>
          <w:szCs w:val="16"/>
          <w:lang w:val="en-GB"/>
        </w:rPr>
        <w:footnoteRef/>
      </w:r>
      <w:r w:rsidRPr="005D1179">
        <w:rPr>
          <w:spacing w:val="-2"/>
          <w:sz w:val="16"/>
          <w:szCs w:val="16"/>
          <w:lang w:val="en-GB"/>
        </w:rPr>
        <w:t xml:space="preserve"> Dynamic wage growth was enabled by very good economic results of the financial sector merged with strong pressure on the productivity growth (number of employees according to business statistics shrank by 1.9% year-on-year and also in previous years their growth was rather restrained). In addition, the relative growth rate of averages wages was placed considerably below the level of the nation economy here in the period of 2015 to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3B45C" w14:textId="77777777" w:rsidR="00E71422" w:rsidRPr="00A12F0E" w:rsidRDefault="00E71422" w:rsidP="00937AE2">
    <w:pPr>
      <w:pStyle w:val="Zhlav"/>
      <w:rPr>
        <w:lang w:val="en-GB"/>
      </w:rPr>
    </w:pPr>
    <w:r w:rsidRPr="00A12F0E">
      <w:rPr>
        <w:lang w:val="en-GB"/>
      </w:rPr>
      <w:t xml:space="preserve">The Czech Economy Development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582F2" w14:textId="77777777" w:rsidR="00E71422" w:rsidRPr="000F79D5" w:rsidRDefault="00E71422" w:rsidP="00937AE2">
    <w:pPr>
      <w:pStyle w:val="Zhlav"/>
      <w:rPr>
        <w:lang w:val="en-GB"/>
      </w:rPr>
    </w:pPr>
    <w:r w:rsidRPr="000F79D5">
      <w:rPr>
        <w:lang w:val="en-GB"/>
      </w:rPr>
      <w:t>The Czech Economy Development</w:t>
    </w:r>
  </w:p>
  <w:p w14:paraId="0DDD5F40" w14:textId="77777777" w:rsidR="00E71422" w:rsidRPr="006F5416" w:rsidRDefault="00E71422"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11.5pt;height:11.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4"/>
  </w:num>
  <w:num w:numId="14">
    <w:abstractNumId w:val="12"/>
  </w:num>
  <w:num w:numId="15">
    <w:abstractNumId w:val="18"/>
  </w:num>
  <w:num w:numId="16">
    <w:abstractNumId w:val="14"/>
  </w:num>
  <w:num w:numId="17">
    <w:abstractNumId w:val="25"/>
  </w:num>
  <w:num w:numId="18">
    <w:abstractNumId w:val="19"/>
  </w:num>
  <w:num w:numId="19">
    <w:abstractNumId w:val="26"/>
  </w:num>
  <w:num w:numId="20">
    <w:abstractNumId w:val="27"/>
  </w:num>
  <w:num w:numId="21">
    <w:abstractNumId w:val="23"/>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28"/>
    <w:rsid w:val="000005AF"/>
    <w:rsid w:val="00000B55"/>
    <w:rsid w:val="00001487"/>
    <w:rsid w:val="0000209D"/>
    <w:rsid w:val="00002566"/>
    <w:rsid w:val="00003849"/>
    <w:rsid w:val="00003F5C"/>
    <w:rsid w:val="00004D5A"/>
    <w:rsid w:val="000056D5"/>
    <w:rsid w:val="00005D9E"/>
    <w:rsid w:val="000063D5"/>
    <w:rsid w:val="00006625"/>
    <w:rsid w:val="00006ABD"/>
    <w:rsid w:val="00006B67"/>
    <w:rsid w:val="00006C0B"/>
    <w:rsid w:val="000073A0"/>
    <w:rsid w:val="0000767A"/>
    <w:rsid w:val="00007ABE"/>
    <w:rsid w:val="00010256"/>
    <w:rsid w:val="00010702"/>
    <w:rsid w:val="0001128E"/>
    <w:rsid w:val="00011912"/>
    <w:rsid w:val="00013560"/>
    <w:rsid w:val="0001387D"/>
    <w:rsid w:val="00016420"/>
    <w:rsid w:val="00017775"/>
    <w:rsid w:val="00017B01"/>
    <w:rsid w:val="000205D1"/>
    <w:rsid w:val="00020F22"/>
    <w:rsid w:val="0002195D"/>
    <w:rsid w:val="000228AE"/>
    <w:rsid w:val="000233D1"/>
    <w:rsid w:val="000234D6"/>
    <w:rsid w:val="00023D29"/>
    <w:rsid w:val="00024348"/>
    <w:rsid w:val="00026389"/>
    <w:rsid w:val="000279E5"/>
    <w:rsid w:val="00031AE0"/>
    <w:rsid w:val="00031BB2"/>
    <w:rsid w:val="000322EF"/>
    <w:rsid w:val="00033A2D"/>
    <w:rsid w:val="00033FCD"/>
    <w:rsid w:val="00034DF7"/>
    <w:rsid w:val="00034E68"/>
    <w:rsid w:val="000350C8"/>
    <w:rsid w:val="00036195"/>
    <w:rsid w:val="000366B2"/>
    <w:rsid w:val="000374B2"/>
    <w:rsid w:val="000376C0"/>
    <w:rsid w:val="000403A7"/>
    <w:rsid w:val="00040453"/>
    <w:rsid w:val="00040632"/>
    <w:rsid w:val="00041AFC"/>
    <w:rsid w:val="00041BB2"/>
    <w:rsid w:val="00041CEC"/>
    <w:rsid w:val="00044183"/>
    <w:rsid w:val="0004431D"/>
    <w:rsid w:val="00044FD1"/>
    <w:rsid w:val="0004694F"/>
    <w:rsid w:val="00046F2F"/>
    <w:rsid w:val="00047AD4"/>
    <w:rsid w:val="00047D54"/>
    <w:rsid w:val="00047E68"/>
    <w:rsid w:val="00050477"/>
    <w:rsid w:val="00050981"/>
    <w:rsid w:val="00051506"/>
    <w:rsid w:val="000522E4"/>
    <w:rsid w:val="00053713"/>
    <w:rsid w:val="0005434E"/>
    <w:rsid w:val="0005510F"/>
    <w:rsid w:val="00055CB6"/>
    <w:rsid w:val="000572DD"/>
    <w:rsid w:val="00057B1E"/>
    <w:rsid w:val="000610E1"/>
    <w:rsid w:val="000616AD"/>
    <w:rsid w:val="000622A6"/>
    <w:rsid w:val="00062BF9"/>
    <w:rsid w:val="00062EC5"/>
    <w:rsid w:val="00062F22"/>
    <w:rsid w:val="00063975"/>
    <w:rsid w:val="00063CEA"/>
    <w:rsid w:val="0006444D"/>
    <w:rsid w:val="000645FC"/>
    <w:rsid w:val="0006533F"/>
    <w:rsid w:val="00065348"/>
    <w:rsid w:val="00065662"/>
    <w:rsid w:val="00065A75"/>
    <w:rsid w:val="00066558"/>
    <w:rsid w:val="00070A87"/>
    <w:rsid w:val="000712B3"/>
    <w:rsid w:val="00072FF5"/>
    <w:rsid w:val="00073FB1"/>
    <w:rsid w:val="0007474E"/>
    <w:rsid w:val="00074988"/>
    <w:rsid w:val="0007512B"/>
    <w:rsid w:val="00075551"/>
    <w:rsid w:val="000767F5"/>
    <w:rsid w:val="00076D90"/>
    <w:rsid w:val="0007767F"/>
    <w:rsid w:val="00077A4E"/>
    <w:rsid w:val="00077BA9"/>
    <w:rsid w:val="00077FF0"/>
    <w:rsid w:val="00081A55"/>
    <w:rsid w:val="0008263E"/>
    <w:rsid w:val="00082C19"/>
    <w:rsid w:val="00082F89"/>
    <w:rsid w:val="000837CD"/>
    <w:rsid w:val="00083BEC"/>
    <w:rsid w:val="000847FF"/>
    <w:rsid w:val="00084BFF"/>
    <w:rsid w:val="00085395"/>
    <w:rsid w:val="00086896"/>
    <w:rsid w:val="00086AC1"/>
    <w:rsid w:val="00086D19"/>
    <w:rsid w:val="0008724C"/>
    <w:rsid w:val="00087634"/>
    <w:rsid w:val="00087F2B"/>
    <w:rsid w:val="00090694"/>
    <w:rsid w:val="00090FC6"/>
    <w:rsid w:val="0009111A"/>
    <w:rsid w:val="000913B1"/>
    <w:rsid w:val="0009239C"/>
    <w:rsid w:val="00093241"/>
    <w:rsid w:val="00094A84"/>
    <w:rsid w:val="00095025"/>
    <w:rsid w:val="00095135"/>
    <w:rsid w:val="00095C9F"/>
    <w:rsid w:val="0009626E"/>
    <w:rsid w:val="0009689A"/>
    <w:rsid w:val="00097191"/>
    <w:rsid w:val="000974D1"/>
    <w:rsid w:val="0009799E"/>
    <w:rsid w:val="000A07CB"/>
    <w:rsid w:val="000A0BC0"/>
    <w:rsid w:val="000A1183"/>
    <w:rsid w:val="000A212B"/>
    <w:rsid w:val="000A242D"/>
    <w:rsid w:val="000A256D"/>
    <w:rsid w:val="000A2D80"/>
    <w:rsid w:val="000A3361"/>
    <w:rsid w:val="000A3A2C"/>
    <w:rsid w:val="000A3D9E"/>
    <w:rsid w:val="000A4A54"/>
    <w:rsid w:val="000A4ED9"/>
    <w:rsid w:val="000A5DB7"/>
    <w:rsid w:val="000A5DBC"/>
    <w:rsid w:val="000A62F6"/>
    <w:rsid w:val="000A6AFE"/>
    <w:rsid w:val="000A6D94"/>
    <w:rsid w:val="000A7377"/>
    <w:rsid w:val="000A7FF4"/>
    <w:rsid w:val="000B03CC"/>
    <w:rsid w:val="000B095B"/>
    <w:rsid w:val="000B4212"/>
    <w:rsid w:val="000B4999"/>
    <w:rsid w:val="000B624C"/>
    <w:rsid w:val="000B73B6"/>
    <w:rsid w:val="000C0EA8"/>
    <w:rsid w:val="000C13A2"/>
    <w:rsid w:val="000C21E7"/>
    <w:rsid w:val="000C23EC"/>
    <w:rsid w:val="000C272A"/>
    <w:rsid w:val="000C30C3"/>
    <w:rsid w:val="000C3408"/>
    <w:rsid w:val="000C35AB"/>
    <w:rsid w:val="000C3F7B"/>
    <w:rsid w:val="000C4769"/>
    <w:rsid w:val="000C4D56"/>
    <w:rsid w:val="000C57C9"/>
    <w:rsid w:val="000C5DFA"/>
    <w:rsid w:val="000C632E"/>
    <w:rsid w:val="000C6AFD"/>
    <w:rsid w:val="000C6C90"/>
    <w:rsid w:val="000D0A26"/>
    <w:rsid w:val="000D0D6B"/>
    <w:rsid w:val="000D29A2"/>
    <w:rsid w:val="000D3058"/>
    <w:rsid w:val="000D310A"/>
    <w:rsid w:val="000D3EF4"/>
    <w:rsid w:val="000D41D5"/>
    <w:rsid w:val="000D4E3C"/>
    <w:rsid w:val="000D5637"/>
    <w:rsid w:val="000D581B"/>
    <w:rsid w:val="000D6F4E"/>
    <w:rsid w:val="000E0E96"/>
    <w:rsid w:val="000E298B"/>
    <w:rsid w:val="000E2C7D"/>
    <w:rsid w:val="000E37DB"/>
    <w:rsid w:val="000E37EB"/>
    <w:rsid w:val="000E440D"/>
    <w:rsid w:val="000E4655"/>
    <w:rsid w:val="000E4AC5"/>
    <w:rsid w:val="000E5A47"/>
    <w:rsid w:val="000E6253"/>
    <w:rsid w:val="000E6E4D"/>
    <w:rsid w:val="000E6FBD"/>
    <w:rsid w:val="000E6FCB"/>
    <w:rsid w:val="000E7033"/>
    <w:rsid w:val="000F090B"/>
    <w:rsid w:val="000F13F8"/>
    <w:rsid w:val="000F3F3B"/>
    <w:rsid w:val="000F47E8"/>
    <w:rsid w:val="000F70E4"/>
    <w:rsid w:val="000F76EA"/>
    <w:rsid w:val="000F79D5"/>
    <w:rsid w:val="00100F5C"/>
    <w:rsid w:val="00101CDA"/>
    <w:rsid w:val="00102037"/>
    <w:rsid w:val="00103DCB"/>
    <w:rsid w:val="00104C4C"/>
    <w:rsid w:val="00105015"/>
    <w:rsid w:val="001055D2"/>
    <w:rsid w:val="001057C2"/>
    <w:rsid w:val="00107996"/>
    <w:rsid w:val="0011038E"/>
    <w:rsid w:val="00110DB1"/>
    <w:rsid w:val="001125EF"/>
    <w:rsid w:val="00112CAB"/>
    <w:rsid w:val="00116D3F"/>
    <w:rsid w:val="00117474"/>
    <w:rsid w:val="0011758C"/>
    <w:rsid w:val="00117623"/>
    <w:rsid w:val="00117E24"/>
    <w:rsid w:val="00117FEA"/>
    <w:rsid w:val="001200CF"/>
    <w:rsid w:val="001205FF"/>
    <w:rsid w:val="001208E3"/>
    <w:rsid w:val="00121170"/>
    <w:rsid w:val="0012192F"/>
    <w:rsid w:val="00122994"/>
    <w:rsid w:val="00122D11"/>
    <w:rsid w:val="00123841"/>
    <w:rsid w:val="00123AD0"/>
    <w:rsid w:val="00123AD2"/>
    <w:rsid w:val="00124B46"/>
    <w:rsid w:val="001257E0"/>
    <w:rsid w:val="00125D69"/>
    <w:rsid w:val="001260F8"/>
    <w:rsid w:val="0012799C"/>
    <w:rsid w:val="00127BC2"/>
    <w:rsid w:val="00127E15"/>
    <w:rsid w:val="001302F1"/>
    <w:rsid w:val="00130ADC"/>
    <w:rsid w:val="00130D9F"/>
    <w:rsid w:val="00132C4D"/>
    <w:rsid w:val="00133FC1"/>
    <w:rsid w:val="00134429"/>
    <w:rsid w:val="00134659"/>
    <w:rsid w:val="001405FA"/>
    <w:rsid w:val="00140698"/>
    <w:rsid w:val="00140D1A"/>
    <w:rsid w:val="00141184"/>
    <w:rsid w:val="00141315"/>
    <w:rsid w:val="00141AA0"/>
    <w:rsid w:val="001425C3"/>
    <w:rsid w:val="0014262D"/>
    <w:rsid w:val="00142C54"/>
    <w:rsid w:val="00144588"/>
    <w:rsid w:val="00144675"/>
    <w:rsid w:val="001447DD"/>
    <w:rsid w:val="001459BC"/>
    <w:rsid w:val="00147F6B"/>
    <w:rsid w:val="00151F11"/>
    <w:rsid w:val="00152F4F"/>
    <w:rsid w:val="00153482"/>
    <w:rsid w:val="001544A1"/>
    <w:rsid w:val="00154ECB"/>
    <w:rsid w:val="001553B8"/>
    <w:rsid w:val="001554C2"/>
    <w:rsid w:val="00156342"/>
    <w:rsid w:val="00156AF7"/>
    <w:rsid w:val="001571C0"/>
    <w:rsid w:val="0015753D"/>
    <w:rsid w:val="00157CC9"/>
    <w:rsid w:val="00160C21"/>
    <w:rsid w:val="00160C29"/>
    <w:rsid w:val="001612F4"/>
    <w:rsid w:val="00161553"/>
    <w:rsid w:val="0016256B"/>
    <w:rsid w:val="00162F81"/>
    <w:rsid w:val="00163793"/>
    <w:rsid w:val="00165313"/>
    <w:rsid w:val="00167485"/>
    <w:rsid w:val="00167CB9"/>
    <w:rsid w:val="00167DD8"/>
    <w:rsid w:val="001704D0"/>
    <w:rsid w:val="001705AD"/>
    <w:rsid w:val="001706D6"/>
    <w:rsid w:val="001714F2"/>
    <w:rsid w:val="00171FEA"/>
    <w:rsid w:val="001735E8"/>
    <w:rsid w:val="00175B9F"/>
    <w:rsid w:val="001762F4"/>
    <w:rsid w:val="00181BBC"/>
    <w:rsid w:val="00182D9D"/>
    <w:rsid w:val="00182F98"/>
    <w:rsid w:val="0018385F"/>
    <w:rsid w:val="00184017"/>
    <w:rsid w:val="001847BB"/>
    <w:rsid w:val="00184B08"/>
    <w:rsid w:val="00185010"/>
    <w:rsid w:val="00185C22"/>
    <w:rsid w:val="00186BA9"/>
    <w:rsid w:val="0019196C"/>
    <w:rsid w:val="00191F62"/>
    <w:rsid w:val="00191FBF"/>
    <w:rsid w:val="001922FA"/>
    <w:rsid w:val="00192E20"/>
    <w:rsid w:val="00192F05"/>
    <w:rsid w:val="00194729"/>
    <w:rsid w:val="00194850"/>
    <w:rsid w:val="00194B0C"/>
    <w:rsid w:val="00195234"/>
    <w:rsid w:val="00196016"/>
    <w:rsid w:val="00196046"/>
    <w:rsid w:val="00196117"/>
    <w:rsid w:val="001979A2"/>
    <w:rsid w:val="00197A70"/>
    <w:rsid w:val="00197C0F"/>
    <w:rsid w:val="001A0487"/>
    <w:rsid w:val="001A16D4"/>
    <w:rsid w:val="001A1F68"/>
    <w:rsid w:val="001A21FA"/>
    <w:rsid w:val="001A2A11"/>
    <w:rsid w:val="001A3720"/>
    <w:rsid w:val="001A4EF0"/>
    <w:rsid w:val="001A52E2"/>
    <w:rsid w:val="001A552F"/>
    <w:rsid w:val="001A7B75"/>
    <w:rsid w:val="001B1168"/>
    <w:rsid w:val="001B1334"/>
    <w:rsid w:val="001B2A2C"/>
    <w:rsid w:val="001B2CA9"/>
    <w:rsid w:val="001B3110"/>
    <w:rsid w:val="001B3E38"/>
    <w:rsid w:val="001B40F5"/>
    <w:rsid w:val="001B4729"/>
    <w:rsid w:val="001B4799"/>
    <w:rsid w:val="001B4F0E"/>
    <w:rsid w:val="001B54D9"/>
    <w:rsid w:val="001B6310"/>
    <w:rsid w:val="001B6564"/>
    <w:rsid w:val="001B689D"/>
    <w:rsid w:val="001B6C09"/>
    <w:rsid w:val="001B6E12"/>
    <w:rsid w:val="001C0204"/>
    <w:rsid w:val="001C05CD"/>
    <w:rsid w:val="001C0F17"/>
    <w:rsid w:val="001C19AE"/>
    <w:rsid w:val="001C1B24"/>
    <w:rsid w:val="001C1B66"/>
    <w:rsid w:val="001C31A2"/>
    <w:rsid w:val="001C4BB8"/>
    <w:rsid w:val="001C4FD0"/>
    <w:rsid w:val="001C5E46"/>
    <w:rsid w:val="001C66DE"/>
    <w:rsid w:val="001C6B3B"/>
    <w:rsid w:val="001C7626"/>
    <w:rsid w:val="001C7E3F"/>
    <w:rsid w:val="001D0EF1"/>
    <w:rsid w:val="001D15CD"/>
    <w:rsid w:val="001D1BE6"/>
    <w:rsid w:val="001D1C26"/>
    <w:rsid w:val="001D1C47"/>
    <w:rsid w:val="001D22C2"/>
    <w:rsid w:val="001D2C99"/>
    <w:rsid w:val="001D452E"/>
    <w:rsid w:val="001D54C1"/>
    <w:rsid w:val="001D556E"/>
    <w:rsid w:val="001D5DF2"/>
    <w:rsid w:val="001D68B2"/>
    <w:rsid w:val="001D7EFD"/>
    <w:rsid w:val="001D7F60"/>
    <w:rsid w:val="001E13B1"/>
    <w:rsid w:val="001E3306"/>
    <w:rsid w:val="001E4D8B"/>
    <w:rsid w:val="001E504C"/>
    <w:rsid w:val="001E5A17"/>
    <w:rsid w:val="001E640B"/>
    <w:rsid w:val="001E74C5"/>
    <w:rsid w:val="001F0163"/>
    <w:rsid w:val="001F0C39"/>
    <w:rsid w:val="001F1236"/>
    <w:rsid w:val="001F1C11"/>
    <w:rsid w:val="001F290E"/>
    <w:rsid w:val="001F2F90"/>
    <w:rsid w:val="001F4597"/>
    <w:rsid w:val="001F4826"/>
    <w:rsid w:val="001F5479"/>
    <w:rsid w:val="001F6718"/>
    <w:rsid w:val="001F7CE0"/>
    <w:rsid w:val="00200085"/>
    <w:rsid w:val="00203332"/>
    <w:rsid w:val="002033C8"/>
    <w:rsid w:val="00203CD5"/>
    <w:rsid w:val="00203D8F"/>
    <w:rsid w:val="00203DA4"/>
    <w:rsid w:val="00205186"/>
    <w:rsid w:val="00206516"/>
    <w:rsid w:val="002071D5"/>
    <w:rsid w:val="00210E80"/>
    <w:rsid w:val="002111E5"/>
    <w:rsid w:val="002118B9"/>
    <w:rsid w:val="00213AC6"/>
    <w:rsid w:val="002142C0"/>
    <w:rsid w:val="00217C5B"/>
    <w:rsid w:val="00220A43"/>
    <w:rsid w:val="00220DC7"/>
    <w:rsid w:val="0022139E"/>
    <w:rsid w:val="00222729"/>
    <w:rsid w:val="00223185"/>
    <w:rsid w:val="002233D6"/>
    <w:rsid w:val="0022441D"/>
    <w:rsid w:val="00224574"/>
    <w:rsid w:val="00224E3F"/>
    <w:rsid w:val="002252E0"/>
    <w:rsid w:val="002255F6"/>
    <w:rsid w:val="00225F84"/>
    <w:rsid w:val="00226032"/>
    <w:rsid w:val="0022738D"/>
    <w:rsid w:val="00227605"/>
    <w:rsid w:val="00227850"/>
    <w:rsid w:val="00227A53"/>
    <w:rsid w:val="00227E2E"/>
    <w:rsid w:val="00227F53"/>
    <w:rsid w:val="00230C6E"/>
    <w:rsid w:val="00230E21"/>
    <w:rsid w:val="002316A8"/>
    <w:rsid w:val="002320C9"/>
    <w:rsid w:val="00232300"/>
    <w:rsid w:val="0023288F"/>
    <w:rsid w:val="00232A13"/>
    <w:rsid w:val="00233603"/>
    <w:rsid w:val="002340EF"/>
    <w:rsid w:val="00234110"/>
    <w:rsid w:val="00234B82"/>
    <w:rsid w:val="00236443"/>
    <w:rsid w:val="00236700"/>
    <w:rsid w:val="00240391"/>
    <w:rsid w:val="00240AF3"/>
    <w:rsid w:val="002418D5"/>
    <w:rsid w:val="00241B06"/>
    <w:rsid w:val="00242A56"/>
    <w:rsid w:val="002436BA"/>
    <w:rsid w:val="00244652"/>
    <w:rsid w:val="00244A15"/>
    <w:rsid w:val="00244F4E"/>
    <w:rsid w:val="002452D9"/>
    <w:rsid w:val="00247319"/>
    <w:rsid w:val="0024799E"/>
    <w:rsid w:val="00247E60"/>
    <w:rsid w:val="00251C53"/>
    <w:rsid w:val="00251E41"/>
    <w:rsid w:val="00252AB9"/>
    <w:rsid w:val="0025338B"/>
    <w:rsid w:val="0025392C"/>
    <w:rsid w:val="00253C0F"/>
    <w:rsid w:val="002558C1"/>
    <w:rsid w:val="00256207"/>
    <w:rsid w:val="002575F3"/>
    <w:rsid w:val="00257F29"/>
    <w:rsid w:val="002603E1"/>
    <w:rsid w:val="0026120E"/>
    <w:rsid w:val="00262582"/>
    <w:rsid w:val="0026291D"/>
    <w:rsid w:val="00263DC8"/>
    <w:rsid w:val="00264309"/>
    <w:rsid w:val="00264570"/>
    <w:rsid w:val="002647DF"/>
    <w:rsid w:val="00264905"/>
    <w:rsid w:val="0026564B"/>
    <w:rsid w:val="00265C83"/>
    <w:rsid w:val="00265E85"/>
    <w:rsid w:val="00266F94"/>
    <w:rsid w:val="00267B49"/>
    <w:rsid w:val="002700D9"/>
    <w:rsid w:val="0027025F"/>
    <w:rsid w:val="00270363"/>
    <w:rsid w:val="002709CC"/>
    <w:rsid w:val="00270D25"/>
    <w:rsid w:val="00270E1C"/>
    <w:rsid w:val="00271022"/>
    <w:rsid w:val="00271465"/>
    <w:rsid w:val="00271545"/>
    <w:rsid w:val="00271E47"/>
    <w:rsid w:val="002721F5"/>
    <w:rsid w:val="00272DF4"/>
    <w:rsid w:val="0027583D"/>
    <w:rsid w:val="00275DEF"/>
    <w:rsid w:val="002763A2"/>
    <w:rsid w:val="00276B33"/>
    <w:rsid w:val="002812E3"/>
    <w:rsid w:val="00282082"/>
    <w:rsid w:val="0028341F"/>
    <w:rsid w:val="002837AE"/>
    <w:rsid w:val="00283C13"/>
    <w:rsid w:val="00283F7B"/>
    <w:rsid w:val="0028431A"/>
    <w:rsid w:val="0028460B"/>
    <w:rsid w:val="002853FA"/>
    <w:rsid w:val="00285412"/>
    <w:rsid w:val="00286169"/>
    <w:rsid w:val="00286220"/>
    <w:rsid w:val="0028728F"/>
    <w:rsid w:val="00291640"/>
    <w:rsid w:val="0029237E"/>
    <w:rsid w:val="00292997"/>
    <w:rsid w:val="00293048"/>
    <w:rsid w:val="00293D24"/>
    <w:rsid w:val="00294450"/>
    <w:rsid w:val="00294B5C"/>
    <w:rsid w:val="0029509B"/>
    <w:rsid w:val="0029588F"/>
    <w:rsid w:val="002964C9"/>
    <w:rsid w:val="00297256"/>
    <w:rsid w:val="00297A5C"/>
    <w:rsid w:val="00297D51"/>
    <w:rsid w:val="00297DC4"/>
    <w:rsid w:val="002A00CD"/>
    <w:rsid w:val="002A0122"/>
    <w:rsid w:val="002A016B"/>
    <w:rsid w:val="002A15F8"/>
    <w:rsid w:val="002A16D4"/>
    <w:rsid w:val="002A1E4F"/>
    <w:rsid w:val="002A1F75"/>
    <w:rsid w:val="002A230C"/>
    <w:rsid w:val="002A2AF7"/>
    <w:rsid w:val="002A3209"/>
    <w:rsid w:val="002A3EA2"/>
    <w:rsid w:val="002A51AC"/>
    <w:rsid w:val="002A532A"/>
    <w:rsid w:val="002A55E9"/>
    <w:rsid w:val="002A5846"/>
    <w:rsid w:val="002A5D97"/>
    <w:rsid w:val="002A603E"/>
    <w:rsid w:val="002A63B9"/>
    <w:rsid w:val="002A7089"/>
    <w:rsid w:val="002B1619"/>
    <w:rsid w:val="002B3EF4"/>
    <w:rsid w:val="002B4845"/>
    <w:rsid w:val="002B500B"/>
    <w:rsid w:val="002B5368"/>
    <w:rsid w:val="002B5567"/>
    <w:rsid w:val="002B5812"/>
    <w:rsid w:val="002B61AC"/>
    <w:rsid w:val="002B72AA"/>
    <w:rsid w:val="002C048C"/>
    <w:rsid w:val="002C0B3A"/>
    <w:rsid w:val="002C1110"/>
    <w:rsid w:val="002C15DD"/>
    <w:rsid w:val="002C16EA"/>
    <w:rsid w:val="002C1F09"/>
    <w:rsid w:val="002C22A4"/>
    <w:rsid w:val="002C260B"/>
    <w:rsid w:val="002C27A6"/>
    <w:rsid w:val="002C2C88"/>
    <w:rsid w:val="002C398D"/>
    <w:rsid w:val="002C3F1F"/>
    <w:rsid w:val="002C40D2"/>
    <w:rsid w:val="002C43BD"/>
    <w:rsid w:val="002C5245"/>
    <w:rsid w:val="002C59D8"/>
    <w:rsid w:val="002C641B"/>
    <w:rsid w:val="002D05CB"/>
    <w:rsid w:val="002D0E59"/>
    <w:rsid w:val="002D2C4F"/>
    <w:rsid w:val="002D379D"/>
    <w:rsid w:val="002D3EBB"/>
    <w:rsid w:val="002D455C"/>
    <w:rsid w:val="002D469C"/>
    <w:rsid w:val="002D6066"/>
    <w:rsid w:val="002D7496"/>
    <w:rsid w:val="002D7F73"/>
    <w:rsid w:val="002E02A1"/>
    <w:rsid w:val="002E05E7"/>
    <w:rsid w:val="002E196A"/>
    <w:rsid w:val="002E20C7"/>
    <w:rsid w:val="002E20CD"/>
    <w:rsid w:val="002E222E"/>
    <w:rsid w:val="002E28D8"/>
    <w:rsid w:val="002E3320"/>
    <w:rsid w:val="002E37D1"/>
    <w:rsid w:val="002E3BEE"/>
    <w:rsid w:val="002E4E4C"/>
    <w:rsid w:val="002E4EA7"/>
    <w:rsid w:val="002E534D"/>
    <w:rsid w:val="002E5846"/>
    <w:rsid w:val="002E603D"/>
    <w:rsid w:val="002E740F"/>
    <w:rsid w:val="002E792B"/>
    <w:rsid w:val="002F1B09"/>
    <w:rsid w:val="002F1D56"/>
    <w:rsid w:val="002F1DCB"/>
    <w:rsid w:val="002F1DE4"/>
    <w:rsid w:val="002F333D"/>
    <w:rsid w:val="002F351A"/>
    <w:rsid w:val="002F3893"/>
    <w:rsid w:val="002F46D6"/>
    <w:rsid w:val="002F498A"/>
    <w:rsid w:val="002F4AD8"/>
    <w:rsid w:val="002F5231"/>
    <w:rsid w:val="002F5285"/>
    <w:rsid w:val="002F5820"/>
    <w:rsid w:val="002F64BB"/>
    <w:rsid w:val="00300030"/>
    <w:rsid w:val="00300C31"/>
    <w:rsid w:val="003017EC"/>
    <w:rsid w:val="00301AEC"/>
    <w:rsid w:val="00301F5A"/>
    <w:rsid w:val="00302165"/>
    <w:rsid w:val="003026B5"/>
    <w:rsid w:val="003029F1"/>
    <w:rsid w:val="00304771"/>
    <w:rsid w:val="003052D4"/>
    <w:rsid w:val="00305FCE"/>
    <w:rsid w:val="003060E9"/>
    <w:rsid w:val="00306C5B"/>
    <w:rsid w:val="00307529"/>
    <w:rsid w:val="003076DC"/>
    <w:rsid w:val="00307DB3"/>
    <w:rsid w:val="00307ED2"/>
    <w:rsid w:val="0031076D"/>
    <w:rsid w:val="00311AA6"/>
    <w:rsid w:val="00311C4D"/>
    <w:rsid w:val="003121AB"/>
    <w:rsid w:val="00312663"/>
    <w:rsid w:val="003127B0"/>
    <w:rsid w:val="00315169"/>
    <w:rsid w:val="003153C8"/>
    <w:rsid w:val="00315524"/>
    <w:rsid w:val="0032058C"/>
    <w:rsid w:val="003208D0"/>
    <w:rsid w:val="003209B1"/>
    <w:rsid w:val="003209D6"/>
    <w:rsid w:val="0032159E"/>
    <w:rsid w:val="003217B9"/>
    <w:rsid w:val="00321924"/>
    <w:rsid w:val="00321EB6"/>
    <w:rsid w:val="003220A5"/>
    <w:rsid w:val="00323A1C"/>
    <w:rsid w:val="00324936"/>
    <w:rsid w:val="00324B59"/>
    <w:rsid w:val="0032656E"/>
    <w:rsid w:val="00326B83"/>
    <w:rsid w:val="0032788F"/>
    <w:rsid w:val="00327C3C"/>
    <w:rsid w:val="00331E1C"/>
    <w:rsid w:val="00332190"/>
    <w:rsid w:val="00332A98"/>
    <w:rsid w:val="00333973"/>
    <w:rsid w:val="00333CD0"/>
    <w:rsid w:val="0033448D"/>
    <w:rsid w:val="00334AD2"/>
    <w:rsid w:val="00336FFF"/>
    <w:rsid w:val="0033709C"/>
    <w:rsid w:val="003370C5"/>
    <w:rsid w:val="0033712B"/>
    <w:rsid w:val="003373C6"/>
    <w:rsid w:val="00340BF3"/>
    <w:rsid w:val="00341D26"/>
    <w:rsid w:val="00341DCD"/>
    <w:rsid w:val="00341F05"/>
    <w:rsid w:val="0034335E"/>
    <w:rsid w:val="00344668"/>
    <w:rsid w:val="003449C8"/>
    <w:rsid w:val="00346234"/>
    <w:rsid w:val="003462D9"/>
    <w:rsid w:val="003470CC"/>
    <w:rsid w:val="0034723F"/>
    <w:rsid w:val="00347247"/>
    <w:rsid w:val="003474B6"/>
    <w:rsid w:val="00347DD4"/>
    <w:rsid w:val="00352B43"/>
    <w:rsid w:val="00352C28"/>
    <w:rsid w:val="003543C0"/>
    <w:rsid w:val="0036077F"/>
    <w:rsid w:val="00360C86"/>
    <w:rsid w:val="00360E3F"/>
    <w:rsid w:val="00360F7A"/>
    <w:rsid w:val="00360FBC"/>
    <w:rsid w:val="00361537"/>
    <w:rsid w:val="003615FA"/>
    <w:rsid w:val="0036242A"/>
    <w:rsid w:val="00362C23"/>
    <w:rsid w:val="00362E90"/>
    <w:rsid w:val="0036369D"/>
    <w:rsid w:val="00364FA0"/>
    <w:rsid w:val="003657F3"/>
    <w:rsid w:val="00365844"/>
    <w:rsid w:val="00367F84"/>
    <w:rsid w:val="003712BC"/>
    <w:rsid w:val="0037136E"/>
    <w:rsid w:val="00371F30"/>
    <w:rsid w:val="00372164"/>
    <w:rsid w:val="003738BD"/>
    <w:rsid w:val="00374263"/>
    <w:rsid w:val="003746F0"/>
    <w:rsid w:val="00374A20"/>
    <w:rsid w:val="00374E21"/>
    <w:rsid w:val="0037518A"/>
    <w:rsid w:val="00377B2E"/>
    <w:rsid w:val="00377B84"/>
    <w:rsid w:val="0038084E"/>
    <w:rsid w:val="003810F0"/>
    <w:rsid w:val="003816E0"/>
    <w:rsid w:val="003818DC"/>
    <w:rsid w:val="00381B67"/>
    <w:rsid w:val="0038248F"/>
    <w:rsid w:val="00382513"/>
    <w:rsid w:val="00383388"/>
    <w:rsid w:val="003834F8"/>
    <w:rsid w:val="003838D0"/>
    <w:rsid w:val="003840C2"/>
    <w:rsid w:val="0038418F"/>
    <w:rsid w:val="00384327"/>
    <w:rsid w:val="00384A89"/>
    <w:rsid w:val="00385086"/>
    <w:rsid w:val="00385D98"/>
    <w:rsid w:val="00387299"/>
    <w:rsid w:val="00387E97"/>
    <w:rsid w:val="00390306"/>
    <w:rsid w:val="003908A6"/>
    <w:rsid w:val="00390C94"/>
    <w:rsid w:val="0039109D"/>
    <w:rsid w:val="00391989"/>
    <w:rsid w:val="00391A6C"/>
    <w:rsid w:val="003927F6"/>
    <w:rsid w:val="00394F35"/>
    <w:rsid w:val="00396739"/>
    <w:rsid w:val="00396CB7"/>
    <w:rsid w:val="00397225"/>
    <w:rsid w:val="003A04F6"/>
    <w:rsid w:val="003A0837"/>
    <w:rsid w:val="003A2864"/>
    <w:rsid w:val="003A2B4D"/>
    <w:rsid w:val="003A2D12"/>
    <w:rsid w:val="003A2EBA"/>
    <w:rsid w:val="003A45E3"/>
    <w:rsid w:val="003A478C"/>
    <w:rsid w:val="003A4A38"/>
    <w:rsid w:val="003A5525"/>
    <w:rsid w:val="003A5889"/>
    <w:rsid w:val="003A6B38"/>
    <w:rsid w:val="003A6B83"/>
    <w:rsid w:val="003A6C97"/>
    <w:rsid w:val="003A722F"/>
    <w:rsid w:val="003A7373"/>
    <w:rsid w:val="003A7D09"/>
    <w:rsid w:val="003B039F"/>
    <w:rsid w:val="003B04EB"/>
    <w:rsid w:val="003B0DF4"/>
    <w:rsid w:val="003B12EC"/>
    <w:rsid w:val="003B1562"/>
    <w:rsid w:val="003B1F9D"/>
    <w:rsid w:val="003B2A8D"/>
    <w:rsid w:val="003B2AD1"/>
    <w:rsid w:val="003B2D2E"/>
    <w:rsid w:val="003B461F"/>
    <w:rsid w:val="003B483F"/>
    <w:rsid w:val="003B4998"/>
    <w:rsid w:val="003B5A32"/>
    <w:rsid w:val="003B7133"/>
    <w:rsid w:val="003B7B50"/>
    <w:rsid w:val="003C057D"/>
    <w:rsid w:val="003C0B07"/>
    <w:rsid w:val="003C2CE7"/>
    <w:rsid w:val="003C3490"/>
    <w:rsid w:val="003C3608"/>
    <w:rsid w:val="003C3AE8"/>
    <w:rsid w:val="003C3D2C"/>
    <w:rsid w:val="003C4E13"/>
    <w:rsid w:val="003C6221"/>
    <w:rsid w:val="003C63D7"/>
    <w:rsid w:val="003C68CC"/>
    <w:rsid w:val="003C7E62"/>
    <w:rsid w:val="003D07AC"/>
    <w:rsid w:val="003D12B9"/>
    <w:rsid w:val="003D1D23"/>
    <w:rsid w:val="003D1E7A"/>
    <w:rsid w:val="003D242B"/>
    <w:rsid w:val="003D2492"/>
    <w:rsid w:val="003D29AA"/>
    <w:rsid w:val="003D2A99"/>
    <w:rsid w:val="003D40B0"/>
    <w:rsid w:val="003D6920"/>
    <w:rsid w:val="003E1EF8"/>
    <w:rsid w:val="003E2DFB"/>
    <w:rsid w:val="003E44C7"/>
    <w:rsid w:val="003E4C91"/>
    <w:rsid w:val="003E52D8"/>
    <w:rsid w:val="003E62F1"/>
    <w:rsid w:val="003F1F99"/>
    <w:rsid w:val="003F313C"/>
    <w:rsid w:val="003F37FC"/>
    <w:rsid w:val="003F3CB8"/>
    <w:rsid w:val="003F4318"/>
    <w:rsid w:val="003F4B2C"/>
    <w:rsid w:val="003F551C"/>
    <w:rsid w:val="003F5543"/>
    <w:rsid w:val="003F626D"/>
    <w:rsid w:val="003F694D"/>
    <w:rsid w:val="003F7093"/>
    <w:rsid w:val="003F72ED"/>
    <w:rsid w:val="003F7D23"/>
    <w:rsid w:val="003F7F77"/>
    <w:rsid w:val="00400050"/>
    <w:rsid w:val="004001F4"/>
    <w:rsid w:val="004002C8"/>
    <w:rsid w:val="00400468"/>
    <w:rsid w:val="0040099D"/>
    <w:rsid w:val="00400DF3"/>
    <w:rsid w:val="004016CB"/>
    <w:rsid w:val="00401B23"/>
    <w:rsid w:val="00402ADB"/>
    <w:rsid w:val="0040368D"/>
    <w:rsid w:val="00403D1D"/>
    <w:rsid w:val="00403F57"/>
    <w:rsid w:val="00405318"/>
    <w:rsid w:val="004059D2"/>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54D"/>
    <w:rsid w:val="00416DAC"/>
    <w:rsid w:val="00417E17"/>
    <w:rsid w:val="004205DC"/>
    <w:rsid w:val="00420880"/>
    <w:rsid w:val="00421179"/>
    <w:rsid w:val="004246E7"/>
    <w:rsid w:val="00424CF6"/>
    <w:rsid w:val="00425B35"/>
    <w:rsid w:val="00430020"/>
    <w:rsid w:val="00430C96"/>
    <w:rsid w:val="0043178A"/>
    <w:rsid w:val="00431BFF"/>
    <w:rsid w:val="00432199"/>
    <w:rsid w:val="00432A58"/>
    <w:rsid w:val="004330C8"/>
    <w:rsid w:val="004331C3"/>
    <w:rsid w:val="00433C17"/>
    <w:rsid w:val="00434617"/>
    <w:rsid w:val="00435051"/>
    <w:rsid w:val="004354A3"/>
    <w:rsid w:val="0043568E"/>
    <w:rsid w:val="00435C69"/>
    <w:rsid w:val="004360FB"/>
    <w:rsid w:val="00437CED"/>
    <w:rsid w:val="004407BF"/>
    <w:rsid w:val="00440900"/>
    <w:rsid w:val="0044121D"/>
    <w:rsid w:val="00441BF6"/>
    <w:rsid w:val="00441D2B"/>
    <w:rsid w:val="0044279E"/>
    <w:rsid w:val="004441A0"/>
    <w:rsid w:val="00445861"/>
    <w:rsid w:val="00445A8E"/>
    <w:rsid w:val="00446D44"/>
    <w:rsid w:val="0045078A"/>
    <w:rsid w:val="0045086D"/>
    <w:rsid w:val="00450DAB"/>
    <w:rsid w:val="00450DAF"/>
    <w:rsid w:val="00451EF1"/>
    <w:rsid w:val="00452E60"/>
    <w:rsid w:val="0045321B"/>
    <w:rsid w:val="00453E3D"/>
    <w:rsid w:val="00454E1D"/>
    <w:rsid w:val="00455B79"/>
    <w:rsid w:val="00456FE5"/>
    <w:rsid w:val="00457490"/>
    <w:rsid w:val="00457953"/>
    <w:rsid w:val="004604D8"/>
    <w:rsid w:val="00460656"/>
    <w:rsid w:val="00460AAD"/>
    <w:rsid w:val="00460FB3"/>
    <w:rsid w:val="00461221"/>
    <w:rsid w:val="00462F09"/>
    <w:rsid w:val="00463169"/>
    <w:rsid w:val="00463D3C"/>
    <w:rsid w:val="00464851"/>
    <w:rsid w:val="00467248"/>
    <w:rsid w:val="0046746A"/>
    <w:rsid w:val="00467B14"/>
    <w:rsid w:val="004707FE"/>
    <w:rsid w:val="00470EDC"/>
    <w:rsid w:val="00472118"/>
    <w:rsid w:val="004722B9"/>
    <w:rsid w:val="0047276D"/>
    <w:rsid w:val="00472AF6"/>
    <w:rsid w:val="00473482"/>
    <w:rsid w:val="00474A04"/>
    <w:rsid w:val="00474FC6"/>
    <w:rsid w:val="00476240"/>
    <w:rsid w:val="00476439"/>
    <w:rsid w:val="004769E1"/>
    <w:rsid w:val="0047735C"/>
    <w:rsid w:val="004776BC"/>
    <w:rsid w:val="00477820"/>
    <w:rsid w:val="004779F3"/>
    <w:rsid w:val="00477B96"/>
    <w:rsid w:val="00477ED0"/>
    <w:rsid w:val="00480BAE"/>
    <w:rsid w:val="0048139F"/>
    <w:rsid w:val="004816C8"/>
    <w:rsid w:val="00481E40"/>
    <w:rsid w:val="00482405"/>
    <w:rsid w:val="004826A7"/>
    <w:rsid w:val="0048368C"/>
    <w:rsid w:val="0048372F"/>
    <w:rsid w:val="00484ECE"/>
    <w:rsid w:val="00485987"/>
    <w:rsid w:val="00485E82"/>
    <w:rsid w:val="00486132"/>
    <w:rsid w:val="0048686D"/>
    <w:rsid w:val="00486A4D"/>
    <w:rsid w:val="004915CB"/>
    <w:rsid w:val="004924DC"/>
    <w:rsid w:val="00492879"/>
    <w:rsid w:val="00493E85"/>
    <w:rsid w:val="00495145"/>
    <w:rsid w:val="004979A5"/>
    <w:rsid w:val="004A0144"/>
    <w:rsid w:val="004A036E"/>
    <w:rsid w:val="004A14E4"/>
    <w:rsid w:val="004A204E"/>
    <w:rsid w:val="004A26A5"/>
    <w:rsid w:val="004A27F0"/>
    <w:rsid w:val="004A2BCF"/>
    <w:rsid w:val="004A2CC7"/>
    <w:rsid w:val="004A3212"/>
    <w:rsid w:val="004A37CD"/>
    <w:rsid w:val="004A40D9"/>
    <w:rsid w:val="004A43F4"/>
    <w:rsid w:val="004A49A5"/>
    <w:rsid w:val="004A4CB1"/>
    <w:rsid w:val="004A4F8A"/>
    <w:rsid w:val="004A5494"/>
    <w:rsid w:val="004A5D4E"/>
    <w:rsid w:val="004A61C5"/>
    <w:rsid w:val="004A62A0"/>
    <w:rsid w:val="004A7039"/>
    <w:rsid w:val="004A77DF"/>
    <w:rsid w:val="004B1417"/>
    <w:rsid w:val="004B305C"/>
    <w:rsid w:val="004B339A"/>
    <w:rsid w:val="004B3614"/>
    <w:rsid w:val="004B460C"/>
    <w:rsid w:val="004B4C83"/>
    <w:rsid w:val="004B55B7"/>
    <w:rsid w:val="004B5BFA"/>
    <w:rsid w:val="004B6468"/>
    <w:rsid w:val="004B6EF8"/>
    <w:rsid w:val="004B7125"/>
    <w:rsid w:val="004B756A"/>
    <w:rsid w:val="004B7BFC"/>
    <w:rsid w:val="004B7FB1"/>
    <w:rsid w:val="004C0A61"/>
    <w:rsid w:val="004C0B3F"/>
    <w:rsid w:val="004C2224"/>
    <w:rsid w:val="004C2794"/>
    <w:rsid w:val="004C2A3B"/>
    <w:rsid w:val="004C2BB6"/>
    <w:rsid w:val="004C2C2D"/>
    <w:rsid w:val="004C3027"/>
    <w:rsid w:val="004C384C"/>
    <w:rsid w:val="004C3867"/>
    <w:rsid w:val="004C3DB0"/>
    <w:rsid w:val="004C439A"/>
    <w:rsid w:val="004C4720"/>
    <w:rsid w:val="004C4CD0"/>
    <w:rsid w:val="004C5060"/>
    <w:rsid w:val="004C5165"/>
    <w:rsid w:val="004C589C"/>
    <w:rsid w:val="004C5AE8"/>
    <w:rsid w:val="004C667D"/>
    <w:rsid w:val="004C6959"/>
    <w:rsid w:val="004C6E0E"/>
    <w:rsid w:val="004C7044"/>
    <w:rsid w:val="004C70DC"/>
    <w:rsid w:val="004D0211"/>
    <w:rsid w:val="004D0794"/>
    <w:rsid w:val="004D1B6B"/>
    <w:rsid w:val="004D26B6"/>
    <w:rsid w:val="004D2E03"/>
    <w:rsid w:val="004D3296"/>
    <w:rsid w:val="004D4056"/>
    <w:rsid w:val="004D4CB0"/>
    <w:rsid w:val="004D5B0F"/>
    <w:rsid w:val="004D6D28"/>
    <w:rsid w:val="004D75C4"/>
    <w:rsid w:val="004D7626"/>
    <w:rsid w:val="004D7B7C"/>
    <w:rsid w:val="004E186A"/>
    <w:rsid w:val="004E1A40"/>
    <w:rsid w:val="004E200A"/>
    <w:rsid w:val="004E23FC"/>
    <w:rsid w:val="004E2409"/>
    <w:rsid w:val="004E261D"/>
    <w:rsid w:val="004E2D26"/>
    <w:rsid w:val="004E4C02"/>
    <w:rsid w:val="004E57BF"/>
    <w:rsid w:val="004E5F41"/>
    <w:rsid w:val="004E6DE6"/>
    <w:rsid w:val="004E765E"/>
    <w:rsid w:val="004E7815"/>
    <w:rsid w:val="004F064A"/>
    <w:rsid w:val="004F06F5"/>
    <w:rsid w:val="004F0980"/>
    <w:rsid w:val="004F12A4"/>
    <w:rsid w:val="004F253F"/>
    <w:rsid w:val="004F33A0"/>
    <w:rsid w:val="004F3586"/>
    <w:rsid w:val="004F3BD2"/>
    <w:rsid w:val="004F46ED"/>
    <w:rsid w:val="004F4C99"/>
    <w:rsid w:val="004F4E00"/>
    <w:rsid w:val="004F6539"/>
    <w:rsid w:val="004F7964"/>
    <w:rsid w:val="00500E6F"/>
    <w:rsid w:val="00503D54"/>
    <w:rsid w:val="005048E2"/>
    <w:rsid w:val="00505FC8"/>
    <w:rsid w:val="00506603"/>
    <w:rsid w:val="0050689D"/>
    <w:rsid w:val="005077F5"/>
    <w:rsid w:val="005108C0"/>
    <w:rsid w:val="0051094F"/>
    <w:rsid w:val="005114E1"/>
    <w:rsid w:val="00511873"/>
    <w:rsid w:val="00512461"/>
    <w:rsid w:val="00512585"/>
    <w:rsid w:val="005128AC"/>
    <w:rsid w:val="00512A2F"/>
    <w:rsid w:val="00513B7E"/>
    <w:rsid w:val="00513E9D"/>
    <w:rsid w:val="0051475D"/>
    <w:rsid w:val="00514B11"/>
    <w:rsid w:val="00515485"/>
    <w:rsid w:val="00515BE9"/>
    <w:rsid w:val="00515C74"/>
    <w:rsid w:val="0051630F"/>
    <w:rsid w:val="00516516"/>
    <w:rsid w:val="00517113"/>
    <w:rsid w:val="0052007E"/>
    <w:rsid w:val="00521CAD"/>
    <w:rsid w:val="0052200D"/>
    <w:rsid w:val="00522E01"/>
    <w:rsid w:val="0052337A"/>
    <w:rsid w:val="00523A67"/>
    <w:rsid w:val="00524385"/>
    <w:rsid w:val="005246BE"/>
    <w:rsid w:val="00525137"/>
    <w:rsid w:val="005251DD"/>
    <w:rsid w:val="0053012B"/>
    <w:rsid w:val="005301A6"/>
    <w:rsid w:val="00530258"/>
    <w:rsid w:val="00530A68"/>
    <w:rsid w:val="00530AD4"/>
    <w:rsid w:val="00531854"/>
    <w:rsid w:val="00531C5A"/>
    <w:rsid w:val="00532CE7"/>
    <w:rsid w:val="00532D8B"/>
    <w:rsid w:val="0053324C"/>
    <w:rsid w:val="00534A28"/>
    <w:rsid w:val="00535018"/>
    <w:rsid w:val="005354E2"/>
    <w:rsid w:val="0053595E"/>
    <w:rsid w:val="00537203"/>
    <w:rsid w:val="00537571"/>
    <w:rsid w:val="00540056"/>
    <w:rsid w:val="005410E2"/>
    <w:rsid w:val="00541508"/>
    <w:rsid w:val="00541AE3"/>
    <w:rsid w:val="00543498"/>
    <w:rsid w:val="00544011"/>
    <w:rsid w:val="00544BE5"/>
    <w:rsid w:val="005452FC"/>
    <w:rsid w:val="005455F6"/>
    <w:rsid w:val="0054582F"/>
    <w:rsid w:val="00547FBF"/>
    <w:rsid w:val="005500F9"/>
    <w:rsid w:val="00550160"/>
    <w:rsid w:val="005523A8"/>
    <w:rsid w:val="00552CA4"/>
    <w:rsid w:val="00552F2C"/>
    <w:rsid w:val="00553A25"/>
    <w:rsid w:val="005547EB"/>
    <w:rsid w:val="005555E0"/>
    <w:rsid w:val="0055599F"/>
    <w:rsid w:val="0055602D"/>
    <w:rsid w:val="00556D68"/>
    <w:rsid w:val="005570D6"/>
    <w:rsid w:val="00557150"/>
    <w:rsid w:val="00557E45"/>
    <w:rsid w:val="0056017F"/>
    <w:rsid w:val="00560AB8"/>
    <w:rsid w:val="005619F2"/>
    <w:rsid w:val="00561F44"/>
    <w:rsid w:val="00562B4D"/>
    <w:rsid w:val="005636D8"/>
    <w:rsid w:val="00563EB8"/>
    <w:rsid w:val="005647BF"/>
    <w:rsid w:val="00564996"/>
    <w:rsid w:val="00564AF1"/>
    <w:rsid w:val="005655DB"/>
    <w:rsid w:val="005658AB"/>
    <w:rsid w:val="00565E88"/>
    <w:rsid w:val="00567F62"/>
    <w:rsid w:val="00570270"/>
    <w:rsid w:val="00570464"/>
    <w:rsid w:val="00570BC3"/>
    <w:rsid w:val="0057182A"/>
    <w:rsid w:val="00571E59"/>
    <w:rsid w:val="00572079"/>
    <w:rsid w:val="00572900"/>
    <w:rsid w:val="00573602"/>
    <w:rsid w:val="0057364B"/>
    <w:rsid w:val="00574773"/>
    <w:rsid w:val="005757F3"/>
    <w:rsid w:val="005761EC"/>
    <w:rsid w:val="00577C07"/>
    <w:rsid w:val="00577DB1"/>
    <w:rsid w:val="00580AD3"/>
    <w:rsid w:val="00580DE7"/>
    <w:rsid w:val="005810E1"/>
    <w:rsid w:val="00581C4F"/>
    <w:rsid w:val="00583011"/>
    <w:rsid w:val="0058382A"/>
    <w:rsid w:val="00583E52"/>
    <w:rsid w:val="00583FFD"/>
    <w:rsid w:val="0058519A"/>
    <w:rsid w:val="005856BD"/>
    <w:rsid w:val="0058665D"/>
    <w:rsid w:val="005866B7"/>
    <w:rsid w:val="00586BCA"/>
    <w:rsid w:val="00587038"/>
    <w:rsid w:val="00590B28"/>
    <w:rsid w:val="00590E75"/>
    <w:rsid w:val="005911BE"/>
    <w:rsid w:val="00591273"/>
    <w:rsid w:val="00591E9E"/>
    <w:rsid w:val="0059221F"/>
    <w:rsid w:val="005927A4"/>
    <w:rsid w:val="00593152"/>
    <w:rsid w:val="005956A3"/>
    <w:rsid w:val="00595958"/>
    <w:rsid w:val="00595CAB"/>
    <w:rsid w:val="0059622E"/>
    <w:rsid w:val="00597671"/>
    <w:rsid w:val="00597BBF"/>
    <w:rsid w:val="005A0948"/>
    <w:rsid w:val="005A0A03"/>
    <w:rsid w:val="005A10F2"/>
    <w:rsid w:val="005A21E0"/>
    <w:rsid w:val="005A28FF"/>
    <w:rsid w:val="005A2C09"/>
    <w:rsid w:val="005A3778"/>
    <w:rsid w:val="005A3DF8"/>
    <w:rsid w:val="005A49E5"/>
    <w:rsid w:val="005A4C80"/>
    <w:rsid w:val="005A4F65"/>
    <w:rsid w:val="005A5549"/>
    <w:rsid w:val="005A7CF8"/>
    <w:rsid w:val="005B0EDA"/>
    <w:rsid w:val="005B121D"/>
    <w:rsid w:val="005B26B0"/>
    <w:rsid w:val="005B41C9"/>
    <w:rsid w:val="005B44E6"/>
    <w:rsid w:val="005B4853"/>
    <w:rsid w:val="005B6CA1"/>
    <w:rsid w:val="005B770C"/>
    <w:rsid w:val="005B7CFB"/>
    <w:rsid w:val="005B7E29"/>
    <w:rsid w:val="005C06ED"/>
    <w:rsid w:val="005C11B8"/>
    <w:rsid w:val="005C216C"/>
    <w:rsid w:val="005C2609"/>
    <w:rsid w:val="005C2B30"/>
    <w:rsid w:val="005C412B"/>
    <w:rsid w:val="005C43EC"/>
    <w:rsid w:val="005C45DD"/>
    <w:rsid w:val="005C4CB1"/>
    <w:rsid w:val="005C757B"/>
    <w:rsid w:val="005D04B1"/>
    <w:rsid w:val="005D0A3B"/>
    <w:rsid w:val="005D1179"/>
    <w:rsid w:val="005D3F06"/>
    <w:rsid w:val="005D45A5"/>
    <w:rsid w:val="005D4B73"/>
    <w:rsid w:val="005D5645"/>
    <w:rsid w:val="005D5802"/>
    <w:rsid w:val="005D5AA9"/>
    <w:rsid w:val="005D66E6"/>
    <w:rsid w:val="005D6971"/>
    <w:rsid w:val="005D7119"/>
    <w:rsid w:val="005D7521"/>
    <w:rsid w:val="005D76C8"/>
    <w:rsid w:val="005D7890"/>
    <w:rsid w:val="005E126D"/>
    <w:rsid w:val="005E19C1"/>
    <w:rsid w:val="005E2194"/>
    <w:rsid w:val="005E24F0"/>
    <w:rsid w:val="005E2A3F"/>
    <w:rsid w:val="005E2BF1"/>
    <w:rsid w:val="005E32C7"/>
    <w:rsid w:val="005E36FE"/>
    <w:rsid w:val="005E3F66"/>
    <w:rsid w:val="005E490F"/>
    <w:rsid w:val="005E4BC9"/>
    <w:rsid w:val="005E5314"/>
    <w:rsid w:val="005E6930"/>
    <w:rsid w:val="005E7C78"/>
    <w:rsid w:val="005F04A7"/>
    <w:rsid w:val="005F055A"/>
    <w:rsid w:val="005F114F"/>
    <w:rsid w:val="005F18C5"/>
    <w:rsid w:val="005F2A08"/>
    <w:rsid w:val="005F36CC"/>
    <w:rsid w:val="005F3EB1"/>
    <w:rsid w:val="005F413E"/>
    <w:rsid w:val="005F466B"/>
    <w:rsid w:val="005F46D8"/>
    <w:rsid w:val="005F480F"/>
    <w:rsid w:val="005F5469"/>
    <w:rsid w:val="005F611A"/>
    <w:rsid w:val="005F6307"/>
    <w:rsid w:val="005F63F3"/>
    <w:rsid w:val="005F68E8"/>
    <w:rsid w:val="005F6D7F"/>
    <w:rsid w:val="005F7174"/>
    <w:rsid w:val="005F7E10"/>
    <w:rsid w:val="00601ADE"/>
    <w:rsid w:val="00601D3B"/>
    <w:rsid w:val="00601EEF"/>
    <w:rsid w:val="0060255A"/>
    <w:rsid w:val="00604307"/>
    <w:rsid w:val="0060453C"/>
    <w:rsid w:val="0060487F"/>
    <w:rsid w:val="00604EAD"/>
    <w:rsid w:val="0060513F"/>
    <w:rsid w:val="0060694B"/>
    <w:rsid w:val="00606EF7"/>
    <w:rsid w:val="0060753D"/>
    <w:rsid w:val="00607C82"/>
    <w:rsid w:val="006104FB"/>
    <w:rsid w:val="0061176D"/>
    <w:rsid w:val="006118F6"/>
    <w:rsid w:val="0061200F"/>
    <w:rsid w:val="00612756"/>
    <w:rsid w:val="00612A2F"/>
    <w:rsid w:val="00612AAE"/>
    <w:rsid w:val="00612FD9"/>
    <w:rsid w:val="006139E0"/>
    <w:rsid w:val="0061471F"/>
    <w:rsid w:val="00614D35"/>
    <w:rsid w:val="006156B4"/>
    <w:rsid w:val="00615DAF"/>
    <w:rsid w:val="00616E05"/>
    <w:rsid w:val="00617985"/>
    <w:rsid w:val="00620B77"/>
    <w:rsid w:val="0062131B"/>
    <w:rsid w:val="00621E26"/>
    <w:rsid w:val="0062263A"/>
    <w:rsid w:val="006227DF"/>
    <w:rsid w:val="006236C8"/>
    <w:rsid w:val="00624093"/>
    <w:rsid w:val="00625A84"/>
    <w:rsid w:val="00626079"/>
    <w:rsid w:val="006274EE"/>
    <w:rsid w:val="00631698"/>
    <w:rsid w:val="00631E44"/>
    <w:rsid w:val="006349CD"/>
    <w:rsid w:val="00634C57"/>
    <w:rsid w:val="00634CE7"/>
    <w:rsid w:val="00635019"/>
    <w:rsid w:val="006350D5"/>
    <w:rsid w:val="00635D41"/>
    <w:rsid w:val="00636240"/>
    <w:rsid w:val="0063642C"/>
    <w:rsid w:val="00636A40"/>
    <w:rsid w:val="00637858"/>
    <w:rsid w:val="006404A7"/>
    <w:rsid w:val="00640A38"/>
    <w:rsid w:val="00641787"/>
    <w:rsid w:val="0064179B"/>
    <w:rsid w:val="00642489"/>
    <w:rsid w:val="00644055"/>
    <w:rsid w:val="00644137"/>
    <w:rsid w:val="0064478C"/>
    <w:rsid w:val="006449E8"/>
    <w:rsid w:val="00645160"/>
    <w:rsid w:val="006451E4"/>
    <w:rsid w:val="00645B33"/>
    <w:rsid w:val="006471D5"/>
    <w:rsid w:val="0065030B"/>
    <w:rsid w:val="00650E10"/>
    <w:rsid w:val="006516CB"/>
    <w:rsid w:val="00653BD0"/>
    <w:rsid w:val="00654110"/>
    <w:rsid w:val="00654FD1"/>
    <w:rsid w:val="006557C0"/>
    <w:rsid w:val="00656C5D"/>
    <w:rsid w:val="00656CFB"/>
    <w:rsid w:val="00657E87"/>
    <w:rsid w:val="00660D2D"/>
    <w:rsid w:val="00661C41"/>
    <w:rsid w:val="00661EC9"/>
    <w:rsid w:val="00662469"/>
    <w:rsid w:val="00662606"/>
    <w:rsid w:val="00663609"/>
    <w:rsid w:val="0066411C"/>
    <w:rsid w:val="00664205"/>
    <w:rsid w:val="00664647"/>
    <w:rsid w:val="00664803"/>
    <w:rsid w:val="006653CC"/>
    <w:rsid w:val="006658EB"/>
    <w:rsid w:val="00665982"/>
    <w:rsid w:val="00665BA4"/>
    <w:rsid w:val="006666E4"/>
    <w:rsid w:val="00666BF3"/>
    <w:rsid w:val="00667856"/>
    <w:rsid w:val="00667AF2"/>
    <w:rsid w:val="00670307"/>
    <w:rsid w:val="00670489"/>
    <w:rsid w:val="006710C9"/>
    <w:rsid w:val="0067194C"/>
    <w:rsid w:val="00672586"/>
    <w:rsid w:val="006741CD"/>
    <w:rsid w:val="00674D89"/>
    <w:rsid w:val="00674FA7"/>
    <w:rsid w:val="0067514E"/>
    <w:rsid w:val="00675E37"/>
    <w:rsid w:val="00676736"/>
    <w:rsid w:val="006769A4"/>
    <w:rsid w:val="00676D76"/>
    <w:rsid w:val="00676F9F"/>
    <w:rsid w:val="0067711E"/>
    <w:rsid w:val="00677591"/>
    <w:rsid w:val="00677594"/>
    <w:rsid w:val="0068032F"/>
    <w:rsid w:val="00680D37"/>
    <w:rsid w:val="0068174E"/>
    <w:rsid w:val="00681DCE"/>
    <w:rsid w:val="0068260E"/>
    <w:rsid w:val="006838E4"/>
    <w:rsid w:val="006846B3"/>
    <w:rsid w:val="00684D59"/>
    <w:rsid w:val="00684E25"/>
    <w:rsid w:val="006858A4"/>
    <w:rsid w:val="00685A20"/>
    <w:rsid w:val="00685CA6"/>
    <w:rsid w:val="00686718"/>
    <w:rsid w:val="00686BFA"/>
    <w:rsid w:val="00686C41"/>
    <w:rsid w:val="00686DED"/>
    <w:rsid w:val="006875A0"/>
    <w:rsid w:val="00687D27"/>
    <w:rsid w:val="00690FEF"/>
    <w:rsid w:val="00691943"/>
    <w:rsid w:val="00693550"/>
    <w:rsid w:val="00695065"/>
    <w:rsid w:val="00695AF1"/>
    <w:rsid w:val="00695BEF"/>
    <w:rsid w:val="00696251"/>
    <w:rsid w:val="006966C7"/>
    <w:rsid w:val="006968C1"/>
    <w:rsid w:val="00697310"/>
    <w:rsid w:val="006977F6"/>
    <w:rsid w:val="00697A13"/>
    <w:rsid w:val="006A109C"/>
    <w:rsid w:val="006A5F4B"/>
    <w:rsid w:val="006A6565"/>
    <w:rsid w:val="006A7691"/>
    <w:rsid w:val="006A7EE2"/>
    <w:rsid w:val="006B0514"/>
    <w:rsid w:val="006B0F92"/>
    <w:rsid w:val="006B2785"/>
    <w:rsid w:val="006B27C7"/>
    <w:rsid w:val="006B344A"/>
    <w:rsid w:val="006B57DE"/>
    <w:rsid w:val="006B58C9"/>
    <w:rsid w:val="006B60ED"/>
    <w:rsid w:val="006B67F2"/>
    <w:rsid w:val="006B6CC5"/>
    <w:rsid w:val="006B714E"/>
    <w:rsid w:val="006B74AC"/>
    <w:rsid w:val="006B78D8"/>
    <w:rsid w:val="006B79EA"/>
    <w:rsid w:val="006C05CA"/>
    <w:rsid w:val="006C0C5D"/>
    <w:rsid w:val="006C113F"/>
    <w:rsid w:val="006C123E"/>
    <w:rsid w:val="006C15A1"/>
    <w:rsid w:val="006C1752"/>
    <w:rsid w:val="006C1C05"/>
    <w:rsid w:val="006C28CA"/>
    <w:rsid w:val="006C2BBF"/>
    <w:rsid w:val="006C2FBD"/>
    <w:rsid w:val="006C4355"/>
    <w:rsid w:val="006C469D"/>
    <w:rsid w:val="006C46B5"/>
    <w:rsid w:val="006C484F"/>
    <w:rsid w:val="006C4D7C"/>
    <w:rsid w:val="006C52EC"/>
    <w:rsid w:val="006C56D4"/>
    <w:rsid w:val="006C6681"/>
    <w:rsid w:val="006C683C"/>
    <w:rsid w:val="006C6924"/>
    <w:rsid w:val="006C69D3"/>
    <w:rsid w:val="006C6C1E"/>
    <w:rsid w:val="006C6EB2"/>
    <w:rsid w:val="006C7076"/>
    <w:rsid w:val="006C70FA"/>
    <w:rsid w:val="006C7AEC"/>
    <w:rsid w:val="006C7CA6"/>
    <w:rsid w:val="006D18B3"/>
    <w:rsid w:val="006D1E89"/>
    <w:rsid w:val="006D24AE"/>
    <w:rsid w:val="006D317E"/>
    <w:rsid w:val="006D3E8A"/>
    <w:rsid w:val="006D41E1"/>
    <w:rsid w:val="006D61F6"/>
    <w:rsid w:val="006D6823"/>
    <w:rsid w:val="006E0ED0"/>
    <w:rsid w:val="006E1332"/>
    <w:rsid w:val="006E279A"/>
    <w:rsid w:val="006E313B"/>
    <w:rsid w:val="006E3A45"/>
    <w:rsid w:val="006E4078"/>
    <w:rsid w:val="006E53AD"/>
    <w:rsid w:val="006E58CB"/>
    <w:rsid w:val="006E7227"/>
    <w:rsid w:val="006E761A"/>
    <w:rsid w:val="006F0741"/>
    <w:rsid w:val="006F0D05"/>
    <w:rsid w:val="006F1C27"/>
    <w:rsid w:val="006F2A65"/>
    <w:rsid w:val="006F3DD6"/>
    <w:rsid w:val="006F40DF"/>
    <w:rsid w:val="006F42BB"/>
    <w:rsid w:val="006F438E"/>
    <w:rsid w:val="006F440B"/>
    <w:rsid w:val="006F48A3"/>
    <w:rsid w:val="006F5416"/>
    <w:rsid w:val="006F5CBC"/>
    <w:rsid w:val="006F624B"/>
    <w:rsid w:val="006F6D87"/>
    <w:rsid w:val="0070398A"/>
    <w:rsid w:val="00705242"/>
    <w:rsid w:val="007052F4"/>
    <w:rsid w:val="007055E0"/>
    <w:rsid w:val="007056ED"/>
    <w:rsid w:val="00705F4E"/>
    <w:rsid w:val="00706497"/>
    <w:rsid w:val="007065C5"/>
    <w:rsid w:val="007068E1"/>
    <w:rsid w:val="00706AA0"/>
    <w:rsid w:val="00706AD4"/>
    <w:rsid w:val="00707150"/>
    <w:rsid w:val="00707599"/>
    <w:rsid w:val="0071103F"/>
    <w:rsid w:val="007114D1"/>
    <w:rsid w:val="0071179D"/>
    <w:rsid w:val="007124D7"/>
    <w:rsid w:val="00712C20"/>
    <w:rsid w:val="00712EF8"/>
    <w:rsid w:val="00713549"/>
    <w:rsid w:val="007140BE"/>
    <w:rsid w:val="007147AB"/>
    <w:rsid w:val="00715502"/>
    <w:rsid w:val="00715CBB"/>
    <w:rsid w:val="00715E3C"/>
    <w:rsid w:val="00715E4D"/>
    <w:rsid w:val="0071677A"/>
    <w:rsid w:val="00716F48"/>
    <w:rsid w:val="00717114"/>
    <w:rsid w:val="0071779F"/>
    <w:rsid w:val="007211F5"/>
    <w:rsid w:val="00721601"/>
    <w:rsid w:val="00722777"/>
    <w:rsid w:val="00723435"/>
    <w:rsid w:val="00723436"/>
    <w:rsid w:val="00723A5A"/>
    <w:rsid w:val="007240E2"/>
    <w:rsid w:val="0072454C"/>
    <w:rsid w:val="0072583E"/>
    <w:rsid w:val="00725BB5"/>
    <w:rsid w:val="00725C87"/>
    <w:rsid w:val="00727C02"/>
    <w:rsid w:val="0073008E"/>
    <w:rsid w:val="00730AE8"/>
    <w:rsid w:val="00730F1B"/>
    <w:rsid w:val="0073186D"/>
    <w:rsid w:val="007319FC"/>
    <w:rsid w:val="007331B5"/>
    <w:rsid w:val="0073333D"/>
    <w:rsid w:val="00733998"/>
    <w:rsid w:val="007343D9"/>
    <w:rsid w:val="00734F71"/>
    <w:rsid w:val="00735448"/>
    <w:rsid w:val="0073734F"/>
    <w:rsid w:val="007377BD"/>
    <w:rsid w:val="00737DEC"/>
    <w:rsid w:val="00737F2D"/>
    <w:rsid w:val="0074004D"/>
    <w:rsid w:val="00741493"/>
    <w:rsid w:val="007434E5"/>
    <w:rsid w:val="0074499B"/>
    <w:rsid w:val="007450BF"/>
    <w:rsid w:val="007453C2"/>
    <w:rsid w:val="007471A1"/>
    <w:rsid w:val="007477BD"/>
    <w:rsid w:val="00747ACF"/>
    <w:rsid w:val="00747EE9"/>
    <w:rsid w:val="00752180"/>
    <w:rsid w:val="00752323"/>
    <w:rsid w:val="007532B7"/>
    <w:rsid w:val="00753CAB"/>
    <w:rsid w:val="00754551"/>
    <w:rsid w:val="00754A70"/>
    <w:rsid w:val="00754BC9"/>
    <w:rsid w:val="00755202"/>
    <w:rsid w:val="00755D3A"/>
    <w:rsid w:val="0075751D"/>
    <w:rsid w:val="0075763E"/>
    <w:rsid w:val="007578D3"/>
    <w:rsid w:val="007602CF"/>
    <w:rsid w:val="00760391"/>
    <w:rsid w:val="0076050B"/>
    <w:rsid w:val="007609C6"/>
    <w:rsid w:val="007615F3"/>
    <w:rsid w:val="0076175D"/>
    <w:rsid w:val="00761CB5"/>
    <w:rsid w:val="007629D5"/>
    <w:rsid w:val="00763146"/>
    <w:rsid w:val="007635CA"/>
    <w:rsid w:val="007635F8"/>
    <w:rsid w:val="00763B85"/>
    <w:rsid w:val="00763C1A"/>
    <w:rsid w:val="00764974"/>
    <w:rsid w:val="00764D18"/>
    <w:rsid w:val="0076521E"/>
    <w:rsid w:val="00765BCC"/>
    <w:rsid w:val="0076600D"/>
    <w:rsid w:val="007661E9"/>
    <w:rsid w:val="0076625E"/>
    <w:rsid w:val="00766460"/>
    <w:rsid w:val="00767062"/>
    <w:rsid w:val="00767777"/>
    <w:rsid w:val="007707B9"/>
    <w:rsid w:val="0077130E"/>
    <w:rsid w:val="007715EE"/>
    <w:rsid w:val="00771972"/>
    <w:rsid w:val="00772279"/>
    <w:rsid w:val="00772DAB"/>
    <w:rsid w:val="00772FF9"/>
    <w:rsid w:val="007734B8"/>
    <w:rsid w:val="00774D28"/>
    <w:rsid w:val="00774D2C"/>
    <w:rsid w:val="0077605B"/>
    <w:rsid w:val="00776169"/>
    <w:rsid w:val="00776527"/>
    <w:rsid w:val="00777040"/>
    <w:rsid w:val="00777587"/>
    <w:rsid w:val="00777CE6"/>
    <w:rsid w:val="00780EF1"/>
    <w:rsid w:val="00781A91"/>
    <w:rsid w:val="00781F36"/>
    <w:rsid w:val="00783408"/>
    <w:rsid w:val="00783696"/>
    <w:rsid w:val="00784E28"/>
    <w:rsid w:val="00785778"/>
    <w:rsid w:val="00786C87"/>
    <w:rsid w:val="0078755E"/>
    <w:rsid w:val="007877C9"/>
    <w:rsid w:val="00790764"/>
    <w:rsid w:val="0079085F"/>
    <w:rsid w:val="00790A4E"/>
    <w:rsid w:val="00790E96"/>
    <w:rsid w:val="00791005"/>
    <w:rsid w:val="00793D78"/>
    <w:rsid w:val="0079453C"/>
    <w:rsid w:val="00794677"/>
    <w:rsid w:val="00795759"/>
    <w:rsid w:val="007A170B"/>
    <w:rsid w:val="007A1A21"/>
    <w:rsid w:val="007A20EB"/>
    <w:rsid w:val="007A282C"/>
    <w:rsid w:val="007A293C"/>
    <w:rsid w:val="007A2A3A"/>
    <w:rsid w:val="007A33E2"/>
    <w:rsid w:val="007A3CAF"/>
    <w:rsid w:val="007A4782"/>
    <w:rsid w:val="007A4C04"/>
    <w:rsid w:val="007A516D"/>
    <w:rsid w:val="007A5E65"/>
    <w:rsid w:val="007A65E1"/>
    <w:rsid w:val="007A698A"/>
    <w:rsid w:val="007A6AAA"/>
    <w:rsid w:val="007A6B63"/>
    <w:rsid w:val="007A7033"/>
    <w:rsid w:val="007A775D"/>
    <w:rsid w:val="007B0834"/>
    <w:rsid w:val="007B0E83"/>
    <w:rsid w:val="007B11FA"/>
    <w:rsid w:val="007B1396"/>
    <w:rsid w:val="007B16D6"/>
    <w:rsid w:val="007B2011"/>
    <w:rsid w:val="007B2CFE"/>
    <w:rsid w:val="007B309B"/>
    <w:rsid w:val="007B3D5E"/>
    <w:rsid w:val="007B3DCB"/>
    <w:rsid w:val="007B456E"/>
    <w:rsid w:val="007B4CCD"/>
    <w:rsid w:val="007B5725"/>
    <w:rsid w:val="007B5C1F"/>
    <w:rsid w:val="007B629D"/>
    <w:rsid w:val="007B6689"/>
    <w:rsid w:val="007B66F8"/>
    <w:rsid w:val="007B6747"/>
    <w:rsid w:val="007B6F72"/>
    <w:rsid w:val="007C10BD"/>
    <w:rsid w:val="007C1F0C"/>
    <w:rsid w:val="007C1FFB"/>
    <w:rsid w:val="007C2D94"/>
    <w:rsid w:val="007C5007"/>
    <w:rsid w:val="007C5B08"/>
    <w:rsid w:val="007C5F92"/>
    <w:rsid w:val="007C6227"/>
    <w:rsid w:val="007C6BBD"/>
    <w:rsid w:val="007C6C3E"/>
    <w:rsid w:val="007C6D89"/>
    <w:rsid w:val="007C6F5E"/>
    <w:rsid w:val="007D0382"/>
    <w:rsid w:val="007D0A2B"/>
    <w:rsid w:val="007D10FA"/>
    <w:rsid w:val="007D1A1F"/>
    <w:rsid w:val="007D2E18"/>
    <w:rsid w:val="007D35D8"/>
    <w:rsid w:val="007D40DF"/>
    <w:rsid w:val="007D42E5"/>
    <w:rsid w:val="007D4458"/>
    <w:rsid w:val="007D559F"/>
    <w:rsid w:val="007D5E0B"/>
    <w:rsid w:val="007D6AF9"/>
    <w:rsid w:val="007D7DDD"/>
    <w:rsid w:val="007E0535"/>
    <w:rsid w:val="007E0D4A"/>
    <w:rsid w:val="007E1788"/>
    <w:rsid w:val="007E1EE3"/>
    <w:rsid w:val="007E29B4"/>
    <w:rsid w:val="007E2F12"/>
    <w:rsid w:val="007E435A"/>
    <w:rsid w:val="007E445C"/>
    <w:rsid w:val="007E49F7"/>
    <w:rsid w:val="007E4C70"/>
    <w:rsid w:val="007E5B5F"/>
    <w:rsid w:val="007E78B6"/>
    <w:rsid w:val="007E7E61"/>
    <w:rsid w:val="007F0845"/>
    <w:rsid w:val="007F2003"/>
    <w:rsid w:val="007F20F3"/>
    <w:rsid w:val="007F20F5"/>
    <w:rsid w:val="007F2353"/>
    <w:rsid w:val="007F2390"/>
    <w:rsid w:val="007F2CAC"/>
    <w:rsid w:val="007F4740"/>
    <w:rsid w:val="007F595A"/>
    <w:rsid w:val="007F708D"/>
    <w:rsid w:val="008006B3"/>
    <w:rsid w:val="0080158A"/>
    <w:rsid w:val="00801E13"/>
    <w:rsid w:val="00803008"/>
    <w:rsid w:val="00803069"/>
    <w:rsid w:val="0080346B"/>
    <w:rsid w:val="00804155"/>
    <w:rsid w:val="0080559E"/>
    <w:rsid w:val="00805AF3"/>
    <w:rsid w:val="0080618A"/>
    <w:rsid w:val="0080700A"/>
    <w:rsid w:val="0080734C"/>
    <w:rsid w:val="00807C82"/>
    <w:rsid w:val="008117CC"/>
    <w:rsid w:val="00813D58"/>
    <w:rsid w:val="00813DCA"/>
    <w:rsid w:val="00813F00"/>
    <w:rsid w:val="008161A6"/>
    <w:rsid w:val="008165B8"/>
    <w:rsid w:val="00816905"/>
    <w:rsid w:val="00816D98"/>
    <w:rsid w:val="00816E42"/>
    <w:rsid w:val="00817040"/>
    <w:rsid w:val="00817A17"/>
    <w:rsid w:val="00817EC1"/>
    <w:rsid w:val="00820830"/>
    <w:rsid w:val="0082112D"/>
    <w:rsid w:val="00821FF6"/>
    <w:rsid w:val="00822313"/>
    <w:rsid w:val="00822574"/>
    <w:rsid w:val="00822980"/>
    <w:rsid w:val="00822F08"/>
    <w:rsid w:val="0082321B"/>
    <w:rsid w:val="00825C4D"/>
    <w:rsid w:val="00826A08"/>
    <w:rsid w:val="00826AC0"/>
    <w:rsid w:val="00827186"/>
    <w:rsid w:val="008275B5"/>
    <w:rsid w:val="00827C8E"/>
    <w:rsid w:val="00830569"/>
    <w:rsid w:val="00830AEA"/>
    <w:rsid w:val="00830E86"/>
    <w:rsid w:val="00831219"/>
    <w:rsid w:val="0083143E"/>
    <w:rsid w:val="008315B8"/>
    <w:rsid w:val="008315D5"/>
    <w:rsid w:val="00831CDE"/>
    <w:rsid w:val="00832F77"/>
    <w:rsid w:val="00834304"/>
    <w:rsid w:val="00834FAA"/>
    <w:rsid w:val="008354FB"/>
    <w:rsid w:val="00836086"/>
    <w:rsid w:val="0083630F"/>
    <w:rsid w:val="00836A06"/>
    <w:rsid w:val="008374BC"/>
    <w:rsid w:val="008379D6"/>
    <w:rsid w:val="00837E48"/>
    <w:rsid w:val="00840293"/>
    <w:rsid w:val="008402AD"/>
    <w:rsid w:val="00840317"/>
    <w:rsid w:val="008408D4"/>
    <w:rsid w:val="008417B5"/>
    <w:rsid w:val="00841901"/>
    <w:rsid w:val="00845314"/>
    <w:rsid w:val="008458BD"/>
    <w:rsid w:val="00846121"/>
    <w:rsid w:val="008461C2"/>
    <w:rsid w:val="008466C6"/>
    <w:rsid w:val="00846BAE"/>
    <w:rsid w:val="0084708F"/>
    <w:rsid w:val="008477C8"/>
    <w:rsid w:val="008478A6"/>
    <w:rsid w:val="008502F6"/>
    <w:rsid w:val="0085114D"/>
    <w:rsid w:val="00851802"/>
    <w:rsid w:val="008520A8"/>
    <w:rsid w:val="00852217"/>
    <w:rsid w:val="0085285C"/>
    <w:rsid w:val="00853282"/>
    <w:rsid w:val="00855408"/>
    <w:rsid w:val="00855BCD"/>
    <w:rsid w:val="00855D03"/>
    <w:rsid w:val="008567C1"/>
    <w:rsid w:val="00856D65"/>
    <w:rsid w:val="00860386"/>
    <w:rsid w:val="00861B41"/>
    <w:rsid w:val="00861B9F"/>
    <w:rsid w:val="00861BE3"/>
    <w:rsid w:val="008625D3"/>
    <w:rsid w:val="00863434"/>
    <w:rsid w:val="0086344F"/>
    <w:rsid w:val="008640BA"/>
    <w:rsid w:val="008641AC"/>
    <w:rsid w:val="008642CD"/>
    <w:rsid w:val="008650AD"/>
    <w:rsid w:val="00865E4C"/>
    <w:rsid w:val="0086796D"/>
    <w:rsid w:val="00867DAB"/>
    <w:rsid w:val="0087000B"/>
    <w:rsid w:val="008701E4"/>
    <w:rsid w:val="008704E9"/>
    <w:rsid w:val="00870ECD"/>
    <w:rsid w:val="00871D46"/>
    <w:rsid w:val="0087347C"/>
    <w:rsid w:val="008734E7"/>
    <w:rsid w:val="0087368D"/>
    <w:rsid w:val="008740CC"/>
    <w:rsid w:val="008740F5"/>
    <w:rsid w:val="008745B5"/>
    <w:rsid w:val="00874775"/>
    <w:rsid w:val="00874FE8"/>
    <w:rsid w:val="00875A32"/>
    <w:rsid w:val="00876086"/>
    <w:rsid w:val="00876E83"/>
    <w:rsid w:val="008772BC"/>
    <w:rsid w:val="00880A0E"/>
    <w:rsid w:val="00881CD7"/>
    <w:rsid w:val="00882911"/>
    <w:rsid w:val="00882F6E"/>
    <w:rsid w:val="00884E02"/>
    <w:rsid w:val="00885D40"/>
    <w:rsid w:val="008873D4"/>
    <w:rsid w:val="00887509"/>
    <w:rsid w:val="00891CDC"/>
    <w:rsid w:val="00891EDF"/>
    <w:rsid w:val="00892872"/>
    <w:rsid w:val="0089296D"/>
    <w:rsid w:val="00893E85"/>
    <w:rsid w:val="00893EBE"/>
    <w:rsid w:val="00894031"/>
    <w:rsid w:val="00894C5D"/>
    <w:rsid w:val="00895508"/>
    <w:rsid w:val="0089655A"/>
    <w:rsid w:val="008967E9"/>
    <w:rsid w:val="00896A5C"/>
    <w:rsid w:val="008972D2"/>
    <w:rsid w:val="008973F0"/>
    <w:rsid w:val="0089754C"/>
    <w:rsid w:val="008A0ADD"/>
    <w:rsid w:val="008A0D27"/>
    <w:rsid w:val="008A1C59"/>
    <w:rsid w:val="008A3185"/>
    <w:rsid w:val="008A37E2"/>
    <w:rsid w:val="008A388E"/>
    <w:rsid w:val="008A394E"/>
    <w:rsid w:val="008A3CBA"/>
    <w:rsid w:val="008A4521"/>
    <w:rsid w:val="008A4B59"/>
    <w:rsid w:val="008A5F8A"/>
    <w:rsid w:val="008A63E1"/>
    <w:rsid w:val="008A66B7"/>
    <w:rsid w:val="008A68BB"/>
    <w:rsid w:val="008A6AA5"/>
    <w:rsid w:val="008A7127"/>
    <w:rsid w:val="008B03EA"/>
    <w:rsid w:val="008B1121"/>
    <w:rsid w:val="008B3347"/>
    <w:rsid w:val="008B3537"/>
    <w:rsid w:val="008B3690"/>
    <w:rsid w:val="008B3A80"/>
    <w:rsid w:val="008B3AEC"/>
    <w:rsid w:val="008B3C07"/>
    <w:rsid w:val="008B3F7B"/>
    <w:rsid w:val="008B5324"/>
    <w:rsid w:val="008B6106"/>
    <w:rsid w:val="008B6324"/>
    <w:rsid w:val="008B7C02"/>
    <w:rsid w:val="008B7D2B"/>
    <w:rsid w:val="008B7D7E"/>
    <w:rsid w:val="008B7EF9"/>
    <w:rsid w:val="008C0049"/>
    <w:rsid w:val="008C0E88"/>
    <w:rsid w:val="008C1138"/>
    <w:rsid w:val="008C13EA"/>
    <w:rsid w:val="008C1717"/>
    <w:rsid w:val="008C235A"/>
    <w:rsid w:val="008C4B50"/>
    <w:rsid w:val="008C5A37"/>
    <w:rsid w:val="008C6824"/>
    <w:rsid w:val="008C7569"/>
    <w:rsid w:val="008D033D"/>
    <w:rsid w:val="008D0DBD"/>
    <w:rsid w:val="008D117E"/>
    <w:rsid w:val="008D127E"/>
    <w:rsid w:val="008D1CA8"/>
    <w:rsid w:val="008D1E0A"/>
    <w:rsid w:val="008D1E6A"/>
    <w:rsid w:val="008D2A16"/>
    <w:rsid w:val="008D33F5"/>
    <w:rsid w:val="008D35E4"/>
    <w:rsid w:val="008D4903"/>
    <w:rsid w:val="008D5EC2"/>
    <w:rsid w:val="008D6189"/>
    <w:rsid w:val="008D637E"/>
    <w:rsid w:val="008D6884"/>
    <w:rsid w:val="008D6C3A"/>
    <w:rsid w:val="008D7A97"/>
    <w:rsid w:val="008E0001"/>
    <w:rsid w:val="008E059C"/>
    <w:rsid w:val="008E106B"/>
    <w:rsid w:val="008E292B"/>
    <w:rsid w:val="008E2C57"/>
    <w:rsid w:val="008E31FF"/>
    <w:rsid w:val="008E3287"/>
    <w:rsid w:val="008E5BFC"/>
    <w:rsid w:val="008E6DCB"/>
    <w:rsid w:val="008E6F06"/>
    <w:rsid w:val="008E7B8E"/>
    <w:rsid w:val="008E7FC9"/>
    <w:rsid w:val="008F0107"/>
    <w:rsid w:val="008F0126"/>
    <w:rsid w:val="008F029B"/>
    <w:rsid w:val="008F0589"/>
    <w:rsid w:val="008F1954"/>
    <w:rsid w:val="008F1FC0"/>
    <w:rsid w:val="008F2A5D"/>
    <w:rsid w:val="008F3636"/>
    <w:rsid w:val="008F3FC9"/>
    <w:rsid w:val="008F5383"/>
    <w:rsid w:val="008F585B"/>
    <w:rsid w:val="008F7339"/>
    <w:rsid w:val="009003A8"/>
    <w:rsid w:val="009005E4"/>
    <w:rsid w:val="00900977"/>
    <w:rsid w:val="009021DA"/>
    <w:rsid w:val="00902500"/>
    <w:rsid w:val="00902757"/>
    <w:rsid w:val="00902EFF"/>
    <w:rsid w:val="00903A8E"/>
    <w:rsid w:val="0090432C"/>
    <w:rsid w:val="00904F96"/>
    <w:rsid w:val="009052A3"/>
    <w:rsid w:val="00905314"/>
    <w:rsid w:val="009056D7"/>
    <w:rsid w:val="00905B8D"/>
    <w:rsid w:val="00905C41"/>
    <w:rsid w:val="00906401"/>
    <w:rsid w:val="009065CB"/>
    <w:rsid w:val="009067EA"/>
    <w:rsid w:val="00906B79"/>
    <w:rsid w:val="0090786F"/>
    <w:rsid w:val="0091001E"/>
    <w:rsid w:val="009100B0"/>
    <w:rsid w:val="009104A9"/>
    <w:rsid w:val="00910C18"/>
    <w:rsid w:val="009110F7"/>
    <w:rsid w:val="0091155E"/>
    <w:rsid w:val="00912437"/>
    <w:rsid w:val="00912A92"/>
    <w:rsid w:val="00915D07"/>
    <w:rsid w:val="009162AE"/>
    <w:rsid w:val="0091703C"/>
    <w:rsid w:val="00917251"/>
    <w:rsid w:val="0091728D"/>
    <w:rsid w:val="009203CC"/>
    <w:rsid w:val="00920C24"/>
    <w:rsid w:val="00920EC4"/>
    <w:rsid w:val="0092180B"/>
    <w:rsid w:val="00921F14"/>
    <w:rsid w:val="00923CB0"/>
    <w:rsid w:val="00923D8C"/>
    <w:rsid w:val="00924871"/>
    <w:rsid w:val="00924AC8"/>
    <w:rsid w:val="00925429"/>
    <w:rsid w:val="00925615"/>
    <w:rsid w:val="0092597A"/>
    <w:rsid w:val="0092617A"/>
    <w:rsid w:val="00926520"/>
    <w:rsid w:val="00926CF0"/>
    <w:rsid w:val="00926E41"/>
    <w:rsid w:val="009273A9"/>
    <w:rsid w:val="0092799E"/>
    <w:rsid w:val="00930251"/>
    <w:rsid w:val="0093033E"/>
    <w:rsid w:val="009305FC"/>
    <w:rsid w:val="00930FB1"/>
    <w:rsid w:val="0093139F"/>
    <w:rsid w:val="00932443"/>
    <w:rsid w:val="00932B32"/>
    <w:rsid w:val="00933F4A"/>
    <w:rsid w:val="009341F1"/>
    <w:rsid w:val="00934CA1"/>
    <w:rsid w:val="00934D84"/>
    <w:rsid w:val="00934FF2"/>
    <w:rsid w:val="009358D7"/>
    <w:rsid w:val="00935BD4"/>
    <w:rsid w:val="00935DFE"/>
    <w:rsid w:val="00935F70"/>
    <w:rsid w:val="00937185"/>
    <w:rsid w:val="009373B2"/>
    <w:rsid w:val="00937A02"/>
    <w:rsid w:val="00937AE2"/>
    <w:rsid w:val="0094061F"/>
    <w:rsid w:val="00940F0F"/>
    <w:rsid w:val="0094416B"/>
    <w:rsid w:val="0094427A"/>
    <w:rsid w:val="00944C7C"/>
    <w:rsid w:val="00945245"/>
    <w:rsid w:val="00945523"/>
    <w:rsid w:val="00946780"/>
    <w:rsid w:val="009477E1"/>
    <w:rsid w:val="00950921"/>
    <w:rsid w:val="00951D68"/>
    <w:rsid w:val="00951E5B"/>
    <w:rsid w:val="00952B7B"/>
    <w:rsid w:val="009539D4"/>
    <w:rsid w:val="009542F2"/>
    <w:rsid w:val="00954F39"/>
    <w:rsid w:val="00955080"/>
    <w:rsid w:val="00955289"/>
    <w:rsid w:val="00955301"/>
    <w:rsid w:val="009555FD"/>
    <w:rsid w:val="00955B18"/>
    <w:rsid w:val="0095664B"/>
    <w:rsid w:val="009568DC"/>
    <w:rsid w:val="00957445"/>
    <w:rsid w:val="0095759C"/>
    <w:rsid w:val="0096017F"/>
    <w:rsid w:val="00960BE8"/>
    <w:rsid w:val="009618EE"/>
    <w:rsid w:val="009624D2"/>
    <w:rsid w:val="009628D9"/>
    <w:rsid w:val="009637AE"/>
    <w:rsid w:val="00963A06"/>
    <w:rsid w:val="00964068"/>
    <w:rsid w:val="009640F6"/>
    <w:rsid w:val="0096469D"/>
    <w:rsid w:val="00964776"/>
    <w:rsid w:val="009648C1"/>
    <w:rsid w:val="00964A4E"/>
    <w:rsid w:val="00964B35"/>
    <w:rsid w:val="009651C7"/>
    <w:rsid w:val="00965797"/>
    <w:rsid w:val="00965A10"/>
    <w:rsid w:val="009670A3"/>
    <w:rsid w:val="009674BE"/>
    <w:rsid w:val="00970E49"/>
    <w:rsid w:val="00970E93"/>
    <w:rsid w:val="00970FB5"/>
    <w:rsid w:val="00971537"/>
    <w:rsid w:val="00971710"/>
    <w:rsid w:val="00971AF3"/>
    <w:rsid w:val="00971B87"/>
    <w:rsid w:val="00971C77"/>
    <w:rsid w:val="00971F0B"/>
    <w:rsid w:val="00972FCD"/>
    <w:rsid w:val="00973324"/>
    <w:rsid w:val="00973752"/>
    <w:rsid w:val="009741AE"/>
    <w:rsid w:val="009741FC"/>
    <w:rsid w:val="00974782"/>
    <w:rsid w:val="00974923"/>
    <w:rsid w:val="00975909"/>
    <w:rsid w:val="00977C3D"/>
    <w:rsid w:val="00980D3D"/>
    <w:rsid w:val="0098103E"/>
    <w:rsid w:val="0098157D"/>
    <w:rsid w:val="00983101"/>
    <w:rsid w:val="00983E41"/>
    <w:rsid w:val="009845E1"/>
    <w:rsid w:val="00986246"/>
    <w:rsid w:val="00987A30"/>
    <w:rsid w:val="00990312"/>
    <w:rsid w:val="0099182E"/>
    <w:rsid w:val="00992689"/>
    <w:rsid w:val="00992CF3"/>
    <w:rsid w:val="00993194"/>
    <w:rsid w:val="0099321E"/>
    <w:rsid w:val="0099399E"/>
    <w:rsid w:val="00993A46"/>
    <w:rsid w:val="00994868"/>
    <w:rsid w:val="00994D28"/>
    <w:rsid w:val="00994F2C"/>
    <w:rsid w:val="009957CC"/>
    <w:rsid w:val="0099584D"/>
    <w:rsid w:val="00995B68"/>
    <w:rsid w:val="009968D6"/>
    <w:rsid w:val="00997953"/>
    <w:rsid w:val="009A0BFF"/>
    <w:rsid w:val="009A10A0"/>
    <w:rsid w:val="009A1CAB"/>
    <w:rsid w:val="009A2359"/>
    <w:rsid w:val="009A24F1"/>
    <w:rsid w:val="009A27E0"/>
    <w:rsid w:val="009A2FEC"/>
    <w:rsid w:val="009A329E"/>
    <w:rsid w:val="009A4D57"/>
    <w:rsid w:val="009A5091"/>
    <w:rsid w:val="009A51A5"/>
    <w:rsid w:val="009A5D8C"/>
    <w:rsid w:val="009A60D1"/>
    <w:rsid w:val="009A6225"/>
    <w:rsid w:val="009A64F5"/>
    <w:rsid w:val="009B00D2"/>
    <w:rsid w:val="009B05B3"/>
    <w:rsid w:val="009B2843"/>
    <w:rsid w:val="009B284F"/>
    <w:rsid w:val="009B291E"/>
    <w:rsid w:val="009B360B"/>
    <w:rsid w:val="009B3764"/>
    <w:rsid w:val="009B52AC"/>
    <w:rsid w:val="009B59EA"/>
    <w:rsid w:val="009B66CE"/>
    <w:rsid w:val="009B6FD3"/>
    <w:rsid w:val="009B72A7"/>
    <w:rsid w:val="009B72BE"/>
    <w:rsid w:val="009B78A4"/>
    <w:rsid w:val="009B7DB2"/>
    <w:rsid w:val="009C0334"/>
    <w:rsid w:val="009C03DB"/>
    <w:rsid w:val="009C1750"/>
    <w:rsid w:val="009C25E6"/>
    <w:rsid w:val="009C2E29"/>
    <w:rsid w:val="009C3E8F"/>
    <w:rsid w:val="009C554B"/>
    <w:rsid w:val="009C5E83"/>
    <w:rsid w:val="009C7126"/>
    <w:rsid w:val="009C719E"/>
    <w:rsid w:val="009C7799"/>
    <w:rsid w:val="009D0603"/>
    <w:rsid w:val="009D07A9"/>
    <w:rsid w:val="009D0AE2"/>
    <w:rsid w:val="009D0D9F"/>
    <w:rsid w:val="009D0EBB"/>
    <w:rsid w:val="009D1955"/>
    <w:rsid w:val="009D2FAC"/>
    <w:rsid w:val="009D3079"/>
    <w:rsid w:val="009D35E9"/>
    <w:rsid w:val="009D3ACD"/>
    <w:rsid w:val="009D4F21"/>
    <w:rsid w:val="009D587D"/>
    <w:rsid w:val="009D5947"/>
    <w:rsid w:val="009D7731"/>
    <w:rsid w:val="009E1120"/>
    <w:rsid w:val="009E1393"/>
    <w:rsid w:val="009E1922"/>
    <w:rsid w:val="009E1A3D"/>
    <w:rsid w:val="009E4715"/>
    <w:rsid w:val="009E4A58"/>
    <w:rsid w:val="009E5273"/>
    <w:rsid w:val="009E540A"/>
    <w:rsid w:val="009E57A8"/>
    <w:rsid w:val="009E5B85"/>
    <w:rsid w:val="009E5CFF"/>
    <w:rsid w:val="009E5DDB"/>
    <w:rsid w:val="009F06F8"/>
    <w:rsid w:val="009F111B"/>
    <w:rsid w:val="009F2620"/>
    <w:rsid w:val="009F2921"/>
    <w:rsid w:val="009F2E2A"/>
    <w:rsid w:val="009F351D"/>
    <w:rsid w:val="009F4982"/>
    <w:rsid w:val="009F4CA7"/>
    <w:rsid w:val="009F4F6A"/>
    <w:rsid w:val="009F55BA"/>
    <w:rsid w:val="009F6143"/>
    <w:rsid w:val="009F7D36"/>
    <w:rsid w:val="00A00E71"/>
    <w:rsid w:val="00A0306F"/>
    <w:rsid w:val="00A03B10"/>
    <w:rsid w:val="00A03E2E"/>
    <w:rsid w:val="00A04616"/>
    <w:rsid w:val="00A04717"/>
    <w:rsid w:val="00A0476E"/>
    <w:rsid w:val="00A05D8F"/>
    <w:rsid w:val="00A05EE4"/>
    <w:rsid w:val="00A0675F"/>
    <w:rsid w:val="00A06F99"/>
    <w:rsid w:val="00A1053B"/>
    <w:rsid w:val="00A10D66"/>
    <w:rsid w:val="00A113A4"/>
    <w:rsid w:val="00A12F0E"/>
    <w:rsid w:val="00A14114"/>
    <w:rsid w:val="00A16098"/>
    <w:rsid w:val="00A16413"/>
    <w:rsid w:val="00A16545"/>
    <w:rsid w:val="00A1694A"/>
    <w:rsid w:val="00A16AED"/>
    <w:rsid w:val="00A16C37"/>
    <w:rsid w:val="00A16E1D"/>
    <w:rsid w:val="00A171D5"/>
    <w:rsid w:val="00A173D1"/>
    <w:rsid w:val="00A17A15"/>
    <w:rsid w:val="00A17D5B"/>
    <w:rsid w:val="00A201E1"/>
    <w:rsid w:val="00A20FE1"/>
    <w:rsid w:val="00A21B4D"/>
    <w:rsid w:val="00A22073"/>
    <w:rsid w:val="00A223E0"/>
    <w:rsid w:val="00A23606"/>
    <w:rsid w:val="00A23E43"/>
    <w:rsid w:val="00A24726"/>
    <w:rsid w:val="00A24DEB"/>
    <w:rsid w:val="00A24ED9"/>
    <w:rsid w:val="00A25216"/>
    <w:rsid w:val="00A2597D"/>
    <w:rsid w:val="00A2628E"/>
    <w:rsid w:val="00A266BF"/>
    <w:rsid w:val="00A2731E"/>
    <w:rsid w:val="00A309AC"/>
    <w:rsid w:val="00A30F65"/>
    <w:rsid w:val="00A31875"/>
    <w:rsid w:val="00A32184"/>
    <w:rsid w:val="00A3279E"/>
    <w:rsid w:val="00A32A33"/>
    <w:rsid w:val="00A32C96"/>
    <w:rsid w:val="00A333A9"/>
    <w:rsid w:val="00A35900"/>
    <w:rsid w:val="00A363D3"/>
    <w:rsid w:val="00A40469"/>
    <w:rsid w:val="00A40EAC"/>
    <w:rsid w:val="00A418BC"/>
    <w:rsid w:val="00A41FCF"/>
    <w:rsid w:val="00A4269D"/>
    <w:rsid w:val="00A42936"/>
    <w:rsid w:val="00A43CF8"/>
    <w:rsid w:val="00A43DF2"/>
    <w:rsid w:val="00A445A8"/>
    <w:rsid w:val="00A44B0D"/>
    <w:rsid w:val="00A44D21"/>
    <w:rsid w:val="00A44DF1"/>
    <w:rsid w:val="00A45087"/>
    <w:rsid w:val="00A45489"/>
    <w:rsid w:val="00A45CED"/>
    <w:rsid w:val="00A465E9"/>
    <w:rsid w:val="00A467ED"/>
    <w:rsid w:val="00A468E7"/>
    <w:rsid w:val="00A46DE0"/>
    <w:rsid w:val="00A478BA"/>
    <w:rsid w:val="00A50D73"/>
    <w:rsid w:val="00A50EB5"/>
    <w:rsid w:val="00A51B76"/>
    <w:rsid w:val="00A51C5D"/>
    <w:rsid w:val="00A52A88"/>
    <w:rsid w:val="00A52CAD"/>
    <w:rsid w:val="00A53FC7"/>
    <w:rsid w:val="00A5499A"/>
    <w:rsid w:val="00A5526C"/>
    <w:rsid w:val="00A55569"/>
    <w:rsid w:val="00A5631D"/>
    <w:rsid w:val="00A566A0"/>
    <w:rsid w:val="00A5761C"/>
    <w:rsid w:val="00A601E7"/>
    <w:rsid w:val="00A60AC1"/>
    <w:rsid w:val="00A61108"/>
    <w:rsid w:val="00A626FF"/>
    <w:rsid w:val="00A62CE1"/>
    <w:rsid w:val="00A65469"/>
    <w:rsid w:val="00A65528"/>
    <w:rsid w:val="00A655D3"/>
    <w:rsid w:val="00A662D9"/>
    <w:rsid w:val="00A6741E"/>
    <w:rsid w:val="00A67D26"/>
    <w:rsid w:val="00A67E29"/>
    <w:rsid w:val="00A7016A"/>
    <w:rsid w:val="00A7018D"/>
    <w:rsid w:val="00A70540"/>
    <w:rsid w:val="00A7191D"/>
    <w:rsid w:val="00A722F9"/>
    <w:rsid w:val="00A72D42"/>
    <w:rsid w:val="00A746C9"/>
    <w:rsid w:val="00A74C2A"/>
    <w:rsid w:val="00A74D0A"/>
    <w:rsid w:val="00A75945"/>
    <w:rsid w:val="00A75E40"/>
    <w:rsid w:val="00A77D1D"/>
    <w:rsid w:val="00A8135E"/>
    <w:rsid w:val="00A815E4"/>
    <w:rsid w:val="00A81652"/>
    <w:rsid w:val="00A818DC"/>
    <w:rsid w:val="00A81A6B"/>
    <w:rsid w:val="00A82C8D"/>
    <w:rsid w:val="00A83150"/>
    <w:rsid w:val="00A83398"/>
    <w:rsid w:val="00A83D6E"/>
    <w:rsid w:val="00A84408"/>
    <w:rsid w:val="00A848FA"/>
    <w:rsid w:val="00A8521A"/>
    <w:rsid w:val="00A857C0"/>
    <w:rsid w:val="00A85ACB"/>
    <w:rsid w:val="00A87AEC"/>
    <w:rsid w:val="00A90F2C"/>
    <w:rsid w:val="00A90FED"/>
    <w:rsid w:val="00A91482"/>
    <w:rsid w:val="00A9189D"/>
    <w:rsid w:val="00A91E71"/>
    <w:rsid w:val="00A925B1"/>
    <w:rsid w:val="00A929CC"/>
    <w:rsid w:val="00A92A3E"/>
    <w:rsid w:val="00A934C5"/>
    <w:rsid w:val="00A934F9"/>
    <w:rsid w:val="00A940E3"/>
    <w:rsid w:val="00A95F1A"/>
    <w:rsid w:val="00A96116"/>
    <w:rsid w:val="00A9614E"/>
    <w:rsid w:val="00A96C0F"/>
    <w:rsid w:val="00AA0A42"/>
    <w:rsid w:val="00AA0E80"/>
    <w:rsid w:val="00AA17CD"/>
    <w:rsid w:val="00AA1D85"/>
    <w:rsid w:val="00AA212F"/>
    <w:rsid w:val="00AA2996"/>
    <w:rsid w:val="00AA2AF4"/>
    <w:rsid w:val="00AA2FD0"/>
    <w:rsid w:val="00AA342C"/>
    <w:rsid w:val="00AA4282"/>
    <w:rsid w:val="00AA4790"/>
    <w:rsid w:val="00AA52BF"/>
    <w:rsid w:val="00AA559A"/>
    <w:rsid w:val="00AA6C31"/>
    <w:rsid w:val="00AA7752"/>
    <w:rsid w:val="00AA7871"/>
    <w:rsid w:val="00AA7CE8"/>
    <w:rsid w:val="00AB0502"/>
    <w:rsid w:val="00AB1457"/>
    <w:rsid w:val="00AB146C"/>
    <w:rsid w:val="00AB2300"/>
    <w:rsid w:val="00AB2AF1"/>
    <w:rsid w:val="00AB2B45"/>
    <w:rsid w:val="00AB3EC7"/>
    <w:rsid w:val="00AB46FD"/>
    <w:rsid w:val="00AB5A64"/>
    <w:rsid w:val="00AB5CA1"/>
    <w:rsid w:val="00AB6154"/>
    <w:rsid w:val="00AB6456"/>
    <w:rsid w:val="00AC044E"/>
    <w:rsid w:val="00AC2118"/>
    <w:rsid w:val="00AC2395"/>
    <w:rsid w:val="00AC2960"/>
    <w:rsid w:val="00AC2AC4"/>
    <w:rsid w:val="00AC4136"/>
    <w:rsid w:val="00AC4284"/>
    <w:rsid w:val="00AC45BD"/>
    <w:rsid w:val="00AC50BB"/>
    <w:rsid w:val="00AC6C6D"/>
    <w:rsid w:val="00AC746D"/>
    <w:rsid w:val="00AD0517"/>
    <w:rsid w:val="00AD0B22"/>
    <w:rsid w:val="00AD0EE7"/>
    <w:rsid w:val="00AD168E"/>
    <w:rsid w:val="00AD1C50"/>
    <w:rsid w:val="00AD306C"/>
    <w:rsid w:val="00AD44CD"/>
    <w:rsid w:val="00AD5AD2"/>
    <w:rsid w:val="00AD6462"/>
    <w:rsid w:val="00AD66C5"/>
    <w:rsid w:val="00AD675A"/>
    <w:rsid w:val="00AD68C4"/>
    <w:rsid w:val="00AD71F9"/>
    <w:rsid w:val="00AE05EC"/>
    <w:rsid w:val="00AE09B3"/>
    <w:rsid w:val="00AE1A83"/>
    <w:rsid w:val="00AE1D83"/>
    <w:rsid w:val="00AE29AA"/>
    <w:rsid w:val="00AE29D4"/>
    <w:rsid w:val="00AE30BE"/>
    <w:rsid w:val="00AE3E6A"/>
    <w:rsid w:val="00AE4E7F"/>
    <w:rsid w:val="00AE5F14"/>
    <w:rsid w:val="00AE6414"/>
    <w:rsid w:val="00AE67EE"/>
    <w:rsid w:val="00AE6A39"/>
    <w:rsid w:val="00AE7269"/>
    <w:rsid w:val="00AE7490"/>
    <w:rsid w:val="00AE797C"/>
    <w:rsid w:val="00AE7CE7"/>
    <w:rsid w:val="00AE7FAB"/>
    <w:rsid w:val="00AF03B9"/>
    <w:rsid w:val="00AF0DE4"/>
    <w:rsid w:val="00AF1BA1"/>
    <w:rsid w:val="00AF1E70"/>
    <w:rsid w:val="00AF1E87"/>
    <w:rsid w:val="00AF2F58"/>
    <w:rsid w:val="00AF436B"/>
    <w:rsid w:val="00AF4C25"/>
    <w:rsid w:val="00AF5179"/>
    <w:rsid w:val="00AF5CC2"/>
    <w:rsid w:val="00AF6776"/>
    <w:rsid w:val="00AF6F98"/>
    <w:rsid w:val="00B00913"/>
    <w:rsid w:val="00B00C96"/>
    <w:rsid w:val="00B01593"/>
    <w:rsid w:val="00B01FF9"/>
    <w:rsid w:val="00B023F2"/>
    <w:rsid w:val="00B038CA"/>
    <w:rsid w:val="00B04EC5"/>
    <w:rsid w:val="00B05025"/>
    <w:rsid w:val="00B06DB4"/>
    <w:rsid w:val="00B0799C"/>
    <w:rsid w:val="00B102CE"/>
    <w:rsid w:val="00B10A4D"/>
    <w:rsid w:val="00B10C90"/>
    <w:rsid w:val="00B11002"/>
    <w:rsid w:val="00B116E1"/>
    <w:rsid w:val="00B11AB4"/>
    <w:rsid w:val="00B121B2"/>
    <w:rsid w:val="00B1259F"/>
    <w:rsid w:val="00B141B6"/>
    <w:rsid w:val="00B14BC1"/>
    <w:rsid w:val="00B16DD1"/>
    <w:rsid w:val="00B16EB8"/>
    <w:rsid w:val="00B17E71"/>
    <w:rsid w:val="00B17FDE"/>
    <w:rsid w:val="00B20632"/>
    <w:rsid w:val="00B22BB0"/>
    <w:rsid w:val="00B2379C"/>
    <w:rsid w:val="00B23D5D"/>
    <w:rsid w:val="00B23EE4"/>
    <w:rsid w:val="00B241C9"/>
    <w:rsid w:val="00B26044"/>
    <w:rsid w:val="00B2687D"/>
    <w:rsid w:val="00B300EF"/>
    <w:rsid w:val="00B3108D"/>
    <w:rsid w:val="00B325B3"/>
    <w:rsid w:val="00B32DDB"/>
    <w:rsid w:val="00B32F57"/>
    <w:rsid w:val="00B3345C"/>
    <w:rsid w:val="00B34528"/>
    <w:rsid w:val="00B34CC9"/>
    <w:rsid w:val="00B3563B"/>
    <w:rsid w:val="00B36BDC"/>
    <w:rsid w:val="00B36E2B"/>
    <w:rsid w:val="00B37D3A"/>
    <w:rsid w:val="00B37D96"/>
    <w:rsid w:val="00B402FC"/>
    <w:rsid w:val="00B422E2"/>
    <w:rsid w:val="00B42D5F"/>
    <w:rsid w:val="00B43216"/>
    <w:rsid w:val="00B439DA"/>
    <w:rsid w:val="00B4411A"/>
    <w:rsid w:val="00B45A93"/>
    <w:rsid w:val="00B45FE8"/>
    <w:rsid w:val="00B46604"/>
    <w:rsid w:val="00B47089"/>
    <w:rsid w:val="00B4720E"/>
    <w:rsid w:val="00B47587"/>
    <w:rsid w:val="00B52151"/>
    <w:rsid w:val="00B528B0"/>
    <w:rsid w:val="00B528F3"/>
    <w:rsid w:val="00B530CD"/>
    <w:rsid w:val="00B53C7D"/>
    <w:rsid w:val="00B53E56"/>
    <w:rsid w:val="00B54528"/>
    <w:rsid w:val="00B55A97"/>
    <w:rsid w:val="00B55F5E"/>
    <w:rsid w:val="00B560B7"/>
    <w:rsid w:val="00B5642C"/>
    <w:rsid w:val="00B56B6F"/>
    <w:rsid w:val="00B5752E"/>
    <w:rsid w:val="00B57D58"/>
    <w:rsid w:val="00B60AC1"/>
    <w:rsid w:val="00B61FF6"/>
    <w:rsid w:val="00B62316"/>
    <w:rsid w:val="00B63A11"/>
    <w:rsid w:val="00B64425"/>
    <w:rsid w:val="00B64A26"/>
    <w:rsid w:val="00B64C24"/>
    <w:rsid w:val="00B65CEF"/>
    <w:rsid w:val="00B6608F"/>
    <w:rsid w:val="00B661EB"/>
    <w:rsid w:val="00B67749"/>
    <w:rsid w:val="00B679FB"/>
    <w:rsid w:val="00B71FBF"/>
    <w:rsid w:val="00B734A0"/>
    <w:rsid w:val="00B73A14"/>
    <w:rsid w:val="00B748BD"/>
    <w:rsid w:val="00B7680F"/>
    <w:rsid w:val="00B76B48"/>
    <w:rsid w:val="00B76D1E"/>
    <w:rsid w:val="00B77543"/>
    <w:rsid w:val="00B77584"/>
    <w:rsid w:val="00B80E64"/>
    <w:rsid w:val="00B80EC6"/>
    <w:rsid w:val="00B81288"/>
    <w:rsid w:val="00B81D70"/>
    <w:rsid w:val="00B833B9"/>
    <w:rsid w:val="00B83E07"/>
    <w:rsid w:val="00B84CF6"/>
    <w:rsid w:val="00B85016"/>
    <w:rsid w:val="00B8561A"/>
    <w:rsid w:val="00B865F0"/>
    <w:rsid w:val="00B86643"/>
    <w:rsid w:val="00B868F7"/>
    <w:rsid w:val="00B90131"/>
    <w:rsid w:val="00B92951"/>
    <w:rsid w:val="00B92D1D"/>
    <w:rsid w:val="00B92D7E"/>
    <w:rsid w:val="00B930CE"/>
    <w:rsid w:val="00B938C5"/>
    <w:rsid w:val="00B93E65"/>
    <w:rsid w:val="00B940A8"/>
    <w:rsid w:val="00B9554A"/>
    <w:rsid w:val="00B95940"/>
    <w:rsid w:val="00B95ACA"/>
    <w:rsid w:val="00B96072"/>
    <w:rsid w:val="00B96486"/>
    <w:rsid w:val="00B96A5E"/>
    <w:rsid w:val="00B96CA4"/>
    <w:rsid w:val="00B97ACC"/>
    <w:rsid w:val="00B97FE2"/>
    <w:rsid w:val="00BA0324"/>
    <w:rsid w:val="00BA0E0B"/>
    <w:rsid w:val="00BA201A"/>
    <w:rsid w:val="00BA3787"/>
    <w:rsid w:val="00BA46E8"/>
    <w:rsid w:val="00BA4E19"/>
    <w:rsid w:val="00BA6134"/>
    <w:rsid w:val="00BA6436"/>
    <w:rsid w:val="00BA64F2"/>
    <w:rsid w:val="00BA684E"/>
    <w:rsid w:val="00BA6C2B"/>
    <w:rsid w:val="00BA7B64"/>
    <w:rsid w:val="00BB02A3"/>
    <w:rsid w:val="00BB0351"/>
    <w:rsid w:val="00BB15C3"/>
    <w:rsid w:val="00BB1AF4"/>
    <w:rsid w:val="00BB1EA2"/>
    <w:rsid w:val="00BB2202"/>
    <w:rsid w:val="00BB3C6B"/>
    <w:rsid w:val="00BB3FD6"/>
    <w:rsid w:val="00BB453F"/>
    <w:rsid w:val="00BB46F3"/>
    <w:rsid w:val="00BB4A71"/>
    <w:rsid w:val="00BB4CB1"/>
    <w:rsid w:val="00BB4F98"/>
    <w:rsid w:val="00BB5AB2"/>
    <w:rsid w:val="00BB5ABF"/>
    <w:rsid w:val="00BB622E"/>
    <w:rsid w:val="00BB6EA2"/>
    <w:rsid w:val="00BB7B5B"/>
    <w:rsid w:val="00BB7EB1"/>
    <w:rsid w:val="00BC003F"/>
    <w:rsid w:val="00BC327F"/>
    <w:rsid w:val="00BC3512"/>
    <w:rsid w:val="00BC50BE"/>
    <w:rsid w:val="00BC5332"/>
    <w:rsid w:val="00BC5715"/>
    <w:rsid w:val="00BC5C12"/>
    <w:rsid w:val="00BC6E48"/>
    <w:rsid w:val="00BC7154"/>
    <w:rsid w:val="00BC731E"/>
    <w:rsid w:val="00BC7614"/>
    <w:rsid w:val="00BD08FA"/>
    <w:rsid w:val="00BD2202"/>
    <w:rsid w:val="00BD25BB"/>
    <w:rsid w:val="00BD2AF8"/>
    <w:rsid w:val="00BD366B"/>
    <w:rsid w:val="00BD3C09"/>
    <w:rsid w:val="00BD410B"/>
    <w:rsid w:val="00BD4A73"/>
    <w:rsid w:val="00BD6C75"/>
    <w:rsid w:val="00BD6D50"/>
    <w:rsid w:val="00BD7232"/>
    <w:rsid w:val="00BD73D2"/>
    <w:rsid w:val="00BD77C8"/>
    <w:rsid w:val="00BE0AD1"/>
    <w:rsid w:val="00BE0EF9"/>
    <w:rsid w:val="00BE10A1"/>
    <w:rsid w:val="00BE18B9"/>
    <w:rsid w:val="00BE190A"/>
    <w:rsid w:val="00BE1D4F"/>
    <w:rsid w:val="00BE2495"/>
    <w:rsid w:val="00BE24DD"/>
    <w:rsid w:val="00BE251B"/>
    <w:rsid w:val="00BE2640"/>
    <w:rsid w:val="00BE386D"/>
    <w:rsid w:val="00BE3EE3"/>
    <w:rsid w:val="00BE4639"/>
    <w:rsid w:val="00BE557B"/>
    <w:rsid w:val="00BE5F1A"/>
    <w:rsid w:val="00BE7AFC"/>
    <w:rsid w:val="00BE7F5F"/>
    <w:rsid w:val="00BF02C8"/>
    <w:rsid w:val="00BF10BF"/>
    <w:rsid w:val="00BF1578"/>
    <w:rsid w:val="00BF15CA"/>
    <w:rsid w:val="00BF1D12"/>
    <w:rsid w:val="00BF1D3A"/>
    <w:rsid w:val="00BF24A6"/>
    <w:rsid w:val="00BF2B5B"/>
    <w:rsid w:val="00BF2D41"/>
    <w:rsid w:val="00BF3274"/>
    <w:rsid w:val="00BF32DC"/>
    <w:rsid w:val="00BF3B69"/>
    <w:rsid w:val="00BF40E0"/>
    <w:rsid w:val="00BF4329"/>
    <w:rsid w:val="00BF4E43"/>
    <w:rsid w:val="00BF5C4C"/>
    <w:rsid w:val="00BF77FC"/>
    <w:rsid w:val="00C006D6"/>
    <w:rsid w:val="00C00BD7"/>
    <w:rsid w:val="00C01410"/>
    <w:rsid w:val="00C03DF1"/>
    <w:rsid w:val="00C04B78"/>
    <w:rsid w:val="00C052AA"/>
    <w:rsid w:val="00C061A9"/>
    <w:rsid w:val="00C068AF"/>
    <w:rsid w:val="00C06EE3"/>
    <w:rsid w:val="00C07749"/>
    <w:rsid w:val="00C11244"/>
    <w:rsid w:val="00C11D48"/>
    <w:rsid w:val="00C1493E"/>
    <w:rsid w:val="00C14B4C"/>
    <w:rsid w:val="00C15DBD"/>
    <w:rsid w:val="00C16F23"/>
    <w:rsid w:val="00C2010D"/>
    <w:rsid w:val="00C20CB5"/>
    <w:rsid w:val="00C21430"/>
    <w:rsid w:val="00C21B5E"/>
    <w:rsid w:val="00C21E61"/>
    <w:rsid w:val="00C21F94"/>
    <w:rsid w:val="00C234DB"/>
    <w:rsid w:val="00C2479A"/>
    <w:rsid w:val="00C24903"/>
    <w:rsid w:val="00C2590D"/>
    <w:rsid w:val="00C25D9C"/>
    <w:rsid w:val="00C27913"/>
    <w:rsid w:val="00C300E2"/>
    <w:rsid w:val="00C31905"/>
    <w:rsid w:val="00C31DBD"/>
    <w:rsid w:val="00C31F21"/>
    <w:rsid w:val="00C32500"/>
    <w:rsid w:val="00C32631"/>
    <w:rsid w:val="00C33301"/>
    <w:rsid w:val="00C33311"/>
    <w:rsid w:val="00C33B68"/>
    <w:rsid w:val="00C3483D"/>
    <w:rsid w:val="00C348A7"/>
    <w:rsid w:val="00C35570"/>
    <w:rsid w:val="00C35A2A"/>
    <w:rsid w:val="00C36A79"/>
    <w:rsid w:val="00C401A9"/>
    <w:rsid w:val="00C401D2"/>
    <w:rsid w:val="00C4031A"/>
    <w:rsid w:val="00C405D4"/>
    <w:rsid w:val="00C419D5"/>
    <w:rsid w:val="00C42156"/>
    <w:rsid w:val="00C42800"/>
    <w:rsid w:val="00C42EBB"/>
    <w:rsid w:val="00C44994"/>
    <w:rsid w:val="00C4513B"/>
    <w:rsid w:val="00C475E8"/>
    <w:rsid w:val="00C47E94"/>
    <w:rsid w:val="00C50E79"/>
    <w:rsid w:val="00C5197D"/>
    <w:rsid w:val="00C51F07"/>
    <w:rsid w:val="00C525FB"/>
    <w:rsid w:val="00C5390B"/>
    <w:rsid w:val="00C54257"/>
    <w:rsid w:val="00C54697"/>
    <w:rsid w:val="00C550CE"/>
    <w:rsid w:val="00C553A5"/>
    <w:rsid w:val="00C55402"/>
    <w:rsid w:val="00C5603B"/>
    <w:rsid w:val="00C61F47"/>
    <w:rsid w:val="00C62828"/>
    <w:rsid w:val="00C62F89"/>
    <w:rsid w:val="00C70756"/>
    <w:rsid w:val="00C715CC"/>
    <w:rsid w:val="00C719A3"/>
    <w:rsid w:val="00C71AA0"/>
    <w:rsid w:val="00C71D2F"/>
    <w:rsid w:val="00C72984"/>
    <w:rsid w:val="00C73885"/>
    <w:rsid w:val="00C73C93"/>
    <w:rsid w:val="00C7435A"/>
    <w:rsid w:val="00C747B1"/>
    <w:rsid w:val="00C74E4E"/>
    <w:rsid w:val="00C75510"/>
    <w:rsid w:val="00C755F9"/>
    <w:rsid w:val="00C75752"/>
    <w:rsid w:val="00C770C9"/>
    <w:rsid w:val="00C81070"/>
    <w:rsid w:val="00C8174E"/>
    <w:rsid w:val="00C82191"/>
    <w:rsid w:val="00C83134"/>
    <w:rsid w:val="00C831E7"/>
    <w:rsid w:val="00C832F3"/>
    <w:rsid w:val="00C83344"/>
    <w:rsid w:val="00C845A4"/>
    <w:rsid w:val="00C85545"/>
    <w:rsid w:val="00C855B5"/>
    <w:rsid w:val="00C85F0E"/>
    <w:rsid w:val="00C8710F"/>
    <w:rsid w:val="00C90CF4"/>
    <w:rsid w:val="00C91C20"/>
    <w:rsid w:val="00C922DE"/>
    <w:rsid w:val="00C92843"/>
    <w:rsid w:val="00C92C96"/>
    <w:rsid w:val="00C92EB6"/>
    <w:rsid w:val="00C93389"/>
    <w:rsid w:val="00C948E6"/>
    <w:rsid w:val="00C94CDD"/>
    <w:rsid w:val="00C96E8B"/>
    <w:rsid w:val="00CA0346"/>
    <w:rsid w:val="00CA07BD"/>
    <w:rsid w:val="00CA1BD6"/>
    <w:rsid w:val="00CA37FF"/>
    <w:rsid w:val="00CA397D"/>
    <w:rsid w:val="00CA423A"/>
    <w:rsid w:val="00CA47BC"/>
    <w:rsid w:val="00CA5EAD"/>
    <w:rsid w:val="00CA6AB4"/>
    <w:rsid w:val="00CA7255"/>
    <w:rsid w:val="00CB1C3F"/>
    <w:rsid w:val="00CB2351"/>
    <w:rsid w:val="00CB4001"/>
    <w:rsid w:val="00CB4930"/>
    <w:rsid w:val="00CB4BA9"/>
    <w:rsid w:val="00CB4C63"/>
    <w:rsid w:val="00CB5A48"/>
    <w:rsid w:val="00CB5E10"/>
    <w:rsid w:val="00CB5E4A"/>
    <w:rsid w:val="00CB613B"/>
    <w:rsid w:val="00CB6152"/>
    <w:rsid w:val="00CB64E1"/>
    <w:rsid w:val="00CB6E4D"/>
    <w:rsid w:val="00CC0834"/>
    <w:rsid w:val="00CC12CB"/>
    <w:rsid w:val="00CC20FE"/>
    <w:rsid w:val="00CC2E7D"/>
    <w:rsid w:val="00CC3065"/>
    <w:rsid w:val="00CC394A"/>
    <w:rsid w:val="00CC507B"/>
    <w:rsid w:val="00CC612B"/>
    <w:rsid w:val="00CC655F"/>
    <w:rsid w:val="00CC66F9"/>
    <w:rsid w:val="00CC6FE5"/>
    <w:rsid w:val="00CC7458"/>
    <w:rsid w:val="00CC76BD"/>
    <w:rsid w:val="00CC7853"/>
    <w:rsid w:val="00CC7A87"/>
    <w:rsid w:val="00CD10A5"/>
    <w:rsid w:val="00CD1129"/>
    <w:rsid w:val="00CD1A80"/>
    <w:rsid w:val="00CD1CB5"/>
    <w:rsid w:val="00CD2076"/>
    <w:rsid w:val="00CD24CE"/>
    <w:rsid w:val="00CD29B5"/>
    <w:rsid w:val="00CD2B78"/>
    <w:rsid w:val="00CD2ED2"/>
    <w:rsid w:val="00CD3FAB"/>
    <w:rsid w:val="00CD5456"/>
    <w:rsid w:val="00CD5C3E"/>
    <w:rsid w:val="00CD6093"/>
    <w:rsid w:val="00CD6331"/>
    <w:rsid w:val="00CD644C"/>
    <w:rsid w:val="00CE14BE"/>
    <w:rsid w:val="00CE17A4"/>
    <w:rsid w:val="00CE1BA9"/>
    <w:rsid w:val="00CE2D8F"/>
    <w:rsid w:val="00CE340C"/>
    <w:rsid w:val="00CE3E48"/>
    <w:rsid w:val="00CE47B8"/>
    <w:rsid w:val="00CE62FA"/>
    <w:rsid w:val="00CE670B"/>
    <w:rsid w:val="00CE6833"/>
    <w:rsid w:val="00CE719A"/>
    <w:rsid w:val="00CF020B"/>
    <w:rsid w:val="00CF057A"/>
    <w:rsid w:val="00CF0BDA"/>
    <w:rsid w:val="00CF2E4D"/>
    <w:rsid w:val="00CF3578"/>
    <w:rsid w:val="00CF4205"/>
    <w:rsid w:val="00CF4908"/>
    <w:rsid w:val="00CF51EC"/>
    <w:rsid w:val="00CF545D"/>
    <w:rsid w:val="00CF5873"/>
    <w:rsid w:val="00CF73AE"/>
    <w:rsid w:val="00CF7777"/>
    <w:rsid w:val="00D0085A"/>
    <w:rsid w:val="00D014F1"/>
    <w:rsid w:val="00D01505"/>
    <w:rsid w:val="00D0197F"/>
    <w:rsid w:val="00D0242D"/>
    <w:rsid w:val="00D02716"/>
    <w:rsid w:val="00D03A72"/>
    <w:rsid w:val="00D040DD"/>
    <w:rsid w:val="00D04134"/>
    <w:rsid w:val="00D047E1"/>
    <w:rsid w:val="00D04E36"/>
    <w:rsid w:val="00D0521D"/>
    <w:rsid w:val="00D057F0"/>
    <w:rsid w:val="00D05C65"/>
    <w:rsid w:val="00D06B56"/>
    <w:rsid w:val="00D06D68"/>
    <w:rsid w:val="00D075BE"/>
    <w:rsid w:val="00D10C15"/>
    <w:rsid w:val="00D11072"/>
    <w:rsid w:val="00D11476"/>
    <w:rsid w:val="00D115FE"/>
    <w:rsid w:val="00D12C25"/>
    <w:rsid w:val="00D133B4"/>
    <w:rsid w:val="00D13986"/>
    <w:rsid w:val="00D14C5B"/>
    <w:rsid w:val="00D1589C"/>
    <w:rsid w:val="00D15FED"/>
    <w:rsid w:val="00D16712"/>
    <w:rsid w:val="00D214EF"/>
    <w:rsid w:val="00D215B0"/>
    <w:rsid w:val="00D21A75"/>
    <w:rsid w:val="00D21D6D"/>
    <w:rsid w:val="00D21D83"/>
    <w:rsid w:val="00D21E2B"/>
    <w:rsid w:val="00D235B7"/>
    <w:rsid w:val="00D23FAE"/>
    <w:rsid w:val="00D25F28"/>
    <w:rsid w:val="00D26071"/>
    <w:rsid w:val="00D26223"/>
    <w:rsid w:val="00D269B9"/>
    <w:rsid w:val="00D27973"/>
    <w:rsid w:val="00D30400"/>
    <w:rsid w:val="00D31537"/>
    <w:rsid w:val="00D31E1E"/>
    <w:rsid w:val="00D32169"/>
    <w:rsid w:val="00D322A0"/>
    <w:rsid w:val="00D32824"/>
    <w:rsid w:val="00D334E2"/>
    <w:rsid w:val="00D350B1"/>
    <w:rsid w:val="00D35AD6"/>
    <w:rsid w:val="00D35BBB"/>
    <w:rsid w:val="00D35E1A"/>
    <w:rsid w:val="00D36B0A"/>
    <w:rsid w:val="00D36DFB"/>
    <w:rsid w:val="00D36E1C"/>
    <w:rsid w:val="00D373AF"/>
    <w:rsid w:val="00D40556"/>
    <w:rsid w:val="00D41F74"/>
    <w:rsid w:val="00D43034"/>
    <w:rsid w:val="00D432E9"/>
    <w:rsid w:val="00D4341B"/>
    <w:rsid w:val="00D43ED2"/>
    <w:rsid w:val="00D44D5F"/>
    <w:rsid w:val="00D45E7F"/>
    <w:rsid w:val="00D50F46"/>
    <w:rsid w:val="00D51B6F"/>
    <w:rsid w:val="00D52742"/>
    <w:rsid w:val="00D5384E"/>
    <w:rsid w:val="00D544E7"/>
    <w:rsid w:val="00D5499F"/>
    <w:rsid w:val="00D5560A"/>
    <w:rsid w:val="00D56658"/>
    <w:rsid w:val="00D56FBF"/>
    <w:rsid w:val="00D57677"/>
    <w:rsid w:val="00D60415"/>
    <w:rsid w:val="00D60E3C"/>
    <w:rsid w:val="00D61FAB"/>
    <w:rsid w:val="00D63BE5"/>
    <w:rsid w:val="00D6475F"/>
    <w:rsid w:val="00D658DF"/>
    <w:rsid w:val="00D661DF"/>
    <w:rsid w:val="00D66223"/>
    <w:rsid w:val="00D66624"/>
    <w:rsid w:val="00D667B8"/>
    <w:rsid w:val="00D70289"/>
    <w:rsid w:val="00D70822"/>
    <w:rsid w:val="00D72076"/>
    <w:rsid w:val="00D726A9"/>
    <w:rsid w:val="00D72E6E"/>
    <w:rsid w:val="00D73C26"/>
    <w:rsid w:val="00D743E0"/>
    <w:rsid w:val="00D75AC1"/>
    <w:rsid w:val="00D760F7"/>
    <w:rsid w:val="00D77252"/>
    <w:rsid w:val="00D8084C"/>
    <w:rsid w:val="00D81809"/>
    <w:rsid w:val="00D81B5C"/>
    <w:rsid w:val="00D826F6"/>
    <w:rsid w:val="00D82EF1"/>
    <w:rsid w:val="00D84F43"/>
    <w:rsid w:val="00D85114"/>
    <w:rsid w:val="00D85328"/>
    <w:rsid w:val="00D85821"/>
    <w:rsid w:val="00D8598C"/>
    <w:rsid w:val="00D87C06"/>
    <w:rsid w:val="00D90127"/>
    <w:rsid w:val="00D915EA"/>
    <w:rsid w:val="00D91649"/>
    <w:rsid w:val="00D919ED"/>
    <w:rsid w:val="00D922A1"/>
    <w:rsid w:val="00D928BE"/>
    <w:rsid w:val="00D93FB0"/>
    <w:rsid w:val="00D95302"/>
    <w:rsid w:val="00D95A6E"/>
    <w:rsid w:val="00D95C5D"/>
    <w:rsid w:val="00D97D00"/>
    <w:rsid w:val="00DA096C"/>
    <w:rsid w:val="00DA1AB6"/>
    <w:rsid w:val="00DA287B"/>
    <w:rsid w:val="00DA544C"/>
    <w:rsid w:val="00DA5F8E"/>
    <w:rsid w:val="00DA6364"/>
    <w:rsid w:val="00DA7114"/>
    <w:rsid w:val="00DA7A5E"/>
    <w:rsid w:val="00DA7C0C"/>
    <w:rsid w:val="00DB03DD"/>
    <w:rsid w:val="00DB08A9"/>
    <w:rsid w:val="00DB2DFA"/>
    <w:rsid w:val="00DB2EC8"/>
    <w:rsid w:val="00DB2F57"/>
    <w:rsid w:val="00DB321D"/>
    <w:rsid w:val="00DB459B"/>
    <w:rsid w:val="00DB47FD"/>
    <w:rsid w:val="00DB5E3A"/>
    <w:rsid w:val="00DB5E9A"/>
    <w:rsid w:val="00DB613B"/>
    <w:rsid w:val="00DB657E"/>
    <w:rsid w:val="00DB7342"/>
    <w:rsid w:val="00DB7489"/>
    <w:rsid w:val="00DC17D0"/>
    <w:rsid w:val="00DC2710"/>
    <w:rsid w:val="00DC2B41"/>
    <w:rsid w:val="00DC3128"/>
    <w:rsid w:val="00DC435B"/>
    <w:rsid w:val="00DC53D8"/>
    <w:rsid w:val="00DC56FE"/>
    <w:rsid w:val="00DC5B3B"/>
    <w:rsid w:val="00DC6C2D"/>
    <w:rsid w:val="00DC6D2D"/>
    <w:rsid w:val="00DC7B1A"/>
    <w:rsid w:val="00DC7B4F"/>
    <w:rsid w:val="00DD04B0"/>
    <w:rsid w:val="00DD0C3D"/>
    <w:rsid w:val="00DD129F"/>
    <w:rsid w:val="00DD13FC"/>
    <w:rsid w:val="00DD1A3F"/>
    <w:rsid w:val="00DD29B5"/>
    <w:rsid w:val="00DD2D86"/>
    <w:rsid w:val="00DD32DD"/>
    <w:rsid w:val="00DD5287"/>
    <w:rsid w:val="00DD5B36"/>
    <w:rsid w:val="00DD7585"/>
    <w:rsid w:val="00DE0D8B"/>
    <w:rsid w:val="00DE1237"/>
    <w:rsid w:val="00DE140F"/>
    <w:rsid w:val="00DE1B67"/>
    <w:rsid w:val="00DE2491"/>
    <w:rsid w:val="00DE2DD7"/>
    <w:rsid w:val="00DE5CA6"/>
    <w:rsid w:val="00DE6DAA"/>
    <w:rsid w:val="00DE7AC8"/>
    <w:rsid w:val="00DF25E9"/>
    <w:rsid w:val="00DF2C5D"/>
    <w:rsid w:val="00DF3643"/>
    <w:rsid w:val="00DF382A"/>
    <w:rsid w:val="00DF42FF"/>
    <w:rsid w:val="00DF4369"/>
    <w:rsid w:val="00DF4423"/>
    <w:rsid w:val="00DF4ADF"/>
    <w:rsid w:val="00DF4E3C"/>
    <w:rsid w:val="00DF5D1E"/>
    <w:rsid w:val="00DF61AE"/>
    <w:rsid w:val="00DF6AA5"/>
    <w:rsid w:val="00DF76AA"/>
    <w:rsid w:val="00DF77E4"/>
    <w:rsid w:val="00DF7F88"/>
    <w:rsid w:val="00E01C0E"/>
    <w:rsid w:val="00E03503"/>
    <w:rsid w:val="00E035FD"/>
    <w:rsid w:val="00E0368F"/>
    <w:rsid w:val="00E03D73"/>
    <w:rsid w:val="00E03F9A"/>
    <w:rsid w:val="00E04694"/>
    <w:rsid w:val="00E0706A"/>
    <w:rsid w:val="00E0757D"/>
    <w:rsid w:val="00E07A54"/>
    <w:rsid w:val="00E12191"/>
    <w:rsid w:val="00E129E7"/>
    <w:rsid w:val="00E12ABE"/>
    <w:rsid w:val="00E12B1E"/>
    <w:rsid w:val="00E1444C"/>
    <w:rsid w:val="00E17262"/>
    <w:rsid w:val="00E20016"/>
    <w:rsid w:val="00E2009B"/>
    <w:rsid w:val="00E20BB9"/>
    <w:rsid w:val="00E20BCC"/>
    <w:rsid w:val="00E2251C"/>
    <w:rsid w:val="00E2363D"/>
    <w:rsid w:val="00E23C6A"/>
    <w:rsid w:val="00E253A2"/>
    <w:rsid w:val="00E260F6"/>
    <w:rsid w:val="00E27127"/>
    <w:rsid w:val="00E27233"/>
    <w:rsid w:val="00E30F15"/>
    <w:rsid w:val="00E31771"/>
    <w:rsid w:val="00E3186D"/>
    <w:rsid w:val="00E31A3E"/>
    <w:rsid w:val="00E31AAF"/>
    <w:rsid w:val="00E32080"/>
    <w:rsid w:val="00E3309D"/>
    <w:rsid w:val="00E34837"/>
    <w:rsid w:val="00E35374"/>
    <w:rsid w:val="00E35A53"/>
    <w:rsid w:val="00E35FB0"/>
    <w:rsid w:val="00E3724A"/>
    <w:rsid w:val="00E378B1"/>
    <w:rsid w:val="00E417BE"/>
    <w:rsid w:val="00E41A55"/>
    <w:rsid w:val="00E41CD5"/>
    <w:rsid w:val="00E42163"/>
    <w:rsid w:val="00E43120"/>
    <w:rsid w:val="00E4372D"/>
    <w:rsid w:val="00E43A9E"/>
    <w:rsid w:val="00E44243"/>
    <w:rsid w:val="00E450FC"/>
    <w:rsid w:val="00E453F9"/>
    <w:rsid w:val="00E459A2"/>
    <w:rsid w:val="00E45D5A"/>
    <w:rsid w:val="00E45D7D"/>
    <w:rsid w:val="00E4623F"/>
    <w:rsid w:val="00E4665D"/>
    <w:rsid w:val="00E47854"/>
    <w:rsid w:val="00E478A7"/>
    <w:rsid w:val="00E47EBA"/>
    <w:rsid w:val="00E50156"/>
    <w:rsid w:val="00E504EB"/>
    <w:rsid w:val="00E5076C"/>
    <w:rsid w:val="00E50D2E"/>
    <w:rsid w:val="00E50D7D"/>
    <w:rsid w:val="00E51083"/>
    <w:rsid w:val="00E514BE"/>
    <w:rsid w:val="00E53470"/>
    <w:rsid w:val="00E539F6"/>
    <w:rsid w:val="00E53A28"/>
    <w:rsid w:val="00E54698"/>
    <w:rsid w:val="00E54FB4"/>
    <w:rsid w:val="00E5539A"/>
    <w:rsid w:val="00E55791"/>
    <w:rsid w:val="00E5591F"/>
    <w:rsid w:val="00E55E1A"/>
    <w:rsid w:val="00E578A2"/>
    <w:rsid w:val="00E60043"/>
    <w:rsid w:val="00E60F06"/>
    <w:rsid w:val="00E611AC"/>
    <w:rsid w:val="00E61740"/>
    <w:rsid w:val="00E61D03"/>
    <w:rsid w:val="00E61EB5"/>
    <w:rsid w:val="00E6324D"/>
    <w:rsid w:val="00E65084"/>
    <w:rsid w:val="00E6519D"/>
    <w:rsid w:val="00E66062"/>
    <w:rsid w:val="00E6660E"/>
    <w:rsid w:val="00E666A2"/>
    <w:rsid w:val="00E67305"/>
    <w:rsid w:val="00E67696"/>
    <w:rsid w:val="00E70C5F"/>
    <w:rsid w:val="00E71422"/>
    <w:rsid w:val="00E71A58"/>
    <w:rsid w:val="00E72A26"/>
    <w:rsid w:val="00E72A7A"/>
    <w:rsid w:val="00E7335A"/>
    <w:rsid w:val="00E747DC"/>
    <w:rsid w:val="00E74A2D"/>
    <w:rsid w:val="00E75C94"/>
    <w:rsid w:val="00E76B9B"/>
    <w:rsid w:val="00E76E61"/>
    <w:rsid w:val="00E770B1"/>
    <w:rsid w:val="00E77CC0"/>
    <w:rsid w:val="00E77DE5"/>
    <w:rsid w:val="00E80B3D"/>
    <w:rsid w:val="00E80CA3"/>
    <w:rsid w:val="00E819B1"/>
    <w:rsid w:val="00E82618"/>
    <w:rsid w:val="00E842DD"/>
    <w:rsid w:val="00E84E09"/>
    <w:rsid w:val="00E86FF9"/>
    <w:rsid w:val="00E90CA8"/>
    <w:rsid w:val="00E914CF"/>
    <w:rsid w:val="00E93063"/>
    <w:rsid w:val="00E930A1"/>
    <w:rsid w:val="00E93820"/>
    <w:rsid w:val="00E94A86"/>
    <w:rsid w:val="00E953F6"/>
    <w:rsid w:val="00E96143"/>
    <w:rsid w:val="00E96833"/>
    <w:rsid w:val="00E97506"/>
    <w:rsid w:val="00EA0C68"/>
    <w:rsid w:val="00EA193A"/>
    <w:rsid w:val="00EA1D0E"/>
    <w:rsid w:val="00EA2841"/>
    <w:rsid w:val="00EA32BC"/>
    <w:rsid w:val="00EA35A7"/>
    <w:rsid w:val="00EA3B32"/>
    <w:rsid w:val="00EA3D05"/>
    <w:rsid w:val="00EA4402"/>
    <w:rsid w:val="00EA4B8D"/>
    <w:rsid w:val="00EA513E"/>
    <w:rsid w:val="00EA7419"/>
    <w:rsid w:val="00EA79FE"/>
    <w:rsid w:val="00EB0C75"/>
    <w:rsid w:val="00EB0E32"/>
    <w:rsid w:val="00EB3042"/>
    <w:rsid w:val="00EB39E6"/>
    <w:rsid w:val="00EB3E60"/>
    <w:rsid w:val="00EB4511"/>
    <w:rsid w:val="00EB48D7"/>
    <w:rsid w:val="00EB4A8E"/>
    <w:rsid w:val="00EB4BC5"/>
    <w:rsid w:val="00EB5BF7"/>
    <w:rsid w:val="00EB5D8C"/>
    <w:rsid w:val="00EB5E79"/>
    <w:rsid w:val="00EB6FAC"/>
    <w:rsid w:val="00EB7BAC"/>
    <w:rsid w:val="00EC03D7"/>
    <w:rsid w:val="00EC1061"/>
    <w:rsid w:val="00EC13A7"/>
    <w:rsid w:val="00EC1543"/>
    <w:rsid w:val="00EC1889"/>
    <w:rsid w:val="00EC2EB6"/>
    <w:rsid w:val="00EC39FC"/>
    <w:rsid w:val="00EC3F67"/>
    <w:rsid w:val="00EC7F4C"/>
    <w:rsid w:val="00ED0EF0"/>
    <w:rsid w:val="00ED12B9"/>
    <w:rsid w:val="00ED16B8"/>
    <w:rsid w:val="00ED1DF0"/>
    <w:rsid w:val="00ED2386"/>
    <w:rsid w:val="00ED2EA1"/>
    <w:rsid w:val="00ED3055"/>
    <w:rsid w:val="00ED38AF"/>
    <w:rsid w:val="00ED3F10"/>
    <w:rsid w:val="00ED44F9"/>
    <w:rsid w:val="00ED4D04"/>
    <w:rsid w:val="00ED4FB0"/>
    <w:rsid w:val="00ED52BB"/>
    <w:rsid w:val="00ED566D"/>
    <w:rsid w:val="00ED5907"/>
    <w:rsid w:val="00ED5AE4"/>
    <w:rsid w:val="00ED5F5B"/>
    <w:rsid w:val="00ED62C6"/>
    <w:rsid w:val="00ED64C1"/>
    <w:rsid w:val="00ED7809"/>
    <w:rsid w:val="00EE1F26"/>
    <w:rsid w:val="00EE2EB4"/>
    <w:rsid w:val="00EE3446"/>
    <w:rsid w:val="00EE3E78"/>
    <w:rsid w:val="00EE41FD"/>
    <w:rsid w:val="00EE460E"/>
    <w:rsid w:val="00EE4B1B"/>
    <w:rsid w:val="00EE5FBA"/>
    <w:rsid w:val="00EE6314"/>
    <w:rsid w:val="00EE6E06"/>
    <w:rsid w:val="00EE7179"/>
    <w:rsid w:val="00EF0D84"/>
    <w:rsid w:val="00EF150D"/>
    <w:rsid w:val="00EF1F5A"/>
    <w:rsid w:val="00EF47BF"/>
    <w:rsid w:val="00EF5598"/>
    <w:rsid w:val="00EF59B1"/>
    <w:rsid w:val="00EF5A13"/>
    <w:rsid w:val="00EF5FF9"/>
    <w:rsid w:val="00EF738C"/>
    <w:rsid w:val="00EF77D4"/>
    <w:rsid w:val="00EF781C"/>
    <w:rsid w:val="00EF7CC7"/>
    <w:rsid w:val="00EF7EFA"/>
    <w:rsid w:val="00F00853"/>
    <w:rsid w:val="00F00866"/>
    <w:rsid w:val="00F0160B"/>
    <w:rsid w:val="00F0193E"/>
    <w:rsid w:val="00F03F8D"/>
    <w:rsid w:val="00F04811"/>
    <w:rsid w:val="00F0488C"/>
    <w:rsid w:val="00F071D8"/>
    <w:rsid w:val="00F073ED"/>
    <w:rsid w:val="00F07C4C"/>
    <w:rsid w:val="00F10F11"/>
    <w:rsid w:val="00F11159"/>
    <w:rsid w:val="00F115E4"/>
    <w:rsid w:val="00F12CFB"/>
    <w:rsid w:val="00F139FF"/>
    <w:rsid w:val="00F13E60"/>
    <w:rsid w:val="00F13FDB"/>
    <w:rsid w:val="00F15AAA"/>
    <w:rsid w:val="00F15BEF"/>
    <w:rsid w:val="00F15F8F"/>
    <w:rsid w:val="00F17898"/>
    <w:rsid w:val="00F207C2"/>
    <w:rsid w:val="00F210F3"/>
    <w:rsid w:val="00F21337"/>
    <w:rsid w:val="00F21878"/>
    <w:rsid w:val="00F219A1"/>
    <w:rsid w:val="00F22894"/>
    <w:rsid w:val="00F23E20"/>
    <w:rsid w:val="00F2429A"/>
    <w:rsid w:val="00F24407"/>
    <w:rsid w:val="00F24F65"/>
    <w:rsid w:val="00F24FAA"/>
    <w:rsid w:val="00F25040"/>
    <w:rsid w:val="00F2510D"/>
    <w:rsid w:val="00F259AC"/>
    <w:rsid w:val="00F269A8"/>
    <w:rsid w:val="00F26D1F"/>
    <w:rsid w:val="00F27071"/>
    <w:rsid w:val="00F27331"/>
    <w:rsid w:val="00F27EE5"/>
    <w:rsid w:val="00F27FD6"/>
    <w:rsid w:val="00F307CB"/>
    <w:rsid w:val="00F30C65"/>
    <w:rsid w:val="00F321D2"/>
    <w:rsid w:val="00F32649"/>
    <w:rsid w:val="00F32DCC"/>
    <w:rsid w:val="00F33523"/>
    <w:rsid w:val="00F3364D"/>
    <w:rsid w:val="00F3371E"/>
    <w:rsid w:val="00F33914"/>
    <w:rsid w:val="00F349BF"/>
    <w:rsid w:val="00F34DDC"/>
    <w:rsid w:val="00F36191"/>
    <w:rsid w:val="00F377FF"/>
    <w:rsid w:val="00F37EDC"/>
    <w:rsid w:val="00F40876"/>
    <w:rsid w:val="00F437CC"/>
    <w:rsid w:val="00F44537"/>
    <w:rsid w:val="00F46185"/>
    <w:rsid w:val="00F46423"/>
    <w:rsid w:val="00F4696A"/>
    <w:rsid w:val="00F47067"/>
    <w:rsid w:val="00F525AB"/>
    <w:rsid w:val="00F525EB"/>
    <w:rsid w:val="00F5265E"/>
    <w:rsid w:val="00F52CB5"/>
    <w:rsid w:val="00F53A68"/>
    <w:rsid w:val="00F54045"/>
    <w:rsid w:val="00F54934"/>
    <w:rsid w:val="00F55A0E"/>
    <w:rsid w:val="00F55A92"/>
    <w:rsid w:val="00F62324"/>
    <w:rsid w:val="00F62988"/>
    <w:rsid w:val="00F62BFF"/>
    <w:rsid w:val="00F63190"/>
    <w:rsid w:val="00F63AAE"/>
    <w:rsid w:val="00F63DDE"/>
    <w:rsid w:val="00F63FB7"/>
    <w:rsid w:val="00F6421B"/>
    <w:rsid w:val="00F645A5"/>
    <w:rsid w:val="00F647F1"/>
    <w:rsid w:val="00F649D2"/>
    <w:rsid w:val="00F64AD9"/>
    <w:rsid w:val="00F6602B"/>
    <w:rsid w:val="00F6674E"/>
    <w:rsid w:val="00F67CEF"/>
    <w:rsid w:val="00F7150B"/>
    <w:rsid w:val="00F717E4"/>
    <w:rsid w:val="00F717EE"/>
    <w:rsid w:val="00F71971"/>
    <w:rsid w:val="00F71DE6"/>
    <w:rsid w:val="00F72D71"/>
    <w:rsid w:val="00F73086"/>
    <w:rsid w:val="00F7381C"/>
    <w:rsid w:val="00F73A0C"/>
    <w:rsid w:val="00F740FB"/>
    <w:rsid w:val="00F7497E"/>
    <w:rsid w:val="00F7549F"/>
    <w:rsid w:val="00F756DB"/>
    <w:rsid w:val="00F75E2B"/>
    <w:rsid w:val="00F767A8"/>
    <w:rsid w:val="00F8001E"/>
    <w:rsid w:val="00F8199D"/>
    <w:rsid w:val="00F8246E"/>
    <w:rsid w:val="00F82CA2"/>
    <w:rsid w:val="00F84E7D"/>
    <w:rsid w:val="00F85066"/>
    <w:rsid w:val="00F87A4D"/>
    <w:rsid w:val="00F87B34"/>
    <w:rsid w:val="00F93688"/>
    <w:rsid w:val="00F939F3"/>
    <w:rsid w:val="00F93C6E"/>
    <w:rsid w:val="00F93F2C"/>
    <w:rsid w:val="00F95594"/>
    <w:rsid w:val="00F9644E"/>
    <w:rsid w:val="00F96665"/>
    <w:rsid w:val="00F97482"/>
    <w:rsid w:val="00FA0105"/>
    <w:rsid w:val="00FA05A0"/>
    <w:rsid w:val="00FA0AEF"/>
    <w:rsid w:val="00FA17CC"/>
    <w:rsid w:val="00FA1F01"/>
    <w:rsid w:val="00FA26DF"/>
    <w:rsid w:val="00FA32BC"/>
    <w:rsid w:val="00FA48A4"/>
    <w:rsid w:val="00FA4CB7"/>
    <w:rsid w:val="00FA5112"/>
    <w:rsid w:val="00FA5526"/>
    <w:rsid w:val="00FA5A6A"/>
    <w:rsid w:val="00FA5D4D"/>
    <w:rsid w:val="00FA6CB6"/>
    <w:rsid w:val="00FA70D3"/>
    <w:rsid w:val="00FA7AEC"/>
    <w:rsid w:val="00FA7FE7"/>
    <w:rsid w:val="00FB0AEA"/>
    <w:rsid w:val="00FB0EE2"/>
    <w:rsid w:val="00FB1A79"/>
    <w:rsid w:val="00FB208B"/>
    <w:rsid w:val="00FB2B2D"/>
    <w:rsid w:val="00FB2E84"/>
    <w:rsid w:val="00FB542E"/>
    <w:rsid w:val="00FB564F"/>
    <w:rsid w:val="00FB7214"/>
    <w:rsid w:val="00FB727E"/>
    <w:rsid w:val="00FB76C3"/>
    <w:rsid w:val="00FB7DBB"/>
    <w:rsid w:val="00FC05F8"/>
    <w:rsid w:val="00FC0E5F"/>
    <w:rsid w:val="00FC1266"/>
    <w:rsid w:val="00FC1A95"/>
    <w:rsid w:val="00FC1CE9"/>
    <w:rsid w:val="00FC1ED4"/>
    <w:rsid w:val="00FC2A6C"/>
    <w:rsid w:val="00FC3BEC"/>
    <w:rsid w:val="00FC42DE"/>
    <w:rsid w:val="00FC440B"/>
    <w:rsid w:val="00FC56DE"/>
    <w:rsid w:val="00FC63D9"/>
    <w:rsid w:val="00FC64DE"/>
    <w:rsid w:val="00FC684B"/>
    <w:rsid w:val="00FC7D98"/>
    <w:rsid w:val="00FD0631"/>
    <w:rsid w:val="00FD1135"/>
    <w:rsid w:val="00FD22EF"/>
    <w:rsid w:val="00FD3265"/>
    <w:rsid w:val="00FD3CF7"/>
    <w:rsid w:val="00FD48C8"/>
    <w:rsid w:val="00FD4916"/>
    <w:rsid w:val="00FD4D12"/>
    <w:rsid w:val="00FD4F73"/>
    <w:rsid w:val="00FD595E"/>
    <w:rsid w:val="00FE27C7"/>
    <w:rsid w:val="00FE2C7E"/>
    <w:rsid w:val="00FE2F78"/>
    <w:rsid w:val="00FE3137"/>
    <w:rsid w:val="00FE346B"/>
    <w:rsid w:val="00FE346F"/>
    <w:rsid w:val="00FE3640"/>
    <w:rsid w:val="00FE48E4"/>
    <w:rsid w:val="00FE634C"/>
    <w:rsid w:val="00FE6E69"/>
    <w:rsid w:val="00FE6F59"/>
    <w:rsid w:val="00FF1136"/>
    <w:rsid w:val="00FF3D76"/>
    <w:rsid w:val="00FF423E"/>
    <w:rsid w:val="00FF5B8C"/>
    <w:rsid w:val="00FF63E6"/>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03001DDE"/>
  <w15:docId w15:val="{50AB2D04-831F-48E7-B835-9392FCFF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character" w:customStyle="1" w:styleId="tlid-translation">
    <w:name w:val="tlid-translation"/>
    <w:basedOn w:val="Standardnpsmoodstavce"/>
    <w:rsid w:val="0034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JKAM%20CSU\PUBLIKACE\PUBLIKACE\2019\QMakro\ENGL-verze\Grafy-trh%20pr&#225;ce-rok-2019-ENG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KAM%20CSU\PUBLIKACE\PUBLIKACE\2019\QMakro\ENGL-verze\Grafy-trh%20pr&#225;ce-rok-2019-ENG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JKAM%20CSU\PUBLIKACE\PUBLIKACE\2019\QMakro\ENGL-verze\Grafy-trh%20pr&#225;ce-rok-2019-ENG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88731014312048E-2"/>
          <c:y val="1.6549886621315374E-2"/>
          <c:w val="0.83420125451377358"/>
          <c:h val="0.67038136862890152"/>
        </c:manualLayout>
      </c:layout>
      <c:barChart>
        <c:barDir val="col"/>
        <c:grouping val="stacked"/>
        <c:varyColors val="0"/>
        <c:ser>
          <c:idx val="0"/>
          <c:order val="0"/>
          <c:tx>
            <c:strRef>
              <c:f>'Trh práce 1'!$AC$7</c:f>
              <c:strCache>
                <c:ptCount val="1"/>
                <c:pt idx="0">
                  <c:v>Agriculture, forestry and fishing</c:v>
                </c:pt>
              </c:strCache>
            </c:strRef>
          </c:tx>
          <c:spPr>
            <a:solidFill>
              <a:srgbClr val="7DBB2D"/>
            </a:solidFill>
            <a:ln>
              <a:noFill/>
            </a:ln>
          </c:spPr>
          <c:invertIfNegative val="0"/>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1'!$AC$8:$AC$47</c:f>
              <c:numCache>
                <c:formatCode>#\ ##0.0</c:formatCode>
                <c:ptCount val="40"/>
                <c:pt idx="0">
                  <c:v>-0.23222275006944557</c:v>
                </c:pt>
                <c:pt idx="1">
                  <c:v>-0.17702219112179116</c:v>
                </c:pt>
                <c:pt idx="2">
                  <c:v>-0.14250343705609567</c:v>
                </c:pt>
                <c:pt idx="3">
                  <c:v>-0.13702544848549178</c:v>
                </c:pt>
                <c:pt idx="4">
                  <c:v>0.1037453953799244</c:v>
                </c:pt>
                <c:pt idx="5">
                  <c:v>9.5690938460221892E-2</c:v>
                </c:pt>
                <c:pt idx="6">
                  <c:v>5.9112721211504203E-2</c:v>
                </c:pt>
                <c:pt idx="7">
                  <c:v>4.0223421388449546E-2</c:v>
                </c:pt>
                <c:pt idx="8">
                  <c:v>2.8804620165849455E-2</c:v>
                </c:pt>
                <c:pt idx="9">
                  <c:v>3.177048919427123E-2</c:v>
                </c:pt>
                <c:pt idx="10">
                  <c:v>6.237877948427753E-2</c:v>
                </c:pt>
                <c:pt idx="11">
                  <c:v>7.8876524967668338E-2</c:v>
                </c:pt>
                <c:pt idx="12">
                  <c:v>3.4897043795591033E-2</c:v>
                </c:pt>
                <c:pt idx="13">
                  <c:v>7.6139985329269341E-2</c:v>
                </c:pt>
                <c:pt idx="14">
                  <c:v>1.9508115947107659E-2</c:v>
                </c:pt>
                <c:pt idx="15">
                  <c:v>9.8416227024961307E-4</c:v>
                </c:pt>
                <c:pt idx="16">
                  <c:v>-9.957760523367349E-3</c:v>
                </c:pt>
                <c:pt idx="17">
                  <c:v>-7.2593422082177228E-2</c:v>
                </c:pt>
                <c:pt idx="18">
                  <c:v>-3.1543675502894435E-2</c:v>
                </c:pt>
                <c:pt idx="19">
                  <c:v>-7.4973080531714953E-3</c:v>
                </c:pt>
                <c:pt idx="20">
                  <c:v>-2.5406394237287376E-2</c:v>
                </c:pt>
                <c:pt idx="21">
                  <c:v>-3.2519642707587761E-2</c:v>
                </c:pt>
                <c:pt idx="22">
                  <c:v>-4.2746377552347073E-2</c:v>
                </c:pt>
                <c:pt idx="23">
                  <c:v>-7.6345605918714074E-2</c:v>
                </c:pt>
                <c:pt idx="24">
                  <c:v>-0.12683499341762042</c:v>
                </c:pt>
                <c:pt idx="25">
                  <c:v>-5.8796404821536856E-2</c:v>
                </c:pt>
                <c:pt idx="26">
                  <c:v>-5.7660818239794312E-2</c:v>
                </c:pt>
                <c:pt idx="27">
                  <c:v>5.9750731023664044E-2</c:v>
                </c:pt>
                <c:pt idx="28">
                  <c:v>0.10980047025694589</c:v>
                </c:pt>
                <c:pt idx="29">
                  <c:v>3.9673148008215947E-2</c:v>
                </c:pt>
                <c:pt idx="30">
                  <c:v>4.4749740495190864E-2</c:v>
                </c:pt>
                <c:pt idx="31">
                  <c:v>-8.0513245505165226E-2</c:v>
                </c:pt>
                <c:pt idx="32">
                  <c:v>-4.9594408084622732E-2</c:v>
                </c:pt>
                <c:pt idx="33">
                  <c:v>-3.6268874254650578E-2</c:v>
                </c:pt>
                <c:pt idx="34">
                  <c:v>-3.4145790790807366E-2</c:v>
                </c:pt>
                <c:pt idx="35">
                  <c:v>8.1553326472674614E-3</c:v>
                </c:pt>
                <c:pt idx="36">
                  <c:v>1.998992344675227E-2</c:v>
                </c:pt>
                <c:pt idx="37">
                  <c:v>-3.1167959337801001E-2</c:v>
                </c:pt>
                <c:pt idx="38">
                  <c:v>-6.7747190069060145E-2</c:v>
                </c:pt>
                <c:pt idx="39">
                  <c:v>-9.3795432163190626E-2</c:v>
                </c:pt>
              </c:numCache>
            </c:numRef>
          </c:val>
          <c:extLst>
            <c:ext xmlns:c16="http://schemas.microsoft.com/office/drawing/2014/chart" uri="{C3380CC4-5D6E-409C-BE32-E72D297353CC}">
              <c16:uniqueId val="{00000000-CD8A-46FE-9E09-5A32AD635081}"/>
            </c:ext>
          </c:extLst>
        </c:ser>
        <c:ser>
          <c:idx val="1"/>
          <c:order val="1"/>
          <c:tx>
            <c:strRef>
              <c:f>'Trh práce 1'!$AD$7</c:f>
              <c:strCache>
                <c:ptCount val="1"/>
                <c:pt idx="0">
                  <c:v>Manufacturing</c:v>
                </c:pt>
              </c:strCache>
            </c:strRef>
          </c:tx>
          <c:spPr>
            <a:solidFill>
              <a:srgbClr val="A6CDE8"/>
            </a:solidFill>
            <a:ln>
              <a:noFill/>
            </a:ln>
          </c:spPr>
          <c:invertIfNegative val="0"/>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1'!$AD$8:$AD$47</c:f>
              <c:numCache>
                <c:formatCode>#\ ##0.0</c:formatCode>
                <c:ptCount val="40"/>
                <c:pt idx="0">
                  <c:v>-1.8445397057469495</c:v>
                </c:pt>
                <c:pt idx="1">
                  <c:v>-0.84745414755720305</c:v>
                </c:pt>
                <c:pt idx="2">
                  <c:v>-0.30166542154199055</c:v>
                </c:pt>
                <c:pt idx="3">
                  <c:v>-0.14324221591641931</c:v>
                </c:pt>
                <c:pt idx="4">
                  <c:v>0.97895076203027409</c:v>
                </c:pt>
                <c:pt idx="5">
                  <c:v>1.0641212428356823</c:v>
                </c:pt>
                <c:pt idx="6">
                  <c:v>0.95618180752734216</c:v>
                </c:pt>
                <c:pt idx="7">
                  <c:v>0.5768511843825882</c:v>
                </c:pt>
                <c:pt idx="8">
                  <c:v>0.15618372903976085</c:v>
                </c:pt>
                <c:pt idx="9">
                  <c:v>0.13240673035543943</c:v>
                </c:pt>
                <c:pt idx="10">
                  <c:v>0.31011051427221831</c:v>
                </c:pt>
                <c:pt idx="11">
                  <c:v>0.41899305405892623</c:v>
                </c:pt>
                <c:pt idx="12">
                  <c:v>-4.4405396456619534E-2</c:v>
                </c:pt>
                <c:pt idx="13">
                  <c:v>4.3158507126686806E-2</c:v>
                </c:pt>
                <c:pt idx="14">
                  <c:v>-0.10553280483596787</c:v>
                </c:pt>
                <c:pt idx="15">
                  <c:v>-5.7317610619337468E-2</c:v>
                </c:pt>
                <c:pt idx="16">
                  <c:v>0.20769043377309043</c:v>
                </c:pt>
                <c:pt idx="17">
                  <c:v>0.19941112781211218</c:v>
                </c:pt>
                <c:pt idx="18">
                  <c:v>0.39457126264967202</c:v>
                </c:pt>
                <c:pt idx="19">
                  <c:v>0.53106915941992727</c:v>
                </c:pt>
                <c:pt idx="20">
                  <c:v>0.90470735488586451</c:v>
                </c:pt>
                <c:pt idx="21">
                  <c:v>0.96187925091846294</c:v>
                </c:pt>
                <c:pt idx="22">
                  <c:v>0.80659111223260493</c:v>
                </c:pt>
                <c:pt idx="23">
                  <c:v>0.97639755522586114</c:v>
                </c:pt>
                <c:pt idx="24">
                  <c:v>0.88338166621127856</c:v>
                </c:pt>
                <c:pt idx="25">
                  <c:v>0.66590302024601555</c:v>
                </c:pt>
                <c:pt idx="26">
                  <c:v>0.72234156147423934</c:v>
                </c:pt>
                <c:pt idx="27">
                  <c:v>0.58981738346396817</c:v>
                </c:pt>
                <c:pt idx="28">
                  <c:v>0.19983341803764565</c:v>
                </c:pt>
                <c:pt idx="29">
                  <c:v>0.32012257424933233</c:v>
                </c:pt>
                <c:pt idx="30">
                  <c:v>0.43319496242521982</c:v>
                </c:pt>
                <c:pt idx="31">
                  <c:v>0.42405404961421206</c:v>
                </c:pt>
                <c:pt idx="32">
                  <c:v>0.458169516510046</c:v>
                </c:pt>
                <c:pt idx="33">
                  <c:v>0.37335936790891328</c:v>
                </c:pt>
                <c:pt idx="34">
                  <c:v>0.19923035052246851</c:v>
                </c:pt>
                <c:pt idx="35">
                  <c:v>0.17982694682034051</c:v>
                </c:pt>
                <c:pt idx="36">
                  <c:v>0.26239092464892816</c:v>
                </c:pt>
                <c:pt idx="37">
                  <c:v>0.1448849044720501</c:v>
                </c:pt>
                <c:pt idx="38">
                  <c:v>-6.9795103494350363E-2</c:v>
                </c:pt>
                <c:pt idx="39">
                  <c:v>-0.47627849151571522</c:v>
                </c:pt>
              </c:numCache>
            </c:numRef>
          </c:val>
          <c:extLst>
            <c:ext xmlns:c16="http://schemas.microsoft.com/office/drawing/2014/chart" uri="{C3380CC4-5D6E-409C-BE32-E72D297353CC}">
              <c16:uniqueId val="{00000001-CD8A-46FE-9E09-5A32AD635081}"/>
            </c:ext>
          </c:extLst>
        </c:ser>
        <c:ser>
          <c:idx val="2"/>
          <c:order val="2"/>
          <c:tx>
            <c:strRef>
              <c:f>'Trh práce 1'!$AE$7</c:f>
              <c:strCache>
                <c:ptCount val="1"/>
                <c:pt idx="0">
                  <c:v>Construction</c:v>
                </c:pt>
              </c:strCache>
            </c:strRef>
          </c:tx>
          <c:spPr>
            <a:solidFill>
              <a:srgbClr val="48AEE7"/>
            </a:solidFill>
            <a:ln w="19050">
              <a:noFill/>
            </a:ln>
          </c:spPr>
          <c:invertIfNegative val="0"/>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1'!$AE$8:$AE$47</c:f>
              <c:numCache>
                <c:formatCode>#\ ##0.0</c:formatCode>
                <c:ptCount val="40"/>
                <c:pt idx="0">
                  <c:v>9.387358550188811E-2</c:v>
                </c:pt>
                <c:pt idx="1">
                  <c:v>0.14259143360406704</c:v>
                </c:pt>
                <c:pt idx="2">
                  <c:v>0.18371660463360129</c:v>
                </c:pt>
                <c:pt idx="3">
                  <c:v>0.1878450552621217</c:v>
                </c:pt>
                <c:pt idx="4">
                  <c:v>-0.46459117644017811</c:v>
                </c:pt>
                <c:pt idx="5">
                  <c:v>-0.4616879929060313</c:v>
                </c:pt>
                <c:pt idx="6">
                  <c:v>-0.50318816056641913</c:v>
                </c:pt>
                <c:pt idx="7">
                  <c:v>-0.48534290072386538</c:v>
                </c:pt>
                <c:pt idx="8">
                  <c:v>-8.5917913180643249E-2</c:v>
                </c:pt>
                <c:pt idx="9">
                  <c:v>-5.8137026020918761E-2</c:v>
                </c:pt>
                <c:pt idx="10">
                  <c:v>-0.1483774780108863</c:v>
                </c:pt>
                <c:pt idx="11">
                  <c:v>-0.16295719235324882</c:v>
                </c:pt>
                <c:pt idx="12">
                  <c:v>-0.2112283521210945</c:v>
                </c:pt>
                <c:pt idx="13">
                  <c:v>-0.32386665444105767</c:v>
                </c:pt>
                <c:pt idx="14">
                  <c:v>-0.19405752472914969</c:v>
                </c:pt>
                <c:pt idx="15">
                  <c:v>-9.30623842748034E-2</c:v>
                </c:pt>
                <c:pt idx="16">
                  <c:v>-0.43150295601258509</c:v>
                </c:pt>
                <c:pt idx="17">
                  <c:v>-0.30664293593782627</c:v>
                </c:pt>
                <c:pt idx="18">
                  <c:v>-0.36558411945062813</c:v>
                </c:pt>
                <c:pt idx="19">
                  <c:v>-0.44482059984761591</c:v>
                </c:pt>
                <c:pt idx="20">
                  <c:v>-9.9424868399593299E-3</c:v>
                </c:pt>
                <c:pt idx="21">
                  <c:v>-3.353955912543732E-3</c:v>
                </c:pt>
                <c:pt idx="22">
                  <c:v>-5.6760622044817514E-2</c:v>
                </c:pt>
                <c:pt idx="23">
                  <c:v>-7.885928207070847E-2</c:v>
                </c:pt>
                <c:pt idx="24">
                  <c:v>-0.17401000397426594</c:v>
                </c:pt>
                <c:pt idx="25">
                  <c:v>-0.19657276720170863</c:v>
                </c:pt>
                <c:pt idx="26">
                  <c:v>-9.6037081884339681E-2</c:v>
                </c:pt>
                <c:pt idx="27">
                  <c:v>-6.2672903197279528E-2</c:v>
                </c:pt>
                <c:pt idx="28">
                  <c:v>-3.5906224401297321E-3</c:v>
                </c:pt>
                <c:pt idx="29">
                  <c:v>3.1746122268193882E-3</c:v>
                </c:pt>
                <c:pt idx="30">
                  <c:v>5.6715927469711346E-2</c:v>
                </c:pt>
                <c:pt idx="31">
                  <c:v>-8.3930904378625562E-2</c:v>
                </c:pt>
                <c:pt idx="32">
                  <c:v>9.0907396982439395E-2</c:v>
                </c:pt>
                <c:pt idx="33">
                  <c:v>3.6175107775191812E-2</c:v>
                </c:pt>
                <c:pt idx="34">
                  <c:v>3.0662286765776824E-2</c:v>
                </c:pt>
                <c:pt idx="35">
                  <c:v>0.1033567386415107</c:v>
                </c:pt>
                <c:pt idx="36">
                  <c:v>6.199101491882452E-2</c:v>
                </c:pt>
                <c:pt idx="37">
                  <c:v>9.138298137207336E-2</c:v>
                </c:pt>
                <c:pt idx="38">
                  <c:v>0.11484919885073513</c:v>
                </c:pt>
                <c:pt idx="39">
                  <c:v>0.1802343598429938</c:v>
                </c:pt>
              </c:numCache>
            </c:numRef>
          </c:val>
          <c:extLst>
            <c:ext xmlns:c16="http://schemas.microsoft.com/office/drawing/2014/chart" uri="{C3380CC4-5D6E-409C-BE32-E72D297353CC}">
              <c16:uniqueId val="{00000002-CD8A-46FE-9E09-5A32AD635081}"/>
            </c:ext>
          </c:extLst>
        </c:ser>
        <c:ser>
          <c:idx val="3"/>
          <c:order val="3"/>
          <c:tx>
            <c:strRef>
              <c:f>'Trh práce 1'!$AF$7</c:f>
              <c:strCache>
                <c:ptCount val="1"/>
                <c:pt idx="0">
                  <c:v>Trade, transport., accommod.&amp;food service</c:v>
                </c:pt>
              </c:strCache>
            </c:strRef>
          </c:tx>
          <c:spPr>
            <a:solidFill>
              <a:srgbClr val="FDDEB3"/>
            </a:solidFill>
            <a:ln w="19050">
              <a:noFill/>
            </a:ln>
          </c:spPr>
          <c:invertIfNegative val="0"/>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1'!$AF$8:$AF$47</c:f>
              <c:numCache>
                <c:formatCode>#\ ##0.0</c:formatCode>
                <c:ptCount val="40"/>
                <c:pt idx="0">
                  <c:v>-0.36020586170372859</c:v>
                </c:pt>
                <c:pt idx="1">
                  <c:v>-0.12853367400426938</c:v>
                </c:pt>
                <c:pt idx="2">
                  <c:v>0.13275641462376633</c:v>
                </c:pt>
                <c:pt idx="3">
                  <c:v>0.29832589360603395</c:v>
                </c:pt>
                <c:pt idx="4">
                  <c:v>-6.8329822215403707E-2</c:v>
                </c:pt>
                <c:pt idx="5">
                  <c:v>-7.5578817344047838E-2</c:v>
                </c:pt>
                <c:pt idx="6">
                  <c:v>-9.226004151702058E-2</c:v>
                </c:pt>
                <c:pt idx="7">
                  <c:v>-0.1522180456464855</c:v>
                </c:pt>
                <c:pt idx="8">
                  <c:v>-0.13386609977903038</c:v>
                </c:pt>
                <c:pt idx="9">
                  <c:v>-9.5588593345255934E-2</c:v>
                </c:pt>
                <c:pt idx="10">
                  <c:v>-9.2577400810211111E-2</c:v>
                </c:pt>
                <c:pt idx="11">
                  <c:v>-0.19122243914977163</c:v>
                </c:pt>
                <c:pt idx="12">
                  <c:v>0.21176431354457628</c:v>
                </c:pt>
                <c:pt idx="13">
                  <c:v>0.1456797227737798</c:v>
                </c:pt>
                <c:pt idx="14">
                  <c:v>1.7303364195265018E-2</c:v>
                </c:pt>
                <c:pt idx="15">
                  <c:v>2.2222384062236263E-2</c:v>
                </c:pt>
                <c:pt idx="16">
                  <c:v>-7.053413704051871E-2</c:v>
                </c:pt>
                <c:pt idx="17">
                  <c:v>-0.25891457624497549</c:v>
                </c:pt>
                <c:pt idx="18">
                  <c:v>-0.1085542947481155</c:v>
                </c:pt>
                <c:pt idx="19">
                  <c:v>0.17354005176094336</c:v>
                </c:pt>
                <c:pt idx="20">
                  <c:v>0.11952598309777195</c:v>
                </c:pt>
                <c:pt idx="21">
                  <c:v>0.37489773866877718</c:v>
                </c:pt>
                <c:pt idx="22">
                  <c:v>0.24119355235297801</c:v>
                </c:pt>
                <c:pt idx="23">
                  <c:v>7.7144526246092138E-2</c:v>
                </c:pt>
                <c:pt idx="24">
                  <c:v>0.14837520802801801</c:v>
                </c:pt>
                <c:pt idx="25">
                  <c:v>0.19616793949638001</c:v>
                </c:pt>
                <c:pt idx="26">
                  <c:v>1.7240391808152546E-2</c:v>
                </c:pt>
                <c:pt idx="27">
                  <c:v>6.7594456331789829E-2</c:v>
                </c:pt>
                <c:pt idx="28">
                  <c:v>0.34445146653053038</c:v>
                </c:pt>
                <c:pt idx="29">
                  <c:v>0.15720983901674454</c:v>
                </c:pt>
                <c:pt idx="30">
                  <c:v>0.4899108898949312</c:v>
                </c:pt>
                <c:pt idx="31">
                  <c:v>0.35079152790688539</c:v>
                </c:pt>
                <c:pt idx="32">
                  <c:v>0.23711208844405207</c:v>
                </c:pt>
                <c:pt idx="33">
                  <c:v>0.4946556857367726</c:v>
                </c:pt>
                <c:pt idx="34">
                  <c:v>0.32977792382414767</c:v>
                </c:pt>
                <c:pt idx="35">
                  <c:v>0.3623723378564368</c:v>
                </c:pt>
                <c:pt idx="36">
                  <c:v>0.42364544625649564</c:v>
                </c:pt>
                <c:pt idx="37">
                  <c:v>0.10943826669261016</c:v>
                </c:pt>
                <c:pt idx="38">
                  <c:v>-6.5108887187830408E-2</c:v>
                </c:pt>
                <c:pt idx="39">
                  <c:v>-0.13120325746121608</c:v>
                </c:pt>
              </c:numCache>
            </c:numRef>
          </c:val>
          <c:extLst>
            <c:ext xmlns:c16="http://schemas.microsoft.com/office/drawing/2014/chart" uri="{C3380CC4-5D6E-409C-BE32-E72D297353CC}">
              <c16:uniqueId val="{00000003-CD8A-46FE-9E09-5A32AD635081}"/>
            </c:ext>
          </c:extLst>
        </c:ser>
        <c:ser>
          <c:idx val="4"/>
          <c:order val="4"/>
          <c:tx>
            <c:strRef>
              <c:f>'Trh práce 1'!$AG$7</c:f>
              <c:strCache>
                <c:ptCount val="1"/>
                <c:pt idx="0">
                  <c:v>Information and communication</c:v>
                </c:pt>
              </c:strCache>
            </c:strRef>
          </c:tx>
          <c:spPr>
            <a:solidFill>
              <a:srgbClr val="F8A124"/>
            </a:solidFill>
            <a:ln w="19050">
              <a:noFill/>
            </a:ln>
          </c:spPr>
          <c:invertIfNegative val="0"/>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1'!$AG$8:$AG$47</c:f>
              <c:numCache>
                <c:formatCode>#\ ##0.0</c:formatCode>
                <c:ptCount val="40"/>
                <c:pt idx="0">
                  <c:v>-6.5149774021976622E-2</c:v>
                </c:pt>
                <c:pt idx="1">
                  <c:v>-7.6291207174423364E-2</c:v>
                </c:pt>
                <c:pt idx="2">
                  <c:v>-6.7461209804364208E-2</c:v>
                </c:pt>
                <c:pt idx="3">
                  <c:v>-8.1706086235047659E-2</c:v>
                </c:pt>
                <c:pt idx="4">
                  <c:v>-4.2740879497316732E-2</c:v>
                </c:pt>
                <c:pt idx="5">
                  <c:v>-8.5021220663353964E-2</c:v>
                </c:pt>
                <c:pt idx="6">
                  <c:v>-0.13312200601268986</c:v>
                </c:pt>
                <c:pt idx="7">
                  <c:v>-0.16262881353526068</c:v>
                </c:pt>
                <c:pt idx="8">
                  <c:v>2.0452867349167209E-2</c:v>
                </c:pt>
                <c:pt idx="9">
                  <c:v>3.5175177132847339E-2</c:v>
                </c:pt>
                <c:pt idx="10">
                  <c:v>5.3501494475079202E-2</c:v>
                </c:pt>
                <c:pt idx="11">
                  <c:v>7.2421004792777327E-2</c:v>
                </c:pt>
                <c:pt idx="12">
                  <c:v>4.0772769030798621E-2</c:v>
                </c:pt>
                <c:pt idx="13">
                  <c:v>7.3946489774753668E-2</c:v>
                </c:pt>
                <c:pt idx="14">
                  <c:v>3.1102747927780131E-2</c:v>
                </c:pt>
                <c:pt idx="15">
                  <c:v>3.2260839218782318E-2</c:v>
                </c:pt>
                <c:pt idx="16">
                  <c:v>0.10151383644655047</c:v>
                </c:pt>
                <c:pt idx="17">
                  <c:v>6.5783495760869989E-2</c:v>
                </c:pt>
                <c:pt idx="18">
                  <c:v>8.4444228559494197E-2</c:v>
                </c:pt>
                <c:pt idx="19">
                  <c:v>8.3631389044563922E-2</c:v>
                </c:pt>
                <c:pt idx="20">
                  <c:v>8.1544111434449038E-3</c:v>
                </c:pt>
                <c:pt idx="21">
                  <c:v>5.1741144428598618E-2</c:v>
                </c:pt>
                <c:pt idx="22">
                  <c:v>7.441036092445602E-2</c:v>
                </c:pt>
                <c:pt idx="23">
                  <c:v>0.1002157864318393</c:v>
                </c:pt>
                <c:pt idx="24">
                  <c:v>0.13486891129933629</c:v>
                </c:pt>
                <c:pt idx="25">
                  <c:v>0.11759280964307371</c:v>
                </c:pt>
                <c:pt idx="26">
                  <c:v>0.14031441923503124</c:v>
                </c:pt>
                <c:pt idx="27">
                  <c:v>0.17559947785397279</c:v>
                </c:pt>
                <c:pt idx="28">
                  <c:v>9.0644117557743126E-2</c:v>
                </c:pt>
                <c:pt idx="29">
                  <c:v>7.406161218975052E-2</c:v>
                </c:pt>
                <c:pt idx="30">
                  <c:v>8.9214571776702667E-2</c:v>
                </c:pt>
                <c:pt idx="31">
                  <c:v>6.8674173054007012E-2</c:v>
                </c:pt>
                <c:pt idx="32">
                  <c:v>9.412585762094812E-2</c:v>
                </c:pt>
                <c:pt idx="33">
                  <c:v>0.10668750032818362</c:v>
                </c:pt>
                <c:pt idx="34">
                  <c:v>0.10715034840628693</c:v>
                </c:pt>
                <c:pt idx="35">
                  <c:v>0.13284999643436834</c:v>
                </c:pt>
                <c:pt idx="36">
                  <c:v>0.14821842125221787</c:v>
                </c:pt>
                <c:pt idx="37">
                  <c:v>8.0206778201240558E-2</c:v>
                </c:pt>
                <c:pt idx="38">
                  <c:v>0.13577112519559195</c:v>
                </c:pt>
                <c:pt idx="39">
                  <c:v>0.15148881857415711</c:v>
                </c:pt>
              </c:numCache>
            </c:numRef>
          </c:val>
          <c:extLst>
            <c:ext xmlns:c16="http://schemas.microsoft.com/office/drawing/2014/chart" uri="{C3380CC4-5D6E-409C-BE32-E72D297353CC}">
              <c16:uniqueId val="{00000004-CD8A-46FE-9E09-5A32AD635081}"/>
            </c:ext>
          </c:extLst>
        </c:ser>
        <c:ser>
          <c:idx val="5"/>
          <c:order val="5"/>
          <c:tx>
            <c:strRef>
              <c:f>'Trh práce 1'!$AH$7</c:f>
              <c:strCache>
                <c:ptCount val="1"/>
                <c:pt idx="0">
                  <c:v>Professional, scientific, technic.&amp;admin.act.</c:v>
                </c:pt>
              </c:strCache>
            </c:strRef>
          </c:tx>
          <c:spPr>
            <a:solidFill>
              <a:srgbClr val="E8C0BE"/>
            </a:solidFill>
            <a:ln w="19050">
              <a:noFill/>
            </a:ln>
          </c:spPr>
          <c:invertIfNegative val="0"/>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1'!$AH$8:$AH$47</c:f>
              <c:numCache>
                <c:formatCode>#\ ##0.0</c:formatCode>
                <c:ptCount val="40"/>
                <c:pt idx="0">
                  <c:v>-0.14466145378390899</c:v>
                </c:pt>
                <c:pt idx="1">
                  <c:v>-5.9633055325984424E-2</c:v>
                </c:pt>
                <c:pt idx="2">
                  <c:v>-1.1086007332124065E-2</c:v>
                </c:pt>
                <c:pt idx="3">
                  <c:v>-4.8017127490306996E-2</c:v>
                </c:pt>
                <c:pt idx="4">
                  <c:v>-0.20814589945627768</c:v>
                </c:pt>
                <c:pt idx="5">
                  <c:v>-0.2444929211671909</c:v>
                </c:pt>
                <c:pt idx="6">
                  <c:v>-0.38620574265486762</c:v>
                </c:pt>
                <c:pt idx="7">
                  <c:v>-0.28641442112187154</c:v>
                </c:pt>
                <c:pt idx="8">
                  <c:v>0.11845205716961922</c:v>
                </c:pt>
                <c:pt idx="9">
                  <c:v>0.13220878338226641</c:v>
                </c:pt>
                <c:pt idx="10">
                  <c:v>0.20877472066275349</c:v>
                </c:pt>
                <c:pt idx="11">
                  <c:v>0.25063308789776856</c:v>
                </c:pt>
                <c:pt idx="12">
                  <c:v>4.9745160268345343E-2</c:v>
                </c:pt>
                <c:pt idx="13">
                  <c:v>0.1597497122766191</c:v>
                </c:pt>
                <c:pt idx="14">
                  <c:v>0.21476644296967162</c:v>
                </c:pt>
                <c:pt idx="15">
                  <c:v>0.19659625510506271</c:v>
                </c:pt>
                <c:pt idx="16">
                  <c:v>0.32279740363249154</c:v>
                </c:pt>
                <c:pt idx="17">
                  <c:v>0.2331663822001481</c:v>
                </c:pt>
                <c:pt idx="18">
                  <c:v>0.12619436764468428</c:v>
                </c:pt>
                <c:pt idx="19">
                  <c:v>7.9184166944782405E-2</c:v>
                </c:pt>
                <c:pt idx="20">
                  <c:v>0.1111161325691107</c:v>
                </c:pt>
                <c:pt idx="21">
                  <c:v>0.1162900854121157</c:v>
                </c:pt>
                <c:pt idx="22">
                  <c:v>0.22348517646709484</c:v>
                </c:pt>
                <c:pt idx="23">
                  <c:v>0.33878119053158823</c:v>
                </c:pt>
                <c:pt idx="24">
                  <c:v>0.28107069226756642</c:v>
                </c:pt>
                <c:pt idx="25">
                  <c:v>0.26149942013250738</c:v>
                </c:pt>
                <c:pt idx="26">
                  <c:v>0.25212626677828454</c:v>
                </c:pt>
                <c:pt idx="27">
                  <c:v>0.25247952076376445</c:v>
                </c:pt>
                <c:pt idx="28">
                  <c:v>0.21874148301492455</c:v>
                </c:pt>
                <c:pt idx="29">
                  <c:v>0.15224831930896096</c:v>
                </c:pt>
                <c:pt idx="30">
                  <c:v>9.899645477968369E-2</c:v>
                </c:pt>
                <c:pt idx="31">
                  <c:v>-3.5385042700909856E-2</c:v>
                </c:pt>
                <c:pt idx="32">
                  <c:v>0.34514696601738587</c:v>
                </c:pt>
                <c:pt idx="33">
                  <c:v>0.34022229406818549</c:v>
                </c:pt>
                <c:pt idx="34">
                  <c:v>0.27519681797741252</c:v>
                </c:pt>
                <c:pt idx="35">
                  <c:v>0.4022366465272123</c:v>
                </c:pt>
                <c:pt idx="36">
                  <c:v>2.3809890264962812E-2</c:v>
                </c:pt>
                <c:pt idx="37">
                  <c:v>2.5819611285752314E-3</c:v>
                </c:pt>
                <c:pt idx="38">
                  <c:v>7.3798681992440251E-5</c:v>
                </c:pt>
                <c:pt idx="39">
                  <c:v>-0.17048699140250534</c:v>
                </c:pt>
              </c:numCache>
            </c:numRef>
          </c:val>
          <c:extLst>
            <c:ext xmlns:c16="http://schemas.microsoft.com/office/drawing/2014/chart" uri="{C3380CC4-5D6E-409C-BE32-E72D297353CC}">
              <c16:uniqueId val="{00000005-CD8A-46FE-9E09-5A32AD635081}"/>
            </c:ext>
          </c:extLst>
        </c:ser>
        <c:ser>
          <c:idx val="6"/>
          <c:order val="6"/>
          <c:tx>
            <c:strRef>
              <c:f>'Trh práce 1'!$AI$7</c:f>
              <c:strCache>
                <c:ptCount val="1"/>
                <c:pt idx="0">
                  <c:v>Public admin, education, health &amp; soc.work</c:v>
                </c:pt>
              </c:strCache>
            </c:strRef>
          </c:tx>
          <c:spPr>
            <a:solidFill>
              <a:srgbClr val="D58D8B"/>
            </a:solidFill>
            <a:ln>
              <a:noFill/>
            </a:ln>
          </c:spPr>
          <c:invertIfNegative val="0"/>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1'!$AI$8:$AI$47</c:f>
              <c:numCache>
                <c:formatCode>#\ ##0.0</c:formatCode>
                <c:ptCount val="40"/>
                <c:pt idx="0">
                  <c:v>-1.6350180324922726E-2</c:v>
                </c:pt>
                <c:pt idx="1">
                  <c:v>-4.5849021226043764E-2</c:v>
                </c:pt>
                <c:pt idx="2">
                  <c:v>-4.0523984173199502E-2</c:v>
                </c:pt>
                <c:pt idx="3">
                  <c:v>-3.1932475248383371E-2</c:v>
                </c:pt>
                <c:pt idx="4">
                  <c:v>-9.5506907227863813E-2</c:v>
                </c:pt>
                <c:pt idx="5">
                  <c:v>-0.1383104234632955</c:v>
                </c:pt>
                <c:pt idx="6">
                  <c:v>-0.17645028898347198</c:v>
                </c:pt>
                <c:pt idx="7">
                  <c:v>-0.12798540599628724</c:v>
                </c:pt>
                <c:pt idx="8">
                  <c:v>-0.43655266623256417</c:v>
                </c:pt>
                <c:pt idx="9">
                  <c:v>-0.32948273684650758</c:v>
                </c:pt>
                <c:pt idx="10">
                  <c:v>-6.1942841381147244E-2</c:v>
                </c:pt>
                <c:pt idx="11">
                  <c:v>4.6658513510212274E-2</c:v>
                </c:pt>
                <c:pt idx="12">
                  <c:v>0.15564716746372542</c:v>
                </c:pt>
                <c:pt idx="13">
                  <c:v>0.36566163730412671</c:v>
                </c:pt>
                <c:pt idx="14">
                  <c:v>0.18966770650896297</c:v>
                </c:pt>
                <c:pt idx="15">
                  <c:v>0.15604876957077865</c:v>
                </c:pt>
                <c:pt idx="16">
                  <c:v>0.27053891834616883</c:v>
                </c:pt>
                <c:pt idx="17">
                  <c:v>0.15953282727926973</c:v>
                </c:pt>
                <c:pt idx="18">
                  <c:v>0.34979261606607437</c:v>
                </c:pt>
                <c:pt idx="19">
                  <c:v>0.3530031736636311</c:v>
                </c:pt>
                <c:pt idx="20">
                  <c:v>0.24091863862597104</c:v>
                </c:pt>
                <c:pt idx="21">
                  <c:v>0.23116797886105511</c:v>
                </c:pt>
                <c:pt idx="22">
                  <c:v>0.10859573556508476</c:v>
                </c:pt>
                <c:pt idx="23">
                  <c:v>0.11701259916842215</c:v>
                </c:pt>
                <c:pt idx="24">
                  <c:v>0.35147420452569472</c:v>
                </c:pt>
                <c:pt idx="25">
                  <c:v>0.3579255240398278</c:v>
                </c:pt>
                <c:pt idx="26">
                  <c:v>0.45544332587599407</c:v>
                </c:pt>
                <c:pt idx="27">
                  <c:v>0.56982357385502003</c:v>
                </c:pt>
                <c:pt idx="28">
                  <c:v>0.51153000432975859</c:v>
                </c:pt>
                <c:pt idx="29">
                  <c:v>0.56363624266583745</c:v>
                </c:pt>
                <c:pt idx="30">
                  <c:v>0.64341997422520825</c:v>
                </c:pt>
                <c:pt idx="31">
                  <c:v>0.65113010272047789</c:v>
                </c:pt>
                <c:pt idx="32">
                  <c:v>0.23568166149360376</c:v>
                </c:pt>
                <c:pt idx="33">
                  <c:v>0.26710319338624</c:v>
                </c:pt>
                <c:pt idx="34">
                  <c:v>0.15582626293786339</c:v>
                </c:pt>
                <c:pt idx="35">
                  <c:v>0.13238450941112251</c:v>
                </c:pt>
                <c:pt idx="36">
                  <c:v>0.45637477360669765</c:v>
                </c:pt>
                <c:pt idx="37">
                  <c:v>0.37051142195054565</c:v>
                </c:pt>
                <c:pt idx="38">
                  <c:v>0.43360415604658264</c:v>
                </c:pt>
                <c:pt idx="39">
                  <c:v>0.42853477741853035</c:v>
                </c:pt>
              </c:numCache>
            </c:numRef>
          </c:val>
          <c:extLst>
            <c:ext xmlns:c16="http://schemas.microsoft.com/office/drawing/2014/chart" uri="{C3380CC4-5D6E-409C-BE32-E72D297353CC}">
              <c16:uniqueId val="{00000006-CD8A-46FE-9E09-5A32AD635081}"/>
            </c:ext>
          </c:extLst>
        </c:ser>
        <c:ser>
          <c:idx val="7"/>
          <c:order val="7"/>
          <c:tx>
            <c:strRef>
              <c:f>'Trh práce 1'!$AJ$7</c:f>
              <c:strCache>
                <c:ptCount val="1"/>
                <c:pt idx="0">
                  <c:v>Other branches*</c:v>
                </c:pt>
              </c:strCache>
            </c:strRef>
          </c:tx>
          <c:spPr>
            <a:solidFill>
              <a:schemeClr val="bg1">
                <a:lumMod val="85000"/>
              </a:schemeClr>
            </a:solidFill>
            <a:ln>
              <a:noFill/>
            </a:ln>
          </c:spPr>
          <c:invertIfNegative val="0"/>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1'!$AJ$8:$AJ$47</c:f>
              <c:numCache>
                <c:formatCode>#\ ##0.0</c:formatCode>
                <c:ptCount val="40"/>
                <c:pt idx="0">
                  <c:v>-0.1919167565411827</c:v>
                </c:pt>
                <c:pt idx="1">
                  <c:v>-3.8262914515721808E-2</c:v>
                </c:pt>
                <c:pt idx="2">
                  <c:v>4.6096524270874649E-2</c:v>
                </c:pt>
                <c:pt idx="3">
                  <c:v>4.9102594819516579E-2</c:v>
                </c:pt>
                <c:pt idx="4">
                  <c:v>-0.13338410094866282</c:v>
                </c:pt>
                <c:pt idx="5">
                  <c:v>-0.15119722547769443</c:v>
                </c:pt>
                <c:pt idx="6">
                  <c:v>-0.15212252354495906</c:v>
                </c:pt>
                <c:pt idx="7">
                  <c:v>-0.13638500281563989</c:v>
                </c:pt>
                <c:pt idx="8">
                  <c:v>0.26931923097215715</c:v>
                </c:pt>
                <c:pt idx="9">
                  <c:v>0.32105019578933652</c:v>
                </c:pt>
                <c:pt idx="10">
                  <c:v>0.32895492954844063</c:v>
                </c:pt>
                <c:pt idx="11">
                  <c:v>0.4005401979282377</c:v>
                </c:pt>
                <c:pt idx="12">
                  <c:v>0.23332187302239876</c:v>
                </c:pt>
                <c:pt idx="13">
                  <c:v>0.15289256851610614</c:v>
                </c:pt>
                <c:pt idx="14">
                  <c:v>-7.2835548944801556E-2</c:v>
                </c:pt>
                <c:pt idx="15">
                  <c:v>-0.23094351833677418</c:v>
                </c:pt>
                <c:pt idx="16">
                  <c:v>0.16050961605523087</c:v>
                </c:pt>
                <c:pt idx="17">
                  <c:v>3.822978810924068E-2</c:v>
                </c:pt>
                <c:pt idx="18">
                  <c:v>0.16444402403690977</c:v>
                </c:pt>
                <c:pt idx="19">
                  <c:v>0.21779581504593729</c:v>
                </c:pt>
                <c:pt idx="20">
                  <c:v>-9.3844500291790034E-2</c:v>
                </c:pt>
                <c:pt idx="21">
                  <c:v>4.4248681512857657E-2</c:v>
                </c:pt>
                <c:pt idx="22">
                  <c:v>-7.6228108118039234E-4</c:v>
                </c:pt>
                <c:pt idx="23">
                  <c:v>-9.6493986857956113E-2</c:v>
                </c:pt>
                <c:pt idx="24">
                  <c:v>0.10669198191708645</c:v>
                </c:pt>
                <c:pt idx="25">
                  <c:v>6.5331480636127343E-2</c:v>
                </c:pt>
                <c:pt idx="26">
                  <c:v>9.622992743029217E-2</c:v>
                </c:pt>
                <c:pt idx="27">
                  <c:v>0.16268040087588326</c:v>
                </c:pt>
                <c:pt idx="28">
                  <c:v>3.7625139399231622E-3</c:v>
                </c:pt>
                <c:pt idx="29">
                  <c:v>5.6876884926009626E-2</c:v>
                </c:pt>
                <c:pt idx="30">
                  <c:v>0.10630912459744621</c:v>
                </c:pt>
                <c:pt idx="31">
                  <c:v>0.11559617471449846</c:v>
                </c:pt>
                <c:pt idx="32">
                  <c:v>8.6973722868706513E-2</c:v>
                </c:pt>
                <c:pt idx="33">
                  <c:v>0.10284307467037421</c:v>
                </c:pt>
                <c:pt idx="34">
                  <c:v>-9.5153682138267318E-2</c:v>
                </c:pt>
                <c:pt idx="35">
                  <c:v>-8.0268582288516049E-2</c:v>
                </c:pt>
                <c:pt idx="36">
                  <c:v>-5.4629234206059543E-2</c:v>
                </c:pt>
                <c:pt idx="37">
                  <c:v>1.8922086556558474E-2</c:v>
                </c:pt>
                <c:pt idx="38">
                  <c:v>0.10627010206911397</c:v>
                </c:pt>
                <c:pt idx="39">
                  <c:v>0.11327177778295903</c:v>
                </c:pt>
              </c:numCache>
            </c:numRef>
          </c:val>
          <c:extLst>
            <c:ext xmlns:c16="http://schemas.microsoft.com/office/drawing/2014/chart" uri="{C3380CC4-5D6E-409C-BE32-E72D297353CC}">
              <c16:uniqueId val="{00000007-CD8A-46FE-9E09-5A32AD635081}"/>
            </c:ext>
          </c:extLst>
        </c:ser>
        <c:dLbls>
          <c:showLegendKey val="0"/>
          <c:showVal val="0"/>
          <c:showCatName val="0"/>
          <c:showSerName val="0"/>
          <c:showPercent val="0"/>
          <c:showBubbleSize val="0"/>
        </c:dLbls>
        <c:gapWidth val="47"/>
        <c:overlap val="100"/>
        <c:axId val="101898496"/>
        <c:axId val="101781504"/>
      </c:barChart>
      <c:lineChart>
        <c:grouping val="standard"/>
        <c:varyColors val="0"/>
        <c:ser>
          <c:idx val="8"/>
          <c:order val="8"/>
          <c:tx>
            <c:strRef>
              <c:f>'Trh práce 1'!$AK$7</c:f>
              <c:strCache>
                <c:ptCount val="1"/>
                <c:pt idx="0">
                  <c:v>Total employment</c:v>
                </c:pt>
              </c:strCache>
            </c:strRef>
          </c:tx>
          <c:spPr>
            <a:ln w="22225">
              <a:solidFill>
                <a:schemeClr val="tx1">
                  <a:lumMod val="95000"/>
                  <a:lumOff val="5000"/>
                </a:schemeClr>
              </a:solidFill>
            </a:ln>
          </c:spPr>
          <c:marker>
            <c:symbol val="none"/>
          </c:marker>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1'!$AK$8:$AK$47</c:f>
              <c:numCache>
                <c:formatCode>#\ ##0.0</c:formatCode>
                <c:ptCount val="40"/>
                <c:pt idx="0">
                  <c:v>-2.7611728966902263</c:v>
                </c:pt>
                <c:pt idx="1">
                  <c:v>-1.2304547773213699</c:v>
                </c:pt>
                <c:pt idx="2">
                  <c:v>-0.2006705163795317</c:v>
                </c:pt>
                <c:pt idx="3">
                  <c:v>9.3350190312023074E-2</c:v>
                </c:pt>
                <c:pt idx="4">
                  <c:v>6.9997371624495486E-2</c:v>
                </c:pt>
                <c:pt idx="5">
                  <c:v>3.5235802742903388E-3</c:v>
                </c:pt>
                <c:pt idx="6">
                  <c:v>-0.428054234540582</c:v>
                </c:pt>
                <c:pt idx="7">
                  <c:v>-0.73389998406837265</c:v>
                </c:pt>
                <c:pt idx="8">
                  <c:v>-6.312417449568386E-2</c:v>
                </c:pt>
                <c:pt idx="9">
                  <c:v>0.16940301964147864</c:v>
                </c:pt>
                <c:pt idx="10">
                  <c:v>0.66082271824052441</c:v>
                </c:pt>
                <c:pt idx="11">
                  <c:v>0.91394275165257</c:v>
                </c:pt>
                <c:pt idx="12">
                  <c:v>0.47051457854772138</c:v>
                </c:pt>
                <c:pt idx="13">
                  <c:v>0.69336196866028388</c:v>
                </c:pt>
                <c:pt idx="14">
                  <c:v>9.9922499038868295E-2</c:v>
                </c:pt>
                <c:pt idx="15">
                  <c:v>2.6788896996194467E-2</c:v>
                </c:pt>
                <c:pt idx="16">
                  <c:v>0.5510553546770609</c:v>
                </c:pt>
                <c:pt idx="17">
                  <c:v>5.7972686896661685E-2</c:v>
                </c:pt>
                <c:pt idx="18">
                  <c:v>0.6137644092551966</c:v>
                </c:pt>
                <c:pt idx="19">
                  <c:v>0.98590584797899794</c:v>
                </c:pt>
                <c:pt idx="20">
                  <c:v>1.2552291389531263</c:v>
                </c:pt>
                <c:pt idx="21">
                  <c:v>1.7443512811817357</c:v>
                </c:pt>
                <c:pt idx="22">
                  <c:v>1.3540066568638736</c:v>
                </c:pt>
                <c:pt idx="23">
                  <c:v>1.3578527827564244</c:v>
                </c:pt>
                <c:pt idx="24">
                  <c:v>1.6050176668570941</c:v>
                </c:pt>
                <c:pt idx="25">
                  <c:v>1.4090510221706865</c:v>
                </c:pt>
                <c:pt idx="26">
                  <c:v>1.5299979924778597</c:v>
                </c:pt>
                <c:pt idx="27">
                  <c:v>1.8150726409707829</c:v>
                </c:pt>
                <c:pt idx="28">
                  <c:v>1.4751728512273417</c:v>
                </c:pt>
                <c:pt idx="29">
                  <c:v>1.3670032325916708</c:v>
                </c:pt>
                <c:pt idx="30">
                  <c:v>1.9625116456640939</c:v>
                </c:pt>
                <c:pt idx="31">
                  <c:v>1.4104168354253801</c:v>
                </c:pt>
                <c:pt idx="32">
                  <c:v>1.4985228018525589</c:v>
                </c:pt>
                <c:pt idx="33">
                  <c:v>1.6847773496192104</c:v>
                </c:pt>
                <c:pt idx="34">
                  <c:v>0.96854451750488124</c:v>
                </c:pt>
                <c:pt idx="35">
                  <c:v>1.2409139260497426</c:v>
                </c:pt>
                <c:pt idx="36">
                  <c:v>1.3417911601888193</c:v>
                </c:pt>
                <c:pt idx="37">
                  <c:v>0.78676044103585241</c:v>
                </c:pt>
                <c:pt idx="38">
                  <c:v>0.58791720009277526</c:v>
                </c:pt>
                <c:pt idx="39">
                  <c:v>1.7655610760130003E-3</c:v>
                </c:pt>
              </c:numCache>
            </c:numRef>
          </c:val>
          <c:smooth val="0"/>
          <c:extLst>
            <c:ext xmlns:c16="http://schemas.microsoft.com/office/drawing/2014/chart" uri="{C3380CC4-5D6E-409C-BE32-E72D297353CC}">
              <c16:uniqueId val="{00000008-CD8A-46FE-9E09-5A32AD635081}"/>
            </c:ext>
          </c:extLst>
        </c:ser>
        <c:dLbls>
          <c:showLegendKey val="0"/>
          <c:showVal val="0"/>
          <c:showCatName val="0"/>
          <c:showSerName val="0"/>
          <c:showPercent val="0"/>
          <c:showBubbleSize val="0"/>
        </c:dLbls>
        <c:marker val="1"/>
        <c:smooth val="0"/>
        <c:axId val="101898496"/>
        <c:axId val="101781504"/>
      </c:lineChart>
      <c:lineChart>
        <c:grouping val="standard"/>
        <c:varyColors val="0"/>
        <c:ser>
          <c:idx val="9"/>
          <c:order val="9"/>
          <c:tx>
            <c:strRef>
              <c:f>'Trh práce 1'!$AL$7</c:f>
              <c:strCache>
                <c:ptCount val="1"/>
              </c:strCache>
            </c:strRef>
          </c:tx>
          <c:spPr>
            <a:ln>
              <a:noFill/>
            </a:ln>
          </c:spPr>
          <c:marker>
            <c:symbol val="none"/>
          </c:marker>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1'!$AL$8:$AL$47</c:f>
              <c:numCache>
                <c:formatCode>General</c:formatCode>
                <c:ptCount val="40"/>
              </c:numCache>
            </c:numRef>
          </c:val>
          <c:smooth val="0"/>
          <c:extLst>
            <c:ext xmlns:c16="http://schemas.microsoft.com/office/drawing/2014/chart" uri="{C3380CC4-5D6E-409C-BE32-E72D297353CC}">
              <c16:uniqueId val="{00000009-CD8A-46FE-9E09-5A32AD635081}"/>
            </c:ext>
          </c:extLst>
        </c:ser>
        <c:ser>
          <c:idx val="10"/>
          <c:order val="10"/>
          <c:tx>
            <c:strRef>
              <c:f>'Trh práce 1'!$AM$7</c:f>
              <c:strCache>
                <c:ptCount val="1"/>
                <c:pt idx="0">
                  <c:v>Employment expectations (industry)</c:v>
                </c:pt>
              </c:strCache>
            </c:strRef>
          </c:tx>
          <c:spPr>
            <a:ln w="15875">
              <a:solidFill>
                <a:schemeClr val="tx1">
                  <a:lumMod val="95000"/>
                  <a:lumOff val="5000"/>
                </a:schemeClr>
              </a:solidFill>
              <a:prstDash val="sysDot"/>
            </a:ln>
          </c:spPr>
          <c:marker>
            <c:symbol val="none"/>
          </c:marker>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1'!$AM$8:$AM$47</c:f>
              <c:numCache>
                <c:formatCode>#\ ##0.0</c:formatCode>
                <c:ptCount val="40"/>
                <c:pt idx="0">
                  <c:v>-12.033333333333333</c:v>
                </c:pt>
                <c:pt idx="1">
                  <c:v>-8.6</c:v>
                </c:pt>
                <c:pt idx="2">
                  <c:v>-0.5333333333333331</c:v>
                </c:pt>
                <c:pt idx="3">
                  <c:v>5</c:v>
                </c:pt>
                <c:pt idx="4">
                  <c:v>14.766666666666666</c:v>
                </c:pt>
                <c:pt idx="5">
                  <c:v>4.166666666666667</c:v>
                </c:pt>
                <c:pt idx="6">
                  <c:v>3.0333333333333337</c:v>
                </c:pt>
                <c:pt idx="7">
                  <c:v>-0.66666666666666663</c:v>
                </c:pt>
                <c:pt idx="8">
                  <c:v>0.13333333333333341</c:v>
                </c:pt>
                <c:pt idx="9">
                  <c:v>-8.1666666666666661</c:v>
                </c:pt>
                <c:pt idx="10">
                  <c:v>-15.466666666666669</c:v>
                </c:pt>
                <c:pt idx="11">
                  <c:v>-14.033333333333333</c:v>
                </c:pt>
                <c:pt idx="12">
                  <c:v>-11.566666666666668</c:v>
                </c:pt>
                <c:pt idx="13">
                  <c:v>-10.833333333333334</c:v>
                </c:pt>
                <c:pt idx="14">
                  <c:v>-9.3333333333333339</c:v>
                </c:pt>
                <c:pt idx="15">
                  <c:v>-1.0333333333333334</c:v>
                </c:pt>
                <c:pt idx="16">
                  <c:v>-4.5</c:v>
                </c:pt>
                <c:pt idx="17">
                  <c:v>2.8666666666666667</c:v>
                </c:pt>
                <c:pt idx="18">
                  <c:v>2.3666666666666667</c:v>
                </c:pt>
                <c:pt idx="19">
                  <c:v>5.2666666666666666</c:v>
                </c:pt>
                <c:pt idx="20">
                  <c:v>0.66666666666666663</c:v>
                </c:pt>
                <c:pt idx="21">
                  <c:v>4.5</c:v>
                </c:pt>
                <c:pt idx="22">
                  <c:v>5.8666666666666671</c:v>
                </c:pt>
                <c:pt idx="23">
                  <c:v>9.6666666666666661</c:v>
                </c:pt>
                <c:pt idx="24">
                  <c:v>10.466666666666667</c:v>
                </c:pt>
                <c:pt idx="25">
                  <c:v>9.6666666666666661</c:v>
                </c:pt>
                <c:pt idx="26">
                  <c:v>4.833333333333333</c:v>
                </c:pt>
                <c:pt idx="27">
                  <c:v>8.7666666666666657</c:v>
                </c:pt>
                <c:pt idx="28">
                  <c:v>10.933333333333332</c:v>
                </c:pt>
                <c:pt idx="29">
                  <c:v>7.666666666666667</c:v>
                </c:pt>
                <c:pt idx="30">
                  <c:v>8.6999999999999993</c:v>
                </c:pt>
                <c:pt idx="31">
                  <c:v>8.5</c:v>
                </c:pt>
                <c:pt idx="32">
                  <c:v>12.266666666666666</c:v>
                </c:pt>
                <c:pt idx="33">
                  <c:v>8.4</c:v>
                </c:pt>
                <c:pt idx="34">
                  <c:v>7.5333333333333341</c:v>
                </c:pt>
                <c:pt idx="35">
                  <c:v>5.3666666666666671</c:v>
                </c:pt>
                <c:pt idx="36">
                  <c:v>2.2000000000000002</c:v>
                </c:pt>
                <c:pt idx="37">
                  <c:v>-0.53333333333333333</c:v>
                </c:pt>
                <c:pt idx="38">
                  <c:v>1.7</c:v>
                </c:pt>
                <c:pt idx="39">
                  <c:v>-3.6333333333333333</c:v>
                </c:pt>
              </c:numCache>
            </c:numRef>
          </c:val>
          <c:smooth val="0"/>
          <c:extLst>
            <c:ext xmlns:c16="http://schemas.microsoft.com/office/drawing/2014/chart" uri="{C3380CC4-5D6E-409C-BE32-E72D297353CC}">
              <c16:uniqueId val="{0000000A-CD8A-46FE-9E09-5A32AD635081}"/>
            </c:ext>
          </c:extLst>
        </c:ser>
        <c:ser>
          <c:idx val="11"/>
          <c:order val="11"/>
          <c:tx>
            <c:strRef>
              <c:f>'Trh práce 1'!$AN$7</c:f>
              <c:strCache>
                <c:ptCount val="1"/>
                <c:pt idx="0">
                  <c:v>Employment expectations (construction)</c:v>
                </c:pt>
              </c:strCache>
            </c:strRef>
          </c:tx>
          <c:spPr>
            <a:ln w="15875">
              <a:solidFill>
                <a:srgbClr val="00B0F0"/>
              </a:solidFill>
              <a:prstDash val="sysDot"/>
            </a:ln>
          </c:spPr>
          <c:marker>
            <c:symbol val="none"/>
          </c:marker>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1'!$AN$8:$AN$47</c:f>
              <c:numCache>
                <c:formatCode>#\ ##0.0</c:formatCode>
                <c:ptCount val="40"/>
                <c:pt idx="0">
                  <c:v>-21.533333333333331</c:v>
                </c:pt>
                <c:pt idx="1">
                  <c:v>-26.166666666666668</c:v>
                </c:pt>
                <c:pt idx="2">
                  <c:v>-28.866666666666664</c:v>
                </c:pt>
                <c:pt idx="3">
                  <c:v>-33.833333333333336</c:v>
                </c:pt>
                <c:pt idx="4">
                  <c:v>-26.866666666666664</c:v>
                </c:pt>
                <c:pt idx="5">
                  <c:v>-28.7</c:v>
                </c:pt>
                <c:pt idx="6">
                  <c:v>-24.899999999999995</c:v>
                </c:pt>
                <c:pt idx="7">
                  <c:v>-23.533333333333331</c:v>
                </c:pt>
                <c:pt idx="8">
                  <c:v>-30.833333333333332</c:v>
                </c:pt>
                <c:pt idx="9">
                  <c:v>-30.633333333333336</c:v>
                </c:pt>
                <c:pt idx="10">
                  <c:v>-24.400000000000002</c:v>
                </c:pt>
                <c:pt idx="11">
                  <c:v>-30.8</c:v>
                </c:pt>
                <c:pt idx="12">
                  <c:v>-33.199999999999996</c:v>
                </c:pt>
                <c:pt idx="13">
                  <c:v>-40.1</c:v>
                </c:pt>
                <c:pt idx="14">
                  <c:v>-38.1</c:v>
                </c:pt>
                <c:pt idx="15">
                  <c:v>-27.433333333333337</c:v>
                </c:pt>
                <c:pt idx="16">
                  <c:v>-24.599999999999998</c:v>
                </c:pt>
                <c:pt idx="17">
                  <c:v>-16.599999999999998</c:v>
                </c:pt>
                <c:pt idx="18">
                  <c:v>-13.233333333333333</c:v>
                </c:pt>
                <c:pt idx="19">
                  <c:v>-8.9666666666666668</c:v>
                </c:pt>
                <c:pt idx="20">
                  <c:v>6.6666666666666693E-2</c:v>
                </c:pt>
                <c:pt idx="21">
                  <c:v>6.2666666666666666</c:v>
                </c:pt>
                <c:pt idx="22">
                  <c:v>3.0333333333333337</c:v>
                </c:pt>
                <c:pt idx="23">
                  <c:v>2.8333333333333335</c:v>
                </c:pt>
                <c:pt idx="24">
                  <c:v>-3.3333333333333361E-2</c:v>
                </c:pt>
                <c:pt idx="25">
                  <c:v>-5.833333333333333</c:v>
                </c:pt>
                <c:pt idx="26">
                  <c:v>-7.9333333333333336</c:v>
                </c:pt>
                <c:pt idx="27">
                  <c:v>-9.2666666666666657</c:v>
                </c:pt>
                <c:pt idx="28">
                  <c:v>-10.033333333333333</c:v>
                </c:pt>
                <c:pt idx="29">
                  <c:v>-11</c:v>
                </c:pt>
                <c:pt idx="30">
                  <c:v>-10.5</c:v>
                </c:pt>
                <c:pt idx="31">
                  <c:v>-3.2666666666666671</c:v>
                </c:pt>
                <c:pt idx="32">
                  <c:v>3.0666666666666664</c:v>
                </c:pt>
                <c:pt idx="33">
                  <c:v>5.0999999999999996</c:v>
                </c:pt>
                <c:pt idx="34">
                  <c:v>7.5999999999999988</c:v>
                </c:pt>
                <c:pt idx="35">
                  <c:v>12.133333333333335</c:v>
                </c:pt>
                <c:pt idx="36">
                  <c:v>11.800000000000002</c:v>
                </c:pt>
                <c:pt idx="37">
                  <c:v>12.033333333333333</c:v>
                </c:pt>
                <c:pt idx="38">
                  <c:v>6.1000000000000005</c:v>
                </c:pt>
                <c:pt idx="39">
                  <c:v>12.466666666666667</c:v>
                </c:pt>
              </c:numCache>
            </c:numRef>
          </c:val>
          <c:smooth val="0"/>
          <c:extLst>
            <c:ext xmlns:c16="http://schemas.microsoft.com/office/drawing/2014/chart" uri="{C3380CC4-5D6E-409C-BE32-E72D297353CC}">
              <c16:uniqueId val="{0000000B-CD8A-46FE-9E09-5A32AD635081}"/>
            </c:ext>
          </c:extLst>
        </c:ser>
        <c:ser>
          <c:idx val="12"/>
          <c:order val="12"/>
          <c:tx>
            <c:strRef>
              <c:f>'Trh práce 1'!$AO$7</c:f>
              <c:strCache>
                <c:ptCount val="1"/>
                <c:pt idx="0">
                  <c:v>Employment expectations (trade)</c:v>
                </c:pt>
              </c:strCache>
            </c:strRef>
          </c:tx>
          <c:spPr>
            <a:ln w="15875">
              <a:solidFill>
                <a:schemeClr val="accent6">
                  <a:lumMod val="75000"/>
                </a:schemeClr>
              </a:solidFill>
              <a:prstDash val="sysDot"/>
            </a:ln>
          </c:spPr>
          <c:marker>
            <c:symbol val="none"/>
          </c:marker>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1'!$AO$8:$AO$47</c:f>
              <c:numCache>
                <c:formatCode>#\ ##0.0</c:formatCode>
                <c:ptCount val="40"/>
                <c:pt idx="0">
                  <c:v>9.0333333333333332</c:v>
                </c:pt>
                <c:pt idx="1">
                  <c:v>2.9</c:v>
                </c:pt>
                <c:pt idx="2">
                  <c:v>1.3</c:v>
                </c:pt>
                <c:pt idx="3">
                  <c:v>8.9666666666666668</c:v>
                </c:pt>
                <c:pt idx="4">
                  <c:v>10.866666666666667</c:v>
                </c:pt>
                <c:pt idx="5">
                  <c:v>9.8666666666666671</c:v>
                </c:pt>
                <c:pt idx="6">
                  <c:v>2.7666666666666671</c:v>
                </c:pt>
                <c:pt idx="7">
                  <c:v>12.233333333333334</c:v>
                </c:pt>
                <c:pt idx="8">
                  <c:v>0.46666666666666679</c:v>
                </c:pt>
                <c:pt idx="9">
                  <c:v>7.2</c:v>
                </c:pt>
                <c:pt idx="10">
                  <c:v>0.56666666666666676</c:v>
                </c:pt>
                <c:pt idx="11">
                  <c:v>7.4000000000000012</c:v>
                </c:pt>
                <c:pt idx="12">
                  <c:v>0.9</c:v>
                </c:pt>
                <c:pt idx="13">
                  <c:v>3.2333333333333329</c:v>
                </c:pt>
                <c:pt idx="14">
                  <c:v>7.166666666666667</c:v>
                </c:pt>
                <c:pt idx="15">
                  <c:v>1.3666666666666665</c:v>
                </c:pt>
                <c:pt idx="16">
                  <c:v>6</c:v>
                </c:pt>
                <c:pt idx="17">
                  <c:v>-5.7333333333333334</c:v>
                </c:pt>
                <c:pt idx="18">
                  <c:v>3.6999999999999997</c:v>
                </c:pt>
                <c:pt idx="19">
                  <c:v>7.2333333333333334</c:v>
                </c:pt>
                <c:pt idx="20">
                  <c:v>13.266666666666666</c:v>
                </c:pt>
                <c:pt idx="21">
                  <c:v>7.5333333333333341</c:v>
                </c:pt>
                <c:pt idx="22">
                  <c:v>4.4333333333333336</c:v>
                </c:pt>
                <c:pt idx="23">
                  <c:v>4.5</c:v>
                </c:pt>
                <c:pt idx="24">
                  <c:v>15.633333333333333</c:v>
                </c:pt>
                <c:pt idx="25">
                  <c:v>21.466666666666669</c:v>
                </c:pt>
                <c:pt idx="26">
                  <c:v>20.633333333333333</c:v>
                </c:pt>
                <c:pt idx="27">
                  <c:v>16.933333333333334</c:v>
                </c:pt>
                <c:pt idx="28">
                  <c:v>16.633333333333336</c:v>
                </c:pt>
                <c:pt idx="29">
                  <c:v>18.8</c:v>
                </c:pt>
                <c:pt idx="30">
                  <c:v>19.266666666666666</c:v>
                </c:pt>
                <c:pt idx="31">
                  <c:v>13.733333333333334</c:v>
                </c:pt>
                <c:pt idx="32">
                  <c:v>24.333333333333332</c:v>
                </c:pt>
                <c:pt idx="33">
                  <c:v>28.833333333333332</c:v>
                </c:pt>
                <c:pt idx="34">
                  <c:v>24.866666666666664</c:v>
                </c:pt>
                <c:pt idx="35">
                  <c:v>18.766666666666669</c:v>
                </c:pt>
                <c:pt idx="36">
                  <c:v>15.633333333333335</c:v>
                </c:pt>
                <c:pt idx="37">
                  <c:v>14.033333333333333</c:v>
                </c:pt>
                <c:pt idx="38">
                  <c:v>15.200000000000001</c:v>
                </c:pt>
                <c:pt idx="39">
                  <c:v>13.233333333333334</c:v>
                </c:pt>
              </c:numCache>
            </c:numRef>
          </c:val>
          <c:smooth val="0"/>
          <c:extLst>
            <c:ext xmlns:c16="http://schemas.microsoft.com/office/drawing/2014/chart" uri="{C3380CC4-5D6E-409C-BE32-E72D297353CC}">
              <c16:uniqueId val="{0000000C-CD8A-46FE-9E09-5A32AD635081}"/>
            </c:ext>
          </c:extLst>
        </c:ser>
        <c:ser>
          <c:idx val="13"/>
          <c:order val="13"/>
          <c:tx>
            <c:strRef>
              <c:f>'Trh práce 1'!$AP$7</c:f>
              <c:strCache>
                <c:ptCount val="1"/>
                <c:pt idx="0">
                  <c:v>Employment expectations (select .services)</c:v>
                </c:pt>
              </c:strCache>
            </c:strRef>
          </c:tx>
          <c:spPr>
            <a:ln w="15875">
              <a:solidFill>
                <a:srgbClr val="C00000"/>
              </a:solidFill>
              <a:prstDash val="sysDot"/>
            </a:ln>
          </c:spPr>
          <c:marker>
            <c:symbol val="none"/>
          </c:marker>
          <c:cat>
            <c:multiLvlStrRef>
              <c:f>'Trh práce 1'!$AA$8:$AB$47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1'!$AP$8:$AP$47</c:f>
              <c:numCache>
                <c:formatCode>#\ ##0.0</c:formatCode>
                <c:ptCount val="40"/>
                <c:pt idx="0">
                  <c:v>-8.2333333333333325</c:v>
                </c:pt>
                <c:pt idx="1">
                  <c:v>-8.2666666666666657</c:v>
                </c:pt>
                <c:pt idx="2">
                  <c:v>-2.2666666666666666</c:v>
                </c:pt>
                <c:pt idx="3">
                  <c:v>-11.6</c:v>
                </c:pt>
                <c:pt idx="4">
                  <c:v>-16.033333333333335</c:v>
                </c:pt>
                <c:pt idx="5">
                  <c:v>-11.266666666666666</c:v>
                </c:pt>
                <c:pt idx="6">
                  <c:v>-8.8333333333333339</c:v>
                </c:pt>
                <c:pt idx="7">
                  <c:v>-4.2</c:v>
                </c:pt>
                <c:pt idx="8">
                  <c:v>-3.3000000000000003</c:v>
                </c:pt>
                <c:pt idx="9">
                  <c:v>-10.033333333333333</c:v>
                </c:pt>
                <c:pt idx="10">
                  <c:v>-8.6333333333333329</c:v>
                </c:pt>
                <c:pt idx="11">
                  <c:v>-3.1666666666666665</c:v>
                </c:pt>
                <c:pt idx="12">
                  <c:v>-9.5</c:v>
                </c:pt>
                <c:pt idx="13">
                  <c:v>-33.133333333333333</c:v>
                </c:pt>
                <c:pt idx="14">
                  <c:v>-24.033333333333331</c:v>
                </c:pt>
                <c:pt idx="15">
                  <c:v>-14.366666666666665</c:v>
                </c:pt>
                <c:pt idx="16">
                  <c:v>-14.4</c:v>
                </c:pt>
                <c:pt idx="17">
                  <c:v>-8.8999999999999986</c:v>
                </c:pt>
                <c:pt idx="18">
                  <c:v>-12.833333333333334</c:v>
                </c:pt>
                <c:pt idx="19">
                  <c:v>-10.066666666666668</c:v>
                </c:pt>
                <c:pt idx="20">
                  <c:v>-15.933333333333332</c:v>
                </c:pt>
                <c:pt idx="21">
                  <c:v>-17.366666666666667</c:v>
                </c:pt>
                <c:pt idx="22">
                  <c:v>0.16666666666666666</c:v>
                </c:pt>
                <c:pt idx="23">
                  <c:v>1.6000000000000003</c:v>
                </c:pt>
                <c:pt idx="24">
                  <c:v>2.2333333333333329</c:v>
                </c:pt>
                <c:pt idx="25">
                  <c:v>22.833333333333332</c:v>
                </c:pt>
                <c:pt idx="26">
                  <c:v>-0.33333333333333331</c:v>
                </c:pt>
                <c:pt idx="27">
                  <c:v>7.6000000000000005</c:v>
                </c:pt>
                <c:pt idx="28">
                  <c:v>11.633333333333333</c:v>
                </c:pt>
                <c:pt idx="29">
                  <c:v>9.7666666666666675</c:v>
                </c:pt>
                <c:pt idx="30">
                  <c:v>17.733333333333331</c:v>
                </c:pt>
                <c:pt idx="31">
                  <c:v>3.5666666666666664</c:v>
                </c:pt>
                <c:pt idx="32">
                  <c:v>14.299999999999999</c:v>
                </c:pt>
                <c:pt idx="33">
                  <c:v>10.1</c:v>
                </c:pt>
                <c:pt idx="34">
                  <c:v>6.0666666666666664</c:v>
                </c:pt>
                <c:pt idx="35">
                  <c:v>-6.9666666666666659</c:v>
                </c:pt>
                <c:pt idx="36">
                  <c:v>-12.033333333333331</c:v>
                </c:pt>
                <c:pt idx="37">
                  <c:v>-6.4666666666666677</c:v>
                </c:pt>
                <c:pt idx="38">
                  <c:v>-7.9666666666666677</c:v>
                </c:pt>
                <c:pt idx="39">
                  <c:v>-11.799999999999999</c:v>
                </c:pt>
              </c:numCache>
            </c:numRef>
          </c:val>
          <c:smooth val="0"/>
          <c:extLst>
            <c:ext xmlns:c16="http://schemas.microsoft.com/office/drawing/2014/chart" uri="{C3380CC4-5D6E-409C-BE32-E72D297353CC}">
              <c16:uniqueId val="{0000000D-CD8A-46FE-9E09-5A32AD635081}"/>
            </c:ext>
          </c:extLst>
        </c:ser>
        <c:dLbls>
          <c:showLegendKey val="0"/>
          <c:showVal val="0"/>
          <c:showCatName val="0"/>
          <c:showSerName val="0"/>
          <c:showPercent val="0"/>
          <c:showBubbleSize val="0"/>
        </c:dLbls>
        <c:marker val="1"/>
        <c:smooth val="0"/>
        <c:axId val="332941824"/>
        <c:axId val="332936832"/>
      </c:lineChart>
      <c:catAx>
        <c:axId val="101898496"/>
        <c:scaling>
          <c:orientation val="minMax"/>
        </c:scaling>
        <c:delete val="0"/>
        <c:axPos val="b"/>
        <c:numFmt formatCode="General" sourceLinked="1"/>
        <c:majorTickMark val="out"/>
        <c:minorTickMark val="none"/>
        <c:tickLblPos val="low"/>
        <c:spPr>
          <a:ln>
            <a:solidFill>
              <a:schemeClr val="tx1"/>
            </a:solidFill>
          </a:ln>
        </c:spPr>
        <c:crossAx val="101781504"/>
        <c:crosses val="autoZero"/>
        <c:auto val="1"/>
        <c:lblAlgn val="ctr"/>
        <c:lblOffset val="10"/>
        <c:noMultiLvlLbl val="0"/>
      </c:catAx>
      <c:valAx>
        <c:axId val="101781504"/>
        <c:scaling>
          <c:orientation val="minMax"/>
          <c:max val="2"/>
          <c:min val="-3"/>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Contribution to the employment growth</a:t>
                </a:r>
                <a:endParaRPr lang="cs-CZ" sz="700">
                  <a:effectLst/>
                </a:endParaRPr>
              </a:p>
            </c:rich>
          </c:tx>
          <c:layout>
            <c:manualLayout>
              <c:xMode val="edge"/>
              <c:yMode val="edge"/>
              <c:x val="0"/>
              <c:y val="0.13368399505206416"/>
            </c:manualLayout>
          </c:layout>
          <c:overlay val="0"/>
        </c:title>
        <c:numFmt formatCode="0.0" sourceLinked="0"/>
        <c:majorTickMark val="out"/>
        <c:minorTickMark val="none"/>
        <c:tickLblPos val="nextTo"/>
        <c:spPr>
          <a:ln>
            <a:solidFill>
              <a:schemeClr val="tx1"/>
            </a:solidFill>
          </a:ln>
        </c:spPr>
        <c:crossAx val="101898496"/>
        <c:crosses val="autoZero"/>
        <c:crossBetween val="between"/>
        <c:majorUnit val="0.5"/>
      </c:valAx>
      <c:valAx>
        <c:axId val="332936832"/>
        <c:scaling>
          <c:orientation val="minMax"/>
          <c:max val="120"/>
          <c:min val="-8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Expectations of the employment development</a:t>
                </a:r>
                <a:endParaRPr lang="cs-CZ" sz="700">
                  <a:effectLst/>
                </a:endParaRPr>
              </a:p>
            </c:rich>
          </c:tx>
          <c:layout>
            <c:manualLayout>
              <c:xMode val="edge"/>
              <c:yMode val="edge"/>
              <c:x val="0.97040343782834393"/>
              <c:y val="0.10360124774033656"/>
            </c:manualLayout>
          </c:layout>
          <c:overlay val="0"/>
        </c:title>
        <c:numFmt formatCode="#,##0" sourceLinked="0"/>
        <c:majorTickMark val="out"/>
        <c:minorTickMark val="none"/>
        <c:tickLblPos val="nextTo"/>
        <c:crossAx val="332941824"/>
        <c:crosses val="max"/>
        <c:crossBetween val="between"/>
        <c:majorUnit val="20"/>
      </c:valAx>
      <c:catAx>
        <c:axId val="332941824"/>
        <c:scaling>
          <c:orientation val="minMax"/>
        </c:scaling>
        <c:delete val="1"/>
        <c:axPos val="b"/>
        <c:numFmt formatCode="General" sourceLinked="1"/>
        <c:majorTickMark val="out"/>
        <c:minorTickMark val="none"/>
        <c:tickLblPos val="nextTo"/>
        <c:crossAx val="332936832"/>
        <c:crosses val="autoZero"/>
        <c:auto val="1"/>
        <c:lblAlgn val="ctr"/>
        <c:lblOffset val="100"/>
        <c:noMultiLvlLbl val="0"/>
      </c:catAx>
      <c:spPr>
        <a:ln>
          <a:solidFill>
            <a:schemeClr val="tx1"/>
          </a:solidFill>
        </a:ln>
      </c:spPr>
    </c:plotArea>
    <c:legend>
      <c:legendPos val="b"/>
      <c:layout>
        <c:manualLayout>
          <c:xMode val="edge"/>
          <c:yMode val="edge"/>
          <c:x val="4.692510837063792E-3"/>
          <c:y val="0.77721995813791656"/>
          <c:w val="0.98684114511605581"/>
          <c:h val="0.21194618315349945"/>
        </c:manualLayout>
      </c:layout>
      <c:overlay val="0"/>
      <c:spPr>
        <a:ln w="6350">
          <a:solidFill>
            <a:schemeClr val="tx1"/>
          </a:solidFill>
        </a:ln>
      </c:spPr>
      <c:txPr>
        <a:bodyPr/>
        <a:lstStyle/>
        <a:p>
          <a:pPr>
            <a:defRPr sz="80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697263565753378E-2"/>
          <c:y val="1.643251153889452E-2"/>
          <c:w val="0.83839806307587983"/>
          <c:h val="0.71717732016303248"/>
        </c:manualLayout>
      </c:layout>
      <c:barChart>
        <c:barDir val="col"/>
        <c:grouping val="clustered"/>
        <c:varyColors val="0"/>
        <c:ser>
          <c:idx val="0"/>
          <c:order val="0"/>
          <c:tx>
            <c:strRef>
              <c:f>'Trh práce-2b'!$A$31</c:f>
              <c:strCache>
                <c:ptCount val="1"/>
                <c:pt idx="0">
                  <c:v>Male unemployment rate (left axis)</c:v>
                </c:pt>
              </c:strCache>
            </c:strRef>
          </c:tx>
          <c:spPr>
            <a:solidFill>
              <a:srgbClr val="BCBCBC"/>
            </a:solidFill>
          </c:spPr>
          <c:invertIfNegative val="0"/>
          <c:cat>
            <c:multiLvlStrRef>
              <c:f>'Trh práce-2b'!$B$29:$AO$30</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práce-2b'!$B$31:$AO$31</c:f>
              <c:numCache>
                <c:formatCode>0.0</c:formatCode>
                <c:ptCount val="40"/>
                <c:pt idx="0">
                  <c:v>7.1222310587771291</c:v>
                </c:pt>
                <c:pt idx="1">
                  <c:v>6.5040963590294716</c:v>
                </c:pt>
                <c:pt idx="2">
                  <c:v>6.1868298155356714</c:v>
                </c:pt>
                <c:pt idx="3">
                  <c:v>6.0848882855580584</c:v>
                </c:pt>
                <c:pt idx="4">
                  <c:v>6.0823251809830436</c:v>
                </c:pt>
                <c:pt idx="5">
                  <c:v>5.9928759221196399</c:v>
                </c:pt>
                <c:pt idx="6">
                  <c:v>5.7708185494822901</c:v>
                </c:pt>
                <c:pt idx="7">
                  <c:v>5.7014641222192459</c:v>
                </c:pt>
                <c:pt idx="8">
                  <c:v>6.0239816383476628</c:v>
                </c:pt>
                <c:pt idx="9">
                  <c:v>5.9801789293095675</c:v>
                </c:pt>
                <c:pt idx="10">
                  <c:v>6.0589931989742736</c:v>
                </c:pt>
                <c:pt idx="11">
                  <c:v>6.2657814315983247</c:v>
                </c:pt>
                <c:pt idx="12">
                  <c:v>6.2974849295155861</c:v>
                </c:pt>
                <c:pt idx="13">
                  <c:v>5.8901278612560946</c:v>
                </c:pt>
                <c:pt idx="14">
                  <c:v>5.9288110102844094</c:v>
                </c:pt>
                <c:pt idx="15">
                  <c:v>5.7714934517862053</c:v>
                </c:pt>
                <c:pt idx="16">
                  <c:v>5.559785395869663</c:v>
                </c:pt>
                <c:pt idx="17">
                  <c:v>5.2121421394263416</c:v>
                </c:pt>
                <c:pt idx="18">
                  <c:v>4.9395151914829318</c:v>
                </c:pt>
                <c:pt idx="19">
                  <c:v>5.0388256676825582</c:v>
                </c:pt>
                <c:pt idx="20">
                  <c:v>5.0131874044559908</c:v>
                </c:pt>
                <c:pt idx="21">
                  <c:v>4.3665973324378511</c:v>
                </c:pt>
                <c:pt idx="22">
                  <c:v>4.0729915934785934</c:v>
                </c:pt>
                <c:pt idx="23">
                  <c:v>3.7787875638426542</c:v>
                </c:pt>
                <c:pt idx="24">
                  <c:v>3.6311432847180378</c:v>
                </c:pt>
                <c:pt idx="25">
                  <c:v>3.5884049321478262</c:v>
                </c:pt>
                <c:pt idx="26">
                  <c:v>3.3848774667099542</c:v>
                </c:pt>
                <c:pt idx="27">
                  <c:v>3.1582150231520685</c:v>
                </c:pt>
                <c:pt idx="28">
                  <c:v>2.6944030725801049</c:v>
                </c:pt>
                <c:pt idx="29">
                  <c:v>2.4854239584490876</c:v>
                </c:pt>
                <c:pt idx="30">
                  <c:v>2.2612852951801585</c:v>
                </c:pt>
                <c:pt idx="31">
                  <c:v>2.040692712952787</c:v>
                </c:pt>
                <c:pt idx="32">
                  <c:v>1.8847925419201967</c:v>
                </c:pt>
                <c:pt idx="33">
                  <c:v>1.8540598888851292</c:v>
                </c:pt>
                <c:pt idx="34">
                  <c:v>1.9092987517683013</c:v>
                </c:pt>
                <c:pt idx="35">
                  <c:v>1.6599173719031948</c:v>
                </c:pt>
                <c:pt idx="36">
                  <c:v>1.7882609909945124</c:v>
                </c:pt>
                <c:pt idx="37">
                  <c:v>1.7098991555637735</c:v>
                </c:pt>
                <c:pt idx="38">
                  <c:v>1.7645142593045797</c:v>
                </c:pt>
                <c:pt idx="39">
                  <c:v>1.8360188093062124</c:v>
                </c:pt>
              </c:numCache>
            </c:numRef>
          </c:val>
          <c:extLst>
            <c:ext xmlns:c16="http://schemas.microsoft.com/office/drawing/2014/chart" uri="{C3380CC4-5D6E-409C-BE32-E72D297353CC}">
              <c16:uniqueId val="{00000000-B36D-4C00-A64A-8366E25C22F4}"/>
            </c:ext>
          </c:extLst>
        </c:ser>
        <c:ser>
          <c:idx val="1"/>
          <c:order val="1"/>
          <c:tx>
            <c:strRef>
              <c:f>'Trh práce-2b'!$A$32</c:f>
              <c:strCache>
                <c:ptCount val="1"/>
                <c:pt idx="0">
                  <c:v>Female unemployment rate (left axis)</c:v>
                </c:pt>
              </c:strCache>
            </c:strRef>
          </c:tx>
          <c:spPr>
            <a:solidFill>
              <a:srgbClr val="DBDBDB"/>
            </a:solidFill>
          </c:spPr>
          <c:invertIfNegative val="0"/>
          <c:cat>
            <c:multiLvlStrRef>
              <c:f>'Trh práce-2b'!$B$29:$AO$30</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práce-2b'!$B$32:$AO$32</c:f>
              <c:numCache>
                <c:formatCode>0.0</c:formatCode>
                <c:ptCount val="40"/>
                <c:pt idx="0">
                  <c:v>8.7733402383789016</c:v>
                </c:pt>
                <c:pt idx="1">
                  <c:v>8.5938620698086066</c:v>
                </c:pt>
                <c:pt idx="2">
                  <c:v>8.4905329595836481</c:v>
                </c:pt>
                <c:pt idx="3">
                  <c:v>8.2864813825391987</c:v>
                </c:pt>
                <c:pt idx="4">
                  <c:v>8.1849032102688568</c:v>
                </c:pt>
                <c:pt idx="5">
                  <c:v>8.1327892524667682</c:v>
                </c:pt>
                <c:pt idx="6">
                  <c:v>7.7852582093109755</c:v>
                </c:pt>
                <c:pt idx="7">
                  <c:v>7.7218638220286584</c:v>
                </c:pt>
                <c:pt idx="8">
                  <c:v>8.0487235217360134</c:v>
                </c:pt>
                <c:pt idx="9">
                  <c:v>8.1767532390671356</c:v>
                </c:pt>
                <c:pt idx="10">
                  <c:v>8.3337721655396795</c:v>
                </c:pt>
                <c:pt idx="11">
                  <c:v>8.5386853099826521</c:v>
                </c:pt>
                <c:pt idx="12">
                  <c:v>8.5152821206058942</c:v>
                </c:pt>
                <c:pt idx="13">
                  <c:v>8.4036038465033425</c:v>
                </c:pt>
                <c:pt idx="14">
                  <c:v>8.3854818028639304</c:v>
                </c:pt>
                <c:pt idx="15">
                  <c:v>8.2646869829213596</c:v>
                </c:pt>
                <c:pt idx="16">
                  <c:v>8.0359917337276272</c:v>
                </c:pt>
                <c:pt idx="17">
                  <c:v>7.6400306885858456</c:v>
                </c:pt>
                <c:pt idx="18">
                  <c:v>7.3084030205244295</c:v>
                </c:pt>
                <c:pt idx="19">
                  <c:v>7.0236358007751685</c:v>
                </c:pt>
                <c:pt idx="20">
                  <c:v>6.9017066920912056</c:v>
                </c:pt>
                <c:pt idx="21">
                  <c:v>6.2230788817730209</c:v>
                </c:pt>
                <c:pt idx="22">
                  <c:v>5.9454546131348947</c:v>
                </c:pt>
                <c:pt idx="23">
                  <c:v>5.6469230753439321</c:v>
                </c:pt>
                <c:pt idx="24">
                  <c:v>5.0811354114478666</c:v>
                </c:pt>
                <c:pt idx="25">
                  <c:v>4.8144257379947879</c:v>
                </c:pt>
                <c:pt idx="26">
                  <c:v>4.8107664564398975</c:v>
                </c:pt>
                <c:pt idx="27">
                  <c:v>4.3670752340835293</c:v>
                </c:pt>
                <c:pt idx="28">
                  <c:v>4.2774258523174993</c:v>
                </c:pt>
                <c:pt idx="29">
                  <c:v>3.9233706935585384</c:v>
                </c:pt>
                <c:pt idx="30">
                  <c:v>3.3879677757094817</c:v>
                </c:pt>
                <c:pt idx="31">
                  <c:v>3.0614906274190763</c:v>
                </c:pt>
                <c:pt idx="32">
                  <c:v>2.925945543020672</c:v>
                </c:pt>
                <c:pt idx="33">
                  <c:v>2.8766197502061659</c:v>
                </c:pt>
                <c:pt idx="34">
                  <c:v>2.8424748719260826</c:v>
                </c:pt>
                <c:pt idx="35">
                  <c:v>2.6569960181597883</c:v>
                </c:pt>
                <c:pt idx="36">
                  <c:v>2.2907914537077962</c:v>
                </c:pt>
                <c:pt idx="37">
                  <c:v>2.4938344627531768</c:v>
                </c:pt>
                <c:pt idx="38">
                  <c:v>2.5519285145904789</c:v>
                </c:pt>
                <c:pt idx="39">
                  <c:v>2.4255311475670802</c:v>
                </c:pt>
              </c:numCache>
            </c:numRef>
          </c:val>
          <c:extLst>
            <c:ext xmlns:c16="http://schemas.microsoft.com/office/drawing/2014/chart" uri="{C3380CC4-5D6E-409C-BE32-E72D297353CC}">
              <c16:uniqueId val="{00000001-B36D-4C00-A64A-8366E25C22F4}"/>
            </c:ext>
          </c:extLst>
        </c:ser>
        <c:dLbls>
          <c:showLegendKey val="0"/>
          <c:showVal val="0"/>
          <c:showCatName val="0"/>
          <c:showSerName val="0"/>
          <c:showPercent val="0"/>
          <c:showBubbleSize val="0"/>
        </c:dLbls>
        <c:gapWidth val="68"/>
        <c:axId val="100654464"/>
        <c:axId val="101647488"/>
      </c:barChart>
      <c:lineChart>
        <c:grouping val="standard"/>
        <c:varyColors val="0"/>
        <c:ser>
          <c:idx val="2"/>
          <c:order val="2"/>
          <c:tx>
            <c:strRef>
              <c:f>'Trh práce-2b'!$A$33</c:f>
              <c:strCache>
                <c:ptCount val="1"/>
                <c:pt idx="0">
                  <c:v>Ratio of unemployed more than 1 year (in %, right axis)</c:v>
                </c:pt>
              </c:strCache>
            </c:strRef>
          </c:tx>
          <c:spPr>
            <a:ln w="22225"/>
          </c:spPr>
          <c:marker>
            <c:symbol val="none"/>
          </c:marker>
          <c:cat>
            <c:multiLvlStrRef>
              <c:f>'Trh práce-2b'!$B$29:$AO$30</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práce-2b'!$B$33:$AO$33</c:f>
              <c:numCache>
                <c:formatCode>0.0</c:formatCode>
                <c:ptCount val="40"/>
                <c:pt idx="0">
                  <c:v>35.786982248520715</c:v>
                </c:pt>
                <c:pt idx="1">
                  <c:v>41.548731642189587</c:v>
                </c:pt>
                <c:pt idx="2">
                  <c:v>43.063352044907781</c:v>
                </c:pt>
                <c:pt idx="3">
                  <c:v>44.061724993111056</c:v>
                </c:pt>
                <c:pt idx="4">
                  <c:v>40.032197477864237</c:v>
                </c:pt>
                <c:pt idx="5">
                  <c:v>39.10073989755265</c:v>
                </c:pt>
                <c:pt idx="6">
                  <c:v>40.443536620951271</c:v>
                </c:pt>
                <c:pt idx="7">
                  <c:v>42.797494780793315</c:v>
                </c:pt>
                <c:pt idx="8">
                  <c:v>43.093174431202605</c:v>
                </c:pt>
                <c:pt idx="9">
                  <c:v>44.343117697349683</c:v>
                </c:pt>
                <c:pt idx="10">
                  <c:v>43.272628431639035</c:v>
                </c:pt>
                <c:pt idx="11">
                  <c:v>42.710255734247298</c:v>
                </c:pt>
                <c:pt idx="12">
                  <c:v>43.264578558696208</c:v>
                </c:pt>
                <c:pt idx="13">
                  <c:v>44.41340782122905</c:v>
                </c:pt>
                <c:pt idx="14">
                  <c:v>43.695887445887443</c:v>
                </c:pt>
                <c:pt idx="15">
                  <c:v>42.290377039954983</c:v>
                </c:pt>
                <c:pt idx="16">
                  <c:v>41.140301844605929</c:v>
                </c:pt>
                <c:pt idx="17">
                  <c:v>43.188951663527931</c:v>
                </c:pt>
                <c:pt idx="18">
                  <c:v>43.811960345378957</c:v>
                </c:pt>
                <c:pt idx="19">
                  <c:v>46.249590566655755</c:v>
                </c:pt>
                <c:pt idx="20">
                  <c:v>45.762175838077162</c:v>
                </c:pt>
                <c:pt idx="21">
                  <c:v>46.715049656226128</c:v>
                </c:pt>
                <c:pt idx="22">
                  <c:v>48.521400778210108</c:v>
                </c:pt>
                <c:pt idx="23">
                  <c:v>48.542458808618512</c:v>
                </c:pt>
                <c:pt idx="24">
                  <c:v>45.847750865051907</c:v>
                </c:pt>
                <c:pt idx="25">
                  <c:v>43.490701001430608</c:v>
                </c:pt>
                <c:pt idx="26">
                  <c:v>39.295774647887328</c:v>
                </c:pt>
                <c:pt idx="27">
                  <c:v>39.196242171189979</c:v>
                </c:pt>
                <c:pt idx="28">
                  <c:v>37.093275488069416</c:v>
                </c:pt>
                <c:pt idx="29">
                  <c:v>37.366099558916197</c:v>
                </c:pt>
                <c:pt idx="30">
                  <c:v>32.798931195724784</c:v>
                </c:pt>
                <c:pt idx="31">
                  <c:v>31.546231546231553</c:v>
                </c:pt>
                <c:pt idx="32">
                  <c:v>31.741140215716484</c:v>
                </c:pt>
                <c:pt idx="33">
                  <c:v>30.28764805414551</c:v>
                </c:pt>
                <c:pt idx="34">
                  <c:v>28.796223446105422</c:v>
                </c:pt>
                <c:pt idx="35">
                  <c:v>31.317689530685922</c:v>
                </c:pt>
                <c:pt idx="36">
                  <c:v>32.360984503190522</c:v>
                </c:pt>
                <c:pt idx="37">
                  <c:v>32.2265625</c:v>
                </c:pt>
                <c:pt idx="38">
                  <c:v>26.979982593559615</c:v>
                </c:pt>
                <c:pt idx="39">
                  <c:v>28.623853211009177</c:v>
                </c:pt>
              </c:numCache>
            </c:numRef>
          </c:val>
          <c:smooth val="0"/>
          <c:extLst>
            <c:ext xmlns:c16="http://schemas.microsoft.com/office/drawing/2014/chart" uri="{C3380CC4-5D6E-409C-BE32-E72D297353CC}">
              <c16:uniqueId val="{00000002-B36D-4C00-A64A-8366E25C22F4}"/>
            </c:ext>
          </c:extLst>
        </c:ser>
        <c:ser>
          <c:idx val="3"/>
          <c:order val="3"/>
          <c:tx>
            <c:strRef>
              <c:f>'Trh práce-2b'!$A$34</c:f>
              <c:strCache>
                <c:ptCount val="1"/>
                <c:pt idx="0">
                  <c:v>Ratio of unemployed aged 50+ (in %, right axis)</c:v>
                </c:pt>
              </c:strCache>
            </c:strRef>
          </c:tx>
          <c:spPr>
            <a:ln w="22225"/>
          </c:spPr>
          <c:marker>
            <c:symbol val="none"/>
          </c:marker>
          <c:cat>
            <c:multiLvlStrRef>
              <c:f>'Trh práce-2b'!$B$29:$AO$30</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práce-2b'!$B$34:$AO$34</c:f>
              <c:numCache>
                <c:formatCode>0.0</c:formatCode>
                <c:ptCount val="40"/>
                <c:pt idx="0">
                  <c:v>22.485207100591715</c:v>
                </c:pt>
                <c:pt idx="1">
                  <c:v>23.791722296395193</c:v>
                </c:pt>
                <c:pt idx="2">
                  <c:v>23.656776263031272</c:v>
                </c:pt>
                <c:pt idx="3">
                  <c:v>24.221548635987876</c:v>
                </c:pt>
                <c:pt idx="4">
                  <c:v>24.577408103031928</c:v>
                </c:pt>
                <c:pt idx="5">
                  <c:v>23.107569721115539</c:v>
                </c:pt>
                <c:pt idx="6">
                  <c:v>22.935512109716953</c:v>
                </c:pt>
                <c:pt idx="7">
                  <c:v>22.875037280047721</c:v>
                </c:pt>
                <c:pt idx="8">
                  <c:v>22.914409534127845</c:v>
                </c:pt>
                <c:pt idx="9">
                  <c:v>22.969506982046166</c:v>
                </c:pt>
                <c:pt idx="10">
                  <c:v>20.76651263930416</c:v>
                </c:pt>
                <c:pt idx="11">
                  <c:v>23.912470340100185</c:v>
                </c:pt>
                <c:pt idx="12">
                  <c:v>22.969187675070028</c:v>
                </c:pt>
                <c:pt idx="13">
                  <c:v>22.793296089385471</c:v>
                </c:pt>
                <c:pt idx="14">
                  <c:v>21.13095238095238</c:v>
                </c:pt>
                <c:pt idx="15">
                  <c:v>22.059651097355097</c:v>
                </c:pt>
                <c:pt idx="16">
                  <c:v>23.141419787590831</c:v>
                </c:pt>
                <c:pt idx="17">
                  <c:v>21.720025109855616</c:v>
                </c:pt>
                <c:pt idx="18">
                  <c:v>22.161816437480013</c:v>
                </c:pt>
                <c:pt idx="19">
                  <c:v>20.962987225679658</c:v>
                </c:pt>
                <c:pt idx="20">
                  <c:v>23.213156230234031</c:v>
                </c:pt>
                <c:pt idx="21">
                  <c:v>24.140565317035907</c:v>
                </c:pt>
                <c:pt idx="22">
                  <c:v>22.451361867704282</c:v>
                </c:pt>
                <c:pt idx="23">
                  <c:v>23.954372623574148</c:v>
                </c:pt>
                <c:pt idx="24">
                  <c:v>28.157439446366784</c:v>
                </c:pt>
                <c:pt idx="25">
                  <c:v>26.180257510729614</c:v>
                </c:pt>
                <c:pt idx="26">
                  <c:v>22.86384976525822</c:v>
                </c:pt>
                <c:pt idx="27">
                  <c:v>24.947807933194156</c:v>
                </c:pt>
                <c:pt idx="28">
                  <c:v>26.138828633405641</c:v>
                </c:pt>
                <c:pt idx="29">
                  <c:v>24.763705103969755</c:v>
                </c:pt>
                <c:pt idx="30">
                  <c:v>23.380093520374086</c:v>
                </c:pt>
                <c:pt idx="31">
                  <c:v>23.931623931623935</c:v>
                </c:pt>
                <c:pt idx="32">
                  <c:v>25.808936825885976</c:v>
                </c:pt>
                <c:pt idx="33">
                  <c:v>24.957698815566832</c:v>
                </c:pt>
                <c:pt idx="34">
                  <c:v>24.311565696302122</c:v>
                </c:pt>
                <c:pt idx="35">
                  <c:v>23.285198555956679</c:v>
                </c:pt>
                <c:pt idx="36">
                  <c:v>26.253418413855972</c:v>
                </c:pt>
                <c:pt idx="37">
                  <c:v>24.609374999999996</c:v>
                </c:pt>
                <c:pt idx="38">
                  <c:v>26.02262837249782</c:v>
                </c:pt>
                <c:pt idx="39">
                  <c:v>25.596330275229356</c:v>
                </c:pt>
              </c:numCache>
            </c:numRef>
          </c:val>
          <c:smooth val="0"/>
          <c:extLst>
            <c:ext xmlns:c16="http://schemas.microsoft.com/office/drawing/2014/chart" uri="{C3380CC4-5D6E-409C-BE32-E72D297353CC}">
              <c16:uniqueId val="{00000003-B36D-4C00-A64A-8366E25C22F4}"/>
            </c:ext>
          </c:extLst>
        </c:ser>
        <c:ser>
          <c:idx val="4"/>
          <c:order val="4"/>
          <c:tx>
            <c:strRef>
              <c:f>'Trh práce-2b'!$A$35</c:f>
              <c:strCache>
                <c:ptCount val="1"/>
                <c:pt idx="0">
                  <c:v>Economically inactive seeking emplkoyment (right axis)*</c:v>
                </c:pt>
              </c:strCache>
            </c:strRef>
          </c:tx>
          <c:spPr>
            <a:ln w="22225"/>
          </c:spPr>
          <c:marker>
            <c:symbol val="none"/>
          </c:marker>
          <c:cat>
            <c:multiLvlStrRef>
              <c:f>'Trh práce-2b'!$B$29:$AO$30</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práce-2b'!$B$35:$AO$35</c:f>
              <c:numCache>
                <c:formatCode>0.0</c:formatCode>
                <c:ptCount val="40"/>
                <c:pt idx="0">
                  <c:v>183.00000000000003</c:v>
                </c:pt>
                <c:pt idx="1">
                  <c:v>183.20000000000002</c:v>
                </c:pt>
                <c:pt idx="2">
                  <c:v>172.5</c:v>
                </c:pt>
                <c:pt idx="3">
                  <c:v>172.00000000000003</c:v>
                </c:pt>
                <c:pt idx="4">
                  <c:v>193.70000000000002</c:v>
                </c:pt>
                <c:pt idx="5">
                  <c:v>184.4</c:v>
                </c:pt>
                <c:pt idx="6">
                  <c:v>188.9</c:v>
                </c:pt>
                <c:pt idx="7">
                  <c:v>183.20000000000002</c:v>
                </c:pt>
                <c:pt idx="8">
                  <c:v>196.60000000000002</c:v>
                </c:pt>
                <c:pt idx="9">
                  <c:v>176.5</c:v>
                </c:pt>
                <c:pt idx="10">
                  <c:v>166.9</c:v>
                </c:pt>
                <c:pt idx="11">
                  <c:v>154.60000000000002</c:v>
                </c:pt>
                <c:pt idx="12">
                  <c:v>167.8</c:v>
                </c:pt>
                <c:pt idx="13">
                  <c:v>147.19999999999999</c:v>
                </c:pt>
                <c:pt idx="14">
                  <c:v>138.80000000000001</c:v>
                </c:pt>
                <c:pt idx="15">
                  <c:v>139.30000000000001</c:v>
                </c:pt>
                <c:pt idx="16">
                  <c:v>145.4</c:v>
                </c:pt>
                <c:pt idx="17">
                  <c:v>137.1</c:v>
                </c:pt>
                <c:pt idx="18">
                  <c:v>129</c:v>
                </c:pt>
                <c:pt idx="19">
                  <c:v>127.10000000000001</c:v>
                </c:pt>
                <c:pt idx="20" formatCode="General">
                  <c:v>138.5</c:v>
                </c:pt>
                <c:pt idx="21" formatCode="General">
                  <c:v>141.4</c:v>
                </c:pt>
                <c:pt idx="22" formatCode="General">
                  <c:v>137.1</c:v>
                </c:pt>
                <c:pt idx="23" formatCode="General">
                  <c:v>130.4</c:v>
                </c:pt>
                <c:pt idx="24" formatCode="General">
                  <c:v>141</c:v>
                </c:pt>
                <c:pt idx="25" formatCode="General">
                  <c:v>126.4</c:v>
                </c:pt>
                <c:pt idx="26" formatCode="General">
                  <c:v>129.69999999999999</c:v>
                </c:pt>
                <c:pt idx="27" formatCode="General">
                  <c:v>127.1</c:v>
                </c:pt>
                <c:pt idx="28">
                  <c:v>133.1</c:v>
                </c:pt>
                <c:pt idx="29">
                  <c:v>120.1</c:v>
                </c:pt>
                <c:pt idx="30">
                  <c:v>121.3</c:v>
                </c:pt>
                <c:pt idx="31">
                  <c:v>119.1</c:v>
                </c:pt>
                <c:pt idx="32">
                  <c:v>113.5</c:v>
                </c:pt>
                <c:pt idx="33">
                  <c:v>108.4</c:v>
                </c:pt>
                <c:pt idx="34">
                  <c:v>110.3</c:v>
                </c:pt>
                <c:pt idx="35">
                  <c:v>101.7</c:v>
                </c:pt>
                <c:pt idx="36">
                  <c:v>104.6</c:v>
                </c:pt>
                <c:pt idx="37">
                  <c:v>104.6</c:v>
                </c:pt>
                <c:pt idx="38">
                  <c:v>98</c:v>
                </c:pt>
                <c:pt idx="39">
                  <c:v>99.9</c:v>
                </c:pt>
              </c:numCache>
            </c:numRef>
          </c:val>
          <c:smooth val="0"/>
          <c:extLst>
            <c:ext xmlns:c16="http://schemas.microsoft.com/office/drawing/2014/chart" uri="{C3380CC4-5D6E-409C-BE32-E72D297353CC}">
              <c16:uniqueId val="{00000004-B36D-4C00-A64A-8366E25C22F4}"/>
            </c:ext>
          </c:extLst>
        </c:ser>
        <c:ser>
          <c:idx val="5"/>
          <c:order val="5"/>
          <c:tx>
            <c:strRef>
              <c:f>'Trh práce-2b'!$A$36</c:f>
              <c:strCache>
                <c:ptCount val="1"/>
                <c:pt idx="0">
                  <c:v>Balance of unemployment development expectations (right axis)**</c:v>
                </c:pt>
              </c:strCache>
            </c:strRef>
          </c:tx>
          <c:spPr>
            <a:ln w="22225">
              <a:noFill/>
              <a:prstDash val="sysDot"/>
            </a:ln>
          </c:spPr>
          <c:marker>
            <c:symbol val="diamond"/>
            <c:size val="6"/>
            <c:spPr>
              <a:solidFill>
                <a:schemeClr val="tx1">
                  <a:lumMod val="50000"/>
                  <a:lumOff val="50000"/>
                </a:schemeClr>
              </a:solidFill>
              <a:ln>
                <a:noFill/>
              </a:ln>
            </c:spPr>
          </c:marker>
          <c:cat>
            <c:multiLvlStrRef>
              <c:f>'Trh práce-2b'!$B$29:$AO$30</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práce-2b'!$B$36:$AO$36</c:f>
              <c:numCache>
                <c:formatCode>#\ ##0.0</c:formatCode>
                <c:ptCount val="40"/>
                <c:pt idx="0">
                  <c:v>32.5</c:v>
                </c:pt>
                <c:pt idx="1">
                  <c:v>18.766666666666666</c:v>
                </c:pt>
                <c:pt idx="2">
                  <c:v>24.533333333333331</c:v>
                </c:pt>
                <c:pt idx="3">
                  <c:v>27.900000000000002</c:v>
                </c:pt>
                <c:pt idx="4">
                  <c:v>26.533333333333331</c:v>
                </c:pt>
                <c:pt idx="5">
                  <c:v>21.733333333333334</c:v>
                </c:pt>
                <c:pt idx="6">
                  <c:v>25.166666666666668</c:v>
                </c:pt>
                <c:pt idx="7">
                  <c:v>42.79999999999999</c:v>
                </c:pt>
                <c:pt idx="8">
                  <c:v>42.233333333333334</c:v>
                </c:pt>
                <c:pt idx="9">
                  <c:v>35.833333333333336</c:v>
                </c:pt>
                <c:pt idx="10">
                  <c:v>39.93333333333333</c:v>
                </c:pt>
                <c:pt idx="11">
                  <c:v>43.1</c:v>
                </c:pt>
                <c:pt idx="12">
                  <c:v>44.733333333333327</c:v>
                </c:pt>
                <c:pt idx="13">
                  <c:v>33.4</c:v>
                </c:pt>
                <c:pt idx="14">
                  <c:v>31.766666666666666</c:v>
                </c:pt>
                <c:pt idx="15">
                  <c:v>32.43333333333333</c:v>
                </c:pt>
                <c:pt idx="16">
                  <c:v>21.099999999999998</c:v>
                </c:pt>
                <c:pt idx="17">
                  <c:v>15.433333333333332</c:v>
                </c:pt>
                <c:pt idx="18">
                  <c:v>18.466666666666665</c:v>
                </c:pt>
                <c:pt idx="19">
                  <c:v>14.566666666666668</c:v>
                </c:pt>
                <c:pt idx="20">
                  <c:v>10.833333333333334</c:v>
                </c:pt>
                <c:pt idx="21">
                  <c:v>6.3999999999999995</c:v>
                </c:pt>
                <c:pt idx="22">
                  <c:v>10.366666666666667</c:v>
                </c:pt>
                <c:pt idx="23">
                  <c:v>5.1333333333333337</c:v>
                </c:pt>
                <c:pt idx="24">
                  <c:v>0.20000000000000004</c:v>
                </c:pt>
                <c:pt idx="25">
                  <c:v>5.3666666666666671</c:v>
                </c:pt>
                <c:pt idx="26">
                  <c:v>7.0333333333333341</c:v>
                </c:pt>
                <c:pt idx="27">
                  <c:v>4.166666666666667</c:v>
                </c:pt>
                <c:pt idx="28">
                  <c:v>-1.8</c:v>
                </c:pt>
                <c:pt idx="29">
                  <c:v>-2.6666666666666665</c:v>
                </c:pt>
                <c:pt idx="30">
                  <c:v>1.8666666666666669</c:v>
                </c:pt>
                <c:pt idx="31">
                  <c:v>1.5333333333333332</c:v>
                </c:pt>
                <c:pt idx="32">
                  <c:v>-2</c:v>
                </c:pt>
                <c:pt idx="33">
                  <c:v>-2.4666666666666668</c:v>
                </c:pt>
                <c:pt idx="34">
                  <c:v>1.8999999999999997</c:v>
                </c:pt>
                <c:pt idx="35">
                  <c:v>3.7999999999999994</c:v>
                </c:pt>
                <c:pt idx="36">
                  <c:v>6.5</c:v>
                </c:pt>
                <c:pt idx="37">
                  <c:v>6.5666666666666664</c:v>
                </c:pt>
                <c:pt idx="38">
                  <c:v>12.200000000000001</c:v>
                </c:pt>
                <c:pt idx="39">
                  <c:v>15</c:v>
                </c:pt>
              </c:numCache>
            </c:numRef>
          </c:val>
          <c:smooth val="0"/>
          <c:extLst>
            <c:ext xmlns:c16="http://schemas.microsoft.com/office/drawing/2014/chart" uri="{C3380CC4-5D6E-409C-BE32-E72D297353CC}">
              <c16:uniqueId val="{00000005-B36D-4C00-A64A-8366E25C22F4}"/>
            </c:ext>
          </c:extLst>
        </c:ser>
        <c:dLbls>
          <c:showLegendKey val="0"/>
          <c:showVal val="0"/>
          <c:showCatName val="0"/>
          <c:showSerName val="0"/>
          <c:showPercent val="0"/>
          <c:showBubbleSize val="0"/>
        </c:dLbls>
        <c:marker val="1"/>
        <c:smooth val="0"/>
        <c:axId val="331670576"/>
        <c:axId val="323971328"/>
      </c:lineChart>
      <c:catAx>
        <c:axId val="100654464"/>
        <c:scaling>
          <c:orientation val="minMax"/>
        </c:scaling>
        <c:delete val="0"/>
        <c:axPos val="b"/>
        <c:numFmt formatCode="General" sourceLinked="0"/>
        <c:majorTickMark val="out"/>
        <c:minorTickMark val="none"/>
        <c:tickLblPos val="low"/>
        <c:spPr>
          <a:ln>
            <a:solidFill>
              <a:schemeClr val="tx1"/>
            </a:solidFill>
          </a:ln>
        </c:spPr>
        <c:crossAx val="101647488"/>
        <c:crossesAt val="-50"/>
        <c:auto val="1"/>
        <c:lblAlgn val="ctr"/>
        <c:lblOffset val="0"/>
        <c:noMultiLvlLbl val="0"/>
      </c:catAx>
      <c:valAx>
        <c:axId val="101647488"/>
        <c:scaling>
          <c:orientation val="minMax"/>
          <c:max val="11"/>
          <c:min val="0"/>
        </c:scaling>
        <c:delete val="0"/>
        <c:axPos val="l"/>
        <c:majorGridlines>
          <c:spPr>
            <a:ln w="6350">
              <a:solidFill>
                <a:schemeClr val="bg1">
                  <a:lumMod val="75000"/>
                </a:schemeClr>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Unemployment rate</a:t>
                </a:r>
                <a:endParaRPr lang="cs-CZ" sz="700">
                  <a:effectLst/>
                </a:endParaRPr>
              </a:p>
            </c:rich>
          </c:tx>
          <c:overlay val="0"/>
        </c:title>
        <c:numFmt formatCode="0" sourceLinked="0"/>
        <c:majorTickMark val="out"/>
        <c:minorTickMark val="none"/>
        <c:tickLblPos val="nextTo"/>
        <c:spPr>
          <a:ln>
            <a:solidFill>
              <a:schemeClr val="tx1"/>
            </a:solidFill>
          </a:ln>
        </c:spPr>
        <c:crossAx val="100654464"/>
        <c:crosses val="autoZero"/>
        <c:crossBetween val="between"/>
        <c:majorUnit val="1"/>
      </c:valAx>
      <c:valAx>
        <c:axId val="323971328"/>
        <c:scaling>
          <c:orientation val="minMax"/>
          <c:max val="20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Number of ec</a:t>
                </a:r>
                <a:r>
                  <a:rPr lang="cs-CZ" sz="700" i="1">
                    <a:effectLst/>
                  </a:rPr>
                  <a:t>onomically</a:t>
                </a:r>
                <a:r>
                  <a:rPr lang="cs-CZ" sz="700" i="1" baseline="0">
                    <a:effectLst/>
                  </a:rPr>
                  <a:t> </a:t>
                </a:r>
                <a:r>
                  <a:rPr lang="en-GB" sz="700" i="1">
                    <a:effectLst/>
                  </a:rPr>
                  <a:t>inactive, Ratio of unemployed, Unemp</a:t>
                </a:r>
                <a:r>
                  <a:rPr lang="cs-CZ" sz="700" i="1">
                    <a:effectLst/>
                  </a:rPr>
                  <a:t>loyment</a:t>
                </a:r>
                <a:r>
                  <a:rPr lang="cs-CZ" sz="700" i="1" baseline="0">
                    <a:effectLst/>
                  </a:rPr>
                  <a:t> </a:t>
                </a:r>
                <a:r>
                  <a:rPr lang="en-GB" sz="700" i="1">
                    <a:effectLst/>
                  </a:rPr>
                  <a:t>e</a:t>
                </a:r>
                <a:r>
                  <a:rPr lang="cs-CZ" sz="700" i="1">
                    <a:effectLst/>
                  </a:rPr>
                  <a:t>xpectat</a:t>
                </a:r>
                <a:r>
                  <a:rPr lang="en-GB" sz="700" i="1">
                    <a:effectLst/>
                  </a:rPr>
                  <a:t>ions</a:t>
                </a:r>
                <a:endParaRPr lang="cs-CZ" sz="700">
                  <a:effectLst/>
                </a:endParaRPr>
              </a:p>
            </c:rich>
          </c:tx>
          <c:layout>
            <c:manualLayout>
              <c:xMode val="edge"/>
              <c:yMode val="edge"/>
              <c:x val="0.94886305303405449"/>
              <c:y val="8.0118871458387086E-2"/>
            </c:manualLayout>
          </c:layout>
          <c:overlay val="0"/>
        </c:title>
        <c:numFmt formatCode="#,##0" sourceLinked="0"/>
        <c:majorTickMark val="out"/>
        <c:minorTickMark val="none"/>
        <c:tickLblPos val="nextTo"/>
        <c:crossAx val="331670576"/>
        <c:crosses val="max"/>
        <c:crossBetween val="between"/>
        <c:majorUnit val="20"/>
      </c:valAx>
      <c:catAx>
        <c:axId val="331670576"/>
        <c:scaling>
          <c:orientation val="minMax"/>
        </c:scaling>
        <c:delete val="1"/>
        <c:axPos val="b"/>
        <c:numFmt formatCode="General" sourceLinked="1"/>
        <c:majorTickMark val="out"/>
        <c:minorTickMark val="none"/>
        <c:tickLblPos val="nextTo"/>
        <c:crossAx val="323971328"/>
        <c:crosses val="autoZero"/>
        <c:auto val="1"/>
        <c:lblAlgn val="ctr"/>
        <c:lblOffset val="100"/>
        <c:noMultiLvlLbl val="0"/>
      </c:catAx>
      <c:spPr>
        <a:ln>
          <a:solidFill>
            <a:schemeClr val="tx1"/>
          </a:solidFill>
        </a:ln>
      </c:spPr>
    </c:plotArea>
    <c:legend>
      <c:legendPos val="b"/>
      <c:layout>
        <c:manualLayout>
          <c:xMode val="edge"/>
          <c:yMode val="edge"/>
          <c:x val="1.2332445249685521E-2"/>
          <c:y val="0.82230774266233486"/>
          <c:w val="0.96494720270615286"/>
          <c:h val="0.17063280149113347"/>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091348527306885E-2"/>
          <c:y val="1.6549886621315273E-2"/>
          <c:w val="0.94100987714831696"/>
          <c:h val="0.76395209750566906"/>
        </c:manualLayout>
      </c:layout>
      <c:barChart>
        <c:barDir val="col"/>
        <c:grouping val="clustered"/>
        <c:varyColors val="0"/>
        <c:ser>
          <c:idx val="4"/>
          <c:order val="1"/>
          <c:tx>
            <c:strRef>
              <c:f>'Trh práce 3'!$D$8</c:f>
              <c:strCache>
                <c:ptCount val="1"/>
                <c:pt idx="0">
                  <c:v>Wage (real)</c:v>
                </c:pt>
              </c:strCache>
            </c:strRef>
          </c:tx>
          <c:spPr>
            <a:solidFill>
              <a:srgbClr val="DBDBDB"/>
            </a:solidFill>
            <a:ln w="19050">
              <a:noFill/>
            </a:ln>
          </c:spPr>
          <c:invertIfNegative val="0"/>
          <c:cat>
            <c:multiLvlStrRef>
              <c:f>'Trh práce 3'!$A$9:$B$48</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3'!$D$9:$D$48</c:f>
              <c:numCache>
                <c:formatCode>#\ ##0.0</c:formatCode>
                <c:ptCount val="40"/>
                <c:pt idx="0">
                  <c:v>2.0999999999999943</c:v>
                </c:pt>
                <c:pt idx="1">
                  <c:v>1.9000000000000057</c:v>
                </c:pt>
                <c:pt idx="2">
                  <c:v>0.29999999999999716</c:v>
                </c:pt>
                <c:pt idx="3">
                  <c:v>-1.4000000000000057</c:v>
                </c:pt>
                <c:pt idx="4">
                  <c:v>1.0999999999999943</c:v>
                </c:pt>
                <c:pt idx="5">
                  <c:v>0.79999999999999716</c:v>
                </c:pt>
                <c:pt idx="6">
                  <c:v>0.29999999999999716</c:v>
                </c:pt>
                <c:pt idx="7">
                  <c:v>0</c:v>
                </c:pt>
                <c:pt idx="8">
                  <c:v>-0.5</c:v>
                </c:pt>
                <c:pt idx="9">
                  <c:v>-1.2999999999999972</c:v>
                </c:pt>
                <c:pt idx="10">
                  <c:v>-1.7999999999999972</c:v>
                </c:pt>
                <c:pt idx="11">
                  <c:v>0.40000000000000568</c:v>
                </c:pt>
                <c:pt idx="12">
                  <c:v>-2.4000000000000057</c:v>
                </c:pt>
                <c:pt idx="13">
                  <c:v>-0.5</c:v>
                </c:pt>
                <c:pt idx="14">
                  <c:v>0</c:v>
                </c:pt>
                <c:pt idx="15">
                  <c:v>-3.0999999999999943</c:v>
                </c:pt>
                <c:pt idx="16">
                  <c:v>3.7000000000000028</c:v>
                </c:pt>
                <c:pt idx="17">
                  <c:v>2.5999999999999943</c:v>
                </c:pt>
                <c:pt idx="18">
                  <c:v>1.5999999999999943</c:v>
                </c:pt>
                <c:pt idx="19">
                  <c:v>2.2999999999999972</c:v>
                </c:pt>
                <c:pt idx="20">
                  <c:v>2.2000000000000028</c:v>
                </c:pt>
                <c:pt idx="21">
                  <c:v>2.5999999999999943</c:v>
                </c:pt>
                <c:pt idx="22">
                  <c:v>3.0999999999999943</c:v>
                </c:pt>
                <c:pt idx="23">
                  <c:v>3.5999999999999943</c:v>
                </c:pt>
                <c:pt idx="24">
                  <c:v>4.2000000000000028</c:v>
                </c:pt>
                <c:pt idx="25">
                  <c:v>3.7999999999999972</c:v>
                </c:pt>
                <c:pt idx="26">
                  <c:v>4.2000000000000028</c:v>
                </c:pt>
                <c:pt idx="27">
                  <c:v>3</c:v>
                </c:pt>
                <c:pt idx="28">
                  <c:v>2.5999999999999943</c:v>
                </c:pt>
                <c:pt idx="29">
                  <c:v>4.9000000000000057</c:v>
                </c:pt>
                <c:pt idx="30">
                  <c:v>4.0999999999999943</c:v>
                </c:pt>
                <c:pt idx="31">
                  <c:v>5.0999999999999943</c:v>
                </c:pt>
                <c:pt idx="32">
                  <c:v>5.7999999999999972</c:v>
                </c:pt>
                <c:pt idx="33">
                  <c:v>5.7000000000000028</c:v>
                </c:pt>
                <c:pt idx="34">
                  <c:v>5.4000000000000057</c:v>
                </c:pt>
                <c:pt idx="35">
                  <c:v>4.2999999999999972</c:v>
                </c:pt>
                <c:pt idx="36">
                  <c:v>4.7000000000000028</c:v>
                </c:pt>
                <c:pt idx="37">
                  <c:v>4.2999999999999972</c:v>
                </c:pt>
                <c:pt idx="38">
                  <c:v>4.0999999999999943</c:v>
                </c:pt>
                <c:pt idx="39">
                  <c:v>3.5999999999999943</c:v>
                </c:pt>
              </c:numCache>
            </c:numRef>
          </c:val>
          <c:extLst>
            <c:ext xmlns:c16="http://schemas.microsoft.com/office/drawing/2014/chart" uri="{C3380CC4-5D6E-409C-BE32-E72D297353CC}">
              <c16:uniqueId val="{00000000-C510-447B-B40E-957B7141D9F1}"/>
            </c:ext>
          </c:extLst>
        </c:ser>
        <c:dLbls>
          <c:showLegendKey val="0"/>
          <c:showVal val="0"/>
          <c:showCatName val="0"/>
          <c:showSerName val="0"/>
          <c:showPercent val="0"/>
          <c:showBubbleSize val="0"/>
        </c:dLbls>
        <c:gapWidth val="37"/>
        <c:axId val="100688640"/>
        <c:axId val="100690560"/>
      </c:barChart>
      <c:lineChart>
        <c:grouping val="standard"/>
        <c:varyColors val="0"/>
        <c:ser>
          <c:idx val="0"/>
          <c:order val="0"/>
          <c:tx>
            <c:strRef>
              <c:f>'Trh práce 3'!$C$8</c:f>
              <c:strCache>
                <c:ptCount val="1"/>
                <c:pt idx="0">
                  <c:v>Wage (nominal)</c:v>
                </c:pt>
              </c:strCache>
            </c:strRef>
          </c:tx>
          <c:spPr>
            <a:ln w="19050">
              <a:solidFill>
                <a:schemeClr val="tx1">
                  <a:lumMod val="95000"/>
                  <a:lumOff val="5000"/>
                </a:schemeClr>
              </a:solidFill>
            </a:ln>
          </c:spPr>
          <c:marker>
            <c:symbol val="none"/>
          </c:marker>
          <c:cat>
            <c:multiLvlStrRef>
              <c:f>'Trh práce 3'!$A$9:$B$48</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3'!$C$9:$C$48</c:f>
              <c:numCache>
                <c:formatCode>0.0</c:formatCode>
                <c:ptCount val="40"/>
                <c:pt idx="0">
                  <c:v>2.8496471865388173</c:v>
                </c:pt>
                <c:pt idx="1">
                  <c:v>3.1058080364976206</c:v>
                </c:pt>
                <c:pt idx="2">
                  <c:v>2.2043220302282265</c:v>
                </c:pt>
                <c:pt idx="3">
                  <c:v>0.68062003304744678</c:v>
                </c:pt>
                <c:pt idx="4">
                  <c:v>2.7882839299850417</c:v>
                </c:pt>
                <c:pt idx="5">
                  <c:v>2.6038121170864486</c:v>
                </c:pt>
                <c:pt idx="6">
                  <c:v>2.1483050847457719</c:v>
                </c:pt>
                <c:pt idx="7">
                  <c:v>2.4227267398694892</c:v>
                </c:pt>
                <c:pt idx="8">
                  <c:v>3.247475611843214</c:v>
                </c:pt>
                <c:pt idx="9">
                  <c:v>2.1189251948913608</c:v>
                </c:pt>
                <c:pt idx="10">
                  <c:v>1.3771933463309551</c:v>
                </c:pt>
                <c:pt idx="11">
                  <c:v>3.2200221281141381</c:v>
                </c:pt>
                <c:pt idx="12">
                  <c:v>-0.60503087315071014</c:v>
                </c:pt>
                <c:pt idx="13">
                  <c:v>1.0151459779916365</c:v>
                </c:pt>
                <c:pt idx="14">
                  <c:v>1.2111788534719068</c:v>
                </c:pt>
                <c:pt idx="15">
                  <c:v>-1.9589724635002739</c:v>
                </c:pt>
                <c:pt idx="16">
                  <c:v>3.9441317490097987</c:v>
                </c:pt>
                <c:pt idx="17">
                  <c:v>2.7816858946014378</c:v>
                </c:pt>
                <c:pt idx="18">
                  <c:v>2.1993127147766245</c:v>
                </c:pt>
                <c:pt idx="19">
                  <c:v>2.7747408105560822</c:v>
                </c:pt>
                <c:pt idx="20">
                  <c:v>2.2702659339777824</c:v>
                </c:pt>
                <c:pt idx="21">
                  <c:v>3.2813172200711875</c:v>
                </c:pt>
                <c:pt idx="22">
                  <c:v>3.4969737726967054</c:v>
                </c:pt>
                <c:pt idx="23">
                  <c:v>3.657239279556876</c:v>
                </c:pt>
                <c:pt idx="24">
                  <c:v>4.6515276307016507</c:v>
                </c:pt>
                <c:pt idx="25">
                  <c:v>3.9533474704634983</c:v>
                </c:pt>
                <c:pt idx="26">
                  <c:v>4.7127622979016053</c:v>
                </c:pt>
                <c:pt idx="27">
                  <c:v>4.3633661264066887</c:v>
                </c:pt>
                <c:pt idx="28">
                  <c:v>5.0631488213469282</c:v>
                </c:pt>
                <c:pt idx="29">
                  <c:v>7.2125892466851269</c:v>
                </c:pt>
                <c:pt idx="30">
                  <c:v>6.7090086143962679</c:v>
                </c:pt>
                <c:pt idx="31">
                  <c:v>7.8362890373334153</c:v>
                </c:pt>
                <c:pt idx="32">
                  <c:v>7.8333452236569912</c:v>
                </c:pt>
                <c:pt idx="33">
                  <c:v>8.0966295188910067</c:v>
                </c:pt>
                <c:pt idx="34">
                  <c:v>7.864130806595071</c:v>
                </c:pt>
                <c:pt idx="35">
                  <c:v>6.5058801333249363</c:v>
                </c:pt>
                <c:pt idx="36">
                  <c:v>7.4727092292424828</c:v>
                </c:pt>
                <c:pt idx="37">
                  <c:v>7.2292943580072375</c:v>
                </c:pt>
                <c:pt idx="38">
                  <c:v>6.9736466558843091</c:v>
                </c:pt>
                <c:pt idx="39">
                  <c:v>6.7107555135661698</c:v>
                </c:pt>
              </c:numCache>
            </c:numRef>
          </c:val>
          <c:smooth val="0"/>
          <c:extLst>
            <c:ext xmlns:c16="http://schemas.microsoft.com/office/drawing/2014/chart" uri="{C3380CC4-5D6E-409C-BE32-E72D297353CC}">
              <c16:uniqueId val="{00000001-C510-447B-B40E-957B7141D9F1}"/>
            </c:ext>
          </c:extLst>
        </c:ser>
        <c:ser>
          <c:idx val="5"/>
          <c:order val="2"/>
          <c:tx>
            <c:strRef>
              <c:f>'Trh práce 3'!$E$8</c:f>
              <c:strCache>
                <c:ptCount val="1"/>
                <c:pt idx="0">
                  <c:v>Wage in manufacturing (nominal)</c:v>
                </c:pt>
              </c:strCache>
            </c:strRef>
          </c:tx>
          <c:spPr>
            <a:ln w="15875">
              <a:prstDash val="sysDash"/>
            </a:ln>
          </c:spPr>
          <c:marker>
            <c:symbol val="none"/>
          </c:marker>
          <c:cat>
            <c:multiLvlStrRef>
              <c:f>'Trh práce 3'!$A$9:$B$48</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3'!$E$9:$E$48</c:f>
              <c:numCache>
                <c:formatCode>0.0</c:formatCode>
                <c:ptCount val="40"/>
                <c:pt idx="0">
                  <c:v>5.5741522340270677</c:v>
                </c:pt>
                <c:pt idx="1">
                  <c:v>4.6596136154553705</c:v>
                </c:pt>
                <c:pt idx="2">
                  <c:v>3.4155684253727827</c:v>
                </c:pt>
                <c:pt idx="3">
                  <c:v>4.1331027793007422</c:v>
                </c:pt>
                <c:pt idx="4">
                  <c:v>4.0529363110008347</c:v>
                </c:pt>
                <c:pt idx="5">
                  <c:v>4.5092954775194301</c:v>
                </c:pt>
                <c:pt idx="6">
                  <c:v>3.2013405062174769</c:v>
                </c:pt>
                <c:pt idx="7">
                  <c:v>2.3814345308006892</c:v>
                </c:pt>
                <c:pt idx="8">
                  <c:v>3.8288288288288186</c:v>
                </c:pt>
                <c:pt idx="9">
                  <c:v>3.0152655704613238</c:v>
                </c:pt>
                <c:pt idx="10">
                  <c:v>1.9056571526234762</c:v>
                </c:pt>
                <c:pt idx="11">
                  <c:v>2.9589778076664572</c:v>
                </c:pt>
                <c:pt idx="12">
                  <c:v>0.506146059291396</c:v>
                </c:pt>
                <c:pt idx="13">
                  <c:v>1.9962442847811843</c:v>
                </c:pt>
                <c:pt idx="14">
                  <c:v>2.259958071278831</c:v>
                </c:pt>
                <c:pt idx="15">
                  <c:v>0.53021861912630186</c:v>
                </c:pt>
                <c:pt idx="16">
                  <c:v>4.7947524333474405</c:v>
                </c:pt>
                <c:pt idx="17">
                  <c:v>3.366019611767058</c:v>
                </c:pt>
                <c:pt idx="18">
                  <c:v>2.8824470047972568</c:v>
                </c:pt>
                <c:pt idx="19">
                  <c:v>3.6690235046818316</c:v>
                </c:pt>
                <c:pt idx="20">
                  <c:v>1.9747203489076384</c:v>
                </c:pt>
                <c:pt idx="21">
                  <c:v>3.0821652598156817</c:v>
                </c:pt>
                <c:pt idx="22">
                  <c:v>3.263988522238165</c:v>
                </c:pt>
                <c:pt idx="23">
                  <c:v>3.2258064516128968</c:v>
                </c:pt>
                <c:pt idx="24">
                  <c:v>4.9619832092507465</c:v>
                </c:pt>
                <c:pt idx="25">
                  <c:v>4.2070468033956985</c:v>
                </c:pt>
                <c:pt idx="26">
                  <c:v>4.939986878159857</c:v>
                </c:pt>
                <c:pt idx="27">
                  <c:v>4.4500000000000028</c:v>
                </c:pt>
                <c:pt idx="28">
                  <c:v>5.3386153555932765</c:v>
                </c:pt>
                <c:pt idx="29">
                  <c:v>8.1825391103741651</c:v>
                </c:pt>
                <c:pt idx="30">
                  <c:v>6.9545070059946283</c:v>
                </c:pt>
                <c:pt idx="31">
                  <c:v>6.9958284893660618</c:v>
                </c:pt>
                <c:pt idx="32">
                  <c:v>7.0128939828080235</c:v>
                </c:pt>
                <c:pt idx="33">
                  <c:v>7.5503132080501132</c:v>
                </c:pt>
                <c:pt idx="34">
                  <c:v>6.6914242486761424</c:v>
                </c:pt>
                <c:pt idx="35">
                  <c:v>7.0241595295922394</c:v>
                </c:pt>
                <c:pt idx="36">
                  <c:v>6.5533168217417455</c:v>
                </c:pt>
                <c:pt idx="37">
                  <c:v>6.4873907924902312</c:v>
                </c:pt>
                <c:pt idx="38">
                  <c:v>6.0268144901379372</c:v>
                </c:pt>
                <c:pt idx="39">
                  <c:v>4.9596894595401579</c:v>
                </c:pt>
              </c:numCache>
            </c:numRef>
          </c:val>
          <c:smooth val="0"/>
          <c:extLst>
            <c:ext xmlns:c16="http://schemas.microsoft.com/office/drawing/2014/chart" uri="{C3380CC4-5D6E-409C-BE32-E72D297353CC}">
              <c16:uniqueId val="{00000002-C510-447B-B40E-957B7141D9F1}"/>
            </c:ext>
          </c:extLst>
        </c:ser>
        <c:ser>
          <c:idx val="1"/>
          <c:order val="3"/>
          <c:tx>
            <c:strRef>
              <c:f>'Trh práce 3'!$F$8</c:f>
              <c:strCache>
                <c:ptCount val="1"/>
                <c:pt idx="0">
                  <c:v>Wage in trade (nominal)</c:v>
                </c:pt>
              </c:strCache>
            </c:strRef>
          </c:tx>
          <c:spPr>
            <a:ln w="15875">
              <a:solidFill>
                <a:schemeClr val="accent1"/>
              </a:solidFill>
              <a:prstDash val="sysDash"/>
            </a:ln>
          </c:spPr>
          <c:marker>
            <c:symbol val="none"/>
          </c:marker>
          <c:cat>
            <c:multiLvlStrRef>
              <c:f>'Trh práce 3'!$A$9:$B$48</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3'!$F$9:$F$48</c:f>
              <c:numCache>
                <c:formatCode>0.0</c:formatCode>
                <c:ptCount val="40"/>
                <c:pt idx="0">
                  <c:v>2.4757068216221541</c:v>
                </c:pt>
                <c:pt idx="1">
                  <c:v>3.7727708533077617</c:v>
                </c:pt>
                <c:pt idx="2">
                  <c:v>2.8297025064417909</c:v>
                </c:pt>
                <c:pt idx="3">
                  <c:v>3.460238001141704</c:v>
                </c:pt>
                <c:pt idx="4">
                  <c:v>3.2593157342990509</c:v>
                </c:pt>
                <c:pt idx="5">
                  <c:v>3.7187601053263677</c:v>
                </c:pt>
                <c:pt idx="6">
                  <c:v>2.6743815207982209</c:v>
                </c:pt>
                <c:pt idx="7">
                  <c:v>4.3291880650227199</c:v>
                </c:pt>
                <c:pt idx="8">
                  <c:v>4.0793724042454897</c:v>
                </c:pt>
                <c:pt idx="9">
                  <c:v>0.74380901478710371</c:v>
                </c:pt>
                <c:pt idx="10">
                  <c:v>0.80315938942136711</c:v>
                </c:pt>
                <c:pt idx="11">
                  <c:v>3.3521825800414859</c:v>
                </c:pt>
                <c:pt idx="12">
                  <c:v>-0.36357187195176266</c:v>
                </c:pt>
                <c:pt idx="13">
                  <c:v>0.83115964454663072</c:v>
                </c:pt>
                <c:pt idx="14">
                  <c:v>1.2941849716071658</c:v>
                </c:pt>
                <c:pt idx="15">
                  <c:v>-4.6290100373942096</c:v>
                </c:pt>
                <c:pt idx="16">
                  <c:v>3.4576361694553128</c:v>
                </c:pt>
                <c:pt idx="17">
                  <c:v>4.1785416758012985</c:v>
                </c:pt>
                <c:pt idx="18">
                  <c:v>2.8899222111164136</c:v>
                </c:pt>
                <c:pt idx="19">
                  <c:v>2.761153989021409</c:v>
                </c:pt>
                <c:pt idx="20">
                  <c:v>3.1055099144049194</c:v>
                </c:pt>
                <c:pt idx="21">
                  <c:v>3.9141414141414117</c:v>
                </c:pt>
                <c:pt idx="22">
                  <c:v>3.949146815340427</c:v>
                </c:pt>
                <c:pt idx="23">
                  <c:v>5.7916298497871423</c:v>
                </c:pt>
                <c:pt idx="24">
                  <c:v>5.6443202202661524</c:v>
                </c:pt>
                <c:pt idx="25">
                  <c:v>3.9570676387201189</c:v>
                </c:pt>
                <c:pt idx="26">
                  <c:v>4.9977652269310511</c:v>
                </c:pt>
                <c:pt idx="27">
                  <c:v>4.4950645406226215</c:v>
                </c:pt>
                <c:pt idx="28">
                  <c:v>5.6231243089559229</c:v>
                </c:pt>
                <c:pt idx="29">
                  <c:v>7.9284684614485457</c:v>
                </c:pt>
                <c:pt idx="30">
                  <c:v>7.693200727526019</c:v>
                </c:pt>
                <c:pt idx="31">
                  <c:v>8.3926754832146457</c:v>
                </c:pt>
                <c:pt idx="32">
                  <c:v>7.2416629280693883</c:v>
                </c:pt>
                <c:pt idx="33">
                  <c:v>6.9272976680384062</c:v>
                </c:pt>
                <c:pt idx="34">
                  <c:v>6.7016421718351324</c:v>
                </c:pt>
                <c:pt idx="35">
                  <c:v>6.4389622578266312</c:v>
                </c:pt>
                <c:pt idx="36">
                  <c:v>8.3806867700889001</c:v>
                </c:pt>
                <c:pt idx="37">
                  <c:v>6.0092501941190477</c:v>
                </c:pt>
                <c:pt idx="38">
                  <c:v>6.9475314878426673</c:v>
                </c:pt>
                <c:pt idx="39">
                  <c:v>4.704770902220119</c:v>
                </c:pt>
              </c:numCache>
            </c:numRef>
          </c:val>
          <c:smooth val="0"/>
          <c:extLst>
            <c:ext xmlns:c16="http://schemas.microsoft.com/office/drawing/2014/chart" uri="{C3380CC4-5D6E-409C-BE32-E72D297353CC}">
              <c16:uniqueId val="{00000003-C510-447B-B40E-957B7141D9F1}"/>
            </c:ext>
          </c:extLst>
        </c:ser>
        <c:ser>
          <c:idx val="2"/>
          <c:order val="4"/>
          <c:tx>
            <c:strRef>
              <c:f>'Trh práce 3'!$G$8</c:f>
              <c:strCache>
                <c:ptCount val="1"/>
                <c:pt idx="0">
                  <c:v>Wage in public services (nominal)*</c:v>
                </c:pt>
              </c:strCache>
            </c:strRef>
          </c:tx>
          <c:spPr>
            <a:ln w="15875">
              <a:prstDash val="sysDash"/>
            </a:ln>
          </c:spPr>
          <c:marker>
            <c:symbol val="none"/>
          </c:marker>
          <c:cat>
            <c:multiLvlStrRef>
              <c:f>'Trh práce 3'!$A$9:$B$48</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3'!$G$9:$G$48</c:f>
              <c:numCache>
                <c:formatCode>0.0</c:formatCode>
                <c:ptCount val="40"/>
                <c:pt idx="0">
                  <c:v>4.1711124485526927</c:v>
                </c:pt>
                <c:pt idx="1">
                  <c:v>1.6767766823809593</c:v>
                </c:pt>
                <c:pt idx="2">
                  <c:v>-0.43902053467353946</c:v>
                </c:pt>
                <c:pt idx="3">
                  <c:v>-3.6166135148511689</c:v>
                </c:pt>
                <c:pt idx="4">
                  <c:v>1.2329962882450228E-3</c:v>
                </c:pt>
                <c:pt idx="5">
                  <c:v>1.1328852086516361</c:v>
                </c:pt>
                <c:pt idx="6">
                  <c:v>2.397948860924628</c:v>
                </c:pt>
                <c:pt idx="7">
                  <c:v>3.139137288107821</c:v>
                </c:pt>
                <c:pt idx="8">
                  <c:v>3.317698985560027</c:v>
                </c:pt>
                <c:pt idx="9">
                  <c:v>1.8126282295065337</c:v>
                </c:pt>
                <c:pt idx="10">
                  <c:v>2.043381387387051</c:v>
                </c:pt>
                <c:pt idx="11">
                  <c:v>1.2181683242264376</c:v>
                </c:pt>
                <c:pt idx="12">
                  <c:v>2.3538775240305843E-2</c:v>
                </c:pt>
                <c:pt idx="13">
                  <c:v>1.5581583268922845</c:v>
                </c:pt>
                <c:pt idx="14">
                  <c:v>0.6075912505151323</c:v>
                </c:pt>
                <c:pt idx="15">
                  <c:v>0.11001449422403142</c:v>
                </c:pt>
                <c:pt idx="16">
                  <c:v>2.269026119165368</c:v>
                </c:pt>
                <c:pt idx="17">
                  <c:v>1.7831306827168456</c:v>
                </c:pt>
                <c:pt idx="18">
                  <c:v>1.9833555108015588</c:v>
                </c:pt>
                <c:pt idx="19">
                  <c:v>4.0071119221970513</c:v>
                </c:pt>
                <c:pt idx="20">
                  <c:v>3.2530785072835906</c:v>
                </c:pt>
                <c:pt idx="21">
                  <c:v>4.2345225255887042</c:v>
                </c:pt>
                <c:pt idx="22">
                  <c:v>3.7826123610902629</c:v>
                </c:pt>
                <c:pt idx="23">
                  <c:v>3.6520863050351235</c:v>
                </c:pt>
                <c:pt idx="24">
                  <c:v>4.5612595293778977</c:v>
                </c:pt>
                <c:pt idx="25">
                  <c:v>3.7795053104986027</c:v>
                </c:pt>
                <c:pt idx="26">
                  <c:v>4.8333320772190307</c:v>
                </c:pt>
                <c:pt idx="27">
                  <c:v>6.1391055152858494</c:v>
                </c:pt>
                <c:pt idx="28">
                  <c:v>5.4601382386938617</c:v>
                </c:pt>
                <c:pt idx="29">
                  <c:v>7.3051156068769734</c:v>
                </c:pt>
                <c:pt idx="30">
                  <c:v>7.9977324017314544</c:v>
                </c:pt>
                <c:pt idx="31">
                  <c:v>10.560301374473843</c:v>
                </c:pt>
                <c:pt idx="32">
                  <c:v>11.711321801907827</c:v>
                </c:pt>
                <c:pt idx="33">
                  <c:v>11.517964430852357</c:v>
                </c:pt>
                <c:pt idx="34">
                  <c:v>11.054338232306719</c:v>
                </c:pt>
                <c:pt idx="35">
                  <c:v>5.7087521833103789</c:v>
                </c:pt>
                <c:pt idx="36">
                  <c:v>9.069940074213795</c:v>
                </c:pt>
                <c:pt idx="37">
                  <c:v>8.8763414495049116</c:v>
                </c:pt>
                <c:pt idx="38">
                  <c:v>8.0313314538348077</c:v>
                </c:pt>
                <c:pt idx="39">
                  <c:v>10.645148682396274</c:v>
                </c:pt>
              </c:numCache>
            </c:numRef>
          </c:val>
          <c:smooth val="0"/>
          <c:extLst>
            <c:ext xmlns:c16="http://schemas.microsoft.com/office/drawing/2014/chart" uri="{C3380CC4-5D6E-409C-BE32-E72D297353CC}">
              <c16:uniqueId val="{00000004-C510-447B-B40E-957B7141D9F1}"/>
            </c:ext>
          </c:extLst>
        </c:ser>
        <c:ser>
          <c:idx val="3"/>
          <c:order val="5"/>
          <c:tx>
            <c:strRef>
              <c:f>'Trh práce 3'!$H$8</c:f>
              <c:strCache>
                <c:ptCount val="1"/>
                <c:pt idx="0">
                  <c:v>Labour productivity in all branches (real)**
</c:v>
                </c:pt>
              </c:strCache>
            </c:strRef>
          </c:tx>
          <c:spPr>
            <a:ln w="19050">
              <a:noFill/>
            </a:ln>
          </c:spPr>
          <c:marker>
            <c:symbol val="diamond"/>
            <c:size val="5"/>
            <c:spPr>
              <a:solidFill>
                <a:srgbClr val="F6F000"/>
              </a:solidFill>
              <a:ln w="6350">
                <a:solidFill>
                  <a:schemeClr val="bg1">
                    <a:lumMod val="50000"/>
                  </a:schemeClr>
                </a:solidFill>
              </a:ln>
            </c:spPr>
          </c:marker>
          <c:cat>
            <c:multiLvlStrRef>
              <c:f>'Trh práce 3'!$A$9:$B$48</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3'!$H$9:$H$48</c:f>
              <c:numCache>
                <c:formatCode>0.0</c:formatCode>
                <c:ptCount val="40"/>
                <c:pt idx="0">
                  <c:v>3.5332846838865208</c:v>
                </c:pt>
                <c:pt idx="1">
                  <c:v>4.425122650740704</c:v>
                </c:pt>
                <c:pt idx="2">
                  <c:v>2.3152819998793319</c:v>
                </c:pt>
                <c:pt idx="3">
                  <c:v>2.9717863026053948</c:v>
                </c:pt>
                <c:pt idx="4">
                  <c:v>2.9527260280244576</c:v>
                </c:pt>
                <c:pt idx="5">
                  <c:v>2.0923191727528945</c:v>
                </c:pt>
                <c:pt idx="6">
                  <c:v>1.8080251400873806</c:v>
                </c:pt>
                <c:pt idx="7">
                  <c:v>1.5019620723850409</c:v>
                </c:pt>
                <c:pt idx="8">
                  <c:v>0.41537995919813397</c:v>
                </c:pt>
                <c:pt idx="9">
                  <c:v>-1.2819231607881107</c:v>
                </c:pt>
                <c:pt idx="10">
                  <c:v>-1.8249350322319771</c:v>
                </c:pt>
                <c:pt idx="11">
                  <c:v>-2.0588258996494346</c:v>
                </c:pt>
                <c:pt idx="12">
                  <c:v>-2.8802810421720295</c:v>
                </c:pt>
                <c:pt idx="13">
                  <c:v>-1.8279480046633836</c:v>
                </c:pt>
                <c:pt idx="14">
                  <c:v>0.4046193699375209</c:v>
                </c:pt>
                <c:pt idx="15">
                  <c:v>0.95515229453815209</c:v>
                </c:pt>
                <c:pt idx="16">
                  <c:v>1.7448585072078089</c:v>
                </c:pt>
                <c:pt idx="17">
                  <c:v>2.7515963261383547</c:v>
                </c:pt>
                <c:pt idx="18">
                  <c:v>3.0294730201186439</c:v>
                </c:pt>
                <c:pt idx="19">
                  <c:v>1.0840279704352724</c:v>
                </c:pt>
                <c:pt idx="20">
                  <c:v>3.7518410336967918</c:v>
                </c:pt>
                <c:pt idx="21">
                  <c:v>4.1202609165826658</c:v>
                </c:pt>
                <c:pt idx="22">
                  <c:v>3.76028698995718</c:v>
                </c:pt>
                <c:pt idx="23">
                  <c:v>3.6745015563024737</c:v>
                </c:pt>
                <c:pt idx="24">
                  <c:v>1.4752745888902723</c:v>
                </c:pt>
                <c:pt idx="25">
                  <c:v>2.0687313721092977</c:v>
                </c:pt>
                <c:pt idx="26">
                  <c:v>6.7689948363209851E-2</c:v>
                </c:pt>
                <c:pt idx="27">
                  <c:v>-0.12588932224844029</c:v>
                </c:pt>
                <c:pt idx="28">
                  <c:v>2.1906602546173986</c:v>
                </c:pt>
                <c:pt idx="29">
                  <c:v>2.4032448321291326</c:v>
                </c:pt>
                <c:pt idx="30">
                  <c:v>2.7730189049163272</c:v>
                </c:pt>
                <c:pt idx="31">
                  <c:v>3.598660449921212</c:v>
                </c:pt>
                <c:pt idx="32">
                  <c:v>1.861141408768475</c:v>
                </c:pt>
                <c:pt idx="33">
                  <c:v>0.88927516359949266</c:v>
                </c:pt>
                <c:pt idx="34">
                  <c:v>1.4687747488576264</c:v>
                </c:pt>
                <c:pt idx="35">
                  <c:v>1.7348990509101299</c:v>
                </c:pt>
                <c:pt idx="36">
                  <c:v>1.3677883176795689</c:v>
                </c:pt>
                <c:pt idx="37">
                  <c:v>1.5376137121939593</c:v>
                </c:pt>
                <c:pt idx="38">
                  <c:v>2.653863108224769</c:v>
                </c:pt>
                <c:pt idx="39">
                  <c:v>1.5144868351771237</c:v>
                </c:pt>
              </c:numCache>
            </c:numRef>
          </c:val>
          <c:smooth val="0"/>
          <c:extLst>
            <c:ext xmlns:c16="http://schemas.microsoft.com/office/drawing/2014/chart" uri="{C3380CC4-5D6E-409C-BE32-E72D297353CC}">
              <c16:uniqueId val="{00000005-C510-447B-B40E-957B7141D9F1}"/>
            </c:ext>
          </c:extLst>
        </c:ser>
        <c:dLbls>
          <c:showLegendKey val="0"/>
          <c:showVal val="0"/>
          <c:showCatName val="0"/>
          <c:showSerName val="0"/>
          <c:showPercent val="0"/>
          <c:showBubbleSize val="0"/>
        </c:dLbls>
        <c:marker val="1"/>
        <c:smooth val="0"/>
        <c:axId val="100688640"/>
        <c:axId val="100690560"/>
      </c:lineChart>
      <c:catAx>
        <c:axId val="100688640"/>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100690560"/>
        <c:crosses val="autoZero"/>
        <c:auto val="1"/>
        <c:lblAlgn val="ctr"/>
        <c:lblOffset val="0"/>
        <c:tickMarkSkip val="4"/>
        <c:noMultiLvlLbl val="0"/>
      </c:catAx>
      <c:valAx>
        <c:axId val="100690560"/>
        <c:scaling>
          <c:orientation val="minMax"/>
          <c:max val="12"/>
          <c:min val="-5"/>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100688640"/>
        <c:crosses val="autoZero"/>
        <c:crossBetween val="between"/>
        <c:majorUnit val="1"/>
      </c:valAx>
      <c:spPr>
        <a:ln>
          <a:solidFill>
            <a:schemeClr val="tx1"/>
          </a:solidFill>
        </a:ln>
      </c:spPr>
    </c:plotArea>
    <c:legend>
      <c:legendPos val="b"/>
      <c:layout>
        <c:manualLayout>
          <c:xMode val="edge"/>
          <c:yMode val="edge"/>
          <c:x val="1.2481425194191148E-2"/>
          <c:y val="0.87578174603174608"/>
          <c:w val="0.97945373184734885"/>
          <c:h val="0.11341893424036281"/>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E03A2-3894-48F9-BFAE-79ED9167A96C}">
  <ds:schemaRefs>
    <ds:schemaRef ds:uri="http://schemas.openxmlformats.org/officeDocument/2006/bibliography"/>
  </ds:schemaRefs>
</ds:datastoreItem>
</file>

<file path=customXml/itemProps2.xml><?xml version="1.0" encoding="utf-8"?>
<ds:datastoreItem xmlns:ds="http://schemas.openxmlformats.org/officeDocument/2006/customXml" ds:itemID="{87C6FF20-D079-46EC-BE47-63E7426E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Template>
  <TotalTime>1</TotalTime>
  <Pages>5</Pages>
  <Words>2072</Words>
  <Characters>12231</Characters>
  <Application>Microsoft Office Word</Application>
  <DocSecurity>0</DocSecurity>
  <Lines>101</Lines>
  <Paragraphs>28</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14275</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Karolína Zábojníková</cp:lastModifiedBy>
  <cp:revision>3</cp:revision>
  <cp:lastPrinted>2019-04-08T10:52:00Z</cp:lastPrinted>
  <dcterms:created xsi:type="dcterms:W3CDTF">2020-05-13T09:04:00Z</dcterms:created>
  <dcterms:modified xsi:type="dcterms:W3CDTF">2020-05-13T09:13:00Z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a92781-1fcb-4da3-a1a2-e534c28a25f3_Enabled">
    <vt:lpwstr>true</vt:lpwstr>
  </property>
  <property fmtid="{D5CDD505-2E9C-101B-9397-08002B2CF9AE}" pid="3" name="MSIP_Label_faa92781-1fcb-4da3-a1a2-e534c28a25f3_SetDate">
    <vt:lpwstr>2020-04-16T17:47:48Z</vt:lpwstr>
  </property>
  <property fmtid="{D5CDD505-2E9C-101B-9397-08002B2CF9AE}" pid="4" name="MSIP_Label_faa92781-1fcb-4da3-a1a2-e534c28a25f3_Method">
    <vt:lpwstr>Standard</vt:lpwstr>
  </property>
  <property fmtid="{D5CDD505-2E9C-101B-9397-08002B2CF9AE}" pid="5" name="MSIP_Label_faa92781-1fcb-4da3-a1a2-e534c28a25f3_Name">
    <vt:lpwstr>in UniCredit Group - no visual markings2</vt:lpwstr>
  </property>
  <property fmtid="{D5CDD505-2E9C-101B-9397-08002B2CF9AE}" pid="6" name="MSIP_Label_faa92781-1fcb-4da3-a1a2-e534c28a25f3_SiteId">
    <vt:lpwstr>2cc49ce9-66a1-41ac-a96b-bdc54247696a</vt:lpwstr>
  </property>
  <property fmtid="{D5CDD505-2E9C-101B-9397-08002B2CF9AE}" pid="7" name="MSIP_Label_faa92781-1fcb-4da3-a1a2-e534c28a25f3_ActionId">
    <vt:lpwstr>435c7101-5f7f-4d13-bd4e-00007d3a6b17</vt:lpwstr>
  </property>
  <property fmtid="{D5CDD505-2E9C-101B-9397-08002B2CF9AE}" pid="8" name="MSIP_Label_faa92781-1fcb-4da3-a1a2-e534c28a25f3_ContentBits">
    <vt:lpwstr>0</vt:lpwstr>
  </property>
</Properties>
</file>