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F3" w:rsidRDefault="005927F3" w:rsidP="005927F3">
      <w:pPr>
        <w:pStyle w:val="Nadpis2"/>
        <w:spacing w:after="120"/>
        <w:rPr>
          <w:sz w:val="32"/>
          <w:szCs w:val="28"/>
        </w:rPr>
      </w:pPr>
      <w:r>
        <w:rPr>
          <w:sz w:val="32"/>
          <w:szCs w:val="28"/>
        </w:rPr>
        <w:t xml:space="preserve">3. </w:t>
      </w:r>
      <w:r w:rsidRPr="009259D3">
        <w:rPr>
          <w:sz w:val="32"/>
          <w:szCs w:val="28"/>
        </w:rPr>
        <w:t>STÁTNÍ ROZPOČTOVÉ VÝDAJE NA VÝZKUM A VÝVOJ V</w:t>
      </w:r>
      <w:r>
        <w:rPr>
          <w:sz w:val="32"/>
          <w:szCs w:val="28"/>
        </w:rPr>
        <w:t> </w:t>
      </w:r>
      <w:r w:rsidRPr="009259D3">
        <w:rPr>
          <w:sz w:val="32"/>
          <w:szCs w:val="28"/>
        </w:rPr>
        <w:t>ČR</w:t>
      </w:r>
    </w:p>
    <w:p w:rsidR="005927F3" w:rsidRPr="00F4251F" w:rsidRDefault="005927F3" w:rsidP="005927F3">
      <w:pPr>
        <w:pStyle w:val="Nadpis3"/>
      </w:pPr>
      <w:r>
        <w:t>3.1.</w:t>
      </w:r>
      <w:r w:rsidRPr="00F4251F">
        <w:t xml:space="preserve"> Základní údaje</w:t>
      </w:r>
    </w:p>
    <w:p w:rsidR="005927F3" w:rsidRDefault="003528D7" w:rsidP="005927F3">
      <w:pPr>
        <w:spacing w:before="120" w:after="120"/>
        <w:jc w:val="both"/>
      </w:pPr>
      <w:r>
        <w:t>V roce 2020</w:t>
      </w:r>
      <w:r w:rsidR="005927F3" w:rsidRPr="00D26FE8">
        <w:t xml:space="preserve"> podpořil český stát prostřednictvím státního rozpočtu </w:t>
      </w:r>
      <w:r w:rsidR="005927F3">
        <w:t>výzkumné a vývojové činnosti</w:t>
      </w:r>
      <w:r w:rsidR="005927F3" w:rsidRPr="00D26FE8">
        <w:t xml:space="preserve"> </w:t>
      </w:r>
      <w:r w:rsidR="005927F3">
        <w:t xml:space="preserve">částkou </w:t>
      </w:r>
      <w:r w:rsidR="005927F3" w:rsidRPr="00C05837">
        <w:rPr>
          <w:b/>
        </w:rPr>
        <w:t>3</w:t>
      </w:r>
      <w:r w:rsidR="00C05837" w:rsidRPr="00C05837">
        <w:rPr>
          <w:b/>
        </w:rPr>
        <w:t>8,1</w:t>
      </w:r>
      <w:r w:rsidR="005927F3" w:rsidRPr="00C05837">
        <w:rPr>
          <w:b/>
        </w:rPr>
        <w:t> mld. Kč.</w:t>
      </w:r>
      <w:r w:rsidR="005927F3" w:rsidRPr="00D26FE8">
        <w:t xml:space="preserve"> </w:t>
      </w:r>
      <w:r w:rsidR="005927F3">
        <w:t>Státní rozpočet je dlouhodobě</w:t>
      </w:r>
      <w:r w:rsidR="005927F3" w:rsidRPr="00D26FE8">
        <w:t xml:space="preserve"> druhým nejdůležitějším zdrojem financování výzkumu a vývoje (dále jen VaV) na území České republiky (dále ČR)</w:t>
      </w:r>
      <w:r>
        <w:t xml:space="preserve">. </w:t>
      </w:r>
      <w:r w:rsidRPr="00C05837">
        <w:t>V roce 2020</w:t>
      </w:r>
      <w:r w:rsidR="005927F3" w:rsidRPr="00C05837">
        <w:t xml:space="preserve"> se podílel z jedné třetiny na celkových</w:t>
      </w:r>
      <w:r w:rsidR="005927F3" w:rsidRPr="005E0D0D">
        <w:t xml:space="preserve"> </w:t>
      </w:r>
      <w:r w:rsidR="005927F3">
        <w:t>výdajích na VaV - podrobněji viz graf č. 3-2.</w:t>
      </w:r>
      <w:r w:rsidR="005927F3" w:rsidRPr="00D26FE8">
        <w:t xml:space="preserve"> Na prvním místě jsou vlastní zdroje podnikatelských subjektů</w:t>
      </w:r>
      <w:r w:rsidR="005927F3" w:rsidRPr="00D26FE8">
        <w:rPr>
          <w:rStyle w:val="Znakapoznpodarou"/>
        </w:rPr>
        <w:footnoteReference w:id="1"/>
      </w:r>
      <w:r w:rsidR="005927F3" w:rsidRPr="00D26FE8">
        <w:t xml:space="preserve">. </w:t>
      </w:r>
    </w:p>
    <w:p w:rsidR="005927F3" w:rsidRDefault="005927F3" w:rsidP="005927F3">
      <w:pPr>
        <w:spacing w:before="120" w:after="120"/>
        <w:jc w:val="both"/>
      </w:pPr>
      <w:r w:rsidRPr="005A1886">
        <w:t>Veškeré údaje týkající se státních rozpočtových výdajů na VaV (ukazatel GBARD) vyjadřují skutečný stav dle státního</w:t>
      </w:r>
      <w:r>
        <w:t xml:space="preserve"> závěrečného účtu</w:t>
      </w:r>
      <w:r w:rsidRPr="005A1886">
        <w:t xml:space="preserve"> a z</w:t>
      </w:r>
      <w:r w:rsidR="00021A50">
        <w:t>ahrnují pouze spolufinancování S</w:t>
      </w:r>
      <w:r w:rsidRPr="005A1886">
        <w:t xml:space="preserve">trukturálních </w:t>
      </w:r>
      <w:r w:rsidR="00021A50">
        <w:t xml:space="preserve">a investičních </w:t>
      </w:r>
      <w:r w:rsidRPr="005A1886">
        <w:t>fondů EU, nikoliv jejich předfinancování.</w:t>
      </w:r>
    </w:p>
    <w:p w:rsidR="005927F3" w:rsidRPr="00D26FE8" w:rsidRDefault="005927F3" w:rsidP="005927F3">
      <w:pPr>
        <w:spacing w:before="120" w:after="120"/>
        <w:jc w:val="both"/>
      </w:pPr>
      <w:r>
        <w:t>Ve srovnání s</w:t>
      </w:r>
      <w:r w:rsidRPr="00D26FE8">
        <w:t xml:space="preserve"> rokem </w:t>
      </w:r>
      <w:r w:rsidR="00C05837">
        <w:t>2019</w:t>
      </w:r>
      <w:r>
        <w:t xml:space="preserve"> </w:t>
      </w:r>
      <w:r w:rsidRPr="00D26FE8">
        <w:t xml:space="preserve">vzrostla </w:t>
      </w:r>
      <w:r>
        <w:t xml:space="preserve">státní podpora VaV v ČR </w:t>
      </w:r>
      <w:r w:rsidR="00013C0D">
        <w:t>o 6,4</w:t>
      </w:r>
      <w:r w:rsidRPr="00D26FE8">
        <w:t> %</w:t>
      </w:r>
      <w:r w:rsidR="001F18FE">
        <w:t xml:space="preserve">, </w:t>
      </w:r>
      <w:r w:rsidR="00013C0D">
        <w:t xml:space="preserve">v absolutním vyjádření </w:t>
      </w:r>
      <w:r w:rsidR="001F18FE">
        <w:t xml:space="preserve">se jednalo </w:t>
      </w:r>
      <w:r w:rsidR="00013C0D">
        <w:t>o</w:t>
      </w:r>
      <w:r w:rsidR="001F18FE">
        <w:t xml:space="preserve"> nárůst</w:t>
      </w:r>
      <w:r w:rsidR="00013C0D">
        <w:t xml:space="preserve"> 2,3</w:t>
      </w:r>
      <w:r w:rsidRPr="00D26FE8">
        <w:t> mld. Kč</w:t>
      </w:r>
      <w:r w:rsidR="00CB386F">
        <w:t>. V porovnání s rokem 2010</w:t>
      </w:r>
      <w:r>
        <w:t xml:space="preserve">, kdy </w:t>
      </w:r>
      <w:r w:rsidR="00CB386F">
        <w:t>ukazatel GBARD dosáhl hodnoty 22,6</w:t>
      </w:r>
      <w:r>
        <w:t xml:space="preserve"> mld. Kč, tak</w:t>
      </w:r>
      <w:r w:rsidR="00CB386F">
        <w:t xml:space="preserve"> státní podpora VaV do roku 2020</w:t>
      </w:r>
      <w:r w:rsidR="00E561F4">
        <w:t xml:space="preserve"> narostla o </w:t>
      </w:r>
      <w:r w:rsidR="00CB386F">
        <w:t>15,5</w:t>
      </w:r>
      <w:r>
        <w:t xml:space="preserve"> mld. Kč.</w:t>
      </w:r>
      <w:r w:rsidR="009850D4">
        <w:t xml:space="preserve"> </w:t>
      </w:r>
    </w:p>
    <w:p w:rsidR="005927F3" w:rsidRDefault="005927F3" w:rsidP="005927F3">
      <w:pPr>
        <w:spacing w:before="120" w:after="0"/>
        <w:jc w:val="both"/>
        <w:rPr>
          <w:b/>
        </w:rPr>
      </w:pPr>
      <w:r>
        <w:rPr>
          <w:b/>
        </w:rPr>
        <w:t>TAB 3-1: Schválené a skutečné státní</w:t>
      </w:r>
      <w:r w:rsidRPr="00142861">
        <w:rPr>
          <w:b/>
        </w:rPr>
        <w:t xml:space="preserve"> </w:t>
      </w:r>
      <w:r>
        <w:rPr>
          <w:b/>
        </w:rPr>
        <w:t>rozpočtové výdaje na VaV v ČR v mld. Kč</w:t>
      </w:r>
      <w:r>
        <w:rPr>
          <w:rStyle w:val="Znakapoznpodarou"/>
          <w:b/>
        </w:rPr>
        <w:footnoteReference w:id="2"/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20"/>
      </w:tblGrid>
      <w:tr w:rsidR="0052407C" w:rsidRPr="0052407C" w:rsidTr="0052407C">
        <w:trPr>
          <w:trHeight w:val="259"/>
        </w:trPr>
        <w:tc>
          <w:tcPr>
            <w:tcW w:w="21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SR VaVaI</w:t>
            </w:r>
          </w:p>
        </w:tc>
        <w:tc>
          <w:tcPr>
            <w:tcW w:w="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2020</w:t>
            </w:r>
          </w:p>
        </w:tc>
      </w:tr>
      <w:tr w:rsidR="0052407C" w:rsidRPr="0052407C" w:rsidTr="0052407C">
        <w:trPr>
          <w:trHeight w:val="25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Schválené výdaje</w:t>
            </w:r>
          </w:p>
        </w:tc>
        <w:tc>
          <w:tcPr>
            <w:tcW w:w="5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12,0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16,5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25,4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25,9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26,6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26,1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26,6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26,9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32,7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36,0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2407C">
              <w:rPr>
                <w:rFonts w:cs="Arial"/>
                <w:sz w:val="16"/>
                <w:szCs w:val="16"/>
              </w:rPr>
              <w:t>36,2</w:t>
            </w:r>
          </w:p>
        </w:tc>
      </w:tr>
      <w:tr w:rsidR="0052407C" w:rsidRPr="0052407C" w:rsidTr="0052407C">
        <w:trPr>
          <w:trHeight w:val="25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Skutečné výdaje</w:t>
            </w:r>
          </w:p>
        </w:tc>
        <w:tc>
          <w:tcPr>
            <w:tcW w:w="5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26,2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30,7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33,4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35,8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2407C">
              <w:rPr>
                <w:rFonts w:cs="Arial"/>
                <w:b/>
                <w:bCs/>
                <w:sz w:val="16"/>
                <w:szCs w:val="16"/>
              </w:rPr>
              <w:t>38,1</w:t>
            </w:r>
          </w:p>
        </w:tc>
      </w:tr>
      <w:tr w:rsidR="0052407C" w:rsidRPr="0052407C" w:rsidTr="0052407C">
        <w:trPr>
          <w:trHeight w:val="450"/>
        </w:trPr>
        <w:tc>
          <w:tcPr>
            <w:tcW w:w="21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Rozdíl mezi skutečnými a schválenými výdaji</w:t>
            </w:r>
          </w:p>
        </w:tc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-0,1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-0,1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-2,8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-0,1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-0,5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-1,1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-2,0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-1,4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-0,2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2407C" w:rsidRPr="0052407C" w:rsidRDefault="0052407C" w:rsidP="0052407C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52407C">
              <w:rPr>
                <w:rFonts w:cs="Arial"/>
                <w:i/>
                <w:iCs/>
                <w:sz w:val="16"/>
                <w:szCs w:val="16"/>
              </w:rPr>
              <w:t>1,8</w:t>
            </w:r>
          </w:p>
        </w:tc>
      </w:tr>
    </w:tbl>
    <w:p w:rsidR="005927F3" w:rsidRPr="00234A09" w:rsidRDefault="005927F3" w:rsidP="001C1312">
      <w:pPr>
        <w:spacing w:before="240" w:after="120"/>
        <w:jc w:val="both"/>
      </w:pPr>
      <w:r w:rsidRPr="00234A09">
        <w:t>Z</w:t>
      </w:r>
      <w:r w:rsidR="00783A46">
        <w:t>a posledních deset let (2011 až 2020</w:t>
      </w:r>
      <w:r w:rsidRPr="00234A09">
        <w:t>) bylo ze státního rozpočtu ČR čerpáno na VaV</w:t>
      </w:r>
      <w:r w:rsidR="006A6CE8">
        <w:t xml:space="preserve"> prováděný</w:t>
      </w:r>
      <w:r w:rsidRPr="00234A09">
        <w:t xml:space="preserve"> ve vládním, vysokoškolském, podnikatelském a soukrom</w:t>
      </w:r>
      <w:r w:rsidR="00783A46">
        <w:t>ém neziskovém sektoru rovných 300</w:t>
      </w:r>
      <w:r>
        <w:t xml:space="preserve"> mld. Kč. Průměrné tempo růstu státních rozpočtových výdajů</w:t>
      </w:r>
      <w:r w:rsidR="00783A46">
        <w:t xml:space="preserve"> na VaV v tomto období dosáhlo 4,4</w:t>
      </w:r>
      <w:r w:rsidR="00FF0030">
        <w:t xml:space="preserve"> %.</w:t>
      </w:r>
    </w:p>
    <w:p w:rsidR="005927F3" w:rsidRDefault="005927F3" w:rsidP="00C64518">
      <w:pPr>
        <w:spacing w:before="240" w:after="0"/>
        <w:jc w:val="both"/>
        <w:rPr>
          <w:b/>
        </w:rPr>
      </w:pPr>
      <w:r>
        <w:rPr>
          <w:b/>
        </w:rPr>
        <w:t>GRAF 3</w:t>
      </w:r>
      <w:r w:rsidRPr="00B40138">
        <w:rPr>
          <w:b/>
        </w:rPr>
        <w:t xml:space="preserve">-1: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 xml:space="preserve">rozpočtové výdaje na VaV v ČR; </w:t>
      </w:r>
      <w:r w:rsidR="00F9497C">
        <w:rPr>
          <w:b/>
        </w:rPr>
        <w:t>2005–2020</w:t>
      </w:r>
    </w:p>
    <w:p w:rsidR="00CE28C9" w:rsidRPr="00CE28C9" w:rsidRDefault="009850D4" w:rsidP="00CE28C9">
      <w:pPr>
        <w:spacing w:before="120"/>
        <w:jc w:val="both"/>
        <w:rPr>
          <w:b/>
        </w:rPr>
      </w:pPr>
      <w:r>
        <w:rPr>
          <w:noProof/>
        </w:rPr>
        <w:drawing>
          <wp:inline distT="0" distB="0" distL="0" distR="0" wp14:anchorId="5E95BDD6" wp14:editId="79318122">
            <wp:extent cx="6120000" cy="2880000"/>
            <wp:effectExtent l="0" t="0" r="0" b="0"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27F3" w:rsidRPr="0084327C" w:rsidRDefault="005927F3" w:rsidP="00137D26">
      <w:pPr>
        <w:jc w:val="both"/>
      </w:pPr>
      <w:r w:rsidRPr="00DD79DD">
        <w:lastRenderedPageBreak/>
        <w:t xml:space="preserve">Uvedená částka státních rozpočtových výdajů na </w:t>
      </w:r>
      <w:r w:rsidR="00C04579">
        <w:t>VaV (ukazatel GBARD) v roce 2020</w:t>
      </w:r>
      <w:r w:rsidR="00DE7E15">
        <w:t xml:space="preserve"> odpovídala </w:t>
      </w:r>
      <w:r w:rsidR="00DE7E15" w:rsidRPr="00F53E6A">
        <w:rPr>
          <w:b/>
        </w:rPr>
        <w:t>0,67</w:t>
      </w:r>
      <w:r w:rsidRPr="00F53E6A">
        <w:rPr>
          <w:b/>
        </w:rPr>
        <w:t> %</w:t>
      </w:r>
      <w:r w:rsidRPr="00DD79DD">
        <w:t xml:space="preserve"> hrubého domácího produktu</w:t>
      </w:r>
      <w:r w:rsidR="00DE7E15">
        <w:t xml:space="preserve"> (HDP). V roce 2010 byl podíl GBARD na HDP 0,57</w:t>
      </w:r>
      <w:r w:rsidRPr="00DD79DD">
        <w:t xml:space="preserve"> %. Na celkových výdajích státního rozpo</w:t>
      </w:r>
      <w:r w:rsidR="00DE7E15">
        <w:t xml:space="preserve">čtu se výdaje na VaV v roce 2020 podílely </w:t>
      </w:r>
      <w:r w:rsidR="00DE7E15" w:rsidRPr="00F53E6A">
        <w:rPr>
          <w:b/>
        </w:rPr>
        <w:t>2,</w:t>
      </w:r>
      <w:r w:rsidR="00D547EC" w:rsidRPr="00F53E6A">
        <w:rPr>
          <w:b/>
        </w:rPr>
        <w:t>07</w:t>
      </w:r>
      <w:r w:rsidR="00DE7E15" w:rsidRPr="00F53E6A">
        <w:rPr>
          <w:b/>
        </w:rPr>
        <w:t xml:space="preserve"> %</w:t>
      </w:r>
      <w:r w:rsidRPr="00DD79DD">
        <w:t xml:space="preserve"> a na celkových veřejných </w:t>
      </w:r>
      <w:r w:rsidR="00DE7E15">
        <w:t xml:space="preserve">rozpočtech pak </w:t>
      </w:r>
      <w:r w:rsidR="00DE7E15" w:rsidRPr="00F53E6A">
        <w:rPr>
          <w:b/>
        </w:rPr>
        <w:t>1,42 %</w:t>
      </w:r>
      <w:r w:rsidRPr="00DD79DD">
        <w:t>.</w:t>
      </w:r>
      <w:r w:rsidR="00817DB6">
        <w:t xml:space="preserve"> </w:t>
      </w:r>
      <w:r w:rsidR="00817DB6" w:rsidRPr="00817DB6">
        <w:t>V roce 2010 se jednalo o 1,95</w:t>
      </w:r>
      <w:r w:rsidR="005F22A9">
        <w:t> %,</w:t>
      </w:r>
      <w:r w:rsidR="00817DB6" w:rsidRPr="00817DB6">
        <w:t xml:space="preserve"> respektive 1,3 %.</w:t>
      </w:r>
      <w:r w:rsidR="00C04579">
        <w:t xml:space="preserve"> Podíl GBARD na celkových výdajích</w:t>
      </w:r>
      <w:r w:rsidR="00C04579" w:rsidRPr="00C04579">
        <w:t xml:space="preserve"> státní</w:t>
      </w:r>
      <w:r w:rsidR="00C04579">
        <w:t>ho</w:t>
      </w:r>
      <w:r w:rsidR="00DE7E15">
        <w:t xml:space="preserve"> rozpočtu ČR od roku 2018</w:t>
      </w:r>
      <w:r w:rsidR="00C04579" w:rsidRPr="00C04579">
        <w:t xml:space="preserve"> klesá</w:t>
      </w:r>
      <w:r w:rsidR="00D547EC">
        <w:t>. Z</w:t>
      </w:r>
      <w:r w:rsidR="00A8227D">
        <w:t xml:space="preserve"> nejvyšší doposud zaznamenané </w:t>
      </w:r>
      <w:r w:rsidR="00D547EC">
        <w:t xml:space="preserve">hodnoty 2,4 % v roce 2017 </w:t>
      </w:r>
      <w:r w:rsidR="00A8227D">
        <w:t xml:space="preserve">podíl </w:t>
      </w:r>
      <w:r w:rsidR="00D547EC">
        <w:t>poklesl na 2,07</w:t>
      </w:r>
      <w:r w:rsidR="00817DB6">
        <w:t xml:space="preserve"> %</w:t>
      </w:r>
      <w:r w:rsidR="00D547EC">
        <w:t xml:space="preserve"> v roce 2020</w:t>
      </w:r>
      <w:r w:rsidR="00C04579" w:rsidRPr="00C04579">
        <w:t>.</w:t>
      </w:r>
      <w:r w:rsidRPr="00DD79DD">
        <w:t xml:space="preserve"> Ve schválené verzi státního roz</w:t>
      </w:r>
      <w:r w:rsidR="00DE7E15">
        <w:t>počtu ČR na rok 2020</w:t>
      </w:r>
      <w:r w:rsidRPr="00DD79DD">
        <w:t xml:space="preserve"> se počítalo s částkou státní</w:t>
      </w:r>
      <w:r w:rsidR="00982D56">
        <w:t xml:space="preserve">ch rozpočtových výdajů na VaV ve výši </w:t>
      </w:r>
      <w:r w:rsidRPr="00DD79DD">
        <w:t>36</w:t>
      </w:r>
      <w:r w:rsidR="00DE7E15">
        <w:t>,2</w:t>
      </w:r>
      <w:r w:rsidRPr="00DD79DD">
        <w:t xml:space="preserve"> mld. Kč.</w:t>
      </w:r>
      <w:r w:rsidRPr="00D83E8E">
        <w:t xml:space="preserve"> Skutečné čerpání </w:t>
      </w:r>
      <w:r w:rsidR="00B76B70">
        <w:t xml:space="preserve">finančních </w:t>
      </w:r>
      <w:r w:rsidR="00982D56">
        <w:t xml:space="preserve">prostředků </w:t>
      </w:r>
      <w:r w:rsidRPr="00D83E8E">
        <w:t xml:space="preserve">bylo </w:t>
      </w:r>
      <w:r w:rsidR="00DE7E15">
        <w:t>vyšší</w:t>
      </w:r>
      <w:r>
        <w:t xml:space="preserve"> </w:t>
      </w:r>
      <w:r w:rsidRPr="00D83E8E">
        <w:t>o</w:t>
      </w:r>
      <w:r w:rsidR="00DE7E15">
        <w:t> 1,8</w:t>
      </w:r>
      <w:r>
        <w:t> mld</w:t>
      </w:r>
      <w:r w:rsidRPr="00D83E8E">
        <w:t>.</w:t>
      </w:r>
      <w:r>
        <w:t> </w:t>
      </w:r>
      <w:r w:rsidRPr="00D83E8E">
        <w:t>Kč.</w:t>
      </w:r>
      <w:r>
        <w:t xml:space="preserve"> </w:t>
      </w:r>
    </w:p>
    <w:p w:rsidR="005927F3" w:rsidRDefault="005927F3" w:rsidP="005927F3">
      <w:pPr>
        <w:spacing w:before="120" w:after="0"/>
        <w:jc w:val="both"/>
        <w:rPr>
          <w:b/>
        </w:rPr>
      </w:pPr>
      <w:r>
        <w:rPr>
          <w:b/>
        </w:rPr>
        <w:t>TAB 3</w:t>
      </w:r>
      <w:r w:rsidRPr="002F2B9F">
        <w:rPr>
          <w:b/>
        </w:rPr>
        <w:t xml:space="preserve">-2: </w:t>
      </w:r>
      <w:r>
        <w:rPr>
          <w:b/>
        </w:rPr>
        <w:t>Státní rozpočtové výdaje na VaV v ČR – základní ukazatele GBARD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2B15DC" w:rsidRPr="002B15DC" w:rsidTr="002B15DC">
        <w:trPr>
          <w:trHeight w:val="300"/>
        </w:trPr>
        <w:tc>
          <w:tcPr>
            <w:tcW w:w="15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Základní ukazatele</w:t>
            </w:r>
          </w:p>
        </w:tc>
        <w:tc>
          <w:tcPr>
            <w:tcW w:w="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15DC">
              <w:rPr>
                <w:rFonts w:cs="Arial"/>
                <w:b/>
                <w:bCs/>
                <w:sz w:val="16"/>
                <w:szCs w:val="16"/>
              </w:rPr>
              <w:t>2020</w:t>
            </w:r>
          </w:p>
        </w:tc>
      </w:tr>
      <w:tr w:rsidR="002B15DC" w:rsidRPr="002B15DC" w:rsidTr="002B15D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Podíl na HDP</w:t>
            </w:r>
          </w:p>
        </w:tc>
        <w:tc>
          <w:tcPr>
            <w:tcW w:w="6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0,50%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0,50%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0,57%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0,64%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0,64%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0,64%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0,63%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0,60%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0,58%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0,60%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0,62%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0,62%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0,67%</w:t>
            </w:r>
          </w:p>
        </w:tc>
      </w:tr>
      <w:tr w:rsidR="002B15DC" w:rsidRPr="002B15DC" w:rsidTr="002B15DC">
        <w:trPr>
          <w:trHeight w:val="45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Podíl na státním rozpočtu ČR</w:t>
            </w:r>
          </w:p>
        </w:tc>
        <w:tc>
          <w:tcPr>
            <w:tcW w:w="6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1,88%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1,78%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2,24%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2,27%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2,28%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2,25%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2,15%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2,29%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2,40%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2,38%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2,31%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2,07%</w:t>
            </w:r>
          </w:p>
        </w:tc>
      </w:tr>
      <w:tr w:rsidR="002B15DC" w:rsidRPr="002B15DC" w:rsidTr="002B15DC">
        <w:trPr>
          <w:trHeight w:val="450"/>
        </w:trPr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Podíl na veřejných rozpočtech ČR</w:t>
            </w:r>
          </w:p>
        </w:tc>
        <w:tc>
          <w:tcPr>
            <w:tcW w:w="6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1,22%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B15DC" w:rsidRPr="002B15DC" w:rsidRDefault="002B15DC" w:rsidP="002B15DC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B15DC">
              <w:rPr>
                <w:rFonts w:cs="Arial"/>
                <w:color w:val="000000"/>
                <w:sz w:val="16"/>
                <w:szCs w:val="16"/>
              </w:rPr>
              <w:t>1,42%</w:t>
            </w:r>
          </w:p>
        </w:tc>
      </w:tr>
    </w:tbl>
    <w:p w:rsidR="005927F3" w:rsidRPr="00FB5664" w:rsidRDefault="005927F3" w:rsidP="005927F3">
      <w:pPr>
        <w:pStyle w:val="Nadpis3"/>
        <w:spacing w:before="360"/>
      </w:pPr>
      <w:r>
        <w:t>3.2 Státní rozpočtové výdaje na VaV</w:t>
      </w:r>
      <w:r w:rsidRPr="006E3865">
        <w:t xml:space="preserve"> podle typu</w:t>
      </w:r>
      <w:r>
        <w:t xml:space="preserve"> výdajů</w:t>
      </w:r>
    </w:p>
    <w:p w:rsidR="005927F3" w:rsidRDefault="005927F3" w:rsidP="005927F3">
      <w:pPr>
        <w:spacing w:before="120" w:after="120"/>
        <w:jc w:val="both"/>
      </w:pPr>
      <w:r>
        <w:t xml:space="preserve">Převážná část státní rozpočtové podpory VaV spadá do kategorie běžných výdajů. Jedná se zejména o platy a ostatní </w:t>
      </w:r>
      <w:r w:rsidR="001D2216">
        <w:t>neinvestiční výdaje. V roce 2020</w:t>
      </w:r>
      <w:r>
        <w:t xml:space="preserve"> činily </w:t>
      </w:r>
      <w:r w:rsidRPr="00663155">
        <w:rPr>
          <w:b/>
        </w:rPr>
        <w:t>běžné výdaje</w:t>
      </w:r>
      <w:r>
        <w:t xml:space="preserve"> </w:t>
      </w:r>
      <w:r w:rsidR="00D31F00">
        <w:rPr>
          <w:b/>
        </w:rPr>
        <w:t>35,4</w:t>
      </w:r>
      <w:r w:rsidRPr="00FA6D46">
        <w:rPr>
          <w:b/>
        </w:rPr>
        <w:t xml:space="preserve"> mld. Kč</w:t>
      </w:r>
      <w:r w:rsidR="00D31F00">
        <w:t>, což odpovídá podílu 92,8</w:t>
      </w:r>
      <w:r>
        <w:t xml:space="preserve"> % z celkových státních rozpočtových výdajů na VaV. Podíl </w:t>
      </w:r>
      <w:r w:rsidRPr="00663155">
        <w:rPr>
          <w:b/>
        </w:rPr>
        <w:t xml:space="preserve">kapitálových </w:t>
      </w:r>
      <w:r w:rsidR="00D31F00" w:rsidRPr="00663155">
        <w:rPr>
          <w:b/>
        </w:rPr>
        <w:t>výdajů</w:t>
      </w:r>
      <w:r w:rsidR="00D31F00">
        <w:t xml:space="preserve"> dosáhl 7,2 % (</w:t>
      </w:r>
      <w:r w:rsidR="00D31F00" w:rsidRPr="00663155">
        <w:rPr>
          <w:b/>
        </w:rPr>
        <w:t>2,7</w:t>
      </w:r>
      <w:r w:rsidRPr="00663155">
        <w:rPr>
          <w:b/>
        </w:rPr>
        <w:t xml:space="preserve"> mld. Kč</w:t>
      </w:r>
      <w:r>
        <w:t>). Kapitálové výdaje úzce souvisí zejména s čerpáním unijních fondů a budováním výzkumné infrastruktury. Oproti pře</w:t>
      </w:r>
      <w:r w:rsidR="00A91338">
        <w:t>d</w:t>
      </w:r>
      <w:r>
        <w:t>chozímu roku</w:t>
      </w:r>
      <w:r w:rsidR="007E7420">
        <w:t xml:space="preserve"> se</w:t>
      </w:r>
      <w:r>
        <w:t xml:space="preserve"> podíl ka</w:t>
      </w:r>
      <w:r w:rsidR="00D31F00">
        <w:t>pitálových výdajů na VaV zvýšil o 0,3</w:t>
      </w:r>
      <w:r>
        <w:t xml:space="preserve"> procentního bodu. Nejvyšší podíl (12 %) byl zaznamenán v roce 2012. </w:t>
      </w:r>
    </w:p>
    <w:p w:rsidR="005927F3" w:rsidRDefault="005927F3" w:rsidP="005927F3">
      <w:pPr>
        <w:spacing w:before="120" w:after="120"/>
        <w:jc w:val="both"/>
      </w:pPr>
      <w:r>
        <w:t>V rámci jednotlivých rozpočtových kapitol podílejících se na financování V</w:t>
      </w:r>
      <w:r w:rsidR="007D601F">
        <w:t>aV ze státního rozpočtu vykázalo</w:t>
      </w:r>
      <w:r>
        <w:t xml:space="preserve"> nejvyšší podíl kapitálových výdajů na VaV </w:t>
      </w:r>
      <w:r w:rsidR="007D601F">
        <w:t>Ministerstvo dopravy, a to rovnou polovinu. Následuje Akademie věd ČR (21 % z rozpočtu AV ČR), kde se j</w:t>
      </w:r>
      <w:r w:rsidR="000561A2">
        <w:t xml:space="preserve">edná </w:t>
      </w:r>
      <w:r>
        <w:t>zejména o financování infrastruktury ústavů AV ČR</w:t>
      </w:r>
      <w:r w:rsidR="007D601F">
        <w:t xml:space="preserve">, </w:t>
      </w:r>
      <w:r w:rsidR="00B42F09">
        <w:t xml:space="preserve">a dále </w:t>
      </w:r>
      <w:r>
        <w:t>Minist</w:t>
      </w:r>
      <w:r w:rsidR="007D601F">
        <w:t>erstvo životního prostředí (12</w:t>
      </w:r>
      <w:r>
        <w:t xml:space="preserve"> %). V případě </w:t>
      </w:r>
      <w:r w:rsidR="00FE2684">
        <w:t xml:space="preserve">resortu, který rozděluje na podporu výzkumu a vývoje </w:t>
      </w:r>
      <w:r>
        <w:t>nejvíce peněz – Ministerstvo školství, mládeže a tělovýchovy – dosá</w:t>
      </w:r>
      <w:r w:rsidR="007D601F">
        <w:t>hl podíl kapitálových výdajů 6</w:t>
      </w:r>
      <w:r>
        <w:t xml:space="preserve"> %. </w:t>
      </w:r>
      <w:r w:rsidR="007D601F">
        <w:t xml:space="preserve">Stejného podílu dosáhlo také </w:t>
      </w:r>
      <w:r>
        <w:t>Ministerstvo průmyslu a obchodu</w:t>
      </w:r>
      <w:r w:rsidR="007D601F">
        <w:t>.</w:t>
      </w:r>
      <w:r>
        <w:t xml:space="preserve"> </w:t>
      </w:r>
      <w:r w:rsidR="007D601F">
        <w:t xml:space="preserve">Ministerstvo vnitra </w:t>
      </w:r>
      <w:r>
        <w:t>vynaložilo na kapitál</w:t>
      </w:r>
      <w:r w:rsidR="007D601F">
        <w:t>ové výdaje související s VaV 5</w:t>
      </w:r>
      <w:r>
        <w:t xml:space="preserve"> % z celkových </w:t>
      </w:r>
      <w:r w:rsidR="007D601F">
        <w:t>výdajů na VaV, které v roce 2020</w:t>
      </w:r>
      <w:r>
        <w:t xml:space="preserve"> rozdělovalo. Naopak téměř nulové kapit</w:t>
      </w:r>
      <w:r w:rsidR="00B42F09">
        <w:t>álové výdaje na VaV najdeme v rozpočtových kapitolách, které poskytují</w:t>
      </w:r>
      <w:r>
        <w:t xml:space="preserve"> převážně účelovou podporu, jako jsou Grantová a Technologická agentura. </w:t>
      </w:r>
    </w:p>
    <w:p w:rsidR="005927F3" w:rsidRDefault="005927F3" w:rsidP="005927F3">
      <w:pPr>
        <w:spacing w:before="120" w:after="60"/>
        <w:rPr>
          <w:b/>
        </w:rPr>
      </w:pPr>
      <w:r>
        <w:rPr>
          <w:b/>
        </w:rPr>
        <w:t>GRAF 3</w:t>
      </w:r>
      <w:r w:rsidRPr="006E3865">
        <w:rPr>
          <w:b/>
        </w:rPr>
        <w:t xml:space="preserve">-2: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 xml:space="preserve">rozpočtové výdaje na VaV v ČR </w:t>
      </w:r>
      <w:r w:rsidRPr="006E3865">
        <w:rPr>
          <w:b/>
        </w:rPr>
        <w:t>p</w:t>
      </w:r>
      <w:r>
        <w:rPr>
          <w:b/>
        </w:rPr>
        <w:t xml:space="preserve">odle typu výdajů (mld. Kč; %); </w:t>
      </w:r>
      <w:r w:rsidR="00B3604E">
        <w:rPr>
          <w:b/>
        </w:rPr>
        <w:t>2012–2020</w:t>
      </w:r>
    </w:p>
    <w:p w:rsidR="005927F3" w:rsidRDefault="0001478B" w:rsidP="005927F3">
      <w:pPr>
        <w:spacing w:before="120" w:after="120"/>
        <w:jc w:val="both"/>
      </w:pPr>
      <w:r>
        <w:rPr>
          <w:noProof/>
        </w:rPr>
        <w:drawing>
          <wp:inline distT="0" distB="0" distL="0" distR="0" wp14:anchorId="4EA46091" wp14:editId="3A3D333E">
            <wp:extent cx="6120130" cy="2619375"/>
            <wp:effectExtent l="0" t="0" r="0" b="0"/>
            <wp:docPr id="20" name="Graf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27F3" w:rsidRPr="00FB5664" w:rsidRDefault="005927F3" w:rsidP="005927F3">
      <w:pPr>
        <w:pStyle w:val="Nadpis3"/>
        <w:spacing w:before="240"/>
      </w:pPr>
      <w:r>
        <w:lastRenderedPageBreak/>
        <w:t>3.3 Státní rozpočtové výdaje na VaV</w:t>
      </w:r>
      <w:r w:rsidRPr="006E3865">
        <w:t xml:space="preserve"> podle </w:t>
      </w:r>
      <w:r>
        <w:t>formy</w:t>
      </w:r>
      <w:r w:rsidRPr="006E3865">
        <w:t xml:space="preserve"> financování</w:t>
      </w:r>
    </w:p>
    <w:p w:rsidR="00D36F4E" w:rsidRDefault="005927F3" w:rsidP="005927F3">
      <w:pPr>
        <w:spacing w:before="120" w:after="120"/>
        <w:jc w:val="both"/>
      </w:pPr>
      <w:r w:rsidRPr="000B2610">
        <w:t>Jiný pohled na státní rozpočtovou podporu VaV poskytuje členění podle formy této podpory</w:t>
      </w:r>
      <w:r>
        <w:t xml:space="preserve"> ‒ na institucionální a účelovou</w:t>
      </w:r>
      <w:r w:rsidRPr="000B2610">
        <w:t xml:space="preserve">. </w:t>
      </w:r>
    </w:p>
    <w:p w:rsidR="005927F3" w:rsidRDefault="005927F3" w:rsidP="00D36F4E">
      <w:pPr>
        <w:shd w:val="clear" w:color="auto" w:fill="DAEEF3" w:themeFill="accent5" w:themeFillTint="33"/>
        <w:spacing w:before="120" w:after="120"/>
        <w:jc w:val="both"/>
      </w:pPr>
      <w:r w:rsidRPr="000B2610">
        <w:rPr>
          <w:b/>
        </w:rPr>
        <w:t>Institucionální podpora</w:t>
      </w:r>
      <w:r w:rsidR="00D36F4E">
        <w:t xml:space="preserve"> VaV zahrnuje</w:t>
      </w:r>
      <w:r w:rsidRPr="000B2610">
        <w:t xml:space="preserve"> státní rozpočtové prostředky na VaV, které jsou v souladu s metodikou OECD poskytnuty zejména na dlouhodobý koncepční rozvoj výzkumné organizace, speci</w:t>
      </w:r>
      <w:r w:rsidR="005B0421">
        <w:t>fický vysokoškolský výzkum</w:t>
      </w:r>
      <w:r w:rsidRPr="000B2610">
        <w:t xml:space="preserve"> a mezinárodní spolupráci ve VaV. </w:t>
      </w:r>
      <w:r w:rsidRPr="000B2610">
        <w:rPr>
          <w:b/>
        </w:rPr>
        <w:t>Účelová podpora VaV</w:t>
      </w:r>
      <w:r w:rsidR="00D36F4E">
        <w:t xml:space="preserve"> zahrnuje</w:t>
      </w:r>
      <w:r w:rsidRPr="000B2610">
        <w:t xml:space="preserve"> státní rozpočtové prostředky na VaV, které jsou poskytnuty zejména na grantový projekt, programový projekt (včetně hrazených z fondů EU) nebo financování velké výzkumné infrastruktury.</w:t>
      </w:r>
      <w:r>
        <w:t xml:space="preserve"> </w:t>
      </w:r>
    </w:p>
    <w:p w:rsidR="005927F3" w:rsidRPr="000C6BCC" w:rsidRDefault="005927F3" w:rsidP="005927F3">
      <w:pPr>
        <w:spacing w:before="120" w:after="120"/>
        <w:jc w:val="both"/>
      </w:pPr>
      <w:r w:rsidRPr="000C6BCC">
        <w:t>V období let 2005 až 2010 byla institucionální forma financování VaV vyšší než účelová</w:t>
      </w:r>
      <w:r w:rsidR="0008785C">
        <w:t>.</w:t>
      </w:r>
      <w:r w:rsidRPr="000C6BCC">
        <w:t xml:space="preserve"> V roce 2011</w:t>
      </w:r>
      <w:r>
        <w:t>,</w:t>
      </w:r>
      <w:r w:rsidRPr="000C6BCC">
        <w:t xml:space="preserve"> především díky </w:t>
      </w:r>
      <w:r w:rsidR="00683C50">
        <w:t xml:space="preserve">spolufinancování </w:t>
      </w:r>
      <w:r w:rsidRPr="000C6BCC">
        <w:t>projek</w:t>
      </w:r>
      <w:r w:rsidR="00683C50">
        <w:t>tů</w:t>
      </w:r>
      <w:r w:rsidRPr="000C6BCC">
        <w:t xml:space="preserve"> z operačních programů EU</w:t>
      </w:r>
      <w:r w:rsidR="00683C50">
        <w:t xml:space="preserve"> ze státního rozpočtu</w:t>
      </w:r>
      <w:r>
        <w:t>,</w:t>
      </w:r>
      <w:r w:rsidRPr="000C6BCC">
        <w:t xml:space="preserve"> vzrostl podíl účelové podpory na úkor institucionálního financování. V roce 2016</w:t>
      </w:r>
      <w:r>
        <w:t>,</w:t>
      </w:r>
      <w:r w:rsidRPr="000C6BCC">
        <w:t xml:space="preserve"> po skončení čerpání prostředků z Operačních programů pro období 2007 až 2014</w:t>
      </w:r>
      <w:r w:rsidRPr="000C6BCC">
        <w:rPr>
          <w:rStyle w:val="Znakapoznpodarou"/>
        </w:rPr>
        <w:footnoteReference w:id="3"/>
      </w:r>
      <w:r>
        <w:t>,</w:t>
      </w:r>
      <w:r w:rsidRPr="000C6BCC">
        <w:t xml:space="preserve"> došlo k vyrovnání podílu účelového a institucionálního financování na úrovni 14 mld. Kč, a to dí</w:t>
      </w:r>
      <w:r w:rsidR="00247EDB">
        <w:t>ky poklesu účelové podpory</w:t>
      </w:r>
      <w:r w:rsidRPr="000C6BCC">
        <w:t xml:space="preserve">. </w:t>
      </w:r>
      <w:r w:rsidR="00EA6DAF">
        <w:t>V roce 2019</w:t>
      </w:r>
      <w:r w:rsidRPr="000C6BCC">
        <w:t xml:space="preserve"> bylo financování </w:t>
      </w:r>
      <w:r>
        <w:t xml:space="preserve">VaV </w:t>
      </w:r>
      <w:r w:rsidRPr="000C6BCC">
        <w:t>prostřednictv</w:t>
      </w:r>
      <w:r>
        <w:t xml:space="preserve">ím účelové podpory o 362 mil. Kč vyšší než v případě </w:t>
      </w:r>
      <w:r w:rsidR="001D69D3">
        <w:t>podpory institucionální</w:t>
      </w:r>
      <w:r w:rsidRPr="000C6BCC">
        <w:t xml:space="preserve">. </w:t>
      </w:r>
      <w:r w:rsidR="00EA6DAF">
        <w:t>V roce 2020 se pořadí obrátilo a institucionální podpora převýšila účelovou o 1,1 mld. Kč.</w:t>
      </w:r>
      <w:r w:rsidRPr="000C6BCC">
        <w:t xml:space="preserve">   </w:t>
      </w:r>
    </w:p>
    <w:p w:rsidR="005927F3" w:rsidRDefault="005927F3" w:rsidP="005927F3">
      <w:pPr>
        <w:spacing w:before="120" w:after="60"/>
        <w:rPr>
          <w:b/>
        </w:rPr>
      </w:pPr>
      <w:r>
        <w:rPr>
          <w:b/>
        </w:rPr>
        <w:t>GRAF 3-3</w:t>
      </w:r>
      <w:r w:rsidRPr="006E3865">
        <w:rPr>
          <w:b/>
        </w:rPr>
        <w:t xml:space="preserve">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 xml:space="preserve">rozpočtové výdaje na VaV v ČR </w:t>
      </w:r>
      <w:r w:rsidRPr="006E3865">
        <w:rPr>
          <w:b/>
        </w:rPr>
        <w:t>p</w:t>
      </w:r>
      <w:r>
        <w:rPr>
          <w:b/>
        </w:rPr>
        <w:t xml:space="preserve">odle formy financování (mld. Kč); </w:t>
      </w:r>
      <w:r w:rsidRPr="00703FAA">
        <w:rPr>
          <w:b/>
        </w:rPr>
        <w:t>200</w:t>
      </w:r>
      <w:r>
        <w:rPr>
          <w:b/>
        </w:rPr>
        <w:t>5</w:t>
      </w:r>
      <w:r w:rsidR="00EA6DAF">
        <w:rPr>
          <w:b/>
        </w:rPr>
        <w:t>–2020</w:t>
      </w:r>
    </w:p>
    <w:p w:rsidR="005927F3" w:rsidRDefault="000615F0" w:rsidP="005927F3">
      <w:r>
        <w:rPr>
          <w:noProof/>
        </w:rPr>
        <w:drawing>
          <wp:inline distT="0" distB="0" distL="0" distR="0" wp14:anchorId="03314775" wp14:editId="22A5D9AD">
            <wp:extent cx="6120130" cy="2455545"/>
            <wp:effectExtent l="0" t="0" r="0" b="1905"/>
            <wp:docPr id="19" name="Graf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27F3" w:rsidRPr="00085CBD" w:rsidRDefault="006B5896" w:rsidP="005927F3">
      <w:pPr>
        <w:spacing w:before="120" w:after="60"/>
        <w:jc w:val="both"/>
      </w:pPr>
      <w:r>
        <w:t>V roce 2020</w:t>
      </w:r>
      <w:r w:rsidR="005927F3" w:rsidRPr="002263B4">
        <w:t xml:space="preserve"> dosáhlo spolufinancování projektů hrazených </w:t>
      </w:r>
      <w:r w:rsidR="00F13FBF">
        <w:rPr>
          <w:b/>
        </w:rPr>
        <w:t>z fondů EU</w:t>
      </w:r>
      <w:r w:rsidR="005927F3" w:rsidRPr="002263B4">
        <w:t xml:space="preserve"> určených na výzkum a</w:t>
      </w:r>
      <w:r w:rsidR="005927F3">
        <w:t xml:space="preserve"> vývoj ze státního rozpočtu </w:t>
      </w:r>
      <w:r w:rsidR="005927F3" w:rsidRPr="00C002D6">
        <w:rPr>
          <w:b/>
        </w:rPr>
        <w:t>1,3</w:t>
      </w:r>
      <w:r w:rsidRPr="00C002D6">
        <w:rPr>
          <w:b/>
        </w:rPr>
        <w:t xml:space="preserve"> mld. Kč</w:t>
      </w:r>
      <w:r>
        <w:t xml:space="preserve"> a podílelo se tak 3,4</w:t>
      </w:r>
      <w:r w:rsidR="005927F3" w:rsidRPr="002263B4">
        <w:t xml:space="preserve"> % na státních rozpočtových výdajích na </w:t>
      </w:r>
      <w:r w:rsidR="005927F3">
        <w:t xml:space="preserve">VaV. </w:t>
      </w:r>
      <w:r w:rsidR="005927F3" w:rsidRPr="002263B4">
        <w:t>Poplatky a příspěvky na mezinárodní spolupráci ve VaV</w:t>
      </w:r>
      <w:r w:rsidR="00A15503">
        <w:t>, které</w:t>
      </w:r>
      <w:r w:rsidR="005927F3" w:rsidRPr="002263B4">
        <w:t xml:space="preserve"> jsou hrazeny formou institucionální podpory z rozpočtu Ministerstva školství, mládeže a tělovýchovy a </w:t>
      </w:r>
      <w:r w:rsidR="00A15503">
        <w:t xml:space="preserve">Ministerstva obrany, dosáhly </w:t>
      </w:r>
      <w:r w:rsidR="00A15503" w:rsidRPr="00A15503">
        <w:t>v roce 2020 celkem</w:t>
      </w:r>
      <w:r>
        <w:t xml:space="preserve"> 1,1 mld.</w:t>
      </w:r>
      <w:r w:rsidR="005927F3" w:rsidRPr="002263B4">
        <w:t xml:space="preserve"> Kč.</w:t>
      </w:r>
    </w:p>
    <w:p w:rsidR="005927F3" w:rsidRPr="009230B4" w:rsidRDefault="005927F3" w:rsidP="005927F3">
      <w:pPr>
        <w:spacing w:before="120" w:after="120"/>
        <w:jc w:val="both"/>
        <w:rPr>
          <w:color w:val="C00000"/>
        </w:rPr>
      </w:pPr>
      <w:r w:rsidRPr="000F4B6B">
        <w:t>V Č</w:t>
      </w:r>
      <w:r>
        <w:t>R</w:t>
      </w:r>
      <w:r w:rsidRPr="000F4B6B">
        <w:t xml:space="preserve"> patří </w:t>
      </w:r>
      <w:r>
        <w:t xml:space="preserve">dlouhodobě </w:t>
      </w:r>
      <w:r w:rsidRPr="000F4B6B">
        <w:t xml:space="preserve">mezi největší poskytovatele </w:t>
      </w:r>
      <w:r w:rsidRPr="00B94AA6">
        <w:rPr>
          <w:b/>
        </w:rPr>
        <w:t>institucionální podpory</w:t>
      </w:r>
      <w:r w:rsidRPr="000F4B6B">
        <w:t xml:space="preserve"> </w:t>
      </w:r>
      <w:r w:rsidRPr="00B548AC">
        <w:rPr>
          <w:b/>
        </w:rPr>
        <w:t xml:space="preserve">Ministerstvo školství, mládeže a tělovýchovy </w:t>
      </w:r>
      <w:r w:rsidRPr="00D972E9">
        <w:t>(MŠMT)</w:t>
      </w:r>
      <w:r w:rsidRPr="00B548AC">
        <w:rPr>
          <w:b/>
        </w:rPr>
        <w:t xml:space="preserve"> a Akademie věd Čes</w:t>
      </w:r>
      <w:r w:rsidR="00211FA8" w:rsidRPr="00B548AC">
        <w:rPr>
          <w:b/>
        </w:rPr>
        <w:t xml:space="preserve">ké republiky </w:t>
      </w:r>
      <w:r w:rsidR="00211FA8" w:rsidRPr="00D972E9">
        <w:t>(AV ČR).</w:t>
      </w:r>
      <w:r w:rsidR="00211FA8">
        <w:t xml:space="preserve"> V roce 2020</w:t>
      </w:r>
      <w:r w:rsidRPr="000F4B6B">
        <w:t xml:space="preserve"> pocházelo ze zdrojů</w:t>
      </w:r>
      <w:r>
        <w:t xml:space="preserve"> těchto </w:t>
      </w:r>
      <w:r w:rsidRPr="000F4B6B">
        <w:t xml:space="preserve">institucí </w:t>
      </w:r>
      <w:r w:rsidR="00211FA8">
        <w:t>85,4</w:t>
      </w:r>
      <w:r w:rsidRPr="00B73A45">
        <w:t> </w:t>
      </w:r>
      <w:r w:rsidRPr="00FE24FC">
        <w:t xml:space="preserve">% </w:t>
      </w:r>
      <w:r>
        <w:t xml:space="preserve">všech </w:t>
      </w:r>
      <w:r w:rsidRPr="000F4B6B">
        <w:t>institucionálních výdajů na VaV v Č</w:t>
      </w:r>
      <w:r>
        <w:t>R</w:t>
      </w:r>
      <w:r w:rsidRPr="000F4B6B">
        <w:t>. MŠMT podporuje v rámci svého institucionálního f</w:t>
      </w:r>
      <w:r>
        <w:t xml:space="preserve">inancování především veřejné vysoké </w:t>
      </w:r>
      <w:r w:rsidRPr="00DE11EE">
        <w:t>školy (8</w:t>
      </w:r>
      <w:r w:rsidR="00211FA8">
        <w:t>,9</w:t>
      </w:r>
      <w:r w:rsidRPr="00DE11EE">
        <w:t xml:space="preserve"> mld. Kč </w:t>
      </w:r>
      <w:r w:rsidR="00211FA8">
        <w:t>v roce 2020</w:t>
      </w:r>
      <w:r>
        <w:t>).</w:t>
      </w:r>
      <w:r w:rsidRPr="000F4B6B">
        <w:t xml:space="preserve"> AV ČR rozdělila mezi své </w:t>
      </w:r>
      <w:r w:rsidR="00E708FD">
        <w:t>výzkumné ústavy 4,6</w:t>
      </w:r>
      <w:r>
        <w:t> </w:t>
      </w:r>
      <w:r w:rsidRPr="000F4B6B">
        <w:t>mld. Kč</w:t>
      </w:r>
      <w:r>
        <w:t xml:space="preserve"> a další 2</w:t>
      </w:r>
      <w:r w:rsidR="00E708FD">
        <w:t>,1</w:t>
      </w:r>
      <w:r>
        <w:t xml:space="preserve"> mld. Kč byly vyčleněny na financování infrastruktury AV ČR</w:t>
      </w:r>
      <w:r w:rsidRPr="000F4B6B">
        <w:t>. Kromě dvou výše zmíněných subjektů poskytuj</w:t>
      </w:r>
      <w:r>
        <w:t>e</w:t>
      </w:r>
      <w:r w:rsidRPr="000F4B6B">
        <w:t xml:space="preserve"> institucionální podporu vlastním resortním</w:t>
      </w:r>
      <w:r w:rsidRPr="00354B78">
        <w:t xml:space="preserve"> výzkumn</w:t>
      </w:r>
      <w:r>
        <w:t>ým</w:t>
      </w:r>
      <w:r w:rsidRPr="00354B78">
        <w:t xml:space="preserve"> organizac</w:t>
      </w:r>
      <w:r>
        <w:t>ím</w:t>
      </w:r>
      <w:r w:rsidRPr="00354B78">
        <w:t xml:space="preserve"> </w:t>
      </w:r>
      <w:r>
        <w:t xml:space="preserve">i většina resortů a nově pak od roku 2017 také Ministerstvo dopravy a Ministerstvo životního prostředí. Pouze Grantová a Technologická agentura neposkytují žádnou institucionální podporu. </w:t>
      </w:r>
    </w:p>
    <w:p w:rsidR="005927F3" w:rsidRDefault="005927F3" w:rsidP="005927F3">
      <w:pPr>
        <w:spacing w:before="120" w:after="120"/>
        <w:jc w:val="both"/>
      </w:pPr>
      <w:r w:rsidRPr="007C5D19">
        <w:rPr>
          <w:b/>
        </w:rPr>
        <w:t>Účelová (projektová) podpora</w:t>
      </w:r>
      <w:r w:rsidR="00817518">
        <w:t xml:space="preserve"> VaV byla v roce 2020</w:t>
      </w:r>
      <w:r w:rsidRPr="00910A05">
        <w:t xml:space="preserve"> financov</w:t>
      </w:r>
      <w:r>
        <w:t>ána na území ČR</w:t>
      </w:r>
      <w:r w:rsidRPr="00910A05">
        <w:t xml:space="preserve"> </w:t>
      </w:r>
      <w:r w:rsidRPr="004618CF">
        <w:t xml:space="preserve">prostřednictvím </w:t>
      </w:r>
      <w:r>
        <w:t>deseti</w:t>
      </w:r>
      <w:r w:rsidRPr="00910A05">
        <w:t xml:space="preserve"> rozpočtových kapitol</w:t>
      </w:r>
      <w:r>
        <w:t xml:space="preserve">. V minulosti bylo takových rozpočtových kapitol </w:t>
      </w:r>
      <w:r w:rsidRPr="00910A05">
        <w:t>až 22.</w:t>
      </w:r>
      <w:r>
        <w:t xml:space="preserve"> Ne</w:t>
      </w:r>
      <w:r w:rsidRPr="00372E02">
        <w:t xml:space="preserve">jvýznamnějším poskytovatelem </w:t>
      </w:r>
      <w:r>
        <w:t xml:space="preserve">této podpory je </w:t>
      </w:r>
      <w:r w:rsidRPr="00FD2AF4">
        <w:rPr>
          <w:b/>
        </w:rPr>
        <w:t>MŠMT</w:t>
      </w:r>
      <w:r w:rsidRPr="00372E02">
        <w:t xml:space="preserve">, jež rozdělilo účelové prostředky ve výši </w:t>
      </w:r>
      <w:r w:rsidR="00817518">
        <w:t>5,1</w:t>
      </w:r>
      <w:r w:rsidRPr="00372E02">
        <w:t xml:space="preserve"> mld. Kč. Jednalo se o</w:t>
      </w:r>
      <w:r w:rsidR="00817518">
        <w:t xml:space="preserve"> více než</w:t>
      </w:r>
      <w:r w:rsidRPr="00372E02">
        <w:t xml:space="preserve"> </w:t>
      </w:r>
      <w:r w:rsidR="00817518">
        <w:t>čtvrtinu</w:t>
      </w:r>
      <w:r w:rsidRPr="00372E02">
        <w:t xml:space="preserve"> </w:t>
      </w:r>
      <w:r>
        <w:lastRenderedPageBreak/>
        <w:t>z </w:t>
      </w:r>
      <w:r w:rsidRPr="00372E02">
        <w:t>celkových účelových státních rozpočtových výdajů na VaV v ČR. MŠMT poskytuje podporu na základní a</w:t>
      </w:r>
      <w:r>
        <w:t> </w:t>
      </w:r>
      <w:r w:rsidRPr="00372E02">
        <w:t>aplikovaný VaV prováděný především na veřejných vysokých školách. Patří sem i</w:t>
      </w:r>
      <w:r>
        <w:t> </w:t>
      </w:r>
      <w:r w:rsidRPr="00372E02">
        <w:t>spolufin</w:t>
      </w:r>
      <w:r w:rsidR="00AA5403">
        <w:t>ancování projektů hrazených z</w:t>
      </w:r>
      <w:r w:rsidR="00DD709E">
        <w:t xml:space="preserve"> </w:t>
      </w:r>
      <w:r w:rsidR="00AA5403">
        <w:t>Evropských s</w:t>
      </w:r>
      <w:r w:rsidRPr="00372E02">
        <w:t xml:space="preserve">trukturálních </w:t>
      </w:r>
      <w:r w:rsidR="00DD709E">
        <w:t xml:space="preserve">a investičních </w:t>
      </w:r>
      <w:r w:rsidRPr="00372E02">
        <w:t xml:space="preserve">fondů (dle metodiky OECD). </w:t>
      </w:r>
    </w:p>
    <w:p w:rsidR="002A7890" w:rsidRDefault="005927F3" w:rsidP="005927F3">
      <w:pPr>
        <w:spacing w:before="120" w:after="120"/>
        <w:jc w:val="both"/>
      </w:pPr>
      <w:r w:rsidRPr="00372E02">
        <w:t xml:space="preserve">Význam </w:t>
      </w:r>
      <w:r w:rsidRPr="00D972E9">
        <w:rPr>
          <w:b/>
        </w:rPr>
        <w:t xml:space="preserve">Technologické agentury ČR </w:t>
      </w:r>
      <w:r w:rsidRPr="00D972E9">
        <w:t>(TA ČR)</w:t>
      </w:r>
      <w:r w:rsidRPr="00372E02">
        <w:rPr>
          <w:rStyle w:val="Znakapoznpodarou"/>
        </w:rPr>
        <w:footnoteReference w:id="4"/>
      </w:r>
      <w:r w:rsidRPr="00372E02">
        <w:t xml:space="preserve"> jako rozpočtové kapitoly financující VaV </w:t>
      </w:r>
      <w:r w:rsidR="00BE2441">
        <w:t>v posledních deseti letech</w:t>
      </w:r>
      <w:r>
        <w:t xml:space="preserve"> výrazně</w:t>
      </w:r>
      <w:r w:rsidRPr="00372E02">
        <w:t xml:space="preserve"> </w:t>
      </w:r>
      <w:r>
        <w:t>vzrostl</w:t>
      </w:r>
      <w:r w:rsidRPr="00372E02">
        <w:t xml:space="preserve">. </w:t>
      </w:r>
      <w:r w:rsidR="0086309D">
        <w:t>V roc</w:t>
      </w:r>
      <w:r w:rsidR="0025148C">
        <w:t>e 2020 se TA</w:t>
      </w:r>
      <w:r w:rsidR="0086309D" w:rsidRPr="00372E02">
        <w:t xml:space="preserve"> ČR</w:t>
      </w:r>
      <w:r w:rsidR="0086309D">
        <w:t xml:space="preserve"> stala </w:t>
      </w:r>
      <w:r w:rsidR="00BB19C5">
        <w:t xml:space="preserve">poprvé od svého založení </w:t>
      </w:r>
      <w:r w:rsidR="0086309D">
        <w:t>d</w:t>
      </w:r>
      <w:r w:rsidR="0086309D" w:rsidRPr="00755887">
        <w:t xml:space="preserve">ruhým nejvýznamnějším poskytovatelem účelové podpory </w:t>
      </w:r>
      <w:r w:rsidR="0086309D">
        <w:t>v</w:t>
      </w:r>
      <w:r w:rsidR="00BB19C5">
        <w:t> </w:t>
      </w:r>
      <w:r w:rsidR="0086309D">
        <w:t xml:space="preserve">ČR. </w:t>
      </w:r>
      <w:r w:rsidRPr="00372E02">
        <w:t xml:space="preserve">Agentura byla založena primárně </w:t>
      </w:r>
      <w:r w:rsidR="00CA3F3D">
        <w:t>za účelem podpory</w:t>
      </w:r>
      <w:r w:rsidRPr="00372E02">
        <w:t xml:space="preserve"> aplikovaného výzkumu s důrazem na spolupráci mezi podniky, vysokými školami a veřejnými výzkumnými </w:t>
      </w:r>
      <w:r>
        <w:t>institucemi</w:t>
      </w:r>
      <w:r w:rsidRPr="003953F1">
        <w:t>. Financování projektů například v programech „EPSILON</w:t>
      </w:r>
      <w:r w:rsidRPr="003953F1">
        <w:rPr>
          <w:rStyle w:val="Znakapoznpodarou"/>
        </w:rPr>
        <w:footnoteReference w:id="5"/>
      </w:r>
      <w:r w:rsidRPr="003953F1">
        <w:t>“, „</w:t>
      </w:r>
      <w:r>
        <w:t>ZÉTA</w:t>
      </w:r>
      <w:r w:rsidRPr="003953F1">
        <w:rPr>
          <w:rStyle w:val="Znakapoznpodarou"/>
        </w:rPr>
        <w:footnoteReference w:id="6"/>
      </w:r>
      <w:r w:rsidRPr="003953F1">
        <w:t>“, „Centra kompetence“ j</w:t>
      </w:r>
      <w:r w:rsidRPr="00372E02">
        <w:t>e realizováno výhradně úče</w:t>
      </w:r>
      <w:r w:rsidR="00BB66BE">
        <w:t>lovou formou podpory. V roce 2020</w:t>
      </w:r>
      <w:r>
        <w:t xml:space="preserve"> </w:t>
      </w:r>
      <w:r w:rsidRPr="00372E02">
        <w:t>poskytla</w:t>
      </w:r>
      <w:r>
        <w:t xml:space="preserve"> </w:t>
      </w:r>
      <w:r w:rsidR="0025148C">
        <w:t>TA ČR</w:t>
      </w:r>
      <w:r w:rsidRPr="00372E02">
        <w:t xml:space="preserve"> </w:t>
      </w:r>
      <w:r>
        <w:t xml:space="preserve">na </w:t>
      </w:r>
      <w:r w:rsidRPr="00372E02">
        <w:t>účelovou podporu</w:t>
      </w:r>
      <w:r w:rsidR="00911316">
        <w:t xml:space="preserve"> VaV</w:t>
      </w:r>
      <w:r w:rsidRPr="00372E02">
        <w:t xml:space="preserve"> </w:t>
      </w:r>
      <w:r w:rsidR="00911316">
        <w:t>celkem</w:t>
      </w:r>
      <w:r w:rsidRPr="00372E02">
        <w:t xml:space="preserve"> </w:t>
      </w:r>
      <w:r w:rsidR="00911316">
        <w:t>4,8 </w:t>
      </w:r>
      <w:r w:rsidR="0025148C">
        <w:t>mld. </w:t>
      </w:r>
      <w:r w:rsidR="00BB66BE">
        <w:t>Kč, což odpovídalo 26,2</w:t>
      </w:r>
      <w:r w:rsidRPr="00372E02">
        <w:t xml:space="preserve"> % celkové účelové podpory poskytnuté na VaV v ČR v daném roce. </w:t>
      </w:r>
      <w:r w:rsidRPr="00150A46">
        <w:t>Hlavními příjemci účelové podpory TA ČR jsou</w:t>
      </w:r>
      <w:r>
        <w:t xml:space="preserve"> soukromé </w:t>
      </w:r>
      <w:r w:rsidR="00A97D06">
        <w:t>národní</w:t>
      </w:r>
      <w:r w:rsidR="003E60D2">
        <w:t xml:space="preserve"> </w:t>
      </w:r>
      <w:r>
        <w:t>podniky a veřejné vysoké školy.</w:t>
      </w:r>
      <w:r w:rsidRPr="00372E02">
        <w:t xml:space="preserve"> </w:t>
      </w:r>
    </w:p>
    <w:p w:rsidR="002A7890" w:rsidRDefault="002A7890" w:rsidP="002A7890">
      <w:pPr>
        <w:spacing w:before="120" w:after="120"/>
        <w:jc w:val="both"/>
      </w:pPr>
      <w:r w:rsidRPr="00D972E9">
        <w:rPr>
          <w:b/>
        </w:rPr>
        <w:t>Grantová agentura</w:t>
      </w:r>
      <w:r w:rsidRPr="00755887">
        <w:t xml:space="preserve"> ČR (GA ČR)</w:t>
      </w:r>
      <w:r w:rsidRPr="00755887">
        <w:rPr>
          <w:rStyle w:val="Znakapoznpodarou"/>
        </w:rPr>
        <w:footnoteReference w:id="7"/>
      </w:r>
      <w:r w:rsidR="009A3C3A">
        <w:t xml:space="preserve"> </w:t>
      </w:r>
      <w:r w:rsidRPr="00755887">
        <w:t xml:space="preserve">podporuje každoročně granty </w:t>
      </w:r>
      <w:r w:rsidR="009A3C3A">
        <w:t xml:space="preserve">zaměřené zejména </w:t>
      </w:r>
      <w:r w:rsidRPr="00755887">
        <w:t xml:space="preserve">na základní výzkum. Finanční prostředky jsou poskytovány nejlepším projektům ze všech oborů vědy na základě veřejné soutěže </w:t>
      </w:r>
      <w:r>
        <w:t xml:space="preserve">ve výzkumu a vývoji. </w:t>
      </w:r>
      <w:r w:rsidR="009A3C3A">
        <w:t>V roce 2020</w:t>
      </w:r>
      <w:r w:rsidRPr="00D6325C">
        <w:t xml:space="preserve"> rozdělila Grantová agentura na projekty</w:t>
      </w:r>
      <w:r w:rsidR="003E7B38">
        <w:t xml:space="preserve"> finanční prostředky ve výši 4,4</w:t>
      </w:r>
      <w:r w:rsidR="009A3C3A">
        <w:t> mld. Kč, což odpovídalo 23,5</w:t>
      </w:r>
      <w:r w:rsidRPr="00D6325C">
        <w:t xml:space="preserve"> % podílu na účelovém veřejném financování VaV v ČR.   </w:t>
      </w:r>
    </w:p>
    <w:p w:rsidR="005927F3" w:rsidRDefault="005927F3" w:rsidP="005927F3">
      <w:pPr>
        <w:spacing w:before="120" w:after="120"/>
        <w:jc w:val="both"/>
      </w:pPr>
      <w:r w:rsidRPr="00D972E9">
        <w:rPr>
          <w:b/>
        </w:rPr>
        <w:t>Ministerstvo průmyslu a obchodu</w:t>
      </w:r>
      <w:r w:rsidRPr="003E22E9">
        <w:t xml:space="preserve"> (MPO) </w:t>
      </w:r>
      <w:r w:rsidR="00C13917">
        <w:t>bylo v</w:t>
      </w:r>
      <w:r w:rsidR="00805A5E">
        <w:t> letech</w:t>
      </w:r>
      <w:r w:rsidR="00C13917">
        <w:t xml:space="preserve"> 2000 až 2011 </w:t>
      </w:r>
      <w:r w:rsidRPr="003E22E9">
        <w:t>nejvýznamnějším poskytovatelem účel</w:t>
      </w:r>
      <w:r w:rsidR="00A97D06">
        <w:t>ové podpory. V roce 2020</w:t>
      </w:r>
      <w:r>
        <w:t xml:space="preserve"> bylo</w:t>
      </w:r>
      <w:r w:rsidR="00BE5479">
        <w:t>,</w:t>
      </w:r>
      <w:r>
        <w:t xml:space="preserve"> co do výše</w:t>
      </w:r>
      <w:r w:rsidR="00A97D06">
        <w:t xml:space="preserve"> poskytované účelové podpory</w:t>
      </w:r>
      <w:r w:rsidR="00BE5479">
        <w:t>,</w:t>
      </w:r>
      <w:r w:rsidR="00A97D06">
        <w:t xml:space="preserve"> na čtvrtém</w:t>
      </w:r>
      <w:r>
        <w:t xml:space="preserve"> místě</w:t>
      </w:r>
      <w:r w:rsidRPr="003E22E9">
        <w:t>.</w:t>
      </w:r>
      <w:r>
        <w:t xml:space="preserve"> Část aplikovaného výzkumu je nyní hrazena z rozpočtové kapitoly TA ČR.</w:t>
      </w:r>
      <w:r w:rsidRPr="003E22E9">
        <w:t xml:space="preserve"> MPO podporuje především aplikovaný výzkum a </w:t>
      </w:r>
      <w:r>
        <w:t xml:space="preserve">experimentální </w:t>
      </w:r>
      <w:r w:rsidRPr="003E22E9">
        <w:t xml:space="preserve">vývoj. Hlavními příjemci účelové podpory MPO jsou soukromé </w:t>
      </w:r>
      <w:r>
        <w:t>národní</w:t>
      </w:r>
      <w:r w:rsidRPr="003E22E9">
        <w:t xml:space="preserve"> podniky. V</w:t>
      </w:r>
      <w:r>
        <w:t> </w:t>
      </w:r>
      <w:r w:rsidR="00E74DD2">
        <w:t>roce 2020</w:t>
      </w:r>
      <w:r w:rsidRPr="003E22E9">
        <w:t xml:space="preserve"> činil podíl MPO na celkovém účelovém financování VaV </w:t>
      </w:r>
      <w:r w:rsidR="00E74DD2">
        <w:t>6,9</w:t>
      </w:r>
      <w:r w:rsidRPr="003E22E9">
        <w:t xml:space="preserve"> % (</w:t>
      </w:r>
      <w:r w:rsidR="00E74DD2">
        <w:t>1,3</w:t>
      </w:r>
      <w:r>
        <w:t xml:space="preserve"> mld</w:t>
      </w:r>
      <w:r w:rsidRPr="003E22E9">
        <w:t>. Kč).</w:t>
      </w:r>
      <w:r>
        <w:t xml:space="preserve"> </w:t>
      </w:r>
      <w:r w:rsidRPr="003953F1">
        <w:t>V roce 2016 MPO dosáhlo minima rozdělované částky účelové podpory (313 mil. Kč, 2% podíl). Svou roli zde hrálo i ukončení spolufinancování projektů hr</w:t>
      </w:r>
      <w:r w:rsidR="00CE6BD6">
        <w:t xml:space="preserve">azených z </w:t>
      </w:r>
      <w:r w:rsidR="00DD709E" w:rsidRPr="00DD709E">
        <w:t>fondů EU</w:t>
      </w:r>
      <w:r w:rsidR="00DD709E">
        <w:t xml:space="preserve"> a velkého národního programu.</w:t>
      </w:r>
    </w:p>
    <w:p w:rsidR="005927F3" w:rsidRPr="00857CF9" w:rsidRDefault="005927F3" w:rsidP="005927F3">
      <w:pPr>
        <w:pStyle w:val="Nadpis3"/>
        <w:spacing w:before="240"/>
        <w:rPr>
          <w:b w:val="0"/>
          <w:bCs w:val="0"/>
        </w:rPr>
      </w:pPr>
      <w:r>
        <w:t>3.4 Státní rozpočtové výdaje na VaV</w:t>
      </w:r>
      <w:r w:rsidRPr="00857CF9">
        <w:t xml:space="preserve"> podle poskytovatelů</w:t>
      </w:r>
    </w:p>
    <w:p w:rsidR="005927F3" w:rsidRPr="00AE6425" w:rsidRDefault="005927F3" w:rsidP="005927F3">
      <w:pPr>
        <w:spacing w:before="120" w:after="120"/>
        <w:jc w:val="both"/>
      </w:pPr>
      <w:r w:rsidRPr="004023EF">
        <w:t xml:space="preserve">Nejvýznamnějším poskytovatelem veřejné podpory VaV je dlouhodobě </w:t>
      </w:r>
      <w:r w:rsidRPr="00660112">
        <w:rPr>
          <w:b/>
        </w:rPr>
        <w:t>Ministerstvo školství, mládeže a tělovýchovy</w:t>
      </w:r>
      <w:r w:rsidRPr="004023EF">
        <w:t xml:space="preserve">. Prostřednictvím rozpočtové kapitoly </w:t>
      </w:r>
      <w:r w:rsidRPr="00660112">
        <w:t xml:space="preserve">MŠMT </w:t>
      </w:r>
      <w:r w:rsidRPr="004023EF">
        <w:t>bylo v ro</w:t>
      </w:r>
      <w:r w:rsidR="0093784A">
        <w:t>ce 2020</w:t>
      </w:r>
      <w:r w:rsidRPr="004023EF">
        <w:t xml:space="preserve"> do výzkumných a vývojových aktivit alokováno celkem </w:t>
      </w:r>
      <w:r w:rsidR="0093784A">
        <w:rPr>
          <w:b/>
        </w:rPr>
        <w:t>15,2</w:t>
      </w:r>
      <w:r w:rsidRPr="00A257E0">
        <w:rPr>
          <w:b/>
        </w:rPr>
        <w:t> mld. Kč</w:t>
      </w:r>
      <w:r w:rsidRPr="004023EF">
        <w:t xml:space="preserve">, což odpovídá podílu </w:t>
      </w:r>
      <w:r>
        <w:t xml:space="preserve">rovných </w:t>
      </w:r>
      <w:r w:rsidRPr="00A257E0">
        <w:rPr>
          <w:b/>
        </w:rPr>
        <w:t>40 %</w:t>
      </w:r>
      <w:r w:rsidRPr="004023EF">
        <w:t xml:space="preserve"> z celkového objemu státních rozpočtových výdajů na VaV</w:t>
      </w:r>
      <w:r>
        <w:t>.</w:t>
      </w:r>
      <w:r w:rsidRPr="004023EF">
        <w:t xml:space="preserve"> </w:t>
      </w:r>
      <w:r w:rsidR="0093784A">
        <w:t>V roce 2010</w:t>
      </w:r>
      <w:r w:rsidRPr="004023EF">
        <w:t xml:space="preserve"> tento podíl</w:t>
      </w:r>
      <w:r>
        <w:t xml:space="preserve"> </w:t>
      </w:r>
      <w:r w:rsidRPr="004F1072">
        <w:t xml:space="preserve">činil </w:t>
      </w:r>
      <w:r w:rsidR="004F1072" w:rsidRPr="004F1072">
        <w:t>37,4</w:t>
      </w:r>
      <w:r w:rsidRPr="004F1072">
        <w:t> %.</w:t>
      </w:r>
      <w:r w:rsidRPr="004023EF">
        <w:t xml:space="preserve"> Téměř dvě třetiny těchto finanč</w:t>
      </w:r>
      <w:r w:rsidR="0093784A">
        <w:t>ních prostředků byly v roce 2020</w:t>
      </w:r>
      <w:r w:rsidRPr="004023EF">
        <w:t xml:space="preserve"> poskytnuty formou institucionální podpory. Největší č</w:t>
      </w:r>
      <w:r w:rsidR="0093784A">
        <w:t>ást z rozpočtu MŠMT na VaV (11,2 mld. Kč, 73,4</w:t>
      </w:r>
      <w:r w:rsidRPr="004023EF">
        <w:t> %) byla určena na financování VaV prováděného na veřejných vysokých školách.</w:t>
      </w:r>
      <w:r w:rsidRPr="00AE6425">
        <w:t xml:space="preserve"> </w:t>
      </w:r>
    </w:p>
    <w:p w:rsidR="005927F3" w:rsidRPr="001960C2" w:rsidRDefault="005927F3" w:rsidP="005927F3">
      <w:pPr>
        <w:spacing w:before="120" w:after="120"/>
        <w:jc w:val="both"/>
      </w:pPr>
      <w:r w:rsidRPr="001960C2">
        <w:t>M</w:t>
      </w:r>
      <w:r>
        <w:t xml:space="preserve">ŠMT spolufinancuje a předfinancuje </w:t>
      </w:r>
      <w:r w:rsidRPr="00417ECE">
        <w:t>čerp</w:t>
      </w:r>
      <w:r>
        <w:t>ání</w:t>
      </w:r>
      <w:r w:rsidRPr="00417ECE">
        <w:t xml:space="preserve"> finanční</w:t>
      </w:r>
      <w:r>
        <w:t>ch</w:t>
      </w:r>
      <w:r w:rsidRPr="00417ECE">
        <w:t xml:space="preserve"> prostředk</w:t>
      </w:r>
      <w:r>
        <w:t>ů</w:t>
      </w:r>
      <w:r w:rsidR="00BE2441">
        <w:t xml:space="preserve"> z E</w:t>
      </w:r>
      <w:r w:rsidRPr="00417ECE">
        <w:t>vropských strukturálních a</w:t>
      </w:r>
      <w:r>
        <w:t> </w:t>
      </w:r>
      <w:r w:rsidRPr="00417ECE">
        <w:t>investičních fondů (ESIF)</w:t>
      </w:r>
      <w:r>
        <w:t xml:space="preserve"> pro </w:t>
      </w:r>
      <w:r w:rsidR="0093784A">
        <w:t>období 2014 až 2020. V roce 2020</w:t>
      </w:r>
      <w:r>
        <w:t xml:space="preserve"> se jednalo o</w:t>
      </w:r>
      <w:r w:rsidRPr="00417ECE">
        <w:t xml:space="preserve"> Operační program výzkum, vývoj</w:t>
      </w:r>
      <w:r>
        <w:t xml:space="preserve"> a </w:t>
      </w:r>
      <w:r w:rsidRPr="00417ECE">
        <w:t>vzdělávání</w:t>
      </w:r>
      <w:r>
        <w:t xml:space="preserve"> (OP VVV)</w:t>
      </w:r>
      <w:r>
        <w:rPr>
          <w:rStyle w:val="Znakapoznpodarou"/>
        </w:rPr>
        <w:footnoteReference w:id="8"/>
      </w:r>
      <w:r>
        <w:t xml:space="preserve">, jehož cílem </w:t>
      </w:r>
      <w:r w:rsidRPr="00A95120">
        <w:t>je přispět k posunu ČR směrem k ekonomice založené na vzdělané, motivované a</w:t>
      </w:r>
      <w:r>
        <w:t> </w:t>
      </w:r>
      <w:r w:rsidRPr="00A95120">
        <w:t>kreativní pracovní síle, na produkci kvalitních výsledků výzkumu a jejich využití pro zvýšení konkurenceschopnosti ČR.</w:t>
      </w:r>
      <w:r>
        <w:t xml:space="preserve"> Spolufinancování VaV projektů v tomto programu dosáhlo 1,3 mld. Kč. </w:t>
      </w:r>
    </w:p>
    <w:p w:rsidR="005927F3" w:rsidRDefault="005927F3" w:rsidP="005927F3">
      <w:pPr>
        <w:spacing w:before="120" w:after="120"/>
        <w:jc w:val="both"/>
      </w:pPr>
      <w:r w:rsidRPr="00942A9B">
        <w:t xml:space="preserve">Druhým nejvýznamnějším poskytovatelem veřejné podpory VaV byla </w:t>
      </w:r>
      <w:r w:rsidRPr="00660112">
        <w:rPr>
          <w:b/>
        </w:rPr>
        <w:t>Akademie věd ČR</w:t>
      </w:r>
      <w:r w:rsidRPr="00942A9B">
        <w:t xml:space="preserve">, v tomto případě </w:t>
      </w:r>
      <w:r w:rsidR="0093784A">
        <w:t>se jednalo o podporu ve výši 6,7</w:t>
      </w:r>
      <w:r w:rsidRPr="00942A9B">
        <w:t xml:space="preserve"> mld. Kč. Celá tato částka byla formou institucionální podpory alokována výhradně v rámci ústavů AV ČR. Podíl na celkových státních rozpočtových výdajích na VaV činil rovnýc</w:t>
      </w:r>
      <w:r>
        <w:t>h 17</w:t>
      </w:r>
      <w:r w:rsidR="0093784A">
        <w:t>,5</w:t>
      </w:r>
      <w:r>
        <w:t> </w:t>
      </w:r>
      <w:r w:rsidRPr="00942A9B">
        <w:t xml:space="preserve">%. </w:t>
      </w:r>
      <w:r w:rsidRPr="00C84D63">
        <w:t xml:space="preserve"> </w:t>
      </w:r>
    </w:p>
    <w:p w:rsidR="005927F3" w:rsidRPr="00D73C93" w:rsidRDefault="005927F3" w:rsidP="005927F3">
      <w:pPr>
        <w:spacing w:after="120"/>
        <w:jc w:val="both"/>
        <w:rPr>
          <w:b/>
        </w:rPr>
      </w:pPr>
      <w:r>
        <w:rPr>
          <w:b/>
        </w:rPr>
        <w:lastRenderedPageBreak/>
        <w:t>GRAF 3</w:t>
      </w:r>
      <w:r w:rsidRPr="00D73C93">
        <w:rPr>
          <w:b/>
        </w:rPr>
        <w:t xml:space="preserve">-4: Státní rozpočtové výdaje na VaV v ČR podle poskytovatelů a formy podpory (mld. Kč; </w:t>
      </w:r>
      <w:r w:rsidRPr="00BD43E0">
        <w:rPr>
          <w:b/>
        </w:rPr>
        <w:t xml:space="preserve">podíl na </w:t>
      </w:r>
      <w:r>
        <w:rPr>
          <w:b/>
        </w:rPr>
        <w:t>GBARD</w:t>
      </w:r>
      <w:r w:rsidRPr="00D73C93">
        <w:rPr>
          <w:b/>
        </w:rPr>
        <w:t xml:space="preserve">); </w:t>
      </w:r>
      <w:r w:rsidR="00DB6C88">
        <w:rPr>
          <w:b/>
        </w:rPr>
        <w:t>2020</w:t>
      </w:r>
    </w:p>
    <w:p w:rsidR="005927F3" w:rsidRDefault="00763315" w:rsidP="005927F3">
      <w:pPr>
        <w:spacing w:before="60"/>
        <w:jc w:val="both"/>
        <w:rPr>
          <w:i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58075" cy="3547110"/>
                <wp:effectExtent l="0" t="0" r="5080" b="0"/>
                <wp:docPr id="21" name="Skupina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075" cy="3547110"/>
                          <a:chOff x="0" y="0"/>
                          <a:chExt cx="5958075" cy="3547110"/>
                        </a:xfrm>
                      </wpg:grpSpPr>
                      <wpg:graphicFrame>
                        <wpg:cNvPr id="24" name="Graf 24">
                          <a:extLst>
                            <a:ext uri="{FF2B5EF4-FFF2-40B4-BE49-F238E27FC236}">
                              <a16:creationId xmlns:a16="http://schemas.microsoft.com/office/drawing/2014/main" id="{00000000-0008-0000-0500-000007000000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5958075" cy="35471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g:graphicFrame>
                        <wpg:cNvPr id="36" name="Graf 36">
                          <a:extLst>
                            <a:ext uri="{FF2B5EF4-FFF2-40B4-BE49-F238E27FC236}">
                              <a16:creationId xmlns:a16="http://schemas.microsoft.com/office/drawing/2014/main" id="{00000000-0008-0000-0500-000008000000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3230880" y="1470660"/>
                          <a:ext cx="2476500" cy="153352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w14:anchorId="4319D548" id="Skupina 2" o:spid="_x0000_s1026" style="width:469.15pt;height:279.3pt;mso-position-horizontal-relative:char;mso-position-vertical-relative:line" coordsize="59580,35471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">
                <v:shape id="Graf 24" o:spid="_x0000_s1027" type="#_x0000_t75" style="position:absolute;width:59557;height:354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">
                  <v:imagedata r:id="rId29" o:title=""/>
                  <o:lock v:ext="edit" aspectratio="f"/>
                </v:shape>
                <v:shape id="Graf 36" o:spid="_x0000_s1028" type="#_x0000_t75" style="position:absolute;left:32308;top:14691;width:24750;height:15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">
                  <v:imagedata r:id="rId30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5927F3" w:rsidRPr="0046785B" w:rsidRDefault="005927F3" w:rsidP="005927F3">
      <w:pPr>
        <w:jc w:val="both"/>
        <w:rPr>
          <w:b/>
        </w:rPr>
      </w:pPr>
      <w:r>
        <w:rPr>
          <w:i/>
          <w:sz w:val="18"/>
        </w:rPr>
        <w:t>Vysvětlivky: MŽP (Ministerstvo životního prostředí),  MPSV (</w:t>
      </w:r>
      <w:r w:rsidRPr="0083265F">
        <w:rPr>
          <w:i/>
          <w:sz w:val="18"/>
        </w:rPr>
        <w:t>Ministerstvo práce a sociálních věcí</w:t>
      </w:r>
      <w:r>
        <w:rPr>
          <w:i/>
          <w:sz w:val="18"/>
        </w:rPr>
        <w:t>), MD (</w:t>
      </w:r>
      <w:r w:rsidRPr="0083265F">
        <w:rPr>
          <w:i/>
          <w:sz w:val="18"/>
        </w:rPr>
        <w:t>Ministerstvo dopravy</w:t>
      </w:r>
      <w:r>
        <w:rPr>
          <w:i/>
          <w:sz w:val="18"/>
        </w:rPr>
        <w:t>), MZV (</w:t>
      </w:r>
      <w:r w:rsidRPr="0083265F">
        <w:rPr>
          <w:i/>
          <w:sz w:val="18"/>
        </w:rPr>
        <w:t>Ministerstvo zahraničních věcí</w:t>
      </w:r>
      <w:r>
        <w:rPr>
          <w:i/>
          <w:sz w:val="18"/>
        </w:rPr>
        <w:t>), MS (</w:t>
      </w:r>
      <w:r w:rsidRPr="0083265F">
        <w:rPr>
          <w:i/>
          <w:sz w:val="18"/>
        </w:rPr>
        <w:t>Ministerstvo spravedlnosti</w:t>
      </w:r>
      <w:r>
        <w:rPr>
          <w:i/>
          <w:sz w:val="18"/>
        </w:rPr>
        <w:t>)</w:t>
      </w:r>
    </w:p>
    <w:p w:rsidR="005927F3" w:rsidRDefault="005927F3" w:rsidP="005927F3">
      <w:pPr>
        <w:spacing w:before="240" w:after="120"/>
        <w:jc w:val="both"/>
      </w:pPr>
      <w:r w:rsidRPr="00660112">
        <w:rPr>
          <w:b/>
        </w:rPr>
        <w:t>Technologická agentura ČR</w:t>
      </w:r>
      <w:r>
        <w:t xml:space="preserve"> se v posledních letech stala</w:t>
      </w:r>
      <w:r w:rsidRPr="008A1882">
        <w:t xml:space="preserve"> významným poskytovatelem státní </w:t>
      </w:r>
      <w:r>
        <w:t>rozpoč</w:t>
      </w:r>
      <w:r w:rsidR="00045AD3">
        <w:t xml:space="preserve">tové podpory na VaV. </w:t>
      </w:r>
      <w:r w:rsidR="003E7B38">
        <w:t xml:space="preserve">V roce 2020 objemem rozdělovaných prostředků na podporu VaV předstihla poprvé za dobu své existence Grantovou agenturu ČR. </w:t>
      </w:r>
      <w:r w:rsidR="00045AD3">
        <w:t>V roce 2020</w:t>
      </w:r>
      <w:r w:rsidRPr="008A1882">
        <w:t xml:space="preserve"> a</w:t>
      </w:r>
      <w:r>
        <w:t>g</w:t>
      </w:r>
      <w:r w:rsidR="00045AD3">
        <w:t>entura hospodařila s částkou rovných 5</w:t>
      </w:r>
      <w:r w:rsidRPr="008A1882">
        <w:t xml:space="preserve"> mld. Kč (včetně nákladů na vlastní činnost). Na p</w:t>
      </w:r>
      <w:r w:rsidR="00045AD3">
        <w:t>rojekty VaV rozdělila 4,8</w:t>
      </w:r>
      <w:r>
        <w:t> </w:t>
      </w:r>
      <w:r w:rsidRPr="008A1882">
        <w:t xml:space="preserve">mld. Kč, přičemž </w:t>
      </w:r>
      <w:r>
        <w:t>dominantní</w:t>
      </w:r>
      <w:r w:rsidRPr="008A1882">
        <w:t xml:space="preserve"> část finančních prostředků směřovala na projekty aplikovaného výzkumu a také experimentálního vývoje</w:t>
      </w:r>
      <w:r>
        <w:t>. V rámci svého nejvýz</w:t>
      </w:r>
      <w:r w:rsidR="00020B06">
        <w:t>namnějšího programu EPSILON rozdělila</w:t>
      </w:r>
      <w:r w:rsidRPr="008A1882">
        <w:t xml:space="preserve"> </w:t>
      </w:r>
      <w:r>
        <w:t>veřejné</w:t>
      </w:r>
      <w:r w:rsidR="006D7FA3">
        <w:t xml:space="preserve"> finanční prostředky ve výši 1,2</w:t>
      </w:r>
      <w:r>
        <w:t xml:space="preserve"> mld. Kč</w:t>
      </w:r>
      <w:r w:rsidRPr="008A1882">
        <w:t>.</w:t>
      </w:r>
    </w:p>
    <w:p w:rsidR="00045AD3" w:rsidRPr="00857CF9" w:rsidRDefault="00045AD3" w:rsidP="00045AD3">
      <w:pPr>
        <w:spacing w:before="120" w:after="120"/>
        <w:jc w:val="both"/>
      </w:pPr>
      <w:r>
        <w:t>V pořadí čtvrtou</w:t>
      </w:r>
      <w:r w:rsidRPr="008A1882">
        <w:t xml:space="preserve"> nejvýznamnější rozpočtovou kapitolou, z níž byl </w:t>
      </w:r>
      <w:r>
        <w:t xml:space="preserve">v Česku </w:t>
      </w:r>
      <w:r w:rsidRPr="008A1882">
        <w:t xml:space="preserve">financován výzkum a vývoj, byla </w:t>
      </w:r>
      <w:r w:rsidRPr="00660112">
        <w:rPr>
          <w:b/>
        </w:rPr>
        <w:t>Grantová agentura ČR</w:t>
      </w:r>
      <w:r w:rsidRPr="008A1882">
        <w:t xml:space="preserve">, </w:t>
      </w:r>
      <w:r>
        <w:t>která, jak již</w:t>
      </w:r>
      <w:r w:rsidR="003E7B38">
        <w:t xml:space="preserve"> bylo dříve zmíněno, v roce 2020</w:t>
      </w:r>
      <w:r w:rsidRPr="008A1882">
        <w:t xml:space="preserve"> poskytla účelovou podporu g</w:t>
      </w:r>
      <w:r>
        <w:t>rantovým</w:t>
      </w:r>
      <w:r w:rsidR="003E7B38">
        <w:t xml:space="preserve"> projektům v hodnotě rovných 4,4</w:t>
      </w:r>
      <w:r>
        <w:t> mld. </w:t>
      </w:r>
      <w:r w:rsidRPr="008A1882">
        <w:t>Kč</w:t>
      </w:r>
      <w:r>
        <w:t>. Byla to obdobná částka jako v přechozím roce.</w:t>
      </w:r>
      <w:r w:rsidRPr="008A1882">
        <w:t xml:space="preserve"> Včetně nákladů na vl</w:t>
      </w:r>
      <w:r>
        <w:t xml:space="preserve">astní </w:t>
      </w:r>
      <w:r w:rsidR="003E7B38">
        <w:t>činnost vydala na VaV celkem 4,5</w:t>
      </w:r>
      <w:r>
        <w:t> mld. </w:t>
      </w:r>
      <w:r w:rsidRPr="008A1882">
        <w:t>Kč.</w:t>
      </w:r>
      <w:r>
        <w:t xml:space="preserve"> </w:t>
      </w:r>
      <w:r w:rsidRPr="007C0251">
        <w:t xml:space="preserve">Tato částka představovala </w:t>
      </w:r>
      <w:r w:rsidR="00020B06">
        <w:t xml:space="preserve">téměř </w:t>
      </w:r>
      <w:r w:rsidRPr="007C0251">
        <w:t>1</w:t>
      </w:r>
      <w:r w:rsidR="00020B06">
        <w:t>2</w:t>
      </w:r>
      <w:r w:rsidRPr="007C0251">
        <w:t>% podíl na celkových výdajích na VaV financovaných ze státního rozpočtu.</w:t>
      </w:r>
    </w:p>
    <w:p w:rsidR="005927F3" w:rsidRPr="00DB6EE8" w:rsidRDefault="005927F3" w:rsidP="005927F3">
      <w:pPr>
        <w:spacing w:before="120" w:after="120"/>
        <w:jc w:val="both"/>
        <w:rPr>
          <w:color w:val="C00000"/>
        </w:rPr>
      </w:pPr>
      <w:r w:rsidRPr="00660112">
        <w:rPr>
          <w:b/>
        </w:rPr>
        <w:t>Ministerstvo průmyslu a obchodu</w:t>
      </w:r>
      <w:r w:rsidRPr="00D73C93">
        <w:t>, v pořadí pátá nejvýznamnější rozpočtová kapitola co do objemu rozdělovaných finančních prostředků na VaV, podpořilo</w:t>
      </w:r>
      <w:r>
        <w:t xml:space="preserve"> </w:t>
      </w:r>
      <w:r w:rsidRPr="00D73C93">
        <w:t xml:space="preserve">částkou </w:t>
      </w:r>
      <w:r w:rsidR="003E7B38">
        <w:t>1,8</w:t>
      </w:r>
      <w:r w:rsidRPr="00D73C93">
        <w:t xml:space="preserve"> mld. Kč</w:t>
      </w:r>
      <w:r>
        <w:t xml:space="preserve"> </w:t>
      </w:r>
      <w:r w:rsidRPr="00D73C93">
        <w:t>převážně národní podnikatelské subjekty z řad malých a</w:t>
      </w:r>
      <w:r>
        <w:t> </w:t>
      </w:r>
      <w:r w:rsidRPr="00D73C93">
        <w:t>středn</w:t>
      </w:r>
      <w:r w:rsidR="00D22905">
        <w:t>ích podniků. Se spuštěním nových programů</w:t>
      </w:r>
      <w:r w:rsidRPr="00D73C93">
        <w:t xml:space="preserve"> TRIO</w:t>
      </w:r>
      <w:r>
        <w:rPr>
          <w:rStyle w:val="Znakapoznpodarou"/>
        </w:rPr>
        <w:footnoteReference w:id="9"/>
      </w:r>
      <w:r>
        <w:t xml:space="preserve"> </w:t>
      </w:r>
      <w:r w:rsidR="00D22905">
        <w:t>a TREND</w:t>
      </w:r>
      <w:r w:rsidR="00D22905">
        <w:rPr>
          <w:rStyle w:val="Znakapoznpodarou"/>
        </w:rPr>
        <w:footnoteReference w:id="10"/>
      </w:r>
      <w:r w:rsidR="00D22905">
        <w:t xml:space="preserve"> </w:t>
      </w:r>
      <w:r>
        <w:t>nastal</w:t>
      </w:r>
      <w:r w:rsidRPr="00D73C93">
        <w:t xml:space="preserve"> postupný nárůst rozpočtových prostředků určených na podporu podnikového VaV v rámci této kapitoly.</w:t>
      </w:r>
      <w:r>
        <w:t xml:space="preserve"> Výzkumné a vývojové projekty </w:t>
      </w:r>
      <w:r w:rsidR="00D61DAB">
        <w:t>v programu TRIO byly v roce 2020</w:t>
      </w:r>
      <w:r>
        <w:t xml:space="preserve"> podpořeny souhrnn</w:t>
      </w:r>
      <w:r w:rsidR="003E7B38">
        <w:t>ou částkou 1,2</w:t>
      </w:r>
      <w:r>
        <w:t xml:space="preserve"> mld. Kč.</w:t>
      </w:r>
      <w:r w:rsidRPr="00D73C93">
        <w:t xml:space="preserve"> Z hlediska dalšího členění těchto výdajů se jednalo zejména o účelovou podporu, která instit</w:t>
      </w:r>
      <w:r>
        <w:t>ucionální převyšovala v poměru</w:t>
      </w:r>
      <w:r w:rsidRPr="00D73C93">
        <w:t xml:space="preserve"> </w:t>
      </w:r>
      <w:r w:rsidR="003E7B38">
        <w:t>73</w:t>
      </w:r>
      <w:r w:rsidRPr="00D73C93">
        <w:t xml:space="preserve"> % ku </w:t>
      </w:r>
      <w:r w:rsidR="003E7B38">
        <w:t>27</w:t>
      </w:r>
      <w:r w:rsidRPr="00D73C93">
        <w:t> %.</w:t>
      </w:r>
      <w:r w:rsidRPr="00405CD5">
        <w:t xml:space="preserve"> </w:t>
      </w:r>
    </w:p>
    <w:p w:rsidR="005927F3" w:rsidRDefault="005927F3" w:rsidP="005927F3">
      <w:pPr>
        <w:spacing w:after="0" w:line="240" w:lineRule="auto"/>
        <w:rPr>
          <w:rFonts w:eastAsia="MS Gothic"/>
          <w:b/>
          <w:bCs/>
          <w:color w:val="009BB4"/>
          <w:sz w:val="24"/>
        </w:rPr>
      </w:pPr>
      <w:r>
        <w:br w:type="page"/>
      </w:r>
    </w:p>
    <w:p w:rsidR="005927F3" w:rsidRPr="00376D7A" w:rsidRDefault="005927F3" w:rsidP="005927F3">
      <w:pPr>
        <w:pStyle w:val="Nadpis3"/>
        <w:spacing w:before="240"/>
      </w:pPr>
      <w:r>
        <w:lastRenderedPageBreak/>
        <w:t xml:space="preserve">3.5 </w:t>
      </w:r>
      <w:r w:rsidRPr="00376D7A">
        <w:t>Státní rozpočtové výdaje na VaV podle příjemců</w:t>
      </w:r>
    </w:p>
    <w:p w:rsidR="005927F3" w:rsidRPr="00D91A60" w:rsidRDefault="005927F3" w:rsidP="005927F3">
      <w:pPr>
        <w:spacing w:before="120" w:after="120"/>
        <w:jc w:val="both"/>
      </w:pPr>
      <w:r w:rsidRPr="00BD43E0">
        <w:t xml:space="preserve">Nejvýznamnějšími příjemci státní podpory výzkumu a vývoje </w:t>
      </w:r>
      <w:r>
        <w:t>jsou dlouhodobě</w:t>
      </w:r>
      <w:r w:rsidRPr="00BD43E0">
        <w:t xml:space="preserve"> </w:t>
      </w:r>
      <w:r w:rsidRPr="00F87E91">
        <w:rPr>
          <w:b/>
        </w:rPr>
        <w:t>veřejné vysoké školy</w:t>
      </w:r>
      <w:r w:rsidR="004D7AF1">
        <w:t>. V roce 2020</w:t>
      </w:r>
      <w:r>
        <w:t xml:space="preserve"> se veřejným vysokým školám</w:t>
      </w:r>
      <w:r w:rsidRPr="00BD43E0">
        <w:t xml:space="preserve"> podařilo získat veřejnou podporu na provádění svých </w:t>
      </w:r>
      <w:r>
        <w:t xml:space="preserve">VaV aktivit ve výši </w:t>
      </w:r>
      <w:r w:rsidR="004D7AF1">
        <w:rPr>
          <w:b/>
        </w:rPr>
        <w:t>16</w:t>
      </w:r>
      <w:r w:rsidRPr="00F87E91">
        <w:rPr>
          <w:b/>
        </w:rPr>
        <w:t>,8 mld. Kč</w:t>
      </w:r>
      <w:r w:rsidR="000856D9">
        <w:t>, což představuje 4</w:t>
      </w:r>
      <w:r w:rsidR="001107F3">
        <w:t>4</w:t>
      </w:r>
      <w:r>
        <w:t>% podíl na státních rozpočtových výdajích na VaV</w:t>
      </w:r>
      <w:r w:rsidR="001107F3">
        <w:t>.</w:t>
      </w:r>
      <w:r w:rsidRPr="00BD43E0">
        <w:t xml:space="preserve"> Z této částky </w:t>
      </w:r>
      <w:r w:rsidR="007F416D">
        <w:t>šla více než</w:t>
      </w:r>
      <w:r w:rsidRPr="00D91A60">
        <w:t xml:space="preserve"> polovina f</w:t>
      </w:r>
      <w:r w:rsidR="001107F3">
        <w:t>ormou institucionální podpory (9</w:t>
      </w:r>
      <w:r w:rsidR="0016717A">
        <w:t> mld. </w:t>
      </w:r>
      <w:r w:rsidRPr="00D91A60">
        <w:t>Kč), zejména pak prostřednictvím podpory rozvoje výzkumných organizací a specific</w:t>
      </w:r>
      <w:r w:rsidR="0016717A">
        <w:t>kého vysokoškolského výzkumu</w:t>
      </w:r>
      <w:r w:rsidRPr="00D91A60">
        <w:t xml:space="preserve">. </w:t>
      </w:r>
    </w:p>
    <w:p w:rsidR="005927F3" w:rsidRPr="00D95445" w:rsidRDefault="005927F3" w:rsidP="005927F3">
      <w:pPr>
        <w:spacing w:before="120" w:after="120"/>
        <w:jc w:val="both"/>
      </w:pPr>
      <w:r w:rsidRPr="00D95445">
        <w:t xml:space="preserve">Další významnou skupinou příjemců byly </w:t>
      </w:r>
      <w:r w:rsidRPr="00F87E91">
        <w:rPr>
          <w:b/>
        </w:rPr>
        <w:t>veřejné výzkumné instituce</w:t>
      </w:r>
      <w:r w:rsidRPr="00D95445">
        <w:rPr>
          <w:rStyle w:val="Znakapoznpodarou"/>
        </w:rPr>
        <w:footnoteReference w:id="11"/>
      </w:r>
      <w:r w:rsidR="001107F3">
        <w:t>, které v roce 2020 obdržely 31,6</w:t>
      </w:r>
      <w:r w:rsidRPr="00D95445">
        <w:t> % (</w:t>
      </w:r>
      <w:r w:rsidR="001107F3">
        <w:rPr>
          <w:b/>
        </w:rPr>
        <w:t>12</w:t>
      </w:r>
      <w:r w:rsidRPr="00F87E91">
        <w:rPr>
          <w:b/>
        </w:rPr>
        <w:t xml:space="preserve"> mld. Kč</w:t>
      </w:r>
      <w:r w:rsidRPr="00D95445">
        <w:t>) z celkových státních rozpočtových výdajů na VaV. I v jejich případě hraje instit</w:t>
      </w:r>
      <w:r w:rsidR="001107F3">
        <w:t>ucionální forma financování (7,4 mld. Kč, 62</w:t>
      </w:r>
      <w:r w:rsidRPr="00D95445">
        <w:t> %) významnou roli.</w:t>
      </w:r>
    </w:p>
    <w:p w:rsidR="007F416D" w:rsidRDefault="005927F3" w:rsidP="005927F3">
      <w:pPr>
        <w:spacing w:before="120" w:after="120"/>
        <w:jc w:val="both"/>
      </w:pPr>
      <w:r w:rsidRPr="00B00CD7">
        <w:rPr>
          <w:b/>
        </w:rPr>
        <w:t>Soukromým podnikům</w:t>
      </w:r>
      <w:r w:rsidRPr="005D79EB">
        <w:t xml:space="preserve"> se podařilo na své VaV aktivity získat státní podporu ve výši </w:t>
      </w:r>
      <w:r w:rsidRPr="00B00CD7">
        <w:rPr>
          <w:b/>
        </w:rPr>
        <w:t>3,4 mld. Kč</w:t>
      </w:r>
      <w:r w:rsidRPr="005D79EB">
        <w:t>. V tomto případě dominuj</w:t>
      </w:r>
      <w:r w:rsidR="00E93E1B">
        <w:t>e účelová podpora (3 mld. Kč, 88</w:t>
      </w:r>
      <w:r w:rsidRPr="005D79EB">
        <w:t> %). Převážnou</w:t>
      </w:r>
      <w:r w:rsidR="00A50827">
        <w:t xml:space="preserve"> část z této účelové podpory (89 %; 3</w:t>
      </w:r>
      <w:r>
        <w:t> mld. </w:t>
      </w:r>
      <w:r w:rsidRPr="005D79EB">
        <w:t>Kč) obdržely soukromé národní podniky. Zbytek (0,4 mld. Kč) získaly soukromé podniky pod zahraniční kontrolou. Podniky pod zahraniční kontrolou využívají více instrument nepřímé (daňové) podpory VaV</w:t>
      </w:r>
      <w:r w:rsidRPr="005D79EB">
        <w:rPr>
          <w:rStyle w:val="Znakapoznpodarou"/>
        </w:rPr>
        <w:footnoteReference w:id="12"/>
      </w:r>
      <w:r w:rsidRPr="005D79EB">
        <w:t xml:space="preserve">. </w:t>
      </w:r>
    </w:p>
    <w:p w:rsidR="005927F3" w:rsidRPr="005D79EB" w:rsidRDefault="005927F3" w:rsidP="005927F3">
      <w:pPr>
        <w:spacing w:before="120" w:after="120"/>
        <w:jc w:val="both"/>
      </w:pPr>
      <w:r w:rsidRPr="00894BE7">
        <w:rPr>
          <w:b/>
        </w:rPr>
        <w:t>Veřejné podniky</w:t>
      </w:r>
      <w:r w:rsidRPr="005D79EB">
        <w:t xml:space="preserve"> získaly na své výzkumné a vý</w:t>
      </w:r>
      <w:r w:rsidR="00F91230">
        <w:t>vojové činnosti státní podporu o</w:t>
      </w:r>
      <w:r w:rsidRPr="005D79EB">
        <w:t xml:space="preserve"> objemu </w:t>
      </w:r>
      <w:r w:rsidR="0020769F">
        <w:rPr>
          <w:b/>
        </w:rPr>
        <w:t>945</w:t>
      </w:r>
      <w:r w:rsidRPr="00894BE7">
        <w:rPr>
          <w:b/>
        </w:rPr>
        <w:t> mil. Kč</w:t>
      </w:r>
      <w:r>
        <w:t xml:space="preserve">, nejvíce z rozpočtové kapitoly </w:t>
      </w:r>
      <w:r w:rsidR="00037BB1">
        <w:t xml:space="preserve">Ministerstva školství, </w:t>
      </w:r>
      <w:r w:rsidR="0020769F">
        <w:t>mládeže</w:t>
      </w:r>
      <w:r w:rsidR="00037BB1">
        <w:t xml:space="preserve"> a tělovýchovy</w:t>
      </w:r>
      <w:r w:rsidR="0020769F">
        <w:t xml:space="preserve"> (274 mil. Kč) a Ministerstva obrany (258</w:t>
      </w:r>
      <w:r w:rsidR="00037BB1">
        <w:t> mil. </w:t>
      </w:r>
      <w:r>
        <w:t>Kč)</w:t>
      </w:r>
      <w:r w:rsidRPr="005D79EB">
        <w:t xml:space="preserve">. </w:t>
      </w:r>
    </w:p>
    <w:p w:rsidR="005927F3" w:rsidRPr="00AA3DFC" w:rsidRDefault="005927F3" w:rsidP="005927F3">
      <w:pPr>
        <w:spacing w:before="120" w:after="120"/>
        <w:jc w:val="both"/>
      </w:pPr>
      <w:r w:rsidRPr="00BE7EEB">
        <w:rPr>
          <w:b/>
        </w:rPr>
        <w:t>Veřejná zdravotnická zařízení</w:t>
      </w:r>
      <w:r w:rsidRPr="00AA3DFC">
        <w:t>, zejména pak fakultn</w:t>
      </w:r>
      <w:r w:rsidR="007F52DB">
        <w:t>í nemocnice</w:t>
      </w:r>
      <w:r w:rsidR="00837582">
        <w:t>,</w:t>
      </w:r>
      <w:r w:rsidR="007F52DB">
        <w:t xml:space="preserve"> obdržely v roce 2020</w:t>
      </w:r>
      <w:r w:rsidRPr="00AA3DFC">
        <w:t xml:space="preserve"> na provádění lékařského výzkumu od státu podporu ve výši </w:t>
      </w:r>
      <w:r w:rsidR="007F52DB">
        <w:rPr>
          <w:b/>
        </w:rPr>
        <w:t>1,4</w:t>
      </w:r>
      <w:r w:rsidRPr="00BE7EEB">
        <w:rPr>
          <w:b/>
        </w:rPr>
        <w:t> mld. Kč</w:t>
      </w:r>
      <w:r w:rsidR="007F52DB">
        <w:t>, z toho 45</w:t>
      </w:r>
      <w:r w:rsidRPr="00AA3DFC">
        <w:t xml:space="preserve"> % bylo financováno formou institucionální podpory. </w:t>
      </w:r>
    </w:p>
    <w:p w:rsidR="005927F3" w:rsidRPr="00AA3DFC" w:rsidRDefault="005927F3" w:rsidP="005927F3">
      <w:pPr>
        <w:spacing w:before="120" w:after="120"/>
        <w:jc w:val="both"/>
      </w:pPr>
      <w:r w:rsidRPr="00CA7323">
        <w:rPr>
          <w:b/>
        </w:rPr>
        <w:t>Ostatní vládní a veřejné organizace</w:t>
      </w:r>
      <w:r w:rsidRPr="00AA3DFC">
        <w:t xml:space="preserve"> získaly pro provádění výz</w:t>
      </w:r>
      <w:r w:rsidR="006814B8">
        <w:t>kumných aktivit 1,3 mld. Kč (3,3</w:t>
      </w:r>
      <w:r w:rsidRPr="00AA3DFC">
        <w:t xml:space="preserve"> % z celkové v</w:t>
      </w:r>
      <w:r>
        <w:t xml:space="preserve">eřejné rozpočtové podpory VaV). </w:t>
      </w:r>
      <w:r w:rsidRPr="00CA7323">
        <w:rPr>
          <w:b/>
        </w:rPr>
        <w:t>Zahraniční subjekty</w:t>
      </w:r>
      <w:r w:rsidRPr="00AA3DFC">
        <w:t xml:space="preserve"> obdržely na podporu mezinárodní spoluprá</w:t>
      </w:r>
      <w:r w:rsidR="006814B8">
        <w:t>ce s českými subjekty částku 1,1 mld.</w:t>
      </w:r>
      <w:r w:rsidRPr="00AA3DFC">
        <w:t xml:space="preserve"> Kč. Jednalo se dominantně o institucionální formu podpory (příspěvky a poplatky). </w:t>
      </w:r>
    </w:p>
    <w:p w:rsidR="005927F3" w:rsidRPr="00BD43E0" w:rsidRDefault="005927F3" w:rsidP="005927F3">
      <w:pPr>
        <w:spacing w:after="120"/>
        <w:jc w:val="both"/>
        <w:rPr>
          <w:b/>
        </w:rPr>
      </w:pPr>
      <w:r>
        <w:rPr>
          <w:b/>
        </w:rPr>
        <w:t>GRAF 3</w:t>
      </w:r>
      <w:r w:rsidRPr="00BD43E0">
        <w:rPr>
          <w:b/>
        </w:rPr>
        <w:t>-</w:t>
      </w:r>
      <w:r>
        <w:rPr>
          <w:b/>
        </w:rPr>
        <w:t>5</w:t>
      </w:r>
      <w:r w:rsidRPr="00BD43E0">
        <w:rPr>
          <w:b/>
        </w:rPr>
        <w:t xml:space="preserve">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>rozpočtové výdaje na Va</w:t>
      </w:r>
      <w:r w:rsidR="00B00374">
        <w:rPr>
          <w:b/>
        </w:rPr>
        <w:t xml:space="preserve">V v ČR podle </w:t>
      </w:r>
      <w:r>
        <w:rPr>
          <w:b/>
        </w:rPr>
        <w:t xml:space="preserve">příjemců </w:t>
      </w:r>
      <w:r w:rsidR="00B00374">
        <w:rPr>
          <w:b/>
        </w:rPr>
        <w:t>a</w:t>
      </w:r>
      <w:r w:rsidRPr="00BD43E0">
        <w:rPr>
          <w:b/>
        </w:rPr>
        <w:t xml:space="preserve"> </w:t>
      </w:r>
      <w:r>
        <w:rPr>
          <w:b/>
        </w:rPr>
        <w:t>formy podpory (mld</w:t>
      </w:r>
      <w:r w:rsidRPr="00BD43E0">
        <w:rPr>
          <w:b/>
        </w:rPr>
        <w:t>.</w:t>
      </w:r>
      <w:r>
        <w:rPr>
          <w:b/>
        </w:rPr>
        <w:t> </w:t>
      </w:r>
      <w:r w:rsidRPr="00BD43E0">
        <w:rPr>
          <w:b/>
        </w:rPr>
        <w:t xml:space="preserve">Kč, podíl na </w:t>
      </w:r>
      <w:r>
        <w:rPr>
          <w:b/>
        </w:rPr>
        <w:t>GBARD</w:t>
      </w:r>
      <w:r w:rsidRPr="00BD43E0">
        <w:rPr>
          <w:b/>
        </w:rPr>
        <w:t xml:space="preserve">); </w:t>
      </w:r>
      <w:r w:rsidR="001D29AD">
        <w:rPr>
          <w:b/>
        </w:rPr>
        <w:t>2020</w:t>
      </w:r>
    </w:p>
    <w:p w:rsidR="005927F3" w:rsidRDefault="00C15AB0" w:rsidP="005927F3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6080419" cy="3190875"/>
                <wp:effectExtent l="0" t="0" r="0" b="0"/>
                <wp:docPr id="37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419" cy="3190875"/>
                          <a:chOff x="0" y="0"/>
                          <a:chExt cx="6080419" cy="3190875"/>
                        </a:xfrm>
                      </wpg:grpSpPr>
                      <wpg:graphicFrame>
                        <wpg:cNvPr id="41" name="Graf 41">
                          <a:extLst>
                            <a:ext uri="{FF2B5EF4-FFF2-40B4-BE49-F238E27FC236}">
                              <a16:creationId xmlns:a16="http://schemas.microsoft.com/office/drawing/2014/main" id="{00000000-0008-0000-0700-000007000000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6080419" cy="31908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1"/>
                          </a:graphicData>
                        </a:graphic>
                      </wpg:graphicFrame>
                      <wpg:graphicFrame>
                        <wpg:cNvPr id="42" name="Graf 42">
                          <a:extLst>
                            <a:ext uri="{FF2B5EF4-FFF2-40B4-BE49-F238E27FC236}">
                              <a16:creationId xmlns:a16="http://schemas.microsoft.com/office/drawing/2014/main" id="{00000000-0008-0000-0700-000009000000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3238500" y="1657350"/>
                          <a:ext cx="2476500" cy="10287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2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w14:anchorId="26768A76" id="Skupina 1" o:spid="_x0000_s1026" style="width:478.75pt;height:251.25pt;mso-position-horizontal-relative:char;mso-position-vertical-relative:line" coordsize="60804,31908" o:gfxdata="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">
                <v:shape id="Graf 41" o:spid="_x0000_s1027" type="#_x0000_t75" style="position:absolute;width:60777;height:318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">
                  <v:imagedata r:id="rId33" o:title=""/>
                  <o:lock v:ext="edit" aspectratio="f"/>
                </v:shape>
                <v:shape id="Graf 42" o:spid="_x0000_s1028" type="#_x0000_t75" style="position:absolute;left:32369;top:16581;width:24750;height:10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">
                  <v:imagedata r:id="rId34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5927F3" w:rsidRPr="00376D7A" w:rsidRDefault="005927F3" w:rsidP="005927F3">
      <w:pPr>
        <w:pStyle w:val="Nadpis3"/>
        <w:spacing w:before="240"/>
      </w:pPr>
      <w:r>
        <w:lastRenderedPageBreak/>
        <w:t>3.6 Státní rozpočtové výdaje na VaV</w:t>
      </w:r>
      <w:r w:rsidRPr="006E3865">
        <w:t xml:space="preserve"> </w:t>
      </w:r>
      <w:r w:rsidRPr="0032208D">
        <w:t>podle krajů</w:t>
      </w:r>
    </w:p>
    <w:p w:rsidR="005927F3" w:rsidRDefault="005927F3" w:rsidP="005927F3">
      <w:pPr>
        <w:spacing w:before="120" w:after="120"/>
        <w:jc w:val="both"/>
      </w:pPr>
      <w:r>
        <w:t xml:space="preserve">Z krajského pohledu se mezi nejdůležitější destinace </w:t>
      </w:r>
      <w:r w:rsidR="00EB4345">
        <w:t xml:space="preserve">přímé </w:t>
      </w:r>
      <w:r>
        <w:t xml:space="preserve">veřejné podpory výzkumu a vývoje řadí kraje s vysokou koncentrací vysokých škol a veřejných výzkumných institucí. </w:t>
      </w:r>
    </w:p>
    <w:p w:rsidR="005927F3" w:rsidRPr="003D2440" w:rsidRDefault="005927F3" w:rsidP="005927F3">
      <w:pPr>
        <w:spacing w:before="120" w:after="120"/>
        <w:jc w:val="both"/>
      </w:pPr>
      <w:r w:rsidRPr="003D2440">
        <w:t xml:space="preserve">Pomyslnou roli krajského centra českého výzkumu (měřeno alokací finančních prostředků veřejné podpory VaV) hraje hlavní město </w:t>
      </w:r>
      <w:r w:rsidRPr="006305E5">
        <w:rPr>
          <w:b/>
        </w:rPr>
        <w:t>Praha</w:t>
      </w:r>
      <w:r w:rsidRPr="003D2440">
        <w:t>, kde subjekty pro</w:t>
      </w:r>
      <w:r w:rsidR="00EB4345">
        <w:t>vádějící VaV získaly v roce 2020</w:t>
      </w:r>
      <w:r w:rsidRPr="003D2440">
        <w:t xml:space="preserve"> podporu ve výši </w:t>
      </w:r>
      <w:r w:rsidR="00A01506">
        <w:rPr>
          <w:b/>
        </w:rPr>
        <w:t>19</w:t>
      </w:r>
      <w:r w:rsidRPr="006305E5">
        <w:rPr>
          <w:b/>
        </w:rPr>
        <w:t>,9 mld. Kč</w:t>
      </w:r>
      <w:r>
        <w:t>. T</w:t>
      </w:r>
      <w:r w:rsidR="00A01506">
        <w:t>ato částka odpovídá 52</w:t>
      </w:r>
      <w:r w:rsidRPr="003D2440">
        <w:t>% podílu celkových státních rozpočtových v</w:t>
      </w:r>
      <w:r w:rsidR="00516873">
        <w:t>ýdajů na VaV. Z hlediska formy financování</w:t>
      </w:r>
      <w:r w:rsidRPr="003D2440">
        <w:t xml:space="preserve"> zde převažo</w:t>
      </w:r>
      <w:r w:rsidR="00B4010D">
        <w:t>vala institucionální podpora (11,3 mld. Kč; 57</w:t>
      </w:r>
      <w:r w:rsidRPr="003D2440">
        <w:t xml:space="preserve"> </w:t>
      </w:r>
      <w:r w:rsidR="00B4010D">
        <w:t>%) nad účelovou (8,6 mld. Kč; 43</w:t>
      </w:r>
      <w:r w:rsidRPr="003D2440">
        <w:t> %), což je dáno koncen</w:t>
      </w:r>
      <w:r w:rsidR="00D476B7">
        <w:t>trací vysokých škol (získaly 7,4</w:t>
      </w:r>
      <w:r w:rsidRPr="003D2440">
        <w:t xml:space="preserve"> mld. Kč) a ús</w:t>
      </w:r>
      <w:r w:rsidR="00D476B7">
        <w:t>tavů Akademie věd ČR (9,1</w:t>
      </w:r>
      <w:r w:rsidRPr="003D2440">
        <w:t xml:space="preserve"> mld. Kč). </w:t>
      </w:r>
    </w:p>
    <w:p w:rsidR="005927F3" w:rsidRPr="00026961" w:rsidRDefault="005927F3" w:rsidP="005927F3">
      <w:pPr>
        <w:spacing w:before="120" w:after="120"/>
        <w:jc w:val="both"/>
      </w:pPr>
      <w:r w:rsidRPr="00026961">
        <w:t xml:space="preserve">Subjekty provádějící VaV v </w:t>
      </w:r>
      <w:r w:rsidRPr="006305E5">
        <w:rPr>
          <w:b/>
        </w:rPr>
        <w:t>Jihomoravském kraji</w:t>
      </w:r>
      <w:r w:rsidRPr="00026961">
        <w:t xml:space="preserve"> obdr</w:t>
      </w:r>
      <w:r>
        <w:t xml:space="preserve">žely ze státního rozpočtu </w:t>
      </w:r>
      <w:r w:rsidR="00B47818">
        <w:t xml:space="preserve">rovných </w:t>
      </w:r>
      <w:r w:rsidR="00B47818">
        <w:rPr>
          <w:b/>
        </w:rPr>
        <w:t>7</w:t>
      </w:r>
      <w:r w:rsidRPr="006305E5">
        <w:rPr>
          <w:b/>
        </w:rPr>
        <w:t xml:space="preserve"> mld. Kč</w:t>
      </w:r>
      <w:r w:rsidR="00B47818">
        <w:t xml:space="preserve"> (18,3</w:t>
      </w:r>
      <w:r>
        <w:t> % z celkových GBARD)</w:t>
      </w:r>
      <w:r w:rsidRPr="00026961">
        <w:t>. V porovnání s Prah</w:t>
      </w:r>
      <w:r>
        <w:t>o</w:t>
      </w:r>
      <w:r w:rsidR="00183EC4">
        <w:t>u se jedná o třetinový objem</w:t>
      </w:r>
      <w:r w:rsidRPr="00026961">
        <w:t xml:space="preserve"> získaných prostředků. </w:t>
      </w:r>
    </w:p>
    <w:p w:rsidR="005927F3" w:rsidRDefault="005927F3" w:rsidP="005927F3">
      <w:pPr>
        <w:spacing w:before="120" w:after="120"/>
        <w:jc w:val="both"/>
        <w:rPr>
          <w:b/>
        </w:rPr>
      </w:pPr>
      <w:r>
        <w:rPr>
          <w:b/>
        </w:rPr>
        <w:t>GRAF 3-</w:t>
      </w:r>
      <w:r w:rsidRPr="00BF1D6C">
        <w:rPr>
          <w:b/>
        </w:rPr>
        <w:t xml:space="preserve">6: Státní rozpočtové výdaje na VaV podle krajů </w:t>
      </w:r>
      <w:r w:rsidR="005201D6">
        <w:rPr>
          <w:b/>
        </w:rPr>
        <w:t>a</w:t>
      </w:r>
      <w:r w:rsidR="005201D6" w:rsidRPr="00BD43E0">
        <w:rPr>
          <w:b/>
        </w:rPr>
        <w:t xml:space="preserve"> </w:t>
      </w:r>
      <w:r w:rsidR="005201D6">
        <w:rPr>
          <w:b/>
        </w:rPr>
        <w:t xml:space="preserve">formy podpory </w:t>
      </w:r>
      <w:r w:rsidRPr="00BF1D6C">
        <w:rPr>
          <w:b/>
        </w:rPr>
        <w:t>(m</w:t>
      </w:r>
      <w:r>
        <w:rPr>
          <w:b/>
        </w:rPr>
        <w:t>ld</w:t>
      </w:r>
      <w:r w:rsidRPr="00BF1D6C">
        <w:rPr>
          <w:b/>
        </w:rPr>
        <w:t>.</w:t>
      </w:r>
      <w:r>
        <w:rPr>
          <w:b/>
        </w:rPr>
        <w:t xml:space="preserve"> Kč; podíl na GBARD</w:t>
      </w:r>
      <w:r w:rsidRPr="00BF1D6C">
        <w:rPr>
          <w:b/>
        </w:rPr>
        <w:t xml:space="preserve">); </w:t>
      </w:r>
      <w:r w:rsidR="00C8779E">
        <w:rPr>
          <w:b/>
        </w:rPr>
        <w:t>2020</w:t>
      </w:r>
    </w:p>
    <w:p w:rsidR="005A6FF3" w:rsidRDefault="005A6FF3" w:rsidP="005927F3">
      <w:pPr>
        <w:spacing w:before="120" w:after="12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5982840" cy="3676650"/>
                <wp:effectExtent l="0" t="0" r="0" b="0"/>
                <wp:docPr id="43" name="Skupina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800-00000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40" cy="3676650"/>
                          <a:chOff x="0" y="0"/>
                          <a:chExt cx="6120000" cy="4212000"/>
                        </a:xfrm>
                      </wpg:grpSpPr>
                      <wpg:graphicFrame>
                        <wpg:cNvPr id="46" name="Graf 46">
                          <a:extLst>
                            <a:ext uri="{FF2B5EF4-FFF2-40B4-BE49-F238E27FC236}">
                              <a16:creationId xmlns:a16="http://schemas.microsoft.com/office/drawing/2014/main" id="{00000000-0008-0000-0800-000008000000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0" y="0"/>
                          <a:ext cx="6120000" cy="4212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5"/>
                          </a:graphicData>
                        </a:graphic>
                      </wpg:graphicFrame>
                      <wpg:graphicFrame>
                        <wpg:cNvPr id="47" name="Graf 47">
                          <a:extLst>
                            <a:ext uri="{FF2B5EF4-FFF2-40B4-BE49-F238E27FC236}">
                              <a16:creationId xmlns:a16="http://schemas.microsoft.com/office/drawing/2014/main" id="{00000000-0008-0000-0800-000009000000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2084762" y="1951649"/>
                          <a:ext cx="3749040" cy="16230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6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w14:anchorId="37F1BCE8" id="Skupina 12" o:spid="_x0000_s1026" style="width:471.1pt;height:289.5pt;mso-position-horizontal-relative:char;mso-position-vertical-relative:line" coordsize="61200,42120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">
                <v:shape id="Graf 46" o:spid="_x0000_s1027" type="#_x0000_t75" style="position:absolute;width:61172;height:42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">
                  <v:imagedata r:id="rId37" o:title=""/>
                  <o:lock v:ext="edit" aspectratio="f"/>
                </v:shape>
                <v:shape id="Graf 47" o:spid="_x0000_s1028" type="#_x0000_t75" style="position:absolute;left:20827;top:19484;width:37477;height:16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">
                  <v:imagedata r:id="rId38" o:title=""/>
                  <o:lock v:ext="edit" aspectratio="f"/>
                </v:shape>
                <w10:anchorlock/>
              </v:group>
            </w:pict>
          </mc:Fallback>
        </mc:AlternateContent>
      </w:r>
      <w:r w:rsidR="005927F3" w:rsidRPr="00026961">
        <w:t xml:space="preserve"> </w:t>
      </w:r>
    </w:p>
    <w:p w:rsidR="005927F3" w:rsidRPr="00733281" w:rsidRDefault="005927F3" w:rsidP="005927F3">
      <w:pPr>
        <w:spacing w:before="120" w:after="120"/>
        <w:jc w:val="both"/>
      </w:pPr>
      <w:r w:rsidRPr="00733281">
        <w:t xml:space="preserve">Zajímavá je třetí pozice </w:t>
      </w:r>
      <w:r w:rsidRPr="00261016">
        <w:rPr>
          <w:b/>
        </w:rPr>
        <w:t>Středočeskéh</w:t>
      </w:r>
      <w:r w:rsidR="009D0453" w:rsidRPr="00261016">
        <w:rPr>
          <w:b/>
        </w:rPr>
        <w:t>o kraje</w:t>
      </w:r>
      <w:r w:rsidR="009D0453">
        <w:t xml:space="preserve"> s alokovanou částkou </w:t>
      </w:r>
      <w:r w:rsidR="009D0453" w:rsidRPr="00261016">
        <w:rPr>
          <w:b/>
        </w:rPr>
        <w:t>2,1</w:t>
      </w:r>
      <w:r w:rsidRPr="00261016">
        <w:rPr>
          <w:b/>
        </w:rPr>
        <w:t xml:space="preserve"> mld. Kč</w:t>
      </w:r>
      <w:r w:rsidRPr="00733281">
        <w:t xml:space="preserve">. V tomto kraji sice nepůsobí žádná veřejná vysoká škola, ale adresně zde provádí výzkum a vývoj několik veřejných výzkumných institucí a center </w:t>
      </w:r>
      <w:r w:rsidR="00261016">
        <w:t>výzkumu a vývoje postavených z E</w:t>
      </w:r>
      <w:r w:rsidRPr="00733281">
        <w:t>vropských strukturál</w:t>
      </w:r>
      <w:r w:rsidR="00912248">
        <w:t>ních a investičních fondů</w:t>
      </w:r>
      <w:r w:rsidRPr="00733281">
        <w:t>, do nichž s</w:t>
      </w:r>
      <w:r w:rsidR="009D0453">
        <w:t>měřovala polovina (konkrétně 1,2</w:t>
      </w:r>
      <w:r w:rsidRPr="00733281">
        <w:t xml:space="preserve"> mld. Kč) státních rozpočtových výdajů na VaV v tomto kraji. </w:t>
      </w:r>
    </w:p>
    <w:p w:rsidR="00261016" w:rsidRDefault="005927F3" w:rsidP="005927F3">
      <w:pPr>
        <w:spacing w:before="120" w:after="120"/>
        <w:jc w:val="both"/>
      </w:pPr>
      <w:r w:rsidRPr="00733281">
        <w:t xml:space="preserve">Pouze v dalších 4 krajích (Jihočeský, Plzeňský, Moravskoslezský a Olomoucký) převýšila </w:t>
      </w:r>
      <w:r w:rsidR="009D0453">
        <w:t>v roce 2020</w:t>
      </w:r>
      <w:r w:rsidRPr="005A530D">
        <w:t xml:space="preserve"> </w:t>
      </w:r>
      <w:r w:rsidRPr="00733281">
        <w:t xml:space="preserve">státní rozpočtová podpora VaV hranici jedné miliardy Kč. </w:t>
      </w:r>
      <w:r>
        <w:t>Vůbec nejméně obdržely subjekty provádějící V</w:t>
      </w:r>
      <w:r w:rsidR="009D0453">
        <w:t>aV v Karlovarském kraji (pouze 5</w:t>
      </w:r>
      <w:r w:rsidR="00261016">
        <w:t xml:space="preserve"> mil. Kč). Svou roli hraje infrastruktura VaV, kdy v tomto kraji</w:t>
      </w:r>
      <w:r>
        <w:t xml:space="preserve"> nepůsobí žádná veřejná vysoká škola ani veřejná výzkumná instituce. </w:t>
      </w:r>
    </w:p>
    <w:p w:rsidR="005927F3" w:rsidRPr="000925C7" w:rsidRDefault="009D0453" w:rsidP="005927F3">
      <w:pPr>
        <w:spacing w:before="120" w:after="120"/>
        <w:jc w:val="both"/>
      </w:pPr>
      <w:r>
        <w:t>V grafu není uvedena</w:t>
      </w:r>
      <w:r w:rsidR="005927F3">
        <w:t xml:space="preserve"> </w:t>
      </w:r>
      <w:r>
        <w:t xml:space="preserve">položka </w:t>
      </w:r>
      <w:r w:rsidR="005927F3">
        <w:t>„Neurčeno“</w:t>
      </w:r>
      <w:r w:rsidR="005927F3">
        <w:rPr>
          <w:rStyle w:val="Znakapoznpodarou"/>
        </w:rPr>
        <w:footnoteReference w:id="13"/>
      </w:r>
      <w:r>
        <w:t xml:space="preserve"> ve výši 1,6 mld. Kč, kam se řadí </w:t>
      </w:r>
      <w:r w:rsidR="005927F3">
        <w:t>částky, jimž nebylo možné přiřadit konkrétní subjekt dle klasifikace krajů (NUTS3) z důvodu, že příjemce byl ze zahraničí nebo jím byla soukromá fyzická osoba</w:t>
      </w:r>
      <w:r w:rsidR="00F61075">
        <w:t xml:space="preserve"> nebo se jednalo o blíže nespecifikovanou</w:t>
      </w:r>
      <w:r w:rsidR="004D50AF">
        <w:t xml:space="preserve"> položku</w:t>
      </w:r>
      <w:r w:rsidR="005927F3">
        <w:t>.</w:t>
      </w:r>
    </w:p>
    <w:p w:rsidR="005927F3" w:rsidRPr="00376D7A" w:rsidRDefault="005927F3" w:rsidP="005927F3">
      <w:pPr>
        <w:pStyle w:val="Nadpis3"/>
        <w:spacing w:before="240"/>
      </w:pPr>
      <w:r>
        <w:lastRenderedPageBreak/>
        <w:t>3.7 Státní rozpočtové výdaje na VaV</w:t>
      </w:r>
      <w:r w:rsidRPr="00B940FD">
        <w:t xml:space="preserve"> podle </w:t>
      </w:r>
      <w:r w:rsidR="00FD0ABB">
        <w:t>socioekonomických cílů NABS</w:t>
      </w:r>
    </w:p>
    <w:p w:rsidR="005927F3" w:rsidRPr="007558EC" w:rsidRDefault="005927F3" w:rsidP="005927F3">
      <w:pPr>
        <w:pStyle w:val="Nadpis4"/>
        <w:spacing w:before="120"/>
        <w:rPr>
          <w:sz w:val="22"/>
        </w:rPr>
      </w:pPr>
      <w:r w:rsidRPr="008920C9">
        <w:rPr>
          <w:sz w:val="22"/>
        </w:rPr>
        <w:t>3.7</w:t>
      </w:r>
      <w:r>
        <w:rPr>
          <w:sz w:val="22"/>
        </w:rPr>
        <w:t>.1 Úvod</w:t>
      </w:r>
    </w:p>
    <w:p w:rsidR="005927F3" w:rsidRPr="00083CFA" w:rsidRDefault="005927F3" w:rsidP="005927F3">
      <w:pPr>
        <w:spacing w:before="120" w:after="120"/>
        <w:jc w:val="both"/>
      </w:pPr>
      <w:r w:rsidRPr="00083CFA">
        <w:t>Jak bylo již uvedeno, celková částka státem rozpočtovaných výdajů na v</w:t>
      </w:r>
      <w:r w:rsidR="00FD0ABB">
        <w:t>ýzkum a vývoj dosáhla v roce 2020</w:t>
      </w:r>
      <w:r w:rsidRPr="00083CFA">
        <w:t xml:space="preserve"> </w:t>
      </w:r>
      <w:r w:rsidR="00FD0ABB">
        <w:t>výše 38,1</w:t>
      </w:r>
      <w:r w:rsidRPr="00083CFA">
        <w:t xml:space="preserve"> ml</w:t>
      </w:r>
      <w:r>
        <w:t>d</w:t>
      </w:r>
      <w:r w:rsidRPr="00083CFA">
        <w:t xml:space="preserve">. Kč. V této </w:t>
      </w:r>
      <w:r>
        <w:t>kapitole</w:t>
      </w:r>
      <w:r w:rsidRPr="00083CFA">
        <w:t xml:space="preserve"> bude popsáno směřování těchto prostředků z hlediska socioekonomických cílů rozlišených dle </w:t>
      </w:r>
      <w:r w:rsidRPr="00FD0ABB">
        <w:rPr>
          <w:b/>
        </w:rPr>
        <w:t>klasifikace NABS</w:t>
      </w:r>
      <w:r w:rsidRPr="00FD0ABB">
        <w:rPr>
          <w:rStyle w:val="Znakapoznpodarou"/>
          <w:b/>
        </w:rPr>
        <w:footnoteReference w:id="14"/>
      </w:r>
      <w:r w:rsidR="00FD0ABB" w:rsidRPr="00FD0ABB">
        <w:rPr>
          <w:b/>
        </w:rPr>
        <w:t xml:space="preserve"> </w:t>
      </w:r>
      <w:r w:rsidR="00FD0ABB" w:rsidRPr="00FD3419">
        <w:t>z roku 2007</w:t>
      </w:r>
      <w:r w:rsidRPr="00FD3419">
        <w:t>.</w:t>
      </w:r>
      <w:r w:rsidRPr="00083CFA">
        <w:t xml:space="preserve"> </w:t>
      </w:r>
    </w:p>
    <w:p w:rsidR="005927F3" w:rsidRPr="00CB6838" w:rsidRDefault="005927F3" w:rsidP="005927F3">
      <w:pPr>
        <w:spacing w:before="120" w:after="0"/>
        <w:jc w:val="both"/>
        <w:rPr>
          <w:b/>
        </w:rPr>
      </w:pPr>
      <w:r w:rsidRPr="00F62DED">
        <w:rPr>
          <w:b/>
        </w:rPr>
        <w:t xml:space="preserve">GRAF 3-7: Státní rozpočtové výdaje na VaV v ČR podle hlavních socioekonomických cílů </w:t>
      </w:r>
      <w:r w:rsidR="00FD0ABB" w:rsidRPr="00F62DED">
        <w:rPr>
          <w:b/>
        </w:rPr>
        <w:t>klasifikace NABS</w:t>
      </w:r>
      <w:r w:rsidRPr="00F62DED">
        <w:rPr>
          <w:b/>
        </w:rPr>
        <w:t xml:space="preserve"> v letech 2010, 2015 </w:t>
      </w:r>
      <w:r w:rsidR="00FD0ABB" w:rsidRPr="00F62DED">
        <w:rPr>
          <w:b/>
        </w:rPr>
        <w:t>a 2020</w:t>
      </w:r>
      <w:r w:rsidRPr="00F62DED">
        <w:rPr>
          <w:b/>
        </w:rPr>
        <w:t xml:space="preserve"> (mil. Kč; podíl na GBARD </w:t>
      </w:r>
      <w:r w:rsidR="00FD0ABB" w:rsidRPr="00F62DED">
        <w:rPr>
          <w:b/>
        </w:rPr>
        <w:t>v roce 2020</w:t>
      </w:r>
      <w:r w:rsidRPr="00F62DED">
        <w:rPr>
          <w:b/>
        </w:rPr>
        <w:t>)</w:t>
      </w:r>
    </w:p>
    <w:p w:rsidR="005927F3" w:rsidRDefault="00771812" w:rsidP="005927F3">
      <w:pPr>
        <w:spacing w:before="120"/>
        <w:jc w:val="both"/>
      </w:pPr>
      <w:r>
        <w:rPr>
          <w:noProof/>
        </w:rPr>
        <w:drawing>
          <wp:inline distT="0" distB="0" distL="0" distR="0" wp14:anchorId="78C82D1E" wp14:editId="46075C3B">
            <wp:extent cx="6120000" cy="5040000"/>
            <wp:effectExtent l="0" t="0" r="0" b="8255"/>
            <wp:docPr id="27" name="Graf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927F3" w:rsidRDefault="005927F3" w:rsidP="005927F3">
      <w:pPr>
        <w:spacing w:before="120" w:after="120"/>
        <w:jc w:val="both"/>
      </w:pPr>
      <w:r>
        <w:t>Naprostá</w:t>
      </w:r>
      <w:r w:rsidRPr="00083CFA">
        <w:t xml:space="preserve"> většina těchto </w:t>
      </w:r>
      <w:r w:rsidR="004470BF">
        <w:t>prostředků směřovala v roce 2020</w:t>
      </w:r>
      <w:r w:rsidRPr="00083CFA">
        <w:t xml:space="preserve"> do </w:t>
      </w:r>
      <w:r>
        <w:t>civilního výzkumu a vývoje (99</w:t>
      </w:r>
      <w:r w:rsidRPr="00083CFA">
        <w:t> %). Na obranný (vojenský) výzkum a vývoj, který je financován výhradně z rozpočtové kapitoly Ministerstva</w:t>
      </w:r>
      <w:r>
        <w:t xml:space="preserve"> obrany, stát vyčlenil pouze 1</w:t>
      </w:r>
      <w:r w:rsidRPr="00083CFA">
        <w:t xml:space="preserve"> % výdajů.</w:t>
      </w:r>
      <w:r>
        <w:t xml:space="preserve"> V roce 2010 to bylo dvakrát více (2,2 %). </w:t>
      </w:r>
    </w:p>
    <w:p w:rsidR="00630DEB" w:rsidRPr="00083CFA" w:rsidRDefault="00553107" w:rsidP="005927F3">
      <w:pPr>
        <w:spacing w:before="120" w:after="120"/>
        <w:jc w:val="both"/>
      </w:pPr>
      <w:r>
        <w:t>Co se týká</w:t>
      </w:r>
      <w:r w:rsidR="00630DEB">
        <w:t xml:space="preserve"> formy financování jednotlivých socioekonomických cílů</w:t>
      </w:r>
      <w:r w:rsidR="007D5C20">
        <w:t>,</w:t>
      </w:r>
      <w:r w:rsidR="00630DEB">
        <w:t xml:space="preserve"> je důležité</w:t>
      </w:r>
      <w:r w:rsidR="007D5C20">
        <w:t>,</w:t>
      </w:r>
      <w:r w:rsidR="00630DEB">
        <w:t xml:space="preserve"> kdo (jaká rozpočtová kapitola) daný cíl financuje a kdo je příjemcem přímé veřejné podpory VaV. </w:t>
      </w:r>
      <w:r w:rsidR="007E776A">
        <w:t>V</w:t>
      </w:r>
      <w:r w:rsidR="00383823">
        <w:t> </w:t>
      </w:r>
      <w:r w:rsidR="007E776A">
        <w:t>případě</w:t>
      </w:r>
      <w:r w:rsidR="00383823">
        <w:t xml:space="preserve"> SEO 12 – </w:t>
      </w:r>
      <w:r w:rsidR="00FD21EC" w:rsidRPr="00FD21EC">
        <w:t>Všeobecný rozvoj znalostí na vysokých školách financovaný z i</w:t>
      </w:r>
      <w:r w:rsidR="00FC49B9">
        <w:t>nstitucionálních prostředků</w:t>
      </w:r>
      <w:r w:rsidR="00FD21EC" w:rsidRPr="00FD21EC">
        <w:t xml:space="preserve"> na VaV</w:t>
      </w:r>
      <w:r w:rsidR="00FD21EC">
        <w:t xml:space="preserve">, kam spadá </w:t>
      </w:r>
      <w:r w:rsidR="007E776A">
        <w:t xml:space="preserve">podpora </w:t>
      </w:r>
      <w:r w:rsidR="007E776A">
        <w:lastRenderedPageBreak/>
        <w:t>dlouhodobého koncepčního rozvoje výzkumné o</w:t>
      </w:r>
      <w:r w:rsidR="00383823">
        <w:t>rganizace a specifického vysokoškolského výzkumu</w:t>
      </w:r>
      <w:r w:rsidR="00FD21EC">
        <w:t>,</w:t>
      </w:r>
      <w:r w:rsidR="007E776A">
        <w:t xml:space="preserve"> je jedinou formu financování institucionální podpora VaV.</w:t>
      </w:r>
      <w:r w:rsidR="00E360C1">
        <w:t xml:space="preserve"> Naopak výzkum a vývoj týkající se obrany je dominantně (z 95%) financován prostřednictvím účelové formy podpory.</w:t>
      </w:r>
      <w:r w:rsidR="00C01FBC">
        <w:t xml:space="preserve"> Účelová forma </w:t>
      </w:r>
      <w:r w:rsidR="00FD21EC">
        <w:t xml:space="preserve">výrazně </w:t>
      </w:r>
      <w:r w:rsidR="00C01FBC">
        <w:t xml:space="preserve">převládá </w:t>
      </w:r>
      <w:r w:rsidR="00FD21EC">
        <w:t xml:space="preserve">nad institucionální </w:t>
      </w:r>
      <w:r w:rsidR="00C01FBC">
        <w:t>také u</w:t>
      </w:r>
      <w:r w:rsidR="00F6017F">
        <w:t xml:space="preserve"> výzkum</w:t>
      </w:r>
      <w:r w:rsidR="00C01FBC">
        <w:t>u</w:t>
      </w:r>
      <w:r w:rsidR="00F6017F">
        <w:t xml:space="preserve"> a vývoj</w:t>
      </w:r>
      <w:r w:rsidR="00C01FBC">
        <w:t>e prováděného</w:t>
      </w:r>
      <w:r w:rsidR="00F6017F">
        <w:t xml:space="preserve"> v rámci socioekonomických cílů </w:t>
      </w:r>
      <w:r w:rsidR="00383823">
        <w:t xml:space="preserve">SEO 04 – </w:t>
      </w:r>
      <w:r w:rsidR="00F6017F" w:rsidRPr="00F6017F">
        <w:t>Doprava, telekomunikace a ostatní infrastruktura</w:t>
      </w:r>
      <w:r w:rsidR="00F6017F">
        <w:t xml:space="preserve"> a </w:t>
      </w:r>
      <w:r w:rsidR="00383823">
        <w:t xml:space="preserve">SEO 06 – </w:t>
      </w:r>
      <w:r w:rsidR="00F6017F" w:rsidRPr="00F6017F">
        <w:t>Průmyslová výroba a technologie</w:t>
      </w:r>
      <w:r w:rsidR="00F6017F">
        <w:t xml:space="preserve"> je z převážné části financován pomocí účelové podpory. </w:t>
      </w:r>
      <w:r w:rsidR="00FC49B9">
        <w:t xml:space="preserve">V cíli </w:t>
      </w:r>
      <w:r w:rsidR="00383823">
        <w:t xml:space="preserve">SEO 13 – </w:t>
      </w:r>
      <w:r w:rsidR="00F6017F">
        <w:t>Všeobecný rozvoj znalostí</w:t>
      </w:r>
      <w:r w:rsidR="00FC49B9">
        <w:t xml:space="preserve"> </w:t>
      </w:r>
      <w:r w:rsidR="00383823">
        <w:t>financovaný</w:t>
      </w:r>
      <w:r w:rsidR="00F6017F" w:rsidRPr="00F6017F">
        <w:t xml:space="preserve"> z ostatních zdrojů</w:t>
      </w:r>
      <w:r w:rsidR="00FC49B9">
        <w:t xml:space="preserve"> na VaV</w:t>
      </w:r>
      <w:r w:rsidR="00F6017F">
        <w:t xml:space="preserve"> je podíl institucionální podpory a účelové podpory téměř vyrovnaný. Svou roli zde hraje Akademie věd ČR a podpora jejich ústavů, které je realizována institucionální formou.</w:t>
      </w:r>
      <w:r w:rsidR="00B27479">
        <w:t xml:space="preserve"> Situace v ostatních socioekonomických cílech ukazuje následující graf.</w:t>
      </w:r>
      <w:r w:rsidR="00F6017F">
        <w:t xml:space="preserve">  </w:t>
      </w:r>
    </w:p>
    <w:p w:rsidR="005927F3" w:rsidRPr="00CB6838" w:rsidRDefault="005927F3" w:rsidP="005927F3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E06C2A">
        <w:rPr>
          <w:b/>
        </w:rPr>
        <w:t xml:space="preserve">-8: Struktura </w:t>
      </w:r>
      <w:r>
        <w:rPr>
          <w:b/>
        </w:rPr>
        <w:t>s</w:t>
      </w:r>
      <w:r w:rsidRPr="00BF1D6C">
        <w:rPr>
          <w:b/>
        </w:rPr>
        <w:t>tátní</w:t>
      </w:r>
      <w:r>
        <w:rPr>
          <w:b/>
        </w:rPr>
        <w:t>ch</w:t>
      </w:r>
      <w:r w:rsidRPr="00BF1D6C">
        <w:rPr>
          <w:b/>
        </w:rPr>
        <w:t xml:space="preserve"> rozpočtov</w:t>
      </w:r>
      <w:r>
        <w:rPr>
          <w:b/>
        </w:rPr>
        <w:t>ých</w:t>
      </w:r>
      <w:r w:rsidRPr="00BF1D6C">
        <w:rPr>
          <w:b/>
        </w:rPr>
        <w:t xml:space="preserve"> výdaj</w:t>
      </w:r>
      <w:r>
        <w:rPr>
          <w:b/>
        </w:rPr>
        <w:t>ů</w:t>
      </w:r>
      <w:r w:rsidRPr="00BF1D6C">
        <w:rPr>
          <w:b/>
        </w:rPr>
        <w:t xml:space="preserve"> na VaV</w:t>
      </w:r>
      <w:r w:rsidRPr="00E06C2A">
        <w:rPr>
          <w:b/>
        </w:rPr>
        <w:t xml:space="preserve"> </w:t>
      </w:r>
      <w:r>
        <w:rPr>
          <w:b/>
        </w:rPr>
        <w:t xml:space="preserve">v ČR </w:t>
      </w:r>
      <w:r w:rsidRPr="00E06C2A">
        <w:rPr>
          <w:b/>
        </w:rPr>
        <w:t>podle hlavních socioekonomických cílů a</w:t>
      </w:r>
      <w:r w:rsidR="00A46A54">
        <w:rPr>
          <w:b/>
        </w:rPr>
        <w:t> formy podpory; 2020</w:t>
      </w:r>
    </w:p>
    <w:p w:rsidR="005927F3" w:rsidRDefault="00663523" w:rsidP="005927F3">
      <w:pPr>
        <w:spacing w:before="120" w:after="120"/>
        <w:jc w:val="both"/>
      </w:pPr>
      <w:r>
        <w:rPr>
          <w:noProof/>
        </w:rPr>
        <w:drawing>
          <wp:inline distT="0" distB="0" distL="0" distR="0" wp14:anchorId="648D5322" wp14:editId="547C9389">
            <wp:extent cx="6077667" cy="3812117"/>
            <wp:effectExtent l="0" t="0" r="0" b="0"/>
            <wp:docPr id="48" name="Graf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46A54" w:rsidRPr="008920C9" w:rsidRDefault="00A46A54" w:rsidP="00A46A54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>
        <w:rPr>
          <w:sz w:val="22"/>
        </w:rPr>
        <w:t xml:space="preserve">.2 </w:t>
      </w:r>
      <w:r w:rsidR="00ED008B">
        <w:rPr>
          <w:sz w:val="22"/>
        </w:rPr>
        <w:t>Všeobecný rozvoj znalostí</w:t>
      </w:r>
      <w:r w:rsidR="00B17F05">
        <w:rPr>
          <w:sz w:val="22"/>
        </w:rPr>
        <w:t xml:space="preserve"> (SEO 12 + SEO 13)</w:t>
      </w:r>
    </w:p>
    <w:p w:rsidR="00A46A54" w:rsidRPr="00A46A54" w:rsidRDefault="00475C32" w:rsidP="00A46A54">
      <w:pPr>
        <w:spacing w:before="120"/>
        <w:jc w:val="both"/>
      </w:pPr>
      <w:r>
        <w:t>Více než polovina</w:t>
      </w:r>
      <w:r w:rsidR="00A46A54" w:rsidRPr="00E163E5">
        <w:t xml:space="preserve"> finančních prostředků vyčleněných ze státního rozpočtu na podporu výzkumu a vývoje byla určena</w:t>
      </w:r>
      <w:r w:rsidR="002F52F4">
        <w:t xml:space="preserve"> na</w:t>
      </w:r>
      <w:r w:rsidR="00A46A54" w:rsidRPr="00E163E5">
        <w:t xml:space="preserve"> </w:t>
      </w:r>
      <w:r>
        <w:rPr>
          <w:b/>
        </w:rPr>
        <w:t>všeobecný rozvoj</w:t>
      </w:r>
      <w:r w:rsidR="002C2CF8">
        <w:rPr>
          <w:b/>
        </w:rPr>
        <w:t xml:space="preserve"> znalostí (SEO 12+13</w:t>
      </w:r>
      <w:r w:rsidR="00A46A54" w:rsidRPr="00E163E5">
        <w:rPr>
          <w:b/>
        </w:rPr>
        <w:t>).</w:t>
      </w:r>
      <w:r w:rsidR="00A46A54" w:rsidRPr="00E163E5">
        <w:t xml:space="preserve"> Částka </w:t>
      </w:r>
      <w:r>
        <w:t>22,1</w:t>
      </w:r>
      <w:r w:rsidR="00E93654">
        <w:t xml:space="preserve"> mld. Kč, která byla v roce 2020</w:t>
      </w:r>
      <w:r w:rsidR="00A46A54" w:rsidRPr="00E163E5">
        <w:t xml:space="preserve"> za tímto </w:t>
      </w:r>
      <w:r w:rsidR="00A46A54">
        <w:t xml:space="preserve">účelem </w:t>
      </w:r>
      <w:r>
        <w:t>rozdělena, představuje 58</w:t>
      </w:r>
      <w:r w:rsidR="00A46A54" w:rsidRPr="00E163E5">
        <w:t> %</w:t>
      </w:r>
      <w:r w:rsidR="00A46A54">
        <w:t xml:space="preserve"> z</w:t>
      </w:r>
      <w:r w:rsidR="00A46A54" w:rsidRPr="00E163E5">
        <w:t xml:space="preserve"> </w:t>
      </w:r>
      <w:r w:rsidR="00A46A54">
        <w:t>celkových státních rozpočtových výdajů na VaV (GBARD) v ČR.</w:t>
      </w:r>
      <w:r w:rsidR="00A46A54" w:rsidRPr="00E163E5">
        <w:t xml:space="preserve"> Pro výzkumné činnosti klasifikované</w:t>
      </w:r>
      <w:r>
        <w:t xml:space="preserve"> v rámci všeobecného rozvoje znalostí</w:t>
      </w:r>
      <w:r w:rsidR="00A46A54" w:rsidRPr="00E163E5">
        <w:t xml:space="preserve"> je charakteristické, že nemají jednoznačně stanovené oblasti výzkumu (nejsou u nich určeny cíle a priority). Tím se zásadně odlišují např. od oblasti </w:t>
      </w:r>
      <w:r w:rsidR="00A46A54">
        <w:t xml:space="preserve">VaV </w:t>
      </w:r>
      <w:r w:rsidR="00A46A54" w:rsidRPr="00E163E5">
        <w:t>průmyslové vý</w:t>
      </w:r>
      <w:r w:rsidR="00E93654">
        <w:t>roby a technologií podpořené Ministerstvem průmyslu a obchodu nebo zdravotnického výzkumu podpořeného Ministerstvem zdravotnictví.</w:t>
      </w:r>
      <w:r w:rsidR="00346E53">
        <w:t xml:space="preserve"> Převážně se</w:t>
      </w:r>
      <w:r w:rsidR="00346E53" w:rsidRPr="00346E53">
        <w:t xml:space="preserve"> jedná o podporu aktivit spadajících pod </w:t>
      </w:r>
      <w:r w:rsidR="00346E53" w:rsidRPr="00FC49B9">
        <w:rPr>
          <w:b/>
        </w:rPr>
        <w:t>základní výzkum</w:t>
      </w:r>
      <w:r w:rsidR="00346E53" w:rsidRPr="00346E53">
        <w:t>.</w:t>
      </w:r>
    </w:p>
    <w:p w:rsidR="00346E53" w:rsidRDefault="002C2CF8" w:rsidP="005927F3">
      <w:pPr>
        <w:spacing w:before="120" w:after="120"/>
        <w:jc w:val="both"/>
      </w:pPr>
      <w:r>
        <w:t>V rámci všeobecného rozvoje znalostí bylo alokováno více prost</w:t>
      </w:r>
      <w:r w:rsidR="001A2FD2">
        <w:t xml:space="preserve">ředků, konkrétně 13,1 mld. Kč, </w:t>
      </w:r>
      <w:r>
        <w:t>do výzkumu a vývoje financovaného z ostatních zdrojů než do</w:t>
      </w:r>
      <w:r w:rsidR="004B0DDF">
        <w:t xml:space="preserve"> VaV</w:t>
      </w:r>
      <w:r>
        <w:t xml:space="preserve"> </w:t>
      </w:r>
      <w:r w:rsidR="004B0DDF">
        <w:t>na vysokých školách financovaného</w:t>
      </w:r>
      <w:r w:rsidR="004B0DDF" w:rsidRPr="004B0DDF">
        <w:t xml:space="preserve"> z instituc</w:t>
      </w:r>
      <w:r w:rsidR="00FC49B9">
        <w:t>ionálních prostředků</w:t>
      </w:r>
      <w:r w:rsidR="004B0DDF" w:rsidRPr="004B0DDF">
        <w:t xml:space="preserve"> </w:t>
      </w:r>
      <w:r>
        <w:t>(9 mld</w:t>
      </w:r>
      <w:r w:rsidR="00183C69">
        <w:t>. </w:t>
      </w:r>
      <w:r w:rsidR="007B2A7D">
        <w:t>Kč). VaV</w:t>
      </w:r>
      <w:r>
        <w:t xml:space="preserve"> financovaný z ostatních zdrojů </w:t>
      </w:r>
      <w:r w:rsidR="007B2A7D">
        <w:t xml:space="preserve">se </w:t>
      </w:r>
      <w:r>
        <w:t>tak v roce 2020 podílel z jedné třetiny na celkov</w:t>
      </w:r>
      <w:r w:rsidR="008B65BB">
        <w:t>ých státních rozpočtových výdajích</w:t>
      </w:r>
      <w:r w:rsidR="00346E53">
        <w:t xml:space="preserve"> na VaV. V příp</w:t>
      </w:r>
      <w:r w:rsidR="007B2A7D">
        <w:t xml:space="preserve">adě </w:t>
      </w:r>
      <w:r w:rsidR="009043DF" w:rsidRPr="009043DF">
        <w:t>VaV na vysokých školách financovaného z i</w:t>
      </w:r>
      <w:r w:rsidR="00FC49B9">
        <w:t>nstitucionálních prostředků</w:t>
      </w:r>
      <w:r w:rsidR="009043DF" w:rsidRPr="009043DF">
        <w:t xml:space="preserve"> </w:t>
      </w:r>
      <w:r w:rsidR="00346E53">
        <w:t xml:space="preserve">tento podíl činil 23,6 %. </w:t>
      </w:r>
      <w:r w:rsidR="005927F3" w:rsidRPr="000536D9">
        <w:t xml:space="preserve">Jedná se o socioekonomický cíl sdružující dle metodiky </w:t>
      </w:r>
      <w:r w:rsidR="005927F3" w:rsidRPr="000536D9">
        <w:lastRenderedPageBreak/>
        <w:t>klasifikace NABS pouze institucionální prostředky směřující na podporu výzkumu na vysokých školách (dlouhodobý koncepční rozvoj výzkumných organizací</w:t>
      </w:r>
      <w:r w:rsidR="007B2A7D">
        <w:t xml:space="preserve"> a specifický vysokoškolský výzkum</w:t>
      </w:r>
      <w:r w:rsidR="005927F3" w:rsidRPr="000536D9">
        <w:t xml:space="preserve">). </w:t>
      </w:r>
    </w:p>
    <w:p w:rsidR="005927F3" w:rsidRPr="001F71C2" w:rsidRDefault="00D567E2" w:rsidP="005927F3">
      <w:pPr>
        <w:spacing w:before="120" w:after="120"/>
        <w:jc w:val="both"/>
      </w:pPr>
      <w:r w:rsidRPr="001F71C2">
        <w:rPr>
          <w:b/>
        </w:rPr>
        <w:t xml:space="preserve">Všeobecný rozvoj znalostí </w:t>
      </w:r>
      <w:r w:rsidR="005927F3" w:rsidRPr="001F71C2">
        <w:rPr>
          <w:b/>
        </w:rPr>
        <w:t>se dále člení podle vědních oblastí.</w:t>
      </w:r>
      <w:r w:rsidR="005927F3" w:rsidRPr="001F71C2">
        <w:t xml:space="preserve"> </w:t>
      </w:r>
      <w:r w:rsidR="00973006" w:rsidRPr="001F71C2">
        <w:t>Více než polovina státních rozpočtových výdajů na VaV</w:t>
      </w:r>
      <w:r w:rsidR="003F64C1" w:rsidRPr="001F71C2">
        <w:t xml:space="preserve"> směřovala</w:t>
      </w:r>
      <w:r w:rsidR="00973006" w:rsidRPr="001F71C2">
        <w:t xml:space="preserve"> v rámci všeobecného rozvoje znalostí do oblasti </w:t>
      </w:r>
      <w:r w:rsidR="00973006" w:rsidRPr="009F58E7">
        <w:rPr>
          <w:b/>
        </w:rPr>
        <w:t>přírodních věd</w:t>
      </w:r>
      <w:r w:rsidR="00973006" w:rsidRPr="001F71C2">
        <w:t>.</w:t>
      </w:r>
      <w:r w:rsidR="006500A3">
        <w:t xml:space="preserve"> Jednalo</w:t>
      </w:r>
      <w:r w:rsidR="009A2A52" w:rsidRPr="001F71C2">
        <w:t xml:space="preserve"> se o 13 mld. Kč, z toho pak prostřednictvím</w:t>
      </w:r>
      <w:r w:rsidR="00B10968">
        <w:t xml:space="preserve"> </w:t>
      </w:r>
      <w:r w:rsidR="009F58E7" w:rsidRPr="009F58E7">
        <w:t xml:space="preserve">institucionální podpory VaV na vysokých školách </w:t>
      </w:r>
      <w:r w:rsidR="009A2A52" w:rsidRPr="001F71C2">
        <w:t xml:space="preserve">šlo 3,8 mld. Kč. Řádově méně </w:t>
      </w:r>
      <w:r w:rsidR="001F71C2" w:rsidRPr="001F71C2">
        <w:t xml:space="preserve">(2,6 mld. Kč) </w:t>
      </w:r>
      <w:r w:rsidR="009A2A52" w:rsidRPr="001F71C2">
        <w:t xml:space="preserve">směřovalo do </w:t>
      </w:r>
      <w:r w:rsidR="005927F3" w:rsidRPr="001F71C2">
        <w:t xml:space="preserve">oblasti </w:t>
      </w:r>
      <w:r w:rsidR="009A2A52" w:rsidRPr="001F71C2">
        <w:t xml:space="preserve">výzkumu a vývoje prováděného v </w:t>
      </w:r>
      <w:r w:rsidR="005927F3" w:rsidRPr="009F58E7">
        <w:rPr>
          <w:b/>
        </w:rPr>
        <w:t>technických věd</w:t>
      </w:r>
      <w:r w:rsidR="009A2A52" w:rsidRPr="009F58E7">
        <w:rPr>
          <w:b/>
        </w:rPr>
        <w:t>ách</w:t>
      </w:r>
      <w:r w:rsidR="009A2A52" w:rsidRPr="001F71C2">
        <w:t>.</w:t>
      </w:r>
      <w:r w:rsidR="0063561B">
        <w:t xml:space="preserve"> Následují humanitní vědy (2,3 mld. Kč) a sociální vědy (1,9 mld. Kč)</w:t>
      </w:r>
      <w:r w:rsidR="00D13AC1">
        <w:t xml:space="preserve">. Nejméně státních rozpočtových prostředků na VaV v rámci všeobecného rozvoje znalostí směřovalo do lékařského výzkumu (1,8 mld. </w:t>
      </w:r>
      <w:r w:rsidR="00F06A90">
        <w:t>K</w:t>
      </w:r>
      <w:r w:rsidR="00D13AC1">
        <w:t>č) a zemědělského výzkumu (0,5 mld. Kč)</w:t>
      </w:r>
      <w:r w:rsidR="00F06A90">
        <w:t>. Jedná se o výz</w:t>
      </w:r>
      <w:r w:rsidR="006500A3">
        <w:t>kum, který nebyl klasifikován do</w:t>
      </w:r>
      <w:r w:rsidR="00F06A90">
        <w:t xml:space="preserve"> příslušných socioekonomických cílů (Zdraví, Zemědělství), protože nebyl financován příslušnými rozpočtovými kapitolami a </w:t>
      </w:r>
      <w:r w:rsidR="006500A3">
        <w:t xml:space="preserve">svou povahou se jedná </w:t>
      </w:r>
      <w:r w:rsidR="00F06A90">
        <w:t>o mezní (mezioborový) výzkum.</w:t>
      </w:r>
    </w:p>
    <w:p w:rsidR="005927F3" w:rsidRPr="00CB6838" w:rsidRDefault="005927F3" w:rsidP="005927F3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0536D9">
        <w:rPr>
          <w:b/>
        </w:rPr>
        <w:t>-</w:t>
      </w:r>
      <w:r>
        <w:rPr>
          <w:b/>
        </w:rPr>
        <w:t>9</w:t>
      </w:r>
      <w:r w:rsidRPr="000536D9">
        <w:rPr>
          <w:b/>
        </w:rPr>
        <w:t xml:space="preserve">: Státní rozpočtové výdaje na VaV v ČR na </w:t>
      </w:r>
      <w:r w:rsidR="00455A04" w:rsidRPr="00455A04">
        <w:rPr>
          <w:b/>
        </w:rPr>
        <w:t>všeobecný rozvoj znalostí</w:t>
      </w:r>
      <w:r w:rsidR="00455A04">
        <w:rPr>
          <w:b/>
        </w:rPr>
        <w:t xml:space="preserve"> (SEO 12 +SEO 13)</w:t>
      </w:r>
      <w:r w:rsidRPr="000536D9">
        <w:rPr>
          <w:b/>
        </w:rPr>
        <w:t xml:space="preserve"> podle vědních ob</w:t>
      </w:r>
      <w:r w:rsidR="00455A04">
        <w:rPr>
          <w:b/>
        </w:rPr>
        <w:t>lastí; 2020</w:t>
      </w:r>
      <w:r w:rsidRPr="000536D9">
        <w:rPr>
          <w:b/>
        </w:rPr>
        <w:t xml:space="preserve"> (mil. Kč; %*)</w:t>
      </w:r>
    </w:p>
    <w:p w:rsidR="005927F3" w:rsidRDefault="008F6626" w:rsidP="005927F3">
      <w:pPr>
        <w:spacing w:before="120" w:after="120"/>
        <w:jc w:val="both"/>
      </w:pPr>
      <w:r>
        <w:rPr>
          <w:noProof/>
        </w:rPr>
        <w:drawing>
          <wp:inline distT="0" distB="0" distL="0" distR="0" wp14:anchorId="36E3B21D" wp14:editId="00027486">
            <wp:extent cx="6120000" cy="3456000"/>
            <wp:effectExtent l="0" t="0" r="0" b="0"/>
            <wp:docPr id="35" name="Graf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927F3" w:rsidRPr="00F40FF7" w:rsidRDefault="005927F3" w:rsidP="005927F3">
      <w:pPr>
        <w:spacing w:before="120" w:after="120"/>
        <w:jc w:val="both"/>
        <w:rPr>
          <w:i/>
          <w:sz w:val="18"/>
        </w:rPr>
      </w:pPr>
      <w:r w:rsidRPr="00F40FF7">
        <w:rPr>
          <w:i/>
          <w:sz w:val="18"/>
        </w:rPr>
        <w:t xml:space="preserve">*Procentuální podíl dané vědní oblasti na celkových výdajích na VaV ze státního rozpočtu směřujících do </w:t>
      </w:r>
      <w:r w:rsidR="00455A04">
        <w:rPr>
          <w:i/>
          <w:sz w:val="18"/>
        </w:rPr>
        <w:t>všeobecného</w:t>
      </w:r>
      <w:r w:rsidR="00455A04" w:rsidRPr="00455A04">
        <w:rPr>
          <w:i/>
          <w:sz w:val="18"/>
        </w:rPr>
        <w:t xml:space="preserve"> r</w:t>
      </w:r>
      <w:r w:rsidR="00455A04">
        <w:rPr>
          <w:i/>
          <w:sz w:val="18"/>
        </w:rPr>
        <w:t>ozvoje znalostí (SEO 12 +SEO 13) celkem v roce 2020</w:t>
      </w:r>
      <w:r w:rsidRPr="00F40FF7">
        <w:rPr>
          <w:i/>
          <w:sz w:val="18"/>
        </w:rPr>
        <w:t xml:space="preserve"> </w:t>
      </w:r>
    </w:p>
    <w:p w:rsidR="005927F3" w:rsidRPr="00B53BBB" w:rsidRDefault="005927F3" w:rsidP="005927F3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48537A">
        <w:rPr>
          <w:sz w:val="22"/>
        </w:rPr>
        <w:t>.3</w:t>
      </w:r>
      <w:r>
        <w:rPr>
          <w:sz w:val="22"/>
        </w:rPr>
        <w:t xml:space="preserve"> Průmyslová výroba a technologie </w:t>
      </w:r>
      <w:r w:rsidR="00806C4D">
        <w:rPr>
          <w:sz w:val="22"/>
        </w:rPr>
        <w:t xml:space="preserve">(SEO 06) </w:t>
      </w:r>
    </w:p>
    <w:p w:rsidR="005927F3" w:rsidRDefault="005927F3" w:rsidP="005927F3">
      <w:pPr>
        <w:spacing w:before="120" w:after="120"/>
        <w:jc w:val="both"/>
      </w:pPr>
      <w:r w:rsidRPr="000536D9">
        <w:t>Z jednoznačně specifikovaných cíl</w:t>
      </w:r>
      <w:r>
        <w:t>ů směřovala nejvyšší část veřejné</w:t>
      </w:r>
      <w:r w:rsidRPr="000536D9">
        <w:t xml:space="preserve"> podpory VaV do oblasti </w:t>
      </w:r>
      <w:r w:rsidRPr="000536D9">
        <w:rPr>
          <w:b/>
        </w:rPr>
        <w:t>průmyslové výroby a technologi</w:t>
      </w:r>
      <w:r w:rsidR="00246EE1">
        <w:rPr>
          <w:b/>
        </w:rPr>
        <w:t>í</w:t>
      </w:r>
      <w:r w:rsidRPr="000536D9">
        <w:t xml:space="preserve">. Celkem byl výzkum a vývoj v oblasti průmyslové výroby podpořen částkou </w:t>
      </w:r>
      <w:r w:rsidR="00246EE1">
        <w:rPr>
          <w:b/>
        </w:rPr>
        <w:t>4,5</w:t>
      </w:r>
      <w:r w:rsidR="00B40FB3">
        <w:rPr>
          <w:b/>
        </w:rPr>
        <w:t> </w:t>
      </w:r>
      <w:r>
        <w:rPr>
          <w:b/>
        </w:rPr>
        <w:t>mld.</w:t>
      </w:r>
      <w:r w:rsidR="00246EE1">
        <w:rPr>
          <w:b/>
        </w:rPr>
        <w:t> </w:t>
      </w:r>
      <w:r w:rsidRPr="002D392A">
        <w:rPr>
          <w:b/>
        </w:rPr>
        <w:t>Kč</w:t>
      </w:r>
      <w:r w:rsidR="004E624F">
        <w:rPr>
          <w:rStyle w:val="Znakapoznpodarou"/>
          <w:b/>
        </w:rPr>
        <w:footnoteReference w:id="15"/>
      </w:r>
      <w:r w:rsidRPr="000536D9">
        <w:t xml:space="preserve">, odpovídající </w:t>
      </w:r>
      <w:r w:rsidRPr="002D392A">
        <w:rPr>
          <w:b/>
        </w:rPr>
        <w:t>11</w:t>
      </w:r>
      <w:r w:rsidR="00246EE1">
        <w:rPr>
          <w:b/>
        </w:rPr>
        <w:t>,7</w:t>
      </w:r>
      <w:r w:rsidRPr="002D392A">
        <w:rPr>
          <w:b/>
        </w:rPr>
        <w:t> %</w:t>
      </w:r>
      <w:r w:rsidRPr="000536D9">
        <w:t xml:space="preserve"> celkových </w:t>
      </w:r>
      <w:r w:rsidR="00A94C03">
        <w:t>státních rozpočtových prostředků na VaV</w:t>
      </w:r>
      <w:r w:rsidRPr="000536D9">
        <w:t xml:space="preserve">. </w:t>
      </w:r>
    </w:p>
    <w:p w:rsidR="00717A5F" w:rsidRDefault="005927F3" w:rsidP="005927F3">
      <w:pPr>
        <w:spacing w:before="120" w:after="120"/>
        <w:jc w:val="both"/>
      </w:pPr>
      <w:r w:rsidRPr="000536D9">
        <w:lastRenderedPageBreak/>
        <w:t>Jak již bylo řeče</w:t>
      </w:r>
      <w:r w:rsidR="00717A5F">
        <w:t>no, z hlediska formy veřejné podpory</w:t>
      </w:r>
      <w:r w:rsidRPr="000536D9">
        <w:t xml:space="preserve"> zde jednoznačně pře</w:t>
      </w:r>
      <w:r w:rsidR="00782DFF">
        <w:t>važovalo účelové financování (87</w:t>
      </w:r>
      <w:r w:rsidRPr="000536D9">
        <w:t xml:space="preserve"> %). Pro daný socioekonomický cíl jsou charakteristické činnosti spojené s aplikovaným výzkumem a experimentálním vývojem v oblasti průmyslové výroby a technologií. </w:t>
      </w:r>
    </w:p>
    <w:p w:rsidR="00782DFF" w:rsidRDefault="00E8126C" w:rsidP="005927F3">
      <w:pPr>
        <w:spacing w:before="120" w:after="120"/>
        <w:jc w:val="both"/>
      </w:pPr>
      <w:r>
        <w:t>Soukromé podniky v rámci tohoto socioekonomického cíle získaly</w:t>
      </w:r>
      <w:r w:rsidR="007021D6">
        <w:t xml:space="preserve"> téměř polovinu prostředků, konkrétně </w:t>
      </w:r>
      <w:r w:rsidR="005E2731">
        <w:t>2,2 </w:t>
      </w:r>
      <w:r w:rsidR="007021D6">
        <w:t>mld. Kč.</w:t>
      </w:r>
      <w:r w:rsidR="002D1CCD">
        <w:t xml:space="preserve"> V této kategorii byly dominantními příjemci soukromé národní podniky, kterým stát přispěl na  provádění průmys</w:t>
      </w:r>
      <w:r w:rsidR="005B73A6">
        <w:t>lového výzkumu a vývoje částkou</w:t>
      </w:r>
      <w:r w:rsidR="002D1CCD">
        <w:t xml:space="preserve"> 1</w:t>
      </w:r>
      <w:r w:rsidR="00793056">
        <w:t>,9 mld</w:t>
      </w:r>
      <w:r w:rsidR="002D1CCD">
        <w:t xml:space="preserve">. Kč. </w:t>
      </w:r>
      <w:r w:rsidR="006656AA">
        <w:t>U soukromých zahraničníc</w:t>
      </w:r>
      <w:r w:rsidR="005B73A6">
        <w:t>h podniků to bylo 8krát</w:t>
      </w:r>
      <w:r w:rsidR="006656AA">
        <w:t xml:space="preserve"> méně.</w:t>
      </w:r>
      <w:r w:rsidR="00B40FB3">
        <w:t xml:space="preserve"> </w:t>
      </w:r>
      <w:r w:rsidR="006B79FF">
        <w:t>Na průmyslovém VaV, zejména pak ve spolupráci s podniky, se také podílely veřejné vysoké škol</w:t>
      </w:r>
      <w:r w:rsidR="00B40FB3">
        <w:t xml:space="preserve">y, které získaly </w:t>
      </w:r>
      <w:r w:rsidR="00F71C32">
        <w:t>1</w:t>
      </w:r>
      <w:r w:rsidR="00793056">
        <w:t>,5 mld</w:t>
      </w:r>
      <w:r w:rsidR="00F71C32">
        <w:t>. Kč</w:t>
      </w:r>
      <w:r w:rsidR="006B79FF">
        <w:t xml:space="preserve">. U veřejných výzkumných institucí to bylo řádově méně (191 mil. Kč).  </w:t>
      </w:r>
    </w:p>
    <w:p w:rsidR="005927F3" w:rsidRPr="00CB6838" w:rsidRDefault="005927F3" w:rsidP="005927F3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>
        <w:rPr>
          <w:b/>
        </w:rPr>
        <w:t>10</w:t>
      </w:r>
      <w:r w:rsidRPr="00C71B43">
        <w:rPr>
          <w:b/>
        </w:rPr>
        <w:t xml:space="preserve">: </w:t>
      </w:r>
      <w:r w:rsidRPr="000536D9">
        <w:rPr>
          <w:b/>
        </w:rPr>
        <w:t xml:space="preserve">Státní rozpočtové výdaje na VaV v ČR </w:t>
      </w:r>
      <w:r>
        <w:rPr>
          <w:b/>
        </w:rPr>
        <w:t>směřující do oblasti průmyslové výroby a technologií</w:t>
      </w:r>
      <w:r w:rsidR="0078395A">
        <w:rPr>
          <w:b/>
        </w:rPr>
        <w:t xml:space="preserve"> (SEO 06</w:t>
      </w:r>
      <w:r w:rsidRPr="00C71B43">
        <w:rPr>
          <w:b/>
        </w:rPr>
        <w:t xml:space="preserve">) podle </w:t>
      </w:r>
      <w:r w:rsidR="0045596A">
        <w:rPr>
          <w:b/>
        </w:rPr>
        <w:t>hlavních příjemců;</w:t>
      </w:r>
      <w:r w:rsidRPr="00C71B43">
        <w:rPr>
          <w:b/>
        </w:rPr>
        <w:t xml:space="preserve"> </w:t>
      </w:r>
      <w:r w:rsidR="0078395A">
        <w:rPr>
          <w:b/>
        </w:rPr>
        <w:t>2020</w:t>
      </w:r>
      <w:r w:rsidRPr="00C71B43">
        <w:rPr>
          <w:b/>
        </w:rPr>
        <w:t xml:space="preserve"> (mil. Kč</w:t>
      </w:r>
      <w:r>
        <w:rPr>
          <w:b/>
        </w:rPr>
        <w:t>, %*</w:t>
      </w:r>
      <w:r w:rsidRPr="00C71B43">
        <w:rPr>
          <w:b/>
        </w:rPr>
        <w:t>)</w:t>
      </w:r>
    </w:p>
    <w:p w:rsidR="005927F3" w:rsidRDefault="00CE1658" w:rsidP="005927F3">
      <w:pPr>
        <w:spacing w:before="120" w:after="120"/>
        <w:jc w:val="both"/>
      </w:pPr>
      <w:r>
        <w:rPr>
          <w:noProof/>
        </w:rPr>
        <w:drawing>
          <wp:inline distT="0" distB="0" distL="0" distR="0" wp14:anchorId="7EF6E5A2" wp14:editId="29C7D993">
            <wp:extent cx="6120000" cy="2628000"/>
            <wp:effectExtent l="0" t="0" r="0" b="1270"/>
            <wp:docPr id="44" name="Graf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927F3" w:rsidRPr="00F40FF7" w:rsidRDefault="005927F3" w:rsidP="005927F3">
      <w:pPr>
        <w:spacing w:before="120" w:after="120"/>
        <w:jc w:val="both"/>
        <w:rPr>
          <w:i/>
          <w:sz w:val="18"/>
        </w:rPr>
      </w:pPr>
      <w:r w:rsidRPr="00F40FF7">
        <w:rPr>
          <w:i/>
          <w:sz w:val="18"/>
        </w:rPr>
        <w:t>*Proce</w:t>
      </w:r>
      <w:r>
        <w:rPr>
          <w:i/>
          <w:sz w:val="18"/>
        </w:rPr>
        <w:t xml:space="preserve">ntuální podíl </w:t>
      </w:r>
      <w:r w:rsidR="00CE1658">
        <w:rPr>
          <w:i/>
          <w:sz w:val="18"/>
        </w:rPr>
        <w:t xml:space="preserve">dané skupiny příjemců na státních rozpočtových výdajích na VaV </w:t>
      </w:r>
      <w:r w:rsidRPr="00F40FF7">
        <w:rPr>
          <w:i/>
          <w:sz w:val="18"/>
        </w:rPr>
        <w:t xml:space="preserve"> směřujících do </w:t>
      </w:r>
      <w:r>
        <w:rPr>
          <w:i/>
          <w:sz w:val="18"/>
        </w:rPr>
        <w:t>průmyslové výroby</w:t>
      </w:r>
      <w:r w:rsidR="00933F38">
        <w:rPr>
          <w:i/>
          <w:sz w:val="18"/>
        </w:rPr>
        <w:t xml:space="preserve"> a technologií</w:t>
      </w:r>
      <w:r w:rsidR="00750310">
        <w:rPr>
          <w:i/>
          <w:sz w:val="18"/>
        </w:rPr>
        <w:t xml:space="preserve"> v roce 2020</w:t>
      </w:r>
      <w:r w:rsidRPr="00F40FF7">
        <w:rPr>
          <w:i/>
          <w:sz w:val="18"/>
        </w:rPr>
        <w:t xml:space="preserve"> </w:t>
      </w:r>
    </w:p>
    <w:p w:rsidR="005927F3" w:rsidRPr="003274EF" w:rsidRDefault="005927F3" w:rsidP="005927F3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48537A">
        <w:rPr>
          <w:sz w:val="22"/>
        </w:rPr>
        <w:t>.4</w:t>
      </w:r>
      <w:r w:rsidR="00BA0867">
        <w:rPr>
          <w:sz w:val="22"/>
        </w:rPr>
        <w:t xml:space="preserve"> Z</w:t>
      </w:r>
      <w:r w:rsidRPr="003274EF">
        <w:rPr>
          <w:sz w:val="22"/>
        </w:rPr>
        <w:t>draví</w:t>
      </w:r>
      <w:r w:rsidR="00CC792D">
        <w:rPr>
          <w:sz w:val="22"/>
        </w:rPr>
        <w:t xml:space="preserve"> (SEO 07)</w:t>
      </w:r>
    </w:p>
    <w:p w:rsidR="00CC792D" w:rsidRDefault="005927F3" w:rsidP="005927F3">
      <w:pPr>
        <w:spacing w:before="120"/>
        <w:jc w:val="both"/>
      </w:pPr>
      <w:r w:rsidRPr="00835650">
        <w:t>Významný objem</w:t>
      </w:r>
      <w:r w:rsidR="00CC792D">
        <w:t xml:space="preserve"> veřejné podpory VaV v roce 2020</w:t>
      </w:r>
      <w:r w:rsidRPr="00835650">
        <w:t xml:space="preserve"> plynul do oblasti </w:t>
      </w:r>
      <w:r w:rsidRPr="00835650">
        <w:rPr>
          <w:b/>
        </w:rPr>
        <w:t>ochrany a zlepšování lidského zdraví</w:t>
      </w:r>
      <w:r w:rsidRPr="00835650">
        <w:t xml:space="preserve">. Jednalo se zejména o finanční prostředky z rozpočtu Ministerstva zdravotnictví. V souhrnu byly v oblasti související s výzkumem lidského zdraví rozděleny prostředky v celkové výši </w:t>
      </w:r>
      <w:r w:rsidR="00CC792D">
        <w:rPr>
          <w:b/>
        </w:rPr>
        <w:t>2,7</w:t>
      </w:r>
      <w:r w:rsidRPr="002D392A">
        <w:rPr>
          <w:b/>
        </w:rPr>
        <w:t xml:space="preserve"> </w:t>
      </w:r>
      <w:r>
        <w:rPr>
          <w:b/>
        </w:rPr>
        <w:t>mld.</w:t>
      </w:r>
      <w:r w:rsidRPr="002D392A">
        <w:rPr>
          <w:b/>
        </w:rPr>
        <w:t xml:space="preserve"> Kč</w:t>
      </w:r>
      <w:r w:rsidRPr="00835650">
        <w:t xml:space="preserve">, což odpovídá podílu </w:t>
      </w:r>
      <w:r w:rsidR="00CC792D">
        <w:rPr>
          <w:b/>
        </w:rPr>
        <w:t>7,1</w:t>
      </w:r>
      <w:r w:rsidRPr="002D392A">
        <w:rPr>
          <w:b/>
        </w:rPr>
        <w:t> %</w:t>
      </w:r>
      <w:r w:rsidR="00CC792D">
        <w:t xml:space="preserve"> z celkových státních rozpočtových výdajů na VaV</w:t>
      </w:r>
      <w:r w:rsidRPr="00835650">
        <w:t xml:space="preserve">. </w:t>
      </w:r>
    </w:p>
    <w:p w:rsidR="001D3A62" w:rsidRDefault="005927F3" w:rsidP="005927F3">
      <w:pPr>
        <w:spacing w:before="120"/>
        <w:jc w:val="both"/>
      </w:pPr>
      <w:r w:rsidRPr="00835650">
        <w:t>Příjemci těchto prostředků byly</w:t>
      </w:r>
      <w:r w:rsidR="00FA3BB0">
        <w:t xml:space="preserve"> z poloviny</w:t>
      </w:r>
      <w:r w:rsidRPr="00835650">
        <w:t xml:space="preserve"> převážně nemocnice</w:t>
      </w:r>
      <w:r w:rsidR="00F71C32">
        <w:t xml:space="preserve"> (1,4 mld. Kč)</w:t>
      </w:r>
      <w:r w:rsidRPr="00835650">
        <w:t>, zejména pa</w:t>
      </w:r>
      <w:r w:rsidR="00CC792D">
        <w:t>k fakultní nemocnice</w:t>
      </w:r>
      <w:r w:rsidR="00F71C32">
        <w:t xml:space="preserve"> (904 mil. Kč)</w:t>
      </w:r>
      <w:r w:rsidR="001D3A62">
        <w:t>.</w:t>
      </w:r>
    </w:p>
    <w:p w:rsidR="001D3A62" w:rsidRDefault="001D3A62" w:rsidP="005927F3">
      <w:pPr>
        <w:spacing w:before="120"/>
        <w:jc w:val="both"/>
      </w:pPr>
      <w:r w:rsidRPr="001D3A62">
        <w:t xml:space="preserve">Formou účelové podpory bylo čerpáno 73 % (2 mld. Kč) </w:t>
      </w:r>
      <w:r>
        <w:t>podpory zdravotnického výzkumu</w:t>
      </w:r>
      <w:r w:rsidRPr="001D3A62">
        <w:t xml:space="preserve">. Formou institucionální podpory bylo přijato zbývajících 27 % prostředků (723 mil. Kč). </w:t>
      </w:r>
    </w:p>
    <w:p w:rsidR="005927F3" w:rsidRDefault="005927F3" w:rsidP="005927F3">
      <w:pPr>
        <w:spacing w:before="120"/>
        <w:jc w:val="both"/>
      </w:pPr>
      <w:r w:rsidRPr="00835650">
        <w:t>Jak již bylo řečeno, lékařský výzkum je také klasifikován v rámci dříve jmenovaných socioekonomických cílů.</w:t>
      </w:r>
      <w:r>
        <w:t xml:space="preserve"> </w:t>
      </w:r>
      <w:r w:rsidRPr="003756CE">
        <w:t>Započteme-li také</w:t>
      </w:r>
      <w:r w:rsidR="00CC792D">
        <w:t xml:space="preserve"> lékařské vědy spadající do podcílů </w:t>
      </w:r>
      <w:r w:rsidR="00CC792D" w:rsidRPr="007E6B88">
        <w:t>Všeobec</w:t>
      </w:r>
      <w:r w:rsidR="00CC792D">
        <w:t>ného rozvoje znalostí, pak</w:t>
      </w:r>
      <w:r w:rsidRPr="003756CE">
        <w:t xml:space="preserve"> do výzkumu </w:t>
      </w:r>
      <w:r w:rsidR="00CC792D">
        <w:t>zdraví směřovalo v souhrnu 4,5</w:t>
      </w:r>
      <w:r>
        <w:t xml:space="preserve"> mld.</w:t>
      </w:r>
      <w:r w:rsidRPr="003756CE">
        <w:t xml:space="preserve"> Kč.</w:t>
      </w:r>
    </w:p>
    <w:p w:rsidR="005927F3" w:rsidRPr="003274EF" w:rsidRDefault="005927F3" w:rsidP="005927F3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48537A">
        <w:rPr>
          <w:sz w:val="22"/>
        </w:rPr>
        <w:t>.5</w:t>
      </w:r>
      <w:r>
        <w:rPr>
          <w:sz w:val="22"/>
        </w:rPr>
        <w:t xml:space="preserve"> </w:t>
      </w:r>
      <w:r w:rsidR="00BA0867" w:rsidRPr="00BA0867">
        <w:rPr>
          <w:sz w:val="22"/>
        </w:rPr>
        <w:t>Doprava, telekomunikace a ostatní infrastruktura</w:t>
      </w:r>
      <w:r w:rsidR="007815A1">
        <w:rPr>
          <w:sz w:val="22"/>
        </w:rPr>
        <w:t xml:space="preserve"> (SEO 04)</w:t>
      </w:r>
    </w:p>
    <w:p w:rsidR="00B23141" w:rsidRDefault="00AA5617" w:rsidP="005927F3">
      <w:pPr>
        <w:spacing w:before="120"/>
        <w:jc w:val="both"/>
      </w:pPr>
      <w:r>
        <w:t>V pořadí dalším ze </w:t>
      </w:r>
      <w:r w:rsidR="005927F3">
        <w:t xml:space="preserve">socioekonomických cílů, kam ze státního rozpočtu </w:t>
      </w:r>
      <w:r>
        <w:t>v roce 2020</w:t>
      </w:r>
      <w:r w:rsidR="005927F3" w:rsidRPr="006B6AF7">
        <w:t xml:space="preserve"> směřoval</w:t>
      </w:r>
      <w:r w:rsidR="005927F3">
        <w:t>a na VaV více než miliarda</w:t>
      </w:r>
      <w:r w:rsidR="0017289A">
        <w:t xml:space="preserve">, konkrétně </w:t>
      </w:r>
      <w:r w:rsidR="005927F3" w:rsidRPr="00835650">
        <w:rPr>
          <w:b/>
        </w:rPr>
        <w:t>1</w:t>
      </w:r>
      <w:r>
        <w:rPr>
          <w:b/>
        </w:rPr>
        <w:t>,7</w:t>
      </w:r>
      <w:r w:rsidR="005927F3">
        <w:rPr>
          <w:b/>
        </w:rPr>
        <w:t xml:space="preserve"> mld.</w:t>
      </w:r>
      <w:r w:rsidR="005927F3" w:rsidRPr="002363CD">
        <w:rPr>
          <w:b/>
        </w:rPr>
        <w:t> Kč</w:t>
      </w:r>
      <w:r w:rsidR="005927F3" w:rsidRPr="006B6AF7">
        <w:t>,</w:t>
      </w:r>
      <w:r w:rsidR="005927F3">
        <w:t xml:space="preserve"> byla oblast </w:t>
      </w:r>
      <w:r>
        <w:rPr>
          <w:b/>
        </w:rPr>
        <w:t>dopravy, telekomunikací a ostatní infrastruktury</w:t>
      </w:r>
      <w:r w:rsidR="005927F3">
        <w:t xml:space="preserve">. </w:t>
      </w:r>
      <w:r w:rsidR="005927F3" w:rsidRPr="006B6AF7">
        <w:t xml:space="preserve">Tento socioekonomický cíl sdružuje VaV v oblasti územního plánování, plánování a stavby budov, inženýrských a </w:t>
      </w:r>
      <w:r w:rsidR="005927F3" w:rsidRPr="006B6AF7">
        <w:lastRenderedPageBreak/>
        <w:t>vodohospodářských staveb, telekomunikací, dopravy apod. Podíl tohoto</w:t>
      </w:r>
      <w:r>
        <w:t xml:space="preserve"> cíle na celkových státních rozpočtových výdajích na VaV</w:t>
      </w:r>
      <w:r w:rsidR="005927F3">
        <w:t xml:space="preserve"> činil </w:t>
      </w:r>
      <w:r>
        <w:rPr>
          <w:b/>
        </w:rPr>
        <w:t>4,5</w:t>
      </w:r>
      <w:r w:rsidR="005927F3" w:rsidRPr="00233C79">
        <w:rPr>
          <w:b/>
        </w:rPr>
        <w:t> %</w:t>
      </w:r>
      <w:r w:rsidR="005927F3" w:rsidRPr="006B6AF7">
        <w:t xml:space="preserve">. </w:t>
      </w:r>
    </w:p>
    <w:p w:rsidR="005927F3" w:rsidRPr="00BB287C" w:rsidRDefault="005927F3" w:rsidP="005927F3">
      <w:pPr>
        <w:spacing w:before="120"/>
        <w:jc w:val="both"/>
      </w:pPr>
      <w:r w:rsidRPr="00BB287C">
        <w:t>Příjemci podpor</w:t>
      </w:r>
      <w:r w:rsidR="00B23141">
        <w:t>y byly zejména veřejné vysoké školy (691</w:t>
      </w:r>
      <w:r w:rsidRPr="00BB287C">
        <w:t xml:space="preserve"> mil. Kč), so</w:t>
      </w:r>
      <w:r w:rsidR="00B23141">
        <w:t>ukromé neziskové organizace (387 mil. </w:t>
      </w:r>
      <w:r w:rsidRPr="00BB287C">
        <w:t>Kč) včetně sdružení starající se o páteřní síť českého internetu</w:t>
      </w:r>
      <w:r w:rsidR="00B23141">
        <w:t xml:space="preserve"> a </w:t>
      </w:r>
      <w:r w:rsidR="00B23141" w:rsidRPr="00BB287C">
        <w:t>veřejné vý</w:t>
      </w:r>
      <w:r w:rsidR="00B23141">
        <w:t>zkumné instituce (245 mil. Kč).</w:t>
      </w:r>
    </w:p>
    <w:p w:rsidR="005927F3" w:rsidRPr="008B32BF" w:rsidRDefault="005927F3" w:rsidP="005927F3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48537A">
        <w:rPr>
          <w:sz w:val="22"/>
        </w:rPr>
        <w:t>.6</w:t>
      </w:r>
      <w:r>
        <w:rPr>
          <w:sz w:val="22"/>
        </w:rPr>
        <w:t xml:space="preserve"> </w:t>
      </w:r>
      <w:r w:rsidR="00DB39FE">
        <w:rPr>
          <w:sz w:val="22"/>
        </w:rPr>
        <w:t>Energie (SEO 05)</w:t>
      </w:r>
    </w:p>
    <w:p w:rsidR="003E00C3" w:rsidRDefault="00A5682A" w:rsidP="00DB39FE">
      <w:pPr>
        <w:spacing w:before="120" w:after="120"/>
        <w:jc w:val="both"/>
      </w:pPr>
      <w:r>
        <w:t>Důležitou</w:t>
      </w:r>
      <w:r w:rsidR="00DB39FE" w:rsidRPr="008A7BC3">
        <w:t xml:space="preserve"> výzkumnou a vývojovou oblastí je </w:t>
      </w:r>
      <w:r>
        <w:t xml:space="preserve">socioekonomický cíl </w:t>
      </w:r>
      <w:r>
        <w:rPr>
          <w:b/>
        </w:rPr>
        <w:t>energie</w:t>
      </w:r>
      <w:r>
        <w:t>. Tento cíl</w:t>
      </w:r>
      <w:r w:rsidR="00DB39FE" w:rsidRPr="008A7BC3">
        <w:t xml:space="preserve"> sdružuje VaV zaměřený na výrobu, distribuci, uchovávání a racionální či efektivní využití veškerých forem energie</w:t>
      </w:r>
      <w:r>
        <w:t>. Výzkum spadající do této oblasti získal v roce 2020</w:t>
      </w:r>
      <w:r w:rsidR="00DB39FE" w:rsidRPr="008A7BC3">
        <w:t xml:space="preserve"> veřejnou podporu v celkové výši </w:t>
      </w:r>
      <w:r>
        <w:rPr>
          <w:b/>
        </w:rPr>
        <w:t>1,7 mld.</w:t>
      </w:r>
      <w:r w:rsidR="00DB39FE" w:rsidRPr="008A7BC3">
        <w:rPr>
          <w:b/>
        </w:rPr>
        <w:t> Kč</w:t>
      </w:r>
      <w:r w:rsidR="00DB39FE" w:rsidRPr="008A7BC3">
        <w:t xml:space="preserve"> (</w:t>
      </w:r>
      <w:r>
        <w:rPr>
          <w:b/>
        </w:rPr>
        <w:t>4,4</w:t>
      </w:r>
      <w:r w:rsidR="00DB39FE" w:rsidRPr="00C2292A">
        <w:rPr>
          <w:b/>
        </w:rPr>
        <w:t xml:space="preserve"> %</w:t>
      </w:r>
      <w:r>
        <w:t xml:space="preserve"> z celkových státních rozpočtových výdajů na VaV</w:t>
      </w:r>
      <w:r w:rsidR="00DB39FE" w:rsidRPr="008A7BC3">
        <w:t xml:space="preserve">). Účelovou formou byla alokována </w:t>
      </w:r>
      <w:r w:rsidR="003E00C3">
        <w:t>převážná většina prostředků (1,2 mld. Kč; 70 %)</w:t>
      </w:r>
      <w:r w:rsidR="00DB39FE" w:rsidRPr="008A7BC3">
        <w:t xml:space="preserve">. </w:t>
      </w:r>
    </w:p>
    <w:p w:rsidR="00DB39FE" w:rsidRDefault="00DB39FE" w:rsidP="00DB39FE">
      <w:pPr>
        <w:spacing w:before="120" w:after="120"/>
        <w:jc w:val="both"/>
      </w:pPr>
      <w:r w:rsidRPr="008A7BC3">
        <w:t>Podstatná část těchto prostředků</w:t>
      </w:r>
      <w:r w:rsidR="003E00C3">
        <w:t xml:space="preserve"> v rámci tohoto cíle (celkem 679</w:t>
      </w:r>
      <w:r w:rsidR="0077734E">
        <w:t xml:space="preserve"> mil. Kč) směřovala</w:t>
      </w:r>
      <w:r w:rsidR="001D7B1D">
        <w:t xml:space="preserve"> do podniků, zejména pak veřejných, které </w:t>
      </w:r>
      <w:r w:rsidR="0077734E">
        <w:t>byly podpořeny částkou 457 mil. Kč. Dalších 368</w:t>
      </w:r>
      <w:r w:rsidRPr="008A7BC3">
        <w:t xml:space="preserve"> mil. Kč bylo rozdě</w:t>
      </w:r>
      <w:r w:rsidR="0077734E">
        <w:t xml:space="preserve">leno mezi veřejné vysoké školy. Výzkum energie prováděný ve veřejných výzkumných institucích byl podpořen částkou 168 mil. Kč. </w:t>
      </w:r>
    </w:p>
    <w:p w:rsidR="005927F3" w:rsidRPr="008B32BF" w:rsidRDefault="005927F3" w:rsidP="005927F3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48537A">
        <w:rPr>
          <w:sz w:val="22"/>
        </w:rPr>
        <w:t>.7</w:t>
      </w:r>
      <w:r>
        <w:rPr>
          <w:sz w:val="22"/>
        </w:rPr>
        <w:t xml:space="preserve"> </w:t>
      </w:r>
      <w:r w:rsidR="00DB39FE">
        <w:rPr>
          <w:sz w:val="22"/>
        </w:rPr>
        <w:t>Zemědělství (SEO 08)</w:t>
      </w:r>
    </w:p>
    <w:p w:rsidR="00DB39FE" w:rsidRDefault="00DB39FE" w:rsidP="00DB39FE">
      <w:pPr>
        <w:spacing w:before="120" w:after="120"/>
        <w:jc w:val="both"/>
      </w:pPr>
      <w:r>
        <w:t xml:space="preserve">Se souhrnnou přidělenou veřejnou podporou VaV ve výši </w:t>
      </w:r>
      <w:r w:rsidRPr="009325D7">
        <w:rPr>
          <w:b/>
        </w:rPr>
        <w:t>1</w:t>
      </w:r>
      <w:r w:rsidR="00923C3B">
        <w:rPr>
          <w:b/>
        </w:rPr>
        <w:t>,6</w:t>
      </w:r>
      <w:r>
        <w:rPr>
          <w:b/>
        </w:rPr>
        <w:t xml:space="preserve"> mld.</w:t>
      </w:r>
      <w:r w:rsidRPr="00D147B3">
        <w:rPr>
          <w:b/>
        </w:rPr>
        <w:t xml:space="preserve"> Kč</w:t>
      </w:r>
      <w:r w:rsidR="00923C3B">
        <w:t xml:space="preserve"> v roce 2020</w:t>
      </w:r>
      <w:r w:rsidR="004C4B12">
        <w:t xml:space="preserve"> byl zemědělský</w:t>
      </w:r>
      <w:r w:rsidR="00923C3B">
        <w:t xml:space="preserve"> výzkum </w:t>
      </w:r>
      <w:r w:rsidR="004C4B12">
        <w:t>sedmým</w:t>
      </w:r>
      <w:r>
        <w:t xml:space="preserve"> nejpodporovanějším </w:t>
      </w:r>
      <w:r w:rsidR="004C4B12">
        <w:t>cílem. Z hlediska celkových státních rozpočtových výdajů na VaV</w:t>
      </w:r>
      <w:r>
        <w:t xml:space="preserve"> </w:t>
      </w:r>
      <w:r w:rsidR="004C4B12">
        <w:t>směřovalo do oblasti zemědělského výzkumu</w:t>
      </w:r>
      <w:r>
        <w:t xml:space="preserve"> </w:t>
      </w:r>
      <w:r w:rsidR="004C4B12">
        <w:rPr>
          <w:b/>
        </w:rPr>
        <w:t>4,1</w:t>
      </w:r>
      <w:r w:rsidRPr="00233C79">
        <w:rPr>
          <w:b/>
        </w:rPr>
        <w:t xml:space="preserve"> %</w:t>
      </w:r>
      <w:r w:rsidRPr="006B6AF7">
        <w:t xml:space="preserve"> prostředků</w:t>
      </w:r>
      <w:r>
        <w:t xml:space="preserve">. </w:t>
      </w:r>
    </w:p>
    <w:p w:rsidR="004B22BA" w:rsidRDefault="00DB39FE" w:rsidP="005B5D66">
      <w:pPr>
        <w:spacing w:before="120"/>
        <w:jc w:val="both"/>
      </w:pPr>
      <w:r>
        <w:t>Do oblasti</w:t>
      </w:r>
      <w:r w:rsidR="004B22BA">
        <w:t xml:space="preserve"> zemědělského výzkumu</w:t>
      </w:r>
      <w:r>
        <w:t xml:space="preserve"> je zařazen veškerý výzkum v oblasti zemědělství, lesnictví, rybářství a produkce potravin. Finanční prostředky jsou využívány k podpoře výzkumu umělých hnojiv, prostředků k hubení škůdců či pesticidů, veterinární medicíny, mechanizace zemědělství či jiných postupů zvyšování produktivity v zemědělství, </w:t>
      </w:r>
      <w:r w:rsidRPr="00BB287C">
        <w:t>lesnictví či rybářství. O podporu VaV v této oblasti se stará zejména Minis</w:t>
      </w:r>
      <w:r w:rsidR="004B22BA">
        <w:t>terstvo zemědělství (973</w:t>
      </w:r>
      <w:r w:rsidRPr="00BB287C">
        <w:t xml:space="preserve"> mil. Kč). </w:t>
      </w:r>
    </w:p>
    <w:p w:rsidR="00DB39FE" w:rsidRDefault="00DB39FE" w:rsidP="005B5D66">
      <w:pPr>
        <w:spacing w:before="120"/>
        <w:jc w:val="both"/>
      </w:pPr>
      <w:r w:rsidRPr="00BB287C">
        <w:t>Hlavními příjemci prostředků v tomto cíli byly veřejné výzkumné instituce (včetn</w:t>
      </w:r>
      <w:r w:rsidR="004B22BA">
        <w:t>ě AV ČR), do nichž směřovalo 781</w:t>
      </w:r>
      <w:r w:rsidRPr="00BB287C">
        <w:t xml:space="preserve"> mil. Kč. Dále podniky, které</w:t>
      </w:r>
      <w:r w:rsidR="004B22BA">
        <w:t xml:space="preserve"> z těchto prostředků získaly 374</w:t>
      </w:r>
      <w:r w:rsidRPr="00BB287C">
        <w:t> mil. Kč</w:t>
      </w:r>
      <w:r>
        <w:t>,</w:t>
      </w:r>
      <w:r w:rsidRPr="00BB287C">
        <w:t xml:space="preserve"> a veřejné vysoké školy, mezi které byl</w:t>
      </w:r>
      <w:r w:rsidR="004B22BA">
        <w:t>o rozděleno 345</w:t>
      </w:r>
      <w:r w:rsidRPr="00BB287C">
        <w:t xml:space="preserve"> mil. Kč.</w:t>
      </w:r>
    </w:p>
    <w:p w:rsidR="00023573" w:rsidRPr="008A7BC3" w:rsidRDefault="00023573" w:rsidP="00023573">
      <w:pPr>
        <w:spacing w:before="120" w:after="120"/>
        <w:jc w:val="both"/>
      </w:pPr>
      <w:r w:rsidRPr="006A38C2">
        <w:t>Započteme-li také zemědělské vědy spadající do všeobecného</w:t>
      </w:r>
      <w:r>
        <w:t xml:space="preserve"> rozvoje znalostí (SEO 12+13)</w:t>
      </w:r>
      <w:r w:rsidRPr="008B32BF">
        <w:t xml:space="preserve">, pak </w:t>
      </w:r>
      <w:r>
        <w:t>zemědělský výzkum</w:t>
      </w:r>
      <w:r w:rsidRPr="008B32BF">
        <w:t xml:space="preserve"> byl </w:t>
      </w:r>
      <w:r>
        <w:t>podpořen částkou v souhrnu 2,1 mld. </w:t>
      </w:r>
      <w:r w:rsidRPr="008B32BF">
        <w:t>Kč.</w:t>
      </w:r>
    </w:p>
    <w:p w:rsidR="005927F3" w:rsidRPr="00C20EE9" w:rsidRDefault="005927F3" w:rsidP="005927F3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48537A">
        <w:rPr>
          <w:sz w:val="22"/>
        </w:rPr>
        <w:t>.8</w:t>
      </w:r>
      <w:r>
        <w:rPr>
          <w:sz w:val="22"/>
        </w:rPr>
        <w:t xml:space="preserve"> Ochrana</w:t>
      </w:r>
      <w:r w:rsidRPr="00C20EE9">
        <w:rPr>
          <w:sz w:val="22"/>
        </w:rPr>
        <w:t xml:space="preserve"> životního prostředí</w:t>
      </w:r>
      <w:r w:rsidR="00D03107">
        <w:rPr>
          <w:sz w:val="22"/>
        </w:rPr>
        <w:t xml:space="preserve"> (SEO 02)</w:t>
      </w:r>
    </w:p>
    <w:p w:rsidR="002E3AAB" w:rsidRDefault="00D03107" w:rsidP="005927F3">
      <w:pPr>
        <w:spacing w:before="120" w:after="120"/>
        <w:jc w:val="both"/>
      </w:pPr>
      <w:r>
        <w:t>V současné době nabývá v</w:t>
      </w:r>
      <w:r w:rsidR="005927F3" w:rsidRPr="00A235EF">
        <w:t xml:space="preserve">ýzkum v oblasti </w:t>
      </w:r>
      <w:r>
        <w:rPr>
          <w:b/>
        </w:rPr>
        <w:t xml:space="preserve">životního prostředí </w:t>
      </w:r>
      <w:r w:rsidRPr="00D03107">
        <w:t>na důležitosti.</w:t>
      </w:r>
      <w:r w:rsidR="005927F3" w:rsidRPr="00A235EF">
        <w:t xml:space="preserve"> </w:t>
      </w:r>
      <w:r>
        <w:t>S</w:t>
      </w:r>
      <w:r w:rsidR="00CC4112">
        <w:t xml:space="preserve">ouvisí to </w:t>
      </w:r>
      <w:r>
        <w:t xml:space="preserve">s politickou iniciativou Evropské unie formulované v dokumentu </w:t>
      </w:r>
      <w:r w:rsidRPr="00D03107">
        <w:t>Zelená dohoda pro Evropu</w:t>
      </w:r>
      <w:r w:rsidR="005D17AB">
        <w:rPr>
          <w:rStyle w:val="Znakapoznpodarou"/>
        </w:rPr>
        <w:footnoteReference w:id="16"/>
      </w:r>
      <w:r w:rsidR="005D17AB">
        <w:t>.</w:t>
      </w:r>
      <w:r>
        <w:t xml:space="preserve"> </w:t>
      </w:r>
      <w:r w:rsidR="00CC4112">
        <w:t>V</w:t>
      </w:r>
      <w:r w:rsidR="005927F3" w:rsidRPr="00A235EF">
        <w:t xml:space="preserve"> roce 2</w:t>
      </w:r>
      <w:r w:rsidR="00CC4112">
        <w:t>020 byl výzkum ochrany životního prostředí</w:t>
      </w:r>
      <w:r w:rsidR="005927F3" w:rsidRPr="00A235EF">
        <w:t xml:space="preserve"> podpořen</w:t>
      </w:r>
      <w:r w:rsidR="00A65F74">
        <w:t xml:space="preserve"> ze státního rozpočtu</w:t>
      </w:r>
      <w:r w:rsidR="005927F3" w:rsidRPr="00A235EF">
        <w:t xml:space="preserve"> souhrnnou částkou ve </w:t>
      </w:r>
      <w:r w:rsidR="005927F3" w:rsidRPr="006B6AF7">
        <w:t xml:space="preserve">výši </w:t>
      </w:r>
      <w:r w:rsidR="00CC4112">
        <w:rPr>
          <w:b/>
        </w:rPr>
        <w:t>791</w:t>
      </w:r>
      <w:r w:rsidR="005927F3" w:rsidRPr="002363CD">
        <w:rPr>
          <w:b/>
        </w:rPr>
        <w:t xml:space="preserve"> mil. Kč</w:t>
      </w:r>
      <w:r w:rsidR="005927F3">
        <w:rPr>
          <w:b/>
        </w:rPr>
        <w:t xml:space="preserve"> </w:t>
      </w:r>
      <w:r w:rsidR="005927F3">
        <w:t xml:space="preserve">odpovídající podílu </w:t>
      </w:r>
      <w:r w:rsidR="005927F3" w:rsidRPr="00EC0377">
        <w:rPr>
          <w:b/>
        </w:rPr>
        <w:t>2</w:t>
      </w:r>
      <w:r w:rsidR="00CC4112">
        <w:rPr>
          <w:b/>
        </w:rPr>
        <w:t>,1</w:t>
      </w:r>
      <w:r w:rsidR="005927F3" w:rsidRPr="00EC0377">
        <w:rPr>
          <w:b/>
        </w:rPr>
        <w:t xml:space="preserve"> %</w:t>
      </w:r>
      <w:r w:rsidR="005927F3">
        <w:t xml:space="preserve"> </w:t>
      </w:r>
      <w:r w:rsidR="00CC4112">
        <w:t>celkových státních rozpočtových výdajů na VaV</w:t>
      </w:r>
      <w:r w:rsidR="005927F3" w:rsidRPr="006B6AF7">
        <w:t>.</w:t>
      </w:r>
      <w:r w:rsidR="00084B5D">
        <w:t xml:space="preserve"> Ve srovnání s rokem 2015 došlo k navýšení podpory o více než čtvrtinu. </w:t>
      </w:r>
      <w:r w:rsidR="005927F3" w:rsidRPr="00A235EF">
        <w:t xml:space="preserve"> </w:t>
      </w:r>
    </w:p>
    <w:p w:rsidR="001258CC" w:rsidRDefault="005927F3" w:rsidP="005927F3">
      <w:pPr>
        <w:spacing w:before="120" w:after="120"/>
        <w:jc w:val="both"/>
      </w:pPr>
      <w:r>
        <w:t xml:space="preserve">Tento cíl </w:t>
      </w:r>
      <w:r w:rsidRPr="00A235EF">
        <w:t>zahrnuje dle klasifikace NABS identifikaci a analýzu zdrojů a</w:t>
      </w:r>
      <w:r>
        <w:t> </w:t>
      </w:r>
      <w:r w:rsidRPr="00A235EF">
        <w:t>příčin znečišťování, analýzu znečišťujících látek a jejich dopadů na člověka, přírodu a životní prostředí, rozvoj měřících zařízení a monitorovacích systémů.</w:t>
      </w:r>
      <w:r>
        <w:t xml:space="preserve"> </w:t>
      </w:r>
      <w:r w:rsidR="00CC4112">
        <w:t xml:space="preserve">Převážná část této podpory byla poskytnuta </w:t>
      </w:r>
      <w:r w:rsidRPr="00971C2D">
        <w:t>formou účelové podpory</w:t>
      </w:r>
      <w:r w:rsidR="00CC4112">
        <w:t xml:space="preserve"> (643 mil. Kč, 81 %)</w:t>
      </w:r>
      <w:r w:rsidRPr="00971C2D">
        <w:t>.</w:t>
      </w:r>
      <w:r w:rsidR="00C960B6">
        <w:t xml:space="preserve"> Vzhledem k tomu, že Ministerstvo životního prostředí není pos</w:t>
      </w:r>
      <w:r w:rsidR="002E3AAB">
        <w:t>kytovatelem účelové</w:t>
      </w:r>
      <w:r w:rsidR="00C960B6">
        <w:t xml:space="preserve"> formy podpory VaV, jsou projekty zaměřené na ochranu životního prostředí financovány z programů jiných rozpočtových kapitol</w:t>
      </w:r>
      <w:r w:rsidR="002E3AAB">
        <w:t>,</w:t>
      </w:r>
      <w:r w:rsidR="00C960B6">
        <w:t xml:space="preserve"> </w:t>
      </w:r>
      <w:r w:rsidR="005E1BAE">
        <w:t xml:space="preserve">zejména pak z rozpočtu </w:t>
      </w:r>
      <w:r w:rsidR="00C960B6">
        <w:t>T</w:t>
      </w:r>
      <w:r w:rsidR="005E1BAE">
        <w:t>echnologické agentury a</w:t>
      </w:r>
      <w:r w:rsidR="00C960B6">
        <w:t xml:space="preserve"> G</w:t>
      </w:r>
      <w:r w:rsidR="005E1BAE">
        <w:t>rantové agentury.</w:t>
      </w:r>
      <w:r w:rsidR="00C960B6">
        <w:t xml:space="preserve"> </w:t>
      </w:r>
    </w:p>
    <w:p w:rsidR="001258CC" w:rsidRDefault="001258CC" w:rsidP="005927F3">
      <w:pPr>
        <w:spacing w:before="120" w:after="120"/>
        <w:jc w:val="both"/>
      </w:pPr>
      <w:r w:rsidRPr="00BB287C">
        <w:lastRenderedPageBreak/>
        <w:t>Hlavními příjemci prostředků v tomto cíli byly v</w:t>
      </w:r>
      <w:r w:rsidR="00D9787E">
        <w:t>eřejné výzkumné instituce</w:t>
      </w:r>
      <w:r>
        <w:t>, do nichž směřovalo 349 mil. Kč, a veřejné vysoké školy, které získaly 274 mil. Kč.</w:t>
      </w:r>
    </w:p>
    <w:p w:rsidR="00D03107" w:rsidRPr="008B32BF" w:rsidRDefault="00D03107" w:rsidP="00D03107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48537A">
        <w:rPr>
          <w:sz w:val="22"/>
        </w:rPr>
        <w:t>.9</w:t>
      </w:r>
      <w:r>
        <w:rPr>
          <w:sz w:val="22"/>
        </w:rPr>
        <w:t xml:space="preserve"> </w:t>
      </w:r>
      <w:r w:rsidR="00295DD2" w:rsidRPr="00295DD2">
        <w:rPr>
          <w:sz w:val="22"/>
        </w:rPr>
        <w:t>Politické a sociální systémy, struktury a procesy</w:t>
      </w:r>
      <w:r w:rsidR="00295DD2">
        <w:rPr>
          <w:sz w:val="22"/>
        </w:rPr>
        <w:t xml:space="preserve"> (SEO 11)</w:t>
      </w:r>
    </w:p>
    <w:p w:rsidR="00C15643" w:rsidRDefault="006C6461" w:rsidP="005927F3">
      <w:pPr>
        <w:spacing w:before="120" w:after="120"/>
        <w:jc w:val="both"/>
      </w:pPr>
      <w:r>
        <w:t xml:space="preserve">Stejným podílem na </w:t>
      </w:r>
      <w:r w:rsidRPr="006C6461">
        <w:t>celkov</w:t>
      </w:r>
      <w:r>
        <w:t>ých státních rozpočtových výdajích</w:t>
      </w:r>
      <w:r w:rsidRPr="006C6461">
        <w:t xml:space="preserve"> na VaV</w:t>
      </w:r>
      <w:r>
        <w:t xml:space="preserve"> ve výši 2,1 % byl v roce 2020  podpořen i </w:t>
      </w:r>
      <w:r w:rsidRPr="006C6461">
        <w:rPr>
          <w:b/>
        </w:rPr>
        <w:t>výzkum v oblasti politických a sociálních systémů, struktur a procesů</w:t>
      </w:r>
      <w:r>
        <w:t xml:space="preserve">. Tento socioekonomický cíl obdržel částku 788 mil. Kč. </w:t>
      </w:r>
    </w:p>
    <w:p w:rsidR="006C6461" w:rsidRDefault="006C6461" w:rsidP="005927F3">
      <w:pPr>
        <w:spacing w:before="120" w:after="120"/>
        <w:jc w:val="both"/>
      </w:pPr>
      <w:r>
        <w:t>Jedná</w:t>
      </w:r>
      <w:r w:rsidR="00D03107">
        <w:t xml:space="preserve"> se zejména o výzkumné činnosti probíhající v úzkém kontaktu s poznatky v oblasti s</w:t>
      </w:r>
      <w:r>
        <w:t>polečenských a humanitních v</w:t>
      </w:r>
      <w:r w:rsidR="006241B8">
        <w:t>ěd, tedy částečně se překrývají</w:t>
      </w:r>
      <w:r>
        <w:t xml:space="preserve"> s obdobnými vědními oblastmi klasifikovanými ve všeobecném rozvoji znalostí.</w:t>
      </w:r>
      <w:r w:rsidR="00081B54">
        <w:t xml:space="preserve"> </w:t>
      </w:r>
      <w:r>
        <w:t>Na financování výzkum</w:t>
      </w:r>
      <w:r w:rsidR="005A5F91">
        <w:t>u</w:t>
      </w:r>
      <w:r>
        <w:t xml:space="preserve"> v tomto cíli se podílely zejména Technologická agentura (</w:t>
      </w:r>
      <w:r w:rsidR="006241B8">
        <w:t>212 mil. </w:t>
      </w:r>
      <w:r>
        <w:t>Kč) a Akademie věd (165 mi</w:t>
      </w:r>
      <w:r w:rsidR="006C112B">
        <w:t xml:space="preserve">l. Kč). Ministerstvo školství, </w:t>
      </w:r>
      <w:r>
        <w:t>mládeže</w:t>
      </w:r>
      <w:r w:rsidR="006C112B">
        <w:t xml:space="preserve"> a tělovýchovy</w:t>
      </w:r>
      <w:r>
        <w:t xml:space="preserve"> př</w:t>
      </w:r>
      <w:r w:rsidR="006241B8">
        <w:t>ispělo částkou rovných 150 mil. </w:t>
      </w:r>
      <w:r>
        <w:t>Kč.</w:t>
      </w:r>
    </w:p>
    <w:p w:rsidR="00081B54" w:rsidRDefault="00081B54" w:rsidP="005927F3">
      <w:pPr>
        <w:spacing w:before="120" w:after="120"/>
        <w:jc w:val="both"/>
      </w:pPr>
      <w:r w:rsidRPr="00BB287C">
        <w:t>Hlavními příjemci prostředků v tomto cíli byly v</w:t>
      </w:r>
      <w:r>
        <w:t>eřejné výzkumné instituce</w:t>
      </w:r>
      <w:r w:rsidR="003139D6">
        <w:t>, do nichž směřovalo 340</w:t>
      </w:r>
      <w:r>
        <w:t xml:space="preserve"> mil. Kč, a veř</w:t>
      </w:r>
      <w:r w:rsidR="003139D6">
        <w:t>ejné vysoké školy, které obdržely</w:t>
      </w:r>
      <w:r>
        <w:t xml:space="preserve"> </w:t>
      </w:r>
      <w:r w:rsidR="003139D6">
        <w:t>252</w:t>
      </w:r>
      <w:r>
        <w:t xml:space="preserve"> mil. Kč.</w:t>
      </w:r>
    </w:p>
    <w:p w:rsidR="005927F3" w:rsidRPr="00C20EE9" w:rsidRDefault="005927F3" w:rsidP="005927F3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48537A">
        <w:rPr>
          <w:sz w:val="22"/>
        </w:rPr>
        <w:t>.10</w:t>
      </w:r>
      <w:r>
        <w:rPr>
          <w:sz w:val="22"/>
        </w:rPr>
        <w:t xml:space="preserve"> Ostatní socioekonomické cíle </w:t>
      </w:r>
    </w:p>
    <w:p w:rsidR="005927F3" w:rsidRDefault="005927F3" w:rsidP="005927F3">
      <w:pPr>
        <w:spacing w:before="120" w:after="120"/>
        <w:jc w:val="both"/>
      </w:pPr>
      <w:r>
        <w:t xml:space="preserve">Na výzkumné aktivity související s </w:t>
      </w:r>
      <w:r w:rsidRPr="007504B3">
        <w:rPr>
          <w:b/>
        </w:rPr>
        <w:t>průzkumem a využitím zdrojů Země (SEO</w:t>
      </w:r>
      <w:r>
        <w:rPr>
          <w:b/>
        </w:rPr>
        <w:t> </w:t>
      </w:r>
      <w:r w:rsidRPr="007504B3">
        <w:rPr>
          <w:b/>
        </w:rPr>
        <w:t>01</w:t>
      </w:r>
      <w:r w:rsidR="007C7BAE">
        <w:t>) stát v roce 2020</w:t>
      </w:r>
      <w:r>
        <w:t xml:space="preserve"> vyčlenil </w:t>
      </w:r>
      <w:r w:rsidR="007C7BAE">
        <w:rPr>
          <w:b/>
        </w:rPr>
        <w:t>710</w:t>
      </w:r>
      <w:r w:rsidRPr="002363CD">
        <w:rPr>
          <w:b/>
        </w:rPr>
        <w:t xml:space="preserve"> mil. Kč</w:t>
      </w:r>
      <w:r>
        <w:t xml:space="preserve"> (</w:t>
      </w:r>
      <w:r w:rsidR="007C7BAE">
        <w:rPr>
          <w:b/>
        </w:rPr>
        <w:t>1,9</w:t>
      </w:r>
      <w:r w:rsidRPr="00A13211">
        <w:rPr>
          <w:b/>
        </w:rPr>
        <w:t xml:space="preserve"> %</w:t>
      </w:r>
      <w:r w:rsidR="007C7BAE">
        <w:t xml:space="preserve"> z celkových státních rozpočtových výdajů na VaV</w:t>
      </w:r>
      <w:r w:rsidRPr="006B6AF7">
        <w:t xml:space="preserve">). </w:t>
      </w:r>
      <w:r w:rsidR="0000345D">
        <w:t>Jedná se</w:t>
      </w:r>
      <w:r>
        <w:t xml:space="preserve"> o oblast seskupující výzkum kůry a pláště, oceánů, atmosféry a jejich využití, meteorologický průzkum,</w:t>
      </w:r>
      <w:r w:rsidR="007C7BAE">
        <w:t xml:space="preserve"> hydrologii či výzkum klimatu. </w:t>
      </w:r>
    </w:p>
    <w:p w:rsidR="00236D2B" w:rsidRDefault="00236D2B" w:rsidP="00236D2B">
      <w:pPr>
        <w:spacing w:before="120" w:after="120"/>
        <w:jc w:val="both"/>
      </w:pPr>
      <w:r w:rsidRPr="00E23F25">
        <w:rPr>
          <w:b/>
        </w:rPr>
        <w:t>Průzkum a využití ve</w:t>
      </w:r>
      <w:r>
        <w:rPr>
          <w:b/>
        </w:rPr>
        <w:t>smíru (SEO 03</w:t>
      </w:r>
      <w:r w:rsidRPr="00E23F25">
        <w:rPr>
          <w:b/>
        </w:rPr>
        <w:t>)</w:t>
      </w:r>
      <w:r>
        <w:t xml:space="preserve"> sdružující vesmírný výzkum a technologie pro civilní účely </w:t>
      </w:r>
      <w:r w:rsidR="00277982">
        <w:t>byl v roce 2020 podpořen 673 mil. Kč, což odpovídá 1,8</w:t>
      </w:r>
      <w:r w:rsidRPr="006B6AF7">
        <w:t xml:space="preserve"> % celko</w:t>
      </w:r>
      <w:r w:rsidR="00277982">
        <w:t>vých státních rozpočtových výdajů na VaV.</w:t>
      </w:r>
      <w:r w:rsidR="0036011B">
        <w:t xml:space="preserve"> Více jak polovina prostředků byla uhrazena formou institucionálních prostředků do zahraničí. Jednalo se zejména o příspěvek do Evropské kosmické agentury a Evropské</w:t>
      </w:r>
      <w:r w:rsidR="0036011B" w:rsidRPr="0036011B">
        <w:t xml:space="preserve"> organizace pro astronomický výzkum na jižní polokouli</w:t>
      </w:r>
      <w:r w:rsidR="0036011B">
        <w:t>.</w:t>
      </w:r>
    </w:p>
    <w:p w:rsidR="005927F3" w:rsidRDefault="005927F3" w:rsidP="005927F3">
      <w:pPr>
        <w:spacing w:before="120" w:after="120"/>
        <w:jc w:val="both"/>
      </w:pPr>
      <w:r w:rsidRPr="00156866">
        <w:t xml:space="preserve">Do </w:t>
      </w:r>
      <w:r w:rsidRPr="00156866">
        <w:rPr>
          <w:b/>
        </w:rPr>
        <w:t>vojenského (obran</w:t>
      </w:r>
      <w:r>
        <w:rPr>
          <w:b/>
        </w:rPr>
        <w:t>n</w:t>
      </w:r>
      <w:r w:rsidRPr="00156866">
        <w:rPr>
          <w:b/>
        </w:rPr>
        <w:t>ého) výzkumu</w:t>
      </w:r>
      <w:r>
        <w:t xml:space="preserve"> </w:t>
      </w:r>
      <w:r w:rsidRPr="000674DF">
        <w:rPr>
          <w:b/>
        </w:rPr>
        <w:t xml:space="preserve">(SEO 13) </w:t>
      </w:r>
      <w:r w:rsidR="00236D2B">
        <w:t>směřovala v roce 2020</w:t>
      </w:r>
      <w:r>
        <w:t xml:space="preserve"> finanční podpora ve výši </w:t>
      </w:r>
      <w:r w:rsidR="00236D2B">
        <w:rPr>
          <w:b/>
        </w:rPr>
        <w:t>377</w:t>
      </w:r>
      <w:r w:rsidRPr="002363CD">
        <w:rPr>
          <w:b/>
        </w:rPr>
        <w:t> mil. Kč</w:t>
      </w:r>
      <w:r>
        <w:t xml:space="preserve"> (pouhé </w:t>
      </w:r>
      <w:r w:rsidRPr="00E353AD">
        <w:rPr>
          <w:b/>
        </w:rPr>
        <w:t>1 %</w:t>
      </w:r>
      <w:r w:rsidR="00455C4D">
        <w:t xml:space="preserve"> z celkových státních ro</w:t>
      </w:r>
      <w:r w:rsidR="00236D2B">
        <w:t>zpočtových výdajů na VaV</w:t>
      </w:r>
      <w:r w:rsidRPr="00AC27E3">
        <w:t>) alokovaná téměř v celé své výši prostřednictvím rozpočtu Ministerstva obrany. Více než dvě třetiny t</w:t>
      </w:r>
      <w:r w:rsidR="00236D2B">
        <w:t>ěchto finančních prostředků (261</w:t>
      </w:r>
      <w:r w:rsidRPr="00AC27E3">
        <w:t xml:space="preserve"> mil. Kč) získaly veřejné podniky. </w:t>
      </w:r>
      <w:r>
        <w:t>Podíl vojenského výzkumu se dlouhodobě pochybuje na úro</w:t>
      </w:r>
      <w:r w:rsidR="00236D2B">
        <w:t>vni blízké 1 % z celkových státních rozpočtových výdajů na VaV</w:t>
      </w:r>
      <w:r>
        <w:t xml:space="preserve">. </w:t>
      </w:r>
    </w:p>
    <w:p w:rsidR="00BB56C9" w:rsidRDefault="00BB56C9" w:rsidP="005927F3">
      <w:pPr>
        <w:spacing w:before="120" w:after="120"/>
        <w:jc w:val="both"/>
      </w:pPr>
      <w:r>
        <w:t xml:space="preserve">Nejméně byl podpořen výzkum v rámci socioekonomických cílů </w:t>
      </w:r>
      <w:r w:rsidRPr="00BB56C9">
        <w:rPr>
          <w:b/>
        </w:rPr>
        <w:t>Kultura, rekreace, náboženství a média</w:t>
      </w:r>
      <w:r w:rsidR="00455C4D">
        <w:rPr>
          <w:rStyle w:val="Znakapoznpodarou"/>
          <w:b/>
        </w:rPr>
        <w:footnoteReference w:id="17"/>
      </w:r>
      <w:r>
        <w:t xml:space="preserve"> (275 mil. Kč; 0,7 % z celkových státních rozpočtových výdajů na VaV) a </w:t>
      </w:r>
      <w:r w:rsidRPr="00BB56C9">
        <w:rPr>
          <w:b/>
        </w:rPr>
        <w:t>Vzdělávání</w:t>
      </w:r>
      <w:r>
        <w:t xml:space="preserve"> (246 mil. Kč; 0,6 % z celkových státních rozpočtových výdajů na VaV).</w:t>
      </w:r>
      <w:r w:rsidR="001219B8">
        <w:t xml:space="preserve"> </w:t>
      </w:r>
    </w:p>
    <w:p w:rsidR="005927F3" w:rsidRPr="00CB6838" w:rsidRDefault="005927F3" w:rsidP="005927F3">
      <w:pPr>
        <w:spacing w:before="120" w:after="0"/>
        <w:jc w:val="both"/>
        <w:rPr>
          <w:b/>
        </w:rPr>
      </w:pPr>
    </w:p>
    <w:p w:rsidR="005927F3" w:rsidRDefault="005927F3" w:rsidP="005927F3">
      <w:pPr>
        <w:spacing w:after="0" w:line="240" w:lineRule="auto"/>
        <w:rPr>
          <w:rFonts w:eastAsia="MS Gothic"/>
          <w:b/>
          <w:bCs/>
          <w:color w:val="009BB4"/>
          <w:sz w:val="24"/>
        </w:rPr>
      </w:pPr>
      <w:r>
        <w:br w:type="page"/>
      </w:r>
    </w:p>
    <w:p w:rsidR="005927F3" w:rsidRPr="00F4251F" w:rsidRDefault="005927F3" w:rsidP="005927F3">
      <w:pPr>
        <w:pStyle w:val="Nadpis3"/>
      </w:pPr>
      <w:r>
        <w:lastRenderedPageBreak/>
        <w:t xml:space="preserve">3.8 </w:t>
      </w:r>
      <w:r w:rsidRPr="00F4251F">
        <w:t>Státní rozpočtové výdaje na VaV v mezinárodním kontextu</w:t>
      </w:r>
    </w:p>
    <w:p w:rsidR="005927F3" w:rsidRDefault="005927F3" w:rsidP="005927F3">
      <w:pPr>
        <w:spacing w:before="120" w:after="120"/>
        <w:jc w:val="both"/>
      </w:pPr>
      <w:r>
        <w:t xml:space="preserve">Pro mezinárodní srovnání státních rozpočtových výdajů na VaV se kromě absolutní částky (např. v paritě kupní síly) používají i poměrové ukazatele. Nejběžnější z nich je podíl státních rozpočtových výdajů na VaV (GBARD) na hrubém domácím produktu (HDP). </w:t>
      </w:r>
    </w:p>
    <w:p w:rsidR="005927F3" w:rsidRPr="00CB6838" w:rsidRDefault="005927F3" w:rsidP="005927F3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 w:rsidR="001F3229">
        <w:rPr>
          <w:b/>
        </w:rPr>
        <w:t>11</w:t>
      </w:r>
      <w:r w:rsidRPr="00C71B43">
        <w:rPr>
          <w:b/>
        </w:rPr>
        <w:t xml:space="preserve">: </w:t>
      </w:r>
      <w:r w:rsidRPr="00C43974">
        <w:rPr>
          <w:b/>
        </w:rPr>
        <w:t xml:space="preserve">Státní rozpočtové výdaje na výzkum a vývoj v zemích EU a vybraných státech světa </w:t>
      </w:r>
      <w:r>
        <w:rPr>
          <w:b/>
        </w:rPr>
        <w:t xml:space="preserve">– jako </w:t>
      </w:r>
      <w:r w:rsidRPr="00C43974">
        <w:rPr>
          <w:b/>
        </w:rPr>
        <w:t>podíl na hrubém domácím produktu (HDP) těchto zemí</w:t>
      </w:r>
      <w:r w:rsidR="00F30932">
        <w:rPr>
          <w:b/>
        </w:rPr>
        <w:t xml:space="preserve">; </w:t>
      </w:r>
      <w:r w:rsidR="00F30932" w:rsidRPr="00737AB2">
        <w:rPr>
          <w:b/>
        </w:rPr>
        <w:t>2010 a 2019</w:t>
      </w:r>
    </w:p>
    <w:p w:rsidR="005927F3" w:rsidRDefault="004D7498" w:rsidP="005927F3">
      <w:pPr>
        <w:spacing w:before="120" w:after="120"/>
        <w:jc w:val="both"/>
      </w:pPr>
      <w:r>
        <w:rPr>
          <w:noProof/>
        </w:rPr>
        <w:drawing>
          <wp:inline distT="0" distB="0" distL="0" distR="0" wp14:anchorId="4CCB6610" wp14:editId="57D50B53">
            <wp:extent cx="6120000" cy="3060000"/>
            <wp:effectExtent l="0" t="0" r="0" b="7620"/>
            <wp:docPr id="25" name="Graf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927F3" w:rsidRPr="006A3E4E" w:rsidRDefault="005927F3" w:rsidP="005927F3">
      <w:pPr>
        <w:spacing w:before="120" w:after="120"/>
        <w:jc w:val="both"/>
        <w:rPr>
          <w:sz w:val="16"/>
        </w:rPr>
      </w:pPr>
      <w:r w:rsidRPr="006A3E4E">
        <w:rPr>
          <w:sz w:val="16"/>
        </w:rPr>
        <w:t>Zdroj: Eurostat</w:t>
      </w:r>
      <w:r>
        <w:rPr>
          <w:sz w:val="16"/>
        </w:rPr>
        <w:t xml:space="preserve"> a vlastní dopočty ČSÚ</w:t>
      </w:r>
    </w:p>
    <w:p w:rsidR="005927F3" w:rsidRDefault="005927F3" w:rsidP="005927F3">
      <w:pPr>
        <w:spacing w:before="120" w:after="120"/>
        <w:jc w:val="both"/>
      </w:pPr>
      <w:r>
        <w:t xml:space="preserve">V případě </w:t>
      </w:r>
      <w:r w:rsidRPr="00F07763">
        <w:rPr>
          <w:b/>
        </w:rPr>
        <w:t>Česka</w:t>
      </w:r>
      <w:r>
        <w:t xml:space="preserve"> činil</w:t>
      </w:r>
      <w:r w:rsidR="00CD3A79">
        <w:t xml:space="preserve"> v roce 2019</w:t>
      </w:r>
      <w:r>
        <w:t xml:space="preserve"> </w:t>
      </w:r>
      <w:r w:rsidRPr="00134332">
        <w:t>podíl státních roz</w:t>
      </w:r>
      <w:r>
        <w:t>počtových výdajů na VaV na hru</w:t>
      </w:r>
      <w:r w:rsidR="00CD3A79">
        <w:t>bém domácím produktu</w:t>
      </w:r>
      <w:r w:rsidR="00462DBE">
        <w:t xml:space="preserve">, </w:t>
      </w:r>
      <w:r w:rsidR="00462DBE" w:rsidRPr="005A4A4A">
        <w:t>stejně jako v předchozím roce</w:t>
      </w:r>
      <w:r w:rsidR="00462DBE">
        <w:t>,</w:t>
      </w:r>
      <w:r w:rsidR="00CD3A79">
        <w:t xml:space="preserve"> </w:t>
      </w:r>
      <w:r>
        <w:rPr>
          <w:b/>
        </w:rPr>
        <w:t>0,62</w:t>
      </w:r>
      <w:r w:rsidRPr="00F07763">
        <w:rPr>
          <w:b/>
        </w:rPr>
        <w:t> %</w:t>
      </w:r>
      <w:r w:rsidRPr="005A4A4A">
        <w:t>.</w:t>
      </w:r>
      <w:r>
        <w:t xml:space="preserve"> Tento podíl se</w:t>
      </w:r>
      <w:r w:rsidR="005A4A4A">
        <w:t xml:space="preserve"> blížil průměrné hodnotě za EU (0,68%)</w:t>
      </w:r>
      <w:r>
        <w:t xml:space="preserve">. </w:t>
      </w:r>
      <w:r w:rsidR="004D7498">
        <w:t>V žádné členské zemi EU nepřesáhl podíl hranici jednoho procenta HDP. K této hranici se přiblížilo Německo s podílem 0,98 %. Vysoké</w:t>
      </w:r>
      <w:r>
        <w:t xml:space="preserve"> podíl</w:t>
      </w:r>
      <w:r w:rsidR="004D7498">
        <w:t>y</w:t>
      </w:r>
      <w:r>
        <w:t xml:space="preserve"> státní rozpočtové podpory VaV na HDP ze zemí EU zaznamenaly </w:t>
      </w:r>
      <w:r w:rsidR="004D7498">
        <w:t xml:space="preserve">v roce 2019 také </w:t>
      </w:r>
      <w:r>
        <w:t xml:space="preserve"> Dánsko (0,89 %) a Finsko (0,84 %). Na opačné straně žebříčku s nejni</w:t>
      </w:r>
      <w:r w:rsidR="004D7498">
        <w:t xml:space="preserve">žším podílem byly </w:t>
      </w:r>
      <w:r w:rsidR="00C4234D">
        <w:t xml:space="preserve">Malta a Bulharsko (shodně 0,22 %) a </w:t>
      </w:r>
      <w:r w:rsidR="004D7498">
        <w:t>Rumunsko (0,19</w:t>
      </w:r>
      <w:r>
        <w:t xml:space="preserve"> %). Podíl státních rozpočtových výdajů na VaV na HDP ve většině zemí ve srovnání s rokem 2010 poklesl nebo stagnoval. </w:t>
      </w:r>
    </w:p>
    <w:p w:rsidR="005927F3" w:rsidRDefault="000C1E69" w:rsidP="005927F3">
      <w:pPr>
        <w:spacing w:before="120" w:after="120"/>
        <w:jc w:val="both"/>
      </w:pPr>
      <w:r>
        <w:t>Ze zemí mimo EU</w:t>
      </w:r>
      <w:r w:rsidR="005927F3">
        <w:t xml:space="preserve"> dosáhla nejvyššího podílu Jižní Korea, kde hodnota ukazate</w:t>
      </w:r>
      <w:r>
        <w:t>le přesáhla</w:t>
      </w:r>
      <w:r w:rsidR="005927F3">
        <w:t xml:space="preserve"> je</w:t>
      </w:r>
      <w:r>
        <w:t>dno procento HDP (konkrétně 1,09 %). Hranci jedno procenta HDP překonalo také Norsko (1,02</w:t>
      </w:r>
      <w:r w:rsidR="005927F3">
        <w:t> %). V př</w:t>
      </w:r>
      <w:r>
        <w:t>ípadě Spojených států (0,70 %) a Japonska (0,76 %)</w:t>
      </w:r>
      <w:r w:rsidR="005927F3">
        <w:t xml:space="preserve"> b</w:t>
      </w:r>
      <w:r>
        <w:t>yl podíl nižší</w:t>
      </w:r>
      <w:r w:rsidR="005927F3">
        <w:t>. Výše podílu ve všech zmíněných zemích</w:t>
      </w:r>
      <w:r>
        <w:t xml:space="preserve"> přesáhla průměrnou hodnotu EU</w:t>
      </w:r>
      <w:r w:rsidR="005927F3">
        <w:t>.</w:t>
      </w:r>
      <w:r w:rsidR="00D80D16">
        <w:t xml:space="preserve"> </w:t>
      </w:r>
      <w:r w:rsidR="005927F3">
        <w:t>Rusko vydalo ze sv</w:t>
      </w:r>
      <w:r>
        <w:t>ého rozpočtu na podporu VaV 0,45</w:t>
      </w:r>
      <w:r w:rsidR="005927F3">
        <w:t xml:space="preserve"> % HDP.</w:t>
      </w:r>
    </w:p>
    <w:p w:rsidR="005927F3" w:rsidRDefault="00835003" w:rsidP="005927F3">
      <w:pPr>
        <w:spacing w:before="120" w:after="120"/>
        <w:jc w:val="both"/>
      </w:pPr>
      <w:r>
        <w:t>V roce 2019 vydaly všechny země EU</w:t>
      </w:r>
      <w:r>
        <w:rPr>
          <w:rStyle w:val="Znakapoznpodarou"/>
        </w:rPr>
        <w:footnoteReference w:id="18"/>
      </w:r>
      <w:r w:rsidR="005927F3">
        <w:t xml:space="preserve"> na podporu VaV v souhrnu </w:t>
      </w:r>
      <w:r w:rsidR="003A3EE8">
        <w:rPr>
          <w:b/>
        </w:rPr>
        <w:t>95,2</w:t>
      </w:r>
      <w:r w:rsidR="005927F3">
        <w:rPr>
          <w:b/>
        </w:rPr>
        <w:t xml:space="preserve"> mld.</w:t>
      </w:r>
      <w:r w:rsidR="005927F3" w:rsidRPr="00F07763">
        <w:rPr>
          <w:b/>
        </w:rPr>
        <w:t xml:space="preserve"> EUR</w:t>
      </w:r>
      <w:r w:rsidR="005927F3">
        <w:t>. Vůbec nejvíce podpořilo z</w:t>
      </w:r>
      <w:r w:rsidR="003A3EE8">
        <w:t>e svého rozpočtu VaV Německo (33,9</w:t>
      </w:r>
      <w:r w:rsidR="005927F3">
        <w:t xml:space="preserve"> m</w:t>
      </w:r>
      <w:r w:rsidR="003A3EE8">
        <w:t>ld. EUR), následovaly France (15,3</w:t>
      </w:r>
      <w:r w:rsidR="005927F3">
        <w:t xml:space="preserve"> mld. EUR) a </w:t>
      </w:r>
      <w:r w:rsidR="003A3EE8">
        <w:t>Itálie</w:t>
      </w:r>
      <w:r w:rsidR="005927F3">
        <w:t xml:space="preserve"> (</w:t>
      </w:r>
      <w:r w:rsidR="003A3EE8">
        <w:t>9,8</w:t>
      </w:r>
      <w:r w:rsidR="005927F3">
        <w:t> mld. EUR). Státní rozpočtové v</w:t>
      </w:r>
      <w:r w:rsidR="00F8236B">
        <w:t>ýdaje na VaV těchto třech zemí</w:t>
      </w:r>
      <w:r w:rsidR="005927F3">
        <w:t xml:space="preserve"> v souhrnu dosáhly</w:t>
      </w:r>
      <w:r w:rsidR="003A3EE8">
        <w:t xml:space="preserve"> více než polovinu (konkrétně 62</w:t>
      </w:r>
      <w:r w:rsidR="005927F3">
        <w:t> %) celkových státních rozp</w:t>
      </w:r>
      <w:r w:rsidR="00F8236B">
        <w:t>očtových výdajů na VaV zemí EU</w:t>
      </w:r>
      <w:r w:rsidR="005927F3">
        <w:t>. Přísp</w:t>
      </w:r>
      <w:r w:rsidR="003A3EE8">
        <w:t>ěvek Česka byl pouze ve výši 1,5</w:t>
      </w:r>
      <w:r w:rsidR="005927F3">
        <w:t> %.</w:t>
      </w:r>
      <w:r w:rsidR="002B27A6">
        <w:t xml:space="preserve"> Nejméně přispěly Matla, Lotyšsko, Kypr a Bulharsko. Jejich podíly byly na úrovni do 0,1 %.</w:t>
      </w:r>
      <w:r w:rsidR="005927F3">
        <w:t xml:space="preserve"> </w:t>
      </w:r>
    </w:p>
    <w:p w:rsidR="0071412A" w:rsidRDefault="00881564" w:rsidP="005927F3">
      <w:pPr>
        <w:spacing w:before="120" w:after="120"/>
        <w:jc w:val="both"/>
      </w:pPr>
      <w:r>
        <w:t xml:space="preserve">Spojené státy v roce 2019 podpořily z veřejných </w:t>
      </w:r>
      <w:r w:rsidR="006A4F92">
        <w:t>prostředků výzkum</w:t>
      </w:r>
      <w:r>
        <w:t xml:space="preserve"> a vývoj částkou 134 mld.</w:t>
      </w:r>
      <w:r w:rsidR="00236666">
        <w:t xml:space="preserve"> EUR</w:t>
      </w:r>
      <w:r>
        <w:t>, což je o 40</w:t>
      </w:r>
      <w:r w:rsidR="005B4040">
        <w:t xml:space="preserve"> % procent více než vydala </w:t>
      </w:r>
      <w:r>
        <w:t xml:space="preserve">Evropská unie. Japonsko podpořilo z veřejných prostředků VaV ve výši </w:t>
      </w:r>
      <w:r w:rsidR="005B4040">
        <w:t>34,8 mld. </w:t>
      </w:r>
      <w:r w:rsidR="00236666">
        <w:t xml:space="preserve">EUR a Jižní Korea částkou 16 mld. EUR. </w:t>
      </w:r>
    </w:p>
    <w:p w:rsidR="0071412A" w:rsidRPr="00CB6838" w:rsidRDefault="0071412A" w:rsidP="0071412A">
      <w:pPr>
        <w:spacing w:before="120" w:after="0"/>
        <w:jc w:val="both"/>
        <w:rPr>
          <w:b/>
        </w:rPr>
      </w:pPr>
      <w:r>
        <w:rPr>
          <w:b/>
        </w:rPr>
        <w:lastRenderedPageBreak/>
        <w:t>GRAF 3</w:t>
      </w:r>
      <w:r w:rsidRPr="00C71B43">
        <w:rPr>
          <w:b/>
        </w:rPr>
        <w:t>-</w:t>
      </w:r>
      <w:r w:rsidR="001F3229">
        <w:rPr>
          <w:b/>
        </w:rPr>
        <w:t>12</w:t>
      </w:r>
      <w:r w:rsidRPr="00C71B43">
        <w:rPr>
          <w:b/>
        </w:rPr>
        <w:t xml:space="preserve">: </w:t>
      </w:r>
      <w:r>
        <w:rPr>
          <w:b/>
        </w:rPr>
        <w:t>Podíl s</w:t>
      </w:r>
      <w:r w:rsidRPr="00C43974">
        <w:rPr>
          <w:b/>
        </w:rPr>
        <w:t>tátní</w:t>
      </w:r>
      <w:r>
        <w:rPr>
          <w:b/>
        </w:rPr>
        <w:t>ch rozpočtových výdajů</w:t>
      </w:r>
      <w:r w:rsidRPr="00C43974">
        <w:rPr>
          <w:b/>
        </w:rPr>
        <w:t xml:space="preserve"> na výzkum a vývoj v</w:t>
      </w:r>
      <w:r>
        <w:rPr>
          <w:b/>
        </w:rPr>
        <w:t xml:space="preserve"> jednotlivých </w:t>
      </w:r>
      <w:r w:rsidRPr="00C43974">
        <w:rPr>
          <w:b/>
        </w:rPr>
        <w:t xml:space="preserve">zemích EU </w:t>
      </w:r>
      <w:r>
        <w:rPr>
          <w:b/>
        </w:rPr>
        <w:t>na celkových státních rozpočtových výdajích</w:t>
      </w:r>
      <w:r w:rsidRPr="0071412A">
        <w:rPr>
          <w:b/>
        </w:rPr>
        <w:t xml:space="preserve"> na výzkum a vývoj</w:t>
      </w:r>
      <w:r>
        <w:rPr>
          <w:b/>
        </w:rPr>
        <w:t xml:space="preserve"> E</w:t>
      </w:r>
      <w:r w:rsidR="00F27DB0">
        <w:rPr>
          <w:b/>
        </w:rPr>
        <w:t>U</w:t>
      </w:r>
      <w:r>
        <w:rPr>
          <w:b/>
        </w:rPr>
        <w:t xml:space="preserve">; </w:t>
      </w:r>
      <w:r w:rsidRPr="00737AB2">
        <w:rPr>
          <w:b/>
        </w:rPr>
        <w:t>2019</w:t>
      </w:r>
    </w:p>
    <w:p w:rsidR="0071412A" w:rsidRDefault="0071412A" w:rsidP="005927F3">
      <w:pPr>
        <w:spacing w:before="120" w:after="120"/>
        <w:jc w:val="both"/>
      </w:pPr>
      <w:r>
        <w:rPr>
          <w:noProof/>
        </w:rPr>
        <w:drawing>
          <wp:inline distT="0" distB="0" distL="0" distR="0" wp14:anchorId="77A08CF2" wp14:editId="33BB392F">
            <wp:extent cx="6120000" cy="3143250"/>
            <wp:effectExtent l="0" t="0" r="0" b="0"/>
            <wp:docPr id="22" name="Graf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927F3" w:rsidRDefault="005927F3" w:rsidP="005927F3">
      <w:pPr>
        <w:spacing w:before="120" w:after="120"/>
        <w:jc w:val="both"/>
      </w:pPr>
      <w:r>
        <w:t xml:space="preserve">V zemích EU největší část podpory směřuje do </w:t>
      </w:r>
      <w:r w:rsidRPr="0017617E">
        <w:rPr>
          <w:b/>
        </w:rPr>
        <w:t>všeobecného rozvoje znalostí</w:t>
      </w:r>
      <w:r>
        <w:t>, kam se řadí výzkum financovaný ze všeobecnýc</w:t>
      </w:r>
      <w:r w:rsidR="002B5401">
        <w:t>h univerzitních fondů (</w:t>
      </w:r>
      <w:r>
        <w:t>SEO12) a výzkum financova</w:t>
      </w:r>
      <w:r w:rsidR="002B5401">
        <w:t>ný z ostatních zdrojů (</w:t>
      </w:r>
      <w:r>
        <w:t xml:space="preserve">SEO13). Jedná se převážně o základní výzkum prováděný vysokými školami nebo veřejnými výzkumnými institucemi. Výši podpory v těchto socioekonomických cílech ovlivňuje systém veřejné podpory VaV uplatňovaný v dané </w:t>
      </w:r>
      <w:r w:rsidR="00C15933">
        <w:t>zemi. V roce 2019</w:t>
      </w:r>
      <w:r>
        <w:t xml:space="preserve"> byla v průměru </w:t>
      </w:r>
      <w:r w:rsidR="002B5401">
        <w:rPr>
          <w:b/>
        </w:rPr>
        <w:t>EU</w:t>
      </w:r>
      <w:r>
        <w:t xml:space="preserve"> alokována do všeobecného rozvoje znalostí více než </w:t>
      </w:r>
      <w:r w:rsidRPr="0017617E">
        <w:rPr>
          <w:b/>
        </w:rPr>
        <w:t>polovina celkové státní rozpočtové podpory na VaV</w:t>
      </w:r>
      <w:r w:rsidR="00674D1A">
        <w:t xml:space="preserve"> (konkrétně 56</w:t>
      </w:r>
      <w:r>
        <w:t> %). V případě Čes</w:t>
      </w:r>
      <w:r w:rsidR="00AA7F04">
        <w:t>ka tento podíl dosáhl 59</w:t>
      </w:r>
      <w:r>
        <w:t xml:space="preserve"> %. </w:t>
      </w:r>
      <w:r w:rsidRPr="00985EF5">
        <w:t xml:space="preserve">Mezi členskými zeměmi EU </w:t>
      </w:r>
      <w:r w:rsidR="002B2999">
        <w:t>dosáhly</w:t>
      </w:r>
      <w:r w:rsidRPr="00985EF5">
        <w:t xml:space="preserve"> vůbec nej</w:t>
      </w:r>
      <w:r w:rsidR="007374E6">
        <w:t xml:space="preserve">vyššího podílu </w:t>
      </w:r>
      <w:r w:rsidR="00F617C7">
        <w:t xml:space="preserve">Polsko (86 %) a </w:t>
      </w:r>
      <w:r w:rsidR="007374E6">
        <w:t>Chorvatsko (85</w:t>
      </w:r>
      <w:r>
        <w:t xml:space="preserve"> %)</w:t>
      </w:r>
      <w:r w:rsidRPr="00985EF5">
        <w:t>. Na opačném konci žebříčku zemí dle výše podíl</w:t>
      </w:r>
      <w:r w:rsidR="007374E6">
        <w:t xml:space="preserve">u se umístilo </w:t>
      </w:r>
      <w:r w:rsidR="00F617C7">
        <w:t xml:space="preserve">Maďarsko (32 %) a </w:t>
      </w:r>
      <w:r w:rsidR="007374E6">
        <w:t>Řecko</w:t>
      </w:r>
      <w:r w:rsidR="00F617C7">
        <w:t xml:space="preserve"> (38 %).</w:t>
      </w:r>
    </w:p>
    <w:p w:rsidR="005927F3" w:rsidRPr="00CB6838" w:rsidRDefault="005927F3" w:rsidP="007B2060">
      <w:pPr>
        <w:spacing w:before="120" w:after="120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 w:rsidR="001F3229">
        <w:rPr>
          <w:b/>
        </w:rPr>
        <w:t>13</w:t>
      </w:r>
      <w:r w:rsidRPr="00C71B43">
        <w:rPr>
          <w:b/>
        </w:rPr>
        <w:t xml:space="preserve">: </w:t>
      </w:r>
      <w:r w:rsidRPr="00C43974">
        <w:rPr>
          <w:b/>
        </w:rPr>
        <w:t xml:space="preserve">Státní rozpočtové výdaje na výzkum a vývoj </w:t>
      </w:r>
      <w:r>
        <w:rPr>
          <w:b/>
        </w:rPr>
        <w:t>– V</w:t>
      </w:r>
      <w:r w:rsidRPr="00523ED3">
        <w:rPr>
          <w:b/>
        </w:rPr>
        <w:t>šeobecný rozvoj znalostí</w:t>
      </w:r>
      <w:r>
        <w:rPr>
          <w:b/>
        </w:rPr>
        <w:t xml:space="preserve"> (SEO12+SEO13) </w:t>
      </w:r>
      <w:r w:rsidRPr="00C43974">
        <w:rPr>
          <w:b/>
        </w:rPr>
        <w:t>v zemích EU a vybraných státech světa</w:t>
      </w:r>
      <w:r>
        <w:rPr>
          <w:b/>
        </w:rPr>
        <w:t xml:space="preserve"> (% podíl na celkových GBARD); </w:t>
      </w:r>
      <w:r w:rsidR="00C15933">
        <w:rPr>
          <w:b/>
        </w:rPr>
        <w:t>2019</w:t>
      </w:r>
    </w:p>
    <w:p w:rsidR="005927F3" w:rsidRDefault="007B2060" w:rsidP="005927F3">
      <w:pPr>
        <w:spacing w:before="120" w:after="120"/>
        <w:jc w:val="both"/>
      </w:pPr>
      <w:r>
        <w:rPr>
          <w:noProof/>
        </w:rPr>
        <w:drawing>
          <wp:inline distT="0" distB="0" distL="0" distR="0" wp14:anchorId="77A0EFE2" wp14:editId="0079FCB9">
            <wp:extent cx="6120000" cy="2880000"/>
            <wp:effectExtent l="0" t="0" r="0" b="0"/>
            <wp:docPr id="26" name="Graf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5927F3" w:rsidRPr="006A3E4E" w:rsidRDefault="005927F3" w:rsidP="005927F3">
      <w:pPr>
        <w:spacing w:before="120" w:after="120"/>
        <w:jc w:val="both"/>
        <w:rPr>
          <w:sz w:val="16"/>
        </w:rPr>
      </w:pPr>
      <w:r w:rsidRPr="006A3E4E">
        <w:rPr>
          <w:sz w:val="16"/>
        </w:rPr>
        <w:t>Zdroj: Eurostat</w:t>
      </w:r>
      <w:r>
        <w:rPr>
          <w:sz w:val="16"/>
        </w:rPr>
        <w:t xml:space="preserve"> a vlastní dopočty ČSÚ</w:t>
      </w:r>
    </w:p>
    <w:p w:rsidR="005927F3" w:rsidRDefault="005927F3" w:rsidP="005927F3">
      <w:pPr>
        <w:spacing w:before="120"/>
        <w:jc w:val="both"/>
      </w:pPr>
      <w:r w:rsidRPr="00221261">
        <w:lastRenderedPageBreak/>
        <w:t>Z mimoevropských zemí byl podíl státních rozpočtových výdajů na VaV směřovaný do všeobecného rozvoje znalostí velmi nízký ve Spojených státech (pouze 9 %), kde byl nejvíce podpořen výzkum a vývoj v ob</w:t>
      </w:r>
      <w:r>
        <w:t>lasti obrany (47 %) a zdraví (28</w:t>
      </w:r>
      <w:r w:rsidRPr="00221261">
        <w:t> %). Ve Spojených</w:t>
      </w:r>
      <w:r>
        <w:t xml:space="preserve"> státech je veřejná podpora VaV organizována odlišně než v evropských zemích. Naproti tomu v Japonsku má veřejná podpora VaV na vysokých školách a ve veřejných institucích tradici. Podíl výdajů na všeobecný rozvoj znalostí na celkových státních rozpočtových výdajích na VaV zde dos</w:t>
      </w:r>
      <w:r w:rsidR="00E53813">
        <w:t>áhl téměř poloviny, konkrétně 46</w:t>
      </w:r>
      <w:r>
        <w:t xml:space="preserve"> %. V Jižní Koreji to b</w:t>
      </w:r>
      <w:r w:rsidR="00E53813">
        <w:t>ylo o více než polovinu méně (21</w:t>
      </w:r>
      <w:r>
        <w:t xml:space="preserve"> %). </w:t>
      </w:r>
    </w:p>
    <w:p w:rsidR="00243327" w:rsidRDefault="00243327" w:rsidP="005927F3">
      <w:pPr>
        <w:spacing w:before="120"/>
        <w:jc w:val="both"/>
      </w:pPr>
      <w:r>
        <w:t xml:space="preserve">V posledních </w:t>
      </w:r>
      <w:r w:rsidR="008E093A">
        <w:t>deseti letech státní rozpočtové výdaje na VaV v EU pomalu postupně rostly, z</w:t>
      </w:r>
      <w:r w:rsidR="00052691">
        <w:t> 81,1 mld. </w:t>
      </w:r>
      <w:r w:rsidR="00C9580B">
        <w:t>EUR</w:t>
      </w:r>
      <w:r w:rsidR="008E093A">
        <w:t xml:space="preserve"> v roce </w:t>
      </w:r>
      <w:r w:rsidR="00C9580B">
        <w:t>2010 na 95,2 mld. EUR</w:t>
      </w:r>
      <w:r w:rsidR="008E093A">
        <w:t xml:space="preserve"> v roce 2019. Ve Spojených státech byl nárůst výraznější, zejména pak od roku 2015, kdy </w:t>
      </w:r>
      <w:r w:rsidR="000E144B">
        <w:t>se Spojené státy v podpoře VaV začaly vzdalovat</w:t>
      </w:r>
      <w:r w:rsidR="008E093A">
        <w:t xml:space="preserve"> Evropské unii. V roce 2019 byl rozdí</w:t>
      </w:r>
      <w:r w:rsidR="00052691">
        <w:t>l ve státních výdajích na VaV 38,8 mld. EUR</w:t>
      </w:r>
      <w:r w:rsidR="008E093A">
        <w:t xml:space="preserve"> ve prospěch Spojených států. V Japonsku státní rozpočtové výdaje na VaV </w:t>
      </w:r>
      <w:r w:rsidR="00052691">
        <w:t xml:space="preserve">spíše </w:t>
      </w:r>
      <w:r w:rsidR="008E093A">
        <w:t>stagnovaly s mírným kolísáním – střídáním nárůstů a poklesů. V Jižní Koreji po nárůstu v období 2010 až 2015 státní rozpočtové výdaje na VaV</w:t>
      </w:r>
      <w:r w:rsidR="00C9580B">
        <w:t xml:space="preserve"> stagnují na úrovni 15</w:t>
      </w:r>
      <w:r w:rsidR="008E093A">
        <w:t xml:space="preserve"> mld. EUR.  </w:t>
      </w:r>
    </w:p>
    <w:p w:rsidR="0058204B" w:rsidRPr="00CB6838" w:rsidRDefault="0058204B" w:rsidP="0058204B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 w:rsidR="001F3229">
        <w:rPr>
          <w:b/>
        </w:rPr>
        <w:t>14</w:t>
      </w:r>
      <w:r w:rsidRPr="00C71B43">
        <w:rPr>
          <w:b/>
        </w:rPr>
        <w:t xml:space="preserve">: </w:t>
      </w:r>
      <w:r>
        <w:rPr>
          <w:b/>
        </w:rPr>
        <w:t>Státní rozpočtové výdaje</w:t>
      </w:r>
      <w:r w:rsidRPr="00C43974">
        <w:rPr>
          <w:b/>
        </w:rPr>
        <w:t xml:space="preserve"> na výzkum a vývoj </w:t>
      </w:r>
      <w:r>
        <w:rPr>
          <w:b/>
        </w:rPr>
        <w:t>ve vybraných zemích v </w:t>
      </w:r>
      <w:r w:rsidR="0051269B">
        <w:rPr>
          <w:b/>
        </w:rPr>
        <w:t>mld</w:t>
      </w:r>
      <w:r>
        <w:rPr>
          <w:b/>
        </w:rPr>
        <w:t xml:space="preserve">. EUR; </w:t>
      </w:r>
      <w:r w:rsidR="0051269B">
        <w:rPr>
          <w:b/>
        </w:rPr>
        <w:t>2010–</w:t>
      </w:r>
      <w:r>
        <w:rPr>
          <w:b/>
        </w:rPr>
        <w:t>2019</w:t>
      </w:r>
    </w:p>
    <w:p w:rsidR="005927F3" w:rsidRDefault="00604AE0" w:rsidP="005927F3">
      <w:pPr>
        <w:spacing w:before="120"/>
        <w:jc w:val="both"/>
      </w:pPr>
      <w:r>
        <w:rPr>
          <w:noProof/>
        </w:rPr>
        <w:drawing>
          <wp:inline distT="0" distB="0" distL="0" distR="0" wp14:anchorId="2CAA3AD9" wp14:editId="4A8F5163">
            <wp:extent cx="6120000" cy="2700000"/>
            <wp:effectExtent l="0" t="0" r="0" b="5715"/>
            <wp:docPr id="45" name="Graf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5927F3" w:rsidRDefault="005927F3" w:rsidP="005927F3">
      <w:pPr>
        <w:spacing w:before="120"/>
        <w:jc w:val="both"/>
      </w:pPr>
    </w:p>
    <w:p w:rsidR="005927F3" w:rsidRDefault="005927F3" w:rsidP="005927F3">
      <w:pPr>
        <w:spacing w:before="120"/>
        <w:jc w:val="both"/>
      </w:pPr>
    </w:p>
    <w:p w:rsidR="005927F3" w:rsidRDefault="005927F3" w:rsidP="005927F3">
      <w:pPr>
        <w:spacing w:before="120"/>
        <w:jc w:val="both"/>
      </w:pPr>
    </w:p>
    <w:p w:rsidR="005927F3" w:rsidRDefault="005927F3" w:rsidP="005927F3">
      <w:pPr>
        <w:spacing w:before="120"/>
        <w:jc w:val="both"/>
      </w:pPr>
    </w:p>
    <w:p w:rsidR="005927F3" w:rsidRDefault="005927F3" w:rsidP="005927F3">
      <w:pPr>
        <w:spacing w:before="120"/>
        <w:jc w:val="both"/>
      </w:pPr>
    </w:p>
    <w:p w:rsidR="005927F3" w:rsidRDefault="005927F3" w:rsidP="005927F3">
      <w:pPr>
        <w:spacing w:before="120"/>
        <w:jc w:val="both"/>
      </w:pPr>
    </w:p>
    <w:p w:rsidR="005927F3" w:rsidRDefault="005927F3" w:rsidP="005927F3">
      <w:pPr>
        <w:spacing w:before="120"/>
        <w:jc w:val="both"/>
      </w:pPr>
    </w:p>
    <w:p w:rsidR="005927F3" w:rsidRDefault="005927F3" w:rsidP="005927F3">
      <w:pPr>
        <w:spacing w:before="120"/>
        <w:jc w:val="both"/>
      </w:pPr>
    </w:p>
    <w:p w:rsidR="005927F3" w:rsidRDefault="005927F3" w:rsidP="005927F3">
      <w:pPr>
        <w:spacing w:before="120"/>
        <w:jc w:val="both"/>
      </w:pPr>
    </w:p>
    <w:p w:rsidR="005927F3" w:rsidRDefault="005927F3" w:rsidP="005927F3">
      <w:pPr>
        <w:spacing w:before="120"/>
        <w:jc w:val="both"/>
      </w:pPr>
      <w:bookmarkStart w:id="0" w:name="_GoBack"/>
      <w:bookmarkEnd w:id="0"/>
    </w:p>
    <w:p w:rsidR="005927F3" w:rsidRPr="0053093F" w:rsidRDefault="005927F3" w:rsidP="00AA147F">
      <w:pPr>
        <w:tabs>
          <w:tab w:val="right" w:leader="dot" w:pos="9072"/>
        </w:tabs>
        <w:spacing w:after="0"/>
        <w:rPr>
          <w:color w:val="C00000"/>
        </w:rPr>
      </w:pPr>
    </w:p>
    <w:sectPr w:rsidR="005927F3" w:rsidRPr="0053093F" w:rsidSect="0051104D">
      <w:headerReference w:type="even" r:id="rId47"/>
      <w:headerReference w:type="default" r:id="rId48"/>
      <w:footerReference w:type="even" r:id="rId49"/>
      <w:footerReference w:type="default" r:id="rId50"/>
      <w:pgSz w:w="11906" w:h="16838" w:code="9"/>
      <w:pgMar w:top="1134" w:right="1134" w:bottom="1418" w:left="1134" w:header="680" w:footer="680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4F" w:rsidRDefault="004D0E4F" w:rsidP="00E71A58">
      <w:r>
        <w:separator/>
      </w:r>
    </w:p>
  </w:endnote>
  <w:endnote w:type="continuationSeparator" w:id="0">
    <w:p w:rsidR="004D0E4F" w:rsidRDefault="004D0E4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AF" w:rsidRPr="00932443" w:rsidRDefault="008A45A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0330832" wp14:editId="10CE105A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32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66EFE">
      <w:rPr>
        <w:szCs w:val="16"/>
      </w:rPr>
      <w:t>48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AF" w:rsidRPr="00932443" w:rsidRDefault="008A45A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7493E03" wp14:editId="5FDCE5E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34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66EFE">
      <w:rPr>
        <w:rStyle w:val="ZpatChar"/>
        <w:szCs w:val="16"/>
      </w:rPr>
      <w:t>47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4F" w:rsidRDefault="004D0E4F" w:rsidP="00E71A58">
      <w:r>
        <w:separator/>
      </w:r>
    </w:p>
  </w:footnote>
  <w:footnote w:type="continuationSeparator" w:id="0">
    <w:p w:rsidR="004D0E4F" w:rsidRDefault="004D0E4F" w:rsidP="00E71A58">
      <w:r>
        <w:continuationSeparator/>
      </w:r>
    </w:p>
  </w:footnote>
  <w:footnote w:id="1">
    <w:p w:rsidR="008A45AF" w:rsidRPr="000C1766" w:rsidRDefault="008A45AF" w:rsidP="005927F3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Podrobnější údaje o financování výzkumu a vývo</w:t>
      </w:r>
      <w:r>
        <w:rPr>
          <w:sz w:val="18"/>
          <w:szCs w:val="18"/>
        </w:rPr>
        <w:t>je z jednotlivých zdrojů zjištěné</w:t>
      </w:r>
      <w:r w:rsidRPr="000C1766">
        <w:rPr>
          <w:sz w:val="18"/>
          <w:szCs w:val="18"/>
        </w:rPr>
        <w:t xml:space="preserve"> v rámci Ročního šetření o výzkumu a vývoji VTR 5-01 naleznete na následujícím odkazu: </w:t>
      </w:r>
      <w:hyperlink r:id="rId1" w:history="1">
        <w:r w:rsidRPr="000C1766">
          <w:rPr>
            <w:rStyle w:val="Hypertextovodkaz"/>
            <w:rFonts w:eastAsia="MS Gothic"/>
            <w:sz w:val="18"/>
            <w:szCs w:val="18"/>
          </w:rPr>
          <w:t>https://www.czso.cz/csu/czso/statistika_vyzkumu_a_vyvoje</w:t>
        </w:r>
      </w:hyperlink>
      <w:r w:rsidRPr="000C1766">
        <w:rPr>
          <w:sz w:val="18"/>
          <w:szCs w:val="18"/>
        </w:rPr>
        <w:t xml:space="preserve">   </w:t>
      </w:r>
    </w:p>
  </w:footnote>
  <w:footnote w:id="2">
    <w:p w:rsidR="008A45AF" w:rsidRPr="000A37D1" w:rsidRDefault="008A45AF" w:rsidP="005927F3">
      <w:pPr>
        <w:pStyle w:val="Textpoznpodarou"/>
        <w:spacing w:after="60"/>
        <w:rPr>
          <w:rFonts w:cs="Arial"/>
          <w:sz w:val="18"/>
          <w:szCs w:val="18"/>
        </w:rPr>
      </w:pPr>
      <w:r w:rsidRPr="000A37D1"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V roce 2020</w:t>
      </w:r>
      <w:r w:rsidRPr="000A37D1">
        <w:rPr>
          <w:rFonts w:cs="Arial"/>
          <w:sz w:val="18"/>
          <w:szCs w:val="18"/>
        </w:rPr>
        <w:t xml:space="preserve"> byly na VaV ze státního rozpočtu čerpány</w:t>
      </w:r>
      <w:r>
        <w:rPr>
          <w:rFonts w:cs="Arial"/>
          <w:sz w:val="18"/>
          <w:szCs w:val="18"/>
        </w:rPr>
        <w:t xml:space="preserve"> nespotřebované nároky </w:t>
      </w:r>
      <w:r w:rsidRPr="00746A28">
        <w:rPr>
          <w:rFonts w:cs="Arial"/>
          <w:sz w:val="18"/>
          <w:szCs w:val="18"/>
        </w:rPr>
        <w:t>z minulých let</w:t>
      </w:r>
      <w:r>
        <w:rPr>
          <w:rFonts w:cs="Arial"/>
          <w:sz w:val="18"/>
          <w:szCs w:val="18"/>
        </w:rPr>
        <w:t xml:space="preserve"> ve výši 3</w:t>
      </w:r>
      <w:r w:rsidRPr="000A37D1">
        <w:rPr>
          <w:rFonts w:cs="Arial"/>
          <w:sz w:val="18"/>
          <w:szCs w:val="18"/>
        </w:rPr>
        <w:t>,9 </w:t>
      </w:r>
      <w:r w:rsidRPr="000A37D1">
        <w:rPr>
          <w:sz w:val="18"/>
          <w:szCs w:val="18"/>
        </w:rPr>
        <w:t>mld. Kč</w:t>
      </w:r>
      <w:r w:rsidRPr="000A37D1">
        <w:rPr>
          <w:rFonts w:cs="Arial"/>
          <w:sz w:val="18"/>
          <w:szCs w:val="18"/>
        </w:rPr>
        <w:t>. Souhrnná částka nevyužitých f</w:t>
      </w:r>
      <w:r>
        <w:rPr>
          <w:rFonts w:cs="Arial"/>
          <w:sz w:val="18"/>
          <w:szCs w:val="18"/>
        </w:rPr>
        <w:t>inančních prostředků z roku 2020</w:t>
      </w:r>
      <w:r w:rsidRPr="000A37D1">
        <w:rPr>
          <w:rFonts w:cs="Arial"/>
          <w:sz w:val="18"/>
          <w:szCs w:val="18"/>
        </w:rPr>
        <w:t xml:space="preserve"> a z před</w:t>
      </w:r>
      <w:r>
        <w:rPr>
          <w:rFonts w:cs="Arial"/>
          <w:sz w:val="18"/>
          <w:szCs w:val="18"/>
        </w:rPr>
        <w:t>chozích let dosáhla k 1. 1. 2021 hodnoty 4,1</w:t>
      </w:r>
      <w:r w:rsidRPr="000A37D1">
        <w:rPr>
          <w:rFonts w:cs="Arial"/>
          <w:sz w:val="18"/>
          <w:szCs w:val="18"/>
        </w:rPr>
        <w:t> mld. Kč. Tyto finanční prostředky jsou pak k dispozici pro využití v dalších let</w:t>
      </w:r>
      <w:r>
        <w:rPr>
          <w:rFonts w:cs="Arial"/>
          <w:sz w:val="18"/>
          <w:szCs w:val="18"/>
        </w:rPr>
        <w:t xml:space="preserve">ech. </w:t>
      </w:r>
    </w:p>
  </w:footnote>
  <w:footnote w:id="3">
    <w:p w:rsidR="008A45AF" w:rsidRPr="00BE5479" w:rsidRDefault="008A45AF" w:rsidP="00BE5479">
      <w:pPr>
        <w:pStyle w:val="Textpoznpodarou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Týká se </w:t>
      </w:r>
      <w:r w:rsidRPr="00BE5479">
        <w:rPr>
          <w:b/>
          <w:sz w:val="18"/>
          <w:szCs w:val="18"/>
        </w:rPr>
        <w:t>Evropských strukturálních a investičních fondů (ESIF)</w:t>
      </w:r>
      <w:r>
        <w:rPr>
          <w:sz w:val="18"/>
          <w:szCs w:val="18"/>
        </w:rPr>
        <w:t>.</w:t>
      </w:r>
      <w:r w:rsidRPr="00BE5479">
        <w:rPr>
          <w:sz w:val="18"/>
          <w:szCs w:val="18"/>
        </w:rPr>
        <w:t xml:space="preserve"> </w:t>
      </w:r>
      <w:r w:rsidRPr="000C1766">
        <w:rPr>
          <w:sz w:val="18"/>
          <w:szCs w:val="18"/>
        </w:rPr>
        <w:t xml:space="preserve">Blíže viz </w:t>
      </w:r>
      <w:hyperlink r:id="rId2" w:history="1">
        <w:r w:rsidRPr="000C1766">
          <w:rPr>
            <w:rStyle w:val="Hypertextovodkaz"/>
            <w:rFonts w:eastAsia="MS Gothic"/>
            <w:sz w:val="18"/>
            <w:szCs w:val="18"/>
          </w:rPr>
          <w:t>http://www.dotaceeu.cz/cs/Fondy-EU</w:t>
        </w:r>
      </w:hyperlink>
      <w:r w:rsidRPr="00D744BC">
        <w:rPr>
          <w:sz w:val="18"/>
        </w:rPr>
        <w:t xml:space="preserve"> </w:t>
      </w:r>
    </w:p>
  </w:footnote>
  <w:footnote w:id="4">
    <w:p w:rsidR="008A45AF" w:rsidRPr="000C1766" w:rsidRDefault="008A45AF" w:rsidP="005927F3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Technologická agentura byla založena v roce 2009. Blíže o Technologické agentuře viz: </w:t>
      </w:r>
      <w:hyperlink r:id="rId3" w:history="1">
        <w:r w:rsidR="006C0919" w:rsidRPr="00835DE9">
          <w:rPr>
            <w:rStyle w:val="Hypertextovodkaz"/>
            <w:rFonts w:eastAsia="MS Gothic"/>
            <w:sz w:val="18"/>
            <w:szCs w:val="18"/>
          </w:rPr>
          <w:t>https://www.tacr.cz</w:t>
        </w:r>
      </w:hyperlink>
      <w:r w:rsidR="006C0919">
        <w:rPr>
          <w:rFonts w:eastAsia="MS Gothic"/>
          <w:sz w:val="18"/>
          <w:szCs w:val="18"/>
        </w:rPr>
        <w:t xml:space="preserve"> </w:t>
      </w:r>
      <w:r w:rsidRPr="000C1766">
        <w:rPr>
          <w:sz w:val="18"/>
          <w:szCs w:val="18"/>
        </w:rPr>
        <w:t xml:space="preserve"> </w:t>
      </w:r>
    </w:p>
  </w:footnote>
  <w:footnote w:id="5">
    <w:p w:rsidR="008A45AF" w:rsidRPr="000C1766" w:rsidRDefault="008A45AF" w:rsidP="005927F3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Program EPSILON se zaměřuje na podporu aplikovaného výzkumu a experimentálního vývoje zaměřených převážně na průmyslové technologie, jejichž výsledky mají rychlé uplatnění na trhu. </w:t>
      </w:r>
      <w:hyperlink r:id="rId4" w:history="1">
        <w:r w:rsidRPr="000C1766">
          <w:rPr>
            <w:rStyle w:val="Hypertextovodkaz"/>
            <w:rFonts w:eastAsia="MS Gothic"/>
            <w:sz w:val="18"/>
            <w:szCs w:val="18"/>
          </w:rPr>
          <w:t>https://www.tacr.cz/program/program-epsilon/</w:t>
        </w:r>
      </w:hyperlink>
      <w:r w:rsidRPr="000C1766">
        <w:rPr>
          <w:sz w:val="18"/>
          <w:szCs w:val="18"/>
        </w:rPr>
        <w:t xml:space="preserve"> </w:t>
      </w:r>
    </w:p>
  </w:footnote>
  <w:footnote w:id="6">
    <w:p w:rsidR="008A45AF" w:rsidRPr="000C1766" w:rsidRDefault="008A45AF" w:rsidP="005927F3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Program ZÉTA je zaměřen na podporu začínajících výzkumnic a výzkumníků v inovačních aktivitách a kultuře rovných příležitostí projektů. Další programy viz </w:t>
      </w:r>
      <w:hyperlink r:id="rId5" w:history="1">
        <w:r w:rsidRPr="000C1766">
          <w:rPr>
            <w:rStyle w:val="Hypertextovodkaz"/>
            <w:rFonts w:eastAsia="MS Gothic"/>
            <w:sz w:val="18"/>
            <w:szCs w:val="18"/>
          </w:rPr>
          <w:t>https://www.tacr.cz/programy-a-souteze/</w:t>
        </w:r>
      </w:hyperlink>
      <w:r w:rsidRPr="000C1766">
        <w:rPr>
          <w:sz w:val="18"/>
          <w:szCs w:val="18"/>
        </w:rPr>
        <w:t xml:space="preserve"> </w:t>
      </w:r>
    </w:p>
  </w:footnote>
  <w:footnote w:id="7">
    <w:p w:rsidR="008A45AF" w:rsidRPr="000C1766" w:rsidRDefault="008A45AF" w:rsidP="002A7890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Blíže o Grantové agentuře viz: </w:t>
      </w:r>
      <w:hyperlink r:id="rId6" w:history="1">
        <w:r w:rsidRPr="000C1766">
          <w:rPr>
            <w:rStyle w:val="Hypertextovodkaz"/>
            <w:rFonts w:eastAsia="MS Gothic"/>
            <w:sz w:val="18"/>
            <w:szCs w:val="18"/>
          </w:rPr>
          <w:t>http://gacr.cz/</w:t>
        </w:r>
      </w:hyperlink>
      <w:r w:rsidRPr="000C1766">
        <w:rPr>
          <w:sz w:val="18"/>
          <w:szCs w:val="18"/>
        </w:rPr>
        <w:t xml:space="preserve"> </w:t>
      </w:r>
    </w:p>
  </w:footnote>
  <w:footnote w:id="8">
    <w:p w:rsidR="008A45AF" w:rsidRPr="0014473F" w:rsidRDefault="008A45AF" w:rsidP="005927F3">
      <w:pPr>
        <w:pStyle w:val="Textpoznpodarou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</w:t>
      </w:r>
      <w:r w:rsidRPr="000C1766">
        <w:rPr>
          <w:rFonts w:cs="Arial"/>
          <w:sz w:val="18"/>
          <w:szCs w:val="18"/>
        </w:rPr>
        <w:t xml:space="preserve">K dalším informacím o Operačních programech v gesci MŠMT viz následující odkaz: </w:t>
      </w:r>
      <w:hyperlink r:id="rId7" w:history="1">
        <w:r w:rsidRPr="000C1766">
          <w:rPr>
            <w:rStyle w:val="Hypertextovodkaz"/>
            <w:rFonts w:eastAsia="MS Gothic" w:cs="Arial"/>
            <w:sz w:val="18"/>
            <w:szCs w:val="18"/>
          </w:rPr>
          <w:t>http://www.msmt.cz/strukturalni-fondy-1</w:t>
        </w:r>
      </w:hyperlink>
      <w:r>
        <w:rPr>
          <w:rFonts w:cs="Arial"/>
          <w:sz w:val="18"/>
          <w:szCs w:val="18"/>
        </w:rPr>
        <w:t xml:space="preserve"> </w:t>
      </w:r>
    </w:p>
  </w:footnote>
  <w:footnote w:id="9">
    <w:p w:rsidR="008A45AF" w:rsidRPr="00D5463A" w:rsidRDefault="008A45AF" w:rsidP="005927F3">
      <w:pPr>
        <w:pStyle w:val="Textpoznpodarou"/>
        <w:rPr>
          <w:sz w:val="18"/>
          <w:szCs w:val="18"/>
        </w:rPr>
      </w:pPr>
      <w:r w:rsidRPr="00D5463A">
        <w:rPr>
          <w:rStyle w:val="Znakapoznpodarou"/>
          <w:sz w:val="18"/>
          <w:szCs w:val="18"/>
        </w:rPr>
        <w:footnoteRef/>
      </w:r>
      <w:r w:rsidRPr="00D5463A">
        <w:rPr>
          <w:sz w:val="18"/>
          <w:szCs w:val="18"/>
        </w:rPr>
        <w:t xml:space="preserve"> Posláním programu TRIO (2016–2021) je podpořit aktivity v průmyslovém výzkumu a experimentálním vývoji, které budou využívat a dále rozvíjet potenciál v oblasti klíčových technologií (Key Enabling Technologies, dále jen „KETs“).</w:t>
      </w:r>
    </w:p>
  </w:footnote>
  <w:footnote w:id="10">
    <w:p w:rsidR="008A45AF" w:rsidRPr="00D22905" w:rsidRDefault="008A45AF">
      <w:pPr>
        <w:pStyle w:val="Textpoznpodarou"/>
        <w:rPr>
          <w:sz w:val="18"/>
        </w:rPr>
      </w:pPr>
      <w:r w:rsidRPr="00D5463A">
        <w:rPr>
          <w:rStyle w:val="Znakapoznpodarou"/>
          <w:sz w:val="18"/>
          <w:szCs w:val="18"/>
        </w:rPr>
        <w:footnoteRef/>
      </w:r>
      <w:r w:rsidRPr="00D5463A">
        <w:rPr>
          <w:sz w:val="18"/>
          <w:szCs w:val="18"/>
        </w:rPr>
        <w:t xml:space="preserve"> Program TREND (2020–2027) má za cíl podpořit VaV projekty zaměřené na výrobní technologie, digitální technologie a kybernetické technologie.</w:t>
      </w:r>
    </w:p>
  </w:footnote>
  <w:footnote w:id="11">
    <w:p w:rsidR="008A45AF" w:rsidRPr="005F1C2C" w:rsidRDefault="008A45AF" w:rsidP="005927F3">
      <w:pPr>
        <w:pStyle w:val="Textpoznpodarou"/>
        <w:rPr>
          <w:rFonts w:cs="Arial"/>
          <w:sz w:val="18"/>
          <w:szCs w:val="18"/>
        </w:rPr>
      </w:pPr>
      <w:r w:rsidRPr="005F1C2C">
        <w:rPr>
          <w:rStyle w:val="Znakapoznpodarou"/>
          <w:rFonts w:cs="Arial"/>
          <w:sz w:val="18"/>
          <w:szCs w:val="18"/>
        </w:rPr>
        <w:footnoteRef/>
      </w:r>
      <w:r w:rsidRPr="005F1C2C">
        <w:rPr>
          <w:rFonts w:cs="Arial"/>
          <w:sz w:val="18"/>
          <w:szCs w:val="18"/>
        </w:rPr>
        <w:t xml:space="preserve"> Včetně ústředí Akademie věd ČR, která má v Registru ekonomických subjektů atribut organizační složky státu.</w:t>
      </w:r>
    </w:p>
  </w:footnote>
  <w:footnote w:id="12">
    <w:p w:rsidR="008A45AF" w:rsidRPr="00B82471" w:rsidRDefault="008A45AF" w:rsidP="005927F3">
      <w:pPr>
        <w:pStyle w:val="Textpoznpodarou"/>
        <w:rPr>
          <w:sz w:val="18"/>
          <w:szCs w:val="18"/>
        </w:rPr>
      </w:pPr>
      <w:r w:rsidRPr="005F1C2C">
        <w:rPr>
          <w:rStyle w:val="Znakapoznpodarou"/>
          <w:sz w:val="18"/>
          <w:szCs w:val="18"/>
        </w:rPr>
        <w:footnoteRef/>
      </w:r>
      <w:r w:rsidRPr="005F1C2C">
        <w:rPr>
          <w:sz w:val="18"/>
          <w:szCs w:val="18"/>
        </w:rPr>
        <w:t xml:space="preserve"> Blíže viz: </w:t>
      </w:r>
      <w:hyperlink r:id="rId8" w:history="1">
        <w:r w:rsidRPr="005F1C2C">
          <w:rPr>
            <w:rStyle w:val="Hypertextovodkaz"/>
            <w:rFonts w:eastAsia="MS Gothic"/>
            <w:sz w:val="18"/>
            <w:szCs w:val="18"/>
          </w:rPr>
          <w:t>https://www.czso.cz/csu/czso/neprima-verejna-podpora-vyzkumu-a-vyvoje</w:t>
        </w:r>
      </w:hyperlink>
      <w:r w:rsidRPr="00B82471">
        <w:rPr>
          <w:sz w:val="18"/>
          <w:szCs w:val="18"/>
        </w:rPr>
        <w:t xml:space="preserve"> </w:t>
      </w:r>
    </w:p>
  </w:footnote>
  <w:footnote w:id="13">
    <w:p w:rsidR="008A45AF" w:rsidRPr="0049796C" w:rsidRDefault="008A45AF" w:rsidP="005927F3">
      <w:pPr>
        <w:pStyle w:val="Textpoznpodarou"/>
        <w:rPr>
          <w:sz w:val="18"/>
        </w:rPr>
      </w:pPr>
      <w:r w:rsidRPr="001D7FBC">
        <w:rPr>
          <w:rStyle w:val="Znakapoznpodarou"/>
          <w:sz w:val="18"/>
        </w:rPr>
        <w:footnoteRef/>
      </w:r>
      <w:r w:rsidRPr="001D7FBC">
        <w:rPr>
          <w:sz w:val="18"/>
        </w:rPr>
        <w:t xml:space="preserve"> </w:t>
      </w:r>
      <w:r>
        <w:rPr>
          <w:sz w:val="18"/>
        </w:rPr>
        <w:t>V roce 2020</w:t>
      </w:r>
      <w:r w:rsidRPr="006C7DE7">
        <w:rPr>
          <w:sz w:val="18"/>
        </w:rPr>
        <w:t xml:space="preserve"> Ministerstvo školství, mládeže a tělovýchovy vydalo na podporu zapojení ČR do </w:t>
      </w:r>
      <w:r>
        <w:rPr>
          <w:sz w:val="18"/>
        </w:rPr>
        <w:t>mezinárodního výzkumu celkem 1,1 mld.</w:t>
      </w:r>
      <w:r w:rsidRPr="006C7DE7">
        <w:rPr>
          <w:sz w:val="18"/>
        </w:rPr>
        <w:t xml:space="preserve"> Kč ve formě příspěvků a poplatků.</w:t>
      </w:r>
      <w:r>
        <w:rPr>
          <w:sz w:val="18"/>
        </w:rPr>
        <w:t xml:space="preserve"> </w:t>
      </w:r>
      <w:r w:rsidRPr="006C7DE7">
        <w:rPr>
          <w:sz w:val="18"/>
        </w:rPr>
        <w:t xml:space="preserve"> </w:t>
      </w:r>
    </w:p>
  </w:footnote>
  <w:footnote w:id="14">
    <w:p w:rsidR="008A45AF" w:rsidRDefault="008A45AF" w:rsidP="005927F3">
      <w:pPr>
        <w:pStyle w:val="Textpoznpodarou"/>
        <w:rPr>
          <w:rFonts w:cs="Arial"/>
          <w:sz w:val="18"/>
          <w:szCs w:val="18"/>
        </w:rPr>
      </w:pPr>
      <w:r w:rsidRPr="007A2F09">
        <w:rPr>
          <w:rStyle w:val="Znakapoznpodarou"/>
          <w:rFonts w:cs="Arial"/>
          <w:sz w:val="18"/>
          <w:szCs w:val="18"/>
        </w:rPr>
        <w:footnoteRef/>
      </w:r>
      <w:r w:rsidRPr="007A2F09">
        <w:rPr>
          <w:rFonts w:cs="Arial"/>
          <w:sz w:val="18"/>
          <w:szCs w:val="18"/>
        </w:rPr>
        <w:t xml:space="preserve"> Klasifikace NABS: Nomenklatura pro analýzu a srovnání vědeckých programů a rozpočtů</w:t>
      </w:r>
      <w:r>
        <w:rPr>
          <w:rFonts w:cs="Arial"/>
          <w:sz w:val="18"/>
          <w:szCs w:val="18"/>
        </w:rPr>
        <w:t xml:space="preserve"> (Eurostat). </w:t>
      </w:r>
      <w:r w:rsidRPr="00EA7D42">
        <w:rPr>
          <w:rFonts w:cs="Arial"/>
          <w:sz w:val="18"/>
          <w:szCs w:val="18"/>
        </w:rPr>
        <w:t xml:space="preserve">Nomenklatura byla původně </w:t>
      </w:r>
      <w:r>
        <w:rPr>
          <w:rFonts w:cs="Arial"/>
          <w:sz w:val="18"/>
          <w:szCs w:val="18"/>
        </w:rPr>
        <w:t xml:space="preserve">Eurostatem </w:t>
      </w:r>
      <w:r w:rsidRPr="00EA7D42">
        <w:rPr>
          <w:rFonts w:cs="Arial"/>
          <w:sz w:val="18"/>
          <w:szCs w:val="18"/>
        </w:rPr>
        <w:t>vypraco</w:t>
      </w:r>
      <w:r>
        <w:rPr>
          <w:rFonts w:cs="Arial"/>
          <w:sz w:val="18"/>
          <w:szCs w:val="18"/>
        </w:rPr>
        <w:t>vána již v roce 1969 a její pozdější</w:t>
      </w:r>
      <w:r w:rsidRPr="00EA7D42">
        <w:rPr>
          <w:rFonts w:cs="Arial"/>
          <w:sz w:val="18"/>
          <w:szCs w:val="18"/>
        </w:rPr>
        <w:t xml:space="preserve"> verze byly </w:t>
      </w:r>
      <w:r>
        <w:rPr>
          <w:rFonts w:cs="Arial"/>
          <w:sz w:val="18"/>
          <w:szCs w:val="18"/>
        </w:rPr>
        <w:t xml:space="preserve">několikrát </w:t>
      </w:r>
      <w:r w:rsidRPr="00EA7D42">
        <w:rPr>
          <w:rFonts w:cs="Arial"/>
          <w:sz w:val="18"/>
          <w:szCs w:val="18"/>
        </w:rPr>
        <w:t xml:space="preserve">revidovány </w:t>
      </w:r>
      <w:r>
        <w:rPr>
          <w:rFonts w:cs="Arial"/>
          <w:sz w:val="18"/>
          <w:szCs w:val="18"/>
        </w:rPr>
        <w:t>(</w:t>
      </w:r>
      <w:r w:rsidRPr="00EA7D42">
        <w:rPr>
          <w:rFonts w:cs="Arial"/>
          <w:sz w:val="18"/>
          <w:szCs w:val="18"/>
        </w:rPr>
        <w:t>v letech 1975</w:t>
      </w:r>
      <w:r>
        <w:rPr>
          <w:rFonts w:cs="Arial"/>
          <w:sz w:val="18"/>
          <w:szCs w:val="18"/>
        </w:rPr>
        <w:t xml:space="preserve">, </w:t>
      </w:r>
      <w:r w:rsidRPr="00EA7D42">
        <w:rPr>
          <w:rFonts w:cs="Arial"/>
          <w:sz w:val="18"/>
          <w:szCs w:val="18"/>
        </w:rPr>
        <w:t>1983</w:t>
      </w:r>
      <w:r>
        <w:rPr>
          <w:rFonts w:cs="Arial"/>
          <w:sz w:val="18"/>
          <w:szCs w:val="18"/>
        </w:rPr>
        <w:t>, 1992 a 2007)</w:t>
      </w:r>
      <w:r w:rsidRPr="00EA7D42">
        <w:rPr>
          <w:rFonts w:cs="Arial"/>
          <w:sz w:val="18"/>
          <w:szCs w:val="18"/>
        </w:rPr>
        <w:t>.</w:t>
      </w:r>
    </w:p>
    <w:p w:rsidR="008A45AF" w:rsidRPr="007A2F09" w:rsidRDefault="008A45AF" w:rsidP="005927F3">
      <w:pPr>
        <w:pStyle w:val="Textpoznpodarou"/>
        <w:rPr>
          <w:rFonts w:cs="Arial"/>
          <w:sz w:val="18"/>
          <w:szCs w:val="18"/>
        </w:rPr>
      </w:pPr>
      <w:r w:rsidRPr="008F0BC7">
        <w:rPr>
          <w:rFonts w:cs="Arial"/>
          <w:sz w:val="18"/>
          <w:szCs w:val="18"/>
          <w:u w:val="single"/>
        </w:rPr>
        <w:t>Socioekonomickým cílem</w:t>
      </w:r>
      <w:r>
        <w:rPr>
          <w:rFonts w:cs="Arial"/>
          <w:sz w:val="18"/>
          <w:szCs w:val="18"/>
        </w:rPr>
        <w:t xml:space="preserve"> se rozumí předem vymezená oblast výzkumu a vývoje, která se používá pro analytické účely při klasifikaci státních rozpočtových výdajů na VaV.  </w:t>
      </w:r>
    </w:p>
  </w:footnote>
  <w:footnote w:id="15">
    <w:p w:rsidR="008A45AF" w:rsidRPr="004E624F" w:rsidRDefault="008A45AF" w:rsidP="004E624F">
      <w:pPr>
        <w:spacing w:before="120" w:after="120"/>
        <w:jc w:val="both"/>
        <w:rPr>
          <w:sz w:val="18"/>
        </w:rPr>
      </w:pPr>
      <w:r w:rsidRPr="004E624F">
        <w:rPr>
          <w:rStyle w:val="Znakapoznpodarou"/>
          <w:sz w:val="18"/>
        </w:rPr>
        <w:footnoteRef/>
      </w:r>
      <w:r w:rsidRPr="004E624F">
        <w:rPr>
          <w:sz w:val="18"/>
        </w:rPr>
        <w:t xml:space="preserve"> Započteme-li do veřejného financování VaV v této oblasti také investice do VaV v oblasti technických věd, které jsou podcílem „Všeobecné rozvoje znalostí“, vzrostou celkové výdaje na VaV v oblasti průmyslové výroby a technologie na částku 7 mld. Kč.</w:t>
      </w:r>
    </w:p>
    <w:p w:rsidR="008A45AF" w:rsidRDefault="008A45AF">
      <w:pPr>
        <w:pStyle w:val="Textpoznpodarou"/>
      </w:pPr>
    </w:p>
  </w:footnote>
  <w:footnote w:id="16">
    <w:p w:rsidR="008A45AF" w:rsidRDefault="008A45AF">
      <w:pPr>
        <w:pStyle w:val="Textpoznpodarou"/>
      </w:pPr>
      <w:r w:rsidRPr="005D17AB">
        <w:rPr>
          <w:rStyle w:val="Znakapoznpodarou"/>
          <w:sz w:val="18"/>
        </w:rPr>
        <w:footnoteRef/>
      </w:r>
      <w:r w:rsidRPr="005D17AB">
        <w:rPr>
          <w:sz w:val="18"/>
        </w:rPr>
        <w:t xml:space="preserve"> </w:t>
      </w:r>
      <w:hyperlink r:id="rId9" w:history="1">
        <w:r w:rsidRPr="000E4A20">
          <w:rPr>
            <w:rStyle w:val="Hypertextovodkaz"/>
            <w:sz w:val="18"/>
          </w:rPr>
          <w:t>https://ec.europa.eu/info/strategy/priorities-2019-2024/european-green-deal_cs</w:t>
        </w:r>
      </w:hyperlink>
      <w:r>
        <w:rPr>
          <w:sz w:val="18"/>
        </w:rPr>
        <w:t xml:space="preserve"> </w:t>
      </w:r>
    </w:p>
  </w:footnote>
  <w:footnote w:id="17">
    <w:p w:rsidR="008A45AF" w:rsidRPr="00455C4D" w:rsidRDefault="008A45AF" w:rsidP="00455C4D">
      <w:pPr>
        <w:pStyle w:val="Textpoznpodarou"/>
        <w:rPr>
          <w:sz w:val="18"/>
          <w:szCs w:val="18"/>
        </w:rPr>
      </w:pPr>
      <w:r w:rsidRPr="00455C4D">
        <w:rPr>
          <w:rStyle w:val="Znakapoznpodarou"/>
          <w:sz w:val="18"/>
          <w:szCs w:val="18"/>
        </w:rPr>
        <w:footnoteRef/>
      </w:r>
      <w:r w:rsidRPr="00455C4D">
        <w:rPr>
          <w:sz w:val="18"/>
          <w:szCs w:val="18"/>
        </w:rPr>
        <w:t xml:space="preserve"> Dřívější socioekonomický cíl NAB</w:t>
      </w:r>
      <w:r>
        <w:rPr>
          <w:sz w:val="18"/>
          <w:szCs w:val="18"/>
        </w:rPr>
        <w:t>S 1992 – Společenské struktury a</w:t>
      </w:r>
      <w:r w:rsidRPr="00455C4D">
        <w:rPr>
          <w:sz w:val="18"/>
          <w:szCs w:val="18"/>
        </w:rPr>
        <w:t xml:space="preserve"> vztahy byl revizí NABS 2007 rozdělen na tři samostatné socioekonomické cíle: Vzdělání (SEO 09), Kultura, rekreace, náboženství a média (SEO 10) a Politické a sociální systémy, struktury a procesy (SEO 11). </w:t>
      </w:r>
    </w:p>
    <w:p w:rsidR="008A45AF" w:rsidRDefault="008A45AF">
      <w:pPr>
        <w:pStyle w:val="Textpoznpodarou"/>
      </w:pPr>
    </w:p>
  </w:footnote>
  <w:footnote w:id="18">
    <w:p w:rsidR="008A45AF" w:rsidRPr="00835003" w:rsidRDefault="008A45AF">
      <w:pPr>
        <w:pStyle w:val="Textpoznpodarou"/>
        <w:rPr>
          <w:sz w:val="18"/>
        </w:rPr>
      </w:pPr>
      <w:r w:rsidRPr="00835003">
        <w:rPr>
          <w:rStyle w:val="Znakapoznpodarou"/>
          <w:sz w:val="18"/>
        </w:rPr>
        <w:footnoteRef/>
      </w:r>
      <w:r w:rsidRPr="00835003">
        <w:rPr>
          <w:sz w:val="18"/>
        </w:rPr>
        <w:t xml:space="preserve"> </w:t>
      </w:r>
      <w:r>
        <w:rPr>
          <w:sz w:val="18"/>
        </w:rPr>
        <w:t xml:space="preserve">Bez Velké Británie, která v roce 2019 vynaložila na podporu výzkumu a vývoje prostřednictvím státních rozpočtových výdajů na VaV částku 14,1 mld.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AF" w:rsidRPr="00A64076" w:rsidRDefault="008A45AF" w:rsidP="00A64076">
    <w:pPr>
      <w:pStyle w:val="Zhlav"/>
    </w:pPr>
    <w:r w:rsidRPr="00A64076">
      <w:rPr>
        <w:rFonts w:cs="Arial"/>
        <w:szCs w:val="16"/>
      </w:rPr>
      <w:t>Přímá veřejná podpora výzkumu a vývoje / Direct public supp</w:t>
    </w:r>
    <w:r>
      <w:rPr>
        <w:rFonts w:cs="Arial"/>
        <w:szCs w:val="16"/>
      </w:rPr>
      <w:t>ort of Research and D</w:t>
    </w:r>
    <w:r w:rsidRPr="00A64076">
      <w:rPr>
        <w:rFonts w:cs="Arial"/>
        <w:szCs w:val="16"/>
      </w:rPr>
      <w:t>evelopment</w:t>
    </w:r>
  </w:p>
  <w:p w:rsidR="008A45AF" w:rsidRPr="00A64076" w:rsidRDefault="008A45AF" w:rsidP="00A640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AF" w:rsidRPr="00A64076" w:rsidRDefault="008A45AF" w:rsidP="00937AE2">
    <w:pPr>
      <w:pStyle w:val="Zhlav"/>
    </w:pPr>
    <w:r w:rsidRPr="00A64076">
      <w:rPr>
        <w:rFonts w:cs="Arial"/>
        <w:szCs w:val="16"/>
      </w:rPr>
      <w:t>Přímá veřejná podpora výzkumu a vývoje / Direct public supp</w:t>
    </w:r>
    <w:r>
      <w:rPr>
        <w:rFonts w:cs="Arial"/>
        <w:szCs w:val="16"/>
      </w:rPr>
      <w:t>ort of Research and D</w:t>
    </w:r>
    <w:r w:rsidRPr="00A64076">
      <w:rPr>
        <w:rFonts w:cs="Arial"/>
        <w:szCs w:val="16"/>
      </w:rPr>
      <w:t>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820"/>
    <w:multiLevelType w:val="hybridMultilevel"/>
    <w:tmpl w:val="6AC8F2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A72C83"/>
    <w:multiLevelType w:val="hybridMultilevel"/>
    <w:tmpl w:val="BD6A2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6" w15:restartNumberingAfterBreak="0">
    <w:nsid w:val="1FF6629A"/>
    <w:multiLevelType w:val="hybridMultilevel"/>
    <w:tmpl w:val="DFAC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93248"/>
    <w:multiLevelType w:val="hybridMultilevel"/>
    <w:tmpl w:val="830037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A7E7E"/>
    <w:multiLevelType w:val="hybridMultilevel"/>
    <w:tmpl w:val="EFFC5F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6E9A"/>
    <w:multiLevelType w:val="hybridMultilevel"/>
    <w:tmpl w:val="3F643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4A29AE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D51AE1"/>
    <w:multiLevelType w:val="hybridMultilevel"/>
    <w:tmpl w:val="BA32B2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D3B76"/>
    <w:multiLevelType w:val="hybridMultilevel"/>
    <w:tmpl w:val="CE4003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D221B"/>
    <w:multiLevelType w:val="hybridMultilevel"/>
    <w:tmpl w:val="75F00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56D4F"/>
    <w:multiLevelType w:val="hybridMultilevel"/>
    <w:tmpl w:val="66C61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A4585"/>
    <w:multiLevelType w:val="hybridMultilevel"/>
    <w:tmpl w:val="6944E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C0472"/>
    <w:multiLevelType w:val="hybridMultilevel"/>
    <w:tmpl w:val="749E6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3183A"/>
    <w:multiLevelType w:val="hybridMultilevel"/>
    <w:tmpl w:val="2EDC03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470B0"/>
    <w:multiLevelType w:val="hybridMultilevel"/>
    <w:tmpl w:val="B0E82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1B95"/>
    <w:multiLevelType w:val="hybridMultilevel"/>
    <w:tmpl w:val="A14C72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6"/>
  </w:num>
  <w:num w:numId="14">
    <w:abstractNumId w:val="27"/>
  </w:num>
  <w:num w:numId="15">
    <w:abstractNumId w:val="20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 w:numId="20">
    <w:abstractNumId w:val="32"/>
  </w:num>
  <w:num w:numId="21">
    <w:abstractNumId w:val="21"/>
  </w:num>
  <w:num w:numId="22">
    <w:abstractNumId w:val="10"/>
  </w:num>
  <w:num w:numId="23">
    <w:abstractNumId w:val="11"/>
  </w:num>
  <w:num w:numId="24">
    <w:abstractNumId w:val="31"/>
  </w:num>
  <w:num w:numId="25">
    <w:abstractNumId w:val="28"/>
  </w:num>
  <w:num w:numId="26">
    <w:abstractNumId w:val="30"/>
  </w:num>
  <w:num w:numId="27">
    <w:abstractNumId w:val="33"/>
  </w:num>
  <w:num w:numId="28">
    <w:abstractNumId w:val="18"/>
  </w:num>
  <w:num w:numId="29">
    <w:abstractNumId w:val="22"/>
  </w:num>
  <w:num w:numId="30">
    <w:abstractNumId w:val="17"/>
  </w:num>
  <w:num w:numId="31">
    <w:abstractNumId w:val="23"/>
  </w:num>
  <w:num w:numId="32">
    <w:abstractNumId w:val="14"/>
  </w:num>
  <w:num w:numId="33">
    <w:abstractNumId w:val="2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008A9"/>
    <w:rsid w:val="0000209D"/>
    <w:rsid w:val="00002EB0"/>
    <w:rsid w:val="0000345D"/>
    <w:rsid w:val="00004BFB"/>
    <w:rsid w:val="00004D5A"/>
    <w:rsid w:val="000050C3"/>
    <w:rsid w:val="000056D5"/>
    <w:rsid w:val="0000586D"/>
    <w:rsid w:val="0000767A"/>
    <w:rsid w:val="00007DC3"/>
    <w:rsid w:val="00010702"/>
    <w:rsid w:val="00013A27"/>
    <w:rsid w:val="00013C0D"/>
    <w:rsid w:val="00014613"/>
    <w:rsid w:val="0001478B"/>
    <w:rsid w:val="00015E2B"/>
    <w:rsid w:val="00020B06"/>
    <w:rsid w:val="00021A50"/>
    <w:rsid w:val="000220C7"/>
    <w:rsid w:val="000234D6"/>
    <w:rsid w:val="00023573"/>
    <w:rsid w:val="00023D29"/>
    <w:rsid w:val="00023F11"/>
    <w:rsid w:val="00026389"/>
    <w:rsid w:val="0002767B"/>
    <w:rsid w:val="00031AE0"/>
    <w:rsid w:val="000322EF"/>
    <w:rsid w:val="00033FCD"/>
    <w:rsid w:val="00037373"/>
    <w:rsid w:val="00037BB1"/>
    <w:rsid w:val="000407E8"/>
    <w:rsid w:val="00041CEC"/>
    <w:rsid w:val="00042638"/>
    <w:rsid w:val="0004272F"/>
    <w:rsid w:val="00042871"/>
    <w:rsid w:val="00045AD3"/>
    <w:rsid w:val="0004694F"/>
    <w:rsid w:val="000505C7"/>
    <w:rsid w:val="000522E4"/>
    <w:rsid w:val="00052691"/>
    <w:rsid w:val="000532D5"/>
    <w:rsid w:val="0005478C"/>
    <w:rsid w:val="000561A2"/>
    <w:rsid w:val="000566DE"/>
    <w:rsid w:val="00060ABC"/>
    <w:rsid w:val="000610E1"/>
    <w:rsid w:val="000615F0"/>
    <w:rsid w:val="00062EC5"/>
    <w:rsid w:val="00062F22"/>
    <w:rsid w:val="0006496F"/>
    <w:rsid w:val="000704E1"/>
    <w:rsid w:val="000712B3"/>
    <w:rsid w:val="00076ED6"/>
    <w:rsid w:val="00081B54"/>
    <w:rsid w:val="0008263E"/>
    <w:rsid w:val="00082C19"/>
    <w:rsid w:val="00083354"/>
    <w:rsid w:val="00084B5D"/>
    <w:rsid w:val="00085395"/>
    <w:rsid w:val="000856D9"/>
    <w:rsid w:val="00087634"/>
    <w:rsid w:val="0008785C"/>
    <w:rsid w:val="00087F2B"/>
    <w:rsid w:val="000919CB"/>
    <w:rsid w:val="00091B0E"/>
    <w:rsid w:val="00094B26"/>
    <w:rsid w:val="00096985"/>
    <w:rsid w:val="000974D1"/>
    <w:rsid w:val="0009799E"/>
    <w:rsid w:val="000A1183"/>
    <w:rsid w:val="000A256D"/>
    <w:rsid w:val="000A3A2C"/>
    <w:rsid w:val="000A5A9A"/>
    <w:rsid w:val="000A63FF"/>
    <w:rsid w:val="000A7703"/>
    <w:rsid w:val="000A7A17"/>
    <w:rsid w:val="000B1F44"/>
    <w:rsid w:val="000B72E1"/>
    <w:rsid w:val="000C1E69"/>
    <w:rsid w:val="000C3408"/>
    <w:rsid w:val="000C6AFD"/>
    <w:rsid w:val="000D3EA1"/>
    <w:rsid w:val="000D4D16"/>
    <w:rsid w:val="000D5637"/>
    <w:rsid w:val="000D5E10"/>
    <w:rsid w:val="000D6079"/>
    <w:rsid w:val="000E144B"/>
    <w:rsid w:val="000E5B9C"/>
    <w:rsid w:val="000E6FBD"/>
    <w:rsid w:val="000E70B7"/>
    <w:rsid w:val="000F305C"/>
    <w:rsid w:val="000F526E"/>
    <w:rsid w:val="000F6B88"/>
    <w:rsid w:val="00100F5C"/>
    <w:rsid w:val="00104C4C"/>
    <w:rsid w:val="00105EB7"/>
    <w:rsid w:val="001107F3"/>
    <w:rsid w:val="00113EA2"/>
    <w:rsid w:val="00114A3C"/>
    <w:rsid w:val="0012192F"/>
    <w:rsid w:val="001219B8"/>
    <w:rsid w:val="001258CC"/>
    <w:rsid w:val="00125D69"/>
    <w:rsid w:val="001368BF"/>
    <w:rsid w:val="00136B92"/>
    <w:rsid w:val="00137D26"/>
    <w:rsid w:val="001405FA"/>
    <w:rsid w:val="00141D85"/>
    <w:rsid w:val="00142397"/>
    <w:rsid w:val="001425C3"/>
    <w:rsid w:val="00142BF5"/>
    <w:rsid w:val="001431E4"/>
    <w:rsid w:val="0014597B"/>
    <w:rsid w:val="00146E35"/>
    <w:rsid w:val="0015165E"/>
    <w:rsid w:val="001573F8"/>
    <w:rsid w:val="00161F6B"/>
    <w:rsid w:val="0016256B"/>
    <w:rsid w:val="00163793"/>
    <w:rsid w:val="00164F61"/>
    <w:rsid w:val="0016717A"/>
    <w:rsid w:val="00170483"/>
    <w:rsid w:val="001706D6"/>
    <w:rsid w:val="00170B02"/>
    <w:rsid w:val="001714F2"/>
    <w:rsid w:val="00171610"/>
    <w:rsid w:val="0017289A"/>
    <w:rsid w:val="00183C69"/>
    <w:rsid w:val="00183EC4"/>
    <w:rsid w:val="00184B08"/>
    <w:rsid w:val="00185010"/>
    <w:rsid w:val="0019036D"/>
    <w:rsid w:val="00194487"/>
    <w:rsid w:val="001A1B7B"/>
    <w:rsid w:val="001A2FD2"/>
    <w:rsid w:val="001A552F"/>
    <w:rsid w:val="001A6972"/>
    <w:rsid w:val="001B0443"/>
    <w:rsid w:val="001B263E"/>
    <w:rsid w:val="001B2CA9"/>
    <w:rsid w:val="001B3110"/>
    <w:rsid w:val="001B4729"/>
    <w:rsid w:val="001B6C09"/>
    <w:rsid w:val="001C05CD"/>
    <w:rsid w:val="001C088A"/>
    <w:rsid w:val="001C1270"/>
    <w:rsid w:val="001C1312"/>
    <w:rsid w:val="001C242D"/>
    <w:rsid w:val="001C39BA"/>
    <w:rsid w:val="001D17D8"/>
    <w:rsid w:val="001D2216"/>
    <w:rsid w:val="001D29AD"/>
    <w:rsid w:val="001D3A62"/>
    <w:rsid w:val="001D68B2"/>
    <w:rsid w:val="001D69D3"/>
    <w:rsid w:val="001D7B1D"/>
    <w:rsid w:val="001D7E48"/>
    <w:rsid w:val="001E1CB7"/>
    <w:rsid w:val="001E3071"/>
    <w:rsid w:val="001F18FE"/>
    <w:rsid w:val="001F2DF9"/>
    <w:rsid w:val="001F3229"/>
    <w:rsid w:val="001F3F3C"/>
    <w:rsid w:val="001F4597"/>
    <w:rsid w:val="001F4ED6"/>
    <w:rsid w:val="001F71C2"/>
    <w:rsid w:val="002003A2"/>
    <w:rsid w:val="00201CF8"/>
    <w:rsid w:val="002025A2"/>
    <w:rsid w:val="00203023"/>
    <w:rsid w:val="0020769F"/>
    <w:rsid w:val="002118B9"/>
    <w:rsid w:val="00211FA8"/>
    <w:rsid w:val="00212372"/>
    <w:rsid w:val="00217C5B"/>
    <w:rsid w:val="002200F4"/>
    <w:rsid w:val="002201FE"/>
    <w:rsid w:val="0022139E"/>
    <w:rsid w:val="00222DD0"/>
    <w:rsid w:val="002252E0"/>
    <w:rsid w:val="002255F6"/>
    <w:rsid w:val="00226316"/>
    <w:rsid w:val="00226974"/>
    <w:rsid w:val="0022756F"/>
    <w:rsid w:val="00227850"/>
    <w:rsid w:val="00227A53"/>
    <w:rsid w:val="00230C6E"/>
    <w:rsid w:val="00236443"/>
    <w:rsid w:val="00236666"/>
    <w:rsid w:val="00236D2B"/>
    <w:rsid w:val="00236EFB"/>
    <w:rsid w:val="002411B5"/>
    <w:rsid w:val="002418C5"/>
    <w:rsid w:val="0024260F"/>
    <w:rsid w:val="002432A2"/>
    <w:rsid w:val="00243327"/>
    <w:rsid w:val="002436BA"/>
    <w:rsid w:val="00244A15"/>
    <w:rsid w:val="00246C57"/>
    <w:rsid w:val="00246EE1"/>
    <w:rsid w:val="00247319"/>
    <w:rsid w:val="0024799E"/>
    <w:rsid w:val="00247EDB"/>
    <w:rsid w:val="0025148C"/>
    <w:rsid w:val="00251D5E"/>
    <w:rsid w:val="002536F1"/>
    <w:rsid w:val="00253C0F"/>
    <w:rsid w:val="00255688"/>
    <w:rsid w:val="00260A6E"/>
    <w:rsid w:val="00261016"/>
    <w:rsid w:val="002652D6"/>
    <w:rsid w:val="00270A60"/>
    <w:rsid w:val="00270FA6"/>
    <w:rsid w:val="00271465"/>
    <w:rsid w:val="00277982"/>
    <w:rsid w:val="00282929"/>
    <w:rsid w:val="002848A8"/>
    <w:rsid w:val="00285412"/>
    <w:rsid w:val="00290A9A"/>
    <w:rsid w:val="002932B6"/>
    <w:rsid w:val="00295DD2"/>
    <w:rsid w:val="00296A55"/>
    <w:rsid w:val="002A16D4"/>
    <w:rsid w:val="002A230C"/>
    <w:rsid w:val="002A630E"/>
    <w:rsid w:val="002A7890"/>
    <w:rsid w:val="002B15DC"/>
    <w:rsid w:val="002B27A6"/>
    <w:rsid w:val="002B2999"/>
    <w:rsid w:val="002B5401"/>
    <w:rsid w:val="002C2920"/>
    <w:rsid w:val="002C2CF8"/>
    <w:rsid w:val="002C43BD"/>
    <w:rsid w:val="002C5283"/>
    <w:rsid w:val="002C7121"/>
    <w:rsid w:val="002D0E59"/>
    <w:rsid w:val="002D1CCD"/>
    <w:rsid w:val="002E02A1"/>
    <w:rsid w:val="002E3AAB"/>
    <w:rsid w:val="002E4E4C"/>
    <w:rsid w:val="002E787F"/>
    <w:rsid w:val="002F0828"/>
    <w:rsid w:val="002F2BA3"/>
    <w:rsid w:val="002F4CB1"/>
    <w:rsid w:val="002F50C1"/>
    <w:rsid w:val="002F52F4"/>
    <w:rsid w:val="002F702C"/>
    <w:rsid w:val="00301BDE"/>
    <w:rsid w:val="00304771"/>
    <w:rsid w:val="00304EBE"/>
    <w:rsid w:val="003052D4"/>
    <w:rsid w:val="00306C5B"/>
    <w:rsid w:val="00313676"/>
    <w:rsid w:val="003139D6"/>
    <w:rsid w:val="00313A32"/>
    <w:rsid w:val="00320135"/>
    <w:rsid w:val="003209D6"/>
    <w:rsid w:val="00321924"/>
    <w:rsid w:val="00322CDC"/>
    <w:rsid w:val="00326534"/>
    <w:rsid w:val="0032656E"/>
    <w:rsid w:val="003266E9"/>
    <w:rsid w:val="00332190"/>
    <w:rsid w:val="00332625"/>
    <w:rsid w:val="00332F0E"/>
    <w:rsid w:val="00333DE8"/>
    <w:rsid w:val="00334DAF"/>
    <w:rsid w:val="0034278B"/>
    <w:rsid w:val="00344668"/>
    <w:rsid w:val="00345687"/>
    <w:rsid w:val="003462D9"/>
    <w:rsid w:val="00346E53"/>
    <w:rsid w:val="003528D7"/>
    <w:rsid w:val="00353EF9"/>
    <w:rsid w:val="0035401D"/>
    <w:rsid w:val="0036011B"/>
    <w:rsid w:val="00360C86"/>
    <w:rsid w:val="00360E00"/>
    <w:rsid w:val="00361B39"/>
    <w:rsid w:val="00363F72"/>
    <w:rsid w:val="003657F3"/>
    <w:rsid w:val="00365A1F"/>
    <w:rsid w:val="00371645"/>
    <w:rsid w:val="00372424"/>
    <w:rsid w:val="00374114"/>
    <w:rsid w:val="00374638"/>
    <w:rsid w:val="0037723D"/>
    <w:rsid w:val="00377387"/>
    <w:rsid w:val="003773FC"/>
    <w:rsid w:val="0038018D"/>
    <w:rsid w:val="003818DC"/>
    <w:rsid w:val="00383823"/>
    <w:rsid w:val="00383CCE"/>
    <w:rsid w:val="00384327"/>
    <w:rsid w:val="00385D98"/>
    <w:rsid w:val="00392134"/>
    <w:rsid w:val="003941F7"/>
    <w:rsid w:val="003A0A7B"/>
    <w:rsid w:val="003A2B4D"/>
    <w:rsid w:val="003A3EE8"/>
    <w:rsid w:val="003A478C"/>
    <w:rsid w:val="003A5525"/>
    <w:rsid w:val="003A6B38"/>
    <w:rsid w:val="003A7FDD"/>
    <w:rsid w:val="003B228E"/>
    <w:rsid w:val="003B5A32"/>
    <w:rsid w:val="003C3490"/>
    <w:rsid w:val="003C5C82"/>
    <w:rsid w:val="003C7CB3"/>
    <w:rsid w:val="003D6920"/>
    <w:rsid w:val="003D7360"/>
    <w:rsid w:val="003E00C3"/>
    <w:rsid w:val="003E055B"/>
    <w:rsid w:val="003E21B3"/>
    <w:rsid w:val="003E4C91"/>
    <w:rsid w:val="003E60D2"/>
    <w:rsid w:val="003E6972"/>
    <w:rsid w:val="003E7B38"/>
    <w:rsid w:val="003F313C"/>
    <w:rsid w:val="003F4B2C"/>
    <w:rsid w:val="003F551C"/>
    <w:rsid w:val="003F61C0"/>
    <w:rsid w:val="003F64C1"/>
    <w:rsid w:val="003F7D23"/>
    <w:rsid w:val="004004F6"/>
    <w:rsid w:val="00404B43"/>
    <w:rsid w:val="00407C13"/>
    <w:rsid w:val="00410638"/>
    <w:rsid w:val="00413801"/>
    <w:rsid w:val="00413A9B"/>
    <w:rsid w:val="004154CB"/>
    <w:rsid w:val="00417021"/>
    <w:rsid w:val="00423F76"/>
    <w:rsid w:val="00430DD3"/>
    <w:rsid w:val="00431892"/>
    <w:rsid w:val="00432A58"/>
    <w:rsid w:val="00434617"/>
    <w:rsid w:val="00440900"/>
    <w:rsid w:val="0044407A"/>
    <w:rsid w:val="0044414A"/>
    <w:rsid w:val="004441A0"/>
    <w:rsid w:val="00446ACB"/>
    <w:rsid w:val="004470BF"/>
    <w:rsid w:val="00453A91"/>
    <w:rsid w:val="0045596A"/>
    <w:rsid w:val="00455A04"/>
    <w:rsid w:val="00455C4D"/>
    <w:rsid w:val="00456B80"/>
    <w:rsid w:val="00456C3F"/>
    <w:rsid w:val="00460FB3"/>
    <w:rsid w:val="00462DBE"/>
    <w:rsid w:val="00472B9F"/>
    <w:rsid w:val="00475764"/>
    <w:rsid w:val="00475C32"/>
    <w:rsid w:val="00476240"/>
    <w:rsid w:val="00476439"/>
    <w:rsid w:val="0047735C"/>
    <w:rsid w:val="004776BC"/>
    <w:rsid w:val="00477E59"/>
    <w:rsid w:val="0048139F"/>
    <w:rsid w:val="00481E40"/>
    <w:rsid w:val="004837FB"/>
    <w:rsid w:val="004848FA"/>
    <w:rsid w:val="00484ECE"/>
    <w:rsid w:val="0048537A"/>
    <w:rsid w:val="00491385"/>
    <w:rsid w:val="004915CB"/>
    <w:rsid w:val="004924DC"/>
    <w:rsid w:val="004A13C1"/>
    <w:rsid w:val="004A14E4"/>
    <w:rsid w:val="004A3212"/>
    <w:rsid w:val="004A61C5"/>
    <w:rsid w:val="004A6F98"/>
    <w:rsid w:val="004A77DF"/>
    <w:rsid w:val="004B0DDF"/>
    <w:rsid w:val="004B1417"/>
    <w:rsid w:val="004B22BA"/>
    <w:rsid w:val="004B40B8"/>
    <w:rsid w:val="004B55B7"/>
    <w:rsid w:val="004B6468"/>
    <w:rsid w:val="004B64A5"/>
    <w:rsid w:val="004B7810"/>
    <w:rsid w:val="004C17F9"/>
    <w:rsid w:val="004C384C"/>
    <w:rsid w:val="004C3867"/>
    <w:rsid w:val="004C4B12"/>
    <w:rsid w:val="004C4CD0"/>
    <w:rsid w:val="004C70DC"/>
    <w:rsid w:val="004D0211"/>
    <w:rsid w:val="004D0794"/>
    <w:rsid w:val="004D0E4F"/>
    <w:rsid w:val="004D50AF"/>
    <w:rsid w:val="004D7498"/>
    <w:rsid w:val="004D7AF1"/>
    <w:rsid w:val="004E108B"/>
    <w:rsid w:val="004E2B1B"/>
    <w:rsid w:val="004E624F"/>
    <w:rsid w:val="004E7B32"/>
    <w:rsid w:val="004F06F5"/>
    <w:rsid w:val="004F1072"/>
    <w:rsid w:val="004F17EB"/>
    <w:rsid w:val="004F33A0"/>
    <w:rsid w:val="00502800"/>
    <w:rsid w:val="0050683C"/>
    <w:rsid w:val="00507189"/>
    <w:rsid w:val="005108C0"/>
    <w:rsid w:val="0051104D"/>
    <w:rsid w:val="00511679"/>
    <w:rsid w:val="00511873"/>
    <w:rsid w:val="0051269B"/>
    <w:rsid w:val="00512A2F"/>
    <w:rsid w:val="00513B7E"/>
    <w:rsid w:val="00515C74"/>
    <w:rsid w:val="00515FAB"/>
    <w:rsid w:val="00516873"/>
    <w:rsid w:val="0052007E"/>
    <w:rsid w:val="005201D6"/>
    <w:rsid w:val="00521E5C"/>
    <w:rsid w:val="005232FF"/>
    <w:rsid w:val="0052337A"/>
    <w:rsid w:val="0052407C"/>
    <w:rsid w:val="00525137"/>
    <w:rsid w:val="005251DD"/>
    <w:rsid w:val="0053093F"/>
    <w:rsid w:val="00531475"/>
    <w:rsid w:val="00531FFE"/>
    <w:rsid w:val="00532CE7"/>
    <w:rsid w:val="00532FDC"/>
    <w:rsid w:val="0053324C"/>
    <w:rsid w:val="00534A28"/>
    <w:rsid w:val="00535E91"/>
    <w:rsid w:val="00535FF1"/>
    <w:rsid w:val="00536B9F"/>
    <w:rsid w:val="00537603"/>
    <w:rsid w:val="005379C8"/>
    <w:rsid w:val="00541508"/>
    <w:rsid w:val="005430EE"/>
    <w:rsid w:val="00553107"/>
    <w:rsid w:val="00553203"/>
    <w:rsid w:val="0055599F"/>
    <w:rsid w:val="00556D68"/>
    <w:rsid w:val="005610DE"/>
    <w:rsid w:val="005647BF"/>
    <w:rsid w:val="00571DCC"/>
    <w:rsid w:val="0057364B"/>
    <w:rsid w:val="00574773"/>
    <w:rsid w:val="00575FB6"/>
    <w:rsid w:val="0058204B"/>
    <w:rsid w:val="00583433"/>
    <w:rsid w:val="00583FFD"/>
    <w:rsid w:val="005850E6"/>
    <w:rsid w:val="005911BE"/>
    <w:rsid w:val="005927F3"/>
    <w:rsid w:val="00593152"/>
    <w:rsid w:val="00594771"/>
    <w:rsid w:val="00595A0C"/>
    <w:rsid w:val="00596E5D"/>
    <w:rsid w:val="005977C5"/>
    <w:rsid w:val="005A10F2"/>
    <w:rsid w:val="005A21E0"/>
    <w:rsid w:val="005A28FF"/>
    <w:rsid w:val="005A3DF8"/>
    <w:rsid w:val="005A4A4A"/>
    <w:rsid w:val="005A51F1"/>
    <w:rsid w:val="005A5549"/>
    <w:rsid w:val="005A5F91"/>
    <w:rsid w:val="005A6FF3"/>
    <w:rsid w:val="005B0421"/>
    <w:rsid w:val="005B121D"/>
    <w:rsid w:val="005B1EFC"/>
    <w:rsid w:val="005B4040"/>
    <w:rsid w:val="005B5D66"/>
    <w:rsid w:val="005B73A6"/>
    <w:rsid w:val="005B7D13"/>
    <w:rsid w:val="005C06ED"/>
    <w:rsid w:val="005C10AE"/>
    <w:rsid w:val="005C4EE9"/>
    <w:rsid w:val="005C5A55"/>
    <w:rsid w:val="005D17AB"/>
    <w:rsid w:val="005D2D9C"/>
    <w:rsid w:val="005D5802"/>
    <w:rsid w:val="005D61A5"/>
    <w:rsid w:val="005D7890"/>
    <w:rsid w:val="005E1BAE"/>
    <w:rsid w:val="005E2731"/>
    <w:rsid w:val="005E3B90"/>
    <w:rsid w:val="005E7C78"/>
    <w:rsid w:val="005F22A9"/>
    <w:rsid w:val="005F3EB1"/>
    <w:rsid w:val="005F5469"/>
    <w:rsid w:val="006013D2"/>
    <w:rsid w:val="00604307"/>
    <w:rsid w:val="0060487F"/>
    <w:rsid w:val="00604AE0"/>
    <w:rsid w:val="00604EAD"/>
    <w:rsid w:val="006061A9"/>
    <w:rsid w:val="006104FB"/>
    <w:rsid w:val="00612A2F"/>
    <w:rsid w:val="00616A37"/>
    <w:rsid w:val="00616E05"/>
    <w:rsid w:val="00624093"/>
    <w:rsid w:val="006241B8"/>
    <w:rsid w:val="00630DEB"/>
    <w:rsid w:val="006316D3"/>
    <w:rsid w:val="0063561B"/>
    <w:rsid w:val="006361DB"/>
    <w:rsid w:val="00636DB8"/>
    <w:rsid w:val="006370C5"/>
    <w:rsid w:val="006404A7"/>
    <w:rsid w:val="006405E3"/>
    <w:rsid w:val="006409D2"/>
    <w:rsid w:val="006451E4"/>
    <w:rsid w:val="00645B33"/>
    <w:rsid w:val="00646395"/>
    <w:rsid w:val="00647340"/>
    <w:rsid w:val="006500A3"/>
    <w:rsid w:val="006500FF"/>
    <w:rsid w:val="00650B5A"/>
    <w:rsid w:val="006516CB"/>
    <w:rsid w:val="00654F9A"/>
    <w:rsid w:val="006557F3"/>
    <w:rsid w:val="00657E87"/>
    <w:rsid w:val="00663155"/>
    <w:rsid w:val="00663523"/>
    <w:rsid w:val="00664803"/>
    <w:rsid w:val="006656AA"/>
    <w:rsid w:val="00665BA4"/>
    <w:rsid w:val="00667AF2"/>
    <w:rsid w:val="006710C9"/>
    <w:rsid w:val="00674D1A"/>
    <w:rsid w:val="00674D89"/>
    <w:rsid w:val="00675E37"/>
    <w:rsid w:val="00680893"/>
    <w:rsid w:val="006814B8"/>
    <w:rsid w:val="0068174E"/>
    <w:rsid w:val="00681DCE"/>
    <w:rsid w:val="006824CC"/>
    <w:rsid w:val="0068260E"/>
    <w:rsid w:val="00683C50"/>
    <w:rsid w:val="00684D0A"/>
    <w:rsid w:val="00690102"/>
    <w:rsid w:val="006911D4"/>
    <w:rsid w:val="0069275F"/>
    <w:rsid w:val="00695BEF"/>
    <w:rsid w:val="00696C06"/>
    <w:rsid w:val="006977F6"/>
    <w:rsid w:val="00697A13"/>
    <w:rsid w:val="006A109C"/>
    <w:rsid w:val="006A38C2"/>
    <w:rsid w:val="006A4EFE"/>
    <w:rsid w:val="006A4F92"/>
    <w:rsid w:val="006A6CE8"/>
    <w:rsid w:val="006A6FC7"/>
    <w:rsid w:val="006B08E4"/>
    <w:rsid w:val="006B1535"/>
    <w:rsid w:val="006B344A"/>
    <w:rsid w:val="006B5896"/>
    <w:rsid w:val="006B6B77"/>
    <w:rsid w:val="006B78D8"/>
    <w:rsid w:val="006B79FF"/>
    <w:rsid w:val="006C0919"/>
    <w:rsid w:val="006C0D21"/>
    <w:rsid w:val="006C0D3B"/>
    <w:rsid w:val="006C112B"/>
    <w:rsid w:val="006C113F"/>
    <w:rsid w:val="006C123E"/>
    <w:rsid w:val="006C1E08"/>
    <w:rsid w:val="006C56D4"/>
    <w:rsid w:val="006C6461"/>
    <w:rsid w:val="006C6924"/>
    <w:rsid w:val="006C7CA6"/>
    <w:rsid w:val="006C7F89"/>
    <w:rsid w:val="006D12CC"/>
    <w:rsid w:val="006D3E8A"/>
    <w:rsid w:val="006D5375"/>
    <w:rsid w:val="006D61F6"/>
    <w:rsid w:val="006D7FA3"/>
    <w:rsid w:val="006E1FC6"/>
    <w:rsid w:val="006E279A"/>
    <w:rsid w:val="006E283F"/>
    <w:rsid w:val="006E313B"/>
    <w:rsid w:val="006E7B5B"/>
    <w:rsid w:val="006F136D"/>
    <w:rsid w:val="006F2BCE"/>
    <w:rsid w:val="006F5416"/>
    <w:rsid w:val="006F5701"/>
    <w:rsid w:val="006F7473"/>
    <w:rsid w:val="00700682"/>
    <w:rsid w:val="00700B23"/>
    <w:rsid w:val="007021D6"/>
    <w:rsid w:val="00703765"/>
    <w:rsid w:val="007062DE"/>
    <w:rsid w:val="00706AD4"/>
    <w:rsid w:val="00712500"/>
    <w:rsid w:val="007140BE"/>
    <w:rsid w:val="0071412A"/>
    <w:rsid w:val="00714ABE"/>
    <w:rsid w:val="00715BD0"/>
    <w:rsid w:val="00717A5F"/>
    <w:rsid w:val="007211F5"/>
    <w:rsid w:val="00725BB5"/>
    <w:rsid w:val="00730AE8"/>
    <w:rsid w:val="00730DFC"/>
    <w:rsid w:val="00730EA5"/>
    <w:rsid w:val="00731C59"/>
    <w:rsid w:val="00732F8C"/>
    <w:rsid w:val="0073452B"/>
    <w:rsid w:val="00735F8D"/>
    <w:rsid w:val="00736318"/>
    <w:rsid w:val="007374E6"/>
    <w:rsid w:val="00737AB2"/>
    <w:rsid w:val="00740D66"/>
    <w:rsid w:val="00741493"/>
    <w:rsid w:val="00746A28"/>
    <w:rsid w:val="00750310"/>
    <w:rsid w:val="00752180"/>
    <w:rsid w:val="00755202"/>
    <w:rsid w:val="00755D3A"/>
    <w:rsid w:val="00756D27"/>
    <w:rsid w:val="007578D3"/>
    <w:rsid w:val="00757C5E"/>
    <w:rsid w:val="007609C6"/>
    <w:rsid w:val="0076175D"/>
    <w:rsid w:val="0076287B"/>
    <w:rsid w:val="00763315"/>
    <w:rsid w:val="00763771"/>
    <w:rsid w:val="007647DD"/>
    <w:rsid w:val="00764E86"/>
    <w:rsid w:val="0076521E"/>
    <w:rsid w:val="007661E9"/>
    <w:rsid w:val="00767B00"/>
    <w:rsid w:val="00767BEC"/>
    <w:rsid w:val="0077034F"/>
    <w:rsid w:val="00771812"/>
    <w:rsid w:val="007747FE"/>
    <w:rsid w:val="00776169"/>
    <w:rsid w:val="00776527"/>
    <w:rsid w:val="0077734E"/>
    <w:rsid w:val="00777701"/>
    <w:rsid w:val="00780EF1"/>
    <w:rsid w:val="007815A1"/>
    <w:rsid w:val="00782DFF"/>
    <w:rsid w:val="0078395A"/>
    <w:rsid w:val="00783A46"/>
    <w:rsid w:val="007853B0"/>
    <w:rsid w:val="00786CD5"/>
    <w:rsid w:val="00790764"/>
    <w:rsid w:val="00793056"/>
    <w:rsid w:val="0079453C"/>
    <w:rsid w:val="00794677"/>
    <w:rsid w:val="0079482D"/>
    <w:rsid w:val="007A6820"/>
    <w:rsid w:val="007B2060"/>
    <w:rsid w:val="007B2A7D"/>
    <w:rsid w:val="007B2FF3"/>
    <w:rsid w:val="007B6689"/>
    <w:rsid w:val="007B7D87"/>
    <w:rsid w:val="007C02E5"/>
    <w:rsid w:val="007C3EA8"/>
    <w:rsid w:val="007C5AE1"/>
    <w:rsid w:val="007C7BAE"/>
    <w:rsid w:val="007D05C5"/>
    <w:rsid w:val="007D40DF"/>
    <w:rsid w:val="007D58E6"/>
    <w:rsid w:val="007D5C20"/>
    <w:rsid w:val="007D5F44"/>
    <w:rsid w:val="007D601F"/>
    <w:rsid w:val="007D6CF9"/>
    <w:rsid w:val="007E6FCA"/>
    <w:rsid w:val="007E7420"/>
    <w:rsid w:val="007E776A"/>
    <w:rsid w:val="007E7E61"/>
    <w:rsid w:val="007F0845"/>
    <w:rsid w:val="007F15F7"/>
    <w:rsid w:val="007F1F56"/>
    <w:rsid w:val="007F2CE1"/>
    <w:rsid w:val="007F416D"/>
    <w:rsid w:val="007F52DB"/>
    <w:rsid w:val="007F6EA8"/>
    <w:rsid w:val="00801D50"/>
    <w:rsid w:val="0080347F"/>
    <w:rsid w:val="008034AD"/>
    <w:rsid w:val="00805A5E"/>
    <w:rsid w:val="0080654D"/>
    <w:rsid w:val="0080689F"/>
    <w:rsid w:val="00806C4D"/>
    <w:rsid w:val="00807C82"/>
    <w:rsid w:val="00816905"/>
    <w:rsid w:val="00817518"/>
    <w:rsid w:val="00817DB6"/>
    <w:rsid w:val="00821FF6"/>
    <w:rsid w:val="008257FC"/>
    <w:rsid w:val="00825C4D"/>
    <w:rsid w:val="0083143E"/>
    <w:rsid w:val="00831CDE"/>
    <w:rsid w:val="00832E9D"/>
    <w:rsid w:val="00834304"/>
    <w:rsid w:val="00834FAA"/>
    <w:rsid w:val="00835003"/>
    <w:rsid w:val="00836086"/>
    <w:rsid w:val="00837582"/>
    <w:rsid w:val="00845157"/>
    <w:rsid w:val="0084708F"/>
    <w:rsid w:val="008477C8"/>
    <w:rsid w:val="0085114D"/>
    <w:rsid w:val="00852217"/>
    <w:rsid w:val="00854FA0"/>
    <w:rsid w:val="00855408"/>
    <w:rsid w:val="00856D65"/>
    <w:rsid w:val="0086100C"/>
    <w:rsid w:val="008613F4"/>
    <w:rsid w:val="00861B41"/>
    <w:rsid w:val="0086309D"/>
    <w:rsid w:val="00863434"/>
    <w:rsid w:val="008641DD"/>
    <w:rsid w:val="00865330"/>
    <w:rsid w:val="00865E4C"/>
    <w:rsid w:val="008701E4"/>
    <w:rsid w:val="00872ED0"/>
    <w:rsid w:val="00873648"/>
    <w:rsid w:val="00874827"/>
    <w:rsid w:val="00874F4C"/>
    <w:rsid w:val="00875A32"/>
    <w:rsid w:val="00876086"/>
    <w:rsid w:val="00881564"/>
    <w:rsid w:val="00882F06"/>
    <w:rsid w:val="008873D4"/>
    <w:rsid w:val="00893E85"/>
    <w:rsid w:val="00894031"/>
    <w:rsid w:val="008A0135"/>
    <w:rsid w:val="008A45AF"/>
    <w:rsid w:val="008A531E"/>
    <w:rsid w:val="008A6E34"/>
    <w:rsid w:val="008A7AB2"/>
    <w:rsid w:val="008B05DE"/>
    <w:rsid w:val="008B65BB"/>
    <w:rsid w:val="008B7C02"/>
    <w:rsid w:val="008B7D2B"/>
    <w:rsid w:val="008C0049"/>
    <w:rsid w:val="008C0E88"/>
    <w:rsid w:val="008C2ACB"/>
    <w:rsid w:val="008C53A0"/>
    <w:rsid w:val="008D0BFA"/>
    <w:rsid w:val="008D1E6A"/>
    <w:rsid w:val="008D2A16"/>
    <w:rsid w:val="008D38C9"/>
    <w:rsid w:val="008E093A"/>
    <w:rsid w:val="008E1BDF"/>
    <w:rsid w:val="008E2C57"/>
    <w:rsid w:val="008E31FF"/>
    <w:rsid w:val="008E6F06"/>
    <w:rsid w:val="008E7651"/>
    <w:rsid w:val="008F029B"/>
    <w:rsid w:val="008F02BA"/>
    <w:rsid w:val="008F150B"/>
    <w:rsid w:val="008F3FC9"/>
    <w:rsid w:val="008F585B"/>
    <w:rsid w:val="008F59C6"/>
    <w:rsid w:val="008F5FFF"/>
    <w:rsid w:val="008F6626"/>
    <w:rsid w:val="009003A8"/>
    <w:rsid w:val="00902500"/>
    <w:rsid w:val="00902CE3"/>
    <w:rsid w:val="00902EFF"/>
    <w:rsid w:val="009043DF"/>
    <w:rsid w:val="00906401"/>
    <w:rsid w:val="00911316"/>
    <w:rsid w:val="0091155E"/>
    <w:rsid w:val="00912032"/>
    <w:rsid w:val="00912248"/>
    <w:rsid w:val="00912A92"/>
    <w:rsid w:val="0091354C"/>
    <w:rsid w:val="009142C6"/>
    <w:rsid w:val="00914911"/>
    <w:rsid w:val="00915A7D"/>
    <w:rsid w:val="00916F64"/>
    <w:rsid w:val="0091728D"/>
    <w:rsid w:val="00917745"/>
    <w:rsid w:val="00917D27"/>
    <w:rsid w:val="0092180B"/>
    <w:rsid w:val="00921F14"/>
    <w:rsid w:val="00923C3B"/>
    <w:rsid w:val="00924AC8"/>
    <w:rsid w:val="0092597A"/>
    <w:rsid w:val="0093002F"/>
    <w:rsid w:val="00931D85"/>
    <w:rsid w:val="00932443"/>
    <w:rsid w:val="00933F38"/>
    <w:rsid w:val="00935FCF"/>
    <w:rsid w:val="0093784A"/>
    <w:rsid w:val="00937AE2"/>
    <w:rsid w:val="00943DFE"/>
    <w:rsid w:val="0094427A"/>
    <w:rsid w:val="00952DC1"/>
    <w:rsid w:val="0095578F"/>
    <w:rsid w:val="00957342"/>
    <w:rsid w:val="009605E5"/>
    <w:rsid w:val="00964DB9"/>
    <w:rsid w:val="00971187"/>
    <w:rsid w:val="00972D58"/>
    <w:rsid w:val="00973006"/>
    <w:rsid w:val="00974923"/>
    <w:rsid w:val="0097538B"/>
    <w:rsid w:val="0097756B"/>
    <w:rsid w:val="00980D3D"/>
    <w:rsid w:val="00981EA5"/>
    <w:rsid w:val="00982D56"/>
    <w:rsid w:val="009850D4"/>
    <w:rsid w:val="009862EE"/>
    <w:rsid w:val="00987A30"/>
    <w:rsid w:val="00992CF3"/>
    <w:rsid w:val="0099312B"/>
    <w:rsid w:val="009968D6"/>
    <w:rsid w:val="009A1CAB"/>
    <w:rsid w:val="009A210D"/>
    <w:rsid w:val="009A25B1"/>
    <w:rsid w:val="009A2A52"/>
    <w:rsid w:val="009A3C3A"/>
    <w:rsid w:val="009A5C56"/>
    <w:rsid w:val="009A60D1"/>
    <w:rsid w:val="009B3FFA"/>
    <w:rsid w:val="009B6FD3"/>
    <w:rsid w:val="009C03F8"/>
    <w:rsid w:val="009C16C5"/>
    <w:rsid w:val="009C1750"/>
    <w:rsid w:val="009C2E29"/>
    <w:rsid w:val="009C554B"/>
    <w:rsid w:val="009C719E"/>
    <w:rsid w:val="009D0453"/>
    <w:rsid w:val="009D09F3"/>
    <w:rsid w:val="009D0B7D"/>
    <w:rsid w:val="009D1D70"/>
    <w:rsid w:val="009D3ACD"/>
    <w:rsid w:val="009D59A7"/>
    <w:rsid w:val="009D77B4"/>
    <w:rsid w:val="009E00C8"/>
    <w:rsid w:val="009E4F62"/>
    <w:rsid w:val="009E5273"/>
    <w:rsid w:val="009E5DDB"/>
    <w:rsid w:val="009F0A4B"/>
    <w:rsid w:val="009F1E5D"/>
    <w:rsid w:val="009F3BD8"/>
    <w:rsid w:val="009F4CA7"/>
    <w:rsid w:val="009F58E7"/>
    <w:rsid w:val="009F76A3"/>
    <w:rsid w:val="00A01506"/>
    <w:rsid w:val="00A05BEE"/>
    <w:rsid w:val="00A10D66"/>
    <w:rsid w:val="00A14114"/>
    <w:rsid w:val="00A14FF7"/>
    <w:rsid w:val="00A15503"/>
    <w:rsid w:val="00A16413"/>
    <w:rsid w:val="00A20410"/>
    <w:rsid w:val="00A23E43"/>
    <w:rsid w:val="00A301BD"/>
    <w:rsid w:val="00A309A6"/>
    <w:rsid w:val="00A30F65"/>
    <w:rsid w:val="00A31EDA"/>
    <w:rsid w:val="00A403C2"/>
    <w:rsid w:val="00A40F5E"/>
    <w:rsid w:val="00A417DD"/>
    <w:rsid w:val="00A418BC"/>
    <w:rsid w:val="00A46A54"/>
    <w:rsid w:val="00A46DE0"/>
    <w:rsid w:val="00A50827"/>
    <w:rsid w:val="00A50D73"/>
    <w:rsid w:val="00A52CAD"/>
    <w:rsid w:val="00A53FC7"/>
    <w:rsid w:val="00A5682A"/>
    <w:rsid w:val="00A60F8B"/>
    <w:rsid w:val="00A62CE1"/>
    <w:rsid w:val="00A62E75"/>
    <w:rsid w:val="00A64076"/>
    <w:rsid w:val="00A65F74"/>
    <w:rsid w:val="00A66A2D"/>
    <w:rsid w:val="00A6741E"/>
    <w:rsid w:val="00A67710"/>
    <w:rsid w:val="00A75E40"/>
    <w:rsid w:val="00A77D1D"/>
    <w:rsid w:val="00A8146B"/>
    <w:rsid w:val="00A8227D"/>
    <w:rsid w:val="00A857C0"/>
    <w:rsid w:val="00A91338"/>
    <w:rsid w:val="00A94C03"/>
    <w:rsid w:val="00A962E1"/>
    <w:rsid w:val="00A97D06"/>
    <w:rsid w:val="00AA088C"/>
    <w:rsid w:val="00AA138D"/>
    <w:rsid w:val="00AA147F"/>
    <w:rsid w:val="00AA1A65"/>
    <w:rsid w:val="00AA2659"/>
    <w:rsid w:val="00AA2996"/>
    <w:rsid w:val="00AA3A04"/>
    <w:rsid w:val="00AA52BF"/>
    <w:rsid w:val="00AA5403"/>
    <w:rsid w:val="00AA559A"/>
    <w:rsid w:val="00AA5617"/>
    <w:rsid w:val="00AA7F04"/>
    <w:rsid w:val="00AB1E0A"/>
    <w:rsid w:val="00AB2AF1"/>
    <w:rsid w:val="00AB33BC"/>
    <w:rsid w:val="00AB4929"/>
    <w:rsid w:val="00AB6CC8"/>
    <w:rsid w:val="00AC2005"/>
    <w:rsid w:val="00AC2258"/>
    <w:rsid w:val="00AC59A7"/>
    <w:rsid w:val="00AC6BB5"/>
    <w:rsid w:val="00AC778F"/>
    <w:rsid w:val="00AD306C"/>
    <w:rsid w:val="00AD5F8D"/>
    <w:rsid w:val="00AE09B3"/>
    <w:rsid w:val="00AE1A83"/>
    <w:rsid w:val="00AE5FEF"/>
    <w:rsid w:val="00AE7196"/>
    <w:rsid w:val="00AE7691"/>
    <w:rsid w:val="00B00374"/>
    <w:rsid w:val="00B00913"/>
    <w:rsid w:val="00B01593"/>
    <w:rsid w:val="00B0623B"/>
    <w:rsid w:val="00B10968"/>
    <w:rsid w:val="00B10A4D"/>
    <w:rsid w:val="00B15EFB"/>
    <w:rsid w:val="00B171FA"/>
    <w:rsid w:val="00B17E71"/>
    <w:rsid w:val="00B17F05"/>
    <w:rsid w:val="00B17FDE"/>
    <w:rsid w:val="00B23141"/>
    <w:rsid w:val="00B2379C"/>
    <w:rsid w:val="00B2687D"/>
    <w:rsid w:val="00B27479"/>
    <w:rsid w:val="00B32DDB"/>
    <w:rsid w:val="00B34528"/>
    <w:rsid w:val="00B3604E"/>
    <w:rsid w:val="00B4010D"/>
    <w:rsid w:val="00B402FC"/>
    <w:rsid w:val="00B40FB3"/>
    <w:rsid w:val="00B42F09"/>
    <w:rsid w:val="00B46604"/>
    <w:rsid w:val="00B47818"/>
    <w:rsid w:val="00B50822"/>
    <w:rsid w:val="00B515A7"/>
    <w:rsid w:val="00B52456"/>
    <w:rsid w:val="00B530CD"/>
    <w:rsid w:val="00B548AC"/>
    <w:rsid w:val="00B55F5E"/>
    <w:rsid w:val="00B5752E"/>
    <w:rsid w:val="00B57DBB"/>
    <w:rsid w:val="00B63A11"/>
    <w:rsid w:val="00B64C24"/>
    <w:rsid w:val="00B6562A"/>
    <w:rsid w:val="00B6608F"/>
    <w:rsid w:val="00B66EFE"/>
    <w:rsid w:val="00B679FB"/>
    <w:rsid w:val="00B71400"/>
    <w:rsid w:val="00B76B70"/>
    <w:rsid w:val="00B76D1E"/>
    <w:rsid w:val="00B7753D"/>
    <w:rsid w:val="00B77D8F"/>
    <w:rsid w:val="00B80EC6"/>
    <w:rsid w:val="00B81BFF"/>
    <w:rsid w:val="00B86BE8"/>
    <w:rsid w:val="00B92D1D"/>
    <w:rsid w:val="00B938C5"/>
    <w:rsid w:val="00B95940"/>
    <w:rsid w:val="00BA0867"/>
    <w:rsid w:val="00BA09D8"/>
    <w:rsid w:val="00BA1E1A"/>
    <w:rsid w:val="00BA3C13"/>
    <w:rsid w:val="00BB081F"/>
    <w:rsid w:val="00BB19C5"/>
    <w:rsid w:val="00BB46B4"/>
    <w:rsid w:val="00BB46F3"/>
    <w:rsid w:val="00BB4CB1"/>
    <w:rsid w:val="00BB4F98"/>
    <w:rsid w:val="00BB5001"/>
    <w:rsid w:val="00BB56C9"/>
    <w:rsid w:val="00BB66BE"/>
    <w:rsid w:val="00BC0FF5"/>
    <w:rsid w:val="00BC3036"/>
    <w:rsid w:val="00BC41C1"/>
    <w:rsid w:val="00BC4E01"/>
    <w:rsid w:val="00BC7154"/>
    <w:rsid w:val="00BC7835"/>
    <w:rsid w:val="00BD0545"/>
    <w:rsid w:val="00BD366B"/>
    <w:rsid w:val="00BD4B63"/>
    <w:rsid w:val="00BD6D50"/>
    <w:rsid w:val="00BE18B9"/>
    <w:rsid w:val="00BE2441"/>
    <w:rsid w:val="00BE2495"/>
    <w:rsid w:val="00BE5479"/>
    <w:rsid w:val="00BF1578"/>
    <w:rsid w:val="00C002D6"/>
    <w:rsid w:val="00C01FBC"/>
    <w:rsid w:val="00C02A81"/>
    <w:rsid w:val="00C02DED"/>
    <w:rsid w:val="00C02E4B"/>
    <w:rsid w:val="00C04579"/>
    <w:rsid w:val="00C05837"/>
    <w:rsid w:val="00C13917"/>
    <w:rsid w:val="00C15643"/>
    <w:rsid w:val="00C15933"/>
    <w:rsid w:val="00C15AB0"/>
    <w:rsid w:val="00C16A26"/>
    <w:rsid w:val="00C21AD1"/>
    <w:rsid w:val="00C21C49"/>
    <w:rsid w:val="00C21F94"/>
    <w:rsid w:val="00C2502E"/>
    <w:rsid w:val="00C27913"/>
    <w:rsid w:val="00C30A35"/>
    <w:rsid w:val="00C337E9"/>
    <w:rsid w:val="00C33B68"/>
    <w:rsid w:val="00C34E63"/>
    <w:rsid w:val="00C35551"/>
    <w:rsid w:val="00C36A79"/>
    <w:rsid w:val="00C405D4"/>
    <w:rsid w:val="00C40B61"/>
    <w:rsid w:val="00C41E23"/>
    <w:rsid w:val="00C41E6F"/>
    <w:rsid w:val="00C4234D"/>
    <w:rsid w:val="00C42CC6"/>
    <w:rsid w:val="00C4513B"/>
    <w:rsid w:val="00C469E8"/>
    <w:rsid w:val="00C54697"/>
    <w:rsid w:val="00C56BE1"/>
    <w:rsid w:val="00C62EDE"/>
    <w:rsid w:val="00C64518"/>
    <w:rsid w:val="00C7024B"/>
    <w:rsid w:val="00C73885"/>
    <w:rsid w:val="00C747B1"/>
    <w:rsid w:val="00C81954"/>
    <w:rsid w:val="00C82191"/>
    <w:rsid w:val="00C847BF"/>
    <w:rsid w:val="00C8779E"/>
    <w:rsid w:val="00C903B0"/>
    <w:rsid w:val="00C90CF4"/>
    <w:rsid w:val="00C92EB6"/>
    <w:rsid w:val="00C930A9"/>
    <w:rsid w:val="00C93389"/>
    <w:rsid w:val="00C9580B"/>
    <w:rsid w:val="00C960B6"/>
    <w:rsid w:val="00CA321C"/>
    <w:rsid w:val="00CA3F3D"/>
    <w:rsid w:val="00CA62C7"/>
    <w:rsid w:val="00CB0954"/>
    <w:rsid w:val="00CB386F"/>
    <w:rsid w:val="00CB4930"/>
    <w:rsid w:val="00CC0C3C"/>
    <w:rsid w:val="00CC2E7D"/>
    <w:rsid w:val="00CC3405"/>
    <w:rsid w:val="00CC4112"/>
    <w:rsid w:val="00CC792D"/>
    <w:rsid w:val="00CD10A5"/>
    <w:rsid w:val="00CD2076"/>
    <w:rsid w:val="00CD3A79"/>
    <w:rsid w:val="00CD4646"/>
    <w:rsid w:val="00CE1658"/>
    <w:rsid w:val="00CE28C9"/>
    <w:rsid w:val="00CE58D7"/>
    <w:rsid w:val="00CE670B"/>
    <w:rsid w:val="00CE6BD6"/>
    <w:rsid w:val="00CF2FB8"/>
    <w:rsid w:val="00CF51EC"/>
    <w:rsid w:val="00CF73AE"/>
    <w:rsid w:val="00CF7713"/>
    <w:rsid w:val="00D03107"/>
    <w:rsid w:val="00D035E7"/>
    <w:rsid w:val="00D040DD"/>
    <w:rsid w:val="00D07519"/>
    <w:rsid w:val="00D10199"/>
    <w:rsid w:val="00D13986"/>
    <w:rsid w:val="00D13AC1"/>
    <w:rsid w:val="00D13F8F"/>
    <w:rsid w:val="00D15B75"/>
    <w:rsid w:val="00D22905"/>
    <w:rsid w:val="00D235B7"/>
    <w:rsid w:val="00D23A8C"/>
    <w:rsid w:val="00D25EF0"/>
    <w:rsid w:val="00D25F28"/>
    <w:rsid w:val="00D271AB"/>
    <w:rsid w:val="00D27973"/>
    <w:rsid w:val="00D304DB"/>
    <w:rsid w:val="00D31F00"/>
    <w:rsid w:val="00D36F4E"/>
    <w:rsid w:val="00D43D5E"/>
    <w:rsid w:val="00D4513C"/>
    <w:rsid w:val="00D46ED3"/>
    <w:rsid w:val="00D476B7"/>
    <w:rsid w:val="00D50F46"/>
    <w:rsid w:val="00D535FE"/>
    <w:rsid w:val="00D5463A"/>
    <w:rsid w:val="00D547EC"/>
    <w:rsid w:val="00D556C2"/>
    <w:rsid w:val="00D567E2"/>
    <w:rsid w:val="00D61DAB"/>
    <w:rsid w:val="00D66223"/>
    <w:rsid w:val="00D6710D"/>
    <w:rsid w:val="00D71C42"/>
    <w:rsid w:val="00D72982"/>
    <w:rsid w:val="00D80100"/>
    <w:rsid w:val="00D8084C"/>
    <w:rsid w:val="00D80D16"/>
    <w:rsid w:val="00D851C6"/>
    <w:rsid w:val="00D95C68"/>
    <w:rsid w:val="00D972E9"/>
    <w:rsid w:val="00D9787E"/>
    <w:rsid w:val="00DA04CA"/>
    <w:rsid w:val="00DA1171"/>
    <w:rsid w:val="00DA7C0C"/>
    <w:rsid w:val="00DB2EC8"/>
    <w:rsid w:val="00DB39FE"/>
    <w:rsid w:val="00DB6C88"/>
    <w:rsid w:val="00DB7988"/>
    <w:rsid w:val="00DC2F3C"/>
    <w:rsid w:val="00DC5B3B"/>
    <w:rsid w:val="00DD0A12"/>
    <w:rsid w:val="00DD129F"/>
    <w:rsid w:val="00DD4AEC"/>
    <w:rsid w:val="00DD5CAD"/>
    <w:rsid w:val="00DD646D"/>
    <w:rsid w:val="00DD6D22"/>
    <w:rsid w:val="00DD709E"/>
    <w:rsid w:val="00DE06A6"/>
    <w:rsid w:val="00DE192E"/>
    <w:rsid w:val="00DE7E15"/>
    <w:rsid w:val="00DF42FF"/>
    <w:rsid w:val="00DF67DD"/>
    <w:rsid w:val="00E01C0E"/>
    <w:rsid w:val="00E02C5E"/>
    <w:rsid w:val="00E03F9A"/>
    <w:rsid w:val="00E04694"/>
    <w:rsid w:val="00E057B9"/>
    <w:rsid w:val="00E057CA"/>
    <w:rsid w:val="00E05801"/>
    <w:rsid w:val="00E064A2"/>
    <w:rsid w:val="00E12B1E"/>
    <w:rsid w:val="00E17262"/>
    <w:rsid w:val="00E20476"/>
    <w:rsid w:val="00E21F6F"/>
    <w:rsid w:val="00E23E9F"/>
    <w:rsid w:val="00E23FE7"/>
    <w:rsid w:val="00E253A2"/>
    <w:rsid w:val="00E321EE"/>
    <w:rsid w:val="00E3309D"/>
    <w:rsid w:val="00E33E88"/>
    <w:rsid w:val="00E345CD"/>
    <w:rsid w:val="00E360C1"/>
    <w:rsid w:val="00E371F9"/>
    <w:rsid w:val="00E46C4A"/>
    <w:rsid w:val="00E50156"/>
    <w:rsid w:val="00E50575"/>
    <w:rsid w:val="00E50EFC"/>
    <w:rsid w:val="00E5156D"/>
    <w:rsid w:val="00E53470"/>
    <w:rsid w:val="00E53813"/>
    <w:rsid w:val="00E539F6"/>
    <w:rsid w:val="00E544DB"/>
    <w:rsid w:val="00E561F4"/>
    <w:rsid w:val="00E57904"/>
    <w:rsid w:val="00E6136D"/>
    <w:rsid w:val="00E6161C"/>
    <w:rsid w:val="00E6232A"/>
    <w:rsid w:val="00E6519D"/>
    <w:rsid w:val="00E67696"/>
    <w:rsid w:val="00E708FD"/>
    <w:rsid w:val="00E71A58"/>
    <w:rsid w:val="00E71D34"/>
    <w:rsid w:val="00E72A7A"/>
    <w:rsid w:val="00E74DD2"/>
    <w:rsid w:val="00E75C94"/>
    <w:rsid w:val="00E77378"/>
    <w:rsid w:val="00E8126C"/>
    <w:rsid w:val="00E82DAF"/>
    <w:rsid w:val="00E84E5D"/>
    <w:rsid w:val="00E92848"/>
    <w:rsid w:val="00E93654"/>
    <w:rsid w:val="00E93820"/>
    <w:rsid w:val="00E93E1B"/>
    <w:rsid w:val="00EA0C68"/>
    <w:rsid w:val="00EA32BC"/>
    <w:rsid w:val="00EA4FAB"/>
    <w:rsid w:val="00EA652D"/>
    <w:rsid w:val="00EA6DAF"/>
    <w:rsid w:val="00EB1E55"/>
    <w:rsid w:val="00EB4345"/>
    <w:rsid w:val="00EB4511"/>
    <w:rsid w:val="00EB5B25"/>
    <w:rsid w:val="00EC03D7"/>
    <w:rsid w:val="00EC0A63"/>
    <w:rsid w:val="00EC4629"/>
    <w:rsid w:val="00EC6836"/>
    <w:rsid w:val="00ED008B"/>
    <w:rsid w:val="00ED02D5"/>
    <w:rsid w:val="00ED20FD"/>
    <w:rsid w:val="00ED6000"/>
    <w:rsid w:val="00ED62C6"/>
    <w:rsid w:val="00ED64C1"/>
    <w:rsid w:val="00ED7474"/>
    <w:rsid w:val="00EE3446"/>
    <w:rsid w:val="00EE3E78"/>
    <w:rsid w:val="00EE4B1B"/>
    <w:rsid w:val="00EF150D"/>
    <w:rsid w:val="00EF1F5A"/>
    <w:rsid w:val="00EF302A"/>
    <w:rsid w:val="00EF47BF"/>
    <w:rsid w:val="00EF7B45"/>
    <w:rsid w:val="00F04811"/>
    <w:rsid w:val="00F0488C"/>
    <w:rsid w:val="00F06A90"/>
    <w:rsid w:val="00F06D4A"/>
    <w:rsid w:val="00F07F39"/>
    <w:rsid w:val="00F10F11"/>
    <w:rsid w:val="00F11F14"/>
    <w:rsid w:val="00F126CE"/>
    <w:rsid w:val="00F13FBF"/>
    <w:rsid w:val="00F15AAA"/>
    <w:rsid w:val="00F15BEF"/>
    <w:rsid w:val="00F20329"/>
    <w:rsid w:val="00F2300D"/>
    <w:rsid w:val="00F24407"/>
    <w:rsid w:val="00F24D38"/>
    <w:rsid w:val="00F24E25"/>
    <w:rsid w:val="00F24FAA"/>
    <w:rsid w:val="00F27DB0"/>
    <w:rsid w:val="00F30932"/>
    <w:rsid w:val="00F3364D"/>
    <w:rsid w:val="00F33CC7"/>
    <w:rsid w:val="00F41759"/>
    <w:rsid w:val="00F437CC"/>
    <w:rsid w:val="00F45BCE"/>
    <w:rsid w:val="00F47067"/>
    <w:rsid w:val="00F47A90"/>
    <w:rsid w:val="00F512B1"/>
    <w:rsid w:val="00F525EB"/>
    <w:rsid w:val="00F52AF3"/>
    <w:rsid w:val="00F53E6A"/>
    <w:rsid w:val="00F55869"/>
    <w:rsid w:val="00F570DB"/>
    <w:rsid w:val="00F6017F"/>
    <w:rsid w:val="00F60DD5"/>
    <w:rsid w:val="00F61075"/>
    <w:rsid w:val="00F617C7"/>
    <w:rsid w:val="00F62DED"/>
    <w:rsid w:val="00F63DDE"/>
    <w:rsid w:val="00F63FB7"/>
    <w:rsid w:val="00F64932"/>
    <w:rsid w:val="00F649D2"/>
    <w:rsid w:val="00F6602B"/>
    <w:rsid w:val="00F67665"/>
    <w:rsid w:val="00F71C32"/>
    <w:rsid w:val="00F71E14"/>
    <w:rsid w:val="00F73A0C"/>
    <w:rsid w:val="00F7468C"/>
    <w:rsid w:val="00F756DB"/>
    <w:rsid w:val="00F8236B"/>
    <w:rsid w:val="00F85066"/>
    <w:rsid w:val="00F8667E"/>
    <w:rsid w:val="00F875B0"/>
    <w:rsid w:val="00F91230"/>
    <w:rsid w:val="00F9497C"/>
    <w:rsid w:val="00F954D4"/>
    <w:rsid w:val="00F95DA0"/>
    <w:rsid w:val="00FA06B7"/>
    <w:rsid w:val="00FA0F7E"/>
    <w:rsid w:val="00FA1A20"/>
    <w:rsid w:val="00FA3BB0"/>
    <w:rsid w:val="00FA5D4D"/>
    <w:rsid w:val="00FA6D46"/>
    <w:rsid w:val="00FB0EE2"/>
    <w:rsid w:val="00FB18AB"/>
    <w:rsid w:val="00FB3636"/>
    <w:rsid w:val="00FB542E"/>
    <w:rsid w:val="00FB6621"/>
    <w:rsid w:val="00FC0E5F"/>
    <w:rsid w:val="00FC1A95"/>
    <w:rsid w:val="00FC49B9"/>
    <w:rsid w:val="00FC49D0"/>
    <w:rsid w:val="00FC56DE"/>
    <w:rsid w:val="00FC684B"/>
    <w:rsid w:val="00FD0ABB"/>
    <w:rsid w:val="00FD15B0"/>
    <w:rsid w:val="00FD21EC"/>
    <w:rsid w:val="00FD2AF4"/>
    <w:rsid w:val="00FD3265"/>
    <w:rsid w:val="00FD3419"/>
    <w:rsid w:val="00FD5969"/>
    <w:rsid w:val="00FD6B43"/>
    <w:rsid w:val="00FE0709"/>
    <w:rsid w:val="00FE1DC9"/>
    <w:rsid w:val="00FE2684"/>
    <w:rsid w:val="00FE2F78"/>
    <w:rsid w:val="00FE3AB2"/>
    <w:rsid w:val="00FF0030"/>
    <w:rsid w:val="00FF7B9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F199A1E"/>
  <w15:docId w15:val="{5A8CD9A0-EEC3-431A-B10A-3685804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link w:val="Box2Char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character" w:customStyle="1" w:styleId="Box2Char">
    <w:name w:val="Box 2 Char"/>
    <w:link w:val="Box2"/>
    <w:rsid w:val="005927F3"/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Kontakty">
    <w:name w:val="TL - Kontakty"/>
    <w:next w:val="Normln"/>
    <w:link w:val="TL-KontaktyChar"/>
    <w:qFormat/>
    <w:rsid w:val="0099312B"/>
    <w:pPr>
      <w:spacing w:after="80"/>
    </w:pPr>
    <w:rPr>
      <w:rFonts w:ascii="Arial" w:eastAsia="Times New Roman" w:hAnsi="Arial"/>
      <w:b/>
      <w:caps/>
      <w:color w:val="BD1B21"/>
      <w:sz w:val="24"/>
      <w:szCs w:val="24"/>
      <w:lang w:eastAsia="cs-CZ"/>
    </w:rPr>
  </w:style>
  <w:style w:type="character" w:customStyle="1" w:styleId="TL-KontaktyChar">
    <w:name w:val="TL - Kontakty Char"/>
    <w:link w:val="TL-Kontakty"/>
    <w:rsid w:val="0099312B"/>
    <w:rPr>
      <w:rFonts w:ascii="Arial" w:eastAsia="Times New Roman" w:hAnsi="Arial"/>
      <w:b/>
      <w:caps/>
      <w:color w:val="BD1B2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070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0709"/>
    <w:rPr>
      <w:rFonts w:ascii="Arial" w:eastAsia="Times New Roman" w:hAnsi="Arial" w:cs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6A3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27F3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27F3"/>
    <w:rPr>
      <w:rFonts w:ascii="Arial" w:eastAsia="Times New Roman" w:hAnsi="Arial"/>
      <w:lang w:eastAsia="cs-CZ"/>
    </w:rPr>
  </w:style>
  <w:style w:type="character" w:styleId="Znakapoznpodarou">
    <w:name w:val="footnote reference"/>
    <w:uiPriority w:val="99"/>
    <w:semiHidden/>
    <w:unhideWhenUsed/>
    <w:rsid w:val="005927F3"/>
    <w:rPr>
      <w:vertAlign w:val="superscript"/>
    </w:rPr>
  </w:style>
  <w:style w:type="character" w:customStyle="1" w:styleId="st">
    <w:name w:val="st"/>
    <w:rsid w:val="005927F3"/>
  </w:style>
  <w:style w:type="paragraph" w:styleId="Zkladntext2">
    <w:name w:val="Body Text 2"/>
    <w:basedOn w:val="Normln"/>
    <w:link w:val="Zkladntext2Char"/>
    <w:unhideWhenUsed/>
    <w:rsid w:val="005927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927F3"/>
    <w:rPr>
      <w:rFonts w:ascii="Arial" w:eastAsia="Times New Roman" w:hAnsi="Arial"/>
      <w:szCs w:val="24"/>
      <w:lang w:eastAsia="cs-CZ"/>
    </w:rPr>
  </w:style>
  <w:style w:type="paragraph" w:customStyle="1" w:styleId="Styl1">
    <w:name w:val="Styl1"/>
    <w:rsid w:val="005927F3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5927F3"/>
    <w:pPr>
      <w:spacing w:line="288" w:lineRule="auto"/>
    </w:pPr>
    <w:rPr>
      <w:rFonts w:ascii="Arial" w:eastAsia="Times New Roman" w:hAnsi="Arial"/>
      <w:szCs w:val="24"/>
      <w:lang w:eastAsia="cs-CZ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5927F3"/>
    <w:rPr>
      <w:rFonts w:ascii="Arial" w:eastAsia="Times New Roman" w:hAnsi="Arial"/>
      <w:szCs w:val="24"/>
      <w:lang w:eastAsia="cs-CZ"/>
    </w:rPr>
  </w:style>
  <w:style w:type="paragraph" w:customStyle="1" w:styleId="Box">
    <w:name w:val="Box"/>
    <w:next w:val="Normln"/>
    <w:link w:val="BoxChar"/>
    <w:qFormat/>
    <w:rsid w:val="005927F3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  <w:lang w:eastAsia="cs-CZ"/>
    </w:rPr>
  </w:style>
  <w:style w:type="character" w:customStyle="1" w:styleId="BoxChar">
    <w:name w:val="Box Char"/>
    <w:link w:val="Box"/>
    <w:rsid w:val="005927F3"/>
    <w:rPr>
      <w:rFonts w:ascii="Arial" w:hAnsi="Arial"/>
      <w:color w:val="000000"/>
      <w:sz w:val="24"/>
      <w:szCs w:val="24"/>
      <w:shd w:val="clear" w:color="auto" w:fill="D9F0F4"/>
      <w:lang w:eastAsia="cs-CZ"/>
    </w:rPr>
  </w:style>
  <w:style w:type="paragraph" w:customStyle="1" w:styleId="TL-Identifikace">
    <w:name w:val="TL - Identifikace"/>
    <w:next w:val="Normln"/>
    <w:link w:val="TL-IdentifikaceChar"/>
    <w:qFormat/>
    <w:rsid w:val="005927F3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TL-IdentifikaceChar">
    <w:name w:val="TL - Identifikace Char"/>
    <w:link w:val="TL-Identifikace"/>
    <w:rsid w:val="005927F3"/>
    <w:rPr>
      <w:rFonts w:ascii="Arial" w:eastAsia="Times New Roman" w:hAnsi="Arial"/>
      <w:sz w:val="24"/>
      <w:szCs w:val="24"/>
      <w:lang w:eastAsia="cs-CZ"/>
    </w:rPr>
  </w:style>
  <w:style w:type="paragraph" w:customStyle="1" w:styleId="3372873BB58A4DED866D2BE34882C06C">
    <w:name w:val="3372873BB58A4DED866D2BE34882C06C"/>
    <w:rsid w:val="005927F3"/>
    <w:pPr>
      <w:spacing w:after="200" w:line="276" w:lineRule="auto"/>
    </w:pPr>
    <w:rPr>
      <w:rFonts w:eastAsia="MS Mincho"/>
      <w:sz w:val="22"/>
      <w:szCs w:val="22"/>
      <w:lang w:eastAsia="cs-CZ"/>
    </w:rPr>
  </w:style>
  <w:style w:type="paragraph" w:customStyle="1" w:styleId="233E5CD5853943F4BD7E8C4B124C0E1D">
    <w:name w:val="233E5CD5853943F4BD7E8C4B124C0E1D"/>
    <w:rsid w:val="005927F3"/>
    <w:pPr>
      <w:spacing w:after="200" w:line="276" w:lineRule="auto"/>
    </w:pPr>
    <w:rPr>
      <w:rFonts w:eastAsia="MS Mincho"/>
      <w:sz w:val="22"/>
      <w:szCs w:val="22"/>
      <w:lang w:eastAsia="cs-CZ"/>
    </w:rPr>
  </w:style>
  <w:style w:type="paragraph" w:customStyle="1" w:styleId="D345FF3D873148C5AE3FBF3267827368">
    <w:name w:val="D345FF3D873148C5AE3FBF3267827368"/>
    <w:rsid w:val="005927F3"/>
    <w:pPr>
      <w:spacing w:after="200" w:line="276" w:lineRule="auto"/>
    </w:pPr>
    <w:rPr>
      <w:rFonts w:eastAsia="MS Mincho"/>
      <w:sz w:val="22"/>
      <w:szCs w:val="22"/>
      <w:lang w:eastAsia="cs-CZ"/>
    </w:rPr>
  </w:style>
  <w:style w:type="paragraph" w:customStyle="1" w:styleId="TL-identifikace-sted">
    <w:name w:val="TL - identifikace - střed"/>
    <w:basedOn w:val="Normln"/>
    <w:link w:val="TL-identifikace-stedChar"/>
    <w:qFormat/>
    <w:rsid w:val="005927F3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5927F3"/>
    <w:rPr>
      <w:rFonts w:ascii="Arial" w:eastAsia="Times New Roman" w:hAnsi="Arial"/>
      <w:sz w:val="24"/>
      <w:szCs w:val="24"/>
      <w:lang w:eastAsia="cs-CZ"/>
    </w:rPr>
  </w:style>
  <w:style w:type="paragraph" w:customStyle="1" w:styleId="TL-Identifikace-dole">
    <w:name w:val="TL - Identifikace - dole"/>
    <w:basedOn w:val="Normln"/>
    <w:link w:val="TL-Identifikace-doleChar"/>
    <w:qFormat/>
    <w:rsid w:val="005927F3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5927F3"/>
    <w:rPr>
      <w:rFonts w:ascii="Arial" w:eastAsia="Times New Roman" w:hAnsi="Arial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7F3"/>
    <w:rPr>
      <w:rFonts w:ascii="Arial" w:eastAsia="Times New Roman" w:hAnsi="Arial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F3"/>
    <w:pPr>
      <w:spacing w:after="0"/>
    </w:pPr>
    <w:rPr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7F3"/>
    <w:rPr>
      <w:rFonts w:ascii="Arial" w:eastAsia="Times New Roman" w:hAnsi="Arial"/>
      <w:b/>
      <w:bCs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F3"/>
    <w:rPr>
      <w:b/>
      <w:bCs/>
    </w:rPr>
  </w:style>
  <w:style w:type="paragraph" w:styleId="Titulek">
    <w:name w:val="caption"/>
    <w:basedOn w:val="Normln"/>
    <w:next w:val="Normln"/>
    <w:qFormat/>
    <w:rsid w:val="005927F3"/>
    <w:pPr>
      <w:pBdr>
        <w:bottom w:val="single" w:sz="4" w:space="1" w:color="808080"/>
      </w:pBdr>
      <w:spacing w:after="0" w:line="240" w:lineRule="auto"/>
    </w:pPr>
    <w:rPr>
      <w:rFonts w:ascii="Calibri" w:hAnsi="Calibri"/>
      <w:b/>
      <w:bCs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7F3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13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chart" Target="charts/chart10.xml"/><Relationship Id="rId3" Type="http://schemas.openxmlformats.org/officeDocument/2006/relationships/styles" Target="styles.xml"/><Relationship Id="rId34" Type="http://schemas.openxmlformats.org/officeDocument/2006/relationships/image" Target="media/image5.png"/><Relationship Id="rId42" Type="http://schemas.openxmlformats.org/officeDocument/2006/relationships/chart" Target="charts/chart13.xm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33" Type="http://schemas.openxmlformats.org/officeDocument/2006/relationships/image" Target="media/image4.png"/><Relationship Id="rId38" Type="http://schemas.openxmlformats.org/officeDocument/2006/relationships/image" Target="media/image7.png"/><Relationship Id="rId46" Type="http://schemas.openxmlformats.org/officeDocument/2006/relationships/chart" Target="charts/chart17.xml"/><Relationship Id="rId2" Type="http://schemas.openxmlformats.org/officeDocument/2006/relationships/numbering" Target="numbering.xml"/><Relationship Id="rId29" Type="http://schemas.openxmlformats.org/officeDocument/2006/relationships/image" Target="media/image2.png"/><Relationship Id="rId41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32" Type="http://schemas.openxmlformats.org/officeDocument/2006/relationships/chart" Target="charts/chart7.xml"/><Relationship Id="rId37" Type="http://schemas.openxmlformats.org/officeDocument/2006/relationships/image" Target="media/image6.png"/><Relationship Id="rId40" Type="http://schemas.openxmlformats.org/officeDocument/2006/relationships/chart" Target="charts/chart11.xml"/><Relationship Id="rId45" Type="http://schemas.openxmlformats.org/officeDocument/2006/relationships/chart" Target="charts/chart16.xml"/><Relationship Id="rId5" Type="http://schemas.openxmlformats.org/officeDocument/2006/relationships/webSettings" Target="webSettings.xml"/><Relationship Id="rId36" Type="http://schemas.openxmlformats.org/officeDocument/2006/relationships/chart" Target="charts/chart9.xml"/><Relationship Id="rId49" Type="http://schemas.openxmlformats.org/officeDocument/2006/relationships/footer" Target="footer1.xml"/><Relationship Id="rId10" Type="http://schemas.openxmlformats.org/officeDocument/2006/relationships/chart" Target="charts/chart3.xml"/><Relationship Id="rId31" Type="http://schemas.openxmlformats.org/officeDocument/2006/relationships/chart" Target="charts/chart6.xml"/><Relationship Id="rId44" Type="http://schemas.openxmlformats.org/officeDocument/2006/relationships/chart" Target="charts/chart15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30" Type="http://schemas.openxmlformats.org/officeDocument/2006/relationships/image" Target="media/image3.png"/><Relationship Id="rId35" Type="http://schemas.openxmlformats.org/officeDocument/2006/relationships/chart" Target="charts/chart8.xml"/><Relationship Id="rId43" Type="http://schemas.openxmlformats.org/officeDocument/2006/relationships/chart" Target="charts/chart14.xml"/><Relationship Id="rId48" Type="http://schemas.openxmlformats.org/officeDocument/2006/relationships/header" Target="header2.xml"/><Relationship Id="rId8" Type="http://schemas.openxmlformats.org/officeDocument/2006/relationships/chart" Target="charts/chart1.xm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neprima-verejna-podpora-vyzkumu-a-vyvoje" TargetMode="External"/><Relationship Id="rId3" Type="http://schemas.openxmlformats.org/officeDocument/2006/relationships/hyperlink" Target="https://www.tacr.cz" TargetMode="External"/><Relationship Id="rId7" Type="http://schemas.openxmlformats.org/officeDocument/2006/relationships/hyperlink" Target="http://www.msmt.cz/strukturalni-fondy-1" TargetMode="External"/><Relationship Id="rId2" Type="http://schemas.openxmlformats.org/officeDocument/2006/relationships/hyperlink" Target="http://www.dotaceeu.cz/cs/Fondy-EU" TargetMode="External"/><Relationship Id="rId1" Type="http://schemas.openxmlformats.org/officeDocument/2006/relationships/hyperlink" Target="https://www.czso.cz/csu/czso/statistika_vyzkumu_a_vyvoje" TargetMode="External"/><Relationship Id="rId6" Type="http://schemas.openxmlformats.org/officeDocument/2006/relationships/hyperlink" Target="http://gacr.cz/" TargetMode="External"/><Relationship Id="rId5" Type="http://schemas.openxmlformats.org/officeDocument/2006/relationships/hyperlink" Target="https://www.tacr.cz/programy-a-souteze/" TargetMode="External"/><Relationship Id="rId4" Type="http://schemas.openxmlformats.org/officeDocument/2006/relationships/hyperlink" Target="https://www.tacr.cz/program/program-epsilon/" TargetMode="External"/><Relationship Id="rId9" Type="http://schemas.openxmlformats.org/officeDocument/2006/relationships/hyperlink" Target="https://ec.europa.eu/info/strategy/priorities-2019-2024/european-green-deal_c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PRACOVNI\02_Statistick&#233;%20&#250;lohy\00_GBOARD\02_IS%20VaV_GBAORD\06_V&#253;stupy%20z%20projektu\01_Publikace\GBARD%202016\00_Tir&#225;&#382;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2_Statistick&#233;%20&#250;lohy\00_GBOARD\02_IS%20VaV_GBAORD\06_V&#253;stupy%20z%20projektu\01_Publikace\GBARD%202020\3_Anal&#253;za\GBARD20_ANALYZ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977539959207869E-2"/>
          <c:y val="0.22308070866141733"/>
          <c:w val="0.85857081332325724"/>
          <c:h val="0.66093941382327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'GRAF19_3-1'!$A$4</c:f>
              <c:strCache>
                <c:ptCount val="1"/>
                <c:pt idx="0">
                  <c:v>výše výdajů v mld. Kč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'GRAF19_3-1'!$B$3:$V$3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strCache>
            </c:strRef>
          </c:cat>
          <c:val>
            <c:numRef>
              <c:f>'GRAF19_3-1'!$B$4:$V$4</c:f>
              <c:numCache>
                <c:formatCode>0.0</c:formatCode>
                <c:ptCount val="16"/>
                <c:pt idx="0">
                  <c:v>16.442694750000001</c:v>
                </c:pt>
                <c:pt idx="1">
                  <c:v>18.307698160000001</c:v>
                </c:pt>
                <c:pt idx="2">
                  <c:v>20.475804380000003</c:v>
                </c:pt>
                <c:pt idx="3">
                  <c:v>20.489574149999996</c:v>
                </c:pt>
                <c:pt idx="4">
                  <c:v>23.005164500000006</c:v>
                </c:pt>
                <c:pt idx="5">
                  <c:v>22.602125440000009</c:v>
                </c:pt>
                <c:pt idx="6">
                  <c:v>25.77805846</c:v>
                </c:pt>
                <c:pt idx="7">
                  <c:v>26.153504999999999</c:v>
                </c:pt>
                <c:pt idx="8">
                  <c:v>26.7</c:v>
                </c:pt>
                <c:pt idx="9">
                  <c:v>27.283999999999999</c:v>
                </c:pt>
                <c:pt idx="10">
                  <c:v>27.9</c:v>
                </c:pt>
                <c:pt idx="11">
                  <c:v>27.984400000000001</c:v>
                </c:pt>
                <c:pt idx="12">
                  <c:v>30.653309931643399</c:v>
                </c:pt>
                <c:pt idx="13">
                  <c:v>33.382637238119997</c:v>
                </c:pt>
                <c:pt idx="14">
                  <c:v>35.813010560590001</c:v>
                </c:pt>
                <c:pt idx="15">
                  <c:v>38.090057024676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0A-4C1A-813A-41AD5D5A9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778624"/>
        <c:axId val="88780160"/>
      </c:barChart>
      <c:lineChart>
        <c:grouping val="standard"/>
        <c:varyColors val="0"/>
        <c:ser>
          <c:idx val="1"/>
          <c:order val="1"/>
          <c:tx>
            <c:strRef>
              <c:f>'GRAF19_3-1'!$A$5</c:f>
              <c:strCache>
                <c:ptCount val="1"/>
                <c:pt idx="0">
                  <c:v>podíl na HDP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'GRAF19_3-1'!$B$3:$V$3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strCache>
            </c:strRef>
          </c:cat>
          <c:val>
            <c:numRef>
              <c:f>'GRAF19_3-1'!$B$5:$V$5</c:f>
              <c:numCache>
                <c:formatCode>0.00%</c:formatCode>
                <c:ptCount val="16"/>
                <c:pt idx="0">
                  <c:v>5.0039843578085106E-3</c:v>
                </c:pt>
                <c:pt idx="1">
                  <c:v>5.1850226643152236E-3</c:v>
                </c:pt>
                <c:pt idx="2">
                  <c:v>5.3052537703395753E-3</c:v>
                </c:pt>
                <c:pt idx="3">
                  <c:v>5.0680889271456373E-3</c:v>
                </c:pt>
                <c:pt idx="4">
                  <c:v>5.8177302292176658E-3</c:v>
                </c:pt>
                <c:pt idx="5">
                  <c:v>5.6606213074805838E-3</c:v>
                </c:pt>
                <c:pt idx="6">
                  <c:v>6.3595485292528425E-3</c:v>
                </c:pt>
                <c:pt idx="7">
                  <c:v>6.3955650190319581E-3</c:v>
                </c:pt>
                <c:pt idx="8">
                  <c:v>6.4461396851147688E-3</c:v>
                </c:pt>
                <c:pt idx="9">
                  <c:v>6.2783182780665123E-3</c:v>
                </c:pt>
                <c:pt idx="10">
                  <c:v>6.0167576277355061E-3</c:v>
                </c:pt>
                <c:pt idx="11">
                  <c:v>5.8338838655932731E-3</c:v>
                </c:pt>
                <c:pt idx="12">
                  <c:v>5.9978186990900153E-3</c:v>
                </c:pt>
                <c:pt idx="13">
                  <c:v>6.1719507255666101E-3</c:v>
                </c:pt>
                <c:pt idx="14">
                  <c:v>6.2297928077582488E-3</c:v>
                </c:pt>
                <c:pt idx="15">
                  <c:v>6.6887758899361752E-3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0A-4C1A-813A-41AD5D5A98EC}"/>
            </c:ext>
          </c:extLst>
        </c:ser>
        <c:ser>
          <c:idx val="2"/>
          <c:order val="2"/>
          <c:tx>
            <c:strRef>
              <c:f>'GRAF19_3-1'!$A$6</c:f>
              <c:strCache>
                <c:ptCount val="1"/>
                <c:pt idx="0">
                  <c:v>podíl na státním rozpočtu ČR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cat>
            <c:strRef>
              <c:f>'GRAF19_3-1'!$B$3:$V$3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strCache>
            </c:strRef>
          </c:cat>
          <c:val>
            <c:numRef>
              <c:f>'GRAF19_3-1'!$B$6:$V$6</c:f>
              <c:numCache>
                <c:formatCode>0.00%</c:formatCode>
                <c:ptCount val="16"/>
                <c:pt idx="0">
                  <c:v>1.781460180951349E-2</c:v>
                </c:pt>
                <c:pt idx="1">
                  <c:v>1.7937644405906155E-2</c:v>
                </c:pt>
                <c:pt idx="2">
                  <c:v>1.8746099407655627E-2</c:v>
                </c:pt>
                <c:pt idx="3">
                  <c:v>1.8902797561497653E-2</c:v>
                </c:pt>
                <c:pt idx="4">
                  <c:v>1.9712930234471199E-2</c:v>
                </c:pt>
                <c:pt idx="5">
                  <c:v>1.9538599872973177E-2</c:v>
                </c:pt>
                <c:pt idx="6">
                  <c:v>2.2357381558460496E-2</c:v>
                </c:pt>
                <c:pt idx="7">
                  <c:v>2.2692819229827729E-2</c:v>
                </c:pt>
                <c:pt idx="8">
                  <c:v>2.2764048274584312E-2</c:v>
                </c:pt>
                <c:pt idx="9">
                  <c:v>2.2518915904321229E-2</c:v>
                </c:pt>
                <c:pt idx="10">
                  <c:v>2.145174541567231E-2</c:v>
                </c:pt>
                <c:pt idx="11">
                  <c:v>2.2940975279639824E-2</c:v>
                </c:pt>
                <c:pt idx="12">
                  <c:v>2.3951722126097186E-2</c:v>
                </c:pt>
                <c:pt idx="13">
                  <c:v>2.3828156600800156E-2</c:v>
                </c:pt>
                <c:pt idx="14">
                  <c:v>2.3079286321881293E-2</c:v>
                </c:pt>
                <c:pt idx="15">
                  <c:v>2.0668212995908722E-2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0A-4C1A-813A-41AD5D5A98EC}"/>
            </c:ext>
          </c:extLst>
        </c:ser>
        <c:ser>
          <c:idx val="3"/>
          <c:order val="3"/>
          <c:tx>
            <c:strRef>
              <c:f>'GRAF19_3-1'!$A$7</c:f>
              <c:strCache>
                <c:ptCount val="1"/>
                <c:pt idx="0">
                  <c:v>podíl na veřejných rozpočtech ČR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cat>
            <c:strRef>
              <c:f>'GRAF19_3-1'!$B$3:$V$3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strCache>
            </c:strRef>
          </c:cat>
          <c:val>
            <c:numRef>
              <c:f>'GRAF19_3-1'!$B$7:$V$7</c:f>
              <c:numCache>
                <c:formatCode>0.00%</c:formatCode>
                <c:ptCount val="16"/>
                <c:pt idx="0">
                  <c:v>1.1810266783612121E-2</c:v>
                </c:pt>
                <c:pt idx="1">
                  <c:v>1.2505933045567349E-2</c:v>
                </c:pt>
                <c:pt idx="2">
                  <c:v>1.3119198385905254E-2</c:v>
                </c:pt>
                <c:pt idx="3">
                  <c:v>1.2400938109014327E-2</c:v>
                </c:pt>
                <c:pt idx="4">
                  <c:v>1.3115576436944781E-2</c:v>
                </c:pt>
                <c:pt idx="5">
                  <c:v>1.2974150574396602E-2</c:v>
                </c:pt>
                <c:pt idx="6">
                  <c:v>1.4725385488782057E-2</c:v>
                </c:pt>
                <c:pt idx="7">
                  <c:v>1.4315730366147066E-2</c:v>
                </c:pt>
                <c:pt idx="8">
                  <c:v>1.5113983004868371E-2</c:v>
                </c:pt>
                <c:pt idx="9">
                  <c:v>1.4730208373037188E-2</c:v>
                </c:pt>
                <c:pt idx="10">
                  <c:v>1.4348116201931108E-2</c:v>
                </c:pt>
                <c:pt idx="11">
                  <c:v>1.4676060385796982E-2</c:v>
                </c:pt>
                <c:pt idx="12">
                  <c:v>1.5386879211053766E-2</c:v>
                </c:pt>
                <c:pt idx="13">
                  <c:v>1.5198257045196907E-2</c:v>
                </c:pt>
                <c:pt idx="14">
                  <c:v>1.5081715120028736E-2</c:v>
                </c:pt>
                <c:pt idx="15">
                  <c:v>1.4188148583357395E-2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60A-4C1A-813A-41AD5D5A9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795776"/>
        <c:axId val="88794240"/>
      </c:lineChart>
      <c:catAx>
        <c:axId val="88778624"/>
        <c:scaling>
          <c:orientation val="minMax"/>
        </c:scaling>
        <c:delete val="0"/>
        <c:axPos val="b"/>
        <c:minorGridlines>
          <c:spPr>
            <a:ln>
              <a:solidFill>
                <a:schemeClr val="bg1">
                  <a:lumMod val="8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88780160"/>
        <c:crosses val="autoZero"/>
        <c:auto val="1"/>
        <c:lblAlgn val="ctr"/>
        <c:lblOffset val="100"/>
        <c:noMultiLvlLbl val="0"/>
      </c:catAx>
      <c:valAx>
        <c:axId val="8878016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mld. Kč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88778624"/>
        <c:crosses val="autoZero"/>
        <c:crossBetween val="between"/>
      </c:valAx>
      <c:valAx>
        <c:axId val="88794240"/>
        <c:scaling>
          <c:orientation val="minMax"/>
        </c:scaling>
        <c:delete val="0"/>
        <c:axPos val="r"/>
        <c:numFmt formatCode="0.0%" sourceLinked="0"/>
        <c:majorTickMark val="out"/>
        <c:minorTickMark val="none"/>
        <c:tickLblPos val="nextTo"/>
        <c:crossAx val="88795776"/>
        <c:crosses val="max"/>
        <c:crossBetween val="between"/>
      </c:valAx>
      <c:catAx>
        <c:axId val="88795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8794240"/>
        <c:crosses val="autoZero"/>
        <c:auto val="1"/>
        <c:lblAlgn val="ctr"/>
        <c:lblOffset val="100"/>
        <c:noMultiLvlLbl val="0"/>
      </c:catAx>
      <c:spPr>
        <a:noFill/>
      </c:spPr>
    </c:plotArea>
    <c:legend>
      <c:legendPos val="t"/>
      <c:layout>
        <c:manualLayout>
          <c:xMode val="edge"/>
          <c:yMode val="edge"/>
          <c:x val="9.5441464079075236E-2"/>
          <c:y val="2.7777777777777891E-2"/>
          <c:w val="0.81324811033450994"/>
          <c:h val="0.14390237678623549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35767973856207"/>
          <c:y val="6.8786666666666663E-2"/>
          <c:w val="0.49179656862745186"/>
          <c:h val="0.8534724074074073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'GRAF19_3-7'!$B$21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cat>
            <c:strRef>
              <c:f>'GRAF19_3-7'!$A$22:$A$35</c:f>
              <c:strCache>
                <c:ptCount val="14"/>
                <c:pt idx="0">
                  <c:v>Vzdělání (0,6%)</c:v>
                </c:pt>
                <c:pt idx="1">
                  <c:v>Kultura, rekreace, náboženství a média (0,7%)</c:v>
                </c:pt>
                <c:pt idx="2">
                  <c:v>Obrana (1%)</c:v>
                </c:pt>
                <c:pt idx="3">
                  <c:v>Průzkum a využití kosmu (1,8%)</c:v>
                </c:pt>
                <c:pt idx="4">
                  <c:v>Průzkum a využití zdrojů Země (1,9%)</c:v>
                </c:pt>
                <c:pt idx="5">
                  <c:v>Politické a sociální systémy, struktury a procesy (2,1%)</c:v>
                </c:pt>
                <c:pt idx="6">
                  <c:v>Životní prostředí (2,1%)</c:v>
                </c:pt>
                <c:pt idx="7">
                  <c:v>Zemědělství (4,1%)</c:v>
                </c:pt>
                <c:pt idx="8">
                  <c:v>Energie (4,4%)</c:v>
                </c:pt>
                <c:pt idx="9">
                  <c:v>Doprava, telekomunikace a ostatní infrastruktura (4,5%)</c:v>
                </c:pt>
                <c:pt idx="10">
                  <c:v>Zdraví (7,1%)</c:v>
                </c:pt>
                <c:pt idx="11">
                  <c:v>Průmyslová výroba a technologie (11,7%)</c:v>
                </c:pt>
                <c:pt idx="12">
                  <c:v>Všeobecný rozvoj znalostí na vysokých školách financovaný z institucionálních prostředků na VaV (23,6%)</c:v>
                </c:pt>
                <c:pt idx="13">
                  <c:v>Všeobecný rozvoj znalostí financovaný z ostatních zdrojů na VaV (34,4%)</c:v>
                </c:pt>
              </c:strCache>
            </c:strRef>
          </c:cat>
          <c:val>
            <c:numRef>
              <c:f>'GRAF19_3-7'!$B$22:$B$35</c:f>
              <c:numCache>
                <c:formatCode>#,##0</c:formatCode>
                <c:ptCount val="14"/>
                <c:pt idx="0">
                  <c:v>62.481000000000002</c:v>
                </c:pt>
                <c:pt idx="1">
                  <c:v>98.070000000000022</c:v>
                </c:pt>
                <c:pt idx="2">
                  <c:v>507.68200000000007</c:v>
                </c:pt>
                <c:pt idx="3">
                  <c:v>396.34300000000002</c:v>
                </c:pt>
                <c:pt idx="4">
                  <c:v>395.38400000000001</c:v>
                </c:pt>
                <c:pt idx="5">
                  <c:v>228.76799999999986</c:v>
                </c:pt>
                <c:pt idx="6">
                  <c:v>619.96299999999974</c:v>
                </c:pt>
                <c:pt idx="7">
                  <c:v>1130.0359999999996</c:v>
                </c:pt>
                <c:pt idx="8">
                  <c:v>830.0270000000005</c:v>
                </c:pt>
                <c:pt idx="9">
                  <c:v>600.04300000000001</c:v>
                </c:pt>
                <c:pt idx="10">
                  <c:v>1391.7549999999985</c:v>
                </c:pt>
                <c:pt idx="11">
                  <c:v>3376.1170000000002</c:v>
                </c:pt>
                <c:pt idx="12">
                  <c:v>4584.2070000000022</c:v>
                </c:pt>
                <c:pt idx="13">
                  <c:v>8381.2489999999943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9A-475B-8E99-B952BFDB388A}"/>
            </c:ext>
          </c:extLst>
        </c:ser>
        <c:ser>
          <c:idx val="1"/>
          <c:order val="1"/>
          <c:tx>
            <c:strRef>
              <c:f>'GRAF19_3-7'!$C$21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'GRAF19_3-7'!$A$22:$A$35</c:f>
              <c:strCache>
                <c:ptCount val="14"/>
                <c:pt idx="0">
                  <c:v>Vzdělání (0,6%)</c:v>
                </c:pt>
                <c:pt idx="1">
                  <c:v>Kultura, rekreace, náboženství a média (0,7%)</c:v>
                </c:pt>
                <c:pt idx="2">
                  <c:v>Obrana (1%)</c:v>
                </c:pt>
                <c:pt idx="3">
                  <c:v>Průzkum a využití kosmu (1,8%)</c:v>
                </c:pt>
                <c:pt idx="4">
                  <c:v>Průzkum a využití zdrojů Země (1,9%)</c:v>
                </c:pt>
                <c:pt idx="5">
                  <c:v>Politické a sociální systémy, struktury a procesy (2,1%)</c:v>
                </c:pt>
                <c:pt idx="6">
                  <c:v>Životní prostředí (2,1%)</c:v>
                </c:pt>
                <c:pt idx="7">
                  <c:v>Zemědělství (4,1%)</c:v>
                </c:pt>
                <c:pt idx="8">
                  <c:v>Energie (4,4%)</c:v>
                </c:pt>
                <c:pt idx="9">
                  <c:v>Doprava, telekomunikace a ostatní infrastruktura (4,5%)</c:v>
                </c:pt>
                <c:pt idx="10">
                  <c:v>Zdraví (7,1%)</c:v>
                </c:pt>
                <c:pt idx="11">
                  <c:v>Průmyslová výroba a technologie (11,7%)</c:v>
                </c:pt>
                <c:pt idx="12">
                  <c:v>Všeobecný rozvoj znalostí na vysokých školách financovaný z institucionálních prostředků na VaV (23,6%)</c:v>
                </c:pt>
                <c:pt idx="13">
                  <c:v>Všeobecný rozvoj znalostí financovaný z ostatních zdrojů na VaV (34,4%)</c:v>
                </c:pt>
              </c:strCache>
            </c:strRef>
          </c:cat>
          <c:val>
            <c:numRef>
              <c:f>'GRAF19_3-7'!$C$22:$C$35</c:f>
              <c:numCache>
                <c:formatCode>#,##0</c:formatCode>
                <c:ptCount val="14"/>
                <c:pt idx="0">
                  <c:v>1215.194460462111</c:v>
                </c:pt>
                <c:pt idx="1">
                  <c:v>500.38496061743132</c:v>
                </c:pt>
                <c:pt idx="2">
                  <c:v>366.46968644617294</c:v>
                </c:pt>
                <c:pt idx="3">
                  <c:v>494.89126999999996</c:v>
                </c:pt>
                <c:pt idx="4">
                  <c:v>435.63359000000003</c:v>
                </c:pt>
                <c:pt idx="5">
                  <c:v>395.07268517026552</c:v>
                </c:pt>
                <c:pt idx="6">
                  <c:v>620.45100435941777</c:v>
                </c:pt>
                <c:pt idx="7">
                  <c:v>1148.5856105334392</c:v>
                </c:pt>
                <c:pt idx="8">
                  <c:v>1227.4637133303008</c:v>
                </c:pt>
                <c:pt idx="9">
                  <c:v>1064.0919908477058</c:v>
                </c:pt>
                <c:pt idx="10">
                  <c:v>1867.4100439000736</c:v>
                </c:pt>
                <c:pt idx="11">
                  <c:v>3040.3908104701868</c:v>
                </c:pt>
                <c:pt idx="12">
                  <c:v>6296.0607895500034</c:v>
                </c:pt>
                <c:pt idx="13">
                  <c:v>9157.6777469728877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9A-475B-8E99-B952BFDB388A}"/>
            </c:ext>
          </c:extLst>
        </c:ser>
        <c:ser>
          <c:idx val="2"/>
          <c:order val="2"/>
          <c:tx>
            <c:strRef>
              <c:f>'GRAF19_3-7'!$D$21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9A-475B-8E99-B952BFDB388A}"/>
                </c:ext>
              </c:extLst>
            </c:dLbl>
            <c:dLbl>
              <c:idx val="13"/>
              <c:layout>
                <c:manualLayout>
                  <c:x val="-7.0555555555555705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9A-475B-8E99-B952BFDB388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'GRAF19_3-7'!$A$22:$A$35</c:f>
              <c:strCache>
                <c:ptCount val="14"/>
                <c:pt idx="0">
                  <c:v>Vzdělání (0,6%)</c:v>
                </c:pt>
                <c:pt idx="1">
                  <c:v>Kultura, rekreace, náboženství a média (0,7%)</c:v>
                </c:pt>
                <c:pt idx="2">
                  <c:v>Obrana (1%)</c:v>
                </c:pt>
                <c:pt idx="3">
                  <c:v>Průzkum a využití kosmu (1,8%)</c:v>
                </c:pt>
                <c:pt idx="4">
                  <c:v>Průzkum a využití zdrojů Země (1,9%)</c:v>
                </c:pt>
                <c:pt idx="5">
                  <c:v>Politické a sociální systémy, struktury a procesy (2,1%)</c:v>
                </c:pt>
                <c:pt idx="6">
                  <c:v>Životní prostředí (2,1%)</c:v>
                </c:pt>
                <c:pt idx="7">
                  <c:v>Zemědělství (4,1%)</c:v>
                </c:pt>
                <c:pt idx="8">
                  <c:v>Energie (4,4%)</c:v>
                </c:pt>
                <c:pt idx="9">
                  <c:v>Doprava, telekomunikace a ostatní infrastruktura (4,5%)</c:v>
                </c:pt>
                <c:pt idx="10">
                  <c:v>Zdraví (7,1%)</c:v>
                </c:pt>
                <c:pt idx="11">
                  <c:v>Průmyslová výroba a technologie (11,7%)</c:v>
                </c:pt>
                <c:pt idx="12">
                  <c:v>Všeobecný rozvoj znalostí na vysokých školách financovaný z institucionálních prostředků na VaV (23,6%)</c:v>
                </c:pt>
                <c:pt idx="13">
                  <c:v>Všeobecný rozvoj znalostí financovaný z ostatních zdrojů na VaV (34,4%)</c:v>
                </c:pt>
              </c:strCache>
            </c:strRef>
          </c:cat>
          <c:val>
            <c:numRef>
              <c:f>'GRAF19_3-7'!$D$22:$D$35</c:f>
              <c:numCache>
                <c:formatCode>#,##0</c:formatCode>
                <c:ptCount val="14"/>
                <c:pt idx="0">
                  <c:v>245.95582735000002</c:v>
                </c:pt>
                <c:pt idx="1">
                  <c:v>275.19999672999995</c:v>
                </c:pt>
                <c:pt idx="2">
                  <c:v>376.65901305000006</c:v>
                </c:pt>
                <c:pt idx="3">
                  <c:v>673.19875365999997</c:v>
                </c:pt>
                <c:pt idx="4">
                  <c:v>709.59152435999999</c:v>
                </c:pt>
                <c:pt idx="5">
                  <c:v>787.58238012000015</c:v>
                </c:pt>
                <c:pt idx="6">
                  <c:v>790.95181912999976</c:v>
                </c:pt>
                <c:pt idx="7">
                  <c:v>1560.0969779799996</c:v>
                </c:pt>
                <c:pt idx="8">
                  <c:v>1694.3467693799996</c:v>
                </c:pt>
                <c:pt idx="9">
                  <c:v>1708.7954472199995</c:v>
                </c:pt>
                <c:pt idx="10">
                  <c:v>2716.1127135877732</c:v>
                </c:pt>
                <c:pt idx="11">
                  <c:v>4459.8876801699935</c:v>
                </c:pt>
                <c:pt idx="12">
                  <c:v>8994.1389620060108</c:v>
                </c:pt>
                <c:pt idx="13">
                  <c:v>13097.539159932237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9A-475B-8E99-B952BFDB3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64383744"/>
        <c:axId val="164389632"/>
      </c:barChart>
      <c:catAx>
        <c:axId val="16438374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crossAx val="164389632"/>
        <c:crosses val="autoZero"/>
        <c:auto val="1"/>
        <c:lblAlgn val="ctr"/>
        <c:lblOffset val="100"/>
        <c:noMultiLvlLbl val="0"/>
      </c:catAx>
      <c:valAx>
        <c:axId val="164389632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mil. Kč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64383744"/>
        <c:crosses val="autoZero"/>
        <c:crossBetween val="between"/>
      </c:valAx>
      <c:spPr>
        <a:solidFill>
          <a:schemeClr val="bg1"/>
        </a:solidFill>
        <a:ln>
          <a:solidFill>
            <a:schemeClr val="bg1">
              <a:lumMod val="85000"/>
            </a:schemeClr>
          </a:solidFill>
        </a:ln>
      </c:spPr>
    </c:plotArea>
    <c:legend>
      <c:legendPos val="t"/>
      <c:layout>
        <c:manualLayout>
          <c:xMode val="edge"/>
          <c:yMode val="edge"/>
          <c:x val="0.48025384447572889"/>
          <c:y val="1.0079375078745118E-2"/>
          <c:w val="0.19306707497922623"/>
          <c:h val="3.74085688577072E-2"/>
        </c:manualLayout>
      </c:layout>
      <c:overlay val="1"/>
      <c:spPr>
        <a:solidFill>
          <a:schemeClr val="bg1">
            <a:lumMod val="95000"/>
          </a:schemeClr>
        </a:solidFill>
      </c:sp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408921568627452"/>
          <c:y val="0.10894128540763501"/>
          <c:w val="0.51966601553772296"/>
          <c:h val="0.8729727682141503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'GRAF20_3-8'!$B$37</c:f>
              <c:strCache>
                <c:ptCount val="1"/>
                <c:pt idx="0">
                  <c:v>Institucionální podpora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'GRAF20_3-8'!$A$38:$A$51</c:f>
              <c:strCache>
                <c:ptCount val="14"/>
                <c:pt idx="0">
                  <c:v>Obrana</c:v>
                </c:pt>
                <c:pt idx="1">
                  <c:v>Doprava, telekomunikace a ostatní infrastruktura</c:v>
                </c:pt>
                <c:pt idx="2">
                  <c:v>Průmyslová výroba a technologie</c:v>
                </c:pt>
                <c:pt idx="3">
                  <c:v>Životní prostředí</c:v>
                </c:pt>
                <c:pt idx="4">
                  <c:v>Vzdělání</c:v>
                </c:pt>
                <c:pt idx="5">
                  <c:v>Zdraví</c:v>
                </c:pt>
                <c:pt idx="6">
                  <c:v>Energie</c:v>
                </c:pt>
                <c:pt idx="7">
                  <c:v>Zemědělství</c:v>
                </c:pt>
                <c:pt idx="8">
                  <c:v>Politické a sociální systémy, struktury a procesy</c:v>
                </c:pt>
                <c:pt idx="9">
                  <c:v>Všeobecný rozvoj znalostí financovaný z ostatních zdrojů na VaV</c:v>
                </c:pt>
                <c:pt idx="10">
                  <c:v>Kultura, rekreace, náboženství a média</c:v>
                </c:pt>
                <c:pt idx="11">
                  <c:v>Průzkum a využití zdrojů Země</c:v>
                </c:pt>
                <c:pt idx="12">
                  <c:v>Průzkum a využití kosmu</c:v>
                </c:pt>
                <c:pt idx="13">
                  <c:v>Všeobecný rozvoj znalostí na vysokých školách financovaný z institucionálních prostředků na VaV</c:v>
                </c:pt>
              </c:strCache>
            </c:strRef>
          </c:cat>
          <c:val>
            <c:numRef>
              <c:f>'GRAF20_3-8'!$B$38:$B$51</c:f>
              <c:numCache>
                <c:formatCode>0%</c:formatCode>
                <c:ptCount val="14"/>
                <c:pt idx="0">
                  <c:v>4.7198922935743085E-2</c:v>
                </c:pt>
                <c:pt idx="1">
                  <c:v>0.10128836512970683</c:v>
                </c:pt>
                <c:pt idx="2">
                  <c:v>0.1321367065633226</c:v>
                </c:pt>
                <c:pt idx="3">
                  <c:v>0.18656129391333648</c:v>
                </c:pt>
                <c:pt idx="4">
                  <c:v>0.24658238100492799</c:v>
                </c:pt>
                <c:pt idx="5">
                  <c:v>0.26952984391910167</c:v>
                </c:pt>
                <c:pt idx="6">
                  <c:v>0.2965695234062819</c:v>
                </c:pt>
                <c:pt idx="7">
                  <c:v>0.39415279985106344</c:v>
                </c:pt>
                <c:pt idx="8">
                  <c:v>0.42782220753676758</c:v>
                </c:pt>
                <c:pt idx="9">
                  <c:v>0.48017174769665194</c:v>
                </c:pt>
                <c:pt idx="10">
                  <c:v>0.59402444332289239</c:v>
                </c:pt>
                <c:pt idx="11">
                  <c:v>0.61557490872508369</c:v>
                </c:pt>
                <c:pt idx="12">
                  <c:v>0.77654313686389376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8E-409E-A26D-C1EBF1583DE0}"/>
            </c:ext>
          </c:extLst>
        </c:ser>
        <c:ser>
          <c:idx val="1"/>
          <c:order val="1"/>
          <c:tx>
            <c:strRef>
              <c:f>'GRAF20_3-8'!$C$37</c:f>
              <c:strCache>
                <c:ptCount val="1"/>
                <c:pt idx="0">
                  <c:v>Účelová podpora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8E-409E-A26D-C1EBF1583D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'GRAF20_3-8'!$A$38:$A$51</c:f>
              <c:strCache>
                <c:ptCount val="14"/>
                <c:pt idx="0">
                  <c:v>Obrana</c:v>
                </c:pt>
                <c:pt idx="1">
                  <c:v>Doprava, telekomunikace a ostatní infrastruktura</c:v>
                </c:pt>
                <c:pt idx="2">
                  <c:v>Průmyslová výroba a technologie</c:v>
                </c:pt>
                <c:pt idx="3">
                  <c:v>Životní prostředí</c:v>
                </c:pt>
                <c:pt idx="4">
                  <c:v>Vzdělání</c:v>
                </c:pt>
                <c:pt idx="5">
                  <c:v>Zdraví</c:v>
                </c:pt>
                <c:pt idx="6">
                  <c:v>Energie</c:v>
                </c:pt>
                <c:pt idx="7">
                  <c:v>Zemědělství</c:v>
                </c:pt>
                <c:pt idx="8">
                  <c:v>Politické a sociální systémy, struktury a procesy</c:v>
                </c:pt>
                <c:pt idx="9">
                  <c:v>Všeobecný rozvoj znalostí financovaný z ostatních zdrojů na VaV</c:v>
                </c:pt>
                <c:pt idx="10">
                  <c:v>Kultura, rekreace, náboženství a média</c:v>
                </c:pt>
                <c:pt idx="11">
                  <c:v>Průzkum a využití zdrojů Země</c:v>
                </c:pt>
                <c:pt idx="12">
                  <c:v>Průzkum a využití kosmu</c:v>
                </c:pt>
                <c:pt idx="13">
                  <c:v>Všeobecný rozvoj znalostí na vysokých školách financovaný z institucionálních prostředků na VaV</c:v>
                </c:pt>
              </c:strCache>
            </c:strRef>
          </c:cat>
          <c:val>
            <c:numRef>
              <c:f>'GRAF20_3-8'!$C$38:$C$51</c:f>
              <c:numCache>
                <c:formatCode>0%</c:formatCode>
                <c:ptCount val="14"/>
                <c:pt idx="0">
                  <c:v>0.95280107706425687</c:v>
                </c:pt>
                <c:pt idx="1">
                  <c:v>0.89871163487029315</c:v>
                </c:pt>
                <c:pt idx="2">
                  <c:v>0.86786329343667734</c:v>
                </c:pt>
                <c:pt idx="3">
                  <c:v>0.81343870608666358</c:v>
                </c:pt>
                <c:pt idx="4">
                  <c:v>0.75341761899507209</c:v>
                </c:pt>
                <c:pt idx="5">
                  <c:v>0.73047015608089827</c:v>
                </c:pt>
                <c:pt idx="6">
                  <c:v>0.70343047659371805</c:v>
                </c:pt>
                <c:pt idx="7">
                  <c:v>0.60584720014893656</c:v>
                </c:pt>
                <c:pt idx="8">
                  <c:v>0.57217779246323242</c:v>
                </c:pt>
                <c:pt idx="9">
                  <c:v>0.51982825230334806</c:v>
                </c:pt>
                <c:pt idx="10">
                  <c:v>0.40597555667710766</c:v>
                </c:pt>
                <c:pt idx="11">
                  <c:v>0.38442509127491631</c:v>
                </c:pt>
                <c:pt idx="12">
                  <c:v>0.22345686313610624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8E-409E-A26D-C1EBF1583D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1"/>
        <c:overlap val="100"/>
        <c:axId val="164923264"/>
        <c:axId val="164924800"/>
      </c:barChart>
      <c:catAx>
        <c:axId val="1649232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64924800"/>
        <c:crosses val="autoZero"/>
        <c:auto val="1"/>
        <c:lblAlgn val="ctr"/>
        <c:lblOffset val="100"/>
        <c:noMultiLvlLbl val="0"/>
      </c:catAx>
      <c:valAx>
        <c:axId val="164924800"/>
        <c:scaling>
          <c:orientation val="minMax"/>
        </c:scaling>
        <c:delete val="1"/>
        <c:axPos val="b"/>
        <c:majorGridlines/>
        <c:numFmt formatCode="0%" sourceLinked="0"/>
        <c:majorTickMark val="out"/>
        <c:minorTickMark val="none"/>
        <c:tickLblPos val="none"/>
        <c:crossAx val="164923264"/>
        <c:crosses val="autoZero"/>
        <c:crossBetween val="between"/>
      </c:valAx>
      <c:spPr>
        <a:noFill/>
        <a:ln>
          <a:solidFill>
            <a:schemeClr val="bg1">
              <a:lumMod val="75000"/>
            </a:schemeClr>
          </a:solidFill>
        </a:ln>
      </c:spPr>
    </c:plotArea>
    <c:legend>
      <c:legendPos val="t"/>
      <c:layout>
        <c:manualLayout>
          <c:xMode val="edge"/>
          <c:yMode val="edge"/>
          <c:x val="0.46118765638196368"/>
          <c:y val="2.8694620700043305E-2"/>
          <c:w val="0.41146265499574097"/>
          <c:h val="5.7672154343636359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378905228758171"/>
          <c:y val="0.15018142361111109"/>
          <c:w val="0.72836519607843142"/>
          <c:h val="0.72430584490740746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'GRFA19_3-9'!$L$55</c:f>
              <c:strCache>
                <c:ptCount val="1"/>
                <c:pt idx="0">
                  <c:v>Všeobecný rozvoj znalostí na vysokých školách financovaný z institucionálních prostředků na VaV (SEO 12)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43-4A3F-828A-01750E0003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'GRFA19_3-9'!$K$56:$K$61</c:f>
              <c:strCache>
                <c:ptCount val="6"/>
                <c:pt idx="0">
                  <c:v>Zemědělské vědy (2,4%)</c:v>
                </c:pt>
                <c:pt idx="1">
                  <c:v>Lékařské vědy (8,1%)</c:v>
                </c:pt>
                <c:pt idx="2">
                  <c:v>Sociální vědy (8,4%)</c:v>
                </c:pt>
                <c:pt idx="3">
                  <c:v>Humanitní vědy (10,5%)</c:v>
                </c:pt>
                <c:pt idx="4">
                  <c:v>Technické vědy (11,5%)</c:v>
                </c:pt>
                <c:pt idx="5">
                  <c:v>Přírodní vědy (59%)</c:v>
                </c:pt>
              </c:strCache>
            </c:strRef>
          </c:cat>
          <c:val>
            <c:numRef>
              <c:f>'GRFA19_3-9'!$L$56:$L$61</c:f>
              <c:numCache>
                <c:formatCode>#,##0</c:formatCode>
                <c:ptCount val="6"/>
                <c:pt idx="0">
                  <c:v>511.79545496015606</c:v>
                </c:pt>
                <c:pt idx="1">
                  <c:v>933.80320103264648</c:v>
                </c:pt>
                <c:pt idx="2">
                  <c:v>1310.949730738457</c:v>
                </c:pt>
                <c:pt idx="3">
                  <c:v>676.36499927343641</c:v>
                </c:pt>
                <c:pt idx="4">
                  <c:v>1773.7985797669207</c:v>
                </c:pt>
                <c:pt idx="5">
                  <c:v>3787.4269962343815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43-4A3F-828A-01750E00039A}"/>
            </c:ext>
          </c:extLst>
        </c:ser>
        <c:ser>
          <c:idx val="0"/>
          <c:order val="1"/>
          <c:tx>
            <c:strRef>
              <c:f>'GRFA19_3-9'!$M$55</c:f>
              <c:strCache>
                <c:ptCount val="1"/>
                <c:pt idx="0">
                  <c:v>Všeobecný rozvoj znalostí financovaný z ostatních zdrojů na VaV (SEO 13)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43-4A3F-828A-01750E0003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'GRFA19_3-9'!$K$56:$K$61</c:f>
              <c:strCache>
                <c:ptCount val="6"/>
                <c:pt idx="0">
                  <c:v>Zemědělské vědy (2,4%)</c:v>
                </c:pt>
                <c:pt idx="1">
                  <c:v>Lékařské vědy (8,1%)</c:v>
                </c:pt>
                <c:pt idx="2">
                  <c:v>Sociální vědy (8,4%)</c:v>
                </c:pt>
                <c:pt idx="3">
                  <c:v>Humanitní vědy (10,5%)</c:v>
                </c:pt>
                <c:pt idx="4">
                  <c:v>Technické vědy (11,5%)</c:v>
                </c:pt>
                <c:pt idx="5">
                  <c:v>Přírodní vědy (59%)</c:v>
                </c:pt>
              </c:strCache>
            </c:strRef>
          </c:cat>
          <c:val>
            <c:numRef>
              <c:f>'GRFA19_3-9'!$M$56:$M$61</c:f>
              <c:numCache>
                <c:formatCode>#,##0</c:formatCode>
                <c:ptCount val="6"/>
                <c:pt idx="0">
                  <c:v>18.575089380000001</c:v>
                </c:pt>
                <c:pt idx="1">
                  <c:v>852.73480296000002</c:v>
                </c:pt>
                <c:pt idx="2">
                  <c:v>542.65568893000022</c:v>
                </c:pt>
                <c:pt idx="3">
                  <c:v>1653.4799220600003</c:v>
                </c:pt>
                <c:pt idx="4">
                  <c:v>777.2339801600001</c:v>
                </c:pt>
                <c:pt idx="5">
                  <c:v>9252.8596764422309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43-4A3F-828A-01750E0003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64383744"/>
        <c:axId val="164389632"/>
      </c:barChart>
      <c:catAx>
        <c:axId val="16438374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crossAx val="164389632"/>
        <c:crosses val="autoZero"/>
        <c:auto val="1"/>
        <c:lblAlgn val="ctr"/>
        <c:lblOffset val="100"/>
        <c:noMultiLvlLbl val="0"/>
      </c:catAx>
      <c:valAx>
        <c:axId val="164389632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cs-CZ" b="0"/>
                  <a:t>mil.</a:t>
                </a:r>
                <a:r>
                  <a:rPr lang="cs-CZ" b="0" baseline="0"/>
                  <a:t> Kč</a:t>
                </a:r>
                <a:endParaRPr lang="en-US" b="0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64383744"/>
        <c:crosses val="autoZero"/>
        <c:crossBetween val="between"/>
      </c:valAx>
      <c:spPr>
        <a:solidFill>
          <a:schemeClr val="bg1"/>
        </a:solidFill>
        <a:ln>
          <a:solidFill>
            <a:schemeClr val="bg1">
              <a:lumMod val="85000"/>
            </a:schemeClr>
          </a:solidFill>
        </a:ln>
      </c:spPr>
    </c:plotArea>
    <c:legend>
      <c:legendPos val="t"/>
      <c:overlay val="0"/>
      <c:spPr>
        <a:solidFill>
          <a:schemeClr val="bg1">
            <a:lumMod val="95000"/>
          </a:schemeClr>
        </a:solidFill>
      </c:sp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'GRFA19_3-10'!$B$98</c:f>
              <c:strCache>
                <c:ptCount val="1"/>
                <c:pt idx="0">
                  <c:v>Součet z FINCST_MKC</c:v>
                </c:pt>
              </c:strCache>
            </c:strRef>
          </c:tx>
          <c:spPr>
            <a:solidFill>
              <a:schemeClr val="accent5"/>
            </a:solidFill>
            <a:ln w="19050"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EB7-4A6E-914C-8EDB1D91E5CB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EB7-4A6E-914C-8EDB1D91E5CB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EB7-4A6E-914C-8EDB1D91E5CB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EB7-4A6E-914C-8EDB1D91E5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noFill/>
                    </a:ln>
                    <a:effectLst/>
                  </c:spPr>
                </c15:leaderLines>
              </c:ext>
            </c:extLst>
          </c:dLbls>
          <c:cat>
            <c:strRef>
              <c:f>'GRFA19_3-10'!$A$99:$A$105</c:f>
              <c:strCache>
                <c:ptCount val="7"/>
                <c:pt idx="0">
                  <c:v>soukromé národní podniky (43%)</c:v>
                </c:pt>
                <c:pt idx="1">
                  <c:v>soukromé zahraniční podniky (5%)</c:v>
                </c:pt>
                <c:pt idx="2">
                  <c:v>veřejné podniky (4%)</c:v>
                </c:pt>
                <c:pt idx="3">
                  <c:v>veřejné vysoké školy (33%)</c:v>
                </c:pt>
                <c:pt idx="4">
                  <c:v>veřejné výzkumné instituce (8%)</c:v>
                </c:pt>
                <c:pt idx="5">
                  <c:v>veřejné výzkumné organizace (3%)</c:v>
                </c:pt>
                <c:pt idx="6">
                  <c:v>ostatní (3%)</c:v>
                </c:pt>
              </c:strCache>
            </c:strRef>
          </c:cat>
          <c:val>
            <c:numRef>
              <c:f>'GRFA19_3-10'!$B$99:$B$105</c:f>
              <c:numCache>
                <c:formatCode>#,##0</c:formatCode>
                <c:ptCount val="7"/>
                <c:pt idx="0">
                  <c:v>1925.370603038635</c:v>
                </c:pt>
                <c:pt idx="1">
                  <c:v>232.94023336358293</c:v>
                </c:pt>
                <c:pt idx="2">
                  <c:v>190.74563522</c:v>
                </c:pt>
                <c:pt idx="3">
                  <c:v>1467.7352552485854</c:v>
                </c:pt>
                <c:pt idx="4">
                  <c:v>369.62360838930829</c:v>
                </c:pt>
                <c:pt idx="5">
                  <c:v>129.02201953000002</c:v>
                </c:pt>
                <c:pt idx="6">
                  <c:v>144.45032537988979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B7-4A6E-914C-8EDB1D91E5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40342688"/>
        <c:axId val="1240352672"/>
      </c:barChart>
      <c:catAx>
        <c:axId val="1240342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240352672"/>
        <c:crosses val="autoZero"/>
        <c:auto val="1"/>
        <c:lblAlgn val="ctr"/>
        <c:lblOffset val="100"/>
        <c:noMultiLvlLbl val="0"/>
      </c:catAx>
      <c:valAx>
        <c:axId val="124035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mil. Kč</a:t>
                </a:r>
              </a:p>
            </c:rich>
          </c:tx>
          <c:overlay val="0"/>
          <c:spPr>
            <a:solidFill>
              <a:schemeClr val="bg1"/>
            </a:solidFill>
            <a:ln w="19050">
              <a:solidFill>
                <a:schemeClr val="bg1"/>
              </a:solidFill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240342688"/>
        <c:crosses val="autoZero"/>
        <c:crossBetween val="between"/>
      </c:valAx>
      <c:spPr>
        <a:noFill/>
        <a:ln>
          <a:solidFill>
            <a:schemeClr val="bg1">
              <a:lumMod val="7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440066149953703E-2"/>
          <c:y val="0.12482685185185186"/>
          <c:w val="0.91659941771999609"/>
          <c:h val="0.56415620915032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'GRAF19_3-12'!$B$2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370-4F4C-AF00-1F203CA3E73A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A370-4F4C-AF00-1F203CA3E73A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4-A370-4F4C-AF00-1F203CA3E73A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6-A370-4F4C-AF00-1F203CA3E73A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370-4F4C-AF00-1F203CA3E73A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A370-4F4C-AF00-1F203CA3E73A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A370-4F4C-AF00-1F203CA3E73A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D-A370-4F4C-AF00-1F203CA3E73A}"/>
              </c:ext>
            </c:extLst>
          </c:dPt>
          <c:cat>
            <c:strRef>
              <c:f>'GRAF19_3-12'!$A$3:$A$38</c:f>
              <c:strCache>
                <c:ptCount val="36"/>
                <c:pt idx="0">
                  <c:v>Německo</c:v>
                </c:pt>
                <c:pt idx="1">
                  <c:v>Dánsko</c:v>
                </c:pt>
                <c:pt idx="2">
                  <c:v>Finsko</c:v>
                </c:pt>
                <c:pt idx="3">
                  <c:v>Chorvatsko</c:v>
                </c:pt>
                <c:pt idx="4">
                  <c:v>Rakousko</c:v>
                </c:pt>
                <c:pt idx="5">
                  <c:v>Švédsko</c:v>
                </c:pt>
                <c:pt idx="6">
                  <c:v>Belgie</c:v>
                </c:pt>
                <c:pt idx="7">
                  <c:v>Řecko</c:v>
                </c:pt>
                <c:pt idx="8">
                  <c:v>Nizozemsko</c:v>
                </c:pt>
                <c:pt idx="9">
                  <c:v>Evropská unie</c:v>
                </c:pt>
                <c:pt idx="10">
                  <c:v>Lucembursko</c:v>
                </c:pt>
                <c:pt idx="11">
                  <c:v>Estonsko</c:v>
                </c:pt>
                <c:pt idx="12">
                  <c:v>Francie</c:v>
                </c:pt>
                <c:pt idx="13">
                  <c:v>Česko</c:v>
                </c:pt>
                <c:pt idx="14">
                  <c:v>Itálie</c:v>
                </c:pt>
                <c:pt idx="15">
                  <c:v>Španělsko</c:v>
                </c:pt>
                <c:pt idx="16">
                  <c:v>Slovinsko</c:v>
                </c:pt>
                <c:pt idx="17">
                  <c:v>Polsko</c:v>
                </c:pt>
                <c:pt idx="18">
                  <c:v>Slovensko</c:v>
                </c:pt>
                <c:pt idx="19">
                  <c:v>Kypr</c:v>
                </c:pt>
                <c:pt idx="20">
                  <c:v>Portugalsko</c:v>
                </c:pt>
                <c:pt idx="21">
                  <c:v>Litva</c:v>
                </c:pt>
                <c:pt idx="22">
                  <c:v>Maďarsko</c:v>
                </c:pt>
                <c:pt idx="23">
                  <c:v>Irsko</c:v>
                </c:pt>
                <c:pt idx="24">
                  <c:v>Lotyšsko</c:v>
                </c:pt>
                <c:pt idx="25">
                  <c:v>Bulharsko</c:v>
                </c:pt>
                <c:pt idx="26">
                  <c:v>Malta</c:v>
                </c:pt>
                <c:pt idx="27">
                  <c:v>Rumunsko</c:v>
                </c:pt>
                <c:pt idx="29">
                  <c:v>Jižní Korea</c:v>
                </c:pt>
                <c:pt idx="30">
                  <c:v>Norsko</c:v>
                </c:pt>
                <c:pt idx="31">
                  <c:v>Švýcarsko</c:v>
                </c:pt>
                <c:pt idx="32">
                  <c:v>Japonsko</c:v>
                </c:pt>
                <c:pt idx="33">
                  <c:v>Spojené státy</c:v>
                </c:pt>
                <c:pt idx="34">
                  <c:v>Velká Británie</c:v>
                </c:pt>
                <c:pt idx="35">
                  <c:v>Rusko</c:v>
                </c:pt>
              </c:strCache>
            </c:strRef>
          </c:cat>
          <c:val>
            <c:numRef>
              <c:f>'GRAF19_3-12'!$B$3:$B$38</c:f>
              <c:numCache>
                <c:formatCode>0.00</c:formatCode>
                <c:ptCount val="36"/>
                <c:pt idx="0">
                  <c:v>0.9</c:v>
                </c:pt>
                <c:pt idx="1">
                  <c:v>0.99</c:v>
                </c:pt>
                <c:pt idx="2">
                  <c:v>1.1100000000000001</c:v>
                </c:pt>
                <c:pt idx="3">
                  <c:v>0.72</c:v>
                </c:pt>
                <c:pt idx="4">
                  <c:v>0.77</c:v>
                </c:pt>
                <c:pt idx="5">
                  <c:v>0.84</c:v>
                </c:pt>
                <c:pt idx="6">
                  <c:v>0.65</c:v>
                </c:pt>
                <c:pt idx="7">
                  <c:v>0.3</c:v>
                </c:pt>
                <c:pt idx="8">
                  <c:v>0.76</c:v>
                </c:pt>
                <c:pt idx="9">
                  <c:v>0.72</c:v>
                </c:pt>
                <c:pt idx="10">
                  <c:v>0.54</c:v>
                </c:pt>
                <c:pt idx="11">
                  <c:v>0.7</c:v>
                </c:pt>
                <c:pt idx="12">
                  <c:v>0.82</c:v>
                </c:pt>
                <c:pt idx="13">
                  <c:v>0.56999999999999995</c:v>
                </c:pt>
                <c:pt idx="14">
                  <c:v>0.6</c:v>
                </c:pt>
                <c:pt idx="15">
                  <c:v>0.77</c:v>
                </c:pt>
                <c:pt idx="16">
                  <c:v>0.6</c:v>
                </c:pt>
                <c:pt idx="17">
                  <c:v>0.36</c:v>
                </c:pt>
                <c:pt idx="18">
                  <c:v>0.37</c:v>
                </c:pt>
                <c:pt idx="19">
                  <c:v>0.42</c:v>
                </c:pt>
                <c:pt idx="20">
                  <c:v>0.54</c:v>
                </c:pt>
                <c:pt idx="21">
                  <c:v>0.42</c:v>
                </c:pt>
                <c:pt idx="22">
                  <c:v>0.35</c:v>
                </c:pt>
                <c:pt idx="23">
                  <c:v>0.49</c:v>
                </c:pt>
                <c:pt idx="24">
                  <c:v>0.16</c:v>
                </c:pt>
                <c:pt idx="25">
                  <c:v>0.26</c:v>
                </c:pt>
                <c:pt idx="26">
                  <c:v>0.22</c:v>
                </c:pt>
                <c:pt idx="27">
                  <c:v>0.28000000000000003</c:v>
                </c:pt>
                <c:pt idx="29">
                  <c:v>1.08</c:v>
                </c:pt>
                <c:pt idx="30" formatCode="General">
                  <c:v>0.84</c:v>
                </c:pt>
                <c:pt idx="31">
                  <c:v>0.76</c:v>
                </c:pt>
                <c:pt idx="32">
                  <c:v>0.72</c:v>
                </c:pt>
                <c:pt idx="33">
                  <c:v>0.8</c:v>
                </c:pt>
                <c:pt idx="34">
                  <c:v>0.59</c:v>
                </c:pt>
                <c:pt idx="35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370-4F4C-AF00-1F203CA3E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33085568"/>
        <c:axId val="233091456"/>
      </c:barChart>
      <c:barChart>
        <c:barDir val="col"/>
        <c:grouping val="clustered"/>
        <c:varyColors val="0"/>
        <c:ser>
          <c:idx val="1"/>
          <c:order val="1"/>
          <c:tx>
            <c:strRef>
              <c:f>'GRAF19_3-12'!$C$2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370-4F4C-AF00-1F203CA3E73A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1-A370-4F4C-AF00-1F203CA3E73A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A370-4F4C-AF00-1F203CA3E73A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A370-4F4C-AF00-1F203CA3E73A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A370-4F4C-AF00-1F203CA3E73A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6-A370-4F4C-AF00-1F203CA3E73A}"/>
              </c:ext>
            </c:extLst>
          </c:dPt>
          <c:cat>
            <c:strRef>
              <c:f>'GRAF19_3-12'!$A$3:$A$38</c:f>
              <c:strCache>
                <c:ptCount val="36"/>
                <c:pt idx="0">
                  <c:v>Německo</c:v>
                </c:pt>
                <c:pt idx="1">
                  <c:v>Dánsko</c:v>
                </c:pt>
                <c:pt idx="2">
                  <c:v>Finsko</c:v>
                </c:pt>
                <c:pt idx="3">
                  <c:v>Chorvatsko</c:v>
                </c:pt>
                <c:pt idx="4">
                  <c:v>Rakousko</c:v>
                </c:pt>
                <c:pt idx="5">
                  <c:v>Švédsko</c:v>
                </c:pt>
                <c:pt idx="6">
                  <c:v>Belgie</c:v>
                </c:pt>
                <c:pt idx="7">
                  <c:v>Řecko</c:v>
                </c:pt>
                <c:pt idx="8">
                  <c:v>Nizozemsko</c:v>
                </c:pt>
                <c:pt idx="9">
                  <c:v>Evropská unie</c:v>
                </c:pt>
                <c:pt idx="10">
                  <c:v>Lucembursko</c:v>
                </c:pt>
                <c:pt idx="11">
                  <c:v>Estonsko</c:v>
                </c:pt>
                <c:pt idx="12">
                  <c:v>Francie</c:v>
                </c:pt>
                <c:pt idx="13">
                  <c:v>Česko</c:v>
                </c:pt>
                <c:pt idx="14">
                  <c:v>Itálie</c:v>
                </c:pt>
                <c:pt idx="15">
                  <c:v>Španělsko</c:v>
                </c:pt>
                <c:pt idx="16">
                  <c:v>Slovinsko</c:v>
                </c:pt>
                <c:pt idx="17">
                  <c:v>Polsko</c:v>
                </c:pt>
                <c:pt idx="18">
                  <c:v>Slovensko</c:v>
                </c:pt>
                <c:pt idx="19">
                  <c:v>Kypr</c:v>
                </c:pt>
                <c:pt idx="20">
                  <c:v>Portugalsko</c:v>
                </c:pt>
                <c:pt idx="21">
                  <c:v>Litva</c:v>
                </c:pt>
                <c:pt idx="22">
                  <c:v>Maďarsko</c:v>
                </c:pt>
                <c:pt idx="23">
                  <c:v>Irsko</c:v>
                </c:pt>
                <c:pt idx="24">
                  <c:v>Lotyšsko</c:v>
                </c:pt>
                <c:pt idx="25">
                  <c:v>Bulharsko</c:v>
                </c:pt>
                <c:pt idx="26">
                  <c:v>Malta</c:v>
                </c:pt>
                <c:pt idx="27">
                  <c:v>Rumunsko</c:v>
                </c:pt>
                <c:pt idx="29">
                  <c:v>Jižní Korea</c:v>
                </c:pt>
                <c:pt idx="30">
                  <c:v>Norsko</c:v>
                </c:pt>
                <c:pt idx="31">
                  <c:v>Švýcarsko</c:v>
                </c:pt>
                <c:pt idx="32">
                  <c:v>Japonsko</c:v>
                </c:pt>
                <c:pt idx="33">
                  <c:v>Spojené státy</c:v>
                </c:pt>
                <c:pt idx="34">
                  <c:v>Velká Británie</c:v>
                </c:pt>
                <c:pt idx="35">
                  <c:v>Rusko</c:v>
                </c:pt>
              </c:strCache>
            </c:strRef>
          </c:cat>
          <c:val>
            <c:numRef>
              <c:f>'GRAF19_3-12'!$C$3:$C$38</c:f>
              <c:numCache>
                <c:formatCode>0.00</c:formatCode>
                <c:ptCount val="36"/>
                <c:pt idx="0">
                  <c:v>0.98</c:v>
                </c:pt>
                <c:pt idx="1">
                  <c:v>0.89</c:v>
                </c:pt>
                <c:pt idx="2">
                  <c:v>0.84</c:v>
                </c:pt>
                <c:pt idx="3">
                  <c:v>0.78</c:v>
                </c:pt>
                <c:pt idx="4">
                  <c:v>0.76</c:v>
                </c:pt>
                <c:pt idx="5">
                  <c:v>0.73</c:v>
                </c:pt>
                <c:pt idx="6">
                  <c:v>0.7</c:v>
                </c:pt>
                <c:pt idx="7">
                  <c:v>0.7</c:v>
                </c:pt>
                <c:pt idx="8">
                  <c:v>0.69</c:v>
                </c:pt>
                <c:pt idx="9">
                  <c:v>0.68</c:v>
                </c:pt>
                <c:pt idx="10">
                  <c:v>0.64</c:v>
                </c:pt>
                <c:pt idx="11">
                  <c:v>0.63</c:v>
                </c:pt>
                <c:pt idx="12">
                  <c:v>0.63</c:v>
                </c:pt>
                <c:pt idx="13">
                  <c:v>0.62</c:v>
                </c:pt>
                <c:pt idx="14">
                  <c:v>0.55000000000000004</c:v>
                </c:pt>
                <c:pt idx="15">
                  <c:v>0.52</c:v>
                </c:pt>
                <c:pt idx="16">
                  <c:v>0.45</c:v>
                </c:pt>
                <c:pt idx="17">
                  <c:v>0.44</c:v>
                </c:pt>
                <c:pt idx="18">
                  <c:v>0.38</c:v>
                </c:pt>
                <c:pt idx="19">
                  <c:v>0.36</c:v>
                </c:pt>
                <c:pt idx="20">
                  <c:v>0.35</c:v>
                </c:pt>
                <c:pt idx="21">
                  <c:v>0.31</c:v>
                </c:pt>
                <c:pt idx="22">
                  <c:v>0.27</c:v>
                </c:pt>
                <c:pt idx="23">
                  <c:v>0.23</c:v>
                </c:pt>
                <c:pt idx="24">
                  <c:v>0.23</c:v>
                </c:pt>
                <c:pt idx="25">
                  <c:v>0.22</c:v>
                </c:pt>
                <c:pt idx="26">
                  <c:v>0.22</c:v>
                </c:pt>
                <c:pt idx="27">
                  <c:v>0.19</c:v>
                </c:pt>
                <c:pt idx="29">
                  <c:v>1.0900000000000001</c:v>
                </c:pt>
                <c:pt idx="30" formatCode="General">
                  <c:v>1.02</c:v>
                </c:pt>
                <c:pt idx="31">
                  <c:v>0.97</c:v>
                </c:pt>
                <c:pt idx="32">
                  <c:v>0.76</c:v>
                </c:pt>
                <c:pt idx="33">
                  <c:v>0.7</c:v>
                </c:pt>
                <c:pt idx="34">
                  <c:v>0.56000000000000005</c:v>
                </c:pt>
                <c:pt idx="35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A370-4F4C-AF00-1F203CA3E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233094528"/>
        <c:axId val="233092992"/>
      </c:barChart>
      <c:catAx>
        <c:axId val="233085568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233091456"/>
        <c:crosses val="autoZero"/>
        <c:auto val="1"/>
        <c:lblAlgn val="ctr"/>
        <c:lblOffset val="100"/>
        <c:noMultiLvlLbl val="0"/>
      </c:catAx>
      <c:valAx>
        <c:axId val="23309145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233085568"/>
        <c:crosses val="autoZero"/>
        <c:crossBetween val="between"/>
      </c:valAx>
      <c:valAx>
        <c:axId val="233092992"/>
        <c:scaling>
          <c:orientation val="minMax"/>
        </c:scaling>
        <c:delete val="0"/>
        <c:axPos val="r"/>
        <c:numFmt formatCode="0.00" sourceLinked="1"/>
        <c:majorTickMark val="none"/>
        <c:minorTickMark val="none"/>
        <c:tickLblPos val="none"/>
        <c:spPr>
          <a:ln>
            <a:solidFill>
              <a:schemeClr val="accent3">
                <a:lumMod val="20000"/>
                <a:lumOff val="80000"/>
              </a:schemeClr>
            </a:solidFill>
          </a:ln>
        </c:spPr>
        <c:crossAx val="233094528"/>
        <c:crosses val="max"/>
        <c:crossBetween val="between"/>
      </c:valAx>
      <c:catAx>
        <c:axId val="233094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33092992"/>
        <c:crosses val="autoZero"/>
        <c:auto val="1"/>
        <c:lblAlgn val="ctr"/>
        <c:lblOffset val="100"/>
        <c:noMultiLvlLbl val="0"/>
      </c:catAx>
      <c:spPr>
        <a:ln>
          <a:noFill/>
        </a:ln>
      </c:spPr>
    </c:plotArea>
    <c:legend>
      <c:legendPos val="t"/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bg1">
                  <a:lumMod val="85000"/>
                </a:schemeClr>
              </a:solidFill>
            </a:ln>
          </c:spPr>
          <c:invertIfNegative val="0"/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750-4550-AD9F-DBF1B278078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750-4550-AD9F-DBF1B278078C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B750-4550-AD9F-DBF1B278078C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bg1">
                    <a:lumMod val="8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B750-4550-AD9F-DBF1B278078C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7-B750-4550-AD9F-DBF1B278078C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bg1">
                    <a:lumMod val="8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B750-4550-AD9F-DBF1B278078C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B750-4550-AD9F-DBF1B278078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B750-4550-AD9F-DBF1B278078C}"/>
              </c:ext>
            </c:extLst>
          </c:dPt>
          <c:dLbls>
            <c:dLbl>
              <c:idx val="0"/>
              <c:layout>
                <c:manualLayout>
                  <c:x val="0"/>
                  <c:y val="0.11906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50-4550-AD9F-DBF1B27807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'GRRAF20_3-13'!$F$4:$F$31</c:f>
              <c:strCache>
                <c:ptCount val="27"/>
                <c:pt idx="0">
                  <c:v>Německo</c:v>
                </c:pt>
                <c:pt idx="1">
                  <c:v>Francie</c:v>
                </c:pt>
                <c:pt idx="2">
                  <c:v>Itálie</c:v>
                </c:pt>
                <c:pt idx="3">
                  <c:v>Španělsko</c:v>
                </c:pt>
                <c:pt idx="4">
                  <c:v>Nizozemsko</c:v>
                </c:pt>
                <c:pt idx="5">
                  <c:v>Švédsko</c:v>
                </c:pt>
                <c:pt idx="6">
                  <c:v>Belgie</c:v>
                </c:pt>
                <c:pt idx="7">
                  <c:v>Rakousko</c:v>
                </c:pt>
                <c:pt idx="8">
                  <c:v>Dánsko</c:v>
                </c:pt>
                <c:pt idx="9">
                  <c:v>Polsko</c:v>
                </c:pt>
                <c:pt idx="10">
                  <c:v>Finsko</c:v>
                </c:pt>
                <c:pt idx="11">
                  <c:v>Česko</c:v>
                </c:pt>
                <c:pt idx="12">
                  <c:v>Řecko</c:v>
                </c:pt>
                <c:pt idx="13">
                  <c:v>Irsko</c:v>
                </c:pt>
                <c:pt idx="14">
                  <c:v>Portugalsko</c:v>
                </c:pt>
                <c:pt idx="15">
                  <c:v>Rumunsko</c:v>
                </c:pt>
                <c:pt idx="16">
                  <c:v>Chorvatsko</c:v>
                </c:pt>
                <c:pt idx="17">
                  <c:v>Lucembursko</c:v>
                </c:pt>
                <c:pt idx="18">
                  <c:v>Maďarsko</c:v>
                </c:pt>
                <c:pt idx="19">
                  <c:v>Slovensko</c:v>
                </c:pt>
                <c:pt idx="20">
                  <c:v>Slovinsko</c:v>
                </c:pt>
                <c:pt idx="21">
                  <c:v>Estonsko</c:v>
                </c:pt>
                <c:pt idx="22">
                  <c:v>Litva</c:v>
                </c:pt>
                <c:pt idx="23">
                  <c:v>Bulharsko</c:v>
                </c:pt>
                <c:pt idx="24">
                  <c:v>Kypr</c:v>
                </c:pt>
                <c:pt idx="25">
                  <c:v>Lotyšsko</c:v>
                </c:pt>
                <c:pt idx="26">
                  <c:v>Malta</c:v>
                </c:pt>
              </c:strCache>
            </c:strRef>
          </c:cat>
          <c:val>
            <c:numRef>
              <c:f>'GRRAF20_3-13'!$G$4:$G$31</c:f>
              <c:numCache>
                <c:formatCode>0.0%</c:formatCode>
                <c:ptCount val="28"/>
                <c:pt idx="0">
                  <c:v>0.35581659746265343</c:v>
                </c:pt>
                <c:pt idx="1">
                  <c:v>0.16059227272803206</c:v>
                </c:pt>
                <c:pt idx="2">
                  <c:v>0.10333960027652117</c:v>
                </c:pt>
                <c:pt idx="3">
                  <c:v>6.811074173282472E-2</c:v>
                </c:pt>
                <c:pt idx="4">
                  <c:v>5.9204021692057435E-2</c:v>
                </c:pt>
                <c:pt idx="5">
                  <c:v>3.6728612999144643E-2</c:v>
                </c:pt>
                <c:pt idx="6">
                  <c:v>3.4805022202184496E-2</c:v>
                </c:pt>
                <c:pt idx="7">
                  <c:v>3.1621132925467726E-2</c:v>
                </c:pt>
                <c:pt idx="8">
                  <c:v>2.9053340307896195E-2</c:v>
                </c:pt>
                <c:pt idx="9">
                  <c:v>2.4893282600592547E-2</c:v>
                </c:pt>
                <c:pt idx="10">
                  <c:v>2.1106713596017377E-2</c:v>
                </c:pt>
                <c:pt idx="11">
                  <c:v>1.4658086736983085E-2</c:v>
                </c:pt>
                <c:pt idx="12">
                  <c:v>1.353712681848406E-2</c:v>
                </c:pt>
                <c:pt idx="13">
                  <c:v>8.4283964591194884E-3</c:v>
                </c:pt>
                <c:pt idx="14">
                  <c:v>7.8505018063633799E-3</c:v>
                </c:pt>
                <c:pt idx="15">
                  <c:v>4.4993684323687954E-3</c:v>
                </c:pt>
                <c:pt idx="16">
                  <c:v>4.4378102488061158E-3</c:v>
                </c:pt>
                <c:pt idx="17">
                  <c:v>4.2856221127922228E-3</c:v>
                </c:pt>
                <c:pt idx="18">
                  <c:v>4.1712472388780175E-3</c:v>
                </c:pt>
                <c:pt idx="19">
                  <c:v>3.7835115832717532E-3</c:v>
                </c:pt>
                <c:pt idx="20">
                  <c:v>2.3089414538176984E-3</c:v>
                </c:pt>
                <c:pt idx="21">
                  <c:v>1.8430681960343311E-3</c:v>
                </c:pt>
                <c:pt idx="22">
                  <c:v>1.601279754606113E-3</c:v>
                </c:pt>
                <c:pt idx="23">
                  <c:v>1.4360003919803228E-3</c:v>
                </c:pt>
                <c:pt idx="24">
                  <c:v>8.4509856543165795E-4</c:v>
                </c:pt>
                <c:pt idx="25">
                  <c:v>7.2495556679038221E-4</c:v>
                </c:pt>
                <c:pt idx="26">
                  <c:v>3.1765661748319444E-4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750-4550-AD9F-DBF1B27807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33085568"/>
        <c:axId val="233091456"/>
      </c:barChart>
      <c:catAx>
        <c:axId val="233085568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233091456"/>
        <c:crosses val="autoZero"/>
        <c:auto val="1"/>
        <c:lblAlgn val="ctr"/>
        <c:lblOffset val="100"/>
        <c:noMultiLvlLbl val="0"/>
      </c:catAx>
      <c:valAx>
        <c:axId val="23309145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%" sourceLinked="0"/>
        <c:majorTickMark val="out"/>
        <c:minorTickMark val="none"/>
        <c:tickLblPos val="nextTo"/>
        <c:crossAx val="2330855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bg1">
                  <a:lumMod val="85000"/>
                </a:schemeClr>
              </a:solidFill>
            </a:ln>
          </c:spPr>
          <c:invertIfNegative val="0"/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05A-40BF-9BB0-FE4B3B39E68A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05A-40BF-9BB0-FE4B3B39E68A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D05A-40BF-9BB0-FE4B3B39E68A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05A-40BF-9BB0-FE4B3B39E68A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D05A-40BF-9BB0-FE4B3B39E68A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bg1">
                    <a:lumMod val="8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D05A-40BF-9BB0-FE4B3B39E68A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2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9-D05A-40BF-9BB0-FE4B3B39E68A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05A-40BF-9BB0-FE4B3B39E68A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D05A-40BF-9BB0-FE4B3B39E68A}"/>
              </c:ext>
            </c:extLst>
          </c:dPt>
          <c:dLbls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05A-40BF-9BB0-FE4B3B39E68A}"/>
                </c:ext>
              </c:extLst>
            </c:dLbl>
            <c:dLbl>
              <c:idx val="1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05A-40BF-9BB0-FE4B3B39E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'GRAF19_3-13'!$N$4:$N$38</c:f>
              <c:strCache>
                <c:ptCount val="35"/>
                <c:pt idx="0">
                  <c:v>Polsko</c:v>
                </c:pt>
                <c:pt idx="1">
                  <c:v>Chorvatsko</c:v>
                </c:pt>
                <c:pt idx="2">
                  <c:v>Kypr</c:v>
                </c:pt>
                <c:pt idx="3">
                  <c:v>Malta</c:v>
                </c:pt>
                <c:pt idx="4">
                  <c:v>Estonsko</c:v>
                </c:pt>
                <c:pt idx="5">
                  <c:v>Nizozemsko</c:v>
                </c:pt>
                <c:pt idx="6">
                  <c:v>Rakousko</c:v>
                </c:pt>
                <c:pt idx="7">
                  <c:v>Švédsko</c:v>
                </c:pt>
                <c:pt idx="8">
                  <c:v>Litva</c:v>
                </c:pt>
                <c:pt idx="9">
                  <c:v>Portugalsko</c:v>
                </c:pt>
                <c:pt idx="10">
                  <c:v>Slovensko</c:v>
                </c:pt>
                <c:pt idx="11">
                  <c:v>Dánsko</c:v>
                </c:pt>
                <c:pt idx="12">
                  <c:v>Lucembursko</c:v>
                </c:pt>
                <c:pt idx="13">
                  <c:v>Finsko</c:v>
                </c:pt>
                <c:pt idx="14">
                  <c:v>Česko</c:v>
                </c:pt>
                <c:pt idx="15">
                  <c:v>Evropská unie</c:v>
                </c:pt>
                <c:pt idx="16">
                  <c:v>Německo</c:v>
                </c:pt>
                <c:pt idx="17">
                  <c:v>Bulharsko</c:v>
                </c:pt>
                <c:pt idx="18">
                  <c:v>Francie</c:v>
                </c:pt>
                <c:pt idx="19">
                  <c:v>Rumunsko</c:v>
                </c:pt>
                <c:pt idx="20">
                  <c:v>Irsko</c:v>
                </c:pt>
                <c:pt idx="21">
                  <c:v>Španělsko</c:v>
                </c:pt>
                <c:pt idx="22">
                  <c:v>Slovinsko</c:v>
                </c:pt>
                <c:pt idx="23">
                  <c:v>Belgie</c:v>
                </c:pt>
                <c:pt idx="24">
                  <c:v>Itálie</c:v>
                </c:pt>
                <c:pt idx="25">
                  <c:v>Lotyšsko</c:v>
                </c:pt>
                <c:pt idx="26">
                  <c:v>Řecko</c:v>
                </c:pt>
                <c:pt idx="27">
                  <c:v>Maďarsko</c:v>
                </c:pt>
                <c:pt idx="29">
                  <c:v>Švýcarsko</c:v>
                </c:pt>
                <c:pt idx="30">
                  <c:v>Norsko</c:v>
                </c:pt>
                <c:pt idx="31">
                  <c:v>Japonsko</c:v>
                </c:pt>
                <c:pt idx="32">
                  <c:v>Velká Británie</c:v>
                </c:pt>
                <c:pt idx="33">
                  <c:v>Jižní Korea</c:v>
                </c:pt>
                <c:pt idx="34">
                  <c:v>Spojené státy</c:v>
                </c:pt>
              </c:strCache>
            </c:strRef>
          </c:cat>
          <c:val>
            <c:numRef>
              <c:f>'GRAF19_3-13'!$O$4:$O$38</c:f>
              <c:numCache>
                <c:formatCode>0%</c:formatCode>
                <c:ptCount val="35"/>
                <c:pt idx="0">
                  <c:v>0.86190725611246188</c:v>
                </c:pt>
                <c:pt idx="1">
                  <c:v>0.83778939966807375</c:v>
                </c:pt>
                <c:pt idx="2">
                  <c:v>0.81079132218561567</c:v>
                </c:pt>
                <c:pt idx="3">
                  <c:v>0.80902295428987236</c:v>
                </c:pt>
                <c:pt idx="4">
                  <c:v>0.80777562421616689</c:v>
                </c:pt>
                <c:pt idx="5">
                  <c:v>0.73766636172378208</c:v>
                </c:pt>
                <c:pt idx="6">
                  <c:v>0.71282218096226668</c:v>
                </c:pt>
                <c:pt idx="7">
                  <c:v>0.7112406011273642</c:v>
                </c:pt>
                <c:pt idx="8">
                  <c:v>0.71065633468278999</c:v>
                </c:pt>
                <c:pt idx="9">
                  <c:v>0.62870434436969092</c:v>
                </c:pt>
                <c:pt idx="10">
                  <c:v>0.60727337354349242</c:v>
                </c:pt>
                <c:pt idx="11">
                  <c:v>0.60211388064570026</c:v>
                </c:pt>
                <c:pt idx="12">
                  <c:v>0.60146409151307434</c:v>
                </c:pt>
                <c:pt idx="13">
                  <c:v>0.59435511971725818</c:v>
                </c:pt>
                <c:pt idx="14">
                  <c:v>0.58622882008929622</c:v>
                </c:pt>
                <c:pt idx="15">
                  <c:v>0.55624800486186721</c:v>
                </c:pt>
                <c:pt idx="16">
                  <c:v>0.54556871198251933</c:v>
                </c:pt>
                <c:pt idx="17">
                  <c:v>0.53141736661886507</c:v>
                </c:pt>
                <c:pt idx="18">
                  <c:v>0.52375545236142018</c:v>
                </c:pt>
                <c:pt idx="19">
                  <c:v>0.51670550763353429</c:v>
                </c:pt>
                <c:pt idx="20">
                  <c:v>0.49800548491647967</c:v>
                </c:pt>
                <c:pt idx="21">
                  <c:v>0.48641105866865475</c:v>
                </c:pt>
                <c:pt idx="22">
                  <c:v>0.47757336379066351</c:v>
                </c:pt>
                <c:pt idx="23">
                  <c:v>0.43224898503659126</c:v>
                </c:pt>
                <c:pt idx="24">
                  <c:v>0.43196709694355712</c:v>
                </c:pt>
                <c:pt idx="25">
                  <c:v>0.4289855072463768</c:v>
                </c:pt>
                <c:pt idx="26">
                  <c:v>0.37572568377262422</c:v>
                </c:pt>
                <c:pt idx="27">
                  <c:v>0.36045258077841474</c:v>
                </c:pt>
                <c:pt idx="29">
                  <c:v>0.87916771402144533</c:v>
                </c:pt>
                <c:pt idx="30">
                  <c:v>0.49015982528416147</c:v>
                </c:pt>
                <c:pt idx="31">
                  <c:v>0.45964512514255346</c:v>
                </c:pt>
                <c:pt idx="32">
                  <c:v>0.35571837227967507</c:v>
                </c:pt>
                <c:pt idx="33">
                  <c:v>0.2149485219472311</c:v>
                </c:pt>
                <c:pt idx="34">
                  <c:v>8.7783637154590505E-2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05A-40BF-9BB0-FE4B3B39E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33085568"/>
        <c:axId val="233091456"/>
      </c:barChart>
      <c:catAx>
        <c:axId val="233085568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233091456"/>
        <c:crosses val="autoZero"/>
        <c:auto val="1"/>
        <c:lblAlgn val="ctr"/>
        <c:lblOffset val="100"/>
        <c:noMultiLvlLbl val="0"/>
      </c:catAx>
      <c:valAx>
        <c:axId val="23309145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%" sourceLinked="0"/>
        <c:majorTickMark val="out"/>
        <c:minorTickMark val="none"/>
        <c:tickLblPos val="nextTo"/>
        <c:crossAx val="2330855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'GRRAF20_3-15'!$P$13</c:f>
              <c:strCache>
                <c:ptCount val="1"/>
                <c:pt idx="0">
                  <c:v>Spojené státy</c:v>
                </c:pt>
              </c:strCache>
            </c:strRef>
          </c:tx>
          <c:spPr>
            <a:ln w="28575" cap="rnd" cmpd="sng" algn="ctr">
              <a:solidFill>
                <a:schemeClr val="accent5">
                  <a:shade val="58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>
                  <a:shade val="58000"/>
                </a:schemeClr>
              </a:solidFill>
              <a:ln w="9525" cap="flat" cmpd="sng" algn="ctr">
                <a:solidFill>
                  <a:schemeClr val="accent5">
                    <a:shade val="58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0-5D4E-4F59-AA78-37ADD9A70F45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1-5D4E-4F59-AA78-37ADD9A70F45}"/>
              </c:ext>
            </c:extLst>
          </c:dPt>
          <c:dPt>
            <c:idx val="10"/>
            <c:bubble3D val="0"/>
            <c:spPr>
              <a:ln w="25400" cap="rnd" cmpd="sng" algn="ctr">
                <a:noFill/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4E-4F59-AA78-37ADD9A70F45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4-5D4E-4F59-AA78-37ADD9A70F45}"/>
              </c:ext>
            </c:extLst>
          </c:dPt>
          <c:dPt>
            <c:idx val="12"/>
            <c:bubble3D val="0"/>
            <c:spPr>
              <a:ln w="25400" cap="rnd" cmpd="sng" algn="ctr">
                <a:noFill/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5D4E-4F59-AA78-37ADD9A70F45}"/>
              </c:ext>
            </c:extLst>
          </c:dPt>
          <c:dPt>
            <c:idx val="15"/>
            <c:bubble3D val="0"/>
            <c:spPr>
              <a:ln w="28575" cap="rnd" cmpd="sng" algn="ctr">
                <a:solidFill>
                  <a:schemeClr val="accent5">
                    <a:shade val="58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5D4E-4F59-AA78-37ADD9A70F45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09-5D4E-4F59-AA78-37ADD9A70F45}"/>
              </c:ext>
            </c:extLst>
          </c:dPt>
          <c:dPt>
            <c:idx val="20"/>
            <c:bubble3D val="0"/>
            <c:extLst>
              <c:ext xmlns:c16="http://schemas.microsoft.com/office/drawing/2014/chart" uri="{C3380CC4-5D6E-409C-BE32-E72D297353CC}">
                <c16:uniqueId val="{0000000A-5D4E-4F59-AA78-37ADD9A70F45}"/>
              </c:ext>
            </c:extLst>
          </c:dPt>
          <c:cat>
            <c:strRef>
              <c:f>'GRRAF20_3-15'!$Q$12:$Z$12</c:f>
              <c:strCach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'GRRAF20_3-15'!$Q$13:$Z$13</c:f>
              <c:numCache>
                <c:formatCode>General</c:formatCode>
                <c:ptCount val="10"/>
                <c:pt idx="0">
                  <c:v>90.052047999999999</c:v>
                </c:pt>
                <c:pt idx="1">
                  <c:v>81.455460000000002</c:v>
                </c:pt>
                <c:pt idx="2">
                  <c:v>90.905978000000005</c:v>
                </c:pt>
                <c:pt idx="3">
                  <c:v>82.529929999999993</c:v>
                </c:pt>
                <c:pt idx="4">
                  <c:v>84.683478000000008</c:v>
                </c:pt>
                <c:pt idx="5">
                  <c:v>103.84858</c:v>
                </c:pt>
                <c:pt idx="6">
                  <c:v>113.91544</c:v>
                </c:pt>
                <c:pt idx="7">
                  <c:v>112.690095</c:v>
                </c:pt>
                <c:pt idx="8">
                  <c:v>122.319221</c:v>
                </c:pt>
                <c:pt idx="9">
                  <c:v>133.96248300000002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D4E-4F59-AA78-37ADD9A70F45}"/>
            </c:ext>
          </c:extLst>
        </c:ser>
        <c:ser>
          <c:idx val="1"/>
          <c:order val="1"/>
          <c:tx>
            <c:strRef>
              <c:f>'GRRAF20_3-15'!$P$14</c:f>
              <c:strCache>
                <c:ptCount val="1"/>
                <c:pt idx="0">
                  <c:v>Evropská unie</c:v>
                </c:pt>
              </c:strCache>
            </c:strRef>
          </c:tx>
          <c:spPr>
            <a:ln w="28575" cap="rnd" cmpd="sng" algn="ctr">
              <a:solidFill>
                <a:schemeClr val="accent5">
                  <a:shade val="86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>
                  <a:shade val="86000"/>
                </a:schemeClr>
              </a:solidFill>
              <a:ln w="9525" cap="flat" cmpd="sng" algn="ctr">
                <a:solidFill>
                  <a:schemeClr val="accent5">
                    <a:shade val="86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strRef>
              <c:f>'GRRAF20_3-15'!$Q$12:$Z$12</c:f>
              <c:strCach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'GRRAF20_3-15'!$Q$14:$Z$14</c:f>
              <c:numCache>
                <c:formatCode>General</c:formatCode>
                <c:ptCount val="10"/>
                <c:pt idx="0">
                  <c:v>81.143160000000009</c:v>
                </c:pt>
                <c:pt idx="1">
                  <c:v>81.230778000000001</c:v>
                </c:pt>
                <c:pt idx="2">
                  <c:v>78.698952000000006</c:v>
                </c:pt>
                <c:pt idx="3">
                  <c:v>79.885593</c:v>
                </c:pt>
                <c:pt idx="4">
                  <c:v>80.167769000000007</c:v>
                </c:pt>
                <c:pt idx="5">
                  <c:v>81.092910000000003</c:v>
                </c:pt>
                <c:pt idx="6">
                  <c:v>83.081738000000001</c:v>
                </c:pt>
                <c:pt idx="7">
                  <c:v>85.349238999999997</c:v>
                </c:pt>
                <c:pt idx="8">
                  <c:v>88.590507000000002</c:v>
                </c:pt>
                <c:pt idx="9">
                  <c:v>95.178246999999999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D4E-4F59-AA78-37ADD9A70F45}"/>
            </c:ext>
          </c:extLst>
        </c:ser>
        <c:ser>
          <c:idx val="2"/>
          <c:order val="2"/>
          <c:tx>
            <c:strRef>
              <c:f>'GRRAF20_3-15'!$P$15</c:f>
              <c:strCache>
                <c:ptCount val="1"/>
                <c:pt idx="0">
                  <c:v>Japonsko</c:v>
                </c:pt>
              </c:strCache>
            </c:strRef>
          </c:tx>
          <c:spPr>
            <a:ln w="28575" cap="rnd" cmpd="sng" algn="ctr">
              <a:solidFill>
                <a:schemeClr val="accent5">
                  <a:tint val="86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>
                  <a:tint val="86000"/>
                </a:schemeClr>
              </a:solidFill>
              <a:ln w="9525" cap="flat" cmpd="sng" algn="ctr">
                <a:solidFill>
                  <a:schemeClr val="accent5">
                    <a:tint val="86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strRef>
              <c:f>'GRRAF20_3-15'!$Q$12:$Z$12</c:f>
              <c:strCach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'GRRAF20_3-15'!$Q$15:$Z$15</c:f>
              <c:numCache>
                <c:formatCode>General</c:formatCode>
                <c:ptCount val="10"/>
                <c:pt idx="0">
                  <c:v>30.875851999999998</c:v>
                </c:pt>
                <c:pt idx="1">
                  <c:v>33.027713000000006</c:v>
                </c:pt>
                <c:pt idx="2">
                  <c:v>36.029574000000004</c:v>
                </c:pt>
                <c:pt idx="3">
                  <c:v>27.840250999999999</c:v>
                </c:pt>
                <c:pt idx="4">
                  <c:v>26.023241000000002</c:v>
                </c:pt>
                <c:pt idx="5">
                  <c:v>25.892688999999997</c:v>
                </c:pt>
                <c:pt idx="6">
                  <c:v>29.674415</c:v>
                </c:pt>
                <c:pt idx="7">
                  <c:v>28.316607000000001</c:v>
                </c:pt>
                <c:pt idx="8">
                  <c:v>29.448961999999998</c:v>
                </c:pt>
                <c:pt idx="9">
                  <c:v>34.766790999999998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D4E-4F59-AA78-37ADD9A70F45}"/>
            </c:ext>
          </c:extLst>
        </c:ser>
        <c:ser>
          <c:idx val="3"/>
          <c:order val="3"/>
          <c:tx>
            <c:strRef>
              <c:f>'GRRAF20_3-15'!$P$16</c:f>
              <c:strCache>
                <c:ptCount val="1"/>
                <c:pt idx="0">
                  <c:v>Jižní Korea</c:v>
                </c:pt>
              </c:strCache>
            </c:strRef>
          </c:tx>
          <c:spPr>
            <a:ln w="28575" cap="rnd" cmpd="sng" algn="ctr">
              <a:solidFill>
                <a:schemeClr val="accent5">
                  <a:tint val="58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5">
                    <a:tint val="58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strRef>
              <c:f>'GRRAF20_3-15'!$Q$12:$Z$12</c:f>
              <c:strCach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'GRRAF20_3-15'!$Q$16:$Z$16</c:f>
              <c:numCache>
                <c:formatCode>General</c:formatCode>
                <c:ptCount val="10"/>
                <c:pt idx="0">
                  <c:v>8.944503000000001</c:v>
                </c:pt>
                <c:pt idx="1">
                  <c:v>9.6612379999999991</c:v>
                </c:pt>
                <c:pt idx="2">
                  <c:v>11.068959999999999</c:v>
                </c:pt>
                <c:pt idx="3">
                  <c:v>11.793811</c:v>
                </c:pt>
                <c:pt idx="4">
                  <c:v>12.716367</c:v>
                </c:pt>
                <c:pt idx="5">
                  <c:v>15.033365999999999</c:v>
                </c:pt>
                <c:pt idx="6">
                  <c:v>14.911618000000001</c:v>
                </c:pt>
                <c:pt idx="7">
                  <c:v>15.274719999999999</c:v>
                </c:pt>
                <c:pt idx="8">
                  <c:v>15.201851000000001</c:v>
                </c:pt>
                <c:pt idx="9">
                  <c:v>15.975546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5D4E-4F59-AA78-37ADD9A70F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3085568"/>
        <c:axId val="233091456"/>
      </c:lineChart>
      <c:catAx>
        <c:axId val="233085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cs-CZ"/>
          </a:p>
        </c:txPr>
        <c:crossAx val="233091456"/>
        <c:crosses val="autoZero"/>
        <c:auto val="1"/>
        <c:lblAlgn val="ctr"/>
        <c:lblOffset val="100"/>
        <c:noMultiLvlLbl val="0"/>
      </c:catAx>
      <c:valAx>
        <c:axId val="233091456"/>
        <c:scaling>
          <c:orientation val="minMax"/>
          <c:max val="14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r>
                  <a:rPr lang="en-US"/>
                  <a:t>mld. EUR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Arial" pitchFamily="34" charset="0"/>
                  <a:ea typeface="+mn-ea"/>
                  <a:cs typeface="Arial" pitchFamily="34" charset="0"/>
                </a:defRPr>
              </a:pPr>
              <a:endParaRPr lang="cs-CZ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cs-CZ"/>
          </a:p>
        </c:txPr>
        <c:crossAx val="2330855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solidFill>
          <a:schemeClr val="bg1">
            <a:lumMod val="95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800" baseline="0">
          <a:latin typeface="Arial" pitchFamily="34" charset="0"/>
          <a:cs typeface="Arial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801315066774397E-2"/>
          <c:y val="0.13165234773472764"/>
          <c:w val="0.83359739443736691"/>
          <c:h val="0.7523681212624686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'GRAF19_3-2'!$A$13</c:f>
              <c:strCache>
                <c:ptCount val="1"/>
                <c:pt idx="0">
                  <c:v>běžné výdaje 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'GRAF19_3-2'!$B$12:$J$12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'GRAF19_3-2'!$B$13:$J$13</c:f>
              <c:numCache>
                <c:formatCode>#\ ##0.0</c:formatCode>
                <c:ptCount val="9"/>
                <c:pt idx="0">
                  <c:v>23.023832099897795</c:v>
                </c:pt>
                <c:pt idx="1">
                  <c:v>23.72040474222981</c:v>
                </c:pt>
                <c:pt idx="2">
                  <c:v>24.34745861578109</c:v>
                </c:pt>
                <c:pt idx="3">
                  <c:v>24.893586031547567</c:v>
                </c:pt>
                <c:pt idx="4">
                  <c:v>26.419540100803129</c:v>
                </c:pt>
                <c:pt idx="5">
                  <c:v>28.862489862847806</c:v>
                </c:pt>
                <c:pt idx="6">
                  <c:v>31.02546943342</c:v>
                </c:pt>
                <c:pt idx="7">
                  <c:v>33.33705953633968</c:v>
                </c:pt>
                <c:pt idx="8">
                  <c:v>35.362719045639494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90-4F51-9CB8-032BE8C948DB}"/>
            </c:ext>
          </c:extLst>
        </c:ser>
        <c:ser>
          <c:idx val="1"/>
          <c:order val="1"/>
          <c:tx>
            <c:strRef>
              <c:f>'GRAF19_3-2'!$A$14</c:f>
              <c:strCache>
                <c:ptCount val="1"/>
                <c:pt idx="0">
                  <c:v>kapitálové výdaje 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'GRAF19_3-2'!$B$12:$J$12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'GRAF19_3-2'!$B$14:$J$14</c:f>
              <c:numCache>
                <c:formatCode>#\ ##0.0</c:formatCode>
                <c:ptCount val="9"/>
                <c:pt idx="0">
                  <c:v>3.1270704532022053</c:v>
                </c:pt>
                <c:pt idx="1">
                  <c:v>2.9847336528001938</c:v>
                </c:pt>
                <c:pt idx="2">
                  <c:v>2.936643494218909</c:v>
                </c:pt>
                <c:pt idx="3">
                  <c:v>2.9361923311124314</c:v>
                </c:pt>
                <c:pt idx="4">
                  <c:v>1.564811139179739</c:v>
                </c:pt>
                <c:pt idx="5">
                  <c:v>1.7908200687956266</c:v>
                </c:pt>
                <c:pt idx="6">
                  <c:v>2.3664916221599999</c:v>
                </c:pt>
                <c:pt idx="7">
                  <c:v>2.4759510242503215</c:v>
                </c:pt>
                <c:pt idx="8">
                  <c:v>2.7273379790365504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90-4F51-9CB8-032BE8C948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778624"/>
        <c:axId val="88780160"/>
      </c:barChart>
      <c:lineChart>
        <c:grouping val="standard"/>
        <c:varyColors val="0"/>
        <c:ser>
          <c:idx val="2"/>
          <c:order val="2"/>
          <c:tx>
            <c:strRef>
              <c:f>'GRAF19_3-2'!$A$15</c:f>
              <c:strCache>
                <c:ptCount val="1"/>
                <c:pt idx="0">
                  <c:v>podíl GBARD na celkových výdajích na VaV v ČR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'GRAF19_3-2'!$B$12:$J$12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'GRAF19_3-2'!$B$15:$J$15</c:f>
              <c:numCache>
                <c:formatCode>0.0%</c:formatCode>
                <c:ptCount val="9"/>
                <c:pt idx="0">
                  <c:v>0.36139844480992334</c:v>
                </c:pt>
                <c:pt idx="1">
                  <c:v>0.34301832924260761</c:v>
                </c:pt>
                <c:pt idx="2">
                  <c:v>0.32059541780437162</c:v>
                </c:pt>
                <c:pt idx="3">
                  <c:v>0.31388128168064994</c:v>
                </c:pt>
                <c:pt idx="4">
                  <c:v>0.34932774472109485</c:v>
                </c:pt>
                <c:pt idx="5">
                  <c:v>0.33913771521187358</c:v>
                </c:pt>
                <c:pt idx="6">
                  <c:v>0.32488005455926311</c:v>
                </c:pt>
                <c:pt idx="7">
                  <c:v>0.32084172957811796</c:v>
                </c:pt>
                <c:pt idx="8">
                  <c:v>0.33594298224257108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90-4F51-9CB8-032BE8C948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795776"/>
        <c:axId val="88794240"/>
      </c:lineChart>
      <c:catAx>
        <c:axId val="88778624"/>
        <c:scaling>
          <c:orientation val="minMax"/>
        </c:scaling>
        <c:delete val="0"/>
        <c:axPos val="b"/>
        <c:minorGridlines>
          <c:spPr>
            <a:ln>
              <a:solidFill>
                <a:schemeClr val="bg1">
                  <a:lumMod val="8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88780160"/>
        <c:crosses val="autoZero"/>
        <c:auto val="1"/>
        <c:lblAlgn val="ctr"/>
        <c:lblOffset val="100"/>
        <c:noMultiLvlLbl val="0"/>
      </c:catAx>
      <c:valAx>
        <c:axId val="8878016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mld. Kč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88778624"/>
        <c:crosses val="autoZero"/>
        <c:crossBetween val="between"/>
      </c:valAx>
      <c:valAx>
        <c:axId val="88794240"/>
        <c:scaling>
          <c:orientation val="minMax"/>
          <c:max val="0.4"/>
          <c:min val="0"/>
        </c:scaling>
        <c:delete val="0"/>
        <c:axPos val="r"/>
        <c:numFmt formatCode="0%" sourceLinked="0"/>
        <c:majorTickMark val="out"/>
        <c:minorTickMark val="none"/>
        <c:tickLblPos val="nextTo"/>
        <c:crossAx val="88795776"/>
        <c:crosses val="max"/>
        <c:crossBetween val="between"/>
      </c:valAx>
      <c:catAx>
        <c:axId val="88795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8794240"/>
        <c:crosses val="autoZero"/>
        <c:auto val="1"/>
        <c:lblAlgn val="ctr"/>
        <c:lblOffset val="100"/>
        <c:noMultiLvlLbl val="0"/>
      </c:catAx>
      <c:spPr>
        <a:noFill/>
      </c:spPr>
    </c:plotArea>
    <c:legend>
      <c:legendPos val="t"/>
      <c:layout>
        <c:manualLayout>
          <c:xMode val="edge"/>
          <c:yMode val="edge"/>
          <c:x val="0.1078903352982442"/>
          <c:y val="1.8946115410693232E-2"/>
          <c:w val="0.75289467931850995"/>
          <c:h val="8.079232953023729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'GRAF20_3-3'!$A$8</c:f>
              <c:strCache>
                <c:ptCount val="1"/>
                <c:pt idx="0">
                  <c:v>Institucionální podpora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'GRAF20_3-3'!$G$7:$V$7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strCache>
            </c:strRef>
          </c:cat>
          <c:val>
            <c:numRef>
              <c:f>'GRAF20_3-3'!$G$8:$V$8</c:f>
              <c:numCache>
                <c:formatCode>#\ ##0.0</c:formatCode>
                <c:ptCount val="16"/>
                <c:pt idx="0">
                  <c:v>9.3470840099999926</c:v>
                </c:pt>
                <c:pt idx="1">
                  <c:v>9.8633000100000103</c:v>
                </c:pt>
                <c:pt idx="2">
                  <c:v>11.321539000000005</c:v>
                </c:pt>
                <c:pt idx="3">
                  <c:v>11.041636000000009</c:v>
                </c:pt>
                <c:pt idx="4">
                  <c:v>11.815813</c:v>
                </c:pt>
                <c:pt idx="5">
                  <c:v>11.588380000000004</c:v>
                </c:pt>
                <c:pt idx="6">
                  <c:v>11.672818259999996</c:v>
                </c:pt>
                <c:pt idx="7">
                  <c:v>12.449922553099999</c:v>
                </c:pt>
                <c:pt idx="8">
                  <c:v>13.143822395030012</c:v>
                </c:pt>
                <c:pt idx="9">
                  <c:v>13.101334169199999</c:v>
                </c:pt>
                <c:pt idx="10">
                  <c:v>13.46626582753</c:v>
                </c:pt>
                <c:pt idx="11">
                  <c:v>13.987215606471185</c:v>
                </c:pt>
                <c:pt idx="12">
                  <c:v>15.1206865375534</c:v>
                </c:pt>
                <c:pt idx="13">
                  <c:v>16.77702839681</c:v>
                </c:pt>
                <c:pt idx="14">
                  <c:v>17.725746063020001</c:v>
                </c:pt>
                <c:pt idx="15">
                  <c:v>19.581067474536013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8-449D-ADE9-3983288BC9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63515008"/>
        <c:axId val="163524992"/>
      </c:barChart>
      <c:barChart>
        <c:barDir val="col"/>
        <c:grouping val="clustered"/>
        <c:varyColors val="0"/>
        <c:ser>
          <c:idx val="1"/>
          <c:order val="1"/>
          <c:tx>
            <c:strRef>
              <c:f>'GRAF20_3-3'!$A$9</c:f>
              <c:strCache>
                <c:ptCount val="1"/>
                <c:pt idx="0">
                  <c:v>Účelová podpora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'GRAF20_3-3'!$G$7:$V$7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strCache>
            </c:strRef>
          </c:cat>
          <c:val>
            <c:numRef>
              <c:f>'GRAF20_3-3'!$G$9:$V$9</c:f>
              <c:numCache>
                <c:formatCode>#\ ##0.0</c:formatCode>
                <c:ptCount val="16"/>
                <c:pt idx="0">
                  <c:v>7.09401200000001</c:v>
                </c:pt>
                <c:pt idx="1">
                  <c:v>8.4443979999999836</c:v>
                </c:pt>
                <c:pt idx="2">
                  <c:v>9.1542630000000056</c:v>
                </c:pt>
                <c:pt idx="3">
                  <c:v>9.4479379999999491</c:v>
                </c:pt>
                <c:pt idx="4">
                  <c:v>11.189353999999978</c:v>
                </c:pt>
                <c:pt idx="5">
                  <c:v>11.013745000000064</c:v>
                </c:pt>
                <c:pt idx="6">
                  <c:v>14.161721999999992</c:v>
                </c:pt>
                <c:pt idx="7">
                  <c:v>13.700979999999948</c:v>
                </c:pt>
                <c:pt idx="8">
                  <c:v>13.561315999999993</c:v>
                </c:pt>
                <c:pt idx="9">
                  <c:v>14.1827679408</c:v>
                </c:pt>
                <c:pt idx="10">
                  <c:v>14.363512535130001</c:v>
                </c:pt>
                <c:pt idx="11">
                  <c:v>13.997135633511695</c:v>
                </c:pt>
                <c:pt idx="12">
                  <c:v>15.532623394090001</c:v>
                </c:pt>
                <c:pt idx="13">
                  <c:v>16.605608841310001</c:v>
                </c:pt>
                <c:pt idx="14">
                  <c:v>18.087264497570001</c:v>
                </c:pt>
                <c:pt idx="15">
                  <c:v>18.508989550140001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88-449D-ADE9-3983288BC9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0"/>
        <c:overlap val="100"/>
        <c:axId val="980602704"/>
        <c:axId val="1038091264"/>
      </c:barChart>
      <c:catAx>
        <c:axId val="163515008"/>
        <c:scaling>
          <c:orientation val="minMax"/>
        </c:scaling>
        <c:delete val="0"/>
        <c:axPos val="b"/>
        <c:minorGridlines>
          <c:spPr>
            <a:ln>
              <a:solidFill>
                <a:schemeClr val="bg1">
                  <a:lumMod val="8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nextTo"/>
        <c:crossAx val="163524992"/>
        <c:crosses val="autoZero"/>
        <c:auto val="1"/>
        <c:lblAlgn val="ctr"/>
        <c:lblOffset val="100"/>
        <c:noMultiLvlLbl val="0"/>
      </c:catAx>
      <c:valAx>
        <c:axId val="163524992"/>
        <c:scaling>
          <c:orientation val="minMax"/>
          <c:max val="2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mld. Kč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63515008"/>
        <c:crosses val="autoZero"/>
        <c:crossBetween val="between"/>
      </c:valAx>
      <c:valAx>
        <c:axId val="1038091264"/>
        <c:scaling>
          <c:orientation val="minMax"/>
        </c:scaling>
        <c:delete val="1"/>
        <c:axPos val="r"/>
        <c:numFmt formatCode="#\ ##0.0" sourceLinked="1"/>
        <c:majorTickMark val="out"/>
        <c:minorTickMark val="none"/>
        <c:tickLblPos val="nextTo"/>
        <c:crossAx val="980602704"/>
        <c:crosses val="max"/>
        <c:crossBetween val="between"/>
      </c:valAx>
      <c:catAx>
        <c:axId val="980602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38091264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</c:spPr>
    </c:plotArea>
    <c:legend>
      <c:legendPos val="t"/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'GRAF20_3-4'!$G$3</c:f>
              <c:strCache>
                <c:ptCount val="1"/>
                <c:pt idx="0">
                  <c:v>Institucionální podpora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32-4AE7-81E9-9EDD82D4EBF5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32-4AE7-81E9-9EDD82D4E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'GRAF20_3-4'!$F$10:$F$19</c:f>
              <c:strCache>
                <c:ptCount val="10"/>
                <c:pt idx="0">
                  <c:v>Ministerstvo obrany (1,4%)</c:v>
                </c:pt>
                <c:pt idx="1">
                  <c:v>Ministerstvo kultury (1,6%)</c:v>
                </c:pt>
                <c:pt idx="2">
                  <c:v>Ministerstvo vnitra (1,7%)</c:v>
                </c:pt>
                <c:pt idx="3">
                  <c:v>Ministerstvo zemědělství (2,6%)</c:v>
                </c:pt>
                <c:pt idx="4">
                  <c:v>Ministerstvo zdravotnictví (4,3%)</c:v>
                </c:pt>
                <c:pt idx="5">
                  <c:v>Ministerstvo průmyslu a obchodu (4,6%)</c:v>
                </c:pt>
                <c:pt idx="6">
                  <c:v>Grantová agentura ČR (11,8%)</c:v>
                </c:pt>
                <c:pt idx="7">
                  <c:v>Technologická agentura ČR (13,2%)</c:v>
                </c:pt>
                <c:pt idx="8">
                  <c:v>Akademie věd ČR (17,5%)</c:v>
                </c:pt>
                <c:pt idx="9">
                  <c:v>Ministerstvo školství, mládeže a tělovýchovy (39,9%)</c:v>
                </c:pt>
              </c:strCache>
            </c:strRef>
          </c:cat>
          <c:val>
            <c:numRef>
              <c:f>'GRAF20_3-4'!$G$10:$G$19</c:f>
              <c:numCache>
                <c:formatCode>0.0</c:formatCode>
                <c:ptCount val="10"/>
                <c:pt idx="0">
                  <c:v>0.13296302672999993</c:v>
                </c:pt>
                <c:pt idx="1">
                  <c:v>9.5933745910000021E-2</c:v>
                </c:pt>
                <c:pt idx="2">
                  <c:v>0.11478311388</c:v>
                </c:pt>
                <c:pt idx="3">
                  <c:v>0.51648005299999988</c:v>
                </c:pt>
                <c:pt idx="4">
                  <c:v>0.69592485600000009</c:v>
                </c:pt>
                <c:pt idx="5">
                  <c:v>0.47427672479999999</c:v>
                </c:pt>
                <c:pt idx="6">
                  <c:v>0.132204297</c:v>
                </c:pt>
                <c:pt idx="7">
                  <c:v>0.18457526699999999</c:v>
                </c:pt>
                <c:pt idx="8">
                  <c:v>6.6672597721299987</c:v>
                </c:pt>
                <c:pt idx="9">
                  <c:v>10.060253405576013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32-4AE7-81E9-9EDD82D4EBF5}"/>
            </c:ext>
          </c:extLst>
        </c:ser>
        <c:ser>
          <c:idx val="1"/>
          <c:order val="1"/>
          <c:tx>
            <c:strRef>
              <c:f>'GRAF20_3-4'!$H$3</c:f>
              <c:strCache>
                <c:ptCount val="1"/>
                <c:pt idx="0">
                  <c:v>Účelová podpora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32-4AE7-81E9-9EDD82D4EBF5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32-4AE7-81E9-9EDD82D4EBF5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32-4AE7-81E9-9EDD82D4EBF5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32-4AE7-81E9-9EDD82D4EBF5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32-4AE7-81E9-9EDD82D4E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'GRAF20_3-4'!$F$10:$F$19</c:f>
              <c:strCache>
                <c:ptCount val="10"/>
                <c:pt idx="0">
                  <c:v>Ministerstvo obrany (1,4%)</c:v>
                </c:pt>
                <c:pt idx="1">
                  <c:v>Ministerstvo kultury (1,6%)</c:v>
                </c:pt>
                <c:pt idx="2">
                  <c:v>Ministerstvo vnitra (1,7%)</c:v>
                </c:pt>
                <c:pt idx="3">
                  <c:v>Ministerstvo zemědělství (2,6%)</c:v>
                </c:pt>
                <c:pt idx="4">
                  <c:v>Ministerstvo zdravotnictví (4,3%)</c:v>
                </c:pt>
                <c:pt idx="5">
                  <c:v>Ministerstvo průmyslu a obchodu (4,6%)</c:v>
                </c:pt>
                <c:pt idx="6">
                  <c:v>Grantová agentura ČR (11,8%)</c:v>
                </c:pt>
                <c:pt idx="7">
                  <c:v>Technologická agentura ČR (13,2%)</c:v>
                </c:pt>
                <c:pt idx="8">
                  <c:v>Akademie věd ČR (17,5%)</c:v>
                </c:pt>
                <c:pt idx="9">
                  <c:v>Ministerstvo školství, mládeže a tělovýchovy (39,9%)</c:v>
                </c:pt>
              </c:strCache>
            </c:strRef>
          </c:cat>
          <c:val>
            <c:numRef>
              <c:f>'GRAF20_3-4'!$H$10:$H$19</c:f>
              <c:numCache>
                <c:formatCode>0.0</c:formatCode>
                <c:ptCount val="10"/>
                <c:pt idx="0">
                  <c:v>0.38779198838000001</c:v>
                </c:pt>
                <c:pt idx="1">
                  <c:v>0.52752333729999989</c:v>
                </c:pt>
                <c:pt idx="2">
                  <c:v>0.54740834978999997</c:v>
                </c:pt>
                <c:pt idx="3">
                  <c:v>0.48878392610000021</c:v>
                </c:pt>
                <c:pt idx="4">
                  <c:v>0.95310799506999966</c:v>
                </c:pt>
                <c:pt idx="5">
                  <c:v>1.2784438340000002</c:v>
                </c:pt>
                <c:pt idx="6">
                  <c:v>4.3452000020000012</c:v>
                </c:pt>
                <c:pt idx="7">
                  <c:v>4.8412100491899963</c:v>
                </c:pt>
                <c:pt idx="8">
                  <c:v>0</c:v>
                </c:pt>
                <c:pt idx="9">
                  <c:v>5.1394345143099995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32-4AE7-81E9-9EDD82D4E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64045184"/>
        <c:axId val="164046720"/>
      </c:barChart>
      <c:catAx>
        <c:axId val="16404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4046720"/>
        <c:crosses val="autoZero"/>
        <c:auto val="1"/>
        <c:lblAlgn val="ctr"/>
        <c:lblOffset val="100"/>
        <c:noMultiLvlLbl val="0"/>
      </c:catAx>
      <c:valAx>
        <c:axId val="164046720"/>
        <c:scaling>
          <c:orientation val="minMax"/>
          <c:max val="16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mld. Kč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404518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t"/>
      <c:overlay val="0"/>
      <c:spPr>
        <a:solidFill>
          <a:schemeClr val="bg1">
            <a:lumMod val="95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20313682082087"/>
          <c:y val="7.521367521367521E-2"/>
          <c:w val="0.75206542157415179"/>
          <c:h val="0.7862451039773874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'GRAF20_3-4'!$G$46</c:f>
              <c:strCache>
                <c:ptCount val="1"/>
                <c:pt idx="0">
                  <c:v>Institucionální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'GRAF20_3-4'!$F$47:$F$52</c:f>
              <c:strCache>
                <c:ptCount val="6"/>
                <c:pt idx="0">
                  <c:v>MS (0,01%)</c:v>
                </c:pt>
                <c:pt idx="1">
                  <c:v>MZV (0,1%)</c:v>
                </c:pt>
                <c:pt idx="2">
                  <c:v>MD (0,1%)</c:v>
                </c:pt>
                <c:pt idx="3">
                  <c:v>Úř. Vlády (0,2%)</c:v>
                </c:pt>
                <c:pt idx="4">
                  <c:v>MPSV (0,2%)</c:v>
                </c:pt>
                <c:pt idx="5">
                  <c:v>MŽP (0,7%)</c:v>
                </c:pt>
              </c:strCache>
            </c:strRef>
          </c:cat>
          <c:val>
            <c:numRef>
              <c:f>'GRAF20_3-4'!$G$47:$G$52</c:f>
              <c:numCache>
                <c:formatCode>0.000</c:formatCode>
                <c:ptCount val="6"/>
                <c:pt idx="0">
                  <c:v>5.5806807E-3</c:v>
                </c:pt>
                <c:pt idx="1">
                  <c:v>2.7870000000000002E-2</c:v>
                </c:pt>
                <c:pt idx="2">
                  <c:v>5.5002499999999996E-2</c:v>
                </c:pt>
                <c:pt idx="3">
                  <c:v>6.0137426000000001E-2</c:v>
                </c:pt>
                <c:pt idx="4">
                  <c:v>8.9187673999999995E-2</c:v>
                </c:pt>
                <c:pt idx="5">
                  <c:v>0.26863493181000003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BB-4900-AB5F-578CADE43281}"/>
            </c:ext>
          </c:extLst>
        </c:ser>
        <c:ser>
          <c:idx val="1"/>
          <c:order val="1"/>
          <c:tx>
            <c:strRef>
              <c:f>'GRAF20_3-4'!$H$46</c:f>
              <c:strCache>
                <c:ptCount val="1"/>
                <c:pt idx="0">
                  <c:v>Účelová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'GRAF20_3-4'!$F$47:$F$52</c:f>
              <c:strCache>
                <c:ptCount val="6"/>
                <c:pt idx="0">
                  <c:v>MS (0,01%)</c:v>
                </c:pt>
                <c:pt idx="1">
                  <c:v>MZV (0,1%)</c:v>
                </c:pt>
                <c:pt idx="2">
                  <c:v>MD (0,1%)</c:v>
                </c:pt>
                <c:pt idx="3">
                  <c:v>Úř. Vlády (0,2%)</c:v>
                </c:pt>
                <c:pt idx="4">
                  <c:v>MPSV (0,2%)</c:v>
                </c:pt>
                <c:pt idx="5">
                  <c:v>MŽP (0,7%)</c:v>
                </c:pt>
              </c:strCache>
            </c:strRef>
          </c:cat>
          <c:val>
            <c:numRef>
              <c:f>'GRAF20_3-4'!$H$47:$H$52</c:f>
              <c:numCache>
                <c:formatCode>0.000</c:formatCode>
                <c:ptCount val="6"/>
                <c:pt idx="0">
                  <c:v>8.5554000000000001E-5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BB-4900-AB5F-578CADE43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64045184"/>
        <c:axId val="164046720"/>
      </c:barChart>
      <c:catAx>
        <c:axId val="16404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4046720"/>
        <c:crosses val="autoZero"/>
        <c:auto val="1"/>
        <c:lblAlgn val="ctr"/>
        <c:lblOffset val="100"/>
        <c:noMultiLvlLbl val="0"/>
      </c:catAx>
      <c:valAx>
        <c:axId val="164046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404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5604901960785"/>
          <c:y val="0.10452383812447359"/>
          <c:w val="0.56502321268415734"/>
          <c:h val="0.7657147334195165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'GRAF20_3-5'!$B$164</c:f>
              <c:strCache>
                <c:ptCount val="1"/>
                <c:pt idx="0">
                  <c:v>Institucionální podpora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C7-45BC-A3EC-2E704E408263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C7-45BC-A3EC-2E704E408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'GRAF20_3-5'!$A$165:$A$173</c15:sqref>
                  </c15:fullRef>
                </c:ext>
              </c:extLst>
              <c:f>'GRAF20_3-5'!$A$168:$A$173</c:f>
              <c:strCache>
                <c:ptCount val="6"/>
                <c:pt idx="0">
                  <c:v>Zahraniční subjekty (2,9%)</c:v>
                </c:pt>
                <c:pt idx="1">
                  <c:v>Ostatní vládní a veřejné organizace (3,3%)</c:v>
                </c:pt>
                <c:pt idx="2">
                  <c:v>Fakultní nemocnice a ostatní veřejná zdravotnická zařízení (3,7%)</c:v>
                </c:pt>
                <c:pt idx="3">
                  <c:v>Soukromé podniky (9%)</c:v>
                </c:pt>
                <c:pt idx="4">
                  <c:v>Veřejné výzkumné instituce (31,6%)</c:v>
                </c:pt>
                <c:pt idx="5">
                  <c:v>Veřejné a státní vysoké školy (44,1%)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'GRAF20_3-5'!$B$165:$B$173</c15:sqref>
                  </c15:fullRef>
                </c:ext>
              </c:extLst>
              <c:f>'GRAF20_3-5'!$B$168:$B$173</c:f>
              <c:numCache>
                <c:formatCode>#\ ##0.0</c:formatCode>
                <c:ptCount val="6"/>
                <c:pt idx="0">
                  <c:v>1.1112684334599998</c:v>
                </c:pt>
                <c:pt idx="1">
                  <c:v>0.80662386408000009</c:v>
                </c:pt>
                <c:pt idx="2">
                  <c:v>0.64369184276000013</c:v>
                </c:pt>
                <c:pt idx="3">
                  <c:v>0.42539174319999995</c:v>
                </c:pt>
                <c:pt idx="4">
                  <c:v>7.4405834485599991</c:v>
                </c:pt>
                <c:pt idx="5">
                  <c:v>8.9667983801960087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C7-45BC-A3EC-2E704E408263}"/>
            </c:ext>
          </c:extLst>
        </c:ser>
        <c:ser>
          <c:idx val="1"/>
          <c:order val="1"/>
          <c:tx>
            <c:strRef>
              <c:f>'GRAF20_3-5'!$C$164</c:f>
              <c:strCache>
                <c:ptCount val="1"/>
                <c:pt idx="0">
                  <c:v>Účelová podpora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C7-45BC-A3EC-2E704E40826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C7-45BC-A3EC-2E704E40826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C7-45BC-A3EC-2E704E408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'GRAF20_3-5'!$A$165:$A$173</c15:sqref>
                  </c15:fullRef>
                </c:ext>
              </c:extLst>
              <c:f>'GRAF20_3-5'!$A$168:$A$173</c:f>
              <c:strCache>
                <c:ptCount val="6"/>
                <c:pt idx="0">
                  <c:v>Zahraniční subjekty (2,9%)</c:v>
                </c:pt>
                <c:pt idx="1">
                  <c:v>Ostatní vládní a veřejné organizace (3,3%)</c:v>
                </c:pt>
                <c:pt idx="2">
                  <c:v>Fakultní nemocnice a ostatní veřejná zdravotnická zařízení (3,7%)</c:v>
                </c:pt>
                <c:pt idx="3">
                  <c:v>Soukromé podniky (9%)</c:v>
                </c:pt>
                <c:pt idx="4">
                  <c:v>Veřejné výzkumné instituce (31,6%)</c:v>
                </c:pt>
                <c:pt idx="5">
                  <c:v>Veřejné a státní vysoké školy (44,1%)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'GRAF20_3-5'!$C$165:$C$173</c15:sqref>
                  </c15:fullRef>
                </c:ext>
              </c:extLst>
              <c:f>'GRAF20_3-5'!$C$168:$C$173</c:f>
              <c:numCache>
                <c:formatCode>#\ ##0.0</c:formatCode>
                <c:ptCount val="6"/>
                <c:pt idx="0">
                  <c:v>9.135710057841329E-3</c:v>
                </c:pt>
                <c:pt idx="1">
                  <c:v>0.45542402380812919</c:v>
                </c:pt>
                <c:pt idx="2">
                  <c:v>0.77546920608690084</c:v>
                </c:pt>
                <c:pt idx="3">
                  <c:v>3.0082324240192677</c:v>
                </c:pt>
                <c:pt idx="4">
                  <c:v>4.6030920658734473</c:v>
                </c:pt>
                <c:pt idx="5">
                  <c:v>7.8200715953720747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3C7-45BC-A3EC-2E704E408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64443264"/>
        <c:axId val="164444800"/>
      </c:barChart>
      <c:catAx>
        <c:axId val="1644432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inorGridlines>
          <c:spPr>
            <a:ln>
              <a:solidFill>
                <a:schemeClr val="bg1"/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164444800"/>
        <c:crosses val="autoZero"/>
        <c:auto val="1"/>
        <c:lblAlgn val="ctr"/>
        <c:lblOffset val="100"/>
        <c:noMultiLvlLbl val="0"/>
      </c:catAx>
      <c:valAx>
        <c:axId val="164444800"/>
        <c:scaling>
          <c:orientation val="minMax"/>
          <c:max val="17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mld. Kč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64443264"/>
        <c:crosses val="autoZero"/>
        <c:crossBetween val="between"/>
        <c:majorUnit val="1"/>
      </c:valAx>
      <c:spPr>
        <a:solidFill>
          <a:schemeClr val="bg1"/>
        </a:solidFill>
      </c:spPr>
    </c:plotArea>
    <c:legend>
      <c:legendPos val="t"/>
      <c:overlay val="0"/>
      <c:spPr>
        <a:solidFill>
          <a:schemeClr val="bg1">
            <a:lumMod val="95000"/>
          </a:schemeClr>
        </a:solidFill>
      </c:sp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20313682082087"/>
          <c:y val="7.521367521367521E-2"/>
          <c:w val="0.75206542157415179"/>
          <c:h val="0.7862451039773874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'GRAF20_3-5'!$B$164</c:f>
              <c:strCache>
                <c:ptCount val="1"/>
                <c:pt idx="0">
                  <c:v>Institucionální podpora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'GRAF20_3-5'!$A$165:$A$167</c:f>
              <c:strCache>
                <c:ptCount val="3"/>
                <c:pt idx="0">
                  <c:v>Ostatní (1,4%)</c:v>
                </c:pt>
                <c:pt idx="1">
                  <c:v>Soukromé neziskové organizace (1,4%)</c:v>
                </c:pt>
                <c:pt idx="2">
                  <c:v>Veřejné podniky (2,5%)</c:v>
                </c:pt>
              </c:strCache>
            </c:strRef>
          </c:cat>
          <c:val>
            <c:numRef>
              <c:f>'GRAF20_3-5'!$B$165:$B$167</c:f>
              <c:numCache>
                <c:formatCode>#\ ##0.0</c:formatCode>
                <c:ptCount val="3"/>
                <c:pt idx="0">
                  <c:v>2.9178943079998135E-2</c:v>
                </c:pt>
                <c:pt idx="1">
                  <c:v>1.6600999999999998E-2</c:v>
                </c:pt>
                <c:pt idx="2">
                  <c:v>0.1409298192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CA-429E-891B-28F8775D4910}"/>
            </c:ext>
          </c:extLst>
        </c:ser>
        <c:ser>
          <c:idx val="1"/>
          <c:order val="1"/>
          <c:tx>
            <c:strRef>
              <c:f>'GRAF20_3-5'!$C$164</c:f>
              <c:strCache>
                <c:ptCount val="1"/>
                <c:pt idx="0">
                  <c:v>Účelová podpora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'GRAF20_3-5'!$A$165:$A$167</c:f>
              <c:strCache>
                <c:ptCount val="3"/>
                <c:pt idx="0">
                  <c:v>Ostatní (1,4%)</c:v>
                </c:pt>
                <c:pt idx="1">
                  <c:v>Soukromé neziskové organizace (1,4%)</c:v>
                </c:pt>
                <c:pt idx="2">
                  <c:v>Veřejné podniky (2,5%)</c:v>
                </c:pt>
              </c:strCache>
            </c:strRef>
          </c:cat>
          <c:val>
            <c:numRef>
              <c:f>'GRAF20_3-5'!$C$165:$C$167</c:f>
              <c:numCache>
                <c:formatCode>#\ ##0.0</c:formatCode>
                <c:ptCount val="3"/>
                <c:pt idx="0">
                  <c:v>0.50294632150000684</c:v>
                </c:pt>
                <c:pt idx="1">
                  <c:v>0.53007854454616643</c:v>
                </c:pt>
                <c:pt idx="2">
                  <c:v>0.80453965887616741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CA-429E-891B-28F8775D4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1"/>
        <c:overlap val="100"/>
        <c:axId val="164045184"/>
        <c:axId val="164046720"/>
      </c:barChart>
      <c:catAx>
        <c:axId val="16404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4046720"/>
        <c:crosses val="autoZero"/>
        <c:auto val="1"/>
        <c:lblAlgn val="ctr"/>
        <c:lblOffset val="100"/>
        <c:noMultiLvlLbl val="0"/>
      </c:catAx>
      <c:valAx>
        <c:axId val="16404672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4045184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'GRAF20_3-6'!$F$194</c:f>
              <c:strCache>
                <c:ptCount val="1"/>
                <c:pt idx="0">
                  <c:v>Institucionální podpora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6E-4DB2-91DB-97501357AC8B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6E-4DB2-91DB-97501357AC8B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6E-4DB2-91DB-97501357AC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'GRAF20_3-6'!$E$195:$E$209</c:f>
              <c:strCache>
                <c:ptCount val="8"/>
                <c:pt idx="0">
                  <c:v>Liberecký kraj (1,8%)</c:v>
                </c:pt>
                <c:pt idx="1">
                  <c:v>Plzeňský kraj (2,5%)</c:v>
                </c:pt>
                <c:pt idx="2">
                  <c:v>Jihočeský kraj (2,9%)</c:v>
                </c:pt>
                <c:pt idx="3">
                  <c:v>Olomoucký kraj (3,8%)</c:v>
                </c:pt>
                <c:pt idx="4">
                  <c:v>Moravskoslezský kraj (3,8%)</c:v>
                </c:pt>
                <c:pt idx="5">
                  <c:v>Středočeský kraj (5,6%)</c:v>
                </c:pt>
                <c:pt idx="6">
                  <c:v>Jihomoravský kraj (18,3%)</c:v>
                </c:pt>
                <c:pt idx="7">
                  <c:v>Praha (52,2%)</c:v>
                </c:pt>
              </c:strCache>
            </c:strRef>
          </c:cat>
          <c:val>
            <c:numRef>
              <c:f>'GRAF20_3-6'!$F$195:$F$209</c:f>
              <c:numCache>
                <c:formatCode>0.0</c:formatCode>
                <c:ptCount val="8"/>
                <c:pt idx="0">
                  <c:v>0.30871695941999999</c:v>
                </c:pt>
                <c:pt idx="1">
                  <c:v>0.43950389451999994</c:v>
                </c:pt>
                <c:pt idx="2">
                  <c:v>0.51817984000000061</c:v>
                </c:pt>
                <c:pt idx="3">
                  <c:v>0.82233690699599937</c:v>
                </c:pt>
                <c:pt idx="4">
                  <c:v>0.68924947728000008</c:v>
                </c:pt>
                <c:pt idx="5">
                  <c:v>0.73985757438999999</c:v>
                </c:pt>
                <c:pt idx="6">
                  <c:v>2.9630248034099997</c:v>
                </c:pt>
                <c:pt idx="7">
                  <c:v>11.261059848900002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6E-4DB2-91DB-97501357AC8B}"/>
            </c:ext>
          </c:extLst>
        </c:ser>
        <c:ser>
          <c:idx val="1"/>
          <c:order val="1"/>
          <c:tx>
            <c:strRef>
              <c:f>'GRAF20_3-6'!$G$194</c:f>
              <c:strCache>
                <c:ptCount val="1"/>
                <c:pt idx="0">
                  <c:v>Účelová podpora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6E-4DB2-91DB-97501357AC8B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6E-4DB2-91DB-97501357AC8B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86E-4DB2-91DB-97501357AC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'GRAF20_3-6'!$E$195:$E$209</c:f>
              <c:strCache>
                <c:ptCount val="8"/>
                <c:pt idx="0">
                  <c:v>Liberecký kraj (1,8%)</c:v>
                </c:pt>
                <c:pt idx="1">
                  <c:v>Plzeňský kraj (2,5%)</c:v>
                </c:pt>
                <c:pt idx="2">
                  <c:v>Jihočeský kraj (2,9%)</c:v>
                </c:pt>
                <c:pt idx="3">
                  <c:v>Olomoucký kraj (3,8%)</c:v>
                </c:pt>
                <c:pt idx="4">
                  <c:v>Moravskoslezský kraj (3,8%)</c:v>
                </c:pt>
                <c:pt idx="5">
                  <c:v>Středočeský kraj (5,6%)</c:v>
                </c:pt>
                <c:pt idx="6">
                  <c:v>Jihomoravský kraj (18,3%)</c:v>
                </c:pt>
                <c:pt idx="7">
                  <c:v>Praha (52,2%)</c:v>
                </c:pt>
              </c:strCache>
            </c:strRef>
          </c:cat>
          <c:val>
            <c:numRef>
              <c:f>'GRAF20_3-6'!$G$195:$G$209</c:f>
              <c:numCache>
                <c:formatCode>0.0</c:formatCode>
                <c:ptCount val="8"/>
                <c:pt idx="0">
                  <c:v>0.36186677098285552</c:v>
                </c:pt>
                <c:pt idx="1">
                  <c:v>0.51998888326936443</c:v>
                </c:pt>
                <c:pt idx="2">
                  <c:v>0.57839348103251964</c:v>
                </c:pt>
                <c:pt idx="3">
                  <c:v>0.6129299035867859</c:v>
                </c:pt>
                <c:pt idx="4">
                  <c:v>0.77525734215670283</c:v>
                </c:pt>
                <c:pt idx="5">
                  <c:v>1.3898925830923745</c:v>
                </c:pt>
                <c:pt idx="6">
                  <c:v>4.0239796747520389</c:v>
                </c:pt>
                <c:pt idx="7">
                  <c:v>8.6340242863270849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86E-4DB2-91DB-97501357A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overlap val="100"/>
        <c:axId val="1902605424"/>
        <c:axId val="1902803648"/>
      </c:barChart>
      <c:catAx>
        <c:axId val="190260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902803648"/>
        <c:crosses val="autoZero"/>
        <c:auto val="1"/>
        <c:lblAlgn val="ctr"/>
        <c:lblOffset val="100"/>
        <c:noMultiLvlLbl val="0"/>
      </c:catAx>
      <c:valAx>
        <c:axId val="1902803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mld. Kč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9026054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t"/>
      <c:overlay val="0"/>
      <c:spPr>
        <a:solidFill>
          <a:schemeClr val="bg1">
            <a:lumMod val="95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'GRAF20_3-6'!$F$194</c:f>
              <c:strCache>
                <c:ptCount val="1"/>
                <c:pt idx="0">
                  <c:v>Institucionální podpora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'GRAF20_3-6'!$E$195:$E$201</c:f>
              <c:strCache>
                <c:ptCount val="7"/>
                <c:pt idx="0">
                  <c:v>Karlovarský kraj (0,01%)</c:v>
                </c:pt>
                <c:pt idx="1">
                  <c:v>Vysočina (0,4%)</c:v>
                </c:pt>
                <c:pt idx="2">
                  <c:v>Ústecký kraj (0,8%)</c:v>
                </c:pt>
                <c:pt idx="3">
                  <c:v>Zlínský kraj (1%)</c:v>
                </c:pt>
                <c:pt idx="4">
                  <c:v>Královéhradecký kraj (1,2%)</c:v>
                </c:pt>
                <c:pt idx="5">
                  <c:v>Pardubický kraj (1,6%)</c:v>
                </c:pt>
                <c:pt idx="6">
                  <c:v>Liberecký kraj (1,8%)</c:v>
                </c:pt>
              </c:strCache>
            </c:strRef>
          </c:cat>
          <c:val>
            <c:numRef>
              <c:f>'GRAF20_3-6'!$F$195:$F$201</c:f>
              <c:numCache>
                <c:formatCode>0.0</c:formatCode>
                <c:ptCount val="7"/>
                <c:pt idx="0">
                  <c:v>0</c:v>
                </c:pt>
                <c:pt idx="1">
                  <c:v>1.4017994999999991E-2</c:v>
                </c:pt>
                <c:pt idx="2">
                  <c:v>0.12302377617000002</c:v>
                </c:pt>
                <c:pt idx="3">
                  <c:v>0.18357667400000002</c:v>
                </c:pt>
                <c:pt idx="4">
                  <c:v>0.14802860900000003</c:v>
                </c:pt>
                <c:pt idx="5">
                  <c:v>0.25922268199000004</c:v>
                </c:pt>
                <c:pt idx="6">
                  <c:v>0.30871695941999999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9-40A4-89BE-E813999D2803}"/>
            </c:ext>
          </c:extLst>
        </c:ser>
        <c:ser>
          <c:idx val="1"/>
          <c:order val="1"/>
          <c:tx>
            <c:strRef>
              <c:f>'GRAF20_3-6'!$G$194</c:f>
              <c:strCache>
                <c:ptCount val="1"/>
                <c:pt idx="0">
                  <c:v>Účelová podpora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'GRAF20_3-6'!$E$195:$E$201</c:f>
              <c:strCache>
                <c:ptCount val="7"/>
                <c:pt idx="0">
                  <c:v>Karlovarský kraj (0,01%)</c:v>
                </c:pt>
                <c:pt idx="1">
                  <c:v>Vysočina (0,4%)</c:v>
                </c:pt>
                <c:pt idx="2">
                  <c:v>Ústecký kraj (0,8%)</c:v>
                </c:pt>
                <c:pt idx="3">
                  <c:v>Zlínský kraj (1%)</c:v>
                </c:pt>
                <c:pt idx="4">
                  <c:v>Královéhradecký kraj (1,2%)</c:v>
                </c:pt>
                <c:pt idx="5">
                  <c:v>Pardubický kraj (1,6%)</c:v>
                </c:pt>
                <c:pt idx="6">
                  <c:v>Liberecký kraj (1,8%)</c:v>
                </c:pt>
              </c:strCache>
            </c:strRef>
          </c:cat>
          <c:val>
            <c:numRef>
              <c:f>'GRAF20_3-6'!$G$195:$G$201</c:f>
              <c:numCache>
                <c:formatCode>0.0</c:formatCode>
                <c:ptCount val="7"/>
                <c:pt idx="0">
                  <c:v>5.3320354999999995E-3</c:v>
                </c:pt>
                <c:pt idx="1">
                  <c:v>0.12078100679516765</c:v>
                </c:pt>
                <c:pt idx="2">
                  <c:v>0.18026257547643576</c:v>
                </c:pt>
                <c:pt idx="3">
                  <c:v>0.18991536823000019</c:v>
                </c:pt>
                <c:pt idx="4">
                  <c:v>0.29831914055384434</c:v>
                </c:pt>
                <c:pt idx="5">
                  <c:v>0.33895241432699202</c:v>
                </c:pt>
                <c:pt idx="6">
                  <c:v>0.36186677098285552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E9-40A4-89BE-E813999D28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902605424"/>
        <c:axId val="1902803648"/>
      </c:barChart>
      <c:catAx>
        <c:axId val="190260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902803648"/>
        <c:crosses val="autoZero"/>
        <c:auto val="1"/>
        <c:lblAlgn val="ctr"/>
        <c:lblOffset val="100"/>
        <c:noMultiLvlLbl val="0"/>
      </c:catAx>
      <c:valAx>
        <c:axId val="1902803648"/>
        <c:scaling>
          <c:orientation val="minMax"/>
          <c:max val="0.7000000000000000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out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90260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DBB3-DF4A-4CAF-B1E6-A2313FFD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3105</TotalTime>
  <Pages>16</Pages>
  <Words>5135</Words>
  <Characters>30303</Characters>
  <Application>Microsoft Office Word</Application>
  <DocSecurity>0</DocSecurity>
  <Lines>252</Lines>
  <Paragraphs>70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35368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sojka7725</dc:creator>
  <cp:lastModifiedBy>Ing. Václav Sojka</cp:lastModifiedBy>
  <cp:revision>614</cp:revision>
  <cp:lastPrinted>2021-12-05T09:23:00Z</cp:lastPrinted>
  <dcterms:created xsi:type="dcterms:W3CDTF">2021-09-30T13:37:00Z</dcterms:created>
  <dcterms:modified xsi:type="dcterms:W3CDTF">2021-12-06T09:05:00Z</dcterms:modified>
</cp:coreProperties>
</file>