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Default="00576A3E" w:rsidP="0060487F">
      <w:pPr>
        <w:pStyle w:val="Styl1"/>
        <w:rPr>
          <w:rFonts w:cs="Arial"/>
          <w:sz w:val="20"/>
        </w:rPr>
      </w:pPr>
    </w:p>
    <w:p w:rsidR="00576A3E" w:rsidRDefault="000A66C2">
      <w:pPr>
        <w:spacing w:line="240" w:lineRule="auto"/>
        <w:rPr>
          <w:rFonts w:cs="Arial"/>
          <w:lang w:eastAsia="ar-SA"/>
        </w:rPr>
      </w:pPr>
      <w:r w:rsidRPr="000A66C2">
        <w:rPr>
          <w:noProof/>
        </w:rPr>
        <w:pict>
          <v:shapetype id="_x0000_t202" coordsize="21600,21600" o:spt="202" path="m,l,21600r21600,l21600,xe">
            <v:stroke joinstyle="miter"/>
            <v:path gradientshapeok="t" o:connecttype="rect"/>
          </v:shapetype>
          <v:shape id="Textové pole 2" o:spid="_x0000_s1026" type="#_x0000_t202" style="position:absolute;margin-left:134.65pt;margin-top:759.8pt;width:403.95pt;height:14.1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fJ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HnK18m3&#10;AgAArwUAAA4AAAAAAAAAAAAAAAAALgIAAGRycy9lMm9Eb2MueG1sUEsBAi0AFAAGAAgAAAAhAAdl&#10;cHfhAAAADgEAAA8AAAAAAAAAAAAAAAAAEQUAAGRycy9kb3ducmV2LnhtbFBLBQYAAAAABAAEAPMA&#10;AAAfBgAAAAA=&#10;" filled="f" stroked="f">
            <v:textbox inset="0,0,0,0">
              <w:txbxContent>
                <w:p w:rsidR="00463B4B" w:rsidRPr="005251DD" w:rsidRDefault="00463B4B" w:rsidP="004F191F">
                  <w:r w:rsidRPr="005251DD">
                    <w:t xml:space="preserve">Český statistický úřad, </w:t>
                  </w:r>
                  <w:r>
                    <w:t>Praha, 2015</w:t>
                  </w:r>
                </w:p>
              </w:txbxContent>
            </v:textbox>
            <w10:wrap anchorx="page" anchory="page"/>
            <w10:anchorlock/>
          </v:shape>
        </w:pict>
      </w:r>
      <w:r w:rsidRPr="000A66C2">
        <w:rPr>
          <w:noProof/>
        </w:rPr>
        <w:pict>
          <v:shape id="_x0000_s1027" type="#_x0000_t202" style="position:absolute;margin-left:134.65pt;margin-top:612.45pt;width:394.65pt;height:112.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" filled="f" stroked="f">
            <v:textbox inset="0,0,0,0">
              <w:txbxContent>
                <w:p w:rsidR="00463B4B" w:rsidRPr="006C5577" w:rsidRDefault="00463B4B" w:rsidP="004F2A73">
                  <w:pPr>
                    <w:pStyle w:val="TL-Identifikace-dole"/>
                  </w:pPr>
                  <w:r>
                    <w:t>Z</w:t>
                  </w:r>
                  <w:r w:rsidRPr="006C5577">
                    <w:t>pracoval: Odbor</w:t>
                  </w:r>
                  <w:r>
                    <w:t xml:space="preserve"> Kancelář předsedkyně, Oddělení svodných analýz</w:t>
                  </w:r>
                </w:p>
                <w:p w:rsidR="00463B4B" w:rsidRPr="006C5577" w:rsidRDefault="00463B4B" w:rsidP="004F191F">
                  <w:pPr>
                    <w:pStyle w:val="TL-Identifikace-dole"/>
                  </w:pPr>
                  <w:r w:rsidRPr="006C5577">
                    <w:t xml:space="preserve">Ředitel odboru: </w:t>
                  </w:r>
                  <w:r>
                    <w:tab/>
                  </w:r>
                  <w:proofErr w:type="spellStart"/>
                  <w:r>
                    <w:t>Egor</w:t>
                  </w:r>
                  <w:proofErr w:type="spellEnd"/>
                  <w:r>
                    <w:t xml:space="preserve"> </w:t>
                  </w:r>
                  <w:proofErr w:type="spellStart"/>
                  <w:r>
                    <w:t>Sidorov</w:t>
                  </w:r>
                  <w:proofErr w:type="spellEnd"/>
                  <w:r>
                    <w:t xml:space="preserve">, </w:t>
                  </w:r>
                  <w:proofErr w:type="spellStart"/>
                  <w:r>
                    <w:t>Ph.D</w:t>
                  </w:r>
                  <w:proofErr w:type="spellEnd"/>
                  <w:r>
                    <w:t>.</w:t>
                  </w:r>
                </w:p>
                <w:p w:rsidR="00463B4B" w:rsidRDefault="00463B4B" w:rsidP="004F191F">
                  <w:pPr>
                    <w:pStyle w:val="TL-Identifikace-dole"/>
                  </w:pPr>
                  <w:r>
                    <w:t>Autorský tým: Ing. Drahomíra Dubská, CSc., Bc. Jiří Kamenický, Ing. Lukáš Kučera</w:t>
                  </w:r>
                </w:p>
                <w:p w:rsidR="00463B4B" w:rsidRDefault="00463B4B" w:rsidP="004F191F">
                  <w:pPr>
                    <w:pStyle w:val="TL-Identifikace-dole"/>
                  </w:pPr>
                  <w:r w:rsidRPr="006C5577">
                    <w:t xml:space="preserve">Kontaktní osoba: </w:t>
                  </w:r>
                  <w:r>
                    <w:t>Ing. Drahomíra Dubská, CSc.</w:t>
                  </w:r>
                </w:p>
                <w:p w:rsidR="00463B4B" w:rsidRDefault="00463B4B" w:rsidP="004F191F">
                  <w:pPr>
                    <w:pStyle w:val="TL-Identifikace-dole"/>
                  </w:pPr>
                  <w:r>
                    <w:t xml:space="preserve">                            e-mail</w:t>
                  </w:r>
                  <w:r w:rsidRPr="006C5577">
                    <w:t>:</w:t>
                  </w:r>
                  <w:r>
                    <w:t xml:space="preserve"> </w:t>
                  </w:r>
                  <w:hyperlink r:id="rId8" w:history="1">
                    <w:r w:rsidRPr="00D13EDC">
                      <w:rPr>
                        <w:rStyle w:val="Hypertextovodkaz"/>
                      </w:rPr>
                      <w:t>drahomira.dubska@czso.cz</w:t>
                    </w:r>
                  </w:hyperlink>
                  <w:r>
                    <w:t>, tel: 274 054 041</w:t>
                  </w:r>
                </w:p>
              </w:txbxContent>
            </v:textbox>
            <w10:wrap anchorx="page" anchory="page"/>
            <w10:anchorlock/>
          </v:shape>
        </w:pict>
      </w:r>
      <w:r w:rsidRPr="000A66C2">
        <w:rPr>
          <w:noProof/>
        </w:rPr>
        <w:pict>
          <v:shape id="Text Box 25" o:spid="_x0000_s1028" type="#_x0000_t202" style="position:absolute;margin-left:134.65pt;margin-top:358.2pt;width:394.6pt;height:155.5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" filled="f" stroked="f">
            <v:textbox inset="0,0,0,0">
              <w:txbxContent>
                <w:p w:rsidR="00463B4B" w:rsidRPr="00D31445" w:rsidRDefault="00463B4B" w:rsidP="004F191F">
                  <w:pPr>
                    <w:pStyle w:val="TL-identifikace-sted"/>
                  </w:pPr>
                  <w:r>
                    <w:t>Souhrnná data o České republice</w:t>
                  </w:r>
                </w:p>
                <w:p w:rsidR="00463B4B" w:rsidRPr="00473E94" w:rsidRDefault="00463B4B" w:rsidP="004F191F">
                  <w:pPr>
                    <w:pStyle w:val="TL-identifikace-sted"/>
                    <w:rPr>
                      <w:color w:val="000000"/>
                    </w:rPr>
                  </w:pPr>
                  <w:bookmarkStart w:id="0" w:name="_GoBack"/>
                  <w:r>
                    <w:rPr>
                      <w:color w:val="000000"/>
                    </w:rPr>
                    <w:t>Praha, 21. 12</w:t>
                  </w:r>
                  <w:r w:rsidRPr="00473E94">
                    <w:rPr>
                      <w:color w:val="000000"/>
                    </w:rPr>
                    <w:t>. 2015</w:t>
                  </w:r>
                </w:p>
                <w:bookmarkEnd w:id="0"/>
                <w:p w:rsidR="00463B4B" w:rsidRPr="002E73F2" w:rsidRDefault="00463B4B" w:rsidP="004F191F">
                  <w:pPr>
                    <w:pStyle w:val="TL-identifikace-sted"/>
                  </w:pPr>
                  <w:r w:rsidRPr="00D31445">
                    <w:t xml:space="preserve">Kód </w:t>
                  </w:r>
                  <w:r w:rsidRPr="002E73F2">
                    <w:t>publikace: 320193-15</w:t>
                  </w:r>
                </w:p>
                <w:p w:rsidR="00463B4B" w:rsidRPr="002E73F2" w:rsidRDefault="00463B4B" w:rsidP="004F191F">
                  <w:pPr>
                    <w:spacing w:after="200"/>
                    <w:rPr>
                      <w:sz w:val="24"/>
                    </w:rPr>
                  </w:pPr>
                  <w:r w:rsidRPr="002E73F2">
                    <w:rPr>
                      <w:sz w:val="24"/>
                    </w:rPr>
                    <w:t xml:space="preserve">Č. </w:t>
                  </w:r>
                  <w:proofErr w:type="spellStart"/>
                  <w:r w:rsidRPr="002E73F2">
                    <w:rPr>
                      <w:sz w:val="24"/>
                    </w:rPr>
                    <w:t>j</w:t>
                  </w:r>
                  <w:proofErr w:type="spellEnd"/>
                  <w:r w:rsidRPr="002E73F2">
                    <w:rPr>
                      <w:sz w:val="24"/>
                    </w:rPr>
                    <w:t>.:</w:t>
                  </w:r>
                  <w:r w:rsidR="002E73F2" w:rsidRPr="002E73F2">
                    <w:rPr>
                      <w:sz w:val="24"/>
                    </w:rPr>
                    <w:t xml:space="preserve"> 2498 / 2015 - 01</w:t>
                  </w:r>
                </w:p>
                <w:p w:rsidR="00463B4B" w:rsidRPr="00D31445" w:rsidRDefault="00463B4B" w:rsidP="004F191F">
                  <w:pPr>
                    <w:spacing w:after="200"/>
                    <w:rPr>
                      <w:sz w:val="24"/>
                    </w:rPr>
                  </w:pPr>
                  <w:r>
                    <w:rPr>
                      <w:sz w:val="24"/>
                    </w:rPr>
                    <w:t>Pořadové číslo v roce: 3</w:t>
                  </w:r>
                </w:p>
              </w:txbxContent>
            </v:textbox>
            <w10:wrap anchorx="page" anchory="page"/>
            <w10:anchorlock/>
          </v:shape>
        </w:pict>
      </w:r>
      <w:r w:rsidRPr="000A66C2">
        <w:rPr>
          <w:noProof/>
        </w:rPr>
        <w:pict>
          <v:shape id="_x0000_s1029" type="#_x0000_t202" style="position:absolute;margin-left:134.65pt;margin-top:116.25pt;width:371.15pt;height:13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Z4uw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" filled="f" stroked="f">
            <v:textbox style="mso-fit-shape-to-text:t" inset="0,0,0,0">
              <w:txbxContent>
                <w:p w:rsidR="00463B4B" w:rsidRPr="001C357A" w:rsidRDefault="00463B4B" w:rsidP="001C357A">
                  <w:pPr>
                    <w:pStyle w:val="Podtitul"/>
                    <w:rPr>
                      <w:sz w:val="56"/>
                      <w:szCs w:val="56"/>
                    </w:rPr>
                  </w:pPr>
                  <w:r>
                    <w:rPr>
                      <w:sz w:val="56"/>
                      <w:szCs w:val="56"/>
                    </w:rPr>
                    <w:t>VÝVOJ EKONOMIKY Č</w:t>
                  </w:r>
                  <w:r w:rsidRPr="001C357A">
                    <w:rPr>
                      <w:sz w:val="56"/>
                      <w:szCs w:val="56"/>
                    </w:rPr>
                    <w:t>E</w:t>
                  </w:r>
                  <w:r>
                    <w:rPr>
                      <w:sz w:val="56"/>
                      <w:szCs w:val="56"/>
                    </w:rPr>
                    <w:t>SKÉ REPUBLIKY V 1. AŽ 3. ČTVRTLETÍ 2015</w:t>
                  </w:r>
                </w:p>
                <w:p w:rsidR="00463B4B" w:rsidRPr="009B04D0" w:rsidRDefault="00463B4B" w:rsidP="004F191F">
                  <w:pPr>
                    <w:pStyle w:val="Podtitul"/>
                  </w:pPr>
                </w:p>
              </w:txbxContent>
            </v:textbox>
            <w10:wrap anchorx="page" anchory="page"/>
            <w10:anchorlock/>
          </v:shape>
        </w:pict>
      </w:r>
      <w:r w:rsidRPr="000A66C2">
        <w:rPr>
          <w:noProof/>
        </w:rPr>
        <w:pict>
          <v:group id="Group 24" o:spid="_x0000_s1030" style="position:absolute;margin-left:45.1pt;margin-top:36.8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">
            <o:lock v:ext="edit" aspectratio="t"/>
            <v:rect id="Rectangle 9" o:spid="_x0000_s1031" style="position:absolute;left:1215;top:901;width:676;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dfb4A&#10;AADaAAAADwAAAGRycy9kb3ducmV2LnhtbERPTYvCMBC9L/gfwgje1lQPrlTTIooguB62Cl7HZmyD&#10;zaQ00Xb/vTks7PHxvtf5YBvxos4bxwpm0wQEcem04UrB5bz/XILwAVlj45gU/JKHPBt9rDHVrucf&#10;ehWhEjGEfYoK6hDaVEpf1mTRT11LHLm76yyGCLtK6g77GG4bOU+ShbRoODbU2NK2pvJRPK0CI797&#10;W5yuO5c827O5ft2WPhyVmoyHzQpEoCH8i//cB60gbo1X4g2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BHX2+AAAA2gAAAA8AAAAAAAAAAAAAAAAAmAIAAGRycy9kb3ducmV2&#10;LnhtbFBLBQYAAAAABAAEAPUAAACDAwAAAAA=&#10;" fillcolor="#0071bc" stroked="f">
              <o:lock v:ext="edit" aspectratio="t"/>
            </v:rect>
            <v:rect id="Rectangle 10" o:spid="_x0000_s1032" style="position:absolute;left:567;top:1131;width:1324;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45sIA&#10;AADaAAAADwAAAGRycy9kb3ducmV2LnhtbESPT4vCMBTE74LfITzBm6Z68E/XKIuysLB6sApen83b&#10;NmzzUppou9/eCILHYWZ+w6w2na3EnRpvHCuYjBMQxLnThgsF59PXaAHCB2SNlWNS8E8eNut+b4Wp&#10;di0f6Z6FQkQI+xQVlCHUqZQ+L8miH7uaOHq/rrEYomwKqRtsI9xWcpokM2nRcFwosaZtSflfdrMK&#10;jNy3Njtcdi651SdzmV8XPvwoNRx0nx8gAnXhHX61v7WCJ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bjmwgAAANoAAAAPAAAAAAAAAAAAAAAAAJgCAABkcnMvZG93&#10;bnJldi54bWxQSwUGAAAAAAQABAD1AAAAhwMAAAAA&#10;" fillcolor="#0071bc" stroked="f">
              <o:lock v:ext="edit" aspectratio="t"/>
            </v:rect>
            <v:rect id="Rectangle 11" o:spid="_x0000_s1033" style="position:absolute;left:1288;top:1361;width:60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mR8QA&#10;AADbAAAADwAAAGRycy9kb3ducmV2LnhtbESPQWvCQBSE7wX/w/KE3pqNUtoQXUUshULbQxMh12f2&#10;mSxm34bsauK/dwuFHoeZ+YZZbyfbiSsN3jhWsEhSEMS104YbBYfy/SkD4QOyxs4xKbiRh+1m9rDG&#10;XLuRf+hahEZECPscFbQh9LmUvm7Jok9cTxy9kxsshiiHRuoBxwi3nVym6Yu0aDgutNjTvqX6XFys&#10;AiO/Rlt8V28uvfSlqV6PmQ+fSj3Op90KRKAp/If/2h9awfIZ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pkfEAAAA2wAAAA8AAAAAAAAAAAAAAAAAmAIAAGRycy9k&#10;b3ducmV2LnhtbFBLBQYAAAAABAAEAPUAAACJAwAAAAA=&#10;" fillcolor="#0071bc" stroked="f">
              <o:lock v:ext="edit" aspectratio="t"/>
            </v:rect>
            <v:shape id="Freeform 12" o:spid="_x0000_s1034" style="position:absolute;left:1969;top:1311;width:600;height:207;visibility:visible;mso-wrap-style:square;v-text-anchor:top" coordsize="120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cN8EA&#10;AADbAAAADwAAAGRycy9kb3ducmV2LnhtbESPQYvCMBSE78L+h/AEb5paUJauUYqs7IqnrfX+aN42&#10;xealNFHrvzeC4HGYmW+Y1WawrbhS7xvHCuazBARx5XTDtYLyuJt+gvABWWPrmBTcycNm/TFaYabd&#10;jf/oWoRaRAj7DBWYELpMSl8ZsuhnriOO3r/rLYYo+1rqHm8RbluZJslSWmw4LhjsaGuoOhcXq+A7&#10;J0N52W0L3renn9P5kDb7g1KT8ZB/gQg0hHf41f7VCtIFPL/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HDfBAAAA2wAAAA8AAAAAAAAAAAAAAAAAmAIAAGRycy9kb3du&#10;cmV2LnhtbFBLBQYAAAAABAAEAPUAAACGAw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aAMYA&#10;AADbAAAADwAAAGRycy9kb3ducmV2LnhtbESPQWvCQBSE7wX/w/KEXqRuVBBJ3YSiFKQqqGkPvT2y&#10;r0lo9m3Y3Zr033cFocdhZr5h1vlgWnEl5xvLCmbTBARxaXXDlYL34vVpBcIHZI2tZVLwSx7ybPSw&#10;xlTbns90vYRKRAj7FBXUIXSplL6syaCf2o44el/WGQxRukpqh32Em1bOk2QpDTYcF2rsaFNT+X35&#10;MQo2RfvhFod+f3aT7e7t81jJ4nhS6nE8vDyDCDSE//C9vdMK5ku4fY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haAMYAAADbAAAADwAAAAAAAAAAAAAAAACYAgAAZHJz&#10;L2Rvd25yZXYueG1sUEsFBgAAAAAEAAQA9QAAAIs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zGsMA&#10;AADbAAAADwAAAGRycy9kb3ducmV2LnhtbESPQWvCQBSE74L/YXmCF6mbetCSukpVot5KVXp+zT6T&#10;0OzbdHc18d+7BcHjMPPNMPNlZ2pxJecrywpexwkI4tzqigsFp2P28gbCB2SNtWVScCMPy0W/N8dU&#10;25a/6HoIhYgl7FNUUIbQpFL6vCSDfmwb4uidrTMYonSF1A7bWG5qOUmSqTRYcVwosaF1Sfnv4WIU&#10;TKbfP7tsX6w+6+3fyOnzJhu1G6WGg+7jHUSgLjzDD3qvIzeD/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gzGsMAAADbAAAADwAAAAAAAAAAAAAAAACYAgAAZHJzL2Rv&#10;d25yZXYueG1sUEsFBgAAAAAEAAQA9QAAAIgD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rsidP="00D31932">
      <w:pPr>
        <w:autoSpaceDE w:val="0"/>
        <w:autoSpaceDN w:val="0"/>
        <w:adjustRightInd w:val="0"/>
        <w:spacing w:line="240" w:lineRule="auto"/>
        <w:jc w:val="both"/>
        <w:rPr>
          <w:rFonts w:cs="Arial"/>
        </w:rPr>
      </w:pPr>
    </w:p>
    <w:p w:rsidR="00576A3E" w:rsidRDefault="000A66C2" w:rsidP="00D31932">
      <w:pPr>
        <w:autoSpaceDE w:val="0"/>
        <w:autoSpaceDN w:val="0"/>
        <w:adjustRightInd w:val="0"/>
        <w:spacing w:line="240" w:lineRule="auto"/>
        <w:jc w:val="both"/>
        <w:rPr>
          <w:rFonts w:cs="Arial"/>
          <w:lang w:eastAsia="ar-SA"/>
        </w:rPr>
      </w:pPr>
      <w:r w:rsidRPr="000A66C2">
        <w:rPr>
          <w:noProof/>
        </w:rPr>
        <w:pict>
          <v:line id="Přímá spojnice 33" o:spid="_x0000_s1037" style="position:absolute;left:0;text-align:left;z-index:251656704;visibility:visible;mso-wrap-distance-top:-3e-5mm;mso-wrap-distance-bottom:-3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Pr>
          <w:rFonts w:cs="Arial"/>
        </w:rPr>
        <w:br w:type="page"/>
      </w:r>
    </w:p>
    <w:p w:rsidR="00576A3E" w:rsidRDefault="00576A3E" w:rsidP="0060487F">
      <w:pPr>
        <w:pStyle w:val="Styl1"/>
        <w:rPr>
          <w:rFonts w:cs="Arial"/>
          <w:sz w:val="20"/>
        </w:rPr>
      </w:pPr>
    </w:p>
    <w:p w:rsidR="00576A3E" w:rsidRDefault="00576A3E" w:rsidP="0060487F">
      <w:pPr>
        <w:pStyle w:val="Styl1"/>
        <w:rPr>
          <w:rFonts w:cs="Arial"/>
          <w:sz w:val="20"/>
        </w:rPr>
      </w:pPr>
    </w:p>
    <w:p w:rsidR="00576A3E" w:rsidRDefault="00576A3E">
      <w:pPr>
        <w:spacing w:line="240" w:lineRule="auto"/>
        <w:rPr>
          <w:rFonts w:cs="Arial"/>
          <w:lang w:eastAsia="ar-SA"/>
        </w:rPr>
      </w:pPr>
    </w:p>
    <w:p w:rsidR="00576A3E" w:rsidRDefault="00576A3E" w:rsidP="0060487F">
      <w:pPr>
        <w:pStyle w:val="Styl1"/>
        <w:rPr>
          <w:rFonts w:cs="Arial"/>
          <w:sz w:val="20"/>
        </w:rPr>
      </w:pPr>
    </w:p>
    <w:p w:rsidR="00576A3E" w:rsidRPr="006404A7" w:rsidRDefault="000A66C2" w:rsidP="0060487F">
      <w:pPr>
        <w:pStyle w:val="Styl1"/>
        <w:rPr>
          <w:rFonts w:cs="Arial"/>
          <w:color w:val="7DB41E"/>
          <w:sz w:val="20"/>
          <w:szCs w:val="20"/>
        </w:rPr>
      </w:pPr>
      <w:r w:rsidRPr="000A66C2">
        <w:rPr>
          <w:noProof/>
          <w:lang w:eastAsia="cs-CZ"/>
        </w:rPr>
        <w:pict>
          <v:shape id="_x0000_s1038" type="#_x0000_t202" style="position:absolute;margin-left:56.7pt;margin-top:116.25pt;width:481.9pt;height:595.3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vQ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" filled="f" stroked="f">
            <v:textbox inset="0,0,0,0">
              <w:txbxContent>
                <w:p w:rsidR="00463B4B" w:rsidRPr="00D766EF" w:rsidRDefault="00463B4B" w:rsidP="00437C76">
                  <w:pPr>
                    <w:pStyle w:val="TL-Kontakty"/>
                  </w:pPr>
                  <w:r w:rsidRPr="00D766EF">
                    <w:rPr>
                      <w:caps w:val="0"/>
                    </w:rPr>
                    <w:t>KONTAKTY V</w:t>
                  </w:r>
                  <w:r w:rsidRPr="00D766EF">
                    <w:t> ÚSTŘEDÍ</w:t>
                  </w:r>
                </w:p>
                <w:p w:rsidR="00463B4B" w:rsidRPr="00EA4153" w:rsidRDefault="00463B4B"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463B4B" w:rsidRPr="00B27293" w:rsidRDefault="00463B4B"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463B4B" w:rsidRPr="00EA4153" w:rsidRDefault="00463B4B" w:rsidP="00BD366B">
                  <w:pPr>
                    <w:spacing w:after="80" w:line="240" w:lineRule="auto"/>
                    <w:rPr>
                      <w:b/>
                    </w:rPr>
                  </w:pPr>
                  <w:r w:rsidRPr="00100014">
                    <w:rPr>
                      <w:b/>
                    </w:rPr>
                    <w:t>Prodejna publikací ČSÚ</w:t>
                  </w:r>
                  <w:r>
                    <w:t xml:space="preserve"> | tel.: 274 052 361 | e-mail: prodejna@czso.cz</w:t>
                  </w:r>
                </w:p>
                <w:p w:rsidR="00463B4B" w:rsidRPr="00EA4153" w:rsidRDefault="00463B4B"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463B4B" w:rsidRPr="00EA4153" w:rsidRDefault="00463B4B" w:rsidP="00BD366B">
                  <w:pPr>
                    <w:spacing w:after="80" w:line="240" w:lineRule="auto"/>
                    <w:rPr>
                      <w:b/>
                    </w:rPr>
                  </w:pPr>
                  <w:r w:rsidRPr="00100014">
                    <w:rPr>
                      <w:b/>
                    </w:rPr>
                    <w:t>Ústřední statistická knihovna</w:t>
                  </w:r>
                  <w:r>
                    <w:t xml:space="preserve"> | tel.: 274 052 361 | e-mail: knihovna@czso.cz</w:t>
                  </w:r>
                </w:p>
                <w:p w:rsidR="00463B4B" w:rsidRDefault="00463B4B" w:rsidP="00BD366B">
                  <w:pPr>
                    <w:spacing w:line="240" w:lineRule="auto"/>
                  </w:pPr>
                </w:p>
                <w:p w:rsidR="00463B4B" w:rsidRPr="0071229A" w:rsidRDefault="00463B4B" w:rsidP="004F06F5">
                  <w:pPr>
                    <w:pStyle w:val="TL-Kontakty"/>
                  </w:pPr>
                  <w:r w:rsidRPr="0071229A">
                    <w:t>INFORMAČNÍ SLUŽBY V REGIONECH</w:t>
                  </w:r>
                </w:p>
                <w:p w:rsidR="00463B4B" w:rsidRDefault="00463B4B" w:rsidP="00BD366B">
                  <w:pPr>
                    <w:spacing w:line="240" w:lineRule="auto"/>
                  </w:pPr>
                  <w:r w:rsidRPr="00100014">
                    <w:rPr>
                      <w:b/>
                      <w:color w:val="0071BC"/>
                    </w:rPr>
                    <w:t>Hl. m. Praha</w:t>
                  </w:r>
                  <w:r>
                    <w:t xml:space="preserve"> | Na padesátém 81, 100 82 Praha 10 | tel.: 274 052 673, 274 054 223</w:t>
                  </w:r>
                </w:p>
                <w:p w:rsidR="00463B4B" w:rsidRPr="00100014" w:rsidRDefault="00463B4B" w:rsidP="00BD366B">
                  <w:pPr>
                    <w:spacing w:line="240" w:lineRule="auto"/>
                    <w:rPr>
                      <w:b/>
                    </w:rPr>
                  </w:pPr>
                  <w:r>
                    <w:t xml:space="preserve">e-mail: infoservispraha@czso.cz | </w:t>
                  </w:r>
                  <w:r w:rsidRPr="00100014">
                    <w:rPr>
                      <w:b/>
                    </w:rPr>
                    <w:t>www.praha.czso.cz</w:t>
                  </w:r>
                </w:p>
                <w:p w:rsidR="00463B4B" w:rsidRDefault="00463B4B" w:rsidP="00BD366B">
                  <w:pPr>
                    <w:spacing w:line="240" w:lineRule="auto"/>
                  </w:pPr>
                </w:p>
                <w:p w:rsidR="00463B4B" w:rsidRPr="00B27293" w:rsidRDefault="00463B4B"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463B4B" w:rsidRPr="00B27293" w:rsidRDefault="00463B4B" w:rsidP="00BD366B">
                  <w:pPr>
                    <w:spacing w:line="240" w:lineRule="auto"/>
                  </w:pPr>
                  <w:r>
                    <w:t xml:space="preserve">e-mail: infoservisstc@czso.cz | </w:t>
                  </w:r>
                  <w:r w:rsidRPr="00100014">
                    <w:rPr>
                      <w:b/>
                    </w:rPr>
                    <w:t>www.stredocesky.czso.cz</w:t>
                  </w:r>
                </w:p>
                <w:p w:rsidR="00463B4B" w:rsidRDefault="00463B4B" w:rsidP="00BD366B">
                  <w:pPr>
                    <w:spacing w:line="240" w:lineRule="auto"/>
                  </w:pPr>
                </w:p>
                <w:p w:rsidR="00463B4B" w:rsidRPr="00B27293" w:rsidRDefault="00463B4B" w:rsidP="00BD366B">
                  <w:pPr>
                    <w:spacing w:line="240" w:lineRule="auto"/>
                    <w:rPr>
                      <w:b/>
                      <w:color w:val="0071BC"/>
                    </w:rPr>
                  </w:pPr>
                  <w:r w:rsidRPr="00100014">
                    <w:rPr>
                      <w:b/>
                      <w:color w:val="0071BC"/>
                    </w:rPr>
                    <w:t>České Budějovice</w:t>
                  </w:r>
                  <w:r>
                    <w:t xml:space="preserve"> | Žižkova 1, 370 77 České Budějovice | tel.: 386 718 440</w:t>
                  </w:r>
                </w:p>
                <w:p w:rsidR="00463B4B" w:rsidRPr="00B27293" w:rsidRDefault="00463B4B" w:rsidP="00BD366B">
                  <w:pPr>
                    <w:spacing w:line="240" w:lineRule="auto"/>
                  </w:pPr>
                  <w:r>
                    <w:t xml:space="preserve">e-mail: infoserviscb@czso.cz | </w:t>
                  </w:r>
                  <w:r w:rsidRPr="00100014">
                    <w:rPr>
                      <w:b/>
                    </w:rPr>
                    <w:t>www.cbudejovice.czso.cz</w:t>
                  </w:r>
                </w:p>
                <w:p w:rsidR="00463B4B" w:rsidRDefault="00463B4B" w:rsidP="00BD366B">
                  <w:pPr>
                    <w:spacing w:line="240" w:lineRule="auto"/>
                  </w:pPr>
                </w:p>
                <w:p w:rsidR="00463B4B" w:rsidRPr="00B27293" w:rsidRDefault="00463B4B" w:rsidP="00BD366B">
                  <w:pPr>
                    <w:spacing w:line="240" w:lineRule="auto"/>
                    <w:rPr>
                      <w:b/>
                      <w:color w:val="0071BC"/>
                    </w:rPr>
                  </w:pPr>
                  <w:r w:rsidRPr="0071229A">
                    <w:rPr>
                      <w:b/>
                      <w:color w:val="0071BC"/>
                    </w:rPr>
                    <w:t>Plzeň</w:t>
                  </w:r>
                  <w:r>
                    <w:t xml:space="preserve"> | Slovanská alej 36, 326 64 Plzeň | tel.: 377 612 108, 377 612 249</w:t>
                  </w:r>
                </w:p>
                <w:p w:rsidR="00463B4B" w:rsidRPr="00B27293" w:rsidRDefault="00463B4B" w:rsidP="00BD366B">
                  <w:pPr>
                    <w:spacing w:line="240" w:lineRule="auto"/>
                  </w:pPr>
                  <w:r>
                    <w:t xml:space="preserve">e-mail: infoservisplzen@czso.cz | </w:t>
                  </w:r>
                  <w:r w:rsidRPr="0071229A">
                    <w:rPr>
                      <w:b/>
                    </w:rPr>
                    <w:t>www.plzen.czso.cz</w:t>
                  </w:r>
                </w:p>
                <w:p w:rsidR="00463B4B" w:rsidRDefault="00463B4B" w:rsidP="00BD366B">
                  <w:pPr>
                    <w:spacing w:line="240" w:lineRule="auto"/>
                  </w:pPr>
                </w:p>
                <w:p w:rsidR="00463B4B" w:rsidRPr="00B27293" w:rsidRDefault="00463B4B" w:rsidP="00BD366B">
                  <w:pPr>
                    <w:spacing w:line="240" w:lineRule="auto"/>
                    <w:rPr>
                      <w:b/>
                      <w:color w:val="0071BC"/>
                    </w:rPr>
                  </w:pPr>
                  <w:r w:rsidRPr="0071229A">
                    <w:rPr>
                      <w:b/>
                      <w:color w:val="0071BC"/>
                    </w:rPr>
                    <w:t>Karlovy Vary</w:t>
                  </w:r>
                  <w:r>
                    <w:t xml:space="preserve"> | Sportovní 28, 360 01 Karlovy Vary | tel.: 353 114 529, 353 114 525</w:t>
                  </w:r>
                </w:p>
                <w:p w:rsidR="00463B4B" w:rsidRDefault="00463B4B" w:rsidP="00BD366B">
                  <w:pPr>
                    <w:spacing w:line="240" w:lineRule="auto"/>
                    <w:rPr>
                      <w:b/>
                    </w:rPr>
                  </w:pPr>
                  <w:r>
                    <w:t xml:space="preserve">e-mail: infoserviskv@czso.cz | </w:t>
                  </w:r>
                  <w:r>
                    <w:rPr>
                      <w:b/>
                    </w:rPr>
                    <w:t>www.kvary.czso.cz</w:t>
                  </w:r>
                </w:p>
                <w:p w:rsidR="00463B4B" w:rsidRDefault="00463B4B" w:rsidP="00BD366B">
                  <w:pPr>
                    <w:spacing w:line="240" w:lineRule="auto"/>
                  </w:pPr>
                </w:p>
                <w:p w:rsidR="00463B4B" w:rsidRPr="00B27293" w:rsidRDefault="00463B4B" w:rsidP="00BD366B">
                  <w:pPr>
                    <w:spacing w:line="240" w:lineRule="auto"/>
                    <w:rPr>
                      <w:b/>
                      <w:bCs/>
                      <w:color w:val="0071BC"/>
                    </w:rPr>
                  </w:pPr>
                  <w:r w:rsidRPr="0071229A">
                    <w:rPr>
                      <w:b/>
                      <w:bCs/>
                      <w:color w:val="0071BC"/>
                    </w:rPr>
                    <w:t>Ústí nad Labem</w:t>
                  </w:r>
                  <w:r>
                    <w:t xml:space="preserve"> | </w:t>
                  </w:r>
                  <w:proofErr w:type="spellStart"/>
                  <w:r w:rsidRPr="0071229A">
                    <w:rPr>
                      <w:bCs/>
                    </w:rPr>
                    <w:t>Špálova</w:t>
                  </w:r>
                  <w:proofErr w:type="spellEnd"/>
                  <w:r w:rsidRPr="0071229A">
                    <w:rPr>
                      <w:bCs/>
                    </w:rPr>
                    <w:t xml:space="preserve"> 2684, 400 11 Ústí nad Labem</w:t>
                  </w:r>
                  <w:r>
                    <w:t xml:space="preserve"> | </w:t>
                  </w:r>
                  <w:r w:rsidRPr="0071229A">
                    <w:rPr>
                      <w:bCs/>
                    </w:rPr>
                    <w:t>tel.: 472 706 176, 472 706 121</w:t>
                  </w:r>
                </w:p>
                <w:p w:rsidR="00463B4B" w:rsidRPr="00B27293" w:rsidRDefault="00463B4B" w:rsidP="00BD366B">
                  <w:pPr>
                    <w:spacing w:line="240" w:lineRule="auto"/>
                    <w:rPr>
                      <w:bCs/>
                    </w:rPr>
                  </w:pPr>
                  <w:r w:rsidRPr="0071229A">
                    <w:rPr>
                      <w:bCs/>
                    </w:rPr>
                    <w:t>e-mail: infoservisul@czso.cz</w:t>
                  </w:r>
                  <w:r>
                    <w:t xml:space="preserve"> | </w:t>
                  </w:r>
                  <w:r w:rsidRPr="0071229A">
                    <w:rPr>
                      <w:b/>
                      <w:bCs/>
                    </w:rPr>
                    <w:t>www.ustinadlabem.czso.cz</w:t>
                  </w:r>
                </w:p>
                <w:p w:rsidR="00463B4B" w:rsidRPr="0071229A" w:rsidRDefault="00463B4B" w:rsidP="00BD366B">
                  <w:pPr>
                    <w:spacing w:line="240" w:lineRule="auto"/>
                    <w:rPr>
                      <w:bCs/>
                    </w:rPr>
                  </w:pPr>
                </w:p>
                <w:p w:rsidR="00463B4B" w:rsidRPr="00B27293" w:rsidRDefault="00463B4B"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463B4B" w:rsidRPr="00B27293" w:rsidRDefault="00463B4B" w:rsidP="00BD366B">
                  <w:pPr>
                    <w:spacing w:line="240" w:lineRule="auto"/>
                    <w:rPr>
                      <w:bCs/>
                    </w:rPr>
                  </w:pPr>
                  <w:r w:rsidRPr="0071229A">
                    <w:rPr>
                      <w:bCs/>
                    </w:rPr>
                    <w:t>e-mail: infoservislbc@czso.cz</w:t>
                  </w:r>
                  <w:r>
                    <w:t xml:space="preserve"> | </w:t>
                  </w:r>
                  <w:r w:rsidRPr="0071229A">
                    <w:rPr>
                      <w:b/>
                      <w:bCs/>
                    </w:rPr>
                    <w:t>www.liberec.czso.cz</w:t>
                  </w:r>
                </w:p>
                <w:p w:rsidR="00463B4B" w:rsidRPr="0071229A" w:rsidRDefault="00463B4B" w:rsidP="00BD366B">
                  <w:pPr>
                    <w:spacing w:line="240" w:lineRule="auto"/>
                    <w:rPr>
                      <w:bCs/>
                    </w:rPr>
                  </w:pPr>
                </w:p>
                <w:p w:rsidR="00463B4B" w:rsidRPr="00B27293" w:rsidRDefault="00463B4B"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463B4B" w:rsidRPr="00B27293" w:rsidRDefault="00463B4B" w:rsidP="00BD366B">
                  <w:pPr>
                    <w:spacing w:line="240" w:lineRule="auto"/>
                    <w:rPr>
                      <w:bCs/>
                    </w:rPr>
                  </w:pPr>
                  <w:r w:rsidRPr="0071229A">
                    <w:rPr>
                      <w:bCs/>
                    </w:rPr>
                    <w:t>e-mail: infoservishk@czso.cz</w:t>
                  </w:r>
                  <w:r>
                    <w:t xml:space="preserve"> | </w:t>
                  </w:r>
                  <w:r w:rsidRPr="0071229A">
                    <w:rPr>
                      <w:b/>
                      <w:bCs/>
                    </w:rPr>
                    <w:t>www.hradeckralove.czso.cz</w:t>
                  </w:r>
                </w:p>
                <w:p w:rsidR="00463B4B" w:rsidRPr="0071229A" w:rsidRDefault="00463B4B" w:rsidP="00BD366B">
                  <w:pPr>
                    <w:spacing w:line="240" w:lineRule="auto"/>
                    <w:rPr>
                      <w:bCs/>
                    </w:rPr>
                  </w:pPr>
                </w:p>
                <w:p w:rsidR="00463B4B" w:rsidRPr="00B27293" w:rsidRDefault="00463B4B"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463B4B" w:rsidRPr="00B27293" w:rsidRDefault="00463B4B" w:rsidP="00BD366B">
                  <w:pPr>
                    <w:spacing w:line="240" w:lineRule="auto"/>
                    <w:rPr>
                      <w:bCs/>
                    </w:rPr>
                  </w:pPr>
                  <w:r w:rsidRPr="0071229A">
                    <w:rPr>
                      <w:bCs/>
                    </w:rPr>
                    <w:t>e-mail: infoservispa@czso.cz</w:t>
                  </w:r>
                  <w:r>
                    <w:t xml:space="preserve"> | </w:t>
                  </w:r>
                  <w:r w:rsidRPr="0071229A">
                    <w:rPr>
                      <w:b/>
                      <w:bCs/>
                    </w:rPr>
                    <w:t>www.pardubice.czso.cz</w:t>
                  </w:r>
                </w:p>
                <w:p w:rsidR="00463B4B" w:rsidRPr="0071229A" w:rsidRDefault="00463B4B" w:rsidP="00BD366B">
                  <w:pPr>
                    <w:spacing w:line="240" w:lineRule="auto"/>
                    <w:rPr>
                      <w:bCs/>
                    </w:rPr>
                  </w:pPr>
                </w:p>
                <w:p w:rsidR="00463B4B" w:rsidRPr="00B27293" w:rsidRDefault="00463B4B"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463B4B" w:rsidRPr="00B27293" w:rsidRDefault="00463B4B" w:rsidP="00BD366B">
                  <w:pPr>
                    <w:spacing w:line="240" w:lineRule="auto"/>
                    <w:rPr>
                      <w:bCs/>
                    </w:rPr>
                  </w:pPr>
                  <w:r w:rsidRPr="0071229A">
                    <w:rPr>
                      <w:bCs/>
                    </w:rPr>
                    <w:t>e-mail: infoservisvys@czso.cz</w:t>
                  </w:r>
                  <w:r>
                    <w:t xml:space="preserve"> | </w:t>
                  </w:r>
                  <w:r w:rsidRPr="0071229A">
                    <w:rPr>
                      <w:b/>
                      <w:bCs/>
                    </w:rPr>
                    <w:t>www.jihlava.czso.cz</w:t>
                  </w:r>
                </w:p>
                <w:p w:rsidR="00463B4B" w:rsidRPr="0071229A" w:rsidRDefault="00463B4B" w:rsidP="00BD366B">
                  <w:pPr>
                    <w:spacing w:line="240" w:lineRule="auto"/>
                    <w:rPr>
                      <w:bCs/>
                    </w:rPr>
                  </w:pPr>
                </w:p>
                <w:p w:rsidR="00463B4B" w:rsidRPr="00B27293" w:rsidRDefault="00463B4B"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463B4B" w:rsidRPr="00B27293" w:rsidRDefault="00463B4B" w:rsidP="00BD366B">
                  <w:pPr>
                    <w:spacing w:line="240" w:lineRule="auto"/>
                    <w:rPr>
                      <w:bCs/>
                    </w:rPr>
                  </w:pPr>
                  <w:r w:rsidRPr="0071229A">
                    <w:rPr>
                      <w:bCs/>
                    </w:rPr>
                    <w:t>e-mail: infoservisbrno@czso.cz</w:t>
                  </w:r>
                  <w:r>
                    <w:t xml:space="preserve"> | </w:t>
                  </w:r>
                  <w:r w:rsidRPr="0071229A">
                    <w:rPr>
                      <w:b/>
                      <w:bCs/>
                    </w:rPr>
                    <w:t>www.brno.czso.cz</w:t>
                  </w:r>
                </w:p>
                <w:p w:rsidR="00463B4B" w:rsidRPr="0071229A" w:rsidRDefault="00463B4B" w:rsidP="00BD366B">
                  <w:pPr>
                    <w:spacing w:line="240" w:lineRule="auto"/>
                    <w:rPr>
                      <w:bCs/>
                    </w:rPr>
                  </w:pPr>
                </w:p>
                <w:p w:rsidR="00463B4B" w:rsidRPr="00B27293" w:rsidRDefault="00463B4B" w:rsidP="00BD366B">
                  <w:pPr>
                    <w:spacing w:line="240" w:lineRule="auto"/>
                    <w:rPr>
                      <w:b/>
                      <w:bCs/>
                    </w:rPr>
                  </w:pPr>
                  <w:r w:rsidRPr="0071229A">
                    <w:rPr>
                      <w:b/>
                      <w:bCs/>
                      <w:color w:val="0071BC"/>
                    </w:rPr>
                    <w:t>Olomouc</w:t>
                  </w:r>
                  <w:r>
                    <w:t xml:space="preserve"> | </w:t>
                  </w:r>
                  <w:proofErr w:type="spellStart"/>
                  <w:r w:rsidRPr="0071229A">
                    <w:rPr>
                      <w:bCs/>
                    </w:rPr>
                    <w:t>Jeremenkova</w:t>
                  </w:r>
                  <w:proofErr w:type="spellEnd"/>
                  <w:r w:rsidRPr="0071229A">
                    <w:rPr>
                      <w:bCs/>
                    </w:rPr>
                    <w:t xml:space="preserve"> 1142/42, 772 11 Olomouc</w:t>
                  </w:r>
                  <w:r>
                    <w:t xml:space="preserve"> | </w:t>
                  </w:r>
                  <w:r w:rsidRPr="0071229A">
                    <w:rPr>
                      <w:bCs/>
                    </w:rPr>
                    <w:t>tel.: 585 731 516, 585 731 509</w:t>
                  </w:r>
                </w:p>
                <w:p w:rsidR="00463B4B" w:rsidRPr="00B27293" w:rsidRDefault="00463B4B" w:rsidP="00BD366B">
                  <w:pPr>
                    <w:spacing w:line="240" w:lineRule="auto"/>
                    <w:rPr>
                      <w:bCs/>
                    </w:rPr>
                  </w:pPr>
                  <w:r w:rsidRPr="0071229A">
                    <w:rPr>
                      <w:bCs/>
                    </w:rPr>
                    <w:t>e-mail: infoservisolom@czso.cz</w:t>
                  </w:r>
                  <w:r>
                    <w:t xml:space="preserve"> | </w:t>
                  </w:r>
                  <w:r w:rsidRPr="0071229A">
                    <w:rPr>
                      <w:b/>
                      <w:bCs/>
                    </w:rPr>
                    <w:t>www.olomouc.czso.cz</w:t>
                  </w:r>
                </w:p>
                <w:p w:rsidR="00463B4B" w:rsidRPr="0071229A" w:rsidRDefault="00463B4B" w:rsidP="00BD366B">
                  <w:pPr>
                    <w:spacing w:line="240" w:lineRule="auto"/>
                    <w:rPr>
                      <w:bCs/>
                    </w:rPr>
                  </w:pPr>
                </w:p>
                <w:p w:rsidR="00463B4B" w:rsidRPr="00B27293" w:rsidRDefault="00463B4B" w:rsidP="00BD366B">
                  <w:pPr>
                    <w:spacing w:line="240" w:lineRule="auto"/>
                    <w:rPr>
                      <w:b/>
                      <w:bCs/>
                    </w:rPr>
                  </w:pPr>
                  <w:r w:rsidRPr="0071229A">
                    <w:rPr>
                      <w:b/>
                      <w:bCs/>
                      <w:color w:val="0071BC"/>
                    </w:rPr>
                    <w:t>Ostrava</w:t>
                  </w:r>
                  <w:r>
                    <w:t xml:space="preserve"> | </w:t>
                  </w:r>
                  <w:proofErr w:type="spellStart"/>
                  <w:r w:rsidRPr="0071229A">
                    <w:rPr>
                      <w:bCs/>
                    </w:rPr>
                    <w:t>Repinova</w:t>
                  </w:r>
                  <w:proofErr w:type="spellEnd"/>
                  <w:r w:rsidRPr="0071229A">
                    <w:rPr>
                      <w:bCs/>
                    </w:rPr>
                    <w:t xml:space="preserve"> 17, 702 03 Ostrava</w:t>
                  </w:r>
                  <w:r>
                    <w:t xml:space="preserve"> | </w:t>
                  </w:r>
                  <w:r w:rsidRPr="0071229A">
                    <w:rPr>
                      <w:bCs/>
                    </w:rPr>
                    <w:t>tel.: 595 131 230, 595 131 232</w:t>
                  </w:r>
                </w:p>
                <w:p w:rsidR="00463B4B" w:rsidRPr="00B27293" w:rsidRDefault="00463B4B" w:rsidP="00BD366B">
                  <w:pPr>
                    <w:spacing w:line="240" w:lineRule="auto"/>
                    <w:rPr>
                      <w:bCs/>
                    </w:rPr>
                  </w:pPr>
                  <w:r w:rsidRPr="0071229A">
                    <w:rPr>
                      <w:bCs/>
                    </w:rPr>
                    <w:t>e-mail: infoservis_ov@czso.cz</w:t>
                  </w:r>
                  <w:r>
                    <w:t xml:space="preserve"> | </w:t>
                  </w:r>
                  <w:r w:rsidRPr="0071229A">
                    <w:rPr>
                      <w:b/>
                      <w:bCs/>
                    </w:rPr>
                    <w:t>www.ostrava.czso.cz</w:t>
                  </w:r>
                </w:p>
                <w:p w:rsidR="00463B4B" w:rsidRPr="0071229A" w:rsidRDefault="00463B4B" w:rsidP="00BD366B">
                  <w:pPr>
                    <w:spacing w:line="240" w:lineRule="auto"/>
                    <w:rPr>
                      <w:bCs/>
                    </w:rPr>
                  </w:pPr>
                </w:p>
                <w:p w:rsidR="00463B4B" w:rsidRPr="0071229A" w:rsidRDefault="00463B4B"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463B4B" w:rsidRPr="00B27293" w:rsidRDefault="00463B4B" w:rsidP="00BD366B">
                  <w:pPr>
                    <w:spacing w:line="240" w:lineRule="auto"/>
                    <w:rPr>
                      <w:bCs/>
                    </w:rPr>
                  </w:pPr>
                  <w:r w:rsidRPr="0071229A">
                    <w:rPr>
                      <w:bCs/>
                    </w:rPr>
                    <w:t>e-mail: infoservis-zl@czso.cz</w:t>
                  </w:r>
                  <w:r>
                    <w:t xml:space="preserve"> | </w:t>
                  </w:r>
                  <w:r w:rsidRPr="0071229A">
                    <w:rPr>
                      <w:b/>
                      <w:bCs/>
                    </w:rPr>
                    <w:t>www.zlin.czso.cz</w:t>
                  </w:r>
                </w:p>
                <w:p w:rsidR="00463B4B" w:rsidRPr="00B27293" w:rsidRDefault="00463B4B" w:rsidP="00BD366B">
                  <w:pPr>
                    <w:spacing w:line="240" w:lineRule="auto"/>
                  </w:pPr>
                </w:p>
              </w:txbxContent>
            </v:textbox>
            <w10:wrap anchorx="page" anchory="page"/>
            <w10:anchorlock/>
          </v:shape>
        </w:pict>
      </w:r>
      <w:r w:rsidRPr="000A66C2">
        <w:rPr>
          <w:noProof/>
          <w:lang w:eastAsia="cs-CZ"/>
        </w:rPr>
        <w:pict>
          <v:shape id="_x0000_s1039" type="#_x0000_t202" style="position:absolute;margin-left:56.7pt;margin-top:56.7pt;width:481.85pt;height:33.1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" filled="f" stroked="f">
            <v:textbox style="mso-fit-shape-to-text:t" inset="0,0,0,0">
              <w:txbxContent>
                <w:p w:rsidR="00463B4B" w:rsidRPr="004F4353" w:rsidRDefault="00463B4B" w:rsidP="0060487F">
                  <w:pPr>
                    <w:rPr>
                      <w:b/>
                      <w:bCs/>
                      <w:sz w:val="24"/>
                    </w:rPr>
                  </w:pPr>
                  <w:r w:rsidRPr="004F4353">
                    <w:rPr>
                      <w:b/>
                      <w:color w:val="0071BC"/>
                      <w:sz w:val="24"/>
                    </w:rPr>
                    <w:t xml:space="preserve">Zajímají Vás nejnovější údaje o inflaci, HDP, obyvatelstvu, průměrných mzdách </w:t>
                  </w:r>
                  <w:r w:rsidRPr="004F4353">
                    <w:rPr>
                      <w:b/>
                      <w:color w:val="0071BC"/>
                      <w:sz w:val="24"/>
                    </w:rPr>
                    <w:br/>
                    <w:t xml:space="preserve">a mnohé další? Najdete je na stránkách ČSÚ na internetu: </w:t>
                  </w:r>
                  <w:r w:rsidRPr="004F4353">
                    <w:rPr>
                      <w:b/>
                      <w:bCs/>
                      <w:sz w:val="24"/>
                    </w:rPr>
                    <w:t>www.czso.cz</w:t>
                  </w:r>
                </w:p>
              </w:txbxContent>
            </v:textbox>
            <w10:wrap anchorx="page" anchory="page"/>
            <w10:anchorlock/>
          </v:shape>
        </w:pict>
      </w:r>
      <w:r w:rsidRPr="000A66C2">
        <w:rPr>
          <w:noProof/>
          <w:lang w:eastAsia="cs-CZ"/>
        </w:rPr>
        <w:pict>
          <v:shape id="_x0000_s1040" type="#_x0000_t202" style="position:absolute;margin-left:56.35pt;margin-top:747pt;width:481.9pt;height:28.3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U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UQmuhHzRpSPoGApQGCgRRh+YNRCfsWoh0GSYvVlRyTFqHnL4RWYqTMZcjI2k0F4AVdTrDEazZUe&#10;p9Ouk2xbA/L4zri4gZdSMSviUxaH9wXDwXI5DDIzfc7/rddp3C5/AQ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MkC&#10;oRS6AgAAtgUAAA4AAAAAAAAAAAAAAAAALgIAAGRycy9lMm9Eb2MueG1sUEsBAi0AFAAGAAgAAAAh&#10;AOVfJPrhAAAADgEAAA8AAAAAAAAAAAAAAAAAFAUAAGRycy9kb3ducmV2LnhtbFBLBQYAAAAABAAE&#10;APMAAAAiBgAAAAA=&#10;" filled="f" stroked="f">
            <v:textbox inset="0,0,0,0">
              <w:txbxContent>
                <w:p w:rsidR="00463B4B" w:rsidRPr="00841D9F" w:rsidRDefault="00463B4B" w:rsidP="004F06F5"/>
                <w:p w:rsidR="00463B4B" w:rsidRPr="00AF2852" w:rsidRDefault="00463B4B" w:rsidP="004F06F5">
                  <w:r w:rsidRPr="00841D9F">
                    <w:t>© Český sta</w:t>
                  </w:r>
                  <w:r>
                    <w:t>tistický úřad, Praha, 2015</w:t>
                  </w:r>
                </w:p>
              </w:txbxContent>
            </v:textbox>
            <w10:wrap anchorx="page" anchory="page"/>
            <w10:anchorlock/>
          </v:shape>
        </w:pict>
      </w:r>
    </w:p>
    <w:p w:rsidR="00576A3E" w:rsidRDefault="00576A3E" w:rsidP="00F04811">
      <w:pPr>
        <w:pStyle w:val="Zkladnodstavec"/>
        <w:spacing w:after="240"/>
        <w:rPr>
          <w:rFonts w:ascii="Arial" w:hAnsi="Arial" w:cs="Arial"/>
          <w:b/>
          <w:color w:val="A5007B"/>
          <w:sz w:val="32"/>
          <w:szCs w:val="32"/>
        </w:rPr>
      </w:pPr>
    </w:p>
    <w:p w:rsidR="00576A3E" w:rsidRPr="0060487F" w:rsidRDefault="00576A3E">
      <w:pPr>
        <w:rPr>
          <w:rFonts w:cs="Arial"/>
          <w:b/>
          <w:color w:val="A5007B"/>
          <w:sz w:val="32"/>
          <w:szCs w:val="32"/>
        </w:rPr>
        <w:sectPr w:rsidR="00576A3E" w:rsidRPr="0060487F" w:rsidSect="00D5626D">
          <w:pgSz w:w="11906" w:h="16838" w:code="9"/>
          <w:pgMar w:top="1134" w:right="1134" w:bottom="1418" w:left="1134" w:header="709" w:footer="709" w:gutter="0"/>
          <w:cols w:space="708"/>
          <w:titlePg/>
          <w:docGrid w:linePitch="360"/>
        </w:sectPr>
      </w:pPr>
    </w:p>
    <w:p w:rsidR="00576A3E" w:rsidRPr="001C357A" w:rsidRDefault="00576A3E" w:rsidP="008C6CB8">
      <w:pPr>
        <w:pStyle w:val="Nadpis1"/>
        <w:rPr>
          <w:rFonts w:cs="Arial"/>
          <w:color w:val="808080"/>
        </w:rPr>
      </w:pPr>
      <w:bookmarkStart w:id="1" w:name="_Toc412459447"/>
      <w:bookmarkStart w:id="2" w:name="_Toc437874293"/>
      <w:r w:rsidRPr="001C357A">
        <w:lastRenderedPageBreak/>
        <w:t>Obsah</w:t>
      </w:r>
      <w:bookmarkEnd w:id="1"/>
      <w:bookmarkEnd w:id="2"/>
    </w:p>
    <w:p w:rsidR="007805E1" w:rsidRDefault="000A66C2">
      <w:pPr>
        <w:pStyle w:val="Obsah1"/>
        <w:rPr>
          <w:rFonts w:asciiTheme="minorHAnsi" w:eastAsiaTheme="minorEastAsia" w:hAnsiTheme="minorHAnsi" w:cstheme="minorBidi"/>
          <w:b w:val="0"/>
          <w:sz w:val="22"/>
          <w:szCs w:val="22"/>
          <w:lang w:eastAsia="cs-CZ"/>
        </w:rPr>
      </w:pPr>
      <w:r w:rsidRPr="000A66C2">
        <w:fldChar w:fldCharType="begin"/>
      </w:r>
      <w:r w:rsidR="00576A3E" w:rsidRPr="00E921C7">
        <w:instrText xml:space="preserve"> TOC \o "1-3" \h \z \u </w:instrText>
      </w:r>
      <w:r w:rsidRPr="000A66C2">
        <w:fldChar w:fldCharType="separate"/>
      </w:r>
      <w:hyperlink w:anchor="_Toc437874293" w:history="1">
        <w:r w:rsidR="007805E1" w:rsidRPr="00DD184D">
          <w:rPr>
            <w:rStyle w:val="Hypertextovodkaz"/>
          </w:rPr>
          <w:t>Obsah</w:t>
        </w:r>
        <w:r w:rsidR="007805E1">
          <w:rPr>
            <w:rStyle w:val="Hypertextovodkaz"/>
          </w:rPr>
          <w:tab/>
        </w:r>
        <w:r w:rsidR="007805E1">
          <w:rPr>
            <w:webHidden/>
          </w:rPr>
          <w:tab/>
        </w:r>
        <w:r>
          <w:rPr>
            <w:webHidden/>
          </w:rPr>
          <w:fldChar w:fldCharType="begin"/>
        </w:r>
        <w:r w:rsidR="007805E1">
          <w:rPr>
            <w:webHidden/>
          </w:rPr>
          <w:instrText xml:space="preserve"> PAGEREF _Toc437874293 \h </w:instrText>
        </w:r>
        <w:r>
          <w:rPr>
            <w:webHidden/>
          </w:rPr>
        </w:r>
        <w:r>
          <w:rPr>
            <w:webHidden/>
          </w:rPr>
          <w:fldChar w:fldCharType="separate"/>
        </w:r>
        <w:r w:rsidR="007805E1">
          <w:rPr>
            <w:webHidden/>
          </w:rPr>
          <w:t>3</w:t>
        </w:r>
        <w:r>
          <w:rPr>
            <w:webHidden/>
          </w:rPr>
          <w:fldChar w:fldCharType="end"/>
        </w:r>
      </w:hyperlink>
    </w:p>
    <w:p w:rsidR="007805E1" w:rsidRDefault="000A66C2">
      <w:pPr>
        <w:pStyle w:val="Obsah1"/>
        <w:rPr>
          <w:rFonts w:asciiTheme="minorHAnsi" w:eastAsiaTheme="minorEastAsia" w:hAnsiTheme="minorHAnsi" w:cstheme="minorBidi"/>
          <w:b w:val="0"/>
          <w:sz w:val="22"/>
          <w:szCs w:val="22"/>
          <w:lang w:eastAsia="cs-CZ"/>
        </w:rPr>
      </w:pPr>
      <w:hyperlink w:anchor="_Toc437874294" w:history="1">
        <w:r w:rsidR="007805E1" w:rsidRPr="00DD184D">
          <w:rPr>
            <w:rStyle w:val="Hypertextovodkaz"/>
          </w:rPr>
          <w:t>1.</w:t>
        </w:r>
        <w:r w:rsidR="007805E1">
          <w:rPr>
            <w:rFonts w:asciiTheme="minorHAnsi" w:eastAsiaTheme="minorEastAsia" w:hAnsiTheme="minorHAnsi" w:cstheme="minorBidi"/>
            <w:b w:val="0"/>
            <w:sz w:val="22"/>
            <w:szCs w:val="22"/>
            <w:lang w:eastAsia="cs-CZ"/>
          </w:rPr>
          <w:tab/>
        </w:r>
        <w:r w:rsidR="007805E1" w:rsidRPr="00DD184D">
          <w:rPr>
            <w:rStyle w:val="Hypertextovodkaz"/>
          </w:rPr>
          <w:t>Shrnutí</w:t>
        </w:r>
        <w:r w:rsidR="007805E1">
          <w:rPr>
            <w:webHidden/>
          </w:rPr>
          <w:tab/>
        </w:r>
        <w:r>
          <w:rPr>
            <w:webHidden/>
          </w:rPr>
          <w:fldChar w:fldCharType="begin"/>
        </w:r>
        <w:r w:rsidR="007805E1">
          <w:rPr>
            <w:webHidden/>
          </w:rPr>
          <w:instrText xml:space="preserve"> PAGEREF _Toc437874294 \h </w:instrText>
        </w:r>
        <w:r>
          <w:rPr>
            <w:webHidden/>
          </w:rPr>
        </w:r>
        <w:r>
          <w:rPr>
            <w:webHidden/>
          </w:rPr>
          <w:fldChar w:fldCharType="separate"/>
        </w:r>
        <w:r w:rsidR="007805E1">
          <w:rPr>
            <w:webHidden/>
          </w:rPr>
          <w:t>4</w:t>
        </w:r>
        <w:r>
          <w:rPr>
            <w:webHidden/>
          </w:rPr>
          <w:fldChar w:fldCharType="end"/>
        </w:r>
      </w:hyperlink>
    </w:p>
    <w:p w:rsidR="007805E1" w:rsidRDefault="000A66C2">
      <w:pPr>
        <w:pStyle w:val="Obsah1"/>
        <w:rPr>
          <w:rFonts w:asciiTheme="minorHAnsi" w:eastAsiaTheme="minorEastAsia" w:hAnsiTheme="minorHAnsi" w:cstheme="minorBidi"/>
          <w:b w:val="0"/>
          <w:sz w:val="22"/>
          <w:szCs w:val="22"/>
          <w:lang w:eastAsia="cs-CZ"/>
        </w:rPr>
      </w:pPr>
      <w:hyperlink w:anchor="_Toc437874295" w:history="1">
        <w:r w:rsidR="007805E1" w:rsidRPr="00DD184D">
          <w:rPr>
            <w:rStyle w:val="Hypertextovodkaz"/>
          </w:rPr>
          <w:t>2.</w:t>
        </w:r>
        <w:r w:rsidR="007805E1">
          <w:rPr>
            <w:rFonts w:asciiTheme="minorHAnsi" w:eastAsiaTheme="minorEastAsia" w:hAnsiTheme="minorHAnsi" w:cstheme="minorBidi"/>
            <w:b w:val="0"/>
            <w:sz w:val="22"/>
            <w:szCs w:val="22"/>
            <w:lang w:eastAsia="cs-CZ"/>
          </w:rPr>
          <w:tab/>
        </w:r>
        <w:r w:rsidR="007805E1" w:rsidRPr="00DD184D">
          <w:rPr>
            <w:rStyle w:val="Hypertextovodkaz"/>
          </w:rPr>
          <w:t>Souhrnná výkonnost</w:t>
        </w:r>
        <w:r w:rsidR="007805E1">
          <w:rPr>
            <w:webHidden/>
          </w:rPr>
          <w:tab/>
        </w:r>
        <w:r>
          <w:rPr>
            <w:webHidden/>
          </w:rPr>
          <w:fldChar w:fldCharType="begin"/>
        </w:r>
        <w:r w:rsidR="007805E1">
          <w:rPr>
            <w:webHidden/>
          </w:rPr>
          <w:instrText xml:space="preserve"> PAGEREF _Toc437874295 \h </w:instrText>
        </w:r>
        <w:r>
          <w:rPr>
            <w:webHidden/>
          </w:rPr>
        </w:r>
        <w:r>
          <w:rPr>
            <w:webHidden/>
          </w:rPr>
          <w:fldChar w:fldCharType="separate"/>
        </w:r>
        <w:r w:rsidR="007805E1">
          <w:rPr>
            <w:webHidden/>
          </w:rPr>
          <w:t>5</w:t>
        </w:r>
        <w:r>
          <w:rPr>
            <w:webHidden/>
          </w:rPr>
          <w:fldChar w:fldCharType="end"/>
        </w:r>
      </w:hyperlink>
    </w:p>
    <w:p w:rsidR="007805E1" w:rsidRDefault="000A66C2">
      <w:pPr>
        <w:pStyle w:val="Obsah1"/>
        <w:rPr>
          <w:rFonts w:asciiTheme="minorHAnsi" w:eastAsiaTheme="minorEastAsia" w:hAnsiTheme="minorHAnsi" w:cstheme="minorBidi"/>
          <w:b w:val="0"/>
          <w:sz w:val="22"/>
          <w:szCs w:val="22"/>
          <w:lang w:eastAsia="cs-CZ"/>
        </w:rPr>
      </w:pPr>
      <w:hyperlink w:anchor="_Toc437874296" w:history="1">
        <w:r w:rsidR="007805E1" w:rsidRPr="00DD184D">
          <w:rPr>
            <w:rStyle w:val="Hypertextovodkaz"/>
          </w:rPr>
          <w:t>3.</w:t>
        </w:r>
        <w:r w:rsidR="007805E1">
          <w:rPr>
            <w:rFonts w:asciiTheme="minorHAnsi" w:eastAsiaTheme="minorEastAsia" w:hAnsiTheme="minorHAnsi" w:cstheme="minorBidi"/>
            <w:b w:val="0"/>
            <w:sz w:val="22"/>
            <w:szCs w:val="22"/>
            <w:lang w:eastAsia="cs-CZ"/>
          </w:rPr>
          <w:tab/>
        </w:r>
        <w:r w:rsidR="007805E1" w:rsidRPr="00DD184D">
          <w:rPr>
            <w:rStyle w:val="Hypertextovodkaz"/>
          </w:rPr>
          <w:t>Výkonnost odvětví</w:t>
        </w:r>
        <w:r w:rsidR="007805E1">
          <w:rPr>
            <w:webHidden/>
          </w:rPr>
          <w:tab/>
        </w:r>
        <w:r>
          <w:rPr>
            <w:webHidden/>
          </w:rPr>
          <w:fldChar w:fldCharType="begin"/>
        </w:r>
        <w:r w:rsidR="007805E1">
          <w:rPr>
            <w:webHidden/>
          </w:rPr>
          <w:instrText xml:space="preserve"> PAGEREF _Toc437874296 \h </w:instrText>
        </w:r>
        <w:r>
          <w:rPr>
            <w:webHidden/>
          </w:rPr>
        </w:r>
        <w:r>
          <w:rPr>
            <w:webHidden/>
          </w:rPr>
          <w:fldChar w:fldCharType="separate"/>
        </w:r>
        <w:r w:rsidR="007805E1">
          <w:rPr>
            <w:webHidden/>
          </w:rPr>
          <w:t>8</w:t>
        </w:r>
        <w:r>
          <w:rPr>
            <w:webHidden/>
          </w:rPr>
          <w:fldChar w:fldCharType="end"/>
        </w:r>
      </w:hyperlink>
    </w:p>
    <w:p w:rsidR="007805E1" w:rsidRDefault="000A66C2">
      <w:pPr>
        <w:pStyle w:val="Obsah1"/>
        <w:rPr>
          <w:rFonts w:asciiTheme="minorHAnsi" w:eastAsiaTheme="minorEastAsia" w:hAnsiTheme="minorHAnsi" w:cstheme="minorBidi"/>
          <w:b w:val="0"/>
          <w:sz w:val="22"/>
          <w:szCs w:val="22"/>
          <w:lang w:eastAsia="cs-CZ"/>
        </w:rPr>
      </w:pPr>
      <w:hyperlink w:anchor="_Toc437874297" w:history="1">
        <w:r w:rsidR="007805E1" w:rsidRPr="00DD184D">
          <w:rPr>
            <w:rStyle w:val="Hypertextovodkaz"/>
          </w:rPr>
          <w:t>4.</w:t>
        </w:r>
        <w:r w:rsidR="007805E1">
          <w:rPr>
            <w:rFonts w:asciiTheme="minorHAnsi" w:eastAsiaTheme="minorEastAsia" w:hAnsiTheme="minorHAnsi" w:cstheme="minorBidi"/>
            <w:b w:val="0"/>
            <w:sz w:val="22"/>
            <w:szCs w:val="22"/>
            <w:lang w:eastAsia="cs-CZ"/>
          </w:rPr>
          <w:tab/>
        </w:r>
        <w:r w:rsidR="007805E1" w:rsidRPr="00DD184D">
          <w:rPr>
            <w:rStyle w:val="Hypertextovodkaz"/>
          </w:rPr>
          <w:t>Vnější ekonomické vztahy</w:t>
        </w:r>
        <w:r w:rsidR="007805E1">
          <w:rPr>
            <w:webHidden/>
          </w:rPr>
          <w:tab/>
        </w:r>
        <w:r>
          <w:rPr>
            <w:webHidden/>
          </w:rPr>
          <w:fldChar w:fldCharType="begin"/>
        </w:r>
        <w:r w:rsidR="007805E1">
          <w:rPr>
            <w:webHidden/>
          </w:rPr>
          <w:instrText xml:space="preserve"> PAGEREF _Toc437874297 \h </w:instrText>
        </w:r>
        <w:r>
          <w:rPr>
            <w:webHidden/>
          </w:rPr>
        </w:r>
        <w:r>
          <w:rPr>
            <w:webHidden/>
          </w:rPr>
          <w:fldChar w:fldCharType="separate"/>
        </w:r>
        <w:r w:rsidR="007805E1">
          <w:rPr>
            <w:webHidden/>
          </w:rPr>
          <w:t>12</w:t>
        </w:r>
        <w:r>
          <w:rPr>
            <w:webHidden/>
          </w:rPr>
          <w:fldChar w:fldCharType="end"/>
        </w:r>
      </w:hyperlink>
    </w:p>
    <w:p w:rsidR="007805E1" w:rsidRDefault="000A66C2">
      <w:pPr>
        <w:pStyle w:val="Obsah1"/>
        <w:rPr>
          <w:rFonts w:asciiTheme="minorHAnsi" w:eastAsiaTheme="minorEastAsia" w:hAnsiTheme="minorHAnsi" w:cstheme="minorBidi"/>
          <w:b w:val="0"/>
          <w:sz w:val="22"/>
          <w:szCs w:val="22"/>
          <w:lang w:eastAsia="cs-CZ"/>
        </w:rPr>
      </w:pPr>
      <w:hyperlink w:anchor="_Toc437874298" w:history="1">
        <w:r w:rsidR="007805E1" w:rsidRPr="00DD184D">
          <w:rPr>
            <w:rStyle w:val="Hypertextovodkaz"/>
          </w:rPr>
          <w:t>5.</w:t>
        </w:r>
        <w:r w:rsidR="007805E1">
          <w:rPr>
            <w:rFonts w:asciiTheme="minorHAnsi" w:eastAsiaTheme="minorEastAsia" w:hAnsiTheme="minorHAnsi" w:cstheme="minorBidi"/>
            <w:b w:val="0"/>
            <w:sz w:val="22"/>
            <w:szCs w:val="22"/>
            <w:lang w:eastAsia="cs-CZ"/>
          </w:rPr>
          <w:tab/>
        </w:r>
        <w:r w:rsidR="007805E1" w:rsidRPr="00DD184D">
          <w:rPr>
            <w:rStyle w:val="Hypertextovodkaz"/>
          </w:rPr>
          <w:t>Ceny</w:t>
        </w:r>
        <w:r w:rsidR="007805E1">
          <w:rPr>
            <w:webHidden/>
          </w:rPr>
          <w:tab/>
        </w:r>
        <w:r>
          <w:rPr>
            <w:webHidden/>
          </w:rPr>
          <w:fldChar w:fldCharType="begin"/>
        </w:r>
        <w:r w:rsidR="007805E1">
          <w:rPr>
            <w:webHidden/>
          </w:rPr>
          <w:instrText xml:space="preserve"> PAGEREF _Toc437874298 \h </w:instrText>
        </w:r>
        <w:r>
          <w:rPr>
            <w:webHidden/>
          </w:rPr>
        </w:r>
        <w:r>
          <w:rPr>
            <w:webHidden/>
          </w:rPr>
          <w:fldChar w:fldCharType="separate"/>
        </w:r>
        <w:r w:rsidR="007805E1">
          <w:rPr>
            <w:webHidden/>
          </w:rPr>
          <w:t>14</w:t>
        </w:r>
        <w:r>
          <w:rPr>
            <w:webHidden/>
          </w:rPr>
          <w:fldChar w:fldCharType="end"/>
        </w:r>
      </w:hyperlink>
    </w:p>
    <w:p w:rsidR="007805E1" w:rsidRDefault="000A66C2">
      <w:pPr>
        <w:pStyle w:val="Obsah1"/>
        <w:rPr>
          <w:rFonts w:asciiTheme="minorHAnsi" w:eastAsiaTheme="minorEastAsia" w:hAnsiTheme="minorHAnsi" w:cstheme="minorBidi"/>
          <w:b w:val="0"/>
          <w:sz w:val="22"/>
          <w:szCs w:val="22"/>
          <w:lang w:eastAsia="cs-CZ"/>
        </w:rPr>
      </w:pPr>
      <w:hyperlink w:anchor="_Toc437874299" w:history="1">
        <w:r w:rsidR="007805E1" w:rsidRPr="00DD184D">
          <w:rPr>
            <w:rStyle w:val="Hypertextovodkaz"/>
          </w:rPr>
          <w:t>6.</w:t>
        </w:r>
        <w:r w:rsidR="007805E1">
          <w:rPr>
            <w:rFonts w:asciiTheme="minorHAnsi" w:eastAsiaTheme="minorEastAsia" w:hAnsiTheme="minorHAnsi" w:cstheme="minorBidi"/>
            <w:b w:val="0"/>
            <w:sz w:val="22"/>
            <w:szCs w:val="22"/>
            <w:lang w:eastAsia="cs-CZ"/>
          </w:rPr>
          <w:tab/>
        </w:r>
        <w:r w:rsidR="007805E1" w:rsidRPr="00DD184D">
          <w:rPr>
            <w:rStyle w:val="Hypertextovodkaz"/>
          </w:rPr>
          <w:t>Trh práce</w:t>
        </w:r>
        <w:r w:rsidR="007805E1">
          <w:rPr>
            <w:webHidden/>
          </w:rPr>
          <w:tab/>
        </w:r>
        <w:r>
          <w:rPr>
            <w:webHidden/>
          </w:rPr>
          <w:fldChar w:fldCharType="begin"/>
        </w:r>
        <w:r w:rsidR="007805E1">
          <w:rPr>
            <w:webHidden/>
          </w:rPr>
          <w:instrText xml:space="preserve"> PAGEREF _Toc437874299 \h </w:instrText>
        </w:r>
        <w:r>
          <w:rPr>
            <w:webHidden/>
          </w:rPr>
        </w:r>
        <w:r>
          <w:rPr>
            <w:webHidden/>
          </w:rPr>
          <w:fldChar w:fldCharType="separate"/>
        </w:r>
        <w:r w:rsidR="007805E1">
          <w:rPr>
            <w:webHidden/>
          </w:rPr>
          <w:t>17</w:t>
        </w:r>
        <w:r>
          <w:rPr>
            <w:webHidden/>
          </w:rPr>
          <w:fldChar w:fldCharType="end"/>
        </w:r>
      </w:hyperlink>
    </w:p>
    <w:p w:rsidR="007805E1" w:rsidRDefault="000A66C2">
      <w:pPr>
        <w:pStyle w:val="Obsah1"/>
        <w:rPr>
          <w:rFonts w:asciiTheme="minorHAnsi" w:eastAsiaTheme="minorEastAsia" w:hAnsiTheme="minorHAnsi" w:cstheme="minorBidi"/>
          <w:b w:val="0"/>
          <w:sz w:val="22"/>
          <w:szCs w:val="22"/>
          <w:lang w:eastAsia="cs-CZ"/>
        </w:rPr>
      </w:pPr>
      <w:hyperlink w:anchor="_Toc437874300" w:history="1">
        <w:r w:rsidR="007805E1" w:rsidRPr="00DD184D">
          <w:rPr>
            <w:rStyle w:val="Hypertextovodkaz"/>
          </w:rPr>
          <w:t>7.</w:t>
        </w:r>
        <w:r w:rsidR="007805E1">
          <w:rPr>
            <w:rFonts w:asciiTheme="minorHAnsi" w:eastAsiaTheme="minorEastAsia" w:hAnsiTheme="minorHAnsi" w:cstheme="minorBidi"/>
            <w:b w:val="0"/>
            <w:sz w:val="22"/>
            <w:szCs w:val="22"/>
            <w:lang w:eastAsia="cs-CZ"/>
          </w:rPr>
          <w:tab/>
        </w:r>
        <w:r w:rsidR="007805E1" w:rsidRPr="00DD184D">
          <w:rPr>
            <w:rStyle w:val="Hypertextovodkaz"/>
          </w:rPr>
          <w:t>Měnové podmínky</w:t>
        </w:r>
        <w:r w:rsidR="007805E1">
          <w:rPr>
            <w:webHidden/>
          </w:rPr>
          <w:tab/>
        </w:r>
        <w:r>
          <w:rPr>
            <w:webHidden/>
          </w:rPr>
          <w:fldChar w:fldCharType="begin"/>
        </w:r>
        <w:r w:rsidR="007805E1">
          <w:rPr>
            <w:webHidden/>
          </w:rPr>
          <w:instrText xml:space="preserve"> PAGEREF _Toc437874300 \h </w:instrText>
        </w:r>
        <w:r>
          <w:rPr>
            <w:webHidden/>
          </w:rPr>
        </w:r>
        <w:r>
          <w:rPr>
            <w:webHidden/>
          </w:rPr>
          <w:fldChar w:fldCharType="separate"/>
        </w:r>
        <w:r w:rsidR="007805E1">
          <w:rPr>
            <w:webHidden/>
          </w:rPr>
          <w:t>19</w:t>
        </w:r>
        <w:r>
          <w:rPr>
            <w:webHidden/>
          </w:rPr>
          <w:fldChar w:fldCharType="end"/>
        </w:r>
      </w:hyperlink>
    </w:p>
    <w:p w:rsidR="007805E1" w:rsidRDefault="000A66C2">
      <w:pPr>
        <w:pStyle w:val="Obsah1"/>
        <w:rPr>
          <w:rFonts w:asciiTheme="minorHAnsi" w:eastAsiaTheme="minorEastAsia" w:hAnsiTheme="minorHAnsi" w:cstheme="minorBidi"/>
          <w:b w:val="0"/>
          <w:sz w:val="22"/>
          <w:szCs w:val="22"/>
          <w:lang w:eastAsia="cs-CZ"/>
        </w:rPr>
      </w:pPr>
      <w:hyperlink w:anchor="_Toc437874301" w:history="1">
        <w:r w:rsidR="007805E1" w:rsidRPr="00DD184D">
          <w:rPr>
            <w:rStyle w:val="Hypertextovodkaz"/>
          </w:rPr>
          <w:t>8.</w:t>
        </w:r>
        <w:r w:rsidR="007805E1">
          <w:rPr>
            <w:rFonts w:asciiTheme="minorHAnsi" w:eastAsiaTheme="minorEastAsia" w:hAnsiTheme="minorHAnsi" w:cstheme="minorBidi"/>
            <w:b w:val="0"/>
            <w:sz w:val="22"/>
            <w:szCs w:val="22"/>
            <w:lang w:eastAsia="cs-CZ"/>
          </w:rPr>
          <w:tab/>
        </w:r>
        <w:r w:rsidR="007805E1" w:rsidRPr="00DD184D">
          <w:rPr>
            <w:rStyle w:val="Hypertextovodkaz"/>
          </w:rPr>
          <w:t>Státní rozpočet</w:t>
        </w:r>
        <w:r w:rsidR="007805E1">
          <w:rPr>
            <w:webHidden/>
          </w:rPr>
          <w:tab/>
        </w:r>
        <w:r>
          <w:rPr>
            <w:webHidden/>
          </w:rPr>
          <w:fldChar w:fldCharType="begin"/>
        </w:r>
        <w:r w:rsidR="007805E1">
          <w:rPr>
            <w:webHidden/>
          </w:rPr>
          <w:instrText xml:space="preserve"> PAGEREF _Toc437874301 \h </w:instrText>
        </w:r>
        <w:r>
          <w:rPr>
            <w:webHidden/>
          </w:rPr>
        </w:r>
        <w:r>
          <w:rPr>
            <w:webHidden/>
          </w:rPr>
          <w:fldChar w:fldCharType="separate"/>
        </w:r>
        <w:r w:rsidR="007805E1">
          <w:rPr>
            <w:webHidden/>
          </w:rPr>
          <w:t>21</w:t>
        </w:r>
        <w:r>
          <w:rPr>
            <w:webHidden/>
          </w:rPr>
          <w:fldChar w:fldCharType="end"/>
        </w:r>
      </w:hyperlink>
    </w:p>
    <w:p w:rsidR="00576A3E" w:rsidRDefault="000A66C2" w:rsidP="00E921C7">
      <w:pPr>
        <w:pStyle w:val="Nadpis1"/>
        <w:spacing w:before="200"/>
        <w:rPr>
          <w:rFonts w:cs="Arial"/>
          <w:sz w:val="20"/>
          <w:szCs w:val="20"/>
        </w:rPr>
      </w:pPr>
      <w:r w:rsidRPr="00E921C7">
        <w:fldChar w:fldCharType="end"/>
      </w:r>
    </w:p>
    <w:p w:rsidR="00576A3E" w:rsidRPr="008E6113" w:rsidRDefault="00576A3E" w:rsidP="003406BD">
      <w:pPr>
        <w:rPr>
          <w:rFonts w:cs="Arial"/>
          <w:b/>
        </w:rPr>
      </w:pPr>
      <w:r w:rsidRPr="008E6113">
        <w:rPr>
          <w:rFonts w:cs="Arial"/>
          <w:b/>
        </w:rPr>
        <w:t>Kapitoly zpracovali:</w:t>
      </w:r>
    </w:p>
    <w:p w:rsidR="00576A3E" w:rsidRDefault="00576A3E" w:rsidP="003406BD">
      <w:pPr>
        <w:rPr>
          <w:rFonts w:cs="Arial"/>
        </w:rPr>
      </w:pPr>
    </w:p>
    <w:p w:rsidR="00576A3E" w:rsidRDefault="00576A3E" w:rsidP="003406BD">
      <w:pPr>
        <w:spacing w:after="120" w:line="276" w:lineRule="auto"/>
        <w:rPr>
          <w:rFonts w:cs="Arial"/>
        </w:rPr>
      </w:pPr>
      <w:r>
        <w:rPr>
          <w:rFonts w:cs="Arial"/>
        </w:rPr>
        <w:t xml:space="preserve">Drahomíra Dubská </w:t>
      </w:r>
      <w:r>
        <w:rPr>
          <w:rFonts w:cs="Arial"/>
        </w:rPr>
        <w:tab/>
        <w:t xml:space="preserve">Shrnutí (kap. 1), </w:t>
      </w:r>
      <w:r w:rsidRPr="000F401E">
        <w:rPr>
          <w:rFonts w:cs="Arial"/>
        </w:rPr>
        <w:t>kap. 4</w:t>
      </w:r>
      <w:r w:rsidRPr="009551E2">
        <w:rPr>
          <w:rFonts w:cs="Arial"/>
        </w:rPr>
        <w:t>, kap. 7</w:t>
      </w:r>
    </w:p>
    <w:p w:rsidR="00576A3E" w:rsidRDefault="00576A3E" w:rsidP="003406BD">
      <w:pPr>
        <w:spacing w:after="120" w:line="276" w:lineRule="auto"/>
        <w:rPr>
          <w:rFonts w:cs="Arial"/>
        </w:rPr>
      </w:pPr>
      <w:r>
        <w:rPr>
          <w:rFonts w:cs="Arial"/>
        </w:rPr>
        <w:t>Jiří Kamenický</w:t>
      </w:r>
      <w:r>
        <w:rPr>
          <w:rFonts w:cs="Arial"/>
        </w:rPr>
        <w:tab/>
      </w:r>
      <w:r>
        <w:rPr>
          <w:rFonts w:cs="Arial"/>
        </w:rPr>
        <w:tab/>
        <w:t xml:space="preserve">Shrnutí (kap. 1), </w:t>
      </w:r>
      <w:r w:rsidRPr="00606B93">
        <w:rPr>
          <w:rFonts w:cs="Arial"/>
          <w:color w:val="000000"/>
        </w:rPr>
        <w:t>kap. 3,</w:t>
      </w:r>
      <w:r>
        <w:rPr>
          <w:rFonts w:cs="Arial"/>
        </w:rPr>
        <w:t xml:space="preserve"> kap. 8</w:t>
      </w:r>
    </w:p>
    <w:p w:rsidR="00576A3E" w:rsidRDefault="00576A3E" w:rsidP="003406BD">
      <w:pPr>
        <w:spacing w:after="120" w:line="276" w:lineRule="auto"/>
        <w:rPr>
          <w:rFonts w:cs="Arial"/>
        </w:rPr>
      </w:pPr>
      <w:r>
        <w:rPr>
          <w:rFonts w:cs="Arial"/>
        </w:rPr>
        <w:t>Lukáš Kučera</w:t>
      </w:r>
      <w:r>
        <w:rPr>
          <w:rFonts w:cs="Arial"/>
        </w:rPr>
        <w:tab/>
      </w:r>
      <w:r>
        <w:rPr>
          <w:rFonts w:cs="Arial"/>
        </w:rPr>
        <w:tab/>
        <w:t>Shrnutí (kap. 1), kap. 2, kap. 5</w:t>
      </w:r>
      <w:r w:rsidR="00793387">
        <w:rPr>
          <w:rFonts w:cs="Arial"/>
        </w:rPr>
        <w:t xml:space="preserve">, kap. </w:t>
      </w:r>
      <w:r w:rsidR="004A22FA">
        <w:rPr>
          <w:rFonts w:cs="Arial"/>
        </w:rPr>
        <w:t>6</w:t>
      </w:r>
      <w:r>
        <w:rPr>
          <w:rFonts w:cs="Arial"/>
        </w:rPr>
        <w:t xml:space="preserve">  </w:t>
      </w:r>
    </w:p>
    <w:p w:rsidR="00576A3E" w:rsidRDefault="00576A3E" w:rsidP="001E3DA4"/>
    <w:p w:rsidR="00576A3E" w:rsidRDefault="00576A3E" w:rsidP="001E3DA4">
      <w:pPr>
        <w:sectPr w:rsidR="00576A3E" w:rsidSect="00357449">
          <w:headerReference w:type="even" r:id="rId9"/>
          <w:headerReference w:type="default" r:id="rId10"/>
          <w:footerReference w:type="default" r:id="rId11"/>
          <w:pgSz w:w="11906" w:h="16838" w:code="9"/>
          <w:pgMar w:top="1134" w:right="1134" w:bottom="1418" w:left="1134" w:header="680" w:footer="680" w:gutter="0"/>
          <w:cols w:space="708"/>
          <w:docGrid w:linePitch="360"/>
        </w:sectPr>
      </w:pPr>
    </w:p>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BB0274" w:rsidRDefault="00BB0274"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576A3E" w:rsidRDefault="00576A3E" w:rsidP="001E3DA4"/>
    <w:p w:rsidR="000E153A" w:rsidRDefault="00576A3E" w:rsidP="000E153A">
      <w:pPr>
        <w:pStyle w:val="Nadpis1"/>
        <w:numPr>
          <w:ilvl w:val="0"/>
          <w:numId w:val="1"/>
        </w:numPr>
      </w:pPr>
      <w:bookmarkStart w:id="3" w:name="_Toc437874294"/>
      <w:r>
        <w:lastRenderedPageBreak/>
        <w:t>Shrnutí</w:t>
      </w:r>
      <w:bookmarkEnd w:id="3"/>
    </w:p>
    <w:p w:rsidR="00394D49" w:rsidRPr="002F7846" w:rsidRDefault="00394D49" w:rsidP="00394D49">
      <w:pPr>
        <w:pStyle w:val="Textpoznpodarou"/>
        <w:numPr>
          <w:ilvl w:val="0"/>
          <w:numId w:val="2"/>
        </w:numPr>
        <w:ind w:left="425" w:hanging="357"/>
        <w:jc w:val="both"/>
        <w:rPr>
          <w:lang w:eastAsia="ar-SA"/>
        </w:rPr>
      </w:pPr>
      <w:r w:rsidRPr="002F7846">
        <w:rPr>
          <w:lang w:eastAsia="ar-SA"/>
        </w:rPr>
        <w:t>Ekonomika ČR navázala ve 3. čtvrtletí 2015 na velmi dobré výsledky z první poloviny roku. K růstu hrubého domácího produktu (HDP)</w:t>
      </w:r>
      <w:r w:rsidRPr="002F7846">
        <w:rPr>
          <w:rStyle w:val="Znakapoznpodarou"/>
          <w:lang w:eastAsia="ar-SA"/>
        </w:rPr>
        <w:footnoteReference w:id="1"/>
      </w:r>
      <w:r w:rsidRPr="002F7846">
        <w:rPr>
          <w:lang w:eastAsia="ar-SA"/>
        </w:rPr>
        <w:t xml:space="preserve"> </w:t>
      </w:r>
      <w:r w:rsidR="004540FF">
        <w:rPr>
          <w:lang w:eastAsia="ar-SA"/>
        </w:rPr>
        <w:t xml:space="preserve">nadále </w:t>
      </w:r>
      <w:r w:rsidRPr="002F7846">
        <w:rPr>
          <w:lang w:eastAsia="ar-SA"/>
        </w:rPr>
        <w:t>přispívala uvolněná měnová a fiskální politika, významně se pod ním podepisovalo i</w:t>
      </w:r>
      <w:r w:rsidR="00030F14">
        <w:rPr>
          <w:lang w:eastAsia="ar-SA"/>
        </w:rPr>
        <w:t xml:space="preserve"> pokračující </w:t>
      </w:r>
      <w:r w:rsidRPr="002F7846">
        <w:rPr>
          <w:lang w:eastAsia="ar-SA"/>
        </w:rPr>
        <w:t>čerpání finančních prostředků z fondů EU a</w:t>
      </w:r>
      <w:r w:rsidR="00030F14">
        <w:rPr>
          <w:lang w:eastAsia="ar-SA"/>
        </w:rPr>
        <w:t xml:space="preserve"> přetrvávající</w:t>
      </w:r>
      <w:r w:rsidRPr="002F7846">
        <w:rPr>
          <w:lang w:eastAsia="ar-SA"/>
        </w:rPr>
        <w:t xml:space="preserve"> nízké ceny ropy. Příjmy domácností rostly a spolu s vyšší důvěrou v </w:t>
      </w:r>
      <w:r w:rsidRPr="00AC4FFB">
        <w:rPr>
          <w:lang w:eastAsia="ar-SA"/>
        </w:rPr>
        <w:t>ekonomiku se promítaly do nárůstu spotřeby. Na růstu ekonomiky se podílela i silná investiční aktivita firem, která byla umožněna jednak vysokými zisky z roku 2014, jednak zisky, kterých firmy dosahovaly v aktuálním roce. HDP stoupl ve 3. čtvrtletí meziročně o 4,5 % a v úhrnu za celých devět měsíců o 4,4 %. Proti Evropské unii (+1,8 %) narostl výkon české ekonomiky v prvních třech čtvrtletích více než dvojnásobně, v porovnání s dynamikou HDP v </w:t>
      </w:r>
      <w:proofErr w:type="spellStart"/>
      <w:r w:rsidRPr="00AC4FFB">
        <w:rPr>
          <w:lang w:eastAsia="ar-SA"/>
        </w:rPr>
        <w:t>eurozóně</w:t>
      </w:r>
      <w:proofErr w:type="spellEnd"/>
      <w:r w:rsidRPr="00AC4FFB">
        <w:rPr>
          <w:lang w:eastAsia="ar-SA"/>
        </w:rPr>
        <w:t xml:space="preserve"> (+1,5 %) byl tuzemský růst dokonce trojnásobný. Docházelo k </w:t>
      </w:r>
      <w:r w:rsidRPr="00A7658B">
        <w:rPr>
          <w:lang w:eastAsia="ar-SA"/>
        </w:rPr>
        <w:t>němu v </w:t>
      </w:r>
      <w:proofErr w:type="spellStart"/>
      <w:r w:rsidRPr="00A7658B">
        <w:rPr>
          <w:lang w:eastAsia="ar-SA"/>
        </w:rPr>
        <w:t>nízkoinflačním</w:t>
      </w:r>
      <w:proofErr w:type="spellEnd"/>
      <w:r w:rsidRPr="00A7658B">
        <w:rPr>
          <w:lang w:eastAsia="ar-SA"/>
        </w:rPr>
        <w:t xml:space="preserve"> prostředí a při rovnovážném vývoji státních financí a vnějších ekonomických vztahů.</w:t>
      </w:r>
    </w:p>
    <w:p w:rsidR="00394D49" w:rsidRPr="00100FC2" w:rsidRDefault="00394D49" w:rsidP="00394D49">
      <w:pPr>
        <w:pStyle w:val="Textpoznpodarou"/>
        <w:ind w:left="68"/>
        <w:jc w:val="both"/>
        <w:rPr>
          <w:sz w:val="14"/>
          <w:szCs w:val="14"/>
          <w:lang w:eastAsia="ar-SA"/>
        </w:rPr>
      </w:pPr>
    </w:p>
    <w:p w:rsidR="00394D49" w:rsidRPr="00100FC2" w:rsidRDefault="00394D49" w:rsidP="00394D49">
      <w:pPr>
        <w:pStyle w:val="Textpoznpodarou"/>
        <w:numPr>
          <w:ilvl w:val="0"/>
          <w:numId w:val="2"/>
        </w:numPr>
        <w:ind w:left="425" w:hanging="357"/>
        <w:jc w:val="both"/>
        <w:rPr>
          <w:lang w:eastAsia="ar-SA"/>
        </w:rPr>
      </w:pPr>
      <w:r w:rsidRPr="004540FF">
        <w:rPr>
          <w:spacing w:val="-2"/>
          <w:lang w:eastAsia="ar-SA"/>
        </w:rPr>
        <w:t>K meziročnímu růstu HDP</w:t>
      </w:r>
      <w:r w:rsidR="004540FF" w:rsidRPr="004540FF">
        <w:rPr>
          <w:spacing w:val="-2"/>
          <w:lang w:eastAsia="ar-SA"/>
        </w:rPr>
        <w:t xml:space="preserve"> v ČR</w:t>
      </w:r>
      <w:r w:rsidRPr="004540FF">
        <w:rPr>
          <w:spacing w:val="-2"/>
          <w:lang w:eastAsia="ar-SA"/>
        </w:rPr>
        <w:t xml:space="preserve"> ve 3. čtvrtletí 2015 přispěly pozitivně všechny složky poptávky</w:t>
      </w:r>
      <w:r w:rsidRPr="00100FC2">
        <w:rPr>
          <w:lang w:eastAsia="ar-SA"/>
        </w:rPr>
        <w:t xml:space="preserve"> s výjimkou </w:t>
      </w:r>
      <w:r w:rsidR="00C7591E">
        <w:rPr>
          <w:lang w:eastAsia="ar-SA"/>
        </w:rPr>
        <w:t>bilance</w:t>
      </w:r>
      <w:r w:rsidRPr="00100FC2">
        <w:rPr>
          <w:lang w:eastAsia="ar-SA"/>
        </w:rPr>
        <w:t xml:space="preserve"> zahraničního obchodu (-0,1 </w:t>
      </w:r>
      <w:proofErr w:type="spellStart"/>
      <w:r w:rsidRPr="00100FC2">
        <w:rPr>
          <w:lang w:eastAsia="ar-SA"/>
        </w:rPr>
        <w:t>pb</w:t>
      </w:r>
      <w:proofErr w:type="spellEnd"/>
      <w:r w:rsidRPr="00100FC2">
        <w:rPr>
          <w:lang w:eastAsia="ar-SA"/>
        </w:rPr>
        <w:t>.),</w:t>
      </w:r>
      <w:r w:rsidRPr="00100FC2">
        <w:rPr>
          <w:rStyle w:val="Znakapoznpodarou"/>
          <w:lang w:eastAsia="ar-SA"/>
        </w:rPr>
        <w:footnoteReference w:id="2"/>
      </w:r>
      <w:r w:rsidR="00C7591E">
        <w:rPr>
          <w:lang w:eastAsia="ar-SA"/>
        </w:rPr>
        <w:t xml:space="preserve"> která</w:t>
      </w:r>
      <w:r w:rsidRPr="00100FC2">
        <w:rPr>
          <w:lang w:eastAsia="ar-SA"/>
        </w:rPr>
        <w:t xml:space="preserve"> se zhoršil</w:t>
      </w:r>
      <w:r w:rsidR="00C7591E">
        <w:rPr>
          <w:lang w:eastAsia="ar-SA"/>
        </w:rPr>
        <w:t>a</w:t>
      </w:r>
      <w:r w:rsidRPr="00100FC2">
        <w:rPr>
          <w:lang w:eastAsia="ar-SA"/>
        </w:rPr>
        <w:t xml:space="preserve"> vlivem silného dovozu. Motorem růstu byla tvorba hrubého fixního kapitálu, tedy investice (+2,1 </w:t>
      </w:r>
      <w:proofErr w:type="spellStart"/>
      <w:r w:rsidRPr="00100FC2">
        <w:rPr>
          <w:lang w:eastAsia="ar-SA"/>
        </w:rPr>
        <w:t>pb</w:t>
      </w:r>
      <w:proofErr w:type="spellEnd"/>
      <w:r w:rsidRPr="00100FC2">
        <w:rPr>
          <w:lang w:eastAsia="ar-SA"/>
        </w:rPr>
        <w:t>.)</w:t>
      </w:r>
      <w:r>
        <w:rPr>
          <w:lang w:eastAsia="ar-SA"/>
        </w:rPr>
        <w:t>, v</w:t>
      </w:r>
      <w:r w:rsidRPr="00100FC2">
        <w:rPr>
          <w:lang w:eastAsia="ar-SA"/>
        </w:rPr>
        <w:t>ýdaje na konečnou spotřebu domácností přidaly +1,4 </w:t>
      </w:r>
      <w:proofErr w:type="spellStart"/>
      <w:r w:rsidRPr="00100FC2">
        <w:rPr>
          <w:lang w:eastAsia="ar-SA"/>
        </w:rPr>
        <w:t>pb</w:t>
      </w:r>
      <w:proofErr w:type="spellEnd"/>
      <w:r w:rsidRPr="00100FC2">
        <w:rPr>
          <w:lang w:eastAsia="ar-SA"/>
        </w:rPr>
        <w:t>. Mimořádný byl příspěvek výdajů vládních institucí</w:t>
      </w:r>
      <w:r>
        <w:rPr>
          <w:lang w:eastAsia="ar-SA"/>
        </w:rPr>
        <w:t>,</w:t>
      </w:r>
      <w:r w:rsidRPr="00100FC2">
        <w:rPr>
          <w:lang w:eastAsia="ar-SA"/>
        </w:rPr>
        <w:t xml:space="preserve"> činil +0,9 </w:t>
      </w:r>
      <w:proofErr w:type="spellStart"/>
      <w:r w:rsidRPr="00100FC2">
        <w:rPr>
          <w:lang w:eastAsia="ar-SA"/>
        </w:rPr>
        <w:t>pb</w:t>
      </w:r>
      <w:proofErr w:type="spellEnd"/>
      <w:r w:rsidRPr="00100FC2">
        <w:rPr>
          <w:lang w:eastAsia="ar-SA"/>
        </w:rPr>
        <w:t>. a byl nejvyšší za posledních</w:t>
      </w:r>
      <w:r w:rsidR="00F8373A">
        <w:rPr>
          <w:lang w:eastAsia="ar-SA"/>
        </w:rPr>
        <w:t xml:space="preserve"> necelých</w:t>
      </w:r>
      <w:r w:rsidRPr="00100FC2">
        <w:rPr>
          <w:lang w:eastAsia="ar-SA"/>
        </w:rPr>
        <w:t xml:space="preserve"> </w:t>
      </w:r>
      <w:r w:rsidR="00F8373A">
        <w:rPr>
          <w:lang w:eastAsia="ar-SA"/>
        </w:rPr>
        <w:t>dvanáct</w:t>
      </w:r>
      <w:r w:rsidRPr="00100FC2">
        <w:rPr>
          <w:lang w:eastAsia="ar-SA"/>
        </w:rPr>
        <w:t xml:space="preserve"> let. Změna zásob působila ve směru růstu ekonomiky také pozitivně, v porovnání s 1. a 2. čtvrtletím (+2,1 </w:t>
      </w:r>
      <w:proofErr w:type="spellStart"/>
      <w:r w:rsidRPr="00100FC2">
        <w:rPr>
          <w:lang w:eastAsia="ar-SA"/>
        </w:rPr>
        <w:t>pb</w:t>
      </w:r>
      <w:proofErr w:type="spellEnd"/>
      <w:r w:rsidRPr="00100FC2">
        <w:rPr>
          <w:lang w:eastAsia="ar-SA"/>
        </w:rPr>
        <w:t xml:space="preserve">. a +1,2 </w:t>
      </w:r>
      <w:proofErr w:type="spellStart"/>
      <w:r w:rsidRPr="00100FC2">
        <w:rPr>
          <w:lang w:eastAsia="ar-SA"/>
        </w:rPr>
        <w:t>pb</w:t>
      </w:r>
      <w:proofErr w:type="spellEnd"/>
      <w:r w:rsidRPr="00100FC2">
        <w:rPr>
          <w:lang w:eastAsia="ar-SA"/>
        </w:rPr>
        <w:t xml:space="preserve">.) byl její příspěvek ale výrazně menší (+0,3 </w:t>
      </w:r>
      <w:proofErr w:type="spellStart"/>
      <w:r w:rsidRPr="00100FC2">
        <w:rPr>
          <w:lang w:eastAsia="ar-SA"/>
        </w:rPr>
        <w:t>pb</w:t>
      </w:r>
      <w:proofErr w:type="spellEnd"/>
      <w:r w:rsidRPr="00100FC2">
        <w:rPr>
          <w:lang w:eastAsia="ar-SA"/>
        </w:rPr>
        <w:t>).</w:t>
      </w:r>
    </w:p>
    <w:p w:rsidR="00394D49" w:rsidRPr="00100FC2" w:rsidRDefault="00394D49" w:rsidP="00394D49">
      <w:pPr>
        <w:pStyle w:val="Odstavecseseznamem"/>
        <w:ind w:left="0"/>
        <w:rPr>
          <w:sz w:val="14"/>
          <w:szCs w:val="14"/>
          <w:lang w:eastAsia="ar-SA"/>
        </w:rPr>
      </w:pPr>
    </w:p>
    <w:p w:rsidR="00394D49" w:rsidRDefault="00394D49" w:rsidP="00394D49">
      <w:pPr>
        <w:pStyle w:val="Textpoznpodarou"/>
        <w:numPr>
          <w:ilvl w:val="0"/>
          <w:numId w:val="2"/>
        </w:numPr>
        <w:ind w:left="425" w:hanging="357"/>
        <w:jc w:val="both"/>
        <w:rPr>
          <w:spacing w:val="-2"/>
          <w:lang w:eastAsia="ar-SA"/>
        </w:rPr>
      </w:pPr>
      <w:r w:rsidRPr="00100FC2">
        <w:rPr>
          <w:spacing w:val="-2"/>
          <w:lang w:eastAsia="ar-SA"/>
        </w:rPr>
        <w:t>Souhrnná výkonnost odvětví podle hrubé přidané hodnoty stoupla ve 3. čtvrtletí 2015 meziročně o 4,3 % a tedy rychleji než za celé první tři kvartály (+3,9 %). Na jejím růstu participoval především zpracovatelský průmysl, jehož dynamika zrychlila</w:t>
      </w:r>
      <w:r>
        <w:rPr>
          <w:spacing w:val="-2"/>
          <w:lang w:eastAsia="ar-SA"/>
        </w:rPr>
        <w:t xml:space="preserve"> ve 3. čtvrtletí</w:t>
      </w:r>
      <w:r w:rsidRPr="00100FC2">
        <w:rPr>
          <w:spacing w:val="-2"/>
          <w:lang w:eastAsia="ar-SA"/>
        </w:rPr>
        <w:t xml:space="preserve"> na +7,9 % (přispěl +2,1 </w:t>
      </w:r>
      <w:proofErr w:type="spellStart"/>
      <w:r w:rsidRPr="00100FC2">
        <w:rPr>
          <w:spacing w:val="-2"/>
          <w:lang w:eastAsia="ar-SA"/>
        </w:rPr>
        <w:t>pb</w:t>
      </w:r>
      <w:proofErr w:type="spellEnd"/>
      <w:r w:rsidRPr="00100FC2">
        <w:rPr>
          <w:spacing w:val="-2"/>
          <w:lang w:eastAsia="ar-SA"/>
        </w:rPr>
        <w:t xml:space="preserve">.), stejnou silou se na zvýšení hrubé přidané hodnoty podílel i váhově významný sektor služeb. Stavebnictví přidalo díky dočerpávání peněz z fondů EU +0,3 </w:t>
      </w:r>
      <w:proofErr w:type="spellStart"/>
      <w:r w:rsidRPr="00100FC2">
        <w:rPr>
          <w:spacing w:val="-2"/>
          <w:lang w:eastAsia="ar-SA"/>
        </w:rPr>
        <w:t>pb</w:t>
      </w:r>
      <w:proofErr w:type="spellEnd"/>
      <w:r w:rsidRPr="00100FC2">
        <w:rPr>
          <w:spacing w:val="-2"/>
          <w:lang w:eastAsia="ar-SA"/>
        </w:rPr>
        <w:t>. Zemědělství</w:t>
      </w:r>
      <w:r w:rsidR="00BB0274">
        <w:rPr>
          <w:spacing w:val="-2"/>
          <w:lang w:eastAsia="ar-SA"/>
        </w:rPr>
        <w:t>,</w:t>
      </w:r>
      <w:r w:rsidRPr="00100FC2">
        <w:rPr>
          <w:spacing w:val="-2"/>
          <w:lang w:eastAsia="ar-SA"/>
        </w:rPr>
        <w:t xml:space="preserve"> lesnictví a rybářství k růstu české ekonomiky nepřispělo (0,0 </w:t>
      </w:r>
      <w:proofErr w:type="spellStart"/>
      <w:r w:rsidRPr="00100FC2">
        <w:rPr>
          <w:spacing w:val="-2"/>
          <w:lang w:eastAsia="ar-SA"/>
        </w:rPr>
        <w:t>pb</w:t>
      </w:r>
      <w:proofErr w:type="spellEnd"/>
      <w:r w:rsidRPr="00100FC2">
        <w:rPr>
          <w:spacing w:val="-2"/>
          <w:lang w:eastAsia="ar-SA"/>
        </w:rPr>
        <w:t xml:space="preserve">.), průmyslová odvětví mimo zpracovatelský průmysl ho mírně zpomalovala (-0,1 </w:t>
      </w:r>
      <w:proofErr w:type="spellStart"/>
      <w:r w:rsidRPr="00100FC2">
        <w:rPr>
          <w:spacing w:val="-2"/>
          <w:lang w:eastAsia="ar-SA"/>
        </w:rPr>
        <w:t>pb</w:t>
      </w:r>
      <w:proofErr w:type="spellEnd"/>
      <w:r w:rsidRPr="00100FC2">
        <w:rPr>
          <w:spacing w:val="-2"/>
          <w:lang w:eastAsia="ar-SA"/>
        </w:rPr>
        <w:t>.).</w:t>
      </w:r>
      <w:r w:rsidR="00226887">
        <w:rPr>
          <w:spacing w:val="-2"/>
          <w:lang w:eastAsia="ar-SA"/>
        </w:rPr>
        <w:t xml:space="preserve"> P</w:t>
      </w:r>
      <w:r w:rsidR="00186447">
        <w:rPr>
          <w:spacing w:val="-2"/>
          <w:lang w:eastAsia="ar-SA"/>
        </w:rPr>
        <w:t xml:space="preserve">říznivý vývoj </w:t>
      </w:r>
      <w:r w:rsidR="00186447" w:rsidRPr="00F541ED">
        <w:rPr>
          <w:spacing w:val="-4"/>
          <w:lang w:eastAsia="ar-SA"/>
        </w:rPr>
        <w:t xml:space="preserve">odvětví </w:t>
      </w:r>
      <w:r w:rsidR="00F541ED" w:rsidRPr="00226887">
        <w:rPr>
          <w:lang w:eastAsia="ar-SA"/>
        </w:rPr>
        <w:t>dokládaly také</w:t>
      </w:r>
      <w:r w:rsidR="000311C5" w:rsidRPr="00226887">
        <w:rPr>
          <w:lang w:eastAsia="ar-SA"/>
        </w:rPr>
        <w:t xml:space="preserve"> produkční statistiky</w:t>
      </w:r>
      <w:r w:rsidR="00491CFD" w:rsidRPr="00226887">
        <w:rPr>
          <w:lang w:eastAsia="ar-SA"/>
        </w:rPr>
        <w:t>. Nabídkovou stranu ekonomiky</w:t>
      </w:r>
      <w:r w:rsidR="00235330" w:rsidRPr="00226887">
        <w:rPr>
          <w:lang w:eastAsia="ar-SA"/>
        </w:rPr>
        <w:t xml:space="preserve"> posiloval i vývoj maloobchodních tržeb</w:t>
      </w:r>
      <w:r w:rsidR="00235330">
        <w:rPr>
          <w:spacing w:val="-2"/>
          <w:lang w:eastAsia="ar-SA"/>
        </w:rPr>
        <w:t>, které stouply za první tři čtvrtletí meziročně o 5,6 %</w:t>
      </w:r>
      <w:r w:rsidR="00C60EEF">
        <w:rPr>
          <w:spacing w:val="-2"/>
          <w:lang w:eastAsia="ar-SA"/>
        </w:rPr>
        <w:t xml:space="preserve"> reálně</w:t>
      </w:r>
      <w:r w:rsidR="00235330">
        <w:rPr>
          <w:spacing w:val="-2"/>
          <w:lang w:eastAsia="ar-SA"/>
        </w:rPr>
        <w:t>, tj. t</w:t>
      </w:r>
      <w:r w:rsidR="003A4088">
        <w:rPr>
          <w:spacing w:val="-2"/>
          <w:lang w:eastAsia="ar-SA"/>
        </w:rPr>
        <w:t>empem srovnatelným s rokem</w:t>
      </w:r>
      <w:r w:rsidR="00235330">
        <w:rPr>
          <w:spacing w:val="-2"/>
          <w:lang w:eastAsia="ar-SA"/>
        </w:rPr>
        <w:t xml:space="preserve"> 2008. </w:t>
      </w:r>
      <w:r w:rsidR="000311C5">
        <w:rPr>
          <w:spacing w:val="-2"/>
          <w:lang w:eastAsia="ar-SA"/>
        </w:rPr>
        <w:t xml:space="preserve">  </w:t>
      </w:r>
    </w:p>
    <w:p w:rsidR="0033536F" w:rsidRPr="0033536F" w:rsidRDefault="0033536F" w:rsidP="0033536F">
      <w:pPr>
        <w:pStyle w:val="Odstavecseseznamem"/>
        <w:ind w:left="0"/>
        <w:rPr>
          <w:spacing w:val="-2"/>
          <w:sz w:val="14"/>
          <w:szCs w:val="14"/>
          <w:lang w:eastAsia="ar-SA"/>
        </w:rPr>
      </w:pPr>
    </w:p>
    <w:p w:rsidR="0033536F" w:rsidRPr="0033536F" w:rsidRDefault="0033536F" w:rsidP="00394D49">
      <w:pPr>
        <w:pStyle w:val="Textpoznpodarou"/>
        <w:numPr>
          <w:ilvl w:val="0"/>
          <w:numId w:val="2"/>
        </w:numPr>
        <w:ind w:left="425" w:hanging="357"/>
        <w:jc w:val="both"/>
        <w:rPr>
          <w:spacing w:val="-4"/>
          <w:lang w:eastAsia="ar-SA"/>
        </w:rPr>
      </w:pPr>
      <w:r w:rsidRPr="0033536F">
        <w:rPr>
          <w:spacing w:val="-4"/>
        </w:rPr>
        <w:t>Vnější ekonomické vztahy ČR se díky vyššímu přebytku běžného účtu platební bilance opět zlepšily. Nepřispěl však k tomu obchod se zbožím a službami, ale výsledné saldo prvotních a druhotných důchodů. Silný příliv peněz ve formě portfoliových a ostatních investic kontrastoval s jen nepatrnou změnou přímých investic, kdy tuzemské subjekty investovaly v zahraničí meziročně více než zahraniční investoři v ČR.</w:t>
      </w:r>
    </w:p>
    <w:p w:rsidR="00394D49" w:rsidRPr="00100FC2" w:rsidRDefault="00394D49" w:rsidP="00394D49">
      <w:pPr>
        <w:pStyle w:val="Odstavecseseznamem"/>
        <w:ind w:left="0"/>
        <w:rPr>
          <w:sz w:val="14"/>
          <w:szCs w:val="14"/>
          <w:lang w:eastAsia="ar-SA"/>
        </w:rPr>
      </w:pPr>
    </w:p>
    <w:p w:rsidR="00394D49" w:rsidRPr="00C31DD8" w:rsidRDefault="00394D49" w:rsidP="00394D49">
      <w:pPr>
        <w:pStyle w:val="Textpoznpodarou"/>
        <w:numPr>
          <w:ilvl w:val="0"/>
          <w:numId w:val="2"/>
        </w:numPr>
        <w:ind w:left="425" w:hanging="357"/>
        <w:jc w:val="both"/>
        <w:rPr>
          <w:lang w:eastAsia="ar-SA"/>
        </w:rPr>
      </w:pPr>
      <w:r w:rsidRPr="00C31DD8">
        <w:rPr>
          <w:lang w:eastAsia="ar-SA"/>
        </w:rPr>
        <w:t xml:space="preserve">Celková cenová hladina se ve 3. čtvrtletí 2015 zvýšila v meziročním srovnání pouze o 0,4 %, narostla </w:t>
      </w:r>
      <w:r w:rsidRPr="00C31DD8">
        <w:rPr>
          <w:spacing w:val="-4"/>
          <w:lang w:eastAsia="ar-SA"/>
        </w:rPr>
        <w:t>nejpomaleji za poslední</w:t>
      </w:r>
      <w:r w:rsidR="00C31DD8" w:rsidRPr="00C31DD8">
        <w:rPr>
          <w:spacing w:val="-4"/>
          <w:lang w:eastAsia="ar-SA"/>
        </w:rPr>
        <w:t xml:space="preserve"> čtyři roky. D</w:t>
      </w:r>
      <w:r w:rsidRPr="00C31DD8">
        <w:rPr>
          <w:spacing w:val="-4"/>
          <w:lang w:eastAsia="ar-SA"/>
        </w:rPr>
        <w:t>ovoz deflace ze zahraničí snižoval ceny průmyslových výrobců (-</w:t>
      </w:r>
      <w:r w:rsidRPr="00C31DD8">
        <w:rPr>
          <w:lang w:eastAsia="ar-SA"/>
        </w:rPr>
        <w:t>3,6</w:t>
      </w:r>
      <w:r w:rsidR="00C31DD8">
        <w:rPr>
          <w:lang w:eastAsia="ar-SA"/>
        </w:rPr>
        <w:t> </w:t>
      </w:r>
      <w:r w:rsidRPr="00C31DD8">
        <w:rPr>
          <w:lang w:eastAsia="ar-SA"/>
        </w:rPr>
        <w:t>%), v deflaci setrvali i zemědělští výrobci a nově do ní zamířili producenti tržních služeb. Z výrobního řetězce se ceny navýšily pouze ve stavebnictví (+1,4 %). Růst spotřebitelských cen zpomalil na +0,4 %, v porovnání s Unií nicméně setrvala míra inflace v ČR nadprůměrná.</w:t>
      </w:r>
    </w:p>
    <w:p w:rsidR="00394D49" w:rsidRPr="00100FC2" w:rsidRDefault="00394D49" w:rsidP="00394D49">
      <w:pPr>
        <w:pStyle w:val="Odstavecseseznamem"/>
        <w:ind w:left="0"/>
        <w:rPr>
          <w:spacing w:val="-2"/>
          <w:sz w:val="14"/>
          <w:szCs w:val="14"/>
          <w:lang w:eastAsia="ar-SA"/>
        </w:rPr>
      </w:pPr>
    </w:p>
    <w:p w:rsidR="00394D49" w:rsidRPr="003119B6" w:rsidRDefault="00394D49" w:rsidP="00394D49">
      <w:pPr>
        <w:pStyle w:val="Textpoznpodarou"/>
        <w:numPr>
          <w:ilvl w:val="0"/>
          <w:numId w:val="2"/>
        </w:numPr>
        <w:ind w:left="425" w:hanging="357"/>
        <w:jc w:val="both"/>
        <w:rPr>
          <w:spacing w:val="-2"/>
          <w:lang w:eastAsia="ar-SA"/>
        </w:rPr>
      </w:pPr>
      <w:r w:rsidRPr="003119B6">
        <w:rPr>
          <w:spacing w:val="-2"/>
          <w:lang w:eastAsia="ar-SA"/>
        </w:rPr>
        <w:t>Růst ekonomiky zlepšoval situaci na trhu práce. Zaměstnanost</w:t>
      </w:r>
      <w:r w:rsidR="003119B6" w:rsidRPr="003119B6">
        <w:rPr>
          <w:spacing w:val="-2"/>
          <w:lang w:eastAsia="ar-SA"/>
        </w:rPr>
        <w:t xml:space="preserve"> v pojetí národních</w:t>
      </w:r>
      <w:r w:rsidR="00490247" w:rsidRPr="003119B6">
        <w:rPr>
          <w:spacing w:val="-2"/>
          <w:lang w:eastAsia="ar-SA"/>
        </w:rPr>
        <w:t xml:space="preserve"> účtů</w:t>
      </w:r>
      <w:r w:rsidRPr="003119B6">
        <w:rPr>
          <w:spacing w:val="-2"/>
          <w:lang w:eastAsia="ar-SA"/>
        </w:rPr>
        <w:t xml:space="preserve"> </w:t>
      </w:r>
      <w:r w:rsidR="001B4198" w:rsidRPr="003119B6">
        <w:rPr>
          <w:spacing w:val="-2"/>
          <w:lang w:eastAsia="ar-SA"/>
        </w:rPr>
        <w:t xml:space="preserve">byla </w:t>
      </w:r>
      <w:r w:rsidR="003119B6" w:rsidRPr="003119B6">
        <w:rPr>
          <w:spacing w:val="-2"/>
          <w:lang w:eastAsia="ar-SA"/>
        </w:rPr>
        <w:t>od začátku</w:t>
      </w:r>
      <w:r w:rsidR="00C05926" w:rsidRPr="003119B6">
        <w:rPr>
          <w:spacing w:val="-2"/>
          <w:lang w:eastAsia="ar-SA"/>
        </w:rPr>
        <w:t xml:space="preserve"> roku – stejně jako v samotném 3. čtvrtletí –</w:t>
      </w:r>
      <w:r w:rsidR="001B4198" w:rsidRPr="003119B6">
        <w:rPr>
          <w:spacing w:val="-2"/>
          <w:lang w:eastAsia="ar-SA"/>
        </w:rPr>
        <w:t xml:space="preserve"> meziročně vyšší o 1,2 %</w:t>
      </w:r>
      <w:r w:rsidR="00693EA1" w:rsidRPr="003119B6">
        <w:rPr>
          <w:spacing w:val="-2"/>
          <w:lang w:eastAsia="ar-SA"/>
        </w:rPr>
        <w:t>, přitom p</w:t>
      </w:r>
      <w:r w:rsidRPr="003119B6">
        <w:rPr>
          <w:spacing w:val="-2"/>
          <w:lang w:eastAsia="ar-SA"/>
        </w:rPr>
        <w:t xml:space="preserve">očty volných pracovních míst </w:t>
      </w:r>
      <w:r w:rsidR="0057703D" w:rsidRPr="003119B6">
        <w:rPr>
          <w:spacing w:val="-2"/>
          <w:lang w:eastAsia="ar-SA"/>
        </w:rPr>
        <w:t>vystoupaly</w:t>
      </w:r>
      <w:r w:rsidRPr="003119B6">
        <w:rPr>
          <w:spacing w:val="-2"/>
          <w:lang w:eastAsia="ar-SA"/>
        </w:rPr>
        <w:t xml:space="preserve"> v průběhu </w:t>
      </w:r>
      <w:r w:rsidR="00832493" w:rsidRPr="003119B6">
        <w:rPr>
          <w:spacing w:val="-2"/>
          <w:lang w:eastAsia="ar-SA"/>
        </w:rPr>
        <w:t>léta</w:t>
      </w:r>
      <w:r w:rsidRPr="003119B6">
        <w:rPr>
          <w:spacing w:val="-2"/>
          <w:lang w:eastAsia="ar-SA"/>
        </w:rPr>
        <w:t xml:space="preserve"> již nad 100 tisíc. Obecná míra nezaměstnanosti se v srpnu snížila na 4,9 % a setrvala na této</w:t>
      </w:r>
      <w:r w:rsidR="003119B6" w:rsidRPr="003119B6">
        <w:rPr>
          <w:spacing w:val="-2"/>
          <w:lang w:eastAsia="ar-SA"/>
        </w:rPr>
        <w:t xml:space="preserve"> úrovni i v září. </w:t>
      </w:r>
      <w:r w:rsidR="00C23371">
        <w:rPr>
          <w:spacing w:val="-2"/>
          <w:lang w:eastAsia="ar-SA"/>
        </w:rPr>
        <w:t>Strukturální n</w:t>
      </w:r>
      <w:r w:rsidRPr="003119B6">
        <w:rPr>
          <w:spacing w:val="-2"/>
          <w:lang w:eastAsia="ar-SA"/>
        </w:rPr>
        <w:t>erovnováha mezi poptávkou po zaměstnancích a nabídkou práce ze</w:t>
      </w:r>
      <w:r w:rsidR="003119B6">
        <w:rPr>
          <w:spacing w:val="-2"/>
          <w:lang w:eastAsia="ar-SA"/>
        </w:rPr>
        <w:t> </w:t>
      </w:r>
      <w:r w:rsidRPr="003119B6">
        <w:rPr>
          <w:spacing w:val="-4"/>
          <w:lang w:eastAsia="ar-SA"/>
        </w:rPr>
        <w:t>strany uchazečů se přenášela do nedostatku kvalifikovaných pracovníků a ústila ve zrychlující</w:t>
      </w:r>
      <w:r w:rsidRPr="003119B6">
        <w:rPr>
          <w:spacing w:val="-2"/>
          <w:lang w:eastAsia="ar-SA"/>
        </w:rPr>
        <w:t xml:space="preserve"> růst</w:t>
      </w:r>
      <w:r w:rsidR="005C562C" w:rsidRPr="003119B6">
        <w:rPr>
          <w:spacing w:val="-2"/>
          <w:lang w:eastAsia="ar-SA"/>
        </w:rPr>
        <w:t> </w:t>
      </w:r>
      <w:r w:rsidRPr="003119B6">
        <w:rPr>
          <w:spacing w:val="-2"/>
          <w:lang w:eastAsia="ar-SA"/>
        </w:rPr>
        <w:t>průměrné</w:t>
      </w:r>
      <w:r w:rsidR="003119B6">
        <w:rPr>
          <w:spacing w:val="-2"/>
          <w:lang w:eastAsia="ar-SA"/>
        </w:rPr>
        <w:t> </w:t>
      </w:r>
      <w:r w:rsidRPr="003119B6">
        <w:rPr>
          <w:spacing w:val="-6"/>
          <w:lang w:eastAsia="ar-SA"/>
        </w:rPr>
        <w:t>mzd</w:t>
      </w:r>
      <w:r w:rsidR="004540FF" w:rsidRPr="003119B6">
        <w:rPr>
          <w:spacing w:val="-6"/>
          <w:lang w:eastAsia="ar-SA"/>
        </w:rPr>
        <w:t>y. Ta v</w:t>
      </w:r>
      <w:r w:rsidRPr="003119B6">
        <w:rPr>
          <w:spacing w:val="-6"/>
          <w:lang w:eastAsia="ar-SA"/>
        </w:rPr>
        <w:t>e 3. čtvrt</w:t>
      </w:r>
      <w:r w:rsidR="0082733C" w:rsidRPr="003119B6">
        <w:rPr>
          <w:spacing w:val="-6"/>
          <w:lang w:eastAsia="ar-SA"/>
        </w:rPr>
        <w:t xml:space="preserve">letí stoupla </w:t>
      </w:r>
      <w:r w:rsidR="006F4619" w:rsidRPr="003119B6">
        <w:rPr>
          <w:spacing w:val="-6"/>
          <w:lang w:eastAsia="ar-SA"/>
        </w:rPr>
        <w:t xml:space="preserve">již </w:t>
      </w:r>
      <w:r w:rsidR="00693EA1" w:rsidRPr="003119B6">
        <w:rPr>
          <w:spacing w:val="-6"/>
          <w:lang w:eastAsia="ar-SA"/>
        </w:rPr>
        <w:t>o</w:t>
      </w:r>
      <w:r w:rsidR="00490247" w:rsidRPr="003119B6">
        <w:rPr>
          <w:spacing w:val="-6"/>
          <w:lang w:eastAsia="ar-SA"/>
        </w:rPr>
        <w:t> </w:t>
      </w:r>
      <w:r w:rsidR="00693EA1" w:rsidRPr="003119B6">
        <w:rPr>
          <w:spacing w:val="-6"/>
          <w:lang w:eastAsia="ar-SA"/>
        </w:rPr>
        <w:t>3,8</w:t>
      </w:r>
      <w:r w:rsidR="00490247" w:rsidRPr="003119B6">
        <w:rPr>
          <w:spacing w:val="-6"/>
          <w:lang w:eastAsia="ar-SA"/>
        </w:rPr>
        <w:t> </w:t>
      </w:r>
      <w:r w:rsidR="00693EA1" w:rsidRPr="003119B6">
        <w:rPr>
          <w:spacing w:val="-6"/>
          <w:lang w:eastAsia="ar-SA"/>
        </w:rPr>
        <w:t xml:space="preserve">% meziročně a </w:t>
      </w:r>
      <w:r w:rsidRPr="003119B6">
        <w:rPr>
          <w:spacing w:val="-6"/>
          <w:lang w:eastAsia="ar-SA"/>
        </w:rPr>
        <w:t>poprvé po čtyřech čtvrtletích ji „táhl</w:t>
      </w:r>
      <w:r w:rsidRPr="003119B6">
        <w:rPr>
          <w:spacing w:val="-2"/>
          <w:lang w:eastAsia="ar-SA"/>
        </w:rPr>
        <w:t xml:space="preserve">“ </w:t>
      </w:r>
      <w:r w:rsidRPr="003119B6">
        <w:rPr>
          <w:spacing w:val="-4"/>
          <w:lang w:eastAsia="ar-SA"/>
        </w:rPr>
        <w:t>vývoj</w:t>
      </w:r>
      <w:r w:rsidR="003119B6" w:rsidRPr="003119B6">
        <w:rPr>
          <w:spacing w:val="-4"/>
          <w:lang w:eastAsia="ar-SA"/>
        </w:rPr>
        <w:t xml:space="preserve"> </w:t>
      </w:r>
      <w:r w:rsidRPr="003119B6">
        <w:rPr>
          <w:spacing w:val="-4"/>
          <w:lang w:eastAsia="ar-SA"/>
        </w:rPr>
        <w:t>v podnikatelské sféře. V reálném vyjádření</w:t>
      </w:r>
      <w:r w:rsidR="008318FF" w:rsidRPr="003119B6">
        <w:rPr>
          <w:spacing w:val="-4"/>
          <w:lang w:eastAsia="ar-SA"/>
        </w:rPr>
        <w:t>,</w:t>
      </w:r>
      <w:r w:rsidR="00E4500E" w:rsidRPr="003119B6">
        <w:rPr>
          <w:spacing w:val="-4"/>
          <w:lang w:eastAsia="ar-SA"/>
        </w:rPr>
        <w:t xml:space="preserve"> </w:t>
      </w:r>
      <w:r w:rsidR="008318FF" w:rsidRPr="003119B6">
        <w:rPr>
          <w:spacing w:val="-4"/>
          <w:lang w:eastAsia="ar-SA"/>
        </w:rPr>
        <w:t xml:space="preserve">díky nízké míře inflace, </w:t>
      </w:r>
      <w:r w:rsidR="00E4500E" w:rsidRPr="003119B6">
        <w:rPr>
          <w:spacing w:val="-4"/>
          <w:lang w:eastAsia="ar-SA"/>
        </w:rPr>
        <w:t>narostla průměrná mzda</w:t>
      </w:r>
      <w:r w:rsidRPr="003119B6">
        <w:rPr>
          <w:spacing w:val="-4"/>
          <w:lang w:eastAsia="ar-SA"/>
        </w:rPr>
        <w:t xml:space="preserve"> o 3,4</w:t>
      </w:r>
      <w:r w:rsidRPr="003119B6">
        <w:rPr>
          <w:spacing w:val="-2"/>
          <w:lang w:eastAsia="ar-SA"/>
        </w:rPr>
        <w:t xml:space="preserve"> %.</w:t>
      </w:r>
    </w:p>
    <w:p w:rsidR="0033536F" w:rsidRPr="006D4497" w:rsidRDefault="0033536F" w:rsidP="0033536F">
      <w:pPr>
        <w:pStyle w:val="Odstavecseseznamem"/>
        <w:ind w:left="0"/>
        <w:rPr>
          <w:spacing w:val="-4"/>
          <w:sz w:val="14"/>
          <w:szCs w:val="14"/>
          <w:lang w:eastAsia="ar-SA"/>
        </w:rPr>
      </w:pPr>
    </w:p>
    <w:p w:rsidR="0033536F" w:rsidRPr="0033536F" w:rsidRDefault="0033536F" w:rsidP="00394D49">
      <w:pPr>
        <w:pStyle w:val="Textpoznpodarou"/>
        <w:numPr>
          <w:ilvl w:val="0"/>
          <w:numId w:val="2"/>
        </w:numPr>
        <w:ind w:left="425" w:hanging="357"/>
        <w:jc w:val="both"/>
        <w:rPr>
          <w:spacing w:val="-4"/>
          <w:lang w:eastAsia="ar-SA"/>
        </w:rPr>
      </w:pPr>
      <w:r>
        <w:t>Výr</w:t>
      </w:r>
      <w:r w:rsidRPr="005F27BC">
        <w:t>azný růst zásoby peněz v</w:t>
      </w:r>
      <w:r>
        <w:t> </w:t>
      </w:r>
      <w:r w:rsidRPr="005F27BC">
        <w:t>ekonomice</w:t>
      </w:r>
      <w:r>
        <w:t>, rychlejší než dynamika nominálního HDP, byl spojen s prudkým posilováním firemních depozit. Jen samotné vklady na běžných účtech s</w:t>
      </w:r>
      <w:r w:rsidR="00175351">
        <w:t>touply</w:t>
      </w:r>
      <w:r w:rsidR="00960077">
        <w:t xml:space="preserve"> koncem září</w:t>
      </w:r>
      <w:r w:rsidR="00175351">
        <w:t xml:space="preserve"> meziročně o 124 mld., tj.</w:t>
      </w:r>
      <w:r>
        <w:t xml:space="preserve"> více než v pololetí (+102 mld.). Snižující se úrokové sazby z úvěrů zřejmě začaly motivovat firmy k většímu používání cizích zdrojů, především dlouhodobých úvěrů. Velmi vysoké a dále rostoucí zisky firem zvětšují potenciál pro investice a mzdový růst.</w:t>
      </w:r>
    </w:p>
    <w:p w:rsidR="0033536F" w:rsidRPr="0033536F" w:rsidRDefault="0033536F" w:rsidP="006D4497">
      <w:pPr>
        <w:pStyle w:val="Odstavecseseznamem"/>
        <w:ind w:left="0"/>
        <w:rPr>
          <w:spacing w:val="-4"/>
          <w:sz w:val="10"/>
          <w:szCs w:val="10"/>
          <w:lang w:eastAsia="ar-SA"/>
        </w:rPr>
      </w:pPr>
    </w:p>
    <w:p w:rsidR="0033536F" w:rsidRPr="005C562C" w:rsidRDefault="0033536F" w:rsidP="00394D49">
      <w:pPr>
        <w:pStyle w:val="Textpoznpodarou"/>
        <w:numPr>
          <w:ilvl w:val="0"/>
          <w:numId w:val="2"/>
        </w:numPr>
        <w:ind w:left="425" w:hanging="357"/>
        <w:jc w:val="both"/>
        <w:rPr>
          <w:spacing w:val="-4"/>
          <w:lang w:eastAsia="ar-SA"/>
        </w:rPr>
      </w:pPr>
      <w:r>
        <w:rPr>
          <w:spacing w:val="-4"/>
          <w:lang w:eastAsia="ar-SA"/>
        </w:rPr>
        <w:t>Ne</w:t>
      </w:r>
      <w:r w:rsidR="00962D2E">
        <w:rPr>
          <w:spacing w:val="-4"/>
          <w:lang w:eastAsia="ar-SA"/>
        </w:rPr>
        <w:t>j</w:t>
      </w:r>
      <w:r>
        <w:rPr>
          <w:spacing w:val="-4"/>
          <w:lang w:eastAsia="ar-SA"/>
        </w:rPr>
        <w:t>příznivější výsledek hospodaření státu od roku 2008, tj. d</w:t>
      </w:r>
      <w:r w:rsidR="00C71EC4">
        <w:rPr>
          <w:spacing w:val="-4"/>
          <w:lang w:eastAsia="ar-SA"/>
        </w:rPr>
        <w:t>eficit ve výši 2,8 mld. korun za tři čtvrtletí (představující pouhých 0,1 % HDP)</w:t>
      </w:r>
      <w:r>
        <w:rPr>
          <w:spacing w:val="-4"/>
          <w:lang w:eastAsia="ar-SA"/>
        </w:rPr>
        <w:t xml:space="preserve"> byl ovlivněn</w:t>
      </w:r>
      <w:r w:rsidR="004C1AD6">
        <w:rPr>
          <w:spacing w:val="-4"/>
          <w:lang w:eastAsia="ar-SA"/>
        </w:rPr>
        <w:t xml:space="preserve"> </w:t>
      </w:r>
      <w:r>
        <w:rPr>
          <w:spacing w:val="-4"/>
          <w:lang w:eastAsia="ar-SA"/>
        </w:rPr>
        <w:t>vysokou dynam</w:t>
      </w:r>
      <w:r w:rsidR="004C1AD6">
        <w:rPr>
          <w:spacing w:val="-4"/>
          <w:lang w:eastAsia="ar-SA"/>
        </w:rPr>
        <w:t xml:space="preserve">ikou celkových příjmů (+9,9 %) </w:t>
      </w:r>
      <w:r>
        <w:rPr>
          <w:spacing w:val="-4"/>
          <w:lang w:eastAsia="ar-SA"/>
        </w:rPr>
        <w:t>proti</w:t>
      </w:r>
      <w:r w:rsidR="00DC226A">
        <w:rPr>
          <w:spacing w:val="-4"/>
          <w:lang w:eastAsia="ar-SA"/>
        </w:rPr>
        <w:t xml:space="preserve"> tempu celkových výdajů</w:t>
      </w:r>
      <w:r>
        <w:rPr>
          <w:spacing w:val="-4"/>
          <w:lang w:eastAsia="ar-SA"/>
        </w:rPr>
        <w:t xml:space="preserve"> (+5,9 %). Příjmy</w:t>
      </w:r>
      <w:r w:rsidR="004C1AD6">
        <w:rPr>
          <w:spacing w:val="-4"/>
          <w:lang w:eastAsia="ar-SA"/>
        </w:rPr>
        <w:t xml:space="preserve"> zvyšovaly</w:t>
      </w:r>
      <w:r>
        <w:rPr>
          <w:spacing w:val="-4"/>
          <w:lang w:eastAsia="ar-SA"/>
        </w:rPr>
        <w:t xml:space="preserve"> v největší míře pen</w:t>
      </w:r>
      <w:r w:rsidR="004C1AD6">
        <w:rPr>
          <w:spacing w:val="-4"/>
          <w:lang w:eastAsia="ar-SA"/>
        </w:rPr>
        <w:t>íze</w:t>
      </w:r>
      <w:r>
        <w:rPr>
          <w:spacing w:val="-4"/>
          <w:lang w:eastAsia="ar-SA"/>
        </w:rPr>
        <w:t xml:space="preserve"> z fondů EU (52,7 mld. korun).</w:t>
      </w:r>
      <w:r w:rsidR="00DC226A">
        <w:rPr>
          <w:spacing w:val="-4"/>
          <w:lang w:eastAsia="ar-SA"/>
        </w:rPr>
        <w:t xml:space="preserve"> </w:t>
      </w:r>
      <w:r w:rsidR="0087594C">
        <w:rPr>
          <w:spacing w:val="-4"/>
          <w:lang w:eastAsia="ar-SA"/>
        </w:rPr>
        <w:t>Na</w:t>
      </w:r>
      <w:r w:rsidR="00C71EC4">
        <w:rPr>
          <w:spacing w:val="-4"/>
          <w:lang w:eastAsia="ar-SA"/>
        </w:rPr>
        <w:t> </w:t>
      </w:r>
      <w:r w:rsidR="0087594C">
        <w:rPr>
          <w:spacing w:val="-4"/>
          <w:lang w:eastAsia="ar-SA"/>
        </w:rPr>
        <w:t>r</w:t>
      </w:r>
      <w:r>
        <w:rPr>
          <w:spacing w:val="-4"/>
          <w:lang w:eastAsia="ar-SA"/>
        </w:rPr>
        <w:t xml:space="preserve">ůst celkových výdajů </w:t>
      </w:r>
      <w:r w:rsidR="00DC226A">
        <w:rPr>
          <w:spacing w:val="-4"/>
          <w:lang w:eastAsia="ar-SA"/>
        </w:rPr>
        <w:t>pů</w:t>
      </w:r>
      <w:r>
        <w:rPr>
          <w:spacing w:val="-4"/>
          <w:lang w:eastAsia="ar-SA"/>
        </w:rPr>
        <w:t>sob</w:t>
      </w:r>
      <w:r w:rsidR="0087594C">
        <w:rPr>
          <w:spacing w:val="-4"/>
          <w:lang w:eastAsia="ar-SA"/>
        </w:rPr>
        <w:t>il</w:t>
      </w:r>
      <w:r w:rsidR="00DC226A">
        <w:rPr>
          <w:spacing w:val="-4"/>
          <w:lang w:eastAsia="ar-SA"/>
        </w:rPr>
        <w:t xml:space="preserve"> </w:t>
      </w:r>
      <w:r>
        <w:rPr>
          <w:spacing w:val="-4"/>
          <w:lang w:eastAsia="ar-SA"/>
        </w:rPr>
        <w:t>výrazný přírůst</w:t>
      </w:r>
      <w:r w:rsidR="0087594C">
        <w:rPr>
          <w:spacing w:val="-4"/>
          <w:lang w:eastAsia="ar-SA"/>
        </w:rPr>
        <w:t>e</w:t>
      </w:r>
      <w:r w:rsidR="00DC226A">
        <w:rPr>
          <w:spacing w:val="-4"/>
          <w:lang w:eastAsia="ar-SA"/>
        </w:rPr>
        <w:t>k</w:t>
      </w:r>
      <w:r>
        <w:rPr>
          <w:spacing w:val="-4"/>
          <w:lang w:eastAsia="ar-SA"/>
        </w:rPr>
        <w:t xml:space="preserve"> kapitálových výdajů </w:t>
      </w:r>
      <w:r w:rsidR="00DC226A">
        <w:rPr>
          <w:spacing w:val="-4"/>
          <w:lang w:eastAsia="ar-SA"/>
        </w:rPr>
        <w:t>o 48,8 % (tj. +29,9 mld. korun).</w:t>
      </w:r>
    </w:p>
    <w:p w:rsidR="007D4281" w:rsidRPr="000732DB" w:rsidRDefault="007D4281" w:rsidP="00FC3C84">
      <w:pPr>
        <w:pStyle w:val="Nadpis1"/>
        <w:numPr>
          <w:ilvl w:val="0"/>
          <w:numId w:val="3"/>
        </w:numPr>
        <w:jc w:val="both"/>
      </w:pPr>
      <w:bookmarkStart w:id="4" w:name="_Toc437874295"/>
      <w:r w:rsidRPr="000732DB">
        <w:lastRenderedPageBreak/>
        <w:t>Souhrnná výkonnost</w:t>
      </w:r>
      <w:bookmarkEnd w:id="4"/>
    </w:p>
    <w:tbl>
      <w:tblPr>
        <w:tblW w:w="5000" w:type="pct"/>
        <w:tblLayout w:type="fixed"/>
        <w:tblLook w:val="00A0"/>
      </w:tblPr>
      <w:tblGrid>
        <w:gridCol w:w="2077"/>
        <w:gridCol w:w="282"/>
        <w:gridCol w:w="7495"/>
      </w:tblGrid>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t>Silný růst ekonomiky ČR pokračoval i ve 3. čtvrtletí 2015. HDP se zvýšil v meziročním srovnání o 4,5 %, hrubá přidaná hodnota o 4,3 %…</w:t>
            </w:r>
          </w:p>
        </w:tc>
        <w:tc>
          <w:tcPr>
            <w:tcW w:w="143" w:type="pct"/>
          </w:tcPr>
          <w:p w:rsidR="009A3A87" w:rsidRPr="002A7D6D" w:rsidRDefault="009A3A87" w:rsidP="003C3686">
            <w:pPr>
              <w:pStyle w:val="Textpoznpodarou"/>
              <w:jc w:val="both"/>
            </w:pPr>
          </w:p>
        </w:tc>
        <w:tc>
          <w:tcPr>
            <w:tcW w:w="3803" w:type="pct"/>
          </w:tcPr>
          <w:p w:rsidR="009A3A87" w:rsidRPr="002A7D6D" w:rsidRDefault="009A3A87" w:rsidP="003C3686">
            <w:pPr>
              <w:pStyle w:val="Textpoznpodarou"/>
              <w:jc w:val="both"/>
            </w:pPr>
            <w:r w:rsidRPr="002A7D6D">
              <w:t>Pr</w:t>
            </w:r>
            <w:r w:rsidR="00FE371D">
              <w:t>vní tři čtvrtletí roku 2015 byla</w:t>
            </w:r>
            <w:r w:rsidRPr="002A7D6D">
              <w:t xml:space="preserve"> ve znamení pokračujícího růstu ekonomiky ČR.</w:t>
            </w:r>
            <w:r w:rsidRPr="002A7D6D">
              <w:rPr>
                <w:rStyle w:val="Znakapoznpodarou"/>
              </w:rPr>
              <w:footnoteReference w:id="3"/>
            </w:r>
            <w:r w:rsidRPr="002A7D6D">
              <w:t xml:space="preserve"> </w:t>
            </w:r>
            <w:r w:rsidRPr="002A7D6D">
              <w:rPr>
                <w:spacing w:val="-2"/>
              </w:rPr>
              <w:t>Hrubý domácí produkt (HDP) stoupl v meziročním srovnání v tomto období o 4,4</w:t>
            </w:r>
            <w:r w:rsidRPr="002A7D6D">
              <w:t xml:space="preserve"> %, </w:t>
            </w:r>
            <w:r w:rsidRPr="002A7D6D">
              <w:rPr>
                <w:spacing w:val="-2"/>
              </w:rPr>
              <w:t>když po jednotlivých čtvrtletích jeho přírůstky dosahovaly +4,1 %, +4,6 % a +4,</w:t>
            </w:r>
            <w:r w:rsidRPr="002A7D6D">
              <w:t xml:space="preserve">5 %. Také z hlediska hrubé přidané hodnoty se české ekonomice dařilo. Její celkový nárůst činil +3,9 %, a co se týče dynamiky hrubé přidané hodnoty po jednotlivých </w:t>
            </w:r>
            <w:r w:rsidRPr="002A7D6D">
              <w:rPr>
                <w:spacing w:val="-2"/>
              </w:rPr>
              <w:t>kvartálech roku 2015, ta zrychlila z +3,4 % v 1. čtvrtletí přes +3,9 % ve 2. na +4,3</w:t>
            </w:r>
            <w:r w:rsidRPr="002A7D6D">
              <w:t xml:space="preserve"> % ve 3. čtvrtletí. Česká ekonomika rostla již </w:t>
            </w:r>
            <w:r>
              <w:t>osm čtvrtletí</w:t>
            </w:r>
            <w:r w:rsidRPr="002A7D6D">
              <w:t>, velmi dobré výsledky v roce 2015 byly však dány z velké části souhrou mimořádných faktorů. Šlo především o dočerpávání finančních prostředků z fondů EU, o nízké ceny ropy redukující firmám náklady a také o vysoké zisky firem v roce 2014, které firmy začaly uvolňovat na investice.</w:t>
            </w:r>
          </w:p>
          <w:p w:rsidR="009A3A87" w:rsidRPr="00880150" w:rsidRDefault="009A3A87" w:rsidP="003C3686">
            <w:pPr>
              <w:pStyle w:val="Textpoznpodarou"/>
              <w:jc w:val="both"/>
              <w:rPr>
                <w:spacing w:val="-2"/>
              </w:rPr>
            </w:pP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t>…příznivě se jevil i </w:t>
            </w:r>
            <w:proofErr w:type="spellStart"/>
            <w:r w:rsidRPr="002A7D6D">
              <w:rPr>
                <w:sz w:val="16"/>
                <w:szCs w:val="16"/>
              </w:rPr>
              <w:t>mezikvartální</w:t>
            </w:r>
            <w:proofErr w:type="spellEnd"/>
            <w:r w:rsidRPr="002A7D6D">
              <w:rPr>
                <w:sz w:val="16"/>
                <w:szCs w:val="16"/>
              </w:rPr>
              <w:t xml:space="preserve"> výsledek. HDP stoupl o 0,5 %, hrubá přidaná hodnota dokonce o 1,2 %</w:t>
            </w:r>
          </w:p>
        </w:tc>
        <w:tc>
          <w:tcPr>
            <w:tcW w:w="143" w:type="pct"/>
          </w:tcPr>
          <w:p w:rsidR="009A3A87" w:rsidRPr="002A7D6D" w:rsidRDefault="009A3A87" w:rsidP="003C3686">
            <w:pPr>
              <w:pStyle w:val="Textpoznpodarou"/>
              <w:jc w:val="both"/>
            </w:pPr>
          </w:p>
        </w:tc>
        <w:tc>
          <w:tcPr>
            <w:tcW w:w="3803" w:type="pct"/>
          </w:tcPr>
          <w:p w:rsidR="009A3A87" w:rsidRPr="002A7D6D" w:rsidRDefault="009A3A87" w:rsidP="003C3686">
            <w:pPr>
              <w:pStyle w:val="Textpoznpodarou"/>
              <w:jc w:val="both"/>
              <w:rPr>
                <w:spacing w:val="-2"/>
              </w:rPr>
            </w:pPr>
            <w:r w:rsidRPr="002A7D6D">
              <w:rPr>
                <w:spacing w:val="-2"/>
              </w:rPr>
              <w:t>Na dobrou kondici české ekonomiky poukazoval i vývoj HDP a hrubé přidané hodnoty v </w:t>
            </w:r>
            <w:proofErr w:type="spellStart"/>
            <w:r w:rsidRPr="002A7D6D">
              <w:rPr>
                <w:spacing w:val="-2"/>
              </w:rPr>
              <w:t>mezičtvrtletním</w:t>
            </w:r>
            <w:proofErr w:type="spellEnd"/>
            <w:r w:rsidRPr="002A7D6D">
              <w:rPr>
                <w:spacing w:val="-2"/>
              </w:rPr>
              <w:t xml:space="preserve"> srovnání. V průběhu roku 2015 se HDP postupně zvyšoval o 2,5 %, 1,0 % a 0,5 %. Hrubá přidaná hodnota posilovala rovnoměrněji, neboť jí neovlivňoval rozkolísaný vývoj salda daní z produktů a dotací na produkty. </w:t>
            </w:r>
            <w:r w:rsidRPr="002A7D6D">
              <w:rPr>
                <w:spacing w:val="-4"/>
              </w:rPr>
              <w:t xml:space="preserve">V 1. čtvrtletí se zvýšila </w:t>
            </w:r>
            <w:proofErr w:type="spellStart"/>
            <w:r w:rsidR="005D757A">
              <w:rPr>
                <w:spacing w:val="-4"/>
              </w:rPr>
              <w:t>mezičtvrtletně</w:t>
            </w:r>
            <w:proofErr w:type="spellEnd"/>
            <w:r w:rsidRPr="002A7D6D">
              <w:rPr>
                <w:spacing w:val="-4"/>
              </w:rPr>
              <w:t xml:space="preserve"> o 1,2 %,</w:t>
            </w:r>
            <w:r w:rsidRPr="002A7D6D">
              <w:rPr>
                <w:rStyle w:val="Znakapoznpodarou"/>
                <w:spacing w:val="-4"/>
              </w:rPr>
              <w:footnoteReference w:id="4"/>
            </w:r>
            <w:r w:rsidRPr="002A7D6D">
              <w:rPr>
                <w:spacing w:val="-4"/>
              </w:rPr>
              <w:t xml:space="preserve"> ve 2. o 1,0 % a ve 3. čtvrtletí o 1,2 %.</w:t>
            </w:r>
          </w:p>
          <w:p w:rsidR="009A3A87" w:rsidRPr="002A7D6D" w:rsidRDefault="009A3A87" w:rsidP="003C3686">
            <w:pPr>
              <w:pStyle w:val="Textpoznpodarou"/>
              <w:jc w:val="both"/>
            </w:pPr>
          </w:p>
        </w:tc>
      </w:tr>
      <w:tr w:rsidR="009A3A87" w:rsidRPr="002A7D6D" w:rsidTr="003C3686">
        <w:tc>
          <w:tcPr>
            <w:tcW w:w="1054" w:type="pct"/>
          </w:tcPr>
          <w:p w:rsidR="009A3A87" w:rsidRPr="00EF0587" w:rsidRDefault="009A3A87" w:rsidP="003C3686">
            <w:pPr>
              <w:spacing w:line="240" w:lineRule="auto"/>
              <w:rPr>
                <w:sz w:val="16"/>
                <w:szCs w:val="16"/>
              </w:rPr>
            </w:pPr>
            <w:r w:rsidRPr="00EF0587">
              <w:rPr>
                <w:sz w:val="16"/>
                <w:szCs w:val="16"/>
              </w:rPr>
              <w:t>Nárůst HDP za první tři kvartály roku 2015 činil +4,4 % meziročně. Byl nejsilnější za posledních osm let …</w:t>
            </w:r>
          </w:p>
        </w:tc>
        <w:tc>
          <w:tcPr>
            <w:tcW w:w="143" w:type="pct"/>
          </w:tcPr>
          <w:p w:rsidR="009A3A87" w:rsidRPr="00EF0587" w:rsidRDefault="009A3A87" w:rsidP="003C3686">
            <w:pPr>
              <w:pStyle w:val="Textpoznpodarou"/>
              <w:jc w:val="both"/>
            </w:pPr>
          </w:p>
        </w:tc>
        <w:tc>
          <w:tcPr>
            <w:tcW w:w="3803" w:type="pct"/>
          </w:tcPr>
          <w:p w:rsidR="000D342A" w:rsidRPr="00EF0587" w:rsidRDefault="009A3A87" w:rsidP="003C3686">
            <w:pPr>
              <w:pStyle w:val="Textpoznpodarou"/>
              <w:jc w:val="both"/>
            </w:pPr>
            <w:r w:rsidRPr="00EF0587">
              <w:t>Nárůst HDP v 1. až 3. čtvrt</w:t>
            </w:r>
            <w:r w:rsidR="000D342A">
              <w:t>letí 2015 v meziročním srovnání</w:t>
            </w:r>
            <w:r w:rsidRPr="00EF0587">
              <w:t xml:space="preserve"> </w:t>
            </w:r>
            <w:r w:rsidR="000D342A">
              <w:t>(+4,4 %)</w:t>
            </w:r>
            <w:r w:rsidRPr="00EF0587">
              <w:t xml:space="preserve"> byl nejsilnější</w:t>
            </w:r>
            <w:r w:rsidR="000D342A">
              <w:t xml:space="preserve"> za posledních osm let, tj.</w:t>
            </w:r>
            <w:r w:rsidRPr="00EF0587">
              <w:t xml:space="preserve"> od srovnatelného období konjunkturního roku 2007 (+5,6 %). </w:t>
            </w:r>
            <w:r w:rsidR="000D342A">
              <w:t>V případě hrubé přidané hodnoty (+</w:t>
            </w:r>
            <w:r w:rsidRPr="00EF0587">
              <w:t>3,9 %</w:t>
            </w:r>
            <w:r w:rsidR="000D342A">
              <w:t>)</w:t>
            </w:r>
            <w:r w:rsidRPr="00EF0587">
              <w:t xml:space="preserve"> se jednalo o nejsilnější růst od roku 2008 (+4,2 %).</w:t>
            </w:r>
          </w:p>
          <w:p w:rsidR="009A3A87" w:rsidRPr="00880150" w:rsidRDefault="009A3A87" w:rsidP="003C3686">
            <w:pPr>
              <w:pStyle w:val="Textpoznpodarou"/>
              <w:jc w:val="both"/>
            </w:pPr>
          </w:p>
        </w:tc>
      </w:tr>
      <w:tr w:rsidR="009A3A87" w:rsidRPr="002A7D6D" w:rsidTr="003C3686">
        <w:trPr>
          <w:trHeight w:val="1095"/>
        </w:trPr>
        <w:tc>
          <w:tcPr>
            <w:tcW w:w="1054" w:type="pct"/>
          </w:tcPr>
          <w:p w:rsidR="009A3A87" w:rsidRPr="00EF0587" w:rsidRDefault="009A3A87" w:rsidP="003C3686">
            <w:pPr>
              <w:spacing w:line="240" w:lineRule="auto"/>
              <w:rPr>
                <w:sz w:val="16"/>
                <w:szCs w:val="16"/>
              </w:rPr>
            </w:pPr>
            <w:r w:rsidRPr="00EF0587">
              <w:rPr>
                <w:sz w:val="16"/>
                <w:szCs w:val="16"/>
              </w:rPr>
              <w:t xml:space="preserve">… a co se týče srovnání se zeměmi EU, dynamičtěji se HDP zvýšil podle dostupných dat jen na Maltě </w:t>
            </w:r>
          </w:p>
        </w:tc>
        <w:tc>
          <w:tcPr>
            <w:tcW w:w="143" w:type="pct"/>
          </w:tcPr>
          <w:p w:rsidR="009A3A87" w:rsidRPr="00EF0587" w:rsidRDefault="009A3A87" w:rsidP="003C3686">
            <w:pPr>
              <w:pStyle w:val="Textpoznpodarou"/>
              <w:jc w:val="both"/>
            </w:pPr>
          </w:p>
        </w:tc>
        <w:tc>
          <w:tcPr>
            <w:tcW w:w="3803" w:type="pct"/>
          </w:tcPr>
          <w:p w:rsidR="009A3A87" w:rsidRPr="00EF0587" w:rsidRDefault="009A3A87" w:rsidP="003C3686">
            <w:pPr>
              <w:pStyle w:val="Textpoznpodarou"/>
              <w:jc w:val="both"/>
            </w:pPr>
            <w:r w:rsidRPr="00EF0587">
              <w:t>Česká ekonomika rostla v průběhu roku 2015 velmi silně i v kontextu zemí evropské osmadvacítky. Zatímco v 1. čtvrtletí byl meziroční růst HDP v ČR mezi členskými zeměmi podle dostupných údajů</w:t>
            </w:r>
            <w:r w:rsidR="00B13681">
              <w:rPr>
                <w:rStyle w:val="Znakapoznpodarou"/>
              </w:rPr>
              <w:footnoteReference w:id="5"/>
            </w:r>
            <w:r w:rsidRPr="00EF0587">
              <w:t xml:space="preserve"> třetí nejvyšší, ve 2. a 3. čtvrtletí připadla tuzemské ekonomice druhá příčka. Podle výsledku za celých devět měsíců předstihla Česko v růstu pouze Malta.</w:t>
            </w:r>
          </w:p>
          <w:p w:rsidR="009A3A87" w:rsidRPr="008B7D13" w:rsidRDefault="009A3A87" w:rsidP="003C3686">
            <w:pPr>
              <w:pStyle w:val="Textpoznpodarou"/>
              <w:jc w:val="both"/>
              <w:rPr>
                <w:sz w:val="18"/>
                <w:szCs w:val="18"/>
              </w:rPr>
            </w:pPr>
          </w:p>
        </w:tc>
      </w:tr>
      <w:tr w:rsidR="009A3A87" w:rsidRPr="002A7D6D" w:rsidTr="003C3686">
        <w:tc>
          <w:tcPr>
            <w:tcW w:w="1054" w:type="pct"/>
          </w:tcPr>
          <w:p w:rsidR="009A3A87" w:rsidRPr="00EF0587" w:rsidRDefault="009A3A87" w:rsidP="003C3686">
            <w:pPr>
              <w:spacing w:line="240" w:lineRule="auto"/>
              <w:rPr>
                <w:sz w:val="16"/>
                <w:szCs w:val="16"/>
              </w:rPr>
            </w:pPr>
            <w:r w:rsidRPr="00EF0587">
              <w:rPr>
                <w:sz w:val="16"/>
                <w:szCs w:val="16"/>
              </w:rPr>
              <w:t xml:space="preserve">Meziroční přírůstek HDP v ČR v prvních devíti měsících roku v porovnání s EU více než dvojnásobný, proti </w:t>
            </w:r>
            <w:proofErr w:type="spellStart"/>
            <w:r w:rsidRPr="00EF0587">
              <w:rPr>
                <w:sz w:val="16"/>
                <w:szCs w:val="16"/>
              </w:rPr>
              <w:t>eurozóně</w:t>
            </w:r>
            <w:proofErr w:type="spellEnd"/>
            <w:r w:rsidRPr="00EF0587">
              <w:rPr>
                <w:sz w:val="16"/>
                <w:szCs w:val="16"/>
              </w:rPr>
              <w:t xml:space="preserve"> trojnásobný</w:t>
            </w:r>
          </w:p>
        </w:tc>
        <w:tc>
          <w:tcPr>
            <w:tcW w:w="143" w:type="pct"/>
          </w:tcPr>
          <w:p w:rsidR="009A3A87" w:rsidRPr="00EF0587" w:rsidRDefault="009A3A87" w:rsidP="003C3686">
            <w:pPr>
              <w:pStyle w:val="Textpoznpodarou"/>
              <w:jc w:val="both"/>
            </w:pPr>
          </w:p>
        </w:tc>
        <w:tc>
          <w:tcPr>
            <w:tcW w:w="3803" w:type="pct"/>
          </w:tcPr>
          <w:p w:rsidR="009A3A87" w:rsidRPr="00EF0587" w:rsidRDefault="009A3A87" w:rsidP="003C3686">
            <w:pPr>
              <w:pStyle w:val="Textpoznpodarou"/>
              <w:jc w:val="both"/>
              <w:rPr>
                <w:spacing w:val="-4"/>
              </w:rPr>
            </w:pPr>
            <w:r w:rsidRPr="00EF0587">
              <w:rPr>
                <w:spacing w:val="-4"/>
              </w:rPr>
              <w:t xml:space="preserve">V porovnání s celou EU, kde se HDP v prvních třech čtvrtletích roku zvýšil meziročně o 1,8 %, byl tuzemský růst více než dvojnásobný. Ve srovnání s </w:t>
            </w:r>
            <w:proofErr w:type="spellStart"/>
            <w:r w:rsidRPr="00EF0587">
              <w:rPr>
                <w:spacing w:val="-4"/>
              </w:rPr>
              <w:t>eurozónou</w:t>
            </w:r>
            <w:proofErr w:type="spellEnd"/>
            <w:r w:rsidRPr="00EF0587">
              <w:rPr>
                <w:spacing w:val="-4"/>
              </w:rPr>
              <w:t xml:space="preserve"> (+1,5 %) stoupl výkon české ekonomiky dokonce trojnásobně rychle. Tyto výsledky dávají velkou naději, že i rok 2015 bude ve znamení reálné konvergence, kdy se ekonomická vyspělost ČR přiblíží průměrné vyspělosti zemí EU a </w:t>
            </w:r>
            <w:proofErr w:type="spellStart"/>
            <w:r w:rsidRPr="00EF0587">
              <w:rPr>
                <w:spacing w:val="-4"/>
              </w:rPr>
              <w:t>eurozóny</w:t>
            </w:r>
            <w:proofErr w:type="spellEnd"/>
            <w:r w:rsidRPr="00EF0587">
              <w:rPr>
                <w:spacing w:val="-4"/>
              </w:rPr>
              <w:t>.</w:t>
            </w:r>
          </w:p>
          <w:p w:rsidR="009A3A87" w:rsidRPr="00880150" w:rsidRDefault="009A3A87" w:rsidP="003C3686">
            <w:pPr>
              <w:pStyle w:val="Textpoznpodarou"/>
              <w:jc w:val="both"/>
              <w:rPr>
                <w:sz w:val="18"/>
                <w:szCs w:val="18"/>
              </w:rPr>
            </w:pP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t>K meziročnímu růstu HDP ve 3. čtvrtletí 2015 přispěly pozitivně všechny složky domácí poptávky. „Tahounem“ byly investice, a to jak v klasickém pojetí, …</w:t>
            </w:r>
          </w:p>
        </w:tc>
        <w:tc>
          <w:tcPr>
            <w:tcW w:w="143" w:type="pct"/>
          </w:tcPr>
          <w:p w:rsidR="009A3A87" w:rsidRPr="002A7D6D" w:rsidRDefault="009A3A87" w:rsidP="003C3686">
            <w:pPr>
              <w:pStyle w:val="Textpoznpodarou"/>
              <w:jc w:val="both"/>
            </w:pPr>
          </w:p>
        </w:tc>
        <w:tc>
          <w:tcPr>
            <w:tcW w:w="3803" w:type="pct"/>
          </w:tcPr>
          <w:p w:rsidR="009A3A87" w:rsidRPr="005C21D6" w:rsidRDefault="009A3A87" w:rsidP="003C3686">
            <w:pPr>
              <w:pStyle w:val="Textpoznpodarou"/>
              <w:jc w:val="both"/>
              <w:rPr>
                <w:spacing w:val="-4"/>
              </w:rPr>
            </w:pPr>
            <w:r w:rsidRPr="005C21D6">
              <w:rPr>
                <w:spacing w:val="-4"/>
              </w:rPr>
              <w:t>Růst HDP ve 3. čtvrtletí 2015 – dosahující +4,5 % meziročně – byl robustní. Přispěly k němu pozitivně všechny složky poptávky s výjimkou výsledku zahraničního obchodu.</w:t>
            </w:r>
            <w:r w:rsidRPr="005C21D6">
              <w:rPr>
                <w:rStyle w:val="Znakapoznpodarou"/>
                <w:spacing w:val="-4"/>
              </w:rPr>
              <w:footnoteReference w:id="6"/>
            </w:r>
            <w:r w:rsidRPr="005C21D6">
              <w:rPr>
                <w:spacing w:val="-4"/>
              </w:rPr>
              <w:t xml:space="preserve"> Výdaje na konečnou spotřebu domácností se na růstu ekonomiky podílely +1,4 </w:t>
            </w:r>
            <w:proofErr w:type="spellStart"/>
            <w:r w:rsidRPr="005C21D6">
              <w:rPr>
                <w:spacing w:val="-4"/>
              </w:rPr>
              <w:t>pb</w:t>
            </w:r>
            <w:proofErr w:type="spellEnd"/>
            <w:r w:rsidRPr="005C21D6">
              <w:rPr>
                <w:spacing w:val="-4"/>
              </w:rPr>
              <w:t>., tedy stejnou silou jako ve dvou předchozích čtvrtletích. Příspěvek výdajů na</w:t>
            </w:r>
            <w:r w:rsidR="005C21D6">
              <w:rPr>
                <w:spacing w:val="-4"/>
              </w:rPr>
              <w:t> </w:t>
            </w:r>
            <w:r w:rsidRPr="005C21D6">
              <w:rPr>
                <w:spacing w:val="-4"/>
              </w:rPr>
              <w:t xml:space="preserve">konečnou spotřebu vládních institucí dosáhl výjimečných +0,9 </w:t>
            </w:r>
            <w:proofErr w:type="spellStart"/>
            <w:r w:rsidRPr="005C21D6">
              <w:rPr>
                <w:spacing w:val="-4"/>
              </w:rPr>
              <w:t>pb</w:t>
            </w:r>
            <w:proofErr w:type="spellEnd"/>
            <w:r w:rsidRPr="005C21D6">
              <w:rPr>
                <w:spacing w:val="-4"/>
              </w:rPr>
              <w:t>. a byl nejvyšší od posledního čtvrtletí roku 2003. Motorem růstu národního hospodářství byly však</w:t>
            </w:r>
            <w:r w:rsidR="005C21D6">
              <w:rPr>
                <w:spacing w:val="-4"/>
              </w:rPr>
              <w:t> </w:t>
            </w:r>
            <w:r w:rsidRPr="005C21D6">
              <w:rPr>
                <w:spacing w:val="-4"/>
              </w:rPr>
              <w:t xml:space="preserve">investice (tvorba hrubého fixního kapitálu) které přidaly +2,1 </w:t>
            </w:r>
            <w:proofErr w:type="spellStart"/>
            <w:r w:rsidRPr="005C21D6">
              <w:rPr>
                <w:spacing w:val="-4"/>
              </w:rPr>
              <w:t>pb</w:t>
            </w:r>
            <w:proofErr w:type="spellEnd"/>
            <w:r w:rsidRPr="005C21D6">
              <w:rPr>
                <w:spacing w:val="-4"/>
              </w:rPr>
              <w:t>. Přestože příspěvek změny zásob v průběhu roku zeslabil z mimořádných +2,1 </w:t>
            </w:r>
            <w:proofErr w:type="spellStart"/>
            <w:r w:rsidRPr="005C21D6">
              <w:rPr>
                <w:spacing w:val="-4"/>
              </w:rPr>
              <w:t>pb</w:t>
            </w:r>
            <w:proofErr w:type="spellEnd"/>
            <w:r w:rsidRPr="005C21D6">
              <w:rPr>
                <w:spacing w:val="-4"/>
              </w:rPr>
              <w:t>. v 1. čtvrtletí přes +1,2</w:t>
            </w:r>
            <w:r w:rsidR="005C21D6">
              <w:rPr>
                <w:spacing w:val="-4"/>
              </w:rPr>
              <w:t> </w:t>
            </w:r>
            <w:proofErr w:type="spellStart"/>
            <w:r w:rsidRPr="005C21D6">
              <w:rPr>
                <w:spacing w:val="-4"/>
              </w:rPr>
              <w:t>pb</w:t>
            </w:r>
            <w:proofErr w:type="spellEnd"/>
            <w:r w:rsidRPr="005C21D6">
              <w:rPr>
                <w:spacing w:val="-4"/>
              </w:rPr>
              <w:t xml:space="preserve">. ve 2. na +0,3 </w:t>
            </w:r>
            <w:proofErr w:type="spellStart"/>
            <w:r w:rsidRPr="005C21D6">
              <w:rPr>
                <w:spacing w:val="-4"/>
              </w:rPr>
              <w:t>pb</w:t>
            </w:r>
            <w:proofErr w:type="spellEnd"/>
            <w:r w:rsidRPr="005C21D6">
              <w:rPr>
                <w:spacing w:val="-4"/>
              </w:rPr>
              <w:t>. ve 3. čtvrtletí, podílela se i tato složka na růstu české</w:t>
            </w:r>
            <w:r w:rsidR="005C21D6">
              <w:rPr>
                <w:spacing w:val="-4"/>
              </w:rPr>
              <w:t> </w:t>
            </w:r>
            <w:r w:rsidRPr="005C21D6">
              <w:rPr>
                <w:spacing w:val="-4"/>
              </w:rPr>
              <w:t xml:space="preserve">ekonomiky pozitivně. Výsledek zahraničního obchodu působil nepatrně proti růstu národního hospodářství (-0,1 </w:t>
            </w:r>
            <w:proofErr w:type="spellStart"/>
            <w:r w:rsidRPr="005C21D6">
              <w:rPr>
                <w:spacing w:val="-4"/>
              </w:rPr>
              <w:t>pb</w:t>
            </w:r>
            <w:proofErr w:type="spellEnd"/>
            <w:r w:rsidRPr="005C21D6">
              <w:rPr>
                <w:spacing w:val="-4"/>
              </w:rPr>
              <w:t>.), šlo přitom o důsledek silnějšího růstu dovozu</w:t>
            </w:r>
            <w:r w:rsidR="005C21D6">
              <w:rPr>
                <w:spacing w:val="-4"/>
              </w:rPr>
              <w:t> </w:t>
            </w:r>
            <w:r w:rsidRPr="005C21D6">
              <w:rPr>
                <w:spacing w:val="-4"/>
              </w:rPr>
              <w:t>oproti vývozu. Jeho příčinu lze hledat v silné domácí poptávce.</w:t>
            </w:r>
          </w:p>
          <w:p w:rsidR="009A3A87" w:rsidRPr="008B7D13" w:rsidRDefault="009A3A87" w:rsidP="003C3686">
            <w:pPr>
              <w:pStyle w:val="Textpoznpodarou"/>
              <w:jc w:val="both"/>
              <w:rPr>
                <w:sz w:val="18"/>
                <w:szCs w:val="18"/>
              </w:rPr>
            </w:pP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t>…tak v pojetí, kdy se z celkového objemu dovozu do ČR vyloučí dovoz určený pro konečné užití</w:t>
            </w:r>
          </w:p>
        </w:tc>
        <w:tc>
          <w:tcPr>
            <w:tcW w:w="143" w:type="pct"/>
          </w:tcPr>
          <w:p w:rsidR="009A3A87" w:rsidRPr="002A7D6D" w:rsidRDefault="009A3A87" w:rsidP="003C3686">
            <w:pPr>
              <w:pStyle w:val="Textpoznpodarou"/>
              <w:jc w:val="both"/>
            </w:pPr>
          </w:p>
        </w:tc>
        <w:tc>
          <w:tcPr>
            <w:tcW w:w="3803" w:type="pct"/>
          </w:tcPr>
          <w:p w:rsidR="009A3A87" w:rsidRPr="002A7D6D" w:rsidRDefault="009A3A87" w:rsidP="003C3686">
            <w:pPr>
              <w:pStyle w:val="Textpoznpodarou"/>
              <w:jc w:val="both"/>
            </w:pPr>
            <w:r w:rsidRPr="002A7D6D">
              <w:t xml:space="preserve">Jestliže z celkového objemu dovozu zboží a služeb do české ekonomiky vyloučíme dovoz určený pro konečné užití, potom se příspěvky výdajů na konečnou spotřebu domácností a vládních institucí, a také investic, snižují. Je to </w:t>
            </w:r>
            <w:r w:rsidRPr="00F375BA">
              <w:rPr>
                <w:spacing w:val="-2"/>
              </w:rPr>
              <w:t xml:space="preserve">dané tím, že jejich růst byl z části </w:t>
            </w:r>
            <w:r w:rsidR="00F375BA" w:rsidRPr="00F375BA">
              <w:rPr>
                <w:spacing w:val="-2"/>
              </w:rPr>
              <w:t>uspokojen</w:t>
            </w:r>
            <w:r w:rsidRPr="00F375BA">
              <w:rPr>
                <w:spacing w:val="-2"/>
              </w:rPr>
              <w:t xml:space="preserve"> vyšším dovozem. Příspěvek</w:t>
            </w:r>
            <w:r w:rsidRPr="002A7D6D">
              <w:t xml:space="preserve"> výdajů </w:t>
            </w:r>
            <w:r w:rsidRPr="002A7D6D">
              <w:lastRenderedPageBreak/>
              <w:t xml:space="preserve">na konečnou spotřebu domácností v tomto pojetí činil ve 3. čtvrtletí 2015 pouze +0,8 </w:t>
            </w:r>
            <w:proofErr w:type="spellStart"/>
            <w:r w:rsidRPr="002A7D6D">
              <w:t>pb</w:t>
            </w:r>
            <w:proofErr w:type="spellEnd"/>
            <w:r w:rsidRPr="002A7D6D">
              <w:t>. a byl stejně vysoký jako příspěvek výdajů vládních institucí. Investice se na růstu české ekonomiky podílely také méně</w:t>
            </w:r>
            <w:r>
              <w:t xml:space="preserve"> než v klasickém pojetí</w:t>
            </w:r>
            <w:r w:rsidRPr="002A7D6D">
              <w:t xml:space="preserve"> (+1,6 </w:t>
            </w:r>
            <w:proofErr w:type="spellStart"/>
            <w:r w:rsidRPr="002A7D6D">
              <w:t>pb</w:t>
            </w:r>
            <w:proofErr w:type="spellEnd"/>
            <w:r w:rsidRPr="002A7D6D">
              <w:t xml:space="preserve">.), </w:t>
            </w:r>
            <w:r w:rsidRPr="00913548">
              <w:rPr>
                <w:spacing w:val="-4"/>
              </w:rPr>
              <w:t>zůstaly však pomyslným „tahounem“. Příspěvek změny zásob zůstal stejný (+0,3</w:t>
            </w:r>
            <w:r w:rsidRPr="002A7D6D">
              <w:t xml:space="preserve"> </w:t>
            </w:r>
            <w:proofErr w:type="spellStart"/>
            <w:r w:rsidRPr="002A7D6D">
              <w:t>pb</w:t>
            </w:r>
            <w:proofErr w:type="spellEnd"/>
            <w:r w:rsidRPr="002A7D6D">
              <w:t>.) a</w:t>
            </w:r>
            <w:r>
              <w:t xml:space="preserve"> tím</w:t>
            </w:r>
            <w:r w:rsidRPr="002A7D6D">
              <w:t xml:space="preserve"> naz</w:t>
            </w:r>
            <w:r>
              <w:t>načoval, že zdrojem pro silnější růst zásob než před rokem byla domácí produkce</w:t>
            </w:r>
            <w:r w:rsidRPr="002A7D6D">
              <w:t>. Výsledek zahraničního obchodu, modifikovaný o vyloučení dovozu pro</w:t>
            </w:r>
            <w:r>
              <w:t> </w:t>
            </w:r>
            <w:r w:rsidRPr="002A7D6D">
              <w:t xml:space="preserve">konečné užití, přispěl k růstu ekonomiky ČR +1,1 </w:t>
            </w:r>
            <w:proofErr w:type="spellStart"/>
            <w:r w:rsidRPr="002A7D6D">
              <w:t>pb</w:t>
            </w:r>
            <w:proofErr w:type="spellEnd"/>
            <w:r w:rsidRPr="002A7D6D">
              <w:t>.</w:t>
            </w:r>
          </w:p>
          <w:p w:rsidR="009A3A87" w:rsidRPr="008B7D13" w:rsidRDefault="009A3A87" w:rsidP="003C3686">
            <w:pPr>
              <w:pStyle w:val="Textpoznpodarou"/>
              <w:jc w:val="both"/>
            </w:pP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lastRenderedPageBreak/>
              <w:t>Výdaje na konečnou spotřebu domácností v prvních třech čtvrtletích roku 2015 o 2,9 % vyšší než před rokem …</w:t>
            </w:r>
          </w:p>
        </w:tc>
        <w:tc>
          <w:tcPr>
            <w:tcW w:w="143" w:type="pct"/>
          </w:tcPr>
          <w:p w:rsidR="009A3A87" w:rsidRPr="002A7D6D" w:rsidRDefault="009A3A87" w:rsidP="003C3686">
            <w:pPr>
              <w:pStyle w:val="Textpoznpodarou"/>
              <w:jc w:val="both"/>
            </w:pPr>
          </w:p>
        </w:tc>
        <w:tc>
          <w:tcPr>
            <w:tcW w:w="3803" w:type="pct"/>
          </w:tcPr>
          <w:p w:rsidR="009A3A87" w:rsidRPr="002A7D6D" w:rsidRDefault="009A3A87" w:rsidP="003C3686">
            <w:pPr>
              <w:pStyle w:val="Textpoznpodarou"/>
              <w:jc w:val="both"/>
            </w:pPr>
            <w:r w:rsidRPr="002A7D6D">
              <w:t>Meziroční tempa růstu výdajů na konečnou spotřebu domácností byla v prvních třech čtvrtletích roku 2015 srovnatelná s tempy z předkrizového roku 2008. Spotřeba domácností se zvyšovala postupně o 2,8 %, 3,0 % a 3,0 %. Celkově stoupla o 2,9 %. Zvýšila se především poptávka po předmětech dlouhodobé spotřeby, například po automobilech. Nad úrovní prvních devíti měsíců roku 2014 byly ovšem i výdaje domácností na předměty střednědobé spotřeby</w:t>
            </w:r>
            <w:r>
              <w:t>. Mírně stouply i výdaje</w:t>
            </w:r>
            <w:r w:rsidRPr="002A7D6D">
              <w:t xml:space="preserve"> na předměty</w:t>
            </w:r>
            <w:r>
              <w:t> krátkodobé spotřeby</w:t>
            </w:r>
            <w:r w:rsidRPr="002A7D6D">
              <w:t xml:space="preserve"> </w:t>
            </w:r>
            <w:r>
              <w:t xml:space="preserve">a </w:t>
            </w:r>
            <w:r w:rsidRPr="002A7D6D">
              <w:t>na služby.</w:t>
            </w:r>
          </w:p>
          <w:p w:rsidR="009A3A87" w:rsidRPr="008B7D13" w:rsidRDefault="009A3A87" w:rsidP="003C3686">
            <w:pPr>
              <w:pStyle w:val="Textpoznpodarou"/>
              <w:jc w:val="both"/>
              <w:rPr>
                <w:spacing w:val="-2"/>
              </w:rPr>
            </w:pP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t>…díky narůstajícím příjmům a vyšší důvěře v ekonomiku</w:t>
            </w:r>
          </w:p>
        </w:tc>
        <w:tc>
          <w:tcPr>
            <w:tcW w:w="143" w:type="pct"/>
          </w:tcPr>
          <w:p w:rsidR="009A3A87" w:rsidRPr="002A7D6D" w:rsidRDefault="009A3A87" w:rsidP="003C3686">
            <w:pPr>
              <w:pStyle w:val="Textpoznpodarou"/>
              <w:jc w:val="both"/>
            </w:pPr>
          </w:p>
        </w:tc>
        <w:tc>
          <w:tcPr>
            <w:tcW w:w="3803" w:type="pct"/>
          </w:tcPr>
          <w:p w:rsidR="009A3A87" w:rsidRPr="00590C71" w:rsidRDefault="009A3A87" w:rsidP="003C3686">
            <w:pPr>
              <w:pStyle w:val="Textpoznpodarou"/>
              <w:jc w:val="both"/>
              <w:rPr>
                <w:spacing w:val="-4"/>
              </w:rPr>
            </w:pPr>
            <w:r w:rsidRPr="00590C71">
              <w:rPr>
                <w:spacing w:val="-4"/>
              </w:rPr>
              <w:t xml:space="preserve">Nárůst spotřeby domácností byl odrazem zvyšujících se příjmů. Na ně poukazovala jak dynamika průměrné reálné mzdy, tak vývoj počtu osob, které měly práci. Zatímco průměrná reálná mzda byla v prvních třech čtvrtletích roku 2015 o 2,8 % vyšší než před rokem, celková zaměstnanost se v tomto období zvýšila o 1,2 %. Také důvěra spotřebitelů v ekonomiku se promítala ve </w:t>
            </w:r>
            <w:r>
              <w:rPr>
                <w:spacing w:val="-4"/>
              </w:rPr>
              <w:t>spotřebě</w:t>
            </w:r>
            <w:r w:rsidRPr="00590C71">
              <w:rPr>
                <w:spacing w:val="-4"/>
              </w:rPr>
              <w:t xml:space="preserve"> domácností pozitivně. V každém jednotlivém měsíci roku 2015 byla vyšší než ve stejném měsíci roku 2014.</w:t>
            </w:r>
          </w:p>
          <w:p w:rsidR="009A3A87" w:rsidRPr="008B7D13" w:rsidRDefault="009A3A87" w:rsidP="003C3686">
            <w:pPr>
              <w:pStyle w:val="Textpoznpodarou"/>
              <w:jc w:val="both"/>
              <w:rPr>
                <w:spacing w:val="-2"/>
              </w:rPr>
            </w:pP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t>Nárůst výdajů na konečnou spotřebu vládních institucí nejvyšší za posledních jedenáct let a tři čtvrtě</w:t>
            </w:r>
          </w:p>
        </w:tc>
        <w:tc>
          <w:tcPr>
            <w:tcW w:w="143" w:type="pct"/>
          </w:tcPr>
          <w:p w:rsidR="009A3A87" w:rsidRPr="002A7D6D" w:rsidRDefault="009A3A87" w:rsidP="003C3686">
            <w:pPr>
              <w:pStyle w:val="Textpoznpodarou"/>
              <w:jc w:val="both"/>
            </w:pPr>
          </w:p>
        </w:tc>
        <w:tc>
          <w:tcPr>
            <w:tcW w:w="3803" w:type="pct"/>
          </w:tcPr>
          <w:p w:rsidR="009A3A87" w:rsidRPr="00494D7D" w:rsidRDefault="009A3A87" w:rsidP="003C3686">
            <w:pPr>
              <w:pStyle w:val="Textpoznpodarou"/>
              <w:jc w:val="both"/>
              <w:rPr>
                <w:spacing w:val="-4"/>
              </w:rPr>
            </w:pPr>
            <w:r w:rsidRPr="00494D7D">
              <w:rPr>
                <w:spacing w:val="-4"/>
              </w:rPr>
              <w:t>Výdaje na konečnou spotřebu vládních institucí stouply ve 3. čtvrtletí 2015 o 4,4 % meziročně, tedy téměř dvakrát rychleji než v 1. i ve 2. čtvrtletí (+2,6 %, +2,3 %). Šlo o</w:t>
            </w:r>
            <w:r>
              <w:rPr>
                <w:spacing w:val="-4"/>
              </w:rPr>
              <w:t> </w:t>
            </w:r>
            <w:r w:rsidRPr="00494D7D">
              <w:rPr>
                <w:spacing w:val="-4"/>
              </w:rPr>
              <w:t xml:space="preserve">nejsilnější nárůst za posledních </w:t>
            </w:r>
            <w:r w:rsidR="000C6498">
              <w:rPr>
                <w:spacing w:val="-4"/>
              </w:rPr>
              <w:t>téměř dvanáct let</w:t>
            </w:r>
            <w:r w:rsidRPr="00494D7D">
              <w:rPr>
                <w:spacing w:val="-4"/>
              </w:rPr>
              <w:t>. Silný přírůstek výdajů byl odrazem rozsáhlých oprav a údržby dopravní infrastruktury v letních měsících, ke</w:t>
            </w:r>
            <w:r>
              <w:rPr>
                <w:spacing w:val="-4"/>
              </w:rPr>
              <w:t> </w:t>
            </w:r>
            <w:r w:rsidRPr="00494D7D">
              <w:rPr>
                <w:spacing w:val="-4"/>
              </w:rPr>
              <w:t>kterým docházelo za přispění finančních prostředků pocházejících z EU.</w:t>
            </w:r>
          </w:p>
          <w:p w:rsidR="009A3A87" w:rsidRPr="008B7D13" w:rsidRDefault="009A3A87" w:rsidP="003C3686">
            <w:pPr>
              <w:pStyle w:val="Textpoznpodarou"/>
              <w:jc w:val="both"/>
            </w:pPr>
          </w:p>
        </w:tc>
      </w:tr>
      <w:tr w:rsidR="009A3A87" w:rsidRPr="002A7D6D" w:rsidTr="003C3686">
        <w:trPr>
          <w:trHeight w:val="1365"/>
        </w:trPr>
        <w:tc>
          <w:tcPr>
            <w:tcW w:w="1054" w:type="pct"/>
          </w:tcPr>
          <w:p w:rsidR="009A3A87" w:rsidRPr="002A7D6D" w:rsidRDefault="009A3A87" w:rsidP="003C3686">
            <w:pPr>
              <w:spacing w:line="240" w:lineRule="auto"/>
              <w:rPr>
                <w:sz w:val="16"/>
                <w:szCs w:val="16"/>
              </w:rPr>
            </w:pPr>
            <w:r w:rsidRPr="002A7D6D">
              <w:rPr>
                <w:sz w:val="16"/>
                <w:szCs w:val="16"/>
              </w:rPr>
              <w:t>Zdrojem zrychlujícího meziročního růstu investic v prvních třech čtvrtletích roku 2015 byla především snaha dočerpat finanční prostředky z fondů EU, …</w:t>
            </w:r>
          </w:p>
        </w:tc>
        <w:tc>
          <w:tcPr>
            <w:tcW w:w="143" w:type="pct"/>
          </w:tcPr>
          <w:p w:rsidR="009A3A87" w:rsidRPr="002A7D6D" w:rsidRDefault="009A3A87" w:rsidP="003C3686">
            <w:pPr>
              <w:pStyle w:val="Textpoznpodarou"/>
              <w:jc w:val="both"/>
            </w:pPr>
          </w:p>
        </w:tc>
        <w:tc>
          <w:tcPr>
            <w:tcW w:w="3803" w:type="pct"/>
          </w:tcPr>
          <w:p w:rsidR="009A3A87" w:rsidRPr="004D4D18" w:rsidRDefault="009A3A87" w:rsidP="003C3686">
            <w:pPr>
              <w:pStyle w:val="Textpoznpodarou"/>
              <w:jc w:val="both"/>
            </w:pPr>
            <w:r w:rsidRPr="004D4D18">
              <w:t xml:space="preserve">Klíčovou složkou poptávky, co se týče růstu české ekonomiky v roce 2015, byly </w:t>
            </w:r>
            <w:r w:rsidRPr="004D4D18">
              <w:rPr>
                <w:spacing w:val="-2"/>
              </w:rPr>
              <w:t>investice. Zatímco v 1. čtvrtletí stouply v meziročním srovnání o 3,0 %, ve 2.</w:t>
            </w:r>
            <w:r w:rsidRPr="004D4D18">
              <w:t xml:space="preserve"> čtvrtletí byly vyšší již o 7,4 % a ve 3. čtvrtletí dokonce o 8,3 %. Zdrojem zrychlujícího růstu investic byla jednak snaha vládních institucí dočerpat co nejvíce peněz</w:t>
            </w:r>
            <w:r>
              <w:t xml:space="preserve"> z fondů Evropské unie</w:t>
            </w:r>
            <w:r w:rsidRPr="004D4D18">
              <w:t>, které byly ČR přiděleny v rámci programového období 2007–2013, jednak zvětšující se ochota firem investovat do obnovy a rozvoje. Firmy na</w:t>
            </w:r>
            <w:r>
              <w:t> </w:t>
            </w:r>
            <w:r w:rsidRPr="004D4D18">
              <w:t>investice uvolňovaly vysoké zisky z roku 2014,</w:t>
            </w:r>
            <w:r>
              <w:t xml:space="preserve"> a jak ukazuje bankovní statistika,</w:t>
            </w:r>
            <w:r w:rsidRPr="004D4D18">
              <w:t xml:space="preserve"> </w:t>
            </w:r>
            <w:r>
              <w:t>přestaly se obávat zadlužení a začaly si na investice i více půjčovat.</w:t>
            </w:r>
          </w:p>
          <w:p w:rsidR="009A3A87" w:rsidRPr="008B7D13" w:rsidRDefault="009A3A87" w:rsidP="003C3686">
            <w:pPr>
              <w:pStyle w:val="Textpoznpodarou"/>
              <w:jc w:val="both"/>
              <w:rPr>
                <w:spacing w:val="-2"/>
              </w:rPr>
            </w:pPr>
          </w:p>
        </w:tc>
      </w:tr>
      <w:tr w:rsidR="009A3A87" w:rsidRPr="002A7D6D" w:rsidTr="003C3686">
        <w:trPr>
          <w:trHeight w:val="2085"/>
        </w:trPr>
        <w:tc>
          <w:tcPr>
            <w:tcW w:w="1054" w:type="pct"/>
          </w:tcPr>
          <w:p w:rsidR="009A3A87" w:rsidRPr="002A7D6D" w:rsidRDefault="009A3A87" w:rsidP="003C3686">
            <w:pPr>
              <w:spacing w:line="240" w:lineRule="auto"/>
              <w:rPr>
                <w:sz w:val="16"/>
                <w:szCs w:val="16"/>
              </w:rPr>
            </w:pPr>
            <w:r w:rsidRPr="002A7D6D">
              <w:rPr>
                <w:sz w:val="16"/>
                <w:szCs w:val="16"/>
              </w:rPr>
              <w:t xml:space="preserve">…investice do budov a staveb byly ve 3. čtvrtletí meziročně </w:t>
            </w:r>
            <w:r w:rsidRPr="00887894">
              <w:rPr>
                <w:spacing w:val="-4"/>
                <w:sz w:val="16"/>
                <w:szCs w:val="16"/>
              </w:rPr>
              <w:t>vyšší o výjimečných 12,5 %</w:t>
            </w:r>
          </w:p>
        </w:tc>
        <w:tc>
          <w:tcPr>
            <w:tcW w:w="143" w:type="pct"/>
          </w:tcPr>
          <w:p w:rsidR="009A3A87" w:rsidRPr="002A7D6D" w:rsidRDefault="009A3A87" w:rsidP="003C3686">
            <w:pPr>
              <w:pStyle w:val="Textpoznpodarou"/>
              <w:jc w:val="both"/>
            </w:pPr>
          </w:p>
        </w:tc>
        <w:tc>
          <w:tcPr>
            <w:tcW w:w="3803" w:type="pct"/>
          </w:tcPr>
          <w:p w:rsidR="009A3A87" w:rsidRPr="002A7D6D" w:rsidRDefault="009A3A87" w:rsidP="003C3686">
            <w:pPr>
              <w:pStyle w:val="Textpoznpodarou"/>
              <w:jc w:val="both"/>
              <w:rPr>
                <w:spacing w:val="-2"/>
              </w:rPr>
            </w:pPr>
            <w:r w:rsidRPr="002A7D6D">
              <w:rPr>
                <w:spacing w:val="-2"/>
              </w:rPr>
              <w:t>Podle věcného členění tvorby hrubého fixního kapitálu</w:t>
            </w:r>
            <w:r w:rsidRPr="002A7D6D">
              <w:rPr>
                <w:rStyle w:val="Znakapoznpodarou"/>
                <w:spacing w:val="-2"/>
              </w:rPr>
              <w:footnoteReference w:id="7"/>
            </w:r>
            <w:r w:rsidRPr="002A7D6D">
              <w:rPr>
                <w:spacing w:val="-2"/>
              </w:rPr>
              <w:t xml:space="preserve"> stouply ve 3. čtvrtletí 2015 v meziročním srovnání velmi výrazně investice do budov a staveb. Narostly o 12,5 %, nejrychleji za celé sledované období od počátku roku 1997. Obnova a rozšiřování firemního vozového parku se promítala v růstu investic do dopravních prostředků a zařízení (+15,3 %), více než před rokem se ve 3. čtvrtletí 2015 </w:t>
            </w:r>
            <w:r w:rsidRPr="002A7D6D">
              <w:t>v České republice investovalo ale i do ICT, strojů a zařízení (+4,4 %) a do produktů duševního vlastnictví (+2,3 %). Přírůstek investic do staveb pro bydlení činil navzdory rostoucím příjmům domácností a stále nízkým úrokovým sazbám z úvěrů na bydlení pouze +0,3 %. Byl nejslabší od 1. čtvrtletí 2014, kdy investice do staveb pro bydlení o 1,2 % klesly.</w:t>
            </w:r>
          </w:p>
          <w:p w:rsidR="009A3A87" w:rsidRPr="008B7D13" w:rsidRDefault="009A3A87" w:rsidP="003C3686">
            <w:pPr>
              <w:pStyle w:val="Textpoznpodarou"/>
              <w:jc w:val="both"/>
              <w:rPr>
                <w:spacing w:val="-2"/>
                <w:sz w:val="18"/>
                <w:szCs w:val="18"/>
              </w:rPr>
            </w:pP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t>Zásoby rostly i v průběhu 3. čtvrtletí. Zvyšovaly se zásoby související s výrobní činností a zásoby obchodního zboží</w:t>
            </w:r>
          </w:p>
        </w:tc>
        <w:tc>
          <w:tcPr>
            <w:tcW w:w="143" w:type="pct"/>
          </w:tcPr>
          <w:p w:rsidR="009A3A87" w:rsidRPr="002A7D6D" w:rsidRDefault="009A3A87" w:rsidP="003C3686">
            <w:pPr>
              <w:pStyle w:val="Textpoznpodarou"/>
              <w:jc w:val="both"/>
            </w:pPr>
          </w:p>
        </w:tc>
        <w:tc>
          <w:tcPr>
            <w:tcW w:w="3803" w:type="pct"/>
          </w:tcPr>
          <w:p w:rsidR="009A3A87" w:rsidRPr="002A7D6D" w:rsidRDefault="009A3A87" w:rsidP="003C3686">
            <w:pPr>
              <w:pStyle w:val="Textpoznpodarou"/>
              <w:jc w:val="both"/>
            </w:pPr>
            <w:r w:rsidRPr="002A7D6D">
              <w:t>Změna zásob jakožto jedna ze složek poptávky byla kladná i ve 3. čtvrtletí 2015. Hodnota zásob na skladech narostla v běžných cenách o 7,9 mld. korun. Vzhledem k pokračujícímu růstu zpracovatelského průmyslu a intenzivní výstavbě a opravám infrastrukturních staveb se navyšovaly zejména zásoby produktů, které souvisejí s výrobní činností. Zvyšovaly se však i zásoby obchodního zboží.</w:t>
            </w:r>
          </w:p>
          <w:p w:rsidR="009A3A87" w:rsidRPr="008B7D13" w:rsidRDefault="009A3A87" w:rsidP="003C3686">
            <w:pPr>
              <w:pStyle w:val="Textpoznpodarou"/>
              <w:jc w:val="both"/>
              <w:rPr>
                <w:spacing w:val="-2"/>
              </w:rPr>
            </w:pP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t>Silná domácí poptávka příčinou vyššího růstu dovozu v porovnání s vývozem…</w:t>
            </w:r>
          </w:p>
        </w:tc>
        <w:tc>
          <w:tcPr>
            <w:tcW w:w="143" w:type="pct"/>
          </w:tcPr>
          <w:p w:rsidR="009A3A87" w:rsidRPr="002A7D6D" w:rsidRDefault="009A3A87" w:rsidP="003C3686">
            <w:pPr>
              <w:pStyle w:val="Textpoznpodarou"/>
              <w:jc w:val="both"/>
            </w:pPr>
          </w:p>
        </w:tc>
        <w:tc>
          <w:tcPr>
            <w:tcW w:w="3803" w:type="pct"/>
          </w:tcPr>
          <w:p w:rsidR="009A3A87" w:rsidRPr="002A7D6D" w:rsidRDefault="009A3A87" w:rsidP="003C3686">
            <w:pPr>
              <w:pStyle w:val="Textpoznpodarou"/>
              <w:jc w:val="both"/>
            </w:pPr>
            <w:r w:rsidRPr="002A7D6D">
              <w:t>Nárůst výdajů na konečnou spotřebu domácností a investic byl v roce 2015 z velké části uspokojován produkty, které pocházely ze zahraničí. Není proto překvapivé, že dovoz zboží a služeb do ČR rostl ve všech třech čtvrtletích silněji než vývoz do zahraničí. Za celých devět měsíců se dovoz zvýšil v meziročním srovnání o 8,6 %, vývoz stoupl v tomto období o 7,5 %.</w:t>
            </w: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lastRenderedPageBreak/>
              <w:t>…a rovněž menšího přebytku</w:t>
            </w:r>
            <w:r>
              <w:rPr>
                <w:sz w:val="16"/>
                <w:szCs w:val="16"/>
              </w:rPr>
              <w:t xml:space="preserve"> zahraničního obchodu</w:t>
            </w:r>
            <w:r w:rsidRPr="002A7D6D">
              <w:rPr>
                <w:sz w:val="16"/>
                <w:szCs w:val="16"/>
              </w:rPr>
              <w:t xml:space="preserve"> </w:t>
            </w:r>
            <w:r>
              <w:rPr>
                <w:sz w:val="16"/>
                <w:szCs w:val="16"/>
              </w:rPr>
              <w:t>v meziročním srovnání</w:t>
            </w:r>
          </w:p>
        </w:tc>
        <w:tc>
          <w:tcPr>
            <w:tcW w:w="143" w:type="pct"/>
          </w:tcPr>
          <w:p w:rsidR="009A3A87" w:rsidRPr="002A7D6D" w:rsidRDefault="009A3A87" w:rsidP="003C3686">
            <w:pPr>
              <w:pStyle w:val="Textpoznpodarou"/>
              <w:jc w:val="both"/>
            </w:pPr>
          </w:p>
        </w:tc>
        <w:tc>
          <w:tcPr>
            <w:tcW w:w="3803" w:type="pct"/>
          </w:tcPr>
          <w:p w:rsidR="009A3A87" w:rsidRPr="002A7D6D" w:rsidRDefault="009A3A87" w:rsidP="003C3686">
            <w:pPr>
              <w:pStyle w:val="Textpoznpodarou"/>
              <w:jc w:val="both"/>
            </w:pPr>
            <w:r w:rsidRPr="002A7D6D">
              <w:t xml:space="preserve">Přebytek zahraničního obchodu se zbožím a službami za první tři čtvrtletí roku 2015 činil v běžných cenách 212,5 mld. korun. V meziročním srovnání se zmenšil o 6,6 mld. Při směnných relacích, které v jednotlivých čtvrtletích činily 100,7 %, 99,9 % a 100,1 % bylo zřejmé, že nižší přebytek nebyl důsledkem cenového </w:t>
            </w:r>
            <w:r w:rsidRPr="00D232E8">
              <w:rPr>
                <w:spacing w:val="-2"/>
              </w:rPr>
              <w:t>vývoje. Byl výsledkem rozdílného vývoje reálných toků, tj. již zmíněného</w:t>
            </w:r>
            <w:r w:rsidRPr="002A7D6D">
              <w:t xml:space="preserve"> </w:t>
            </w:r>
            <w:r>
              <w:t xml:space="preserve">rychlejšího </w:t>
            </w:r>
            <w:r w:rsidRPr="002A7D6D">
              <w:t>růstu dovozu oproti vývozu.</w:t>
            </w:r>
          </w:p>
          <w:p w:rsidR="009A3A87" w:rsidRPr="002A7D6D" w:rsidRDefault="009A3A87" w:rsidP="003C3686">
            <w:pPr>
              <w:pStyle w:val="Textpoznpodarou"/>
              <w:jc w:val="both"/>
              <w:rPr>
                <w:spacing w:val="-4"/>
                <w:sz w:val="16"/>
                <w:szCs w:val="16"/>
              </w:rPr>
            </w:pPr>
          </w:p>
        </w:tc>
      </w:tr>
      <w:tr w:rsidR="009A3A87" w:rsidRPr="002A7D6D" w:rsidTr="003C3686">
        <w:tc>
          <w:tcPr>
            <w:tcW w:w="1054" w:type="pct"/>
          </w:tcPr>
          <w:p w:rsidR="009A3A87" w:rsidRPr="002A7D6D" w:rsidRDefault="009A3A87" w:rsidP="003C3686">
            <w:pPr>
              <w:spacing w:line="240" w:lineRule="auto"/>
              <w:rPr>
                <w:sz w:val="16"/>
                <w:szCs w:val="16"/>
              </w:rPr>
            </w:pPr>
            <w:r w:rsidRPr="002A7D6D">
              <w:rPr>
                <w:sz w:val="16"/>
                <w:szCs w:val="16"/>
              </w:rPr>
              <w:t>Na růstu hrubé přidané hodnoty ve 3. čtvrtletí 2015 o 4,3 % meziročně se podílel především zpracovatelský průmysl a služby</w:t>
            </w:r>
          </w:p>
        </w:tc>
        <w:tc>
          <w:tcPr>
            <w:tcW w:w="143" w:type="pct"/>
          </w:tcPr>
          <w:p w:rsidR="009A3A87" w:rsidRPr="002A7D6D" w:rsidRDefault="009A3A87" w:rsidP="003C3686">
            <w:pPr>
              <w:pStyle w:val="Textpoznpodarou"/>
              <w:jc w:val="both"/>
            </w:pPr>
          </w:p>
        </w:tc>
        <w:tc>
          <w:tcPr>
            <w:tcW w:w="3803" w:type="pct"/>
          </w:tcPr>
          <w:p w:rsidR="009A3A87" w:rsidRPr="00D232E8" w:rsidRDefault="009A3A87" w:rsidP="003C3686">
            <w:pPr>
              <w:pStyle w:val="Textpoznpodarou"/>
              <w:jc w:val="both"/>
              <w:rPr>
                <w:spacing w:val="-2"/>
              </w:rPr>
            </w:pPr>
            <w:r w:rsidRPr="00D232E8">
              <w:rPr>
                <w:spacing w:val="-2"/>
              </w:rPr>
              <w:t xml:space="preserve">Na meziročním růstu hrubé přidané hodnoty se ve 3. čtvrtletí 2015 podílel v největším rozsahu zpracovatelský průmysl (+2,1 </w:t>
            </w:r>
            <w:proofErr w:type="spellStart"/>
            <w:r w:rsidRPr="00D232E8">
              <w:rPr>
                <w:spacing w:val="-2"/>
              </w:rPr>
              <w:t>pb</w:t>
            </w:r>
            <w:proofErr w:type="spellEnd"/>
            <w:r w:rsidRPr="00D232E8">
              <w:rPr>
                <w:spacing w:val="-2"/>
              </w:rPr>
              <w:t xml:space="preserve">.), který těžil především z vyšší poptávky v zahraničí, a </w:t>
            </w:r>
            <w:r>
              <w:rPr>
                <w:spacing w:val="-2"/>
              </w:rPr>
              <w:t>rovněž</w:t>
            </w:r>
            <w:r w:rsidRPr="00D232E8">
              <w:rPr>
                <w:spacing w:val="-2"/>
              </w:rPr>
              <w:t xml:space="preserve"> služby (také +2,1 </w:t>
            </w:r>
            <w:proofErr w:type="spellStart"/>
            <w:r w:rsidRPr="00D232E8">
              <w:rPr>
                <w:spacing w:val="-2"/>
              </w:rPr>
              <w:t>pb</w:t>
            </w:r>
            <w:proofErr w:type="spellEnd"/>
            <w:r w:rsidRPr="00D232E8">
              <w:rPr>
                <w:spacing w:val="-2"/>
              </w:rPr>
              <w:t>.). Z nich se z hlediska dynamiky dařilo zejména informačním a komunikačním činnostem (+6,6 %), peněžnictví a pojišťovnictví (+5,5 %) a profesním, vědeckým, technickým a administrativním činnostem (+5,2 %), nejsilněji však k růstu hospodářství přispěl váhově významný segment zahrnující obchod, dopravu, u</w:t>
            </w:r>
            <w:r>
              <w:rPr>
                <w:spacing w:val="-2"/>
              </w:rPr>
              <w:t xml:space="preserve">bytování a pohostinství (růst o </w:t>
            </w:r>
            <w:r w:rsidRPr="00D232E8">
              <w:rPr>
                <w:spacing w:val="-2"/>
              </w:rPr>
              <w:t xml:space="preserve">3,3 %, příspěvek +0,6 </w:t>
            </w:r>
            <w:proofErr w:type="spellStart"/>
            <w:r w:rsidRPr="00D232E8">
              <w:rPr>
                <w:spacing w:val="-2"/>
              </w:rPr>
              <w:t>pb</w:t>
            </w:r>
            <w:proofErr w:type="spellEnd"/>
            <w:r w:rsidRPr="00D232E8">
              <w:rPr>
                <w:spacing w:val="-2"/>
              </w:rPr>
              <w:t xml:space="preserve">.). Díky zakázkám veřejného sektoru se na růstu hrubé přidané hodnoty podílelo i stavebnictví, přidalo +0,3 </w:t>
            </w:r>
            <w:proofErr w:type="spellStart"/>
            <w:r w:rsidRPr="00D232E8">
              <w:rPr>
                <w:spacing w:val="-2"/>
              </w:rPr>
              <w:t>pb</w:t>
            </w:r>
            <w:proofErr w:type="spellEnd"/>
            <w:r w:rsidRPr="00D232E8">
              <w:rPr>
                <w:spacing w:val="-2"/>
              </w:rPr>
              <w:t>. Zemědělství, lesnictví a rybářství k vyššímu výkonu hospodářství nepřispělo</w:t>
            </w:r>
            <w:r>
              <w:rPr>
                <w:spacing w:val="-2"/>
              </w:rPr>
              <w:t xml:space="preserve"> (</w:t>
            </w:r>
            <w:r w:rsidRPr="00D232E8">
              <w:rPr>
                <w:spacing w:val="-2"/>
              </w:rPr>
              <w:t xml:space="preserve">0,0 </w:t>
            </w:r>
            <w:proofErr w:type="spellStart"/>
            <w:r w:rsidRPr="00D232E8">
              <w:rPr>
                <w:spacing w:val="-2"/>
              </w:rPr>
              <w:t>pb</w:t>
            </w:r>
            <w:proofErr w:type="spellEnd"/>
            <w:r w:rsidRPr="00D232E8">
              <w:rPr>
                <w:spacing w:val="-2"/>
              </w:rPr>
              <w:t>.), průmyslová odvětví mimo zpracovatelský průmysl</w:t>
            </w:r>
            <w:r w:rsidRPr="00D232E8">
              <w:rPr>
                <w:rStyle w:val="Znakapoznpodarou"/>
                <w:spacing w:val="-2"/>
              </w:rPr>
              <w:footnoteReference w:id="8"/>
            </w:r>
            <w:r w:rsidRPr="00D232E8">
              <w:rPr>
                <w:spacing w:val="-2"/>
              </w:rPr>
              <w:t xml:space="preserve"> růst ekonomiky mírně brzdila (-0,1 </w:t>
            </w:r>
            <w:proofErr w:type="spellStart"/>
            <w:r w:rsidRPr="00D232E8">
              <w:rPr>
                <w:spacing w:val="-2"/>
              </w:rPr>
              <w:t>pb</w:t>
            </w:r>
            <w:proofErr w:type="spellEnd"/>
            <w:r w:rsidRPr="00D232E8">
              <w:rPr>
                <w:spacing w:val="-2"/>
              </w:rPr>
              <w:t>.).</w:t>
            </w:r>
          </w:p>
        </w:tc>
      </w:tr>
    </w:tbl>
    <w:p w:rsidR="009A3A87" w:rsidRPr="009A3A87" w:rsidRDefault="009A3A87" w:rsidP="00D301CA">
      <w:pPr>
        <w:rPr>
          <w:sz w:val="16"/>
          <w:szCs w:val="16"/>
          <w:lang w:eastAsia="ar-SA"/>
        </w:rPr>
      </w:pPr>
    </w:p>
    <w:tbl>
      <w:tblPr>
        <w:tblW w:w="5000" w:type="pct"/>
        <w:tblLook w:val="04A0"/>
      </w:tblPr>
      <w:tblGrid>
        <w:gridCol w:w="1056"/>
        <w:gridCol w:w="3871"/>
        <w:gridCol w:w="622"/>
        <w:gridCol w:w="4305"/>
      </w:tblGrid>
      <w:tr w:rsidR="009A3A87" w:rsidRPr="002A7D6D" w:rsidTr="009A3A87">
        <w:tc>
          <w:tcPr>
            <w:tcW w:w="536" w:type="pct"/>
          </w:tcPr>
          <w:p w:rsidR="009A3A87" w:rsidRPr="00EF0587" w:rsidRDefault="009A3A87" w:rsidP="003C3686">
            <w:pPr>
              <w:pStyle w:val="Textpoznpodarou"/>
              <w:rPr>
                <w:lang w:eastAsia="en-US"/>
              </w:rPr>
            </w:pPr>
            <w:r w:rsidRPr="00EF0587">
              <w:rPr>
                <w:lang w:eastAsia="en-US"/>
              </w:rPr>
              <w:t>Graf č. 1</w:t>
            </w:r>
          </w:p>
        </w:tc>
        <w:tc>
          <w:tcPr>
            <w:tcW w:w="1965" w:type="pct"/>
          </w:tcPr>
          <w:p w:rsidR="009A3A87" w:rsidRPr="00EF0587" w:rsidRDefault="009A3A87" w:rsidP="003C3686">
            <w:pPr>
              <w:pStyle w:val="Textpoznpodarou"/>
              <w:rPr>
                <w:lang w:eastAsia="en-US"/>
              </w:rPr>
            </w:pPr>
            <w:r w:rsidRPr="009A3A87">
              <w:rPr>
                <w:b/>
                <w:lang w:eastAsia="en-US"/>
              </w:rPr>
              <w:t xml:space="preserve">HDP </w:t>
            </w:r>
            <w:r w:rsidRPr="00EF0587">
              <w:rPr>
                <w:lang w:eastAsia="en-US"/>
              </w:rPr>
              <w:t>(stálé ceny, očištěno o sezónní a kalendářní vlivy, v %)</w:t>
            </w:r>
          </w:p>
        </w:tc>
        <w:tc>
          <w:tcPr>
            <w:tcW w:w="315" w:type="pct"/>
          </w:tcPr>
          <w:p w:rsidR="009A3A87" w:rsidRPr="002A7D6D" w:rsidRDefault="009A3A87" w:rsidP="003C3686">
            <w:pPr>
              <w:pStyle w:val="Textpoznpodarou"/>
              <w:rPr>
                <w:lang w:eastAsia="en-US"/>
              </w:rPr>
            </w:pPr>
            <w:r w:rsidRPr="002A7D6D">
              <w:rPr>
                <w:lang w:eastAsia="en-US"/>
              </w:rPr>
              <w:t>Graf č. 2</w:t>
            </w:r>
          </w:p>
        </w:tc>
        <w:tc>
          <w:tcPr>
            <w:tcW w:w="2185" w:type="pct"/>
          </w:tcPr>
          <w:p w:rsidR="009A3A87" w:rsidRPr="009A3A87" w:rsidRDefault="009A3A87" w:rsidP="003C3686">
            <w:pPr>
              <w:pStyle w:val="Textpoznpodarou"/>
              <w:rPr>
                <w:spacing w:val="-2"/>
                <w:lang w:eastAsia="en-US"/>
              </w:rPr>
            </w:pPr>
            <w:r w:rsidRPr="009A3A87">
              <w:rPr>
                <w:b/>
                <w:spacing w:val="-2"/>
                <w:lang w:eastAsia="en-US"/>
              </w:rPr>
              <w:t xml:space="preserve">HDP </w:t>
            </w:r>
            <w:r w:rsidRPr="009A3A87">
              <w:rPr>
                <w:spacing w:val="-2"/>
                <w:lang w:eastAsia="en-US"/>
              </w:rPr>
              <w:t xml:space="preserve">(stálé ceny, očištěno o sezónní a kalendářní vlivy, y/y v %, pravá osa) </w:t>
            </w:r>
            <w:r w:rsidRPr="009A3A87">
              <w:rPr>
                <w:b/>
                <w:spacing w:val="-2"/>
                <w:lang w:eastAsia="en-US"/>
              </w:rPr>
              <w:t>a indikátory důvěry</w:t>
            </w:r>
            <w:r w:rsidRPr="009A3A87">
              <w:rPr>
                <w:spacing w:val="-2"/>
                <w:lang w:eastAsia="en-US"/>
              </w:rPr>
              <w:t xml:space="preserve"> (2005=100, levá osa)</w:t>
            </w:r>
          </w:p>
        </w:tc>
      </w:tr>
      <w:tr w:rsidR="009A3A87" w:rsidRPr="002A7D6D" w:rsidTr="009A3A87">
        <w:tc>
          <w:tcPr>
            <w:tcW w:w="2501" w:type="pct"/>
            <w:gridSpan w:val="2"/>
          </w:tcPr>
          <w:p w:rsidR="009A3A87" w:rsidRPr="002A7D6D" w:rsidRDefault="00E21CAB" w:rsidP="009A3A87">
            <w:pPr>
              <w:pStyle w:val="Textpoznpodarou"/>
              <w:jc w:val="both"/>
              <w:rPr>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style="width:237pt;height:187.5pt;visibility:visible;mso-wrap-style:square">
                  <v:imagedata r:id="rId12" o:title=""/>
                </v:shape>
              </w:pict>
            </w:r>
          </w:p>
        </w:tc>
        <w:tc>
          <w:tcPr>
            <w:tcW w:w="2499" w:type="pct"/>
            <w:gridSpan w:val="2"/>
          </w:tcPr>
          <w:p w:rsidR="009A3A87" w:rsidRPr="002A7D6D" w:rsidRDefault="00E21CAB" w:rsidP="009A3A87">
            <w:pPr>
              <w:pStyle w:val="Textpoznpodarou"/>
              <w:jc w:val="both"/>
              <w:rPr>
                <w:lang w:eastAsia="en-US"/>
              </w:rPr>
            </w:pPr>
            <w:r>
              <w:rPr>
                <w:noProof/>
              </w:rPr>
              <w:pict>
                <v:shape id="obrázek 3" o:spid="_x0000_i1026" type="#_x0000_t75" style="width:237pt;height:187.5pt;visibility:visible;mso-wrap-style:square">
                  <v:imagedata r:id="rId13" o:title=""/>
                </v:shape>
              </w:pict>
            </w:r>
          </w:p>
        </w:tc>
      </w:tr>
      <w:tr w:rsidR="009A3A87" w:rsidRPr="002A7D6D" w:rsidTr="009A3A87">
        <w:tc>
          <w:tcPr>
            <w:tcW w:w="5000" w:type="pct"/>
            <w:gridSpan w:val="4"/>
          </w:tcPr>
          <w:p w:rsidR="009A3A87" w:rsidRPr="009A3A87" w:rsidRDefault="009A3A87" w:rsidP="009A3A87">
            <w:pPr>
              <w:pStyle w:val="Textpoznpodarou"/>
              <w:jc w:val="right"/>
              <w:rPr>
                <w:sz w:val="18"/>
                <w:szCs w:val="18"/>
                <w:lang w:eastAsia="en-US"/>
              </w:rPr>
            </w:pPr>
            <w:r w:rsidRPr="009A3A87">
              <w:rPr>
                <w:sz w:val="18"/>
                <w:szCs w:val="18"/>
                <w:lang w:eastAsia="en-US"/>
              </w:rPr>
              <w:t>Zdroj: ČSÚ, Eurostat</w:t>
            </w:r>
          </w:p>
        </w:tc>
      </w:tr>
    </w:tbl>
    <w:p w:rsidR="009A3A87" w:rsidRDefault="009A3A87" w:rsidP="00D301CA">
      <w:pPr>
        <w:rPr>
          <w:sz w:val="16"/>
          <w:szCs w:val="16"/>
          <w:lang w:eastAsia="ar-SA"/>
        </w:rPr>
      </w:pPr>
    </w:p>
    <w:tbl>
      <w:tblPr>
        <w:tblW w:w="5000" w:type="pct"/>
        <w:tblLook w:val="04A0"/>
      </w:tblPr>
      <w:tblGrid>
        <w:gridCol w:w="630"/>
        <w:gridCol w:w="4287"/>
        <w:gridCol w:w="1008"/>
        <w:gridCol w:w="1395"/>
        <w:gridCol w:w="2534"/>
      </w:tblGrid>
      <w:tr w:rsidR="009A3A87" w:rsidRPr="002A7D6D" w:rsidTr="009A3A87">
        <w:tc>
          <w:tcPr>
            <w:tcW w:w="319" w:type="pct"/>
          </w:tcPr>
          <w:p w:rsidR="009A3A87" w:rsidRPr="002A7D6D" w:rsidRDefault="009A3A87" w:rsidP="003C3686">
            <w:pPr>
              <w:pStyle w:val="Textpoznpodarou"/>
              <w:rPr>
                <w:lang w:eastAsia="en-US"/>
              </w:rPr>
            </w:pPr>
            <w:r w:rsidRPr="002A7D6D">
              <w:rPr>
                <w:lang w:eastAsia="en-US"/>
              </w:rPr>
              <w:t>Graf č. 3</w:t>
            </w:r>
          </w:p>
        </w:tc>
        <w:tc>
          <w:tcPr>
            <w:tcW w:w="2178" w:type="pct"/>
          </w:tcPr>
          <w:p w:rsidR="009A3A87" w:rsidRPr="009A3A87" w:rsidRDefault="009A3A87" w:rsidP="003C3686">
            <w:pPr>
              <w:pStyle w:val="Textpoznpodarou"/>
              <w:rPr>
                <w:spacing w:val="-6"/>
                <w:lang w:eastAsia="en-US"/>
              </w:rPr>
            </w:pPr>
            <w:r w:rsidRPr="009A3A87">
              <w:rPr>
                <w:b/>
                <w:spacing w:val="-6"/>
                <w:lang w:eastAsia="en-US"/>
              </w:rPr>
              <w:t>Příspěvky výdajových složek ke změně HDP*</w:t>
            </w:r>
            <w:r w:rsidRPr="009A3A87">
              <w:rPr>
                <w:spacing w:val="-6"/>
                <w:lang w:eastAsia="en-US"/>
              </w:rPr>
              <w:t xml:space="preserve"> (stálé ceny, y/y, příspěvky v pb., HDP v %)</w:t>
            </w:r>
          </w:p>
        </w:tc>
        <w:tc>
          <w:tcPr>
            <w:tcW w:w="511" w:type="pct"/>
          </w:tcPr>
          <w:p w:rsidR="009A3A87" w:rsidRPr="002A7D6D" w:rsidRDefault="009A3A87" w:rsidP="003C3686">
            <w:pPr>
              <w:pStyle w:val="Textpoznpodarou"/>
              <w:rPr>
                <w:lang w:eastAsia="en-US"/>
              </w:rPr>
            </w:pPr>
            <w:r w:rsidRPr="002A7D6D">
              <w:rPr>
                <w:lang w:eastAsia="en-US"/>
              </w:rPr>
              <w:t>Graf č. 4</w:t>
            </w:r>
          </w:p>
        </w:tc>
        <w:tc>
          <w:tcPr>
            <w:tcW w:w="1992" w:type="pct"/>
            <w:gridSpan w:val="2"/>
          </w:tcPr>
          <w:p w:rsidR="009A3A87" w:rsidRPr="002A7D6D" w:rsidRDefault="009A3A87" w:rsidP="003C3686">
            <w:pPr>
              <w:pStyle w:val="Textpoznpodarou"/>
              <w:rPr>
                <w:lang w:eastAsia="en-US"/>
              </w:rPr>
            </w:pPr>
            <w:r w:rsidRPr="009A3A87">
              <w:rPr>
                <w:b/>
                <w:lang w:eastAsia="en-US"/>
              </w:rPr>
              <w:t>Příspěvky odvětví ke změně HPH</w:t>
            </w:r>
            <w:r w:rsidRPr="002A7D6D">
              <w:rPr>
                <w:lang w:eastAsia="en-US"/>
              </w:rPr>
              <w:t xml:space="preserve"> (stálé ceny, y/y, příspěvky v pb., HPH v %)</w:t>
            </w:r>
          </w:p>
        </w:tc>
      </w:tr>
      <w:tr w:rsidR="009A3A87" w:rsidRPr="002A7D6D" w:rsidTr="009A3A87">
        <w:tc>
          <w:tcPr>
            <w:tcW w:w="2497" w:type="pct"/>
            <w:gridSpan w:val="2"/>
          </w:tcPr>
          <w:p w:rsidR="009A3A87" w:rsidRPr="009A3A87" w:rsidRDefault="00E21CAB" w:rsidP="009A3A87">
            <w:pPr>
              <w:pStyle w:val="Textpoznpodarou"/>
              <w:jc w:val="both"/>
              <w:rPr>
                <w:sz w:val="22"/>
                <w:lang w:eastAsia="en-US"/>
              </w:rPr>
            </w:pPr>
            <w:r w:rsidRPr="000A66C2">
              <w:rPr>
                <w:noProof/>
                <w:sz w:val="22"/>
              </w:rPr>
              <w:pict>
                <v:shape id="obrázek 4" o:spid="_x0000_i1027" type="#_x0000_t75" style="width:237pt;height:187.5pt;visibility:visible;mso-wrap-style:square">
                  <v:imagedata r:id="rId14" o:title=""/>
                </v:shape>
              </w:pict>
            </w:r>
          </w:p>
        </w:tc>
        <w:tc>
          <w:tcPr>
            <w:tcW w:w="2503" w:type="pct"/>
            <w:gridSpan w:val="3"/>
          </w:tcPr>
          <w:p w:rsidR="009A3A87" w:rsidRPr="009A3A87" w:rsidRDefault="00E21CAB" w:rsidP="009A3A87">
            <w:pPr>
              <w:pStyle w:val="Textpoznpodarou"/>
              <w:jc w:val="both"/>
              <w:rPr>
                <w:sz w:val="22"/>
                <w:lang w:eastAsia="en-US"/>
              </w:rPr>
            </w:pPr>
            <w:r w:rsidRPr="000A66C2">
              <w:rPr>
                <w:noProof/>
                <w:sz w:val="22"/>
              </w:rPr>
              <w:pict>
                <v:shape id="obrázek 5" o:spid="_x0000_i1028" type="#_x0000_t75" style="width:237.75pt;height:187.5pt;visibility:visible;mso-wrap-style:square">
                  <v:imagedata r:id="rId15" o:title=""/>
                </v:shape>
              </w:pict>
            </w:r>
          </w:p>
        </w:tc>
      </w:tr>
      <w:tr w:rsidR="009A3A87" w:rsidRPr="002A7D6D" w:rsidTr="009A3A87">
        <w:tc>
          <w:tcPr>
            <w:tcW w:w="3715" w:type="pct"/>
            <w:gridSpan w:val="4"/>
          </w:tcPr>
          <w:p w:rsidR="009A3A87" w:rsidRPr="009A3A87" w:rsidRDefault="009A3A87" w:rsidP="003C3686">
            <w:pPr>
              <w:pStyle w:val="Textpoznpodarou"/>
              <w:rPr>
                <w:sz w:val="18"/>
                <w:szCs w:val="18"/>
                <w:lang w:eastAsia="en-US"/>
              </w:rPr>
            </w:pPr>
            <w:r w:rsidRPr="009A3A87">
              <w:rPr>
                <w:sz w:val="18"/>
                <w:szCs w:val="18"/>
                <w:lang w:eastAsia="en-US"/>
              </w:rPr>
              <w:t>*příspěvky ke změně HDP bez vyloučení dovozu pro konečné užití</w:t>
            </w:r>
          </w:p>
        </w:tc>
        <w:tc>
          <w:tcPr>
            <w:tcW w:w="1285" w:type="pct"/>
          </w:tcPr>
          <w:p w:rsidR="009A3A87" w:rsidRPr="009A3A87" w:rsidRDefault="009A3A87" w:rsidP="009A3A87">
            <w:pPr>
              <w:pStyle w:val="Textpoznpodarou"/>
              <w:jc w:val="right"/>
              <w:rPr>
                <w:sz w:val="18"/>
                <w:szCs w:val="18"/>
                <w:lang w:eastAsia="en-US"/>
              </w:rPr>
            </w:pPr>
            <w:r w:rsidRPr="009A3A87">
              <w:rPr>
                <w:sz w:val="18"/>
                <w:szCs w:val="18"/>
                <w:lang w:eastAsia="en-US"/>
              </w:rPr>
              <w:t>Zdroj: ČSÚ</w:t>
            </w:r>
          </w:p>
        </w:tc>
      </w:tr>
    </w:tbl>
    <w:p w:rsidR="00576A3E" w:rsidRPr="00F4591F" w:rsidRDefault="00576A3E" w:rsidP="00FC3C84">
      <w:pPr>
        <w:pStyle w:val="Nadpis1"/>
        <w:numPr>
          <w:ilvl w:val="0"/>
          <w:numId w:val="3"/>
        </w:numPr>
        <w:jc w:val="both"/>
      </w:pPr>
      <w:bookmarkStart w:id="5" w:name="_Toc437874296"/>
      <w:r>
        <w:lastRenderedPageBreak/>
        <w:t>Výkonnost odvětví</w:t>
      </w:r>
      <w:bookmarkEnd w:id="5"/>
    </w:p>
    <w:tbl>
      <w:tblPr>
        <w:tblW w:w="5059" w:type="pct"/>
        <w:tblCellMar>
          <w:left w:w="28" w:type="dxa"/>
          <w:right w:w="28" w:type="dxa"/>
        </w:tblCellMar>
        <w:tblLook w:val="04A0"/>
      </w:tblPr>
      <w:tblGrid>
        <w:gridCol w:w="734"/>
        <w:gridCol w:w="1379"/>
        <w:gridCol w:w="282"/>
        <w:gridCol w:w="2534"/>
        <w:gridCol w:w="761"/>
        <w:gridCol w:w="4002"/>
        <w:gridCol w:w="116"/>
      </w:tblGrid>
      <w:tr w:rsidR="00652CBB" w:rsidTr="00652CBB">
        <w:trPr>
          <w:gridAfter w:val="1"/>
          <w:wAfter w:w="59" w:type="pct"/>
        </w:trPr>
        <w:tc>
          <w:tcPr>
            <w:tcW w:w="1077" w:type="pct"/>
            <w:gridSpan w:val="2"/>
          </w:tcPr>
          <w:p w:rsidR="00652CBB" w:rsidRDefault="00652CBB" w:rsidP="00652CBB">
            <w:pPr>
              <w:spacing w:line="240" w:lineRule="auto"/>
              <w:rPr>
                <w:color w:val="0D0D0D" w:themeColor="text1" w:themeTint="F2"/>
                <w:sz w:val="16"/>
                <w:szCs w:val="16"/>
              </w:rPr>
            </w:pPr>
            <w:r>
              <w:rPr>
                <w:color w:val="0D0D0D" w:themeColor="text1" w:themeTint="F2"/>
                <w:sz w:val="16"/>
                <w:szCs w:val="16"/>
              </w:rPr>
              <w:t>Meziroční růst HPH v průběhu roku 2015 nadále zrychloval, ve 3. čtvrtletí dosáhl nejvyššího tempa od 1. poloviny roku 2008</w:t>
            </w:r>
          </w:p>
          <w:p w:rsidR="00652CBB" w:rsidRDefault="00652CBB" w:rsidP="00652CBB">
            <w:pPr>
              <w:spacing w:line="240" w:lineRule="auto"/>
              <w:rPr>
                <w:color w:val="0D0D0D" w:themeColor="text1" w:themeTint="F2"/>
                <w:sz w:val="16"/>
                <w:szCs w:val="16"/>
              </w:rPr>
            </w:pPr>
          </w:p>
          <w:p w:rsidR="00652CBB" w:rsidRDefault="00652CBB" w:rsidP="00652CBB">
            <w:pPr>
              <w:spacing w:line="240" w:lineRule="auto"/>
              <w:rPr>
                <w:color w:val="0D0D0D" w:themeColor="text1" w:themeTint="F2"/>
                <w:sz w:val="16"/>
                <w:szCs w:val="16"/>
              </w:rPr>
            </w:pPr>
          </w:p>
          <w:p w:rsidR="00652CBB" w:rsidRDefault="00652CBB" w:rsidP="00652CBB">
            <w:pPr>
              <w:spacing w:line="240" w:lineRule="auto"/>
              <w:rPr>
                <w:color w:val="0D0D0D" w:themeColor="text1" w:themeTint="F2"/>
                <w:sz w:val="16"/>
                <w:szCs w:val="16"/>
              </w:rPr>
            </w:pPr>
            <w:r>
              <w:rPr>
                <w:color w:val="0D0D0D" w:themeColor="text1" w:themeTint="F2"/>
                <w:sz w:val="16"/>
                <w:szCs w:val="16"/>
              </w:rPr>
              <w:t>Růst HPH v ČR táhl zpracovatelský průmysl, v celé EU ale tu roli plní seskupení odvětví o</w:t>
            </w:r>
            <w:r w:rsidRPr="00F5731D">
              <w:rPr>
                <w:color w:val="0D0D0D" w:themeColor="text1" w:themeTint="F2"/>
                <w:sz w:val="16"/>
                <w:szCs w:val="16"/>
              </w:rPr>
              <w:t xml:space="preserve">bchod, doprava, ubytování </w:t>
            </w:r>
          </w:p>
          <w:p w:rsidR="00652CBB" w:rsidRDefault="00652CBB" w:rsidP="00652CBB">
            <w:pPr>
              <w:spacing w:line="240" w:lineRule="auto"/>
              <w:rPr>
                <w:color w:val="0D0D0D" w:themeColor="text1" w:themeTint="F2"/>
                <w:sz w:val="16"/>
                <w:szCs w:val="16"/>
              </w:rPr>
            </w:pPr>
            <w:r w:rsidRPr="00F5731D">
              <w:rPr>
                <w:color w:val="0D0D0D" w:themeColor="text1" w:themeTint="F2"/>
                <w:sz w:val="16"/>
                <w:szCs w:val="16"/>
              </w:rPr>
              <w:t>a pohostinství</w:t>
            </w:r>
          </w:p>
          <w:p w:rsidR="00652CBB" w:rsidRPr="00D340F6" w:rsidRDefault="00652CBB" w:rsidP="00652CBB">
            <w:pPr>
              <w:spacing w:line="240" w:lineRule="auto"/>
              <w:rPr>
                <w:color w:val="0D0D0D" w:themeColor="text1" w:themeTint="F2"/>
                <w:sz w:val="16"/>
                <w:szCs w:val="16"/>
              </w:rPr>
            </w:pPr>
          </w:p>
        </w:tc>
        <w:tc>
          <w:tcPr>
            <w:tcW w:w="144" w:type="pct"/>
          </w:tcPr>
          <w:p w:rsidR="00652CBB" w:rsidRDefault="00652CBB" w:rsidP="00652CBB">
            <w:pPr>
              <w:pStyle w:val="Textpoznpodarou"/>
              <w:jc w:val="both"/>
            </w:pPr>
          </w:p>
        </w:tc>
        <w:tc>
          <w:tcPr>
            <w:tcW w:w="3720" w:type="pct"/>
            <w:gridSpan w:val="3"/>
          </w:tcPr>
          <w:p w:rsidR="00652CBB" w:rsidRPr="005963D8" w:rsidRDefault="00652CBB" w:rsidP="00652CBB">
            <w:pPr>
              <w:pStyle w:val="Textpoznpodarou"/>
              <w:jc w:val="both"/>
              <w:rPr>
                <w:color w:val="0D0D0D" w:themeColor="text1" w:themeTint="F2"/>
                <w:spacing w:val="-4"/>
              </w:rPr>
            </w:pPr>
            <w:r w:rsidRPr="005963D8">
              <w:rPr>
                <w:color w:val="0D0D0D" w:themeColor="text1" w:themeTint="F2"/>
                <w:spacing w:val="-4"/>
              </w:rPr>
              <w:t>Dosavadní vývoj během roku 2015</w:t>
            </w:r>
            <w:r>
              <w:rPr>
                <w:color w:val="0D0D0D" w:themeColor="text1" w:themeTint="F2"/>
                <w:spacing w:val="-4"/>
              </w:rPr>
              <w:t xml:space="preserve"> potvrdil velmi dobrou kondici ekonomiky ČR. Hrubá přidaná hodnota (HPH)</w:t>
            </w:r>
            <w:r>
              <w:rPr>
                <w:rStyle w:val="Znakapoznpodarou"/>
                <w:color w:val="0D0D0D" w:themeColor="text1" w:themeTint="F2"/>
                <w:spacing w:val="-4"/>
              </w:rPr>
              <w:footnoteReference w:id="9"/>
            </w:r>
            <w:r>
              <w:rPr>
                <w:color w:val="0D0D0D" w:themeColor="text1" w:themeTint="F2"/>
                <w:spacing w:val="-4"/>
              </w:rPr>
              <w:t xml:space="preserve"> pokračovala v</w:t>
            </w:r>
            <w:r>
              <w:rPr>
                <w:spacing w:val="-4"/>
              </w:rPr>
              <w:t> </w:t>
            </w:r>
            <w:r w:rsidR="00C71EC4">
              <w:rPr>
                <w:color w:val="0D0D0D" w:themeColor="text1" w:themeTint="F2"/>
                <w:spacing w:val="-4"/>
              </w:rPr>
              <w:t>mezičtvrtletním</w:t>
            </w:r>
            <w:r>
              <w:rPr>
                <w:color w:val="0D0D0D" w:themeColor="text1" w:themeTint="F2"/>
                <w:spacing w:val="-4"/>
              </w:rPr>
              <w:t xml:space="preserve"> růstu již podesáté v řadě (déle než v období krátkodobého oživení po hluboké recesi v roce 2009). V meziročním vyjádření dynamika HPH nadále zrychlovala až na 4,3 % ve 3.</w:t>
            </w:r>
            <w:r>
              <w:rPr>
                <w:spacing w:val="-4"/>
              </w:rPr>
              <w:t> </w:t>
            </w:r>
            <w:r>
              <w:rPr>
                <w:color w:val="0D0D0D" w:themeColor="text1" w:themeTint="F2"/>
                <w:spacing w:val="-4"/>
              </w:rPr>
              <w:t xml:space="preserve">čtvrtletí, když na přelomu let 2014 a 2015 posílila o skromnějších 3,4 %. Přetrvala dominantní role zpracovatelského průmyslu, který od počátku roku přispěl k růstu HPH v celé ekonomice téměř polovinou, vcelku rovnoměrně dále přidala všechna hlavní uskupení služeb (s mírnou převahou váhově dominantního shluku odvětví obchod, doprava, ubytování a stravování). </w:t>
            </w:r>
            <w:r w:rsidRPr="009545C7">
              <w:rPr>
                <w:color w:val="0D0D0D" w:themeColor="text1" w:themeTint="F2"/>
                <w:spacing w:val="-4"/>
              </w:rPr>
              <w:t>Obnovení důvěry v ekonomiku i nepolevující příliv zakázek v klíčových odvětvích vedly během roku 2015 k nejrychlejšímu meziročnímu růstu počtu pracovníků v celé ekonomice po roce 2008</w:t>
            </w:r>
            <w:r>
              <w:rPr>
                <w:color w:val="0D0D0D" w:themeColor="text1" w:themeTint="F2"/>
                <w:spacing w:val="-4"/>
              </w:rPr>
              <w:t>. Současně se snižovaly stavy sebezaměstnaných (nikoliv však u podnikatelů se zaměstnanci), zřetelně vyšší byly meziročně jen v primárním sektoru a tzv. ostatních službách</w:t>
            </w:r>
            <w:r>
              <w:rPr>
                <w:rStyle w:val="Znakapoznpodarou"/>
                <w:color w:val="0D0D0D" w:themeColor="text1" w:themeTint="F2"/>
                <w:spacing w:val="-4"/>
              </w:rPr>
              <w:footnoteReference w:id="10"/>
            </w:r>
            <w:r>
              <w:rPr>
                <w:color w:val="0D0D0D" w:themeColor="text1" w:themeTint="F2"/>
                <w:spacing w:val="-4"/>
              </w:rPr>
              <w:t>.</w:t>
            </w:r>
          </w:p>
          <w:p w:rsidR="00652CBB" w:rsidRPr="00BF7CB8" w:rsidRDefault="00652CBB" w:rsidP="00652CBB">
            <w:pPr>
              <w:pStyle w:val="Textpoznpodarou"/>
              <w:jc w:val="both"/>
              <w:rPr>
                <w:spacing w:val="-4"/>
                <w:sz w:val="16"/>
                <w:szCs w:val="16"/>
              </w:rPr>
            </w:pPr>
          </w:p>
        </w:tc>
      </w:tr>
      <w:tr w:rsidR="00652CBB" w:rsidTr="00652CBB">
        <w:trPr>
          <w:gridAfter w:val="1"/>
          <w:wAfter w:w="59" w:type="pct"/>
        </w:trPr>
        <w:tc>
          <w:tcPr>
            <w:tcW w:w="1077" w:type="pct"/>
            <w:gridSpan w:val="2"/>
          </w:tcPr>
          <w:p w:rsidR="00652CBB" w:rsidRDefault="00652CBB" w:rsidP="00652CBB">
            <w:pPr>
              <w:spacing w:line="240" w:lineRule="auto"/>
              <w:rPr>
                <w:color w:val="0D0D0D" w:themeColor="text1" w:themeTint="F2"/>
                <w:sz w:val="16"/>
                <w:szCs w:val="16"/>
              </w:rPr>
            </w:pPr>
            <w:r w:rsidRPr="009213B7">
              <w:rPr>
                <w:color w:val="0D0D0D" w:themeColor="text1" w:themeTint="F2"/>
                <w:sz w:val="16"/>
                <w:szCs w:val="16"/>
              </w:rPr>
              <w:t>Přidaná hodnota v převážně exportně orientovaném zpracovatelském průmyslu rostla</w:t>
            </w:r>
            <w:r>
              <w:rPr>
                <w:color w:val="0D0D0D" w:themeColor="text1" w:themeTint="F2"/>
                <w:sz w:val="16"/>
                <w:szCs w:val="16"/>
              </w:rPr>
              <w:t xml:space="preserve"> (podobně jako loni</w:t>
            </w:r>
            <w:r w:rsidRPr="009213B7">
              <w:rPr>
                <w:color w:val="0D0D0D" w:themeColor="text1" w:themeTint="F2"/>
                <w:sz w:val="16"/>
                <w:szCs w:val="16"/>
              </w:rPr>
              <w:t>) oproti celé ekonomice téměř dvojnásobným tempem</w:t>
            </w:r>
          </w:p>
          <w:p w:rsidR="00652CBB" w:rsidRPr="000A4ACC" w:rsidRDefault="00652CBB" w:rsidP="00652CBB">
            <w:pPr>
              <w:spacing w:line="240" w:lineRule="auto"/>
              <w:rPr>
                <w:spacing w:val="-2"/>
                <w:sz w:val="16"/>
                <w:szCs w:val="16"/>
              </w:rPr>
            </w:pPr>
          </w:p>
        </w:tc>
        <w:tc>
          <w:tcPr>
            <w:tcW w:w="144" w:type="pct"/>
          </w:tcPr>
          <w:p w:rsidR="00652CBB" w:rsidRDefault="00652CBB" w:rsidP="00652CBB">
            <w:pPr>
              <w:pStyle w:val="Textpoznpodarou"/>
              <w:jc w:val="both"/>
            </w:pPr>
          </w:p>
        </w:tc>
        <w:tc>
          <w:tcPr>
            <w:tcW w:w="3720" w:type="pct"/>
            <w:gridSpan w:val="3"/>
          </w:tcPr>
          <w:p w:rsidR="00652CBB" w:rsidRPr="00907D39" w:rsidRDefault="00652CBB" w:rsidP="00652CBB">
            <w:pPr>
              <w:pStyle w:val="Textpoznpodarou"/>
              <w:jc w:val="both"/>
              <w:rPr>
                <w:spacing w:val="-4"/>
              </w:rPr>
            </w:pPr>
            <w:r>
              <w:rPr>
                <w:spacing w:val="-4"/>
              </w:rPr>
              <w:t>Ve zpracovatelském průmyslu přidaná hodnota v průběhu roku nadále zrychlovala (z</w:t>
            </w:r>
            <w:r>
              <w:rPr>
                <w:color w:val="0D0D0D" w:themeColor="text1" w:themeTint="F2"/>
                <w:spacing w:val="-4"/>
              </w:rPr>
              <w:t> </w:t>
            </w:r>
            <w:r>
              <w:rPr>
                <w:spacing w:val="-4"/>
              </w:rPr>
              <w:t xml:space="preserve">5,8 % v 1. čtvrtletí na téměř 8 % ve 3. čtvrtletí), a to navzdory již relativně vysoké loňské základně. Pokračující růst zahraniční poptávky se zde odráží i v růstu počtu zaměstnanců (v úhrnu za 1. až 3. čtvrtletí meziročně o 2,6 %), zčásti </w:t>
            </w:r>
            <w:r w:rsidR="00C71EC4">
              <w:rPr>
                <w:spacing w:val="-4"/>
              </w:rPr>
              <w:t>realizovaném</w:t>
            </w:r>
            <w:r>
              <w:rPr>
                <w:spacing w:val="-4"/>
              </w:rPr>
              <w:t xml:space="preserve"> přirozeným přelivem agenturních pracovníků do kategorie kmenových zaměstnanců. Ještě dynamičtěji se zvyšovala (podobně jako v předchozím roce) odpracovaná doba zaměstnanců (od počátku roku o 3,6 %, v samotném 3.</w:t>
            </w:r>
            <w:r>
              <w:rPr>
                <w:color w:val="0D0D0D" w:themeColor="text1" w:themeTint="F2"/>
                <w:spacing w:val="-4"/>
              </w:rPr>
              <w:t> </w:t>
            </w:r>
            <w:r>
              <w:rPr>
                <w:spacing w:val="-4"/>
              </w:rPr>
              <w:t>čtvrtletí dokonce o 4,8 %).</w:t>
            </w:r>
          </w:p>
          <w:p w:rsidR="00652CBB" w:rsidRPr="00BF7CB8" w:rsidRDefault="00652CBB" w:rsidP="00652CBB">
            <w:pPr>
              <w:pStyle w:val="Textpoznpodarou"/>
              <w:jc w:val="both"/>
              <w:rPr>
                <w:spacing w:val="-4"/>
                <w:sz w:val="16"/>
                <w:szCs w:val="16"/>
              </w:rPr>
            </w:pPr>
          </w:p>
        </w:tc>
      </w:tr>
      <w:tr w:rsidR="00652CBB" w:rsidTr="00652CBB">
        <w:trPr>
          <w:gridAfter w:val="1"/>
          <w:wAfter w:w="59" w:type="pct"/>
        </w:trPr>
        <w:tc>
          <w:tcPr>
            <w:tcW w:w="1077" w:type="pct"/>
            <w:gridSpan w:val="2"/>
          </w:tcPr>
          <w:p w:rsidR="00652CBB" w:rsidRPr="00DA1318" w:rsidRDefault="00652CBB" w:rsidP="00652CBB">
            <w:pPr>
              <w:spacing w:line="240" w:lineRule="auto"/>
              <w:rPr>
                <w:sz w:val="16"/>
                <w:szCs w:val="16"/>
              </w:rPr>
            </w:pPr>
            <w:r>
              <w:rPr>
                <w:sz w:val="16"/>
                <w:szCs w:val="16"/>
              </w:rPr>
              <w:t>Přidanou hodnotou v zemědělství negativně ovlivnilo sucho i klesající produkce vepřového masa</w:t>
            </w:r>
          </w:p>
        </w:tc>
        <w:tc>
          <w:tcPr>
            <w:tcW w:w="144" w:type="pct"/>
          </w:tcPr>
          <w:p w:rsidR="00652CBB" w:rsidRDefault="00652CBB" w:rsidP="00652CBB">
            <w:pPr>
              <w:pStyle w:val="Textpoznpodarou"/>
              <w:jc w:val="both"/>
              <w:rPr>
                <w:spacing w:val="-2"/>
              </w:rPr>
            </w:pPr>
          </w:p>
        </w:tc>
        <w:tc>
          <w:tcPr>
            <w:tcW w:w="3720" w:type="pct"/>
            <w:gridSpan w:val="3"/>
          </w:tcPr>
          <w:p w:rsidR="00652CBB" w:rsidRDefault="00652CBB" w:rsidP="00652CBB">
            <w:pPr>
              <w:pStyle w:val="Textpoznpodarou"/>
              <w:jc w:val="both"/>
              <w:rPr>
                <w:spacing w:val="-4"/>
              </w:rPr>
            </w:pPr>
            <w:r>
              <w:rPr>
                <w:spacing w:val="-4"/>
              </w:rPr>
              <w:t>V odvětví z</w:t>
            </w:r>
            <w:r w:rsidRPr="00787DA7">
              <w:rPr>
                <w:spacing w:val="-4"/>
              </w:rPr>
              <w:t>emědělství, lesnictví a rybářství</w:t>
            </w:r>
            <w:r>
              <w:rPr>
                <w:spacing w:val="-4"/>
              </w:rPr>
              <w:t xml:space="preserve"> rostla přidaná hodnota pouze mírně, za tři čtvrtletí 2015 meziročně o 1,3 %, v samotném 3. čtvrtletí však o 1,1 % oslabila. Dlouhotrvající sucha poznamenala především úrodu pícnin, brambor či zeleniny, u</w:t>
            </w:r>
            <w:r>
              <w:rPr>
                <w:color w:val="0D0D0D" w:themeColor="text1" w:themeTint="F2"/>
                <w:spacing w:val="-4"/>
              </w:rPr>
              <w:t> </w:t>
            </w:r>
            <w:r>
              <w:rPr>
                <w:spacing w:val="-4"/>
              </w:rPr>
              <w:t xml:space="preserve">základních obilovin (váhově dominantní složky produkce) se však letošní úroda přiblížila velmi vysoké loňské úrovni. Výkony agrárního segmentu dlouhodoběji negativně ovlivňuje také nižší produkce vepřového masa. </w:t>
            </w:r>
          </w:p>
          <w:p w:rsidR="00652CBB" w:rsidRPr="00BF7CB8" w:rsidRDefault="00652CBB" w:rsidP="00652CBB">
            <w:pPr>
              <w:pStyle w:val="Textpoznpodarou"/>
              <w:jc w:val="both"/>
              <w:rPr>
                <w:spacing w:val="-4"/>
                <w:sz w:val="16"/>
                <w:szCs w:val="16"/>
              </w:rPr>
            </w:pPr>
          </w:p>
        </w:tc>
      </w:tr>
      <w:tr w:rsidR="00652CBB" w:rsidTr="00652CBB">
        <w:trPr>
          <w:gridAfter w:val="1"/>
          <w:wAfter w:w="59" w:type="pct"/>
        </w:trPr>
        <w:tc>
          <w:tcPr>
            <w:tcW w:w="1077" w:type="pct"/>
            <w:gridSpan w:val="2"/>
          </w:tcPr>
          <w:p w:rsidR="00652CBB" w:rsidRPr="000F401E" w:rsidRDefault="00652CBB" w:rsidP="00652CBB">
            <w:pPr>
              <w:spacing w:line="240" w:lineRule="auto"/>
              <w:rPr>
                <w:sz w:val="16"/>
                <w:szCs w:val="16"/>
              </w:rPr>
            </w:pPr>
            <w:r>
              <w:rPr>
                <w:sz w:val="16"/>
                <w:szCs w:val="16"/>
              </w:rPr>
              <w:t xml:space="preserve">Vleklý pokles počtu zaměstnanců ve stavebnictví </w:t>
            </w:r>
            <w:r w:rsidRPr="006565FD">
              <w:rPr>
                <w:spacing w:val="-2"/>
                <w:sz w:val="16"/>
                <w:szCs w:val="16"/>
              </w:rPr>
              <w:t xml:space="preserve">(dle pojetí národních účtů) </w:t>
            </w:r>
            <w:r>
              <w:rPr>
                <w:spacing w:val="-2"/>
                <w:sz w:val="16"/>
                <w:szCs w:val="16"/>
              </w:rPr>
              <w:t xml:space="preserve">se </w:t>
            </w:r>
            <w:r w:rsidRPr="006565FD">
              <w:rPr>
                <w:spacing w:val="-2"/>
                <w:sz w:val="16"/>
                <w:szCs w:val="16"/>
              </w:rPr>
              <w:t>ve</w:t>
            </w:r>
            <w:r>
              <w:rPr>
                <w:sz w:val="16"/>
                <w:szCs w:val="16"/>
              </w:rPr>
              <w:t xml:space="preserve"> 2. čtvrtletí zastavil, úbytek sebezaměstnaných se však současně prohloubil</w:t>
            </w:r>
          </w:p>
        </w:tc>
        <w:tc>
          <w:tcPr>
            <w:tcW w:w="144" w:type="pct"/>
          </w:tcPr>
          <w:p w:rsidR="00652CBB" w:rsidRDefault="00652CBB" w:rsidP="00652CBB">
            <w:pPr>
              <w:pStyle w:val="Textpoznpodarou"/>
              <w:jc w:val="both"/>
              <w:rPr>
                <w:spacing w:val="-2"/>
              </w:rPr>
            </w:pPr>
          </w:p>
        </w:tc>
        <w:tc>
          <w:tcPr>
            <w:tcW w:w="3720" w:type="pct"/>
            <w:gridSpan w:val="3"/>
          </w:tcPr>
          <w:p w:rsidR="00652CBB" w:rsidRPr="00413E94" w:rsidRDefault="00652CBB" w:rsidP="00652CBB">
            <w:pPr>
              <w:pStyle w:val="Textpoznpodarou"/>
              <w:jc w:val="both"/>
              <w:rPr>
                <w:color w:val="0D0D0D" w:themeColor="text1" w:themeTint="F2"/>
                <w:spacing w:val="-4"/>
              </w:rPr>
            </w:pPr>
            <w:r>
              <w:rPr>
                <w:color w:val="0D0D0D" w:themeColor="text1" w:themeTint="F2"/>
                <w:spacing w:val="-4"/>
              </w:rPr>
              <w:t xml:space="preserve">Na loňské oživení plně navázalo stavebnictví i v roce 2015, když </w:t>
            </w:r>
            <w:r>
              <w:rPr>
                <w:spacing w:val="-4"/>
              </w:rPr>
              <w:t>za tři čtvrtletí se jeho HPH navýšila meziročně o 2,9 %. Gradující tlak na dočerpání zbývajících prostředků z rozpočtu EU určených</w:t>
            </w:r>
            <w:r w:rsidR="008252D7">
              <w:rPr>
                <w:spacing w:val="-4"/>
              </w:rPr>
              <w:t xml:space="preserve"> mimo jiné</w:t>
            </w:r>
            <w:r>
              <w:rPr>
                <w:spacing w:val="-4"/>
              </w:rPr>
              <w:t xml:space="preserve"> na dopravní stavby se projevil i v nebývale vysokém růstu HPH mezi 2. a 3. čtvrtletím (o 4,8 %) a také zastavením více než pět let trvajícího poklesu počtu zaměstnanců (v pojetí národních účtů).</w:t>
            </w:r>
          </w:p>
          <w:p w:rsidR="00652CBB" w:rsidRPr="00BF7CB8" w:rsidRDefault="00652CBB" w:rsidP="00652CBB">
            <w:pPr>
              <w:pStyle w:val="Textpoznpodarou"/>
              <w:jc w:val="both"/>
              <w:rPr>
                <w:color w:val="0D0D0D" w:themeColor="text1" w:themeTint="F2"/>
                <w:spacing w:val="-4"/>
                <w:sz w:val="16"/>
                <w:szCs w:val="16"/>
              </w:rPr>
            </w:pPr>
          </w:p>
        </w:tc>
      </w:tr>
      <w:tr w:rsidR="00652CBB" w:rsidTr="00652CBB">
        <w:trPr>
          <w:gridAfter w:val="1"/>
          <w:wAfter w:w="59" w:type="pct"/>
          <w:cantSplit/>
          <w:trHeight w:val="203"/>
        </w:trPr>
        <w:tc>
          <w:tcPr>
            <w:tcW w:w="1077" w:type="pct"/>
            <w:gridSpan w:val="2"/>
          </w:tcPr>
          <w:p w:rsidR="00652CBB" w:rsidRPr="00903634" w:rsidRDefault="00652CBB" w:rsidP="00652CBB">
            <w:pPr>
              <w:spacing w:line="240" w:lineRule="auto"/>
              <w:rPr>
                <w:spacing w:val="-2"/>
                <w:sz w:val="16"/>
                <w:szCs w:val="16"/>
              </w:rPr>
            </w:pPr>
            <w:r>
              <w:rPr>
                <w:spacing w:val="-2"/>
                <w:sz w:val="16"/>
                <w:szCs w:val="16"/>
              </w:rPr>
              <w:t xml:space="preserve">V seskupení </w:t>
            </w:r>
            <w:r w:rsidRPr="00903634">
              <w:rPr>
                <w:spacing w:val="-2"/>
                <w:sz w:val="16"/>
                <w:szCs w:val="16"/>
              </w:rPr>
              <w:t>odvětví obchod, doprava, ubytov</w:t>
            </w:r>
            <w:r>
              <w:rPr>
                <w:spacing w:val="-2"/>
                <w:sz w:val="16"/>
                <w:szCs w:val="16"/>
              </w:rPr>
              <w:t xml:space="preserve">ání </w:t>
            </w:r>
            <w:r w:rsidRPr="00903634">
              <w:rPr>
                <w:spacing w:val="-2"/>
                <w:sz w:val="16"/>
                <w:szCs w:val="16"/>
              </w:rPr>
              <w:t>a pohostinství</w:t>
            </w:r>
            <w:r>
              <w:rPr>
                <w:spacing w:val="-2"/>
                <w:sz w:val="16"/>
                <w:szCs w:val="16"/>
              </w:rPr>
              <w:t xml:space="preserve"> – nejvyšší růst HPH i zaměstnanosti za posledních pět, resp. šest let</w:t>
            </w:r>
          </w:p>
          <w:p w:rsidR="00652CBB" w:rsidRPr="00F3262E" w:rsidRDefault="00652CBB" w:rsidP="00652CBB">
            <w:pPr>
              <w:spacing w:line="240" w:lineRule="auto"/>
              <w:rPr>
                <w:color w:val="000000" w:themeColor="text1"/>
                <w:sz w:val="16"/>
                <w:szCs w:val="16"/>
              </w:rPr>
            </w:pPr>
          </w:p>
        </w:tc>
        <w:tc>
          <w:tcPr>
            <w:tcW w:w="144" w:type="pct"/>
          </w:tcPr>
          <w:p w:rsidR="00652CBB" w:rsidRPr="00F3262E" w:rsidRDefault="00652CBB" w:rsidP="00652CBB">
            <w:pPr>
              <w:pStyle w:val="Textpoznpodarou"/>
              <w:jc w:val="both"/>
              <w:rPr>
                <w:color w:val="000000" w:themeColor="text1"/>
                <w:spacing w:val="-2"/>
              </w:rPr>
            </w:pPr>
          </w:p>
        </w:tc>
        <w:tc>
          <w:tcPr>
            <w:tcW w:w="3720" w:type="pct"/>
            <w:gridSpan w:val="3"/>
          </w:tcPr>
          <w:p w:rsidR="00652CBB" w:rsidRPr="008A68F2" w:rsidRDefault="00652CBB" w:rsidP="00652CBB">
            <w:pPr>
              <w:pStyle w:val="Textpoznpodarou"/>
              <w:jc w:val="both"/>
              <w:rPr>
                <w:color w:val="0D0D0D" w:themeColor="text1" w:themeTint="F2"/>
                <w:spacing w:val="-4"/>
              </w:rPr>
            </w:pPr>
            <w:r>
              <w:rPr>
                <w:color w:val="0D0D0D" w:themeColor="text1" w:themeTint="F2"/>
                <w:spacing w:val="-4"/>
              </w:rPr>
              <w:t xml:space="preserve">Ze služeb se tradičně dařilo </w:t>
            </w:r>
            <w:r w:rsidRPr="007E6983">
              <w:rPr>
                <w:color w:val="0D0D0D" w:themeColor="text1" w:themeTint="F2"/>
                <w:spacing w:val="-4"/>
              </w:rPr>
              <w:t xml:space="preserve">profesním, vědeckým, technickým a administrativním činnostem, </w:t>
            </w:r>
            <w:r>
              <w:rPr>
                <w:color w:val="0D0D0D" w:themeColor="text1" w:themeTint="F2"/>
                <w:spacing w:val="-4"/>
              </w:rPr>
              <w:t xml:space="preserve">jejichž přidaná hodnota se meziročně zvyšovala již dvacet čtvrtletí v řadě (za tři letošní čtvrtletí byla, podobně jako za celý loňský rok, vyšší o 5 %). Přispěl k tomu neustávající zájem </w:t>
            </w:r>
            <w:r w:rsidRPr="007E6983">
              <w:rPr>
                <w:color w:val="0D0D0D" w:themeColor="text1" w:themeTint="F2"/>
                <w:spacing w:val="-4"/>
              </w:rPr>
              <w:t xml:space="preserve">o </w:t>
            </w:r>
            <w:r>
              <w:rPr>
                <w:color w:val="0D0D0D" w:themeColor="text1" w:themeTint="F2"/>
                <w:spacing w:val="-4"/>
              </w:rPr>
              <w:t>agenturní pracovníky, ale i oživení</w:t>
            </w:r>
            <w:r w:rsidRPr="007E6983">
              <w:rPr>
                <w:color w:val="0D0D0D" w:themeColor="text1" w:themeTint="F2"/>
                <w:spacing w:val="-4"/>
              </w:rPr>
              <w:t xml:space="preserve"> </w:t>
            </w:r>
            <w:r>
              <w:rPr>
                <w:color w:val="0D0D0D" w:themeColor="text1" w:themeTint="F2"/>
                <w:spacing w:val="-4"/>
              </w:rPr>
              <w:t xml:space="preserve">poptávky po projektových činnostech spojených </w:t>
            </w:r>
            <w:r w:rsidR="00151B27">
              <w:rPr>
                <w:color w:val="0D0D0D" w:themeColor="text1" w:themeTint="F2"/>
                <w:spacing w:val="-4"/>
              </w:rPr>
              <w:t>s rozvojem stavebnictví. Podobné</w:t>
            </w:r>
            <w:r>
              <w:rPr>
                <w:color w:val="0D0D0D" w:themeColor="text1" w:themeTint="F2"/>
                <w:spacing w:val="-4"/>
              </w:rPr>
              <w:t xml:space="preserve"> tendence lze vysledovat v informačních a komunikačních činnostech. Výše zmíněná dynamická odvětví služeb však vytváří pouze pětinu přidané hodnoty celého terciárního sektoru. V klíčovém seskupení o</w:t>
            </w:r>
            <w:r w:rsidRPr="0061469D">
              <w:rPr>
                <w:color w:val="0D0D0D" w:themeColor="text1" w:themeTint="F2"/>
                <w:spacing w:val="-4"/>
              </w:rPr>
              <w:t>bchod, doprava, ubytování a pohostinství</w:t>
            </w:r>
            <w:r>
              <w:rPr>
                <w:color w:val="0D0D0D" w:themeColor="text1" w:themeTint="F2"/>
                <w:spacing w:val="-4"/>
              </w:rPr>
              <w:t xml:space="preserve"> se HPH ve 3.</w:t>
            </w:r>
            <w:r>
              <w:rPr>
                <w:spacing w:val="-4"/>
              </w:rPr>
              <w:t> </w:t>
            </w:r>
            <w:r w:rsidR="00151B27">
              <w:rPr>
                <w:color w:val="0D0D0D" w:themeColor="text1" w:themeTint="F2"/>
                <w:spacing w:val="-4"/>
              </w:rPr>
              <w:t>čtvrtletí zvýšila</w:t>
            </w:r>
            <w:r>
              <w:rPr>
                <w:color w:val="0D0D0D" w:themeColor="text1" w:themeTint="F2"/>
                <w:spacing w:val="-4"/>
              </w:rPr>
              <w:t xml:space="preserve"> o skromnějších 3,3 %. Odvětví </w:t>
            </w:r>
            <w:r w:rsidR="005F601D">
              <w:rPr>
                <w:color w:val="0D0D0D" w:themeColor="text1" w:themeTint="F2"/>
                <w:spacing w:val="-4"/>
              </w:rPr>
              <w:t>těžilo</w:t>
            </w:r>
            <w:r>
              <w:rPr>
                <w:color w:val="0D0D0D" w:themeColor="text1" w:themeTint="F2"/>
                <w:spacing w:val="-4"/>
              </w:rPr>
              <w:t xml:space="preserve"> </w:t>
            </w:r>
            <w:r w:rsidRPr="0061469D">
              <w:rPr>
                <w:color w:val="0D0D0D" w:themeColor="text1" w:themeTint="F2"/>
                <w:spacing w:val="-4"/>
              </w:rPr>
              <w:t>z pozitivních nálad spotřebitelů</w:t>
            </w:r>
            <w:r>
              <w:rPr>
                <w:color w:val="0D0D0D" w:themeColor="text1" w:themeTint="F2"/>
                <w:spacing w:val="-4"/>
              </w:rPr>
              <w:t xml:space="preserve"> podpořených vysokým růstem zaměstnanosti i reálných mezd, četnějších příjezdů domácích i zahraničních hostů i z vyšší poptávky po nákladní dopravě. </w:t>
            </w:r>
          </w:p>
          <w:p w:rsidR="00652CBB" w:rsidRPr="00BF7CB8" w:rsidRDefault="00652CBB" w:rsidP="00652CBB">
            <w:pPr>
              <w:pStyle w:val="Textpoznpodarou"/>
              <w:jc w:val="both"/>
              <w:rPr>
                <w:color w:val="000000" w:themeColor="text1"/>
                <w:spacing w:val="-4"/>
                <w:sz w:val="18"/>
                <w:szCs w:val="18"/>
              </w:rPr>
            </w:pPr>
          </w:p>
        </w:tc>
      </w:tr>
      <w:tr w:rsidR="00652CBB" w:rsidRPr="00BF7CB8" w:rsidTr="00BF7CB8">
        <w:trPr>
          <w:gridAfter w:val="1"/>
          <w:wAfter w:w="59" w:type="pct"/>
          <w:cantSplit/>
        </w:trPr>
        <w:tc>
          <w:tcPr>
            <w:tcW w:w="1077" w:type="pct"/>
            <w:gridSpan w:val="2"/>
          </w:tcPr>
          <w:p w:rsidR="00652CBB" w:rsidRDefault="00652CBB" w:rsidP="00652CBB">
            <w:pPr>
              <w:spacing w:line="240" w:lineRule="auto"/>
              <w:rPr>
                <w:color w:val="000000" w:themeColor="text1"/>
                <w:sz w:val="16"/>
                <w:szCs w:val="16"/>
              </w:rPr>
            </w:pPr>
            <w:r>
              <w:rPr>
                <w:color w:val="000000" w:themeColor="text1"/>
                <w:sz w:val="16"/>
                <w:szCs w:val="16"/>
              </w:rPr>
              <w:t xml:space="preserve">Významnějšímu růstu nových pracovních míst ve finančním sektoru zřejmě brání nákladové tlaky vlivem silné konkurence </w:t>
            </w:r>
          </w:p>
          <w:p w:rsidR="00652CBB" w:rsidRDefault="00652CBB" w:rsidP="00652CBB">
            <w:pPr>
              <w:spacing w:line="240" w:lineRule="auto"/>
              <w:rPr>
                <w:color w:val="000000" w:themeColor="text1"/>
                <w:sz w:val="16"/>
                <w:szCs w:val="16"/>
              </w:rPr>
            </w:pPr>
          </w:p>
          <w:p w:rsidR="00652CBB" w:rsidRPr="00BF497A" w:rsidRDefault="00652CBB" w:rsidP="00652CBB">
            <w:pPr>
              <w:spacing w:line="240" w:lineRule="auto"/>
              <w:rPr>
                <w:color w:val="000000" w:themeColor="text1"/>
                <w:sz w:val="16"/>
                <w:szCs w:val="16"/>
              </w:rPr>
            </w:pPr>
            <w:r>
              <w:rPr>
                <w:color w:val="000000" w:themeColor="text1"/>
                <w:sz w:val="16"/>
                <w:szCs w:val="16"/>
              </w:rPr>
              <w:t>K nejdynamičtějšímu růstu HPH ve veřejných službách po roce 2002 přispěla vyšší zaměstnanost doplněná růstem platových tarifů</w:t>
            </w:r>
          </w:p>
        </w:tc>
        <w:tc>
          <w:tcPr>
            <w:tcW w:w="144" w:type="pct"/>
          </w:tcPr>
          <w:p w:rsidR="00652CBB" w:rsidRPr="005A16AE" w:rsidRDefault="00652CBB" w:rsidP="00652CBB">
            <w:pPr>
              <w:rPr>
                <w:color w:val="000000" w:themeColor="text1"/>
                <w:szCs w:val="16"/>
              </w:rPr>
            </w:pPr>
          </w:p>
        </w:tc>
        <w:tc>
          <w:tcPr>
            <w:tcW w:w="3720" w:type="pct"/>
            <w:gridSpan w:val="3"/>
          </w:tcPr>
          <w:p w:rsidR="00652CBB" w:rsidRPr="00BF7CB8" w:rsidRDefault="00652CBB" w:rsidP="00463B4B">
            <w:pPr>
              <w:pStyle w:val="Textpoznpodarou"/>
              <w:jc w:val="both"/>
              <w:rPr>
                <w:color w:val="000000" w:themeColor="text1"/>
                <w:sz w:val="16"/>
                <w:szCs w:val="16"/>
              </w:rPr>
            </w:pPr>
            <w:r w:rsidRPr="00BF7CB8">
              <w:rPr>
                <w:color w:val="0D0D0D" w:themeColor="text1" w:themeTint="F2"/>
              </w:rPr>
              <w:t>Téměř 5% růst HPH si v 1.</w:t>
            </w:r>
            <w:r w:rsidR="00BF7CB8" w:rsidRPr="00BF7CB8">
              <w:rPr>
                <w:color w:val="0D0D0D" w:themeColor="text1" w:themeTint="F2"/>
              </w:rPr>
              <w:t xml:space="preserve"> </w:t>
            </w:r>
            <w:r w:rsidRPr="00BF7CB8">
              <w:rPr>
                <w:color w:val="0D0D0D" w:themeColor="text1" w:themeTint="F2"/>
              </w:rPr>
              <w:t>až 3. čtvrtletí připsalo peněžnictví a pojišťovnictví, zároveň zůstalo jako jedno z mála odvětví služeb, které v posledních dvou letech ne</w:t>
            </w:r>
            <w:r w:rsidR="00463B4B">
              <w:rPr>
                <w:color w:val="0D0D0D" w:themeColor="text1" w:themeTint="F2"/>
              </w:rPr>
              <w:t>vytvářelo</w:t>
            </w:r>
            <w:r w:rsidRPr="00BF7CB8">
              <w:rPr>
                <w:color w:val="0D0D0D" w:themeColor="text1" w:themeTint="F2"/>
              </w:rPr>
              <w:t xml:space="preserve"> významnější růst nových pracovních míst (poklesly hlavně počty sebezaměstnaných, např. finančních poradců, u kterých lze předpokládat, že našli nové uplatnění v jiných odvětvích ekonomiky). Veřejné služby</w:t>
            </w:r>
            <w:r w:rsidRPr="00BF7CB8">
              <w:rPr>
                <w:rStyle w:val="Znakapoznpodarou"/>
                <w:color w:val="0D0D0D" w:themeColor="text1" w:themeTint="F2"/>
              </w:rPr>
              <w:footnoteReference w:id="11"/>
            </w:r>
            <w:r w:rsidRPr="00BF7CB8">
              <w:rPr>
                <w:color w:val="0D0D0D" w:themeColor="text1" w:themeTint="F2"/>
              </w:rPr>
              <w:t xml:space="preserve"> vytvořily během tří čtvrtletí 2015 HPH vyšší o mírných 2,3 %, přesto šlo</w:t>
            </w:r>
            <w:r w:rsidR="00CF25D2">
              <w:rPr>
                <w:color w:val="0D0D0D" w:themeColor="text1" w:themeTint="F2"/>
              </w:rPr>
              <w:t xml:space="preserve"> o</w:t>
            </w:r>
            <w:r w:rsidRPr="00BF7CB8">
              <w:rPr>
                <w:color w:val="0D0D0D" w:themeColor="text1" w:themeTint="F2"/>
              </w:rPr>
              <w:t xml:space="preserve"> nejrychlejší meziroční růst za toto období po roce 2002. Přispěly k tomu pozvolna rostoucí zaměstnanost napříč všemi dílčími odvětvími v kombinaci s navýšením platových tarifů na konci roku 2014.</w:t>
            </w:r>
          </w:p>
        </w:tc>
      </w:tr>
      <w:tr w:rsidR="00652CBB" w:rsidTr="00652CBB">
        <w:trPr>
          <w:gridAfter w:val="1"/>
          <w:wAfter w:w="59" w:type="pct"/>
          <w:cantSplit/>
          <w:trHeight w:val="295"/>
        </w:trPr>
        <w:tc>
          <w:tcPr>
            <w:tcW w:w="1077" w:type="pct"/>
            <w:gridSpan w:val="2"/>
          </w:tcPr>
          <w:p w:rsidR="00652CBB" w:rsidRDefault="00652CBB" w:rsidP="00652CBB">
            <w:pPr>
              <w:spacing w:line="240" w:lineRule="auto"/>
              <w:rPr>
                <w:color w:val="000000" w:themeColor="text1"/>
                <w:sz w:val="16"/>
                <w:szCs w:val="16"/>
              </w:rPr>
            </w:pPr>
            <w:r w:rsidRPr="00D778A9">
              <w:rPr>
                <w:color w:val="000000" w:themeColor="text1"/>
                <w:sz w:val="16"/>
                <w:szCs w:val="16"/>
              </w:rPr>
              <w:lastRenderedPageBreak/>
              <w:t xml:space="preserve">Průmyslová produkce si udržela vysoká růstová tempa zásluhou dominantního zpracovatelského průmyslu profitujícího především z dosud silné domácí </w:t>
            </w:r>
          </w:p>
          <w:p w:rsidR="00652CBB" w:rsidRDefault="00652CBB" w:rsidP="00652CBB">
            <w:pPr>
              <w:spacing w:line="240" w:lineRule="auto"/>
              <w:rPr>
                <w:color w:val="000000" w:themeColor="text1"/>
                <w:sz w:val="16"/>
                <w:szCs w:val="16"/>
              </w:rPr>
            </w:pPr>
            <w:r w:rsidRPr="00D778A9">
              <w:rPr>
                <w:color w:val="000000" w:themeColor="text1"/>
                <w:sz w:val="16"/>
                <w:szCs w:val="16"/>
              </w:rPr>
              <w:t xml:space="preserve">i zahraniční poptávky po dopravních prostředcích </w:t>
            </w:r>
          </w:p>
          <w:p w:rsidR="00652CBB" w:rsidRPr="00D778A9" w:rsidRDefault="00060F26" w:rsidP="00652CBB">
            <w:pPr>
              <w:spacing w:line="240" w:lineRule="auto"/>
              <w:rPr>
                <w:color w:val="000000" w:themeColor="text1"/>
                <w:sz w:val="16"/>
                <w:szCs w:val="16"/>
              </w:rPr>
            </w:pPr>
            <w:r>
              <w:rPr>
                <w:color w:val="000000" w:themeColor="text1"/>
                <w:sz w:val="16"/>
                <w:szCs w:val="16"/>
              </w:rPr>
              <w:t>a jejich komponentá</w:t>
            </w:r>
            <w:r w:rsidR="00BF7CB8">
              <w:rPr>
                <w:color w:val="000000" w:themeColor="text1"/>
                <w:sz w:val="16"/>
                <w:szCs w:val="16"/>
              </w:rPr>
              <w:t>ch</w:t>
            </w:r>
            <w:r w:rsidR="00652CBB" w:rsidRPr="00D778A9">
              <w:rPr>
                <w:color w:val="000000" w:themeColor="text1"/>
                <w:sz w:val="16"/>
                <w:szCs w:val="16"/>
              </w:rPr>
              <w:t xml:space="preserve"> </w:t>
            </w:r>
          </w:p>
          <w:p w:rsidR="00652CBB" w:rsidRPr="000F401E" w:rsidRDefault="00652CBB" w:rsidP="00652CBB">
            <w:pPr>
              <w:spacing w:line="240" w:lineRule="auto"/>
              <w:rPr>
                <w:sz w:val="16"/>
                <w:szCs w:val="16"/>
              </w:rPr>
            </w:pPr>
          </w:p>
        </w:tc>
        <w:tc>
          <w:tcPr>
            <w:tcW w:w="144" w:type="pct"/>
          </w:tcPr>
          <w:p w:rsidR="00652CBB" w:rsidRPr="005A16AE" w:rsidRDefault="00652CBB" w:rsidP="00652CBB">
            <w:pPr>
              <w:rPr>
                <w:color w:val="000000" w:themeColor="text1"/>
                <w:szCs w:val="16"/>
              </w:rPr>
            </w:pPr>
          </w:p>
        </w:tc>
        <w:tc>
          <w:tcPr>
            <w:tcW w:w="3720" w:type="pct"/>
            <w:gridSpan w:val="3"/>
          </w:tcPr>
          <w:p w:rsidR="00652CBB" w:rsidRDefault="00652CBB" w:rsidP="00652CBB">
            <w:pPr>
              <w:pStyle w:val="Textpoznpodarou"/>
              <w:jc w:val="both"/>
              <w:rPr>
                <w:color w:val="000000" w:themeColor="text1"/>
                <w:spacing w:val="-4"/>
              </w:rPr>
            </w:pPr>
            <w:r w:rsidRPr="000B7158">
              <w:rPr>
                <w:color w:val="000000" w:themeColor="text1"/>
                <w:spacing w:val="-4"/>
              </w:rPr>
              <w:t>Výkon průmyslu</w:t>
            </w:r>
            <w:r w:rsidRPr="00EC76CC">
              <w:rPr>
                <w:color w:val="000000" w:themeColor="text1"/>
                <w:spacing w:val="-4"/>
              </w:rPr>
              <w:t xml:space="preserve"> (dle indexu produkce v reálném vyjádření</w:t>
            </w:r>
            <w:r>
              <w:rPr>
                <w:color w:val="000000" w:themeColor="text1"/>
                <w:spacing w:val="-4"/>
              </w:rPr>
              <w:t>)</w:t>
            </w:r>
            <w:r w:rsidRPr="00EC76CC">
              <w:rPr>
                <w:color w:val="000000" w:themeColor="text1"/>
                <w:vertAlign w:val="superscript"/>
              </w:rPr>
              <w:footnoteReference w:id="12"/>
            </w:r>
            <w:r>
              <w:rPr>
                <w:color w:val="000000" w:themeColor="text1"/>
                <w:spacing w:val="-4"/>
              </w:rPr>
              <w:t xml:space="preserve"> pokračoval v příznivých tendencích, zachovával si silnou růstovou dynamiku. Jeho produkce ve 3. čtvrtletí 2015 posílila (po očištění o počet</w:t>
            </w:r>
            <w:r w:rsidR="00060F26">
              <w:rPr>
                <w:color w:val="000000" w:themeColor="text1"/>
                <w:spacing w:val="-4"/>
              </w:rPr>
              <w:t xml:space="preserve"> pracovních dní) meziročně o 5,8</w:t>
            </w:r>
            <w:r>
              <w:rPr>
                <w:color w:val="000000" w:themeColor="text1"/>
                <w:spacing w:val="-4"/>
              </w:rPr>
              <w:t xml:space="preserve"> %</w:t>
            </w:r>
            <w:r w:rsidR="00060F26">
              <w:rPr>
                <w:color w:val="000000" w:themeColor="text1"/>
                <w:spacing w:val="-4"/>
              </w:rPr>
              <w:t>, v úhrnu za tři čtvrtletí o 5,2</w:t>
            </w:r>
            <w:r>
              <w:rPr>
                <w:color w:val="000000" w:themeColor="text1"/>
                <w:spacing w:val="-4"/>
              </w:rPr>
              <w:t xml:space="preserve"> % (shodným tempem jako ve stejném období loňského roku). Celé odvětví táhl podobně jako v předchozích dvou letech výhradně zpracovatelský průmysl. Produkce v těžbě a dobývání poznamenané dlouhodobým útlumem těžby zejména černého uhlí nadále klesala, byť mírnějšími tempy (za 1.</w:t>
            </w:r>
            <w:r w:rsidR="00060F26">
              <w:rPr>
                <w:color w:val="000000" w:themeColor="text1"/>
                <w:spacing w:val="-4"/>
              </w:rPr>
              <w:t xml:space="preserve"> až 3. čtvrtletí meziročně o 2,5</w:t>
            </w:r>
            <w:r>
              <w:rPr>
                <w:color w:val="000000" w:themeColor="text1"/>
                <w:spacing w:val="-4"/>
              </w:rPr>
              <w:t xml:space="preserve"> %). Neplánované snížení výrobních kapacit v jaderných elektrárnách se pak odrazilo v nižší produkci v energetice (ve 3. čtvrtletí o téměř 5 %). </w:t>
            </w:r>
          </w:p>
          <w:p w:rsidR="00652CBB" w:rsidRPr="00BB1CFD" w:rsidRDefault="00652CBB" w:rsidP="00652CBB">
            <w:pPr>
              <w:pStyle w:val="Textpoznpodarou"/>
              <w:jc w:val="both"/>
              <w:rPr>
                <w:color w:val="000000" w:themeColor="text1"/>
                <w:spacing w:val="-4"/>
                <w:sz w:val="14"/>
                <w:szCs w:val="14"/>
              </w:rPr>
            </w:pPr>
          </w:p>
        </w:tc>
      </w:tr>
      <w:tr w:rsidR="00652CBB" w:rsidTr="00652CBB">
        <w:trPr>
          <w:gridAfter w:val="1"/>
          <w:wAfter w:w="59" w:type="pct"/>
        </w:trPr>
        <w:tc>
          <w:tcPr>
            <w:tcW w:w="1077" w:type="pct"/>
            <w:gridSpan w:val="2"/>
          </w:tcPr>
          <w:p w:rsidR="00652CBB" w:rsidRDefault="00652CBB" w:rsidP="00652CBB">
            <w:pPr>
              <w:spacing w:line="240" w:lineRule="auto"/>
              <w:rPr>
                <w:sz w:val="16"/>
                <w:szCs w:val="16"/>
              </w:rPr>
            </w:pPr>
            <w:r>
              <w:rPr>
                <w:sz w:val="16"/>
                <w:szCs w:val="16"/>
              </w:rPr>
              <w:t>I přes zmírnění dynamiky rostla v 1.</w:t>
            </w:r>
            <w:r w:rsidR="00BF7CB8">
              <w:rPr>
                <w:sz w:val="16"/>
                <w:szCs w:val="16"/>
              </w:rPr>
              <w:t xml:space="preserve"> </w:t>
            </w:r>
            <w:r>
              <w:rPr>
                <w:sz w:val="16"/>
                <w:szCs w:val="16"/>
              </w:rPr>
              <w:t>až 3. čtvrtletí 2015 produkce meziročně stále nejvíce v automobilovém průmyslu, o desetinu vyšší byla tak</w:t>
            </w:r>
            <w:r w:rsidR="00BF7CB8">
              <w:rPr>
                <w:sz w:val="16"/>
                <w:szCs w:val="16"/>
              </w:rPr>
              <w:t>é v gumárenství a plastikářství</w:t>
            </w:r>
          </w:p>
          <w:p w:rsidR="00652CBB" w:rsidRDefault="00652CBB" w:rsidP="00652CBB">
            <w:pPr>
              <w:spacing w:line="240" w:lineRule="auto"/>
              <w:rPr>
                <w:sz w:val="16"/>
                <w:szCs w:val="16"/>
              </w:rPr>
            </w:pPr>
          </w:p>
          <w:p w:rsidR="00652CBB" w:rsidRDefault="00652CBB" w:rsidP="00652CBB">
            <w:pPr>
              <w:spacing w:line="240" w:lineRule="auto"/>
              <w:rPr>
                <w:sz w:val="16"/>
                <w:szCs w:val="16"/>
              </w:rPr>
            </w:pPr>
          </w:p>
          <w:p w:rsidR="00652CBB" w:rsidRDefault="00652CBB" w:rsidP="00652CBB">
            <w:pPr>
              <w:spacing w:line="240" w:lineRule="auto"/>
              <w:rPr>
                <w:sz w:val="16"/>
                <w:szCs w:val="16"/>
              </w:rPr>
            </w:pPr>
            <w:r>
              <w:rPr>
                <w:sz w:val="16"/>
                <w:szCs w:val="16"/>
              </w:rPr>
              <w:t xml:space="preserve">Hlubší meziroční pokles produkce ve 3. čtvrtletí v chemickém průmyslu </w:t>
            </w:r>
          </w:p>
          <w:p w:rsidR="00652CBB" w:rsidRDefault="00652CBB" w:rsidP="00652CBB">
            <w:pPr>
              <w:spacing w:line="240" w:lineRule="auto"/>
              <w:rPr>
                <w:sz w:val="16"/>
                <w:szCs w:val="16"/>
              </w:rPr>
            </w:pPr>
            <w:r>
              <w:rPr>
                <w:sz w:val="16"/>
                <w:szCs w:val="16"/>
              </w:rPr>
              <w:t xml:space="preserve">(i vlivem odstávky výrobních zařízení), a v hutnictví, kde na pokles poptávky působil </w:t>
            </w:r>
          </w:p>
          <w:p w:rsidR="00652CBB" w:rsidRDefault="00652CBB" w:rsidP="00652CBB">
            <w:pPr>
              <w:spacing w:line="240" w:lineRule="auto"/>
              <w:rPr>
                <w:sz w:val="16"/>
                <w:szCs w:val="16"/>
              </w:rPr>
            </w:pPr>
            <w:r>
              <w:rPr>
                <w:sz w:val="16"/>
                <w:szCs w:val="16"/>
              </w:rPr>
              <w:t>i přebytek oceli v zemích EU vlivem sílících dovozů z Číny</w:t>
            </w:r>
          </w:p>
        </w:tc>
        <w:tc>
          <w:tcPr>
            <w:tcW w:w="144" w:type="pct"/>
          </w:tcPr>
          <w:p w:rsidR="00652CBB" w:rsidRPr="005A16AE" w:rsidRDefault="00652CBB" w:rsidP="00652CBB">
            <w:pPr>
              <w:rPr>
                <w:color w:val="000000" w:themeColor="text1"/>
                <w:sz w:val="16"/>
                <w:szCs w:val="16"/>
              </w:rPr>
            </w:pPr>
          </w:p>
        </w:tc>
        <w:tc>
          <w:tcPr>
            <w:tcW w:w="3720" w:type="pct"/>
            <w:gridSpan w:val="3"/>
          </w:tcPr>
          <w:p w:rsidR="00652CBB" w:rsidRDefault="00652CBB" w:rsidP="00652CBB">
            <w:pPr>
              <w:pStyle w:val="Textpoznpodarou"/>
              <w:jc w:val="both"/>
              <w:rPr>
                <w:color w:val="000000"/>
                <w:spacing w:val="-4"/>
              </w:rPr>
            </w:pPr>
            <w:r>
              <w:rPr>
                <w:color w:val="000000"/>
                <w:spacing w:val="-4"/>
              </w:rPr>
              <w:t>K</w:t>
            </w:r>
            <w:r w:rsidRPr="00D82DE9">
              <w:rPr>
                <w:color w:val="000000"/>
                <w:spacing w:val="-4"/>
              </w:rPr>
              <w:t> meziročnímu růstu v celém průmyslu</w:t>
            </w:r>
            <w:r>
              <w:rPr>
                <w:color w:val="000000"/>
                <w:spacing w:val="-4"/>
              </w:rPr>
              <w:t xml:space="preserve"> tradičně nejvíce přispěla výroba motorových vozidel (vč. nákladních vozů či autobusů), když za tři letošní čtvrtletí se na něm podílela zhruba třetinou. Čtvrtinu dále přidaly hlavní subdodavatelské obory - </w:t>
            </w:r>
            <w:r w:rsidRPr="00912419">
              <w:rPr>
                <w:color w:val="000000"/>
                <w:spacing w:val="-4"/>
              </w:rPr>
              <w:t xml:space="preserve">výroba elektrických zařízení </w:t>
            </w:r>
            <w:r>
              <w:rPr>
                <w:color w:val="000000"/>
                <w:spacing w:val="-4"/>
              </w:rPr>
              <w:t xml:space="preserve">a </w:t>
            </w:r>
            <w:r w:rsidRPr="00912419">
              <w:rPr>
                <w:color w:val="000000"/>
                <w:spacing w:val="-4"/>
              </w:rPr>
              <w:t>gumárenství</w:t>
            </w:r>
            <w:r>
              <w:rPr>
                <w:color w:val="000000"/>
                <w:spacing w:val="-4"/>
              </w:rPr>
              <w:t xml:space="preserve"> i</w:t>
            </w:r>
            <w:r w:rsidRPr="00912419">
              <w:rPr>
                <w:color w:val="000000"/>
                <w:spacing w:val="-4"/>
              </w:rPr>
              <w:t xml:space="preserve"> plastikářství</w:t>
            </w:r>
            <w:r>
              <w:rPr>
                <w:color w:val="000000"/>
                <w:spacing w:val="-4"/>
              </w:rPr>
              <w:t>. Zatímco příspěvek samotného automobilového průmyslu oproti stejnému období loňského roku mírně oslabil (samotný růst odvětví zvolnil z 15,8 % na 9,8 %), u hlavních dodavatelů tomu bylo naopak především zásluhou produkce</w:t>
            </w:r>
            <w:r w:rsidRPr="00B538C6">
              <w:rPr>
                <w:color w:val="000000"/>
                <w:spacing w:val="-4"/>
              </w:rPr>
              <w:t xml:space="preserve"> pryžových a plastových výrobků</w:t>
            </w:r>
            <w:r>
              <w:rPr>
                <w:color w:val="000000"/>
                <w:spacing w:val="-4"/>
              </w:rPr>
              <w:t>, která v 1. až 3. čtvrtletí 2015 meziročně posílila o desetinu (nejvíce po roce 2007). Díky silné zásobě loňských zakázek pokračoval nadprůměrný růst silně proexportně orientované produkce</w:t>
            </w:r>
            <w:r w:rsidRPr="008661D0">
              <w:rPr>
                <w:color w:val="000000"/>
                <w:spacing w:val="-4"/>
              </w:rPr>
              <w:t xml:space="preserve"> počítačů, elektr</w:t>
            </w:r>
            <w:r>
              <w:rPr>
                <w:color w:val="000000"/>
                <w:spacing w:val="-4"/>
              </w:rPr>
              <w:t>onických a optických přístrojů, ta za dva roky zrychlila téměř o čtvrtinu. Z vyšší zahraniční poptávky profitovalo i váhově významné strojírenství, které rostlo mírnými (v 1</w:t>
            </w:r>
            <w:r w:rsidR="00990363">
              <w:rPr>
                <w:color w:val="000000"/>
                <w:spacing w:val="-4"/>
              </w:rPr>
              <w:t>.</w:t>
            </w:r>
            <w:r>
              <w:rPr>
                <w:color w:val="000000"/>
                <w:spacing w:val="-4"/>
              </w:rPr>
              <w:t xml:space="preserve"> až 3. čtvrtletí o 3,9 %), ale stabilními tempy. Díky tomu ve 3. čtvrtletí 2015 poprvé překonalo předkrizovou úroveň (3.</w:t>
            </w:r>
            <w:r w:rsidR="00BF7CB8">
              <w:rPr>
                <w:color w:val="000000"/>
                <w:spacing w:val="-4"/>
              </w:rPr>
              <w:t xml:space="preserve"> </w:t>
            </w:r>
            <w:r>
              <w:rPr>
                <w:color w:val="000000"/>
                <w:spacing w:val="-4"/>
              </w:rPr>
              <w:t xml:space="preserve">q 2008). To se v rámci významnějších zpracovatelských odvětví dosud nepovedlo chemickému průmyslu a zejména hutnictví a výrobě </w:t>
            </w:r>
            <w:r w:rsidRPr="00C851DB">
              <w:rPr>
                <w:color w:val="000000"/>
                <w:spacing w:val="-4"/>
              </w:rPr>
              <w:t>ostatních nekovových minerálních výrobků</w:t>
            </w:r>
            <w:r>
              <w:rPr>
                <w:color w:val="000000"/>
                <w:spacing w:val="-4"/>
              </w:rPr>
              <w:t>.</w:t>
            </w:r>
          </w:p>
          <w:p w:rsidR="00652CBB" w:rsidRPr="006D6354" w:rsidRDefault="00652CBB" w:rsidP="00652CBB">
            <w:pPr>
              <w:pStyle w:val="Textpoznpodarou"/>
              <w:jc w:val="both"/>
              <w:rPr>
                <w:color w:val="000000" w:themeColor="text1"/>
                <w:spacing w:val="-4"/>
                <w:sz w:val="14"/>
                <w:szCs w:val="14"/>
              </w:rPr>
            </w:pPr>
          </w:p>
        </w:tc>
      </w:tr>
      <w:tr w:rsidR="00652CBB" w:rsidTr="00652CBB">
        <w:trPr>
          <w:gridAfter w:val="1"/>
          <w:wAfter w:w="59" w:type="pct"/>
          <w:trHeight w:val="269"/>
        </w:trPr>
        <w:tc>
          <w:tcPr>
            <w:tcW w:w="1077" w:type="pct"/>
            <w:gridSpan w:val="2"/>
          </w:tcPr>
          <w:p w:rsidR="00652CBB" w:rsidRDefault="00652CBB" w:rsidP="00652CBB">
            <w:pPr>
              <w:spacing w:line="240" w:lineRule="auto"/>
              <w:rPr>
                <w:sz w:val="16"/>
                <w:szCs w:val="16"/>
              </w:rPr>
            </w:pPr>
            <w:r>
              <w:rPr>
                <w:sz w:val="16"/>
                <w:szCs w:val="16"/>
              </w:rPr>
              <w:t>Oživení i většiny menších zpracovatelských oborů, vyjma tiskárenství a dřevo-zpracujícího průmyslu</w:t>
            </w:r>
          </w:p>
        </w:tc>
        <w:tc>
          <w:tcPr>
            <w:tcW w:w="144" w:type="pct"/>
          </w:tcPr>
          <w:p w:rsidR="00652CBB" w:rsidRPr="00636F97" w:rsidRDefault="00652CBB" w:rsidP="00652CBB">
            <w:pPr>
              <w:rPr>
                <w:spacing w:val="-4"/>
                <w:szCs w:val="20"/>
              </w:rPr>
            </w:pPr>
          </w:p>
        </w:tc>
        <w:tc>
          <w:tcPr>
            <w:tcW w:w="3720" w:type="pct"/>
            <w:gridSpan w:val="3"/>
          </w:tcPr>
          <w:p w:rsidR="00652CBB" w:rsidRPr="00BF7CB8" w:rsidRDefault="00652CBB" w:rsidP="00652CBB">
            <w:pPr>
              <w:pStyle w:val="Textpoznpodarou"/>
              <w:jc w:val="both"/>
              <w:rPr>
                <w:color w:val="000000" w:themeColor="text1"/>
              </w:rPr>
            </w:pPr>
            <w:r w:rsidRPr="00BF7CB8">
              <w:rPr>
                <w:color w:val="000000"/>
              </w:rPr>
              <w:t xml:space="preserve">Meziročně vyšší produkce letos dosáhla i většina menších dlouhodobě spíše útlumových odvětví. Výrobci oděvů podporovaní rozvojem zahraničních zakázek zaznamenali za tři čtvrtletí první růst (+8,3 %) v tomto období roku po deseti letech. </w:t>
            </w:r>
            <w:r w:rsidRPr="00BF7CB8">
              <w:rPr>
                <w:color w:val="000000" w:themeColor="text1"/>
              </w:rPr>
              <w:t>Oživení v textilním, papírenském či nábytkářském průmyslu trvá již více než dva roky. Naopak produkce v tiskárenství a dřevozpracujícím průmyslu se jako u jediných zpracovatelských oborů od doby ukončení poslední recese ekonomiky nezvýšila, proti úrovni dosažené v 1. až 3. čtvrtletí 2013 byla shodně stále o 4 % nižší.</w:t>
            </w:r>
          </w:p>
          <w:p w:rsidR="00652CBB" w:rsidRPr="00BB1CFD" w:rsidRDefault="00652CBB" w:rsidP="00652CBB">
            <w:pPr>
              <w:pStyle w:val="Textpoznpodarou"/>
              <w:jc w:val="both"/>
              <w:rPr>
                <w:spacing w:val="-4"/>
                <w:sz w:val="14"/>
                <w:szCs w:val="14"/>
              </w:rPr>
            </w:pPr>
          </w:p>
        </w:tc>
      </w:tr>
      <w:tr w:rsidR="00652CBB" w:rsidTr="00652CBB">
        <w:trPr>
          <w:gridAfter w:val="1"/>
          <w:wAfter w:w="59" w:type="pct"/>
        </w:trPr>
        <w:tc>
          <w:tcPr>
            <w:tcW w:w="1077" w:type="pct"/>
            <w:gridSpan w:val="2"/>
          </w:tcPr>
          <w:p w:rsidR="00652CBB" w:rsidRDefault="00652CBB" w:rsidP="00652CBB">
            <w:pPr>
              <w:spacing w:line="240" w:lineRule="auto"/>
              <w:rPr>
                <w:sz w:val="16"/>
                <w:szCs w:val="16"/>
              </w:rPr>
            </w:pPr>
            <w:r>
              <w:rPr>
                <w:sz w:val="16"/>
                <w:szCs w:val="16"/>
              </w:rPr>
              <w:t>Vysoká meziroční dynamika zahraničních průmyslových zakázek přetrvávala i na sklonku roku, zejména u výrobců motorových vozidel</w:t>
            </w:r>
          </w:p>
          <w:p w:rsidR="00652CBB" w:rsidRDefault="00652CBB" w:rsidP="00652CBB">
            <w:pPr>
              <w:spacing w:line="240" w:lineRule="auto"/>
              <w:rPr>
                <w:sz w:val="16"/>
                <w:szCs w:val="16"/>
              </w:rPr>
            </w:pPr>
          </w:p>
          <w:p w:rsidR="00652CBB" w:rsidRDefault="00652CBB" w:rsidP="00652CBB">
            <w:pPr>
              <w:spacing w:line="240" w:lineRule="auto"/>
              <w:rPr>
                <w:sz w:val="16"/>
                <w:szCs w:val="16"/>
              </w:rPr>
            </w:pPr>
          </w:p>
          <w:p w:rsidR="00652CBB" w:rsidRDefault="00652CBB" w:rsidP="00652CBB">
            <w:pPr>
              <w:spacing w:line="240" w:lineRule="auto"/>
              <w:rPr>
                <w:sz w:val="16"/>
                <w:szCs w:val="16"/>
              </w:rPr>
            </w:pPr>
          </w:p>
          <w:p w:rsidR="00652CBB" w:rsidRDefault="00652CBB" w:rsidP="00652CBB">
            <w:pPr>
              <w:spacing w:line="240" w:lineRule="auto"/>
              <w:rPr>
                <w:sz w:val="16"/>
                <w:szCs w:val="16"/>
              </w:rPr>
            </w:pPr>
          </w:p>
          <w:p w:rsidR="00652CBB" w:rsidRDefault="00652CBB" w:rsidP="00652CBB">
            <w:pPr>
              <w:spacing w:line="240" w:lineRule="auto"/>
              <w:rPr>
                <w:sz w:val="16"/>
                <w:szCs w:val="16"/>
              </w:rPr>
            </w:pPr>
          </w:p>
          <w:p w:rsidR="00652CBB" w:rsidRPr="00FA126C" w:rsidRDefault="00652CBB" w:rsidP="00BF7CB8">
            <w:pPr>
              <w:spacing w:line="240" w:lineRule="auto"/>
              <w:rPr>
                <w:spacing w:val="-2"/>
                <w:sz w:val="16"/>
                <w:szCs w:val="16"/>
              </w:rPr>
            </w:pPr>
            <w:r w:rsidRPr="00FA126C">
              <w:rPr>
                <w:spacing w:val="-2"/>
                <w:sz w:val="16"/>
                <w:szCs w:val="16"/>
              </w:rPr>
              <w:t>Podíl podniků, které uvádí jako bariéru růstu nedostatek zaměstnanců</w:t>
            </w:r>
            <w:r>
              <w:rPr>
                <w:spacing w:val="-2"/>
                <w:sz w:val="16"/>
                <w:szCs w:val="16"/>
              </w:rPr>
              <w:t>,</w:t>
            </w:r>
            <w:r w:rsidRPr="00FA126C">
              <w:rPr>
                <w:spacing w:val="-2"/>
                <w:sz w:val="16"/>
                <w:szCs w:val="16"/>
              </w:rPr>
              <w:t xml:space="preserve"> byl na sklonku roku 2015 nejvyšší za</w:t>
            </w:r>
            <w:r w:rsidR="00BF7CB8">
              <w:rPr>
                <w:spacing w:val="-2"/>
                <w:sz w:val="16"/>
                <w:szCs w:val="16"/>
              </w:rPr>
              <w:t> </w:t>
            </w:r>
            <w:r w:rsidRPr="00FA126C">
              <w:rPr>
                <w:spacing w:val="-2"/>
                <w:sz w:val="16"/>
                <w:szCs w:val="16"/>
              </w:rPr>
              <w:t xml:space="preserve">poslední </w:t>
            </w:r>
            <w:r w:rsidR="00487F81">
              <w:rPr>
                <w:spacing w:val="-2"/>
                <w:sz w:val="16"/>
                <w:szCs w:val="16"/>
              </w:rPr>
              <w:t>čtyři a půl roku</w:t>
            </w:r>
          </w:p>
        </w:tc>
        <w:tc>
          <w:tcPr>
            <w:tcW w:w="144" w:type="pct"/>
          </w:tcPr>
          <w:p w:rsidR="00652CBB" w:rsidRDefault="00652CBB" w:rsidP="00652CBB">
            <w:pPr>
              <w:rPr>
                <w:szCs w:val="16"/>
              </w:rPr>
            </w:pPr>
          </w:p>
        </w:tc>
        <w:tc>
          <w:tcPr>
            <w:tcW w:w="3720" w:type="pct"/>
            <w:gridSpan w:val="3"/>
          </w:tcPr>
          <w:p w:rsidR="00652CBB" w:rsidRDefault="00652CBB" w:rsidP="00652CBB">
            <w:pPr>
              <w:pStyle w:val="Textpoznpodarou"/>
              <w:jc w:val="both"/>
              <w:rPr>
                <w:color w:val="000000" w:themeColor="text1"/>
                <w:spacing w:val="-4"/>
              </w:rPr>
            </w:pPr>
            <w:r>
              <w:rPr>
                <w:spacing w:val="-4"/>
              </w:rPr>
              <w:t>O příznivých</w:t>
            </w:r>
            <w:r w:rsidRPr="00D17187">
              <w:rPr>
                <w:spacing w:val="-4"/>
              </w:rPr>
              <w:t xml:space="preserve"> vyh</w:t>
            </w:r>
            <w:r>
              <w:rPr>
                <w:spacing w:val="-4"/>
              </w:rPr>
              <w:t xml:space="preserve">lídkách průmyslu vypovídá </w:t>
            </w:r>
            <w:r>
              <w:rPr>
                <w:color w:val="000000" w:themeColor="text1"/>
                <w:spacing w:val="-4"/>
              </w:rPr>
              <w:t>meziroční růst</w:t>
            </w:r>
            <w:r w:rsidRPr="00D13397">
              <w:rPr>
                <w:color w:val="000000" w:themeColor="text1"/>
                <w:spacing w:val="-4"/>
              </w:rPr>
              <w:t xml:space="preserve"> </w:t>
            </w:r>
            <w:r>
              <w:rPr>
                <w:color w:val="000000" w:themeColor="text1"/>
                <w:spacing w:val="-4"/>
              </w:rPr>
              <w:t xml:space="preserve">pro většinu oborů klíčových </w:t>
            </w:r>
            <w:r w:rsidRPr="00D17187">
              <w:rPr>
                <w:color w:val="000000" w:themeColor="text1"/>
                <w:spacing w:val="-4"/>
              </w:rPr>
              <w:t>zahraničních zakázek</w:t>
            </w:r>
            <w:r w:rsidRPr="00D13397">
              <w:rPr>
                <w:color w:val="000000" w:themeColor="text1"/>
                <w:spacing w:val="-4"/>
              </w:rPr>
              <w:t xml:space="preserve"> </w:t>
            </w:r>
            <w:r>
              <w:rPr>
                <w:color w:val="000000" w:themeColor="text1"/>
                <w:spacing w:val="-4"/>
              </w:rPr>
              <w:t>(8,1 % ve 3. čtvrtletí, resp. 9,6 % v říjnu 2015), zejména v samotné výrobě motorových vozidel (18,5 %, resp. 26,1 %, srovnatelnou dynamiku přitom vykázali jen výrobci oděvů). Naopak poprvé po 25 měsících se zastavil příznivý vývoj u domácích zakázek (ve 3. čtvrtletí meziročně poklesly o 5 %). Přetrvává</w:t>
            </w:r>
            <w:r w:rsidRPr="00D13397">
              <w:rPr>
                <w:color w:val="000000" w:themeColor="text1"/>
                <w:spacing w:val="-4"/>
              </w:rPr>
              <w:t xml:space="preserve"> mírně poziti</w:t>
            </w:r>
            <w:r>
              <w:rPr>
                <w:color w:val="000000" w:themeColor="text1"/>
                <w:spacing w:val="-4"/>
              </w:rPr>
              <w:t>vní důvěra podnikatelů v průmyslu, salda indikátorů důvěry dosahují stabilních hodnot již dva roky (byť jsou stále</w:t>
            </w:r>
            <w:r w:rsidRPr="00D13397">
              <w:rPr>
                <w:color w:val="000000" w:themeColor="text1"/>
                <w:spacing w:val="-4"/>
              </w:rPr>
              <w:t xml:space="preserve"> pod</w:t>
            </w:r>
            <w:r>
              <w:rPr>
                <w:color w:val="000000" w:themeColor="text1"/>
                <w:spacing w:val="-4"/>
              </w:rPr>
              <w:t xml:space="preserve"> úrovní přelomu let 2010 a</w:t>
            </w:r>
            <w:r w:rsidR="00BF7CB8">
              <w:rPr>
                <w:color w:val="000000" w:themeColor="text1"/>
                <w:spacing w:val="-4"/>
              </w:rPr>
              <w:t> </w:t>
            </w:r>
            <w:r>
              <w:rPr>
                <w:color w:val="000000" w:themeColor="text1"/>
                <w:spacing w:val="-4"/>
              </w:rPr>
              <w:t>2011). Mezi bariérami růstu podniků klesá význam vlivu nedostatečné poptávky, mírně roste role nedostatku materiálu či zařízení a zejména zaměstnanců (na</w:t>
            </w:r>
            <w:r w:rsidR="00BF7CB8">
              <w:rPr>
                <w:color w:val="000000" w:themeColor="text1"/>
                <w:spacing w:val="-4"/>
              </w:rPr>
              <w:t> </w:t>
            </w:r>
            <w:r>
              <w:rPr>
                <w:color w:val="000000" w:themeColor="text1"/>
                <w:spacing w:val="-4"/>
              </w:rPr>
              <w:t>sklonku roku 2015 již u 14 % podniků, o rok dříve jen u 5 %, ale v době vrcholu konjunktury kolem 25 %). V listopadu 2015 přitom očekával v krátkodobém horizontu</w:t>
            </w:r>
            <w:r w:rsidR="00BF7CB8">
              <w:rPr>
                <w:color w:val="000000" w:themeColor="text1"/>
                <w:spacing w:val="-4"/>
              </w:rPr>
              <w:t> </w:t>
            </w:r>
            <w:r>
              <w:rPr>
                <w:color w:val="000000" w:themeColor="text1"/>
                <w:spacing w:val="-4"/>
              </w:rPr>
              <w:t>růst zaměstnanosti jen každý sedmý podnik ve zpracovatelském průmyslu. P</w:t>
            </w:r>
            <w:r w:rsidRPr="00D46F47">
              <w:rPr>
                <w:color w:val="000000" w:themeColor="text1"/>
                <w:spacing w:val="-4"/>
              </w:rPr>
              <w:t>řízn</w:t>
            </w:r>
            <w:r>
              <w:rPr>
                <w:color w:val="000000" w:themeColor="text1"/>
                <w:spacing w:val="-4"/>
              </w:rPr>
              <w:t>ivý vývoj zahraniční poptávky</w:t>
            </w:r>
            <w:r w:rsidRPr="00D46F47">
              <w:rPr>
                <w:color w:val="000000" w:themeColor="text1"/>
                <w:spacing w:val="-4"/>
              </w:rPr>
              <w:t xml:space="preserve"> </w:t>
            </w:r>
            <w:r>
              <w:rPr>
                <w:color w:val="000000" w:themeColor="text1"/>
                <w:spacing w:val="-4"/>
              </w:rPr>
              <w:t>v celém průmyslu přesto postupně prosakuje</w:t>
            </w:r>
            <w:r w:rsidRPr="00D46F47">
              <w:rPr>
                <w:color w:val="000000" w:themeColor="text1"/>
                <w:spacing w:val="-4"/>
              </w:rPr>
              <w:t xml:space="preserve"> do</w:t>
            </w:r>
            <w:r w:rsidR="00BF7CB8">
              <w:rPr>
                <w:color w:val="000000" w:themeColor="text1"/>
                <w:spacing w:val="-4"/>
              </w:rPr>
              <w:t> </w:t>
            </w:r>
            <w:r w:rsidRPr="00D46F47">
              <w:rPr>
                <w:color w:val="000000" w:themeColor="text1"/>
                <w:spacing w:val="-4"/>
              </w:rPr>
              <w:t>sílících růstových temp zaměstnanosti i mezd</w:t>
            </w:r>
            <w:r>
              <w:rPr>
                <w:color w:val="000000" w:themeColor="text1"/>
                <w:spacing w:val="-4"/>
              </w:rPr>
              <w:t xml:space="preserve"> (v 1. pololetí ubylo meziročně pracovníků jen v energetice, těžebním i dřevozpracujícím průmyslu).</w:t>
            </w:r>
          </w:p>
          <w:p w:rsidR="00652CBB" w:rsidRPr="00BF7CB8" w:rsidRDefault="00652CBB" w:rsidP="00652CBB">
            <w:pPr>
              <w:pStyle w:val="Textpoznpodarou"/>
              <w:jc w:val="both"/>
              <w:rPr>
                <w:spacing w:val="-4"/>
                <w:sz w:val="16"/>
                <w:szCs w:val="16"/>
              </w:rPr>
            </w:pPr>
          </w:p>
        </w:tc>
      </w:tr>
      <w:tr w:rsidR="00652CBB" w:rsidTr="00652CBB">
        <w:trPr>
          <w:gridAfter w:val="1"/>
          <w:wAfter w:w="59" w:type="pct"/>
        </w:trPr>
        <w:tc>
          <w:tcPr>
            <w:tcW w:w="1077" w:type="pct"/>
            <w:gridSpan w:val="2"/>
          </w:tcPr>
          <w:p w:rsidR="00652CBB" w:rsidRPr="000F401E" w:rsidRDefault="00652CBB" w:rsidP="00652CBB">
            <w:pPr>
              <w:spacing w:line="240" w:lineRule="auto"/>
              <w:rPr>
                <w:sz w:val="16"/>
                <w:szCs w:val="16"/>
              </w:rPr>
            </w:pPr>
            <w:r>
              <w:rPr>
                <w:sz w:val="16"/>
                <w:szCs w:val="16"/>
              </w:rPr>
              <w:t>Těžiště růstu průmyslové produkce v EU je dlouhodobě soustředěno do konvergujících (především středoevropských) ekonomik, a to</w:t>
            </w:r>
            <w:r w:rsidRPr="000630F6">
              <w:rPr>
                <w:color w:val="000000" w:themeColor="text1"/>
                <w:sz w:val="16"/>
                <w:szCs w:val="16"/>
              </w:rPr>
              <w:t xml:space="preserve"> především zásluhou odvětví vyrábějících investiční produkty</w:t>
            </w:r>
          </w:p>
        </w:tc>
        <w:tc>
          <w:tcPr>
            <w:tcW w:w="144" w:type="pct"/>
          </w:tcPr>
          <w:p w:rsidR="00652CBB" w:rsidRDefault="00652CBB" w:rsidP="00652CBB">
            <w:pPr>
              <w:pStyle w:val="Textpoznpodarou"/>
              <w:jc w:val="both"/>
            </w:pPr>
          </w:p>
        </w:tc>
        <w:tc>
          <w:tcPr>
            <w:tcW w:w="3720" w:type="pct"/>
            <w:gridSpan w:val="3"/>
          </w:tcPr>
          <w:p w:rsidR="00652CBB" w:rsidRPr="00BF7CB8" w:rsidRDefault="00652CBB" w:rsidP="00BF7CB8">
            <w:pPr>
              <w:pStyle w:val="Textpoznpodarou"/>
              <w:jc w:val="both"/>
              <w:rPr>
                <w:color w:val="000000" w:themeColor="text1"/>
                <w:sz w:val="14"/>
                <w:szCs w:val="14"/>
              </w:rPr>
            </w:pPr>
            <w:r w:rsidRPr="00BF7CB8">
              <w:rPr>
                <w:color w:val="000000" w:themeColor="text1"/>
              </w:rPr>
              <w:t>Průmyslová produkce v ČR se v 1.</w:t>
            </w:r>
            <w:r w:rsidR="00BF7CB8" w:rsidRPr="00BF7CB8">
              <w:rPr>
                <w:color w:val="000000" w:themeColor="text1"/>
              </w:rPr>
              <w:t xml:space="preserve"> </w:t>
            </w:r>
            <w:r w:rsidRPr="00BF7CB8">
              <w:rPr>
                <w:color w:val="000000" w:themeColor="text1"/>
              </w:rPr>
              <w:t>až 3. čtvrtletí 2015 (stejně jako o rok dříve) zvyšovala čtvrtým nejrychlejším tempem ze všech zemí EU. Ze zemí s významnou rolí průmyslu zaznamenaly obdobnou dynamiku jen Maďarsko, Rumunsko a Slovensko. V EU (2,3 %) podobně jako v ČR (7,2 %) nejvíce posílila odvětví zaměřená na produkci výrobků investiční povahy. Úroveň průmyslové produkce z období vrcholu konjunktury (1.</w:t>
            </w:r>
            <w:r w:rsidR="00BF7CB8" w:rsidRPr="00BF7CB8">
              <w:rPr>
                <w:color w:val="000000" w:themeColor="text1"/>
              </w:rPr>
              <w:t xml:space="preserve"> </w:t>
            </w:r>
            <w:r w:rsidRPr="00BF7CB8">
              <w:rPr>
                <w:color w:val="000000" w:themeColor="text1"/>
              </w:rPr>
              <w:t>až 3.</w:t>
            </w:r>
            <w:r w:rsidR="00BF7CB8" w:rsidRPr="00BF7CB8">
              <w:rPr>
                <w:color w:val="000000" w:themeColor="text1"/>
              </w:rPr>
              <w:t xml:space="preserve"> </w:t>
            </w:r>
            <w:r w:rsidRPr="00BF7CB8">
              <w:rPr>
                <w:color w:val="000000" w:themeColor="text1"/>
              </w:rPr>
              <w:t>q 2008) překonalo dosud dvanáct unijních členů, vedle většiny konvergujících ekonomik (vč. ČR) také Irsko (o</w:t>
            </w:r>
            <w:r w:rsidR="00BF7CB8">
              <w:rPr>
                <w:color w:val="000000" w:themeColor="text1"/>
              </w:rPr>
              <w:t> </w:t>
            </w:r>
            <w:r w:rsidRPr="00BF7CB8">
              <w:rPr>
                <w:color w:val="000000" w:themeColor="text1"/>
              </w:rPr>
              <w:t>40</w:t>
            </w:r>
            <w:r w:rsidR="00BF7CB8">
              <w:rPr>
                <w:color w:val="000000" w:themeColor="text1"/>
              </w:rPr>
              <w:t> </w:t>
            </w:r>
            <w:r w:rsidRPr="00BF7CB8">
              <w:rPr>
                <w:color w:val="000000" w:themeColor="text1"/>
              </w:rPr>
              <w:t>%) a těšně též Rakousko, Německo a</w:t>
            </w:r>
            <w:r w:rsidRPr="00BF7CB8">
              <w:t> </w:t>
            </w:r>
            <w:r w:rsidRPr="00BF7CB8">
              <w:rPr>
                <w:color w:val="000000" w:themeColor="text1"/>
              </w:rPr>
              <w:t>Belgie. Zhruba čtvrtinu pod touto hladinou stále setrvávají Itálie, Řecko, Finsko a navzdory významnějšímu oživení z posledních dvou let rovněž Španělsko.</w:t>
            </w:r>
          </w:p>
        </w:tc>
      </w:tr>
      <w:tr w:rsidR="00652CBB" w:rsidTr="00652CBB">
        <w:trPr>
          <w:gridAfter w:val="1"/>
          <w:wAfter w:w="59" w:type="pct"/>
        </w:trPr>
        <w:tc>
          <w:tcPr>
            <w:tcW w:w="1077" w:type="pct"/>
            <w:gridSpan w:val="2"/>
          </w:tcPr>
          <w:p w:rsidR="00652CBB" w:rsidRDefault="00652CBB" w:rsidP="00652CBB">
            <w:pPr>
              <w:spacing w:line="240" w:lineRule="auto"/>
              <w:rPr>
                <w:sz w:val="16"/>
                <w:szCs w:val="16"/>
              </w:rPr>
            </w:pPr>
            <w:r>
              <w:rPr>
                <w:sz w:val="16"/>
                <w:szCs w:val="16"/>
              </w:rPr>
              <w:lastRenderedPageBreak/>
              <w:t xml:space="preserve">Sílící tlak na dočerpání prostředků z rozpočtu EU alokovaných na rozvoj dopravní infrastruktury vyústil v prudký meziroční růst produkce inženýrského stavebnictví, nejvyšší za posledních dvanáct let </w:t>
            </w:r>
          </w:p>
        </w:tc>
        <w:tc>
          <w:tcPr>
            <w:tcW w:w="144" w:type="pct"/>
          </w:tcPr>
          <w:p w:rsidR="00652CBB" w:rsidRDefault="00652CBB" w:rsidP="00652CBB">
            <w:pPr>
              <w:pStyle w:val="Textpoznpodarou"/>
              <w:jc w:val="both"/>
              <w:rPr>
                <w:spacing w:val="-2"/>
              </w:rPr>
            </w:pPr>
          </w:p>
        </w:tc>
        <w:tc>
          <w:tcPr>
            <w:tcW w:w="3720" w:type="pct"/>
            <w:gridSpan w:val="3"/>
          </w:tcPr>
          <w:p w:rsidR="00652CBB" w:rsidRDefault="00652CBB" w:rsidP="00652CBB">
            <w:pPr>
              <w:pStyle w:val="Textpoznpodarou"/>
              <w:jc w:val="both"/>
              <w:rPr>
                <w:spacing w:val="-4"/>
              </w:rPr>
            </w:pPr>
            <w:r>
              <w:rPr>
                <w:spacing w:val="-4"/>
              </w:rPr>
              <w:t>Stavebnictví pokračovalo pod taktovkou akcelerace veřejných investic do inženýrských staveb také v průběhu roku 2015 a navázalo tak na intenzivní loňské oživení. Dílčí roli sehrálo i opakování teplotně příznivých zimních období, jakož i razantní návrat ekonomiky na růstovou trajektorii, který se patrně významněji promítl také do pozemního stavitelství. Celková s</w:t>
            </w:r>
            <w:r w:rsidRPr="001952FA">
              <w:rPr>
                <w:spacing w:val="-4"/>
              </w:rPr>
              <w:t>tavební produkce</w:t>
            </w:r>
            <w:r>
              <w:rPr>
                <w:spacing w:val="-4"/>
              </w:rPr>
              <w:t xml:space="preserve"> letos v úhrnu za tři čtvrtletí posílila o 7,5 % (po loňských 6,0 %) a rostla nejdynamičtěji za posledních osm let. Přestože k růstu přispělo (podobně jako loni) i váhově dominantní pozemní stavitelství, klíčovou roli si dosud udrželo inženýrské stavitelství, jehož produkc</w:t>
            </w:r>
            <w:r w:rsidR="00487F81">
              <w:rPr>
                <w:spacing w:val="-4"/>
              </w:rPr>
              <w:t>e byla meziročně o celou pětinu</w:t>
            </w:r>
            <w:r>
              <w:rPr>
                <w:spacing w:val="-4"/>
              </w:rPr>
              <w:t xml:space="preserve"> vyšší a dosáhla tak nejrychlejšího tempa po roce 2003.</w:t>
            </w:r>
          </w:p>
          <w:p w:rsidR="00652CBB" w:rsidRPr="004E1984" w:rsidRDefault="00652CBB" w:rsidP="00652CBB">
            <w:pPr>
              <w:pStyle w:val="Textpoznpodarou"/>
              <w:jc w:val="both"/>
              <w:rPr>
                <w:spacing w:val="-4"/>
                <w:sz w:val="14"/>
                <w:szCs w:val="14"/>
              </w:rPr>
            </w:pPr>
          </w:p>
        </w:tc>
      </w:tr>
      <w:tr w:rsidR="00652CBB" w:rsidTr="00652CBB">
        <w:trPr>
          <w:gridAfter w:val="1"/>
          <w:wAfter w:w="59" w:type="pct"/>
        </w:trPr>
        <w:tc>
          <w:tcPr>
            <w:tcW w:w="1077" w:type="pct"/>
            <w:gridSpan w:val="2"/>
          </w:tcPr>
          <w:p w:rsidR="00652CBB" w:rsidRPr="001278E7" w:rsidRDefault="00652CBB" w:rsidP="00652CBB">
            <w:pPr>
              <w:spacing w:line="240" w:lineRule="auto"/>
              <w:rPr>
                <w:color w:val="0D0D0D" w:themeColor="text1" w:themeTint="F2"/>
                <w:sz w:val="16"/>
                <w:szCs w:val="16"/>
              </w:rPr>
            </w:pPr>
            <w:r w:rsidRPr="001278E7">
              <w:rPr>
                <w:color w:val="0D0D0D" w:themeColor="text1" w:themeTint="F2"/>
                <w:sz w:val="16"/>
                <w:szCs w:val="16"/>
              </w:rPr>
              <w:t>Hodnota nových zakázek za tři čtvrtletí meziročně mírně slabší – jak v pozemním, tak i inženýrském stavitelství</w:t>
            </w:r>
          </w:p>
          <w:p w:rsidR="00652CBB" w:rsidRPr="001278E7" w:rsidRDefault="00652CBB" w:rsidP="00652CBB">
            <w:pPr>
              <w:spacing w:line="240" w:lineRule="auto"/>
              <w:rPr>
                <w:color w:val="0D0D0D" w:themeColor="text1" w:themeTint="F2"/>
                <w:sz w:val="16"/>
                <w:szCs w:val="16"/>
              </w:rPr>
            </w:pPr>
          </w:p>
          <w:p w:rsidR="00652CBB" w:rsidRPr="001278E7" w:rsidRDefault="00652CBB" w:rsidP="00652CBB">
            <w:pPr>
              <w:spacing w:line="240" w:lineRule="auto"/>
              <w:rPr>
                <w:color w:val="0D0D0D" w:themeColor="text1" w:themeTint="F2"/>
                <w:sz w:val="16"/>
                <w:szCs w:val="16"/>
              </w:rPr>
            </w:pPr>
          </w:p>
          <w:p w:rsidR="00652CBB" w:rsidRPr="001278E7" w:rsidRDefault="00652CBB" w:rsidP="00652CBB">
            <w:pPr>
              <w:spacing w:line="240" w:lineRule="auto"/>
              <w:rPr>
                <w:color w:val="0D0D0D" w:themeColor="text1" w:themeTint="F2"/>
                <w:sz w:val="16"/>
                <w:szCs w:val="16"/>
              </w:rPr>
            </w:pPr>
          </w:p>
          <w:p w:rsidR="00652CBB" w:rsidRPr="0032604E" w:rsidRDefault="00652CBB" w:rsidP="00652CBB">
            <w:pPr>
              <w:spacing w:line="240" w:lineRule="auto"/>
              <w:rPr>
                <w:color w:val="000000" w:themeColor="text1"/>
                <w:sz w:val="16"/>
                <w:szCs w:val="16"/>
              </w:rPr>
            </w:pPr>
            <w:r w:rsidRPr="001278E7">
              <w:rPr>
                <w:color w:val="0D0D0D" w:themeColor="text1" w:themeTint="F2"/>
                <w:sz w:val="16"/>
                <w:szCs w:val="16"/>
              </w:rPr>
              <w:t>Celková zásoba dosud nerealizovaných zakázek (po šesti čtvrtletích růstu) meziročně ve 2. i 3.</w:t>
            </w:r>
            <w:r w:rsidR="00BF7CB8">
              <w:rPr>
                <w:color w:val="0D0D0D" w:themeColor="text1" w:themeTint="F2"/>
                <w:sz w:val="16"/>
                <w:szCs w:val="16"/>
              </w:rPr>
              <w:t xml:space="preserve"> </w:t>
            </w:r>
            <w:r>
              <w:rPr>
                <w:color w:val="0D0D0D" w:themeColor="text1" w:themeTint="F2"/>
                <w:sz w:val="16"/>
                <w:szCs w:val="16"/>
              </w:rPr>
              <w:t xml:space="preserve">čtvrtletí </w:t>
            </w:r>
            <w:r w:rsidRPr="001278E7">
              <w:rPr>
                <w:color w:val="0D0D0D" w:themeColor="text1" w:themeTint="F2"/>
                <w:sz w:val="16"/>
                <w:szCs w:val="16"/>
              </w:rPr>
              <w:t>2015 opět nižší</w:t>
            </w:r>
          </w:p>
        </w:tc>
        <w:tc>
          <w:tcPr>
            <w:tcW w:w="144" w:type="pct"/>
          </w:tcPr>
          <w:p w:rsidR="00652CBB" w:rsidRDefault="00652CBB" w:rsidP="00652CBB">
            <w:pPr>
              <w:pStyle w:val="Textpoznpodarou"/>
              <w:jc w:val="both"/>
              <w:rPr>
                <w:spacing w:val="-2"/>
              </w:rPr>
            </w:pPr>
          </w:p>
        </w:tc>
        <w:tc>
          <w:tcPr>
            <w:tcW w:w="3720" w:type="pct"/>
            <w:gridSpan w:val="3"/>
          </w:tcPr>
          <w:p w:rsidR="00652CBB" w:rsidRDefault="00652CBB" w:rsidP="00652CBB">
            <w:pPr>
              <w:pStyle w:val="Textpoznpodarou"/>
              <w:jc w:val="both"/>
              <w:rPr>
                <w:color w:val="000000" w:themeColor="text1"/>
                <w:spacing w:val="-4"/>
              </w:rPr>
            </w:pPr>
            <w:r>
              <w:rPr>
                <w:spacing w:val="-4"/>
              </w:rPr>
              <w:t xml:space="preserve">Stavebnictví v průběhu roku 2015 částečně těžilo z vysoké zásoby </w:t>
            </w:r>
            <w:r w:rsidRPr="007A452E">
              <w:rPr>
                <w:spacing w:val="-4"/>
              </w:rPr>
              <w:t>loňských nových zakázek na inženýrské stavby (v hodnotě 117 mld. korun, nejvyšší</w:t>
            </w:r>
            <w:r w:rsidRPr="00CD1DA0">
              <w:rPr>
                <w:spacing w:val="-4"/>
              </w:rPr>
              <w:t xml:space="preserve"> po roce 2008). Nové zakázky stavebních podniků (s 5</w:t>
            </w:r>
            <w:r>
              <w:rPr>
                <w:spacing w:val="-4"/>
              </w:rPr>
              <w:t>0 a více zaměstnanci) v úhrnu za tři letošní čtvrtletí</w:t>
            </w:r>
            <w:r w:rsidRPr="00CD1DA0">
              <w:rPr>
                <w:spacing w:val="-4"/>
              </w:rPr>
              <w:t xml:space="preserve"> </w:t>
            </w:r>
            <w:r>
              <w:rPr>
                <w:spacing w:val="-4"/>
              </w:rPr>
              <w:t>již meziročně o 2,5 % oslabily, (bez větších rozdílů mezi pozemním a inženýrským stavitelstvím), v samotném 3. čtvrtletí o desetinu. Celková zásoba práce v podobě hodnoty všech dosud nerealizovaných zakázek se na konci 2. čtvrtletí 2015 poprvé po roce a půl opět vrátila k meziročním poklesům, a to jak u veřejných i soukromých zakázek z tuzemska, méně bylo na rozdíl o</w:t>
            </w:r>
            <w:r w:rsidR="00C42D45">
              <w:rPr>
                <w:spacing w:val="-4"/>
              </w:rPr>
              <w:t>d</w:t>
            </w:r>
            <w:r>
              <w:rPr>
                <w:spacing w:val="-4"/>
              </w:rPr>
              <w:t xml:space="preserve"> předchozích dvou let i zásoby práce v zahraničí. Jednotková hodnota nově uzavřené zakázky i stavebního povolení za tři čtvrtletí meziročně mírně poklesla, vyšší ale byla u stavebních povolení na </w:t>
            </w:r>
            <w:r w:rsidRPr="00E13EB4">
              <w:rPr>
                <w:spacing w:val="-4"/>
              </w:rPr>
              <w:t>změny dokončených staveb</w:t>
            </w:r>
            <w:r>
              <w:rPr>
                <w:spacing w:val="-4"/>
              </w:rPr>
              <w:t xml:space="preserve"> (</w:t>
            </w:r>
            <w:r w:rsidRPr="00CD1DA0">
              <w:rPr>
                <w:color w:val="000000" w:themeColor="text1"/>
                <w:spacing w:val="-4"/>
              </w:rPr>
              <w:t>vliv</w:t>
            </w:r>
            <w:r>
              <w:rPr>
                <w:color w:val="000000" w:themeColor="text1"/>
                <w:spacing w:val="-4"/>
              </w:rPr>
              <w:t>em</w:t>
            </w:r>
            <w:r w:rsidRPr="00CD1DA0">
              <w:rPr>
                <w:color w:val="000000" w:themeColor="text1"/>
                <w:spacing w:val="-4"/>
              </w:rPr>
              <w:t xml:space="preserve"> větších projektů financovaných z</w:t>
            </w:r>
            <w:r>
              <w:rPr>
                <w:color w:val="000000" w:themeColor="text1"/>
                <w:spacing w:val="-4"/>
              </w:rPr>
              <w:t> </w:t>
            </w:r>
            <w:r w:rsidRPr="00CD1DA0">
              <w:rPr>
                <w:color w:val="000000" w:themeColor="text1"/>
                <w:spacing w:val="-4"/>
              </w:rPr>
              <w:t>EU</w:t>
            </w:r>
            <w:r>
              <w:rPr>
                <w:color w:val="000000" w:themeColor="text1"/>
                <w:spacing w:val="-4"/>
              </w:rPr>
              <w:t>).</w:t>
            </w:r>
          </w:p>
          <w:p w:rsidR="00652CBB" w:rsidRPr="006D6354" w:rsidRDefault="00652CBB" w:rsidP="00652CBB">
            <w:pPr>
              <w:pStyle w:val="Textpoznpodarou"/>
              <w:jc w:val="both"/>
              <w:rPr>
                <w:spacing w:val="-4"/>
                <w:sz w:val="14"/>
                <w:szCs w:val="14"/>
              </w:rPr>
            </w:pPr>
          </w:p>
        </w:tc>
      </w:tr>
      <w:tr w:rsidR="00652CBB" w:rsidTr="00652CBB">
        <w:trPr>
          <w:gridAfter w:val="1"/>
          <w:wAfter w:w="59" w:type="pct"/>
        </w:trPr>
        <w:tc>
          <w:tcPr>
            <w:tcW w:w="1077" w:type="pct"/>
            <w:gridSpan w:val="2"/>
          </w:tcPr>
          <w:p w:rsidR="00652CBB" w:rsidRPr="00574213" w:rsidRDefault="00652CBB" w:rsidP="00652CBB">
            <w:pPr>
              <w:spacing w:line="240" w:lineRule="auto"/>
              <w:rPr>
                <w:color w:val="000000" w:themeColor="text1"/>
                <w:spacing w:val="-4"/>
                <w:sz w:val="16"/>
                <w:szCs w:val="16"/>
              </w:rPr>
            </w:pPr>
            <w:r w:rsidRPr="00574213">
              <w:rPr>
                <w:color w:val="000000" w:themeColor="text1"/>
                <w:spacing w:val="-4"/>
                <w:sz w:val="16"/>
                <w:szCs w:val="16"/>
              </w:rPr>
              <w:t>Počet zahájených bytů v</w:t>
            </w:r>
            <w:r>
              <w:rPr>
                <w:color w:val="000000" w:themeColor="text1"/>
                <w:spacing w:val="-4"/>
                <w:sz w:val="16"/>
                <w:szCs w:val="16"/>
              </w:rPr>
              <w:t xml:space="preserve"> </w:t>
            </w:r>
            <w:r w:rsidRPr="00574213">
              <w:rPr>
                <w:color w:val="000000" w:themeColor="text1"/>
                <w:spacing w:val="-4"/>
                <w:sz w:val="16"/>
                <w:szCs w:val="16"/>
              </w:rPr>
              <w:t>bytových domech (BD) rostl již tři roky po sobě, proti vrcholu z obdo</w:t>
            </w:r>
            <w:r w:rsidR="0001572B">
              <w:rPr>
                <w:color w:val="000000" w:themeColor="text1"/>
                <w:spacing w:val="-4"/>
                <w:sz w:val="16"/>
                <w:szCs w:val="16"/>
              </w:rPr>
              <w:t xml:space="preserve">bí konjunktury (1. </w:t>
            </w:r>
            <w:r w:rsidR="0001572B" w:rsidRPr="001278E7">
              <w:rPr>
                <w:color w:val="0D0D0D" w:themeColor="text1" w:themeTint="F2"/>
                <w:sz w:val="16"/>
                <w:szCs w:val="16"/>
              </w:rPr>
              <w:t>–</w:t>
            </w:r>
            <w:r w:rsidR="0001572B">
              <w:rPr>
                <w:color w:val="0D0D0D" w:themeColor="text1" w:themeTint="F2"/>
                <w:sz w:val="16"/>
                <w:szCs w:val="16"/>
              </w:rPr>
              <w:t xml:space="preserve"> </w:t>
            </w:r>
            <w:r>
              <w:rPr>
                <w:color w:val="000000" w:themeColor="text1"/>
                <w:spacing w:val="-4"/>
                <w:sz w:val="16"/>
                <w:szCs w:val="16"/>
              </w:rPr>
              <w:t>3.</w:t>
            </w:r>
            <w:r w:rsidR="00BF7CB8">
              <w:rPr>
                <w:color w:val="000000" w:themeColor="text1"/>
                <w:spacing w:val="-4"/>
                <w:sz w:val="16"/>
                <w:szCs w:val="16"/>
              </w:rPr>
              <w:t xml:space="preserve"> </w:t>
            </w:r>
            <w:r>
              <w:rPr>
                <w:color w:val="000000" w:themeColor="text1"/>
                <w:spacing w:val="-4"/>
                <w:sz w:val="16"/>
                <w:szCs w:val="16"/>
              </w:rPr>
              <w:t>q 2008) byl</w:t>
            </w:r>
            <w:r w:rsidRPr="00574213">
              <w:rPr>
                <w:color w:val="000000" w:themeColor="text1"/>
                <w:spacing w:val="-4"/>
                <w:sz w:val="16"/>
                <w:szCs w:val="16"/>
              </w:rPr>
              <w:t xml:space="preserve"> ale slabší o 54 % </w:t>
            </w:r>
          </w:p>
          <w:p w:rsidR="00652CBB" w:rsidRPr="00574213" w:rsidRDefault="00652CBB" w:rsidP="00652CBB">
            <w:pPr>
              <w:spacing w:line="240" w:lineRule="auto"/>
              <w:rPr>
                <w:color w:val="000000" w:themeColor="text1"/>
                <w:spacing w:val="-4"/>
                <w:sz w:val="16"/>
                <w:szCs w:val="16"/>
              </w:rPr>
            </w:pPr>
          </w:p>
          <w:p w:rsidR="00652CBB" w:rsidRPr="0032604E" w:rsidRDefault="00652CBB" w:rsidP="00652CBB">
            <w:pPr>
              <w:spacing w:line="240" w:lineRule="auto"/>
              <w:rPr>
                <w:color w:val="000000" w:themeColor="text1"/>
                <w:sz w:val="16"/>
                <w:szCs w:val="16"/>
              </w:rPr>
            </w:pPr>
            <w:r w:rsidRPr="00574213">
              <w:rPr>
                <w:color w:val="000000" w:themeColor="text1"/>
                <w:spacing w:val="-4"/>
                <w:sz w:val="16"/>
                <w:szCs w:val="16"/>
              </w:rPr>
              <w:t>Téměř dvě třetiny nově zahá</w:t>
            </w:r>
            <w:r>
              <w:rPr>
                <w:color w:val="000000" w:themeColor="text1"/>
                <w:spacing w:val="-4"/>
                <w:sz w:val="16"/>
                <w:szCs w:val="16"/>
              </w:rPr>
              <w:t>-</w:t>
            </w:r>
            <w:r w:rsidRPr="00574213">
              <w:rPr>
                <w:color w:val="000000" w:themeColor="text1"/>
                <w:spacing w:val="-4"/>
                <w:sz w:val="16"/>
                <w:szCs w:val="16"/>
              </w:rPr>
              <w:t>jených bytů v BD připadalo na Prahu a Středočeský kraj</w:t>
            </w:r>
          </w:p>
        </w:tc>
        <w:tc>
          <w:tcPr>
            <w:tcW w:w="144" w:type="pct"/>
          </w:tcPr>
          <w:p w:rsidR="00652CBB" w:rsidRDefault="00652CBB" w:rsidP="00652CBB">
            <w:pPr>
              <w:pStyle w:val="Textpoznpodarou"/>
              <w:jc w:val="both"/>
              <w:rPr>
                <w:spacing w:val="-2"/>
              </w:rPr>
            </w:pPr>
          </w:p>
        </w:tc>
        <w:tc>
          <w:tcPr>
            <w:tcW w:w="3720" w:type="pct"/>
            <w:gridSpan w:val="3"/>
          </w:tcPr>
          <w:p w:rsidR="00652CBB" w:rsidRDefault="00652CBB" w:rsidP="00652CBB">
            <w:pPr>
              <w:pStyle w:val="Textpoznpodarou"/>
              <w:jc w:val="both"/>
              <w:rPr>
                <w:spacing w:val="-4"/>
              </w:rPr>
            </w:pPr>
            <w:r>
              <w:rPr>
                <w:spacing w:val="-4"/>
              </w:rPr>
              <w:t xml:space="preserve">Navzdory růstu disponibilních příjmů domácností i přetrvávání historicky nízkých úrokových sazeb a zatím pozvolného růstu cen rezidenčních nemovitostí se bytová výstavba od svého dna (rok 2013) odráží jen zvolna. Počet zahájených bytů v 1. až 3. čtvrtletí 2015 vzrostl meziročně o 6,1 % (za dva roky o 16,2 %). Více bylo jak </w:t>
            </w:r>
            <w:r w:rsidR="00487F81">
              <w:rPr>
                <w:spacing w:val="-4"/>
              </w:rPr>
              <w:t>bytů v rodinných</w:t>
            </w:r>
            <w:r>
              <w:rPr>
                <w:spacing w:val="-4"/>
              </w:rPr>
              <w:t xml:space="preserve"> (proti loňskému historickému minimu o 6,7 %), tak i</w:t>
            </w:r>
            <w:r w:rsidR="00487F81">
              <w:rPr>
                <w:spacing w:val="-4"/>
              </w:rPr>
              <w:t xml:space="preserve"> v bytových domech</w:t>
            </w:r>
            <w:r>
              <w:rPr>
                <w:spacing w:val="-4"/>
              </w:rPr>
              <w:t xml:space="preserve"> (+3,1 %), jejichž produkce byla obdobím recese zasažena intenzivněji. Počet zahájených bytů v domovech pro seniory (326) byl druhý nejnižší v novodobé historii.  </w:t>
            </w:r>
          </w:p>
          <w:p w:rsidR="00652CBB" w:rsidRPr="000240BC" w:rsidRDefault="00652CBB" w:rsidP="00652CBB">
            <w:pPr>
              <w:pStyle w:val="Textpoznpodarou"/>
              <w:jc w:val="both"/>
              <w:rPr>
                <w:spacing w:val="-4"/>
                <w:sz w:val="14"/>
                <w:szCs w:val="14"/>
              </w:rPr>
            </w:pPr>
          </w:p>
        </w:tc>
      </w:tr>
      <w:tr w:rsidR="00652CBB" w:rsidTr="00652CBB">
        <w:trPr>
          <w:gridAfter w:val="1"/>
          <w:wAfter w:w="59" w:type="pct"/>
        </w:trPr>
        <w:tc>
          <w:tcPr>
            <w:tcW w:w="1077" w:type="pct"/>
            <w:gridSpan w:val="2"/>
          </w:tcPr>
          <w:p w:rsidR="00652CBB" w:rsidRPr="00367CB0" w:rsidRDefault="00652CBB" w:rsidP="00652CBB">
            <w:pPr>
              <w:spacing w:line="240" w:lineRule="auto"/>
              <w:rPr>
                <w:sz w:val="16"/>
                <w:szCs w:val="16"/>
              </w:rPr>
            </w:pPr>
            <w:r>
              <w:rPr>
                <w:sz w:val="16"/>
                <w:szCs w:val="16"/>
              </w:rPr>
              <w:t xml:space="preserve">Zlepšení konjunkturálních ukazatelů ve stavebnictví, krátkodobé vyhlídky příznivější zejména u největších firem, na jejichž bedrech ležela rozhodující část odpovědnosti za realizaci investic do dopravní infrastruktury </w:t>
            </w:r>
          </w:p>
        </w:tc>
        <w:tc>
          <w:tcPr>
            <w:tcW w:w="144" w:type="pct"/>
          </w:tcPr>
          <w:p w:rsidR="00652CBB" w:rsidRDefault="00652CBB" w:rsidP="00652CBB">
            <w:pPr>
              <w:pStyle w:val="Textpoznpodarou"/>
              <w:jc w:val="both"/>
              <w:rPr>
                <w:spacing w:val="-2"/>
              </w:rPr>
            </w:pPr>
          </w:p>
        </w:tc>
        <w:tc>
          <w:tcPr>
            <w:tcW w:w="3720" w:type="pct"/>
            <w:gridSpan w:val="3"/>
          </w:tcPr>
          <w:p w:rsidR="00652CBB" w:rsidRPr="00BF7CB8" w:rsidRDefault="00652CBB" w:rsidP="00652CBB">
            <w:pPr>
              <w:pStyle w:val="Textpoznpodarou"/>
              <w:jc w:val="both"/>
              <w:rPr>
                <w:color w:val="000000" w:themeColor="text1"/>
                <w:spacing w:val="-2"/>
              </w:rPr>
            </w:pPr>
            <w:r w:rsidRPr="00BF7CB8">
              <w:rPr>
                <w:color w:val="000000" w:themeColor="text1"/>
                <w:spacing w:val="-2"/>
              </w:rPr>
              <w:t>Souhrnné saldo důvěry podnikatelů ve stavebnictví se v trendu zlepšuje již od počátku roku 2014 a v listopadu 2015 bylo nejvyšší od ledna 2009. Hodnocení krátkodobých vyhlídek poptávky i úmyslu přibírat nové zaměstnance bylo příznivější hlavně u největších stavebních firem. Téměř 60 % podniků však stále považovalo nedostatečnou poptávku za bariéru vyšší produkce. Během první poloviny roku se zvýšil podíl podniků, jimž v růstu brání nedostatek pracovní síly (až na 8,5 % v červnu 2015, což bylo nejvíce od roku 2008). Na vyšší poptávku reagovaly letos stavební firmy intenzivnější</w:t>
            </w:r>
            <w:r w:rsidR="008D13EA">
              <w:rPr>
                <w:color w:val="000000" w:themeColor="text1"/>
                <w:spacing w:val="-2"/>
              </w:rPr>
              <w:t>m</w:t>
            </w:r>
            <w:r w:rsidRPr="00BF7CB8">
              <w:rPr>
                <w:color w:val="000000" w:themeColor="text1"/>
                <w:spacing w:val="-2"/>
              </w:rPr>
              <w:t xml:space="preserve"> využitím stávající pracovní síly (např.</w:t>
            </w:r>
            <w:r w:rsidR="00BF7CB8">
              <w:rPr>
                <w:color w:val="000000" w:themeColor="text1"/>
                <w:spacing w:val="-2"/>
              </w:rPr>
              <w:t> </w:t>
            </w:r>
            <w:r w:rsidRPr="00BF7CB8">
              <w:rPr>
                <w:color w:val="000000" w:themeColor="text1"/>
                <w:spacing w:val="-2"/>
              </w:rPr>
              <w:t>formou přesčasové práce). Při stále nižším evidenčním počtu zaměstnanců tak vzrostla průměrná mzda ve 3. čtvrtletí o vysokých 5,3 %, což bylo podstatně více než ve zpracovatelském průmyslu (3,7 %) či celé ekonomice (3,8 %)</w:t>
            </w:r>
            <w:r w:rsidR="00BF7CB8" w:rsidRPr="00BF7CB8">
              <w:rPr>
                <w:color w:val="000000" w:themeColor="text1"/>
                <w:spacing w:val="-2"/>
              </w:rPr>
              <w:t>.</w:t>
            </w:r>
          </w:p>
          <w:p w:rsidR="00652CBB" w:rsidRPr="000240BC" w:rsidRDefault="00652CBB" w:rsidP="00652CBB">
            <w:pPr>
              <w:pStyle w:val="Textpoznpodarou"/>
              <w:jc w:val="both"/>
              <w:rPr>
                <w:spacing w:val="-4"/>
                <w:sz w:val="14"/>
                <w:szCs w:val="14"/>
              </w:rPr>
            </w:pPr>
          </w:p>
        </w:tc>
      </w:tr>
      <w:tr w:rsidR="00652CBB" w:rsidRPr="001F56A9" w:rsidTr="00652CBB">
        <w:trPr>
          <w:gridAfter w:val="1"/>
          <w:wAfter w:w="59" w:type="pct"/>
        </w:trPr>
        <w:tc>
          <w:tcPr>
            <w:tcW w:w="1077" w:type="pct"/>
            <w:gridSpan w:val="2"/>
          </w:tcPr>
          <w:p w:rsidR="00652CBB" w:rsidRDefault="00652CBB" w:rsidP="00652CBB">
            <w:pPr>
              <w:spacing w:line="240" w:lineRule="auto"/>
              <w:rPr>
                <w:color w:val="000000" w:themeColor="text1"/>
                <w:sz w:val="16"/>
                <w:szCs w:val="16"/>
              </w:rPr>
            </w:pPr>
            <w:r w:rsidRPr="0032604E">
              <w:rPr>
                <w:color w:val="000000" w:themeColor="text1"/>
                <w:sz w:val="16"/>
                <w:szCs w:val="16"/>
              </w:rPr>
              <w:t xml:space="preserve">Tržby ve službách zrychlily dynamiku (při současném poklesu cen), meziročně rostly nejvíce </w:t>
            </w:r>
            <w:r>
              <w:rPr>
                <w:color w:val="000000" w:themeColor="text1"/>
                <w:sz w:val="16"/>
                <w:szCs w:val="16"/>
              </w:rPr>
              <w:t>od roku 2007</w:t>
            </w:r>
          </w:p>
          <w:p w:rsidR="00652CBB" w:rsidRPr="009D0B10" w:rsidRDefault="00652CBB" w:rsidP="00652CBB">
            <w:pPr>
              <w:spacing w:line="240" w:lineRule="auto"/>
              <w:rPr>
                <w:color w:val="000000" w:themeColor="text1"/>
                <w:sz w:val="14"/>
                <w:szCs w:val="14"/>
              </w:rPr>
            </w:pPr>
          </w:p>
          <w:p w:rsidR="00652CBB" w:rsidRDefault="00652CBB" w:rsidP="00652CBB">
            <w:pPr>
              <w:spacing w:line="240" w:lineRule="auto"/>
              <w:rPr>
                <w:color w:val="000000" w:themeColor="text1"/>
                <w:sz w:val="16"/>
                <w:szCs w:val="16"/>
              </w:rPr>
            </w:pPr>
            <w:r>
              <w:rPr>
                <w:color w:val="000000" w:themeColor="text1"/>
                <w:sz w:val="16"/>
                <w:szCs w:val="16"/>
              </w:rPr>
              <w:t>Vyšší výkony v exportně orientovaném průmyslu pomáhají růstu tržeb v pozemní a potrubní dopravě, který trval již jedenáct čtvrtletí v řadě</w:t>
            </w:r>
          </w:p>
          <w:p w:rsidR="00652CBB" w:rsidRPr="009D0B10" w:rsidRDefault="00652CBB" w:rsidP="00652CBB">
            <w:pPr>
              <w:spacing w:line="240" w:lineRule="auto"/>
              <w:rPr>
                <w:color w:val="000000" w:themeColor="text1"/>
                <w:sz w:val="14"/>
                <w:szCs w:val="14"/>
              </w:rPr>
            </w:pPr>
          </w:p>
          <w:p w:rsidR="00652CBB" w:rsidRDefault="00652CBB" w:rsidP="00652CBB">
            <w:pPr>
              <w:spacing w:line="240" w:lineRule="auto"/>
              <w:rPr>
                <w:color w:val="000000" w:themeColor="text1"/>
                <w:sz w:val="16"/>
                <w:szCs w:val="16"/>
              </w:rPr>
            </w:pPr>
            <w:r>
              <w:rPr>
                <w:color w:val="000000" w:themeColor="text1"/>
                <w:sz w:val="16"/>
                <w:szCs w:val="16"/>
              </w:rPr>
              <w:t>Útlum tržeb cestovních kanceláří pokračoval již dvanáct čtvrtletí…</w:t>
            </w:r>
          </w:p>
          <w:p w:rsidR="00652CBB" w:rsidRPr="009D0B10" w:rsidRDefault="00652CBB" w:rsidP="00652CBB">
            <w:pPr>
              <w:spacing w:line="240" w:lineRule="auto"/>
              <w:rPr>
                <w:sz w:val="14"/>
                <w:szCs w:val="14"/>
              </w:rPr>
            </w:pPr>
          </w:p>
          <w:p w:rsidR="00652CBB" w:rsidRPr="00177FCE" w:rsidRDefault="00652CBB" w:rsidP="00652CBB">
            <w:pPr>
              <w:spacing w:line="240" w:lineRule="auto"/>
              <w:rPr>
                <w:color w:val="000000" w:themeColor="text1"/>
                <w:sz w:val="16"/>
                <w:szCs w:val="16"/>
              </w:rPr>
            </w:pPr>
            <w:r>
              <w:rPr>
                <w:sz w:val="16"/>
                <w:szCs w:val="16"/>
              </w:rPr>
              <w:t>…</w:t>
            </w:r>
            <w:r w:rsidRPr="00177FCE">
              <w:rPr>
                <w:color w:val="000000" w:themeColor="text1"/>
                <w:sz w:val="16"/>
                <w:szCs w:val="16"/>
              </w:rPr>
              <w:t>naopak recesí silně poznamenané profesní, vědecké a technické činnosti</w:t>
            </w:r>
            <w:r>
              <w:rPr>
                <w:color w:val="000000" w:themeColor="text1"/>
                <w:sz w:val="16"/>
                <w:szCs w:val="16"/>
              </w:rPr>
              <w:t xml:space="preserve"> na počá</w:t>
            </w:r>
            <w:r w:rsidR="00240773">
              <w:rPr>
                <w:color w:val="000000" w:themeColor="text1"/>
                <w:sz w:val="16"/>
                <w:szCs w:val="16"/>
              </w:rPr>
              <w:t>tku roku 2015 ožily poprvé po 11</w:t>
            </w:r>
            <w:r>
              <w:rPr>
                <w:color w:val="000000" w:themeColor="text1"/>
                <w:sz w:val="16"/>
                <w:szCs w:val="16"/>
              </w:rPr>
              <w:t xml:space="preserve"> čtvrtletích, především díky projektovým činnostem v souvislosti s růstem stavebnictví </w:t>
            </w:r>
          </w:p>
          <w:p w:rsidR="00652CBB" w:rsidRPr="009D0B10" w:rsidRDefault="00652CBB" w:rsidP="00652CBB">
            <w:pPr>
              <w:spacing w:line="240" w:lineRule="auto"/>
              <w:rPr>
                <w:sz w:val="6"/>
                <w:szCs w:val="6"/>
              </w:rPr>
            </w:pPr>
          </w:p>
        </w:tc>
        <w:tc>
          <w:tcPr>
            <w:tcW w:w="144" w:type="pct"/>
          </w:tcPr>
          <w:p w:rsidR="00652CBB" w:rsidRDefault="00652CBB" w:rsidP="00652CBB">
            <w:pPr>
              <w:pStyle w:val="Textpoznpodarou"/>
              <w:jc w:val="both"/>
              <w:rPr>
                <w:spacing w:val="-2"/>
              </w:rPr>
            </w:pPr>
          </w:p>
        </w:tc>
        <w:tc>
          <w:tcPr>
            <w:tcW w:w="3720" w:type="pct"/>
            <w:gridSpan w:val="3"/>
          </w:tcPr>
          <w:p w:rsidR="00652CBB" w:rsidRPr="001F56A9" w:rsidRDefault="00652CBB" w:rsidP="001F56A9">
            <w:pPr>
              <w:pStyle w:val="Textpoznpodarou"/>
              <w:jc w:val="both"/>
              <w:rPr>
                <w:spacing w:val="-2"/>
                <w:sz w:val="6"/>
                <w:szCs w:val="6"/>
              </w:rPr>
            </w:pPr>
            <w:r w:rsidRPr="001F56A9">
              <w:rPr>
                <w:color w:val="000000" w:themeColor="text1"/>
                <w:spacing w:val="-2"/>
              </w:rPr>
              <w:t>Tržby ve vybraných službách</w:t>
            </w:r>
            <w:r w:rsidRPr="001F56A9">
              <w:rPr>
                <w:color w:val="000000" w:themeColor="text1"/>
                <w:spacing w:val="-2"/>
                <w:vertAlign w:val="superscript"/>
              </w:rPr>
              <w:footnoteReference w:id="13"/>
            </w:r>
            <w:r w:rsidRPr="001F56A9">
              <w:rPr>
                <w:color w:val="000000" w:themeColor="text1"/>
                <w:spacing w:val="-2"/>
              </w:rPr>
              <w:t xml:space="preserve"> se v 1. až 3. čtvrtletí 2015 zvýšily o 2,7 %, když zrychlily proti loňskému tempu (+1,6 %). Významné oživení služeb probíhalo letos netradičně při současném poklesu cen, především v pozemní dopravě či skladování (v důsledku prudkého poklesu cen ropy na světových trzích), ale i</w:t>
            </w:r>
            <w:r w:rsidR="001F56A9">
              <w:rPr>
                <w:color w:val="000000" w:themeColor="text1"/>
                <w:spacing w:val="-2"/>
              </w:rPr>
              <w:t> </w:t>
            </w:r>
            <w:r w:rsidRPr="001F56A9">
              <w:rPr>
                <w:color w:val="000000" w:themeColor="text1"/>
                <w:spacing w:val="-2"/>
              </w:rPr>
              <w:t>v telekomunikacích (kde je pokles cen dlouhodobějším jevem) a také u pracovních agentur (zde ovšem ceny v předchozích dvou letech naopak citelně rostly). V</w:t>
            </w:r>
            <w:r w:rsidR="001F56A9">
              <w:rPr>
                <w:color w:val="000000" w:themeColor="text1"/>
                <w:spacing w:val="-2"/>
              </w:rPr>
              <w:t> </w:t>
            </w:r>
            <w:r w:rsidRPr="001F56A9">
              <w:rPr>
                <w:color w:val="000000" w:themeColor="text1"/>
                <w:spacing w:val="-2"/>
              </w:rPr>
              <w:t xml:space="preserve">dopravě a skladování tržby za tři čtvrtletí meziročně stagnovaly, když </w:t>
            </w:r>
            <w:r w:rsidRPr="001F56A9">
              <w:rPr>
                <w:spacing w:val="-2"/>
              </w:rPr>
              <w:t xml:space="preserve">váhově dominantní pozemní a potrubní doprava (+4,2 %) stačila pouze vyrovnat citelný pokles reálných tržeb v letecké dopravě (-4,2 %) a skladování (-5,1 %), jehož vývoj byl významně ovlivněn také vysokou meziroční základnou. Výrazné oživení příjezdového cestovního ruchu se odrazilo v tržbách v ubytování (+8,4 %, nejvyšších po roce 2005). Rekordní byly i tržby ve stravování a pohostinství (+4 %), na rozdíl od ubytování však zatím nepřekonaly úroveň konjunkturního roku 2008. </w:t>
            </w:r>
            <w:r w:rsidRPr="001F56A9">
              <w:rPr>
                <w:color w:val="000000" w:themeColor="text1"/>
                <w:spacing w:val="-2"/>
              </w:rPr>
              <w:t>Tržby administrativních a podpůrných činností (+5,6 %) táhly tradičně pracovní agentury (+20,7 %, proti vrcholu konjunktury vyšší o třetinu),</w:t>
            </w:r>
            <w:r w:rsidR="00E737F6" w:rsidRPr="001F56A9">
              <w:rPr>
                <w:color w:val="000000" w:themeColor="text1"/>
                <w:spacing w:val="-2"/>
              </w:rPr>
              <w:t xml:space="preserve"> v</w:t>
            </w:r>
            <w:r w:rsidRPr="001F56A9">
              <w:rPr>
                <w:color w:val="000000" w:themeColor="text1"/>
                <w:spacing w:val="-2"/>
              </w:rPr>
              <w:t> dlouhodobém útlumu pokračovaly cestovní kanceláře (-6,7</w:t>
            </w:r>
            <w:r w:rsidR="001F56A9" w:rsidRPr="001F56A9">
              <w:rPr>
                <w:color w:val="000000" w:themeColor="text1"/>
                <w:spacing w:val="-2"/>
              </w:rPr>
              <w:t xml:space="preserve"> %)</w:t>
            </w:r>
            <w:r w:rsidRPr="001F56A9">
              <w:rPr>
                <w:color w:val="000000" w:themeColor="text1"/>
                <w:spacing w:val="-2"/>
              </w:rPr>
              <w:t>.</w:t>
            </w:r>
            <w:r w:rsidRPr="001F56A9">
              <w:rPr>
                <w:spacing w:val="-2"/>
              </w:rPr>
              <w:t xml:space="preserve"> Obrat letos zaznamenaly profesní, vědecké a </w:t>
            </w:r>
            <w:r w:rsidRPr="001F56A9">
              <w:rPr>
                <w:color w:val="000000" w:themeColor="text1"/>
                <w:spacing w:val="-2"/>
              </w:rPr>
              <w:t>technické činnosti (+3,4 %, první růst v 1. až 3. čtvrtletí od roku 2008), když na vlně silného růstu stavebnictví akcelerovaly především váhově nejvýznamnější architektonické a inženýrské činnosti (+6,8 %).</w:t>
            </w:r>
          </w:p>
        </w:tc>
      </w:tr>
      <w:tr w:rsidR="00652CBB" w:rsidTr="00652CBB">
        <w:trPr>
          <w:gridAfter w:val="1"/>
          <w:wAfter w:w="59" w:type="pct"/>
          <w:cantSplit/>
          <w:trHeight w:val="203"/>
        </w:trPr>
        <w:tc>
          <w:tcPr>
            <w:tcW w:w="1077" w:type="pct"/>
            <w:gridSpan w:val="2"/>
          </w:tcPr>
          <w:p w:rsidR="00652CBB" w:rsidRDefault="00652CBB" w:rsidP="00652CBB">
            <w:pPr>
              <w:spacing w:line="240" w:lineRule="auto"/>
              <w:rPr>
                <w:color w:val="000000" w:themeColor="text1"/>
                <w:sz w:val="16"/>
                <w:szCs w:val="16"/>
              </w:rPr>
            </w:pPr>
            <w:r>
              <w:rPr>
                <w:color w:val="000000" w:themeColor="text1"/>
                <w:sz w:val="16"/>
                <w:szCs w:val="16"/>
              </w:rPr>
              <w:lastRenderedPageBreak/>
              <w:t>Nejvyšší dynamika m</w:t>
            </w:r>
            <w:r w:rsidRPr="00390A05">
              <w:rPr>
                <w:color w:val="000000" w:themeColor="text1"/>
                <w:sz w:val="16"/>
                <w:szCs w:val="16"/>
              </w:rPr>
              <w:t>aloobchodní</w:t>
            </w:r>
            <w:r>
              <w:rPr>
                <w:color w:val="000000" w:themeColor="text1"/>
                <w:sz w:val="16"/>
                <w:szCs w:val="16"/>
              </w:rPr>
              <w:t>ch tržeb</w:t>
            </w:r>
            <w:r w:rsidRPr="00390A05">
              <w:rPr>
                <w:color w:val="000000" w:themeColor="text1"/>
                <w:sz w:val="16"/>
                <w:szCs w:val="16"/>
              </w:rPr>
              <w:t xml:space="preserve"> (bez motoristického segm</w:t>
            </w:r>
            <w:r>
              <w:rPr>
                <w:color w:val="000000" w:themeColor="text1"/>
                <w:sz w:val="16"/>
                <w:szCs w:val="16"/>
              </w:rPr>
              <w:t>entu)</w:t>
            </w:r>
            <w:r w:rsidRPr="00390A05">
              <w:rPr>
                <w:color w:val="000000" w:themeColor="text1"/>
                <w:sz w:val="16"/>
                <w:szCs w:val="16"/>
              </w:rPr>
              <w:t xml:space="preserve"> </w:t>
            </w:r>
            <w:r>
              <w:rPr>
                <w:color w:val="000000" w:themeColor="text1"/>
                <w:sz w:val="16"/>
                <w:szCs w:val="16"/>
              </w:rPr>
              <w:t>od roku 2007</w:t>
            </w:r>
          </w:p>
          <w:p w:rsidR="00652CBB" w:rsidRDefault="00652CBB" w:rsidP="00652CBB">
            <w:pPr>
              <w:spacing w:line="240" w:lineRule="auto"/>
              <w:rPr>
                <w:color w:val="000000" w:themeColor="text1"/>
                <w:sz w:val="16"/>
                <w:szCs w:val="16"/>
              </w:rPr>
            </w:pPr>
          </w:p>
          <w:p w:rsidR="00652CBB" w:rsidRDefault="00652CBB" w:rsidP="00652CBB">
            <w:pPr>
              <w:spacing w:line="240" w:lineRule="auto"/>
              <w:rPr>
                <w:color w:val="000000" w:themeColor="text1"/>
                <w:sz w:val="16"/>
                <w:szCs w:val="16"/>
              </w:rPr>
            </w:pPr>
          </w:p>
          <w:p w:rsidR="00652CBB" w:rsidRDefault="00652CBB" w:rsidP="00652CBB">
            <w:pPr>
              <w:spacing w:line="240" w:lineRule="auto"/>
              <w:rPr>
                <w:color w:val="000000" w:themeColor="text1"/>
                <w:sz w:val="16"/>
                <w:szCs w:val="16"/>
              </w:rPr>
            </w:pPr>
          </w:p>
          <w:p w:rsidR="00652CBB" w:rsidRDefault="00652CBB" w:rsidP="00652CBB">
            <w:pPr>
              <w:spacing w:line="240" w:lineRule="auto"/>
              <w:rPr>
                <w:color w:val="000000" w:themeColor="text1"/>
                <w:sz w:val="16"/>
                <w:szCs w:val="16"/>
              </w:rPr>
            </w:pPr>
          </w:p>
          <w:p w:rsidR="00652CBB" w:rsidRDefault="00652CBB" w:rsidP="00652CBB">
            <w:pPr>
              <w:spacing w:line="240" w:lineRule="auto"/>
              <w:rPr>
                <w:color w:val="000000" w:themeColor="text1"/>
                <w:sz w:val="16"/>
                <w:szCs w:val="16"/>
              </w:rPr>
            </w:pPr>
            <w:r>
              <w:rPr>
                <w:color w:val="000000" w:themeColor="text1"/>
                <w:sz w:val="16"/>
                <w:szCs w:val="16"/>
              </w:rPr>
              <w:t>Vyšší disponibilní příjmy domácností mohou přispět také k preferenci nákupu kvalitnějších potravin</w:t>
            </w:r>
          </w:p>
          <w:p w:rsidR="00652CBB" w:rsidRDefault="00652CBB" w:rsidP="00652CBB">
            <w:pPr>
              <w:spacing w:line="240" w:lineRule="auto"/>
              <w:rPr>
                <w:color w:val="000000" w:themeColor="text1"/>
                <w:sz w:val="16"/>
                <w:szCs w:val="16"/>
              </w:rPr>
            </w:pPr>
          </w:p>
          <w:p w:rsidR="00652CBB" w:rsidRDefault="00652CBB" w:rsidP="00652CBB">
            <w:pPr>
              <w:spacing w:line="240" w:lineRule="auto"/>
              <w:rPr>
                <w:color w:val="000000" w:themeColor="text1"/>
                <w:sz w:val="16"/>
                <w:szCs w:val="16"/>
              </w:rPr>
            </w:pPr>
          </w:p>
          <w:p w:rsidR="00652CBB" w:rsidRDefault="00652CBB" w:rsidP="00652CBB">
            <w:pPr>
              <w:spacing w:line="240" w:lineRule="auto"/>
              <w:rPr>
                <w:color w:val="000000" w:themeColor="text1"/>
                <w:sz w:val="16"/>
                <w:szCs w:val="16"/>
              </w:rPr>
            </w:pPr>
          </w:p>
          <w:p w:rsidR="00652CBB" w:rsidRDefault="00652CBB" w:rsidP="00652CBB">
            <w:pPr>
              <w:spacing w:line="240" w:lineRule="auto"/>
              <w:rPr>
                <w:color w:val="000000" w:themeColor="text1"/>
                <w:sz w:val="16"/>
                <w:szCs w:val="16"/>
              </w:rPr>
            </w:pPr>
            <w:r>
              <w:rPr>
                <w:color w:val="000000" w:themeColor="text1"/>
                <w:sz w:val="16"/>
                <w:szCs w:val="16"/>
              </w:rPr>
              <w:t xml:space="preserve">Příznivý cenový vývoj stimuloval poptávku zejména u prodeje </w:t>
            </w:r>
            <w:r w:rsidRPr="00873CE4">
              <w:rPr>
                <w:color w:val="000000" w:themeColor="text1"/>
                <w:sz w:val="16"/>
                <w:szCs w:val="16"/>
              </w:rPr>
              <w:t xml:space="preserve">počítačových </w:t>
            </w:r>
          </w:p>
          <w:p w:rsidR="00652CBB" w:rsidRDefault="00652CBB" w:rsidP="00652CBB">
            <w:pPr>
              <w:spacing w:line="240" w:lineRule="auto"/>
              <w:rPr>
                <w:color w:val="000000" w:themeColor="text1"/>
                <w:sz w:val="16"/>
                <w:szCs w:val="16"/>
              </w:rPr>
            </w:pPr>
            <w:r w:rsidRPr="00873CE4">
              <w:rPr>
                <w:color w:val="000000" w:themeColor="text1"/>
                <w:sz w:val="16"/>
                <w:szCs w:val="16"/>
              </w:rPr>
              <w:t xml:space="preserve">a komunikačních zařízení </w:t>
            </w:r>
          </w:p>
          <w:p w:rsidR="00652CBB" w:rsidRDefault="00652CBB" w:rsidP="00652CBB">
            <w:pPr>
              <w:spacing w:line="240" w:lineRule="auto"/>
              <w:rPr>
                <w:color w:val="000000" w:themeColor="text1"/>
                <w:sz w:val="16"/>
                <w:szCs w:val="16"/>
              </w:rPr>
            </w:pPr>
            <w:r w:rsidRPr="00873CE4">
              <w:rPr>
                <w:color w:val="000000" w:themeColor="text1"/>
                <w:sz w:val="16"/>
                <w:szCs w:val="16"/>
              </w:rPr>
              <w:t>a také pohonných hmot</w:t>
            </w:r>
          </w:p>
          <w:p w:rsidR="00652CBB" w:rsidRPr="00F3262E" w:rsidRDefault="00652CBB" w:rsidP="00652CBB">
            <w:pPr>
              <w:spacing w:line="240" w:lineRule="auto"/>
              <w:rPr>
                <w:color w:val="000000" w:themeColor="text1"/>
                <w:sz w:val="16"/>
                <w:szCs w:val="16"/>
              </w:rPr>
            </w:pPr>
          </w:p>
        </w:tc>
        <w:tc>
          <w:tcPr>
            <w:tcW w:w="144" w:type="pct"/>
          </w:tcPr>
          <w:p w:rsidR="00652CBB" w:rsidRPr="00F3262E" w:rsidRDefault="00652CBB" w:rsidP="00652CBB">
            <w:pPr>
              <w:pStyle w:val="Textpoznpodarou"/>
              <w:jc w:val="both"/>
              <w:rPr>
                <w:color w:val="000000" w:themeColor="text1"/>
                <w:spacing w:val="-2"/>
              </w:rPr>
            </w:pPr>
          </w:p>
        </w:tc>
        <w:tc>
          <w:tcPr>
            <w:tcW w:w="3720" w:type="pct"/>
            <w:gridSpan w:val="3"/>
          </w:tcPr>
          <w:p w:rsidR="00652CBB" w:rsidRPr="009D0B10" w:rsidRDefault="00652CBB" w:rsidP="00652CBB">
            <w:pPr>
              <w:pStyle w:val="Textpoznpodarou"/>
              <w:jc w:val="both"/>
              <w:rPr>
                <w:color w:val="000000" w:themeColor="text1"/>
                <w:spacing w:val="-4"/>
              </w:rPr>
            </w:pPr>
            <w:r>
              <w:rPr>
                <w:color w:val="000000" w:themeColor="text1"/>
                <w:spacing w:val="-4"/>
              </w:rPr>
              <w:t>Výrazné zlepšení situace na trhu práce v podobě vysokých temp růstu zaměstnanosti i reálných mezd se odrazil v náladě spotřebitelů i v celém maloobchodu. Důležitý zlom nastal na přelomu let 2014</w:t>
            </w:r>
            <w:r w:rsidR="008E7C55">
              <w:rPr>
                <w:color w:val="000000" w:themeColor="text1"/>
                <w:spacing w:val="-4"/>
              </w:rPr>
              <w:t xml:space="preserve"> a 2015, kdy se saldo indikátoru</w:t>
            </w:r>
            <w:r>
              <w:rPr>
                <w:color w:val="000000" w:themeColor="text1"/>
                <w:spacing w:val="-4"/>
              </w:rPr>
              <w:t xml:space="preserve"> důvěry spotřebitelů po 7,5 letech vrátilo do kladných hodnot a meziroční dynamika celkových maloobchodních tržeb</w:t>
            </w:r>
            <w:r>
              <w:rPr>
                <w:rStyle w:val="Znakapoznpodarou"/>
                <w:color w:val="000000" w:themeColor="text1"/>
                <w:spacing w:val="-4"/>
              </w:rPr>
              <w:footnoteReference w:id="14"/>
            </w:r>
            <w:r>
              <w:rPr>
                <w:color w:val="000000" w:themeColor="text1"/>
                <w:spacing w:val="-4"/>
              </w:rPr>
              <w:t xml:space="preserve"> zrychlila z 3,8 % (4</w:t>
            </w:r>
            <w:r w:rsidR="00E737F6">
              <w:rPr>
                <w:color w:val="000000" w:themeColor="text1"/>
                <w:spacing w:val="-4"/>
              </w:rPr>
              <w:t>.</w:t>
            </w:r>
            <w:r>
              <w:rPr>
                <w:color w:val="000000" w:themeColor="text1"/>
                <w:spacing w:val="-4"/>
              </w:rPr>
              <w:t xml:space="preserve"> q 2014) na 6,3 % (1.</w:t>
            </w:r>
            <w:r w:rsidR="00BF7CB8">
              <w:rPr>
                <w:color w:val="000000" w:themeColor="text1"/>
                <w:spacing w:val="-4"/>
              </w:rPr>
              <w:t xml:space="preserve"> </w:t>
            </w:r>
            <w:r>
              <w:rPr>
                <w:color w:val="000000" w:themeColor="text1"/>
                <w:spacing w:val="-4"/>
              </w:rPr>
              <w:t xml:space="preserve">q 2015). V průběhu roku 2015 dynamika tržeb nedoznala velkých změn (ve 2. i 3. čtvrtletí rostla shodně o 5,7 %), podobně jako důvěra spotřebitelů. V úhrnu za 1. až 3. čtvrtletí táhl maloobchod zejména prodej </w:t>
            </w:r>
            <w:r w:rsidRPr="003B163B">
              <w:rPr>
                <w:color w:val="000000" w:themeColor="text1"/>
                <w:spacing w:val="-4"/>
              </w:rPr>
              <w:t>nepotravinářského</w:t>
            </w:r>
            <w:r>
              <w:rPr>
                <w:color w:val="000000" w:themeColor="text1"/>
                <w:spacing w:val="-4"/>
              </w:rPr>
              <w:t xml:space="preserve"> zboží (+6,6 %), nejvyšší dynamiku reálných tržeb za posledních osm let zaznamenali i prodejci potravin (+3,9 %), a to i ve specializovaných prodejnách (+2,8 %). Z ostatních specializovaných prodejen se i díky slevovým strategiím dařilo zejména </w:t>
            </w:r>
            <w:r w:rsidRPr="003B163B">
              <w:rPr>
                <w:color w:val="000000" w:themeColor="text1"/>
                <w:spacing w:val="-4"/>
              </w:rPr>
              <w:t>prodejům počítačových a</w:t>
            </w:r>
            <w:r>
              <w:rPr>
                <w:color w:val="000000" w:themeColor="text1"/>
                <w:spacing w:val="-4"/>
              </w:rPr>
              <w:t xml:space="preserve"> komunikačních zařízení (+12,3 %) a také výrobkům pro </w:t>
            </w:r>
            <w:r w:rsidRPr="006A3737">
              <w:rPr>
                <w:color w:val="000000" w:themeColor="text1"/>
                <w:spacing w:val="-4"/>
              </w:rPr>
              <w:t>kulturu a rekreaci</w:t>
            </w:r>
            <w:r>
              <w:rPr>
                <w:color w:val="000000" w:themeColor="text1"/>
                <w:spacing w:val="-4"/>
              </w:rPr>
              <w:t xml:space="preserve"> (+9,3 %). Po pěti letech se zastavil růst tržeb za oděvy, obuv a kožené zboží. </w:t>
            </w:r>
            <w:r w:rsidRPr="00A61D24">
              <w:rPr>
                <w:color w:val="000000" w:themeColor="text1"/>
                <w:spacing w:val="-4"/>
              </w:rPr>
              <w:t>Tržby u čerpacích stanic od loňského prosi</w:t>
            </w:r>
            <w:r>
              <w:rPr>
                <w:color w:val="000000" w:themeColor="text1"/>
                <w:spacing w:val="-4"/>
              </w:rPr>
              <w:t>nce akcelerovaly, za tři čtvrtletí meziročně vzrostly o 7,1</w:t>
            </w:r>
            <w:r w:rsidRPr="00A61D24">
              <w:rPr>
                <w:color w:val="000000" w:themeColor="text1"/>
                <w:spacing w:val="-4"/>
              </w:rPr>
              <w:t xml:space="preserve"> %. </w:t>
            </w:r>
            <w:r>
              <w:rPr>
                <w:color w:val="000000" w:themeColor="text1"/>
                <w:spacing w:val="-4"/>
              </w:rPr>
              <w:t>Vysokou loňskou dynamiku tržeb udrželi i letos internetoví prodejci, podobné platilo i pro celý motoristický segment, kde o</w:t>
            </w:r>
            <w:r w:rsidRPr="002F3519">
              <w:rPr>
                <w:color w:val="000000" w:themeColor="text1"/>
                <w:spacing w:val="-4"/>
              </w:rPr>
              <w:t>bchod s motorovými vozidly</w:t>
            </w:r>
            <w:r>
              <w:rPr>
                <w:color w:val="000000" w:themeColor="text1"/>
                <w:spacing w:val="-4"/>
              </w:rPr>
              <w:t xml:space="preserve"> meziročně vzrostl o osminu.</w:t>
            </w:r>
          </w:p>
          <w:p w:rsidR="00652CBB" w:rsidRPr="007E61CB" w:rsidRDefault="00652CBB" w:rsidP="00652CBB">
            <w:pPr>
              <w:pStyle w:val="Textpoznpodarou"/>
              <w:jc w:val="both"/>
              <w:rPr>
                <w:color w:val="000000" w:themeColor="text1"/>
                <w:spacing w:val="-4"/>
                <w:sz w:val="12"/>
                <w:szCs w:val="12"/>
              </w:rPr>
            </w:pPr>
          </w:p>
        </w:tc>
      </w:tr>
      <w:tr w:rsidR="00652CBB" w:rsidTr="00652CBB">
        <w:trPr>
          <w:gridAfter w:val="1"/>
          <w:wAfter w:w="59" w:type="pct"/>
          <w:cantSplit/>
          <w:trHeight w:val="250"/>
        </w:trPr>
        <w:tc>
          <w:tcPr>
            <w:tcW w:w="1077" w:type="pct"/>
            <w:gridSpan w:val="2"/>
          </w:tcPr>
          <w:p w:rsidR="00652CBB" w:rsidRPr="00BF497A" w:rsidRDefault="00652CBB" w:rsidP="00652CBB">
            <w:pPr>
              <w:spacing w:line="240" w:lineRule="auto"/>
              <w:rPr>
                <w:color w:val="000000" w:themeColor="text1"/>
                <w:sz w:val="16"/>
                <w:szCs w:val="16"/>
              </w:rPr>
            </w:pPr>
            <w:r>
              <w:rPr>
                <w:color w:val="000000" w:themeColor="text1"/>
                <w:sz w:val="16"/>
                <w:szCs w:val="16"/>
              </w:rPr>
              <w:t>ČR patří k zemím EU s nejrychlejším růstem maloobchodních tržeb</w:t>
            </w:r>
          </w:p>
        </w:tc>
        <w:tc>
          <w:tcPr>
            <w:tcW w:w="144" w:type="pct"/>
          </w:tcPr>
          <w:p w:rsidR="00652CBB" w:rsidRPr="005A16AE" w:rsidRDefault="00652CBB" w:rsidP="00652CBB">
            <w:pPr>
              <w:rPr>
                <w:color w:val="000000" w:themeColor="text1"/>
                <w:szCs w:val="16"/>
              </w:rPr>
            </w:pPr>
          </w:p>
        </w:tc>
        <w:tc>
          <w:tcPr>
            <w:tcW w:w="3720" w:type="pct"/>
            <w:gridSpan w:val="3"/>
          </w:tcPr>
          <w:p w:rsidR="00652CBB" w:rsidRPr="00E5513F" w:rsidRDefault="00652CBB" w:rsidP="00652CBB">
            <w:pPr>
              <w:spacing w:line="240" w:lineRule="auto"/>
              <w:jc w:val="both"/>
              <w:rPr>
                <w:color w:val="000000" w:themeColor="text1"/>
                <w:spacing w:val="-4"/>
              </w:rPr>
            </w:pPr>
            <w:r w:rsidRPr="00707A42">
              <w:rPr>
                <w:color w:val="000000" w:themeColor="text1"/>
                <w:spacing w:val="-4"/>
                <w:szCs w:val="20"/>
              </w:rPr>
              <w:t>Růst maloobchodních tržeb</w:t>
            </w:r>
            <w:r w:rsidR="001F56A9" w:rsidRPr="001F56A9">
              <w:rPr>
                <w:color w:val="000000" w:themeColor="text1"/>
                <w:spacing w:val="-4"/>
                <w:szCs w:val="20"/>
                <w:vertAlign w:val="superscript"/>
              </w:rPr>
              <w:t>14</w:t>
            </w:r>
            <w:r w:rsidR="001F56A9">
              <w:rPr>
                <w:color w:val="000000" w:themeColor="text1"/>
                <w:spacing w:val="-4"/>
                <w:szCs w:val="20"/>
              </w:rPr>
              <w:t xml:space="preserve"> v</w:t>
            </w:r>
            <w:r w:rsidRPr="00707A42">
              <w:rPr>
                <w:color w:val="000000" w:themeColor="text1"/>
                <w:spacing w:val="-4"/>
                <w:szCs w:val="20"/>
              </w:rPr>
              <w:t xml:space="preserve"> ČR za tři čtvrtletí (5,9 %) byl šestý nejvyšší v EU, </w:t>
            </w:r>
            <w:r>
              <w:rPr>
                <w:color w:val="000000" w:themeColor="text1"/>
                <w:spacing w:val="-4"/>
              </w:rPr>
              <w:t>nejvyšší dynamiky</w:t>
            </w:r>
            <w:r w:rsidRPr="00707A42">
              <w:rPr>
                <w:color w:val="000000" w:themeColor="text1"/>
                <w:spacing w:val="-4"/>
              </w:rPr>
              <w:t xml:space="preserve"> dosáhly Polsko</w:t>
            </w:r>
            <w:r>
              <w:rPr>
                <w:color w:val="000000" w:themeColor="text1"/>
                <w:spacing w:val="-4"/>
              </w:rPr>
              <w:t xml:space="preserve"> a</w:t>
            </w:r>
            <w:r w:rsidRPr="00707A42">
              <w:rPr>
                <w:color w:val="000000" w:themeColor="text1"/>
                <w:spacing w:val="-4"/>
              </w:rPr>
              <w:t xml:space="preserve"> Rumunsko (6,8 %), ze států EU15 Irsko (6,</w:t>
            </w:r>
            <w:r w:rsidR="00BF7CB8">
              <w:rPr>
                <w:color w:val="000000" w:themeColor="text1"/>
                <w:spacing w:val="-4"/>
              </w:rPr>
              <w:t>2 %) a Velká Británie (4,5 %), z</w:t>
            </w:r>
            <w:r w:rsidRPr="00707A42">
              <w:rPr>
                <w:color w:val="000000" w:themeColor="text1"/>
                <w:spacing w:val="-4"/>
              </w:rPr>
              <w:t>e sousedních zemí Německo (2,9 %), Rakousko (1,6 %)</w:t>
            </w:r>
            <w:r>
              <w:rPr>
                <w:color w:val="000000" w:themeColor="text1"/>
                <w:spacing w:val="-4"/>
              </w:rPr>
              <w:t>.</w:t>
            </w:r>
          </w:p>
          <w:p w:rsidR="00652CBB" w:rsidRPr="00A51B62" w:rsidRDefault="00652CBB" w:rsidP="00652CBB">
            <w:pPr>
              <w:pStyle w:val="Textpoznpodarou"/>
              <w:jc w:val="both"/>
              <w:rPr>
                <w:color w:val="000000" w:themeColor="text1"/>
                <w:spacing w:val="-4"/>
                <w:sz w:val="10"/>
                <w:szCs w:val="10"/>
              </w:rPr>
            </w:pPr>
          </w:p>
        </w:tc>
      </w:tr>
      <w:tr w:rsidR="00652CBB" w:rsidTr="00652CBB">
        <w:tc>
          <w:tcPr>
            <w:tcW w:w="374" w:type="pct"/>
          </w:tcPr>
          <w:p w:rsidR="00652CBB" w:rsidRDefault="00652CBB" w:rsidP="00652CBB">
            <w:pPr>
              <w:spacing w:line="240" w:lineRule="auto"/>
            </w:pPr>
            <w:r>
              <w:t>Graf č. 5</w:t>
            </w:r>
          </w:p>
        </w:tc>
        <w:tc>
          <w:tcPr>
            <w:tcW w:w="2139" w:type="pct"/>
            <w:gridSpan w:val="3"/>
          </w:tcPr>
          <w:p w:rsidR="00652CBB" w:rsidRPr="001D04BA" w:rsidRDefault="00652CBB" w:rsidP="00652CBB">
            <w:pPr>
              <w:pStyle w:val="Textpoznpodarou"/>
              <w:rPr>
                <w:b/>
              </w:rPr>
            </w:pPr>
            <w:r w:rsidRPr="001D04BA">
              <w:rPr>
                <w:b/>
              </w:rPr>
              <w:t>Produkce v průmyslu a</w:t>
            </w:r>
            <w:r>
              <w:rPr>
                <w:b/>
              </w:rPr>
              <w:t xml:space="preserve"> ve</w:t>
            </w:r>
            <w:r w:rsidRPr="001D04BA">
              <w:rPr>
                <w:b/>
              </w:rPr>
              <w:t xml:space="preserve"> vyb</w:t>
            </w:r>
            <w:r>
              <w:rPr>
                <w:b/>
              </w:rPr>
              <w:t>raných zpracovatelských odvětvích</w:t>
            </w:r>
          </w:p>
          <w:p w:rsidR="00652CBB" w:rsidRDefault="00652CBB" w:rsidP="00652CBB">
            <w:pPr>
              <w:pStyle w:val="Textpoznpodarou"/>
              <w:rPr>
                <w:b/>
              </w:rPr>
            </w:pPr>
            <w:r w:rsidRPr="001D04BA">
              <w:t>(reálně, y/y, v %)</w:t>
            </w:r>
          </w:p>
        </w:tc>
        <w:tc>
          <w:tcPr>
            <w:tcW w:w="388" w:type="pct"/>
          </w:tcPr>
          <w:p w:rsidR="00652CBB" w:rsidRDefault="00652CBB" w:rsidP="00652CBB">
            <w:pPr>
              <w:spacing w:line="240" w:lineRule="auto"/>
            </w:pPr>
            <w:r>
              <w:t>Graf č. 6</w:t>
            </w:r>
          </w:p>
        </w:tc>
        <w:tc>
          <w:tcPr>
            <w:tcW w:w="2099" w:type="pct"/>
            <w:gridSpan w:val="2"/>
          </w:tcPr>
          <w:p w:rsidR="00652CBB" w:rsidRDefault="00652CBB" w:rsidP="00652CBB">
            <w:pPr>
              <w:spacing w:line="240" w:lineRule="auto"/>
              <w:rPr>
                <w:b/>
              </w:rPr>
            </w:pPr>
            <w:r w:rsidRPr="004B22DA">
              <w:rPr>
                <w:b/>
                <w:spacing w:val="-2"/>
              </w:rPr>
              <w:t>Nové zakázky v automobilovém průmyslu</w:t>
            </w:r>
            <w:r>
              <w:rPr>
                <w:b/>
              </w:rPr>
              <w:t xml:space="preserve">, v průmyslu celkem </w:t>
            </w:r>
            <w:r>
              <w:rPr>
                <w:bCs/>
              </w:rPr>
              <w:t xml:space="preserve">(b.c., y/y, v %) </w:t>
            </w:r>
            <w:r w:rsidRPr="004B22DA">
              <w:t>a</w:t>
            </w:r>
            <w:r>
              <w:rPr>
                <w:b/>
              </w:rPr>
              <w:t xml:space="preserve"> saldo indikátoru důvěry v průmyslu </w:t>
            </w:r>
            <w:r w:rsidRPr="00C1711F">
              <w:t>(pravá osa)</w:t>
            </w:r>
          </w:p>
        </w:tc>
      </w:tr>
      <w:tr w:rsidR="00652CBB" w:rsidTr="00652CBB">
        <w:tc>
          <w:tcPr>
            <w:tcW w:w="2513" w:type="pct"/>
            <w:gridSpan w:val="4"/>
          </w:tcPr>
          <w:p w:rsidR="00652CBB" w:rsidRDefault="00E21CAB" w:rsidP="00652CBB">
            <w:pPr>
              <w:pStyle w:val="Textpoznpodarou"/>
              <w:jc w:val="both"/>
            </w:pPr>
            <w:r>
              <w:pict>
                <v:shape id="_x0000_i1029" type="#_x0000_t75" style="width:241.5pt;height:187.5pt">
                  <v:imagedata r:id="rId16" o:title=""/>
                </v:shape>
              </w:pict>
            </w:r>
          </w:p>
        </w:tc>
        <w:tc>
          <w:tcPr>
            <w:tcW w:w="2487" w:type="pct"/>
            <w:gridSpan w:val="3"/>
          </w:tcPr>
          <w:p w:rsidR="00652CBB" w:rsidRDefault="00E21CAB" w:rsidP="00652CBB">
            <w:pPr>
              <w:pStyle w:val="Textpoznpodarou"/>
              <w:jc w:val="both"/>
            </w:pPr>
            <w:r>
              <w:pict>
                <v:shape id="_x0000_i1030" type="#_x0000_t75" style="width:240.75pt;height:187.5pt">
                  <v:imagedata r:id="rId17" o:title=""/>
                </v:shape>
              </w:pict>
            </w:r>
          </w:p>
        </w:tc>
      </w:tr>
    </w:tbl>
    <w:p w:rsidR="00DC3790" w:rsidRPr="00BF7CB8" w:rsidRDefault="00DC3790" w:rsidP="006D142E">
      <w:pPr>
        <w:pStyle w:val="Textpoznpodarou"/>
        <w:jc w:val="both"/>
        <w:rPr>
          <w:sz w:val="10"/>
          <w:szCs w:val="10"/>
        </w:rPr>
      </w:pPr>
    </w:p>
    <w:tbl>
      <w:tblPr>
        <w:tblW w:w="5059" w:type="pct"/>
        <w:tblLayout w:type="fixed"/>
        <w:tblCellMar>
          <w:left w:w="28" w:type="dxa"/>
          <w:right w:w="28" w:type="dxa"/>
        </w:tblCellMar>
        <w:tblLook w:val="04A0"/>
      </w:tblPr>
      <w:tblGrid>
        <w:gridCol w:w="735"/>
        <w:gridCol w:w="4180"/>
        <w:gridCol w:w="45"/>
        <w:gridCol w:w="738"/>
        <w:gridCol w:w="4110"/>
      </w:tblGrid>
      <w:tr w:rsidR="00652CBB" w:rsidTr="00652CBB">
        <w:tc>
          <w:tcPr>
            <w:tcW w:w="375" w:type="pct"/>
          </w:tcPr>
          <w:p w:rsidR="00652CBB" w:rsidRDefault="00652CBB" w:rsidP="00652CBB">
            <w:pPr>
              <w:spacing w:line="240" w:lineRule="auto"/>
            </w:pPr>
            <w:r>
              <w:t>Graf č. 7</w:t>
            </w:r>
          </w:p>
        </w:tc>
        <w:tc>
          <w:tcPr>
            <w:tcW w:w="2131" w:type="pct"/>
          </w:tcPr>
          <w:p w:rsidR="00652CBB" w:rsidRDefault="00652CBB" w:rsidP="00652CBB">
            <w:pPr>
              <w:spacing w:line="240" w:lineRule="auto"/>
              <w:rPr>
                <w:b/>
              </w:rPr>
            </w:pPr>
            <w:r>
              <w:rPr>
                <w:b/>
              </w:rPr>
              <w:t xml:space="preserve">Stavební produkce, hodnota nových zakázek </w:t>
            </w:r>
            <w:r>
              <w:rPr>
                <w:bCs/>
              </w:rPr>
              <w:t xml:space="preserve">(y/y, v %) </w:t>
            </w:r>
            <w:r w:rsidRPr="004B22DA">
              <w:t>a</w:t>
            </w:r>
            <w:r>
              <w:rPr>
                <w:b/>
              </w:rPr>
              <w:t xml:space="preserve"> saldo indikátoru důvěry ve stavebnictví </w:t>
            </w:r>
            <w:r w:rsidRPr="00C1711F">
              <w:t>(pravá osa)</w:t>
            </w:r>
          </w:p>
        </w:tc>
        <w:tc>
          <w:tcPr>
            <w:tcW w:w="399" w:type="pct"/>
            <w:gridSpan w:val="2"/>
          </w:tcPr>
          <w:p w:rsidR="00652CBB" w:rsidRDefault="00652CBB" w:rsidP="00652CBB">
            <w:pPr>
              <w:spacing w:line="240" w:lineRule="auto"/>
            </w:pPr>
            <w:r>
              <w:t>Graf č. 8</w:t>
            </w:r>
          </w:p>
        </w:tc>
        <w:tc>
          <w:tcPr>
            <w:tcW w:w="2095" w:type="pct"/>
          </w:tcPr>
          <w:p w:rsidR="00652CBB" w:rsidRDefault="00652CBB" w:rsidP="00652CBB">
            <w:pPr>
              <w:spacing w:line="240" w:lineRule="auto"/>
              <w:rPr>
                <w:b/>
              </w:rPr>
            </w:pPr>
            <w:r>
              <w:rPr>
                <w:b/>
              </w:rPr>
              <w:t xml:space="preserve">Tržby v maloobchodě vč. motoristického segmentu </w:t>
            </w:r>
            <w:r>
              <w:rPr>
                <w:bCs/>
              </w:rPr>
              <w:t xml:space="preserve">(reálně, y/y v %) </w:t>
            </w:r>
            <w:r>
              <w:rPr>
                <w:b/>
              </w:rPr>
              <w:t xml:space="preserve">saldo indikátoru důvěry spotřebitelů </w:t>
            </w:r>
            <w:r w:rsidRPr="00C1711F">
              <w:t>(pravá osa)</w:t>
            </w:r>
          </w:p>
        </w:tc>
      </w:tr>
      <w:tr w:rsidR="00652CBB" w:rsidTr="00652CBB">
        <w:tc>
          <w:tcPr>
            <w:tcW w:w="2506" w:type="pct"/>
            <w:gridSpan w:val="2"/>
          </w:tcPr>
          <w:p w:rsidR="00652CBB" w:rsidRDefault="00E21CAB" w:rsidP="00652CBB">
            <w:pPr>
              <w:pStyle w:val="Textpoznpodarou"/>
              <w:jc w:val="both"/>
            </w:pPr>
            <w:r>
              <w:pict>
                <v:shape id="_x0000_i1031" type="#_x0000_t75" style="width:242.25pt;height:175.5pt">
                  <v:imagedata r:id="rId18" o:title=""/>
                </v:shape>
              </w:pict>
            </w:r>
          </w:p>
        </w:tc>
        <w:tc>
          <w:tcPr>
            <w:tcW w:w="2494" w:type="pct"/>
            <w:gridSpan w:val="3"/>
          </w:tcPr>
          <w:p w:rsidR="00652CBB" w:rsidRDefault="00E21CAB" w:rsidP="00652CBB">
            <w:pPr>
              <w:pStyle w:val="Textpoznpodarou"/>
              <w:jc w:val="both"/>
            </w:pPr>
            <w:r>
              <w:pict>
                <v:shape id="_x0000_i1032" type="#_x0000_t75" style="width:240pt;height:175.5pt">
                  <v:imagedata r:id="rId19" o:title=""/>
                </v:shape>
              </w:pict>
            </w:r>
          </w:p>
        </w:tc>
      </w:tr>
      <w:tr w:rsidR="00652CBB" w:rsidTr="00652CBB">
        <w:trPr>
          <w:trHeight w:val="58"/>
        </w:trPr>
        <w:tc>
          <w:tcPr>
            <w:tcW w:w="2529" w:type="pct"/>
            <w:gridSpan w:val="3"/>
          </w:tcPr>
          <w:p w:rsidR="00652CBB" w:rsidRDefault="00652CBB" w:rsidP="00652CBB">
            <w:pPr>
              <w:pStyle w:val="Zhlav"/>
              <w:jc w:val="right"/>
              <w:rPr>
                <w:rFonts w:ascii="Arial" w:eastAsia="Times New Roman" w:hAnsi="Arial" w:cs="Arial"/>
                <w:sz w:val="18"/>
                <w:szCs w:val="18"/>
              </w:rPr>
            </w:pPr>
          </w:p>
        </w:tc>
        <w:tc>
          <w:tcPr>
            <w:tcW w:w="2471" w:type="pct"/>
            <w:gridSpan w:val="2"/>
          </w:tcPr>
          <w:p w:rsidR="00652CBB" w:rsidRDefault="00652CBB" w:rsidP="00652CBB">
            <w:pPr>
              <w:pStyle w:val="Zhlav"/>
              <w:spacing w:line="240" w:lineRule="auto"/>
              <w:jc w:val="right"/>
              <w:rPr>
                <w:rFonts w:ascii="Arial" w:eastAsia="Times New Roman" w:hAnsi="Arial" w:cs="Arial"/>
                <w:sz w:val="18"/>
                <w:szCs w:val="18"/>
              </w:rPr>
            </w:pPr>
            <w:r w:rsidRPr="000F401E">
              <w:rPr>
                <w:rFonts w:ascii="Arial" w:hAnsi="Arial" w:cs="Arial"/>
                <w:sz w:val="18"/>
                <w:szCs w:val="18"/>
                <w:lang w:eastAsia="cs-CZ"/>
              </w:rPr>
              <w:t>Zdroj: ČSÚ</w:t>
            </w:r>
          </w:p>
        </w:tc>
      </w:tr>
    </w:tbl>
    <w:p w:rsidR="00576A3E" w:rsidRDefault="00576A3E" w:rsidP="00FC3C84">
      <w:pPr>
        <w:pStyle w:val="Nadpis1"/>
        <w:numPr>
          <w:ilvl w:val="0"/>
          <w:numId w:val="3"/>
        </w:numPr>
        <w:jc w:val="both"/>
      </w:pPr>
      <w:bookmarkStart w:id="6" w:name="_Toc437874297"/>
      <w:r>
        <w:lastRenderedPageBreak/>
        <w:t>Vnější ekonomické vztahy</w:t>
      </w:r>
      <w:bookmarkEnd w:id="6"/>
    </w:p>
    <w:tbl>
      <w:tblPr>
        <w:tblW w:w="5087" w:type="pct"/>
        <w:tblInd w:w="-84" w:type="dxa"/>
        <w:tblCellMar>
          <w:left w:w="28" w:type="dxa"/>
          <w:right w:w="28" w:type="dxa"/>
        </w:tblCellMar>
        <w:tblLook w:val="00A0"/>
      </w:tblPr>
      <w:tblGrid>
        <w:gridCol w:w="42"/>
        <w:gridCol w:w="937"/>
        <w:gridCol w:w="1101"/>
        <w:gridCol w:w="272"/>
        <w:gridCol w:w="2454"/>
        <w:gridCol w:w="1016"/>
        <w:gridCol w:w="3998"/>
        <w:gridCol w:w="43"/>
      </w:tblGrid>
      <w:tr w:rsidR="00485230" w:rsidRPr="006B2EFD" w:rsidTr="003C3686">
        <w:trPr>
          <w:gridBefore w:val="1"/>
          <w:gridAfter w:val="1"/>
          <w:wBefore w:w="21" w:type="pct"/>
          <w:wAfter w:w="22" w:type="pct"/>
        </w:trPr>
        <w:tc>
          <w:tcPr>
            <w:tcW w:w="1033" w:type="pct"/>
            <w:gridSpan w:val="2"/>
          </w:tcPr>
          <w:p w:rsidR="00485230" w:rsidRPr="00602D1D" w:rsidRDefault="00485230" w:rsidP="003C3686">
            <w:pPr>
              <w:spacing w:line="240" w:lineRule="auto"/>
              <w:rPr>
                <w:color w:val="000000"/>
                <w:sz w:val="16"/>
                <w:szCs w:val="16"/>
              </w:rPr>
            </w:pPr>
            <w:r>
              <w:rPr>
                <w:color w:val="000000"/>
                <w:sz w:val="16"/>
                <w:szCs w:val="16"/>
              </w:rPr>
              <w:t xml:space="preserve">Přebytek na běžném účtu platební bilance se za první tři čtvrtletí 2015 proti stejnému období 2014 více než zdvojnásobil… </w:t>
            </w:r>
          </w:p>
        </w:tc>
        <w:tc>
          <w:tcPr>
            <w:tcW w:w="138" w:type="pct"/>
          </w:tcPr>
          <w:p w:rsidR="00485230" w:rsidRDefault="00485230" w:rsidP="003C3686">
            <w:pPr>
              <w:pStyle w:val="Textpoznpodarou"/>
              <w:jc w:val="both"/>
            </w:pPr>
          </w:p>
        </w:tc>
        <w:tc>
          <w:tcPr>
            <w:tcW w:w="3786" w:type="pct"/>
            <w:gridSpan w:val="3"/>
          </w:tcPr>
          <w:p w:rsidR="00485230" w:rsidRDefault="00485230" w:rsidP="003C3686">
            <w:pPr>
              <w:pStyle w:val="Textpoznpodarou"/>
              <w:jc w:val="both"/>
              <w:rPr>
                <w:color w:val="000000"/>
                <w:spacing w:val="-2"/>
              </w:rPr>
            </w:pPr>
            <w:r>
              <w:rPr>
                <w:color w:val="000000"/>
                <w:spacing w:val="-2"/>
              </w:rPr>
              <w:t xml:space="preserve">Běžný účet platební bilance byl koncem září 2015 v přebytku ve výši 48,8 mld. korun.  </w:t>
            </w:r>
          </w:p>
          <w:p w:rsidR="00485230" w:rsidRDefault="00485230" w:rsidP="003C3686">
            <w:pPr>
              <w:pStyle w:val="Textpoznpodarou"/>
              <w:jc w:val="both"/>
              <w:rPr>
                <w:color w:val="000000"/>
              </w:rPr>
            </w:pPr>
            <w:r w:rsidRPr="00AE4F54">
              <w:rPr>
                <w:color w:val="000000"/>
              </w:rPr>
              <w:t xml:space="preserve">Převahu </w:t>
            </w:r>
            <w:r>
              <w:rPr>
                <w:color w:val="000000"/>
              </w:rPr>
              <w:t xml:space="preserve">příjmů </w:t>
            </w:r>
            <w:r w:rsidRPr="00AE4F54">
              <w:rPr>
                <w:color w:val="000000"/>
              </w:rPr>
              <w:t>nad v</w:t>
            </w:r>
            <w:r>
              <w:rPr>
                <w:color w:val="000000"/>
              </w:rPr>
              <w:t xml:space="preserve">ýdaji v peněžních transakcích se zahraničím vykazuje běžný účet nepřetržitě v závěru každého čtvrtletí počínaje březnem 2014. Za první tři čtvrtletí 2015 se kladné saldo na běžném účtu více než </w:t>
            </w:r>
            <w:r w:rsidR="0096504D">
              <w:rPr>
                <w:color w:val="000000"/>
              </w:rPr>
              <w:t>zdvojnásobilo. Spolu s </w:t>
            </w:r>
            <w:r>
              <w:rPr>
                <w:color w:val="000000"/>
              </w:rPr>
              <w:t xml:space="preserve">výrazným přebytkem kapitálového </w:t>
            </w:r>
            <w:r w:rsidR="00835181">
              <w:rPr>
                <w:color w:val="000000"/>
              </w:rPr>
              <w:t>účtu (98,1 mld. korun) způsobený</w:t>
            </w:r>
            <w:r>
              <w:rPr>
                <w:color w:val="000000"/>
              </w:rPr>
              <w:t>m mohutným přílivem peněz z rozpočtu EU však tyto zdroje v úhrnu nestačily pokrýt deficit finančního účtu ve výši 161,9 mld. korun způsobený nárůstem rezervních aktiv.</w:t>
            </w:r>
          </w:p>
          <w:p w:rsidR="00485230" w:rsidRDefault="00485230" w:rsidP="003C3686">
            <w:pPr>
              <w:pStyle w:val="Textpoznpodarou"/>
              <w:jc w:val="both"/>
              <w:rPr>
                <w:color w:val="000000"/>
              </w:rPr>
            </w:pPr>
          </w:p>
          <w:p w:rsidR="00485230" w:rsidRDefault="00835181" w:rsidP="003C3686">
            <w:pPr>
              <w:pStyle w:val="Textpoznpodarou"/>
              <w:jc w:val="both"/>
              <w:rPr>
                <w:color w:val="000000"/>
                <w:spacing w:val="-2"/>
              </w:rPr>
            </w:pPr>
            <w:r>
              <w:rPr>
                <w:color w:val="000000"/>
              </w:rPr>
              <w:t>Přebytek běžného</w:t>
            </w:r>
            <w:r w:rsidR="00485230">
              <w:rPr>
                <w:color w:val="000000"/>
              </w:rPr>
              <w:t xml:space="preserve"> účtu činil 1,5</w:t>
            </w:r>
            <w:r w:rsidR="008669A7">
              <w:rPr>
                <w:color w:val="000000"/>
              </w:rPr>
              <w:t xml:space="preserve"> %</w:t>
            </w:r>
            <w:r w:rsidR="00485230">
              <w:rPr>
                <w:color w:val="000000"/>
              </w:rPr>
              <w:t xml:space="preserve"> nominálního HDP.  </w:t>
            </w:r>
          </w:p>
          <w:p w:rsidR="00485230" w:rsidRPr="006B2EFD" w:rsidRDefault="00485230" w:rsidP="003C3686">
            <w:pPr>
              <w:pStyle w:val="Textpoznpodarou"/>
              <w:jc w:val="both"/>
              <w:rPr>
                <w:color w:val="000000"/>
                <w:spacing w:val="-2"/>
                <w:sz w:val="12"/>
                <w:szCs w:val="12"/>
              </w:rPr>
            </w:pPr>
          </w:p>
        </w:tc>
      </w:tr>
      <w:tr w:rsidR="00485230" w:rsidTr="003C3686">
        <w:trPr>
          <w:gridBefore w:val="1"/>
          <w:gridAfter w:val="1"/>
          <w:wBefore w:w="21" w:type="pct"/>
          <w:wAfter w:w="22" w:type="pct"/>
        </w:trPr>
        <w:tc>
          <w:tcPr>
            <w:tcW w:w="1033" w:type="pct"/>
            <w:gridSpan w:val="2"/>
          </w:tcPr>
          <w:p w:rsidR="00485230" w:rsidRDefault="00485230" w:rsidP="00257613">
            <w:pPr>
              <w:spacing w:line="240" w:lineRule="auto"/>
              <w:rPr>
                <w:color w:val="000000"/>
                <w:sz w:val="16"/>
                <w:szCs w:val="16"/>
              </w:rPr>
            </w:pPr>
            <w:r>
              <w:rPr>
                <w:color w:val="000000"/>
                <w:sz w:val="16"/>
                <w:szCs w:val="16"/>
              </w:rPr>
              <w:t>… při mírném zhoršení výkonové bilance a</w:t>
            </w:r>
            <w:r w:rsidR="00257613">
              <w:rPr>
                <w:color w:val="000000"/>
                <w:sz w:val="16"/>
                <w:szCs w:val="16"/>
              </w:rPr>
              <w:t> </w:t>
            </w:r>
            <w:r>
              <w:rPr>
                <w:color w:val="000000"/>
                <w:sz w:val="16"/>
                <w:szCs w:val="16"/>
              </w:rPr>
              <w:t>zlepšení salda prvotních i</w:t>
            </w:r>
            <w:r w:rsidR="00257613">
              <w:rPr>
                <w:color w:val="000000"/>
                <w:sz w:val="16"/>
                <w:szCs w:val="16"/>
              </w:rPr>
              <w:t> </w:t>
            </w:r>
            <w:r>
              <w:rPr>
                <w:color w:val="000000"/>
                <w:sz w:val="16"/>
                <w:szCs w:val="16"/>
              </w:rPr>
              <w:t>druhotných důchodů</w:t>
            </w:r>
          </w:p>
        </w:tc>
        <w:tc>
          <w:tcPr>
            <w:tcW w:w="138" w:type="pct"/>
          </w:tcPr>
          <w:p w:rsidR="00485230" w:rsidRDefault="00485230" w:rsidP="003C3686">
            <w:pPr>
              <w:pStyle w:val="Textpoznpodarou"/>
              <w:jc w:val="both"/>
            </w:pPr>
          </w:p>
        </w:tc>
        <w:tc>
          <w:tcPr>
            <w:tcW w:w="3786" w:type="pct"/>
            <w:gridSpan w:val="3"/>
          </w:tcPr>
          <w:p w:rsidR="00485230" w:rsidRPr="00257613" w:rsidRDefault="00485230" w:rsidP="003C3686">
            <w:pPr>
              <w:pStyle w:val="Textpoznpodarou"/>
              <w:jc w:val="both"/>
              <w:rPr>
                <w:color w:val="000000"/>
              </w:rPr>
            </w:pPr>
            <w:r w:rsidRPr="00257613">
              <w:rPr>
                <w:color w:val="000000"/>
              </w:rPr>
              <w:t>Výsledek obchodu se zbožím a službami nebyl podle dat platební bilance tak úspěšný jako ve stejném období 2014 – přebytek se ztenčil o 11 mld.</w:t>
            </w:r>
            <w:r w:rsidR="00423A3C" w:rsidRPr="00257613">
              <w:rPr>
                <w:color w:val="000000"/>
              </w:rPr>
              <w:t xml:space="preserve"> </w:t>
            </w:r>
            <w:r w:rsidRPr="00257613">
              <w:rPr>
                <w:color w:val="000000"/>
              </w:rPr>
              <w:t>korun. Export zboží a služeb v nominálním vyjádření stoupl o 171 mld., zatím</w:t>
            </w:r>
            <w:r w:rsidR="00257613">
              <w:rPr>
                <w:color w:val="000000"/>
              </w:rPr>
              <w:t>co</w:t>
            </w:r>
            <w:r w:rsidRPr="00257613">
              <w:rPr>
                <w:color w:val="000000"/>
              </w:rPr>
              <w:t xml:space="preserve"> jejich import o</w:t>
            </w:r>
            <w:r w:rsidR="00257613">
              <w:rPr>
                <w:color w:val="000000"/>
              </w:rPr>
              <w:t> </w:t>
            </w:r>
            <w:r w:rsidRPr="00257613">
              <w:rPr>
                <w:color w:val="000000"/>
              </w:rPr>
              <w:t>181 mld.</w:t>
            </w:r>
            <w:r w:rsidR="00423A3C" w:rsidRPr="00257613">
              <w:rPr>
                <w:color w:val="000000"/>
              </w:rPr>
              <w:t xml:space="preserve"> </w:t>
            </w:r>
            <w:r w:rsidRPr="00257613">
              <w:rPr>
                <w:color w:val="000000"/>
              </w:rPr>
              <w:t xml:space="preserve">korun. Tyto proporce tedy působily směrem k </w:t>
            </w:r>
            <w:r w:rsidR="00E42444">
              <w:rPr>
                <w:color w:val="000000"/>
              </w:rPr>
              <w:t>mírnění přebytku na běžném účtu.</w:t>
            </w:r>
            <w:r w:rsidRPr="00257613">
              <w:rPr>
                <w:color w:val="000000"/>
              </w:rPr>
              <w:t xml:space="preserve"> </w:t>
            </w:r>
            <w:r w:rsidR="00E42444">
              <w:rPr>
                <w:color w:val="000000"/>
              </w:rPr>
              <w:t>Naopak</w:t>
            </w:r>
            <w:r w:rsidRPr="00257613">
              <w:rPr>
                <w:color w:val="000000"/>
              </w:rPr>
              <w:t xml:space="preserve"> významně v jeho prospěch se za tři čtvrtletí 2015 meziročně zlepšily výsledky prvotních i druhotných důchodů. Je to patrné z toho, že čistý odliv výnosů byl příznivější (z ČR odešlo v čistém 193,8 mld. korun proti 211,1 mld. vykázaných na konci září 2014). A také posun ze zápo</w:t>
            </w:r>
            <w:r w:rsidR="00E42444">
              <w:rPr>
                <w:color w:val="000000"/>
              </w:rPr>
              <w:t>rného výsledku běžných převodů,</w:t>
            </w:r>
            <w:r w:rsidRPr="00257613">
              <w:rPr>
                <w:color w:val="000000"/>
              </w:rPr>
              <w:t xml:space="preserve"> který činil před rokem 13 mld. a zhoršoval tak vnější rovnováhu české</w:t>
            </w:r>
            <w:r w:rsidR="00E42444">
              <w:rPr>
                <w:color w:val="000000"/>
              </w:rPr>
              <w:t xml:space="preserve"> ekonomiky</w:t>
            </w:r>
            <w:r w:rsidRPr="00257613">
              <w:rPr>
                <w:color w:val="000000"/>
              </w:rPr>
              <w:t xml:space="preserve">, do kladných 8,6 mld. korun vlivem mohutného přílivu peněz z fondů EU vykazovaných jako běžné převody. </w:t>
            </w:r>
          </w:p>
          <w:p w:rsidR="00485230" w:rsidRDefault="00485230" w:rsidP="003C3686">
            <w:pPr>
              <w:pStyle w:val="Textpoznpodarou"/>
              <w:jc w:val="both"/>
              <w:rPr>
                <w:color w:val="000000"/>
                <w:spacing w:val="-2"/>
              </w:rPr>
            </w:pPr>
            <w:r>
              <w:rPr>
                <w:color w:val="000000"/>
                <w:spacing w:val="-2"/>
              </w:rPr>
              <w:t xml:space="preserve">  </w:t>
            </w:r>
          </w:p>
        </w:tc>
      </w:tr>
      <w:tr w:rsidR="00485230" w:rsidTr="003C3686">
        <w:trPr>
          <w:gridBefore w:val="1"/>
          <w:gridAfter w:val="1"/>
          <w:wBefore w:w="21" w:type="pct"/>
          <w:wAfter w:w="22" w:type="pct"/>
          <w:trHeight w:val="3836"/>
        </w:trPr>
        <w:tc>
          <w:tcPr>
            <w:tcW w:w="1033" w:type="pct"/>
            <w:gridSpan w:val="2"/>
          </w:tcPr>
          <w:p w:rsidR="00485230" w:rsidRDefault="00485230" w:rsidP="003C3686">
            <w:pPr>
              <w:spacing w:line="240" w:lineRule="auto"/>
              <w:rPr>
                <w:color w:val="000000"/>
                <w:sz w:val="16"/>
                <w:szCs w:val="16"/>
              </w:rPr>
            </w:pPr>
            <w:r>
              <w:rPr>
                <w:color w:val="000000"/>
                <w:sz w:val="16"/>
                <w:szCs w:val="16"/>
              </w:rPr>
              <w:t>Finanční účet v hlubokém deficitu vlivem navyšování devizových rezerv</w:t>
            </w:r>
          </w:p>
        </w:tc>
        <w:tc>
          <w:tcPr>
            <w:tcW w:w="138" w:type="pct"/>
          </w:tcPr>
          <w:p w:rsidR="00485230" w:rsidRDefault="00485230" w:rsidP="003C3686">
            <w:pPr>
              <w:pStyle w:val="Textpoznpodarou"/>
              <w:jc w:val="both"/>
            </w:pPr>
          </w:p>
        </w:tc>
        <w:tc>
          <w:tcPr>
            <w:tcW w:w="3786" w:type="pct"/>
            <w:gridSpan w:val="3"/>
          </w:tcPr>
          <w:p w:rsidR="00485230" w:rsidRPr="008F6A0C" w:rsidRDefault="00257613" w:rsidP="003C3686">
            <w:pPr>
              <w:pStyle w:val="Textpoznpodarou"/>
              <w:jc w:val="both"/>
              <w:rPr>
                <w:color w:val="000000"/>
                <w:spacing w:val="-4"/>
              </w:rPr>
            </w:pPr>
            <w:r w:rsidRPr="008F6A0C">
              <w:rPr>
                <w:color w:val="000000"/>
                <w:spacing w:val="-4"/>
              </w:rPr>
              <w:t>Saldo na finančním účtu –</w:t>
            </w:r>
            <w:r w:rsidR="00485230" w:rsidRPr="008F6A0C">
              <w:rPr>
                <w:color w:val="000000"/>
                <w:spacing w:val="-4"/>
              </w:rPr>
              <w:t xml:space="preserve"> dané přílivem peněz do země především v podobě portfoliových a ještě více ostatních investic a odlivem hlavně v podobě nárůstu rezervních aktiv</w:t>
            </w:r>
            <w:r w:rsidR="00485230" w:rsidRPr="008F6A0C">
              <w:rPr>
                <w:rStyle w:val="Znakapoznpodarou"/>
                <w:color w:val="000000"/>
                <w:spacing w:val="-4"/>
              </w:rPr>
              <w:footnoteReference w:id="15"/>
            </w:r>
            <w:r w:rsidRPr="008F6A0C">
              <w:rPr>
                <w:color w:val="000000"/>
                <w:spacing w:val="-4"/>
              </w:rPr>
              <w:t xml:space="preserve"> –</w:t>
            </w:r>
            <w:r w:rsidR="00485230" w:rsidRPr="008F6A0C">
              <w:rPr>
                <w:color w:val="000000"/>
                <w:spacing w:val="-4"/>
              </w:rPr>
              <w:t xml:space="preserve"> činilo koncem září 2015 celkem 161,9 mld. korun. Bylo o</w:t>
            </w:r>
            <w:r w:rsidR="008F6A0C" w:rsidRPr="008F6A0C">
              <w:rPr>
                <w:color w:val="000000"/>
                <w:spacing w:val="-4"/>
              </w:rPr>
              <w:t> </w:t>
            </w:r>
            <w:r w:rsidR="00485230" w:rsidRPr="008F6A0C">
              <w:rPr>
                <w:color w:val="000000"/>
                <w:spacing w:val="-4"/>
              </w:rPr>
              <w:t>112</w:t>
            </w:r>
            <w:r w:rsidR="008F6A0C" w:rsidRPr="008F6A0C">
              <w:rPr>
                <w:color w:val="000000"/>
                <w:spacing w:val="-4"/>
              </w:rPr>
              <w:t> </w:t>
            </w:r>
            <w:r w:rsidR="00485230" w:rsidRPr="008F6A0C">
              <w:rPr>
                <w:color w:val="000000"/>
                <w:spacing w:val="-4"/>
              </w:rPr>
              <w:t>mld. korun vyšší než před rokem.</w:t>
            </w:r>
          </w:p>
          <w:p w:rsidR="00485230" w:rsidRPr="000E34FF" w:rsidRDefault="00485230" w:rsidP="003C3686">
            <w:pPr>
              <w:pStyle w:val="Textpoznpodarou"/>
              <w:jc w:val="both"/>
              <w:rPr>
                <w:color w:val="000000"/>
                <w:spacing w:val="-2"/>
                <w:sz w:val="10"/>
                <w:szCs w:val="10"/>
              </w:rPr>
            </w:pPr>
          </w:p>
          <w:p w:rsidR="00485230" w:rsidRDefault="00485230" w:rsidP="003C3686">
            <w:pPr>
              <w:pStyle w:val="Textpoznpodarou"/>
              <w:jc w:val="both"/>
              <w:rPr>
                <w:color w:val="000000"/>
                <w:spacing w:val="-2"/>
              </w:rPr>
            </w:pPr>
            <w:r>
              <w:rPr>
                <w:color w:val="000000"/>
                <w:spacing w:val="-2"/>
              </w:rPr>
              <w:t xml:space="preserve">Přímé investice ČR v zahraničí meziročně v nezvyklém rozsahu stouply (ovšem vlivem předchozí základny, která ukazovala na výrazný návrat peněz zpět do země). To spolu se současným meziročním snížením stavu pasiv (přímých investic do ČR) vyústilo v jen nepatrnou změnu salda přímých investic ve výši 4,4 mld. korun. </w:t>
            </w:r>
          </w:p>
          <w:p w:rsidR="00485230" w:rsidRPr="00423A3C" w:rsidRDefault="00485230" w:rsidP="003C3686">
            <w:pPr>
              <w:pStyle w:val="Textpoznpodarou"/>
              <w:jc w:val="both"/>
              <w:rPr>
                <w:color w:val="000000"/>
                <w:spacing w:val="-2"/>
              </w:rPr>
            </w:pPr>
          </w:p>
          <w:p w:rsidR="00485230" w:rsidRPr="00423A3C" w:rsidRDefault="00485230" w:rsidP="003C3686">
            <w:pPr>
              <w:pStyle w:val="Textpoznpodarou"/>
              <w:jc w:val="both"/>
              <w:rPr>
                <w:color w:val="000000"/>
                <w:spacing w:val="-4"/>
              </w:rPr>
            </w:pPr>
            <w:r w:rsidRPr="00423A3C">
              <w:rPr>
                <w:color w:val="000000"/>
                <w:spacing w:val="-4"/>
              </w:rPr>
              <w:t>Co se týká portfoliových investic, byla ČR pro investory atraktivní, neboť převážil příliv peněz do země. Subjekty z ČR navýšily meziročně v čistém své portfoliové investice v zahraničí jen velmi mírně (+3,2 mld. na 52,1 mld. korun). Zahraniční portfolioví investoři však výrazně nakupovali především české cenné papíry a stavy jejich investic v ČR se meziročně zvýšily o velmi silných 106,3 mld. korun (ve stejném období</w:t>
            </w:r>
            <w:r w:rsidR="00423A3C" w:rsidRPr="00423A3C">
              <w:rPr>
                <w:color w:val="000000"/>
                <w:spacing w:val="-4"/>
              </w:rPr>
              <w:t xml:space="preserve"> 2014 byl totiž na straně pasiv</w:t>
            </w:r>
            <w:r w:rsidRPr="00423A3C">
              <w:rPr>
                <w:color w:val="000000"/>
                <w:spacing w:val="-4"/>
              </w:rPr>
              <w:t xml:space="preserve"> vykázán</w:t>
            </w:r>
            <w:r w:rsidR="00423A3C">
              <w:rPr>
                <w:color w:val="000000"/>
                <w:spacing w:val="-4"/>
              </w:rPr>
              <w:t xml:space="preserve"> odliv peněz ze země ve výši 22,2</w:t>
            </w:r>
            <w:r w:rsidRPr="00423A3C">
              <w:rPr>
                <w:color w:val="000000"/>
                <w:spacing w:val="-4"/>
              </w:rPr>
              <w:t xml:space="preserve"> mld. korun).</w:t>
            </w:r>
            <w:r w:rsidR="00423A3C" w:rsidRPr="00423A3C">
              <w:rPr>
                <w:color w:val="000000"/>
                <w:spacing w:val="-4"/>
              </w:rPr>
              <w:t xml:space="preserve"> </w:t>
            </w:r>
          </w:p>
          <w:p w:rsidR="00423A3C" w:rsidRDefault="00423A3C" w:rsidP="003C3686">
            <w:pPr>
              <w:pStyle w:val="Textpoznpodarou"/>
              <w:jc w:val="both"/>
              <w:rPr>
                <w:color w:val="000000"/>
                <w:spacing w:val="-2"/>
              </w:rPr>
            </w:pPr>
          </w:p>
        </w:tc>
      </w:tr>
      <w:tr w:rsidR="00485230" w:rsidRPr="009F6D56" w:rsidTr="003C3686">
        <w:trPr>
          <w:gridBefore w:val="1"/>
          <w:gridAfter w:val="1"/>
          <w:wBefore w:w="21" w:type="pct"/>
          <w:wAfter w:w="22" w:type="pct"/>
        </w:trPr>
        <w:tc>
          <w:tcPr>
            <w:tcW w:w="1033" w:type="pct"/>
            <w:gridSpan w:val="2"/>
          </w:tcPr>
          <w:p w:rsidR="00485230" w:rsidRPr="00602D1D" w:rsidRDefault="00485230" w:rsidP="003C3686">
            <w:pPr>
              <w:spacing w:line="240" w:lineRule="auto"/>
              <w:rPr>
                <w:color w:val="000000"/>
                <w:sz w:val="16"/>
                <w:szCs w:val="16"/>
              </w:rPr>
            </w:pPr>
            <w:r>
              <w:rPr>
                <w:color w:val="000000"/>
                <w:sz w:val="16"/>
                <w:szCs w:val="16"/>
              </w:rPr>
              <w:t>Tempo celkových exportů z ČR meziročně mírně zpomalilo vlivem nižší dynamiky vývozu aut a</w:t>
            </w:r>
            <w:r w:rsidR="00257613">
              <w:rPr>
                <w:color w:val="000000"/>
                <w:sz w:val="16"/>
                <w:szCs w:val="16"/>
              </w:rPr>
              <w:t> </w:t>
            </w:r>
            <w:r>
              <w:rPr>
                <w:color w:val="000000"/>
                <w:sz w:val="16"/>
                <w:szCs w:val="16"/>
              </w:rPr>
              <w:t xml:space="preserve">jejich dílů </w:t>
            </w:r>
          </w:p>
          <w:p w:rsidR="00485230" w:rsidRPr="00602D1D" w:rsidRDefault="00485230" w:rsidP="003C3686">
            <w:pPr>
              <w:spacing w:line="240" w:lineRule="auto"/>
              <w:rPr>
                <w:color w:val="000000"/>
                <w:sz w:val="16"/>
                <w:szCs w:val="16"/>
              </w:rPr>
            </w:pPr>
            <w:r w:rsidRPr="00602D1D">
              <w:rPr>
                <w:color w:val="000000"/>
                <w:sz w:val="16"/>
                <w:szCs w:val="16"/>
              </w:rPr>
              <w:t xml:space="preserve"> </w:t>
            </w:r>
          </w:p>
        </w:tc>
        <w:tc>
          <w:tcPr>
            <w:tcW w:w="138" w:type="pct"/>
          </w:tcPr>
          <w:p w:rsidR="00485230" w:rsidRDefault="00485230" w:rsidP="003C3686">
            <w:pPr>
              <w:pStyle w:val="Textpoznpodarou"/>
              <w:jc w:val="both"/>
            </w:pPr>
          </w:p>
        </w:tc>
        <w:tc>
          <w:tcPr>
            <w:tcW w:w="3786" w:type="pct"/>
            <w:gridSpan w:val="3"/>
          </w:tcPr>
          <w:p w:rsidR="00485230" w:rsidRPr="008669A7" w:rsidRDefault="00485230" w:rsidP="003C3686">
            <w:pPr>
              <w:pStyle w:val="Textpoznpodarou"/>
              <w:jc w:val="both"/>
              <w:rPr>
                <w:color w:val="000000"/>
              </w:rPr>
            </w:pPr>
            <w:r w:rsidRPr="008669A7">
              <w:rPr>
                <w:color w:val="000000"/>
              </w:rPr>
              <w:t>Jestliže podle pololetních dat tempo exportu z</w:t>
            </w:r>
            <w:r w:rsidR="00F57CD7">
              <w:rPr>
                <w:color w:val="000000"/>
              </w:rPr>
              <w:t> </w:t>
            </w:r>
            <w:r w:rsidRPr="008669A7">
              <w:rPr>
                <w:color w:val="000000"/>
              </w:rPr>
              <w:t>ČR</w:t>
            </w:r>
            <w:r w:rsidR="00F57CD7">
              <w:rPr>
                <w:color w:val="000000"/>
              </w:rPr>
              <w:t xml:space="preserve"> v běžných cenách</w:t>
            </w:r>
            <w:r w:rsidRPr="008669A7">
              <w:rPr>
                <w:color w:val="000000"/>
              </w:rPr>
              <w:t xml:space="preserve"> – z údajů o</w:t>
            </w:r>
            <w:r w:rsidR="00F57CD7">
              <w:rPr>
                <w:color w:val="000000"/>
              </w:rPr>
              <w:t> </w:t>
            </w:r>
            <w:r w:rsidRPr="008669A7">
              <w:rPr>
                <w:color w:val="000000"/>
              </w:rPr>
              <w:t>zahraničním obchodě se zbožím v národním pojetí – meziročně zpomalilo na 7,4</w:t>
            </w:r>
            <w:r w:rsidR="00F57CD7">
              <w:rPr>
                <w:color w:val="000000"/>
              </w:rPr>
              <w:t> </w:t>
            </w:r>
            <w:r w:rsidRPr="008669A7">
              <w:rPr>
                <w:color w:val="000000"/>
              </w:rPr>
              <w:t xml:space="preserve">%, v údajích za </w:t>
            </w:r>
            <w:r w:rsidR="00423A3C" w:rsidRPr="008669A7">
              <w:rPr>
                <w:color w:val="000000"/>
              </w:rPr>
              <w:t xml:space="preserve">tři čtvrtletí bylo ještě mírně </w:t>
            </w:r>
            <w:r w:rsidRPr="008669A7">
              <w:rPr>
                <w:color w:val="000000"/>
              </w:rPr>
              <w:t xml:space="preserve">nižší, a to +6,7 %. Nad tímto průměrem byl především export aut a jejich dílů (meziročně </w:t>
            </w:r>
            <w:r w:rsidR="00423A3C" w:rsidRPr="008669A7">
              <w:rPr>
                <w:color w:val="000000"/>
              </w:rPr>
              <w:t>(</w:t>
            </w:r>
            <w:r w:rsidRPr="008669A7">
              <w:rPr>
                <w:color w:val="000000"/>
              </w:rPr>
              <w:t>+11,5 %), i když ani ten nedosáhl pololetního meziročního tempa (+12,9 %) a ani silné dynamiky tří čtvrtletí 2014 (+26,2 %). Vyčerpal se ze značné části nejen exportní potenciál druhé největší položky exportů z ČR strojírenského cha</w:t>
            </w:r>
            <w:r w:rsidR="00DC350B" w:rsidRPr="008669A7">
              <w:rPr>
                <w:color w:val="000000"/>
              </w:rPr>
              <w:t>rakteru (tzv. ostatní stroje a</w:t>
            </w:r>
            <w:r w:rsidR="00F57CD7">
              <w:rPr>
                <w:color w:val="000000"/>
              </w:rPr>
              <w:t> </w:t>
            </w:r>
            <w:r w:rsidR="008669A7" w:rsidRPr="008669A7">
              <w:rPr>
                <w:color w:val="000000"/>
              </w:rPr>
              <w:t>zařízení s +3,8 % y/y proti +10,5 %</w:t>
            </w:r>
            <w:r w:rsidRPr="008669A7">
              <w:rPr>
                <w:color w:val="000000"/>
              </w:rPr>
              <w:t xml:space="preserve"> ve stejném období 2014), ale </w:t>
            </w:r>
            <w:r w:rsidR="00DC350B" w:rsidRPr="008669A7">
              <w:rPr>
                <w:color w:val="000000"/>
              </w:rPr>
              <w:t xml:space="preserve">i </w:t>
            </w:r>
            <w:r w:rsidRPr="008669A7">
              <w:rPr>
                <w:color w:val="000000"/>
              </w:rPr>
              <w:t>počítačů a</w:t>
            </w:r>
            <w:r w:rsidR="00F57CD7">
              <w:rPr>
                <w:color w:val="000000"/>
              </w:rPr>
              <w:t> </w:t>
            </w:r>
            <w:r w:rsidRPr="008669A7">
              <w:rPr>
                <w:color w:val="000000"/>
              </w:rPr>
              <w:t>elektroniky (+4,2 %</w:t>
            </w:r>
            <w:r w:rsidR="008669A7">
              <w:rPr>
                <w:color w:val="000000"/>
              </w:rPr>
              <w:t xml:space="preserve"> proti +15,7 % za tři čtvrtletí</w:t>
            </w:r>
            <w:r w:rsidRPr="008669A7">
              <w:rPr>
                <w:color w:val="000000"/>
              </w:rPr>
              <w:t xml:space="preserve"> 2014). Obě tyto silné položky znamenaly téměř půl</w:t>
            </w:r>
            <w:r w:rsidR="00DC350B" w:rsidRPr="008669A7">
              <w:rPr>
                <w:color w:val="000000"/>
              </w:rPr>
              <w:t>b</w:t>
            </w:r>
            <w:r w:rsidRPr="008669A7">
              <w:rPr>
                <w:color w:val="000000"/>
              </w:rPr>
              <w:t>ilionový export z ČR a n</w:t>
            </w:r>
            <w:r w:rsidR="00DC350B" w:rsidRPr="008669A7">
              <w:rPr>
                <w:color w:val="000000"/>
              </w:rPr>
              <w:t>a</w:t>
            </w:r>
            <w:r w:rsidRPr="008669A7">
              <w:rPr>
                <w:color w:val="000000"/>
              </w:rPr>
              <w:t xml:space="preserve"> jeho celkové hodnotě se podílely pětinou. Kromě aut a jejich dílů stoupl nadprůměrně i vývoz kovodělných výrobků jako produktů cyklického charakteru a vývoz elektrických zařízení (+6,7 %) zaznamenal stejnou dynamiku jako celkový export z ČR. Auta </w:t>
            </w:r>
            <w:r w:rsidR="00DC350B" w:rsidRPr="008669A7">
              <w:rPr>
                <w:color w:val="000000"/>
              </w:rPr>
              <w:t>a</w:t>
            </w:r>
            <w:r w:rsidRPr="008669A7">
              <w:rPr>
                <w:color w:val="000000"/>
              </w:rPr>
              <w:t xml:space="preserve"> jejich díly svůj podíl na celkovém vývozu nepatrně snížily (23,9 % z pololetních 24,2 %).</w:t>
            </w:r>
          </w:p>
          <w:p w:rsidR="00485230" w:rsidRPr="009F6D56" w:rsidRDefault="00485230" w:rsidP="003C3686">
            <w:pPr>
              <w:pStyle w:val="Textpoznpodarou"/>
              <w:jc w:val="both"/>
              <w:rPr>
                <w:color w:val="000000"/>
                <w:spacing w:val="-2"/>
              </w:rPr>
            </w:pPr>
          </w:p>
        </w:tc>
      </w:tr>
      <w:tr w:rsidR="00485230" w:rsidRPr="009F6D56" w:rsidTr="003C3686">
        <w:trPr>
          <w:gridBefore w:val="1"/>
          <w:gridAfter w:val="1"/>
          <w:wBefore w:w="21" w:type="pct"/>
          <w:wAfter w:w="22" w:type="pct"/>
        </w:trPr>
        <w:tc>
          <w:tcPr>
            <w:tcW w:w="1033" w:type="pct"/>
            <w:gridSpan w:val="2"/>
          </w:tcPr>
          <w:p w:rsidR="00485230" w:rsidRPr="00602D1D" w:rsidRDefault="00485230" w:rsidP="00257613">
            <w:pPr>
              <w:spacing w:line="240" w:lineRule="auto"/>
              <w:rPr>
                <w:color w:val="000000"/>
                <w:sz w:val="16"/>
                <w:szCs w:val="16"/>
              </w:rPr>
            </w:pPr>
            <w:r>
              <w:rPr>
                <w:color w:val="000000"/>
                <w:sz w:val="16"/>
                <w:szCs w:val="16"/>
              </w:rPr>
              <w:t>Dovozy zboží</w:t>
            </w:r>
            <w:r w:rsidR="008669A7">
              <w:rPr>
                <w:color w:val="000000"/>
                <w:sz w:val="16"/>
                <w:szCs w:val="16"/>
              </w:rPr>
              <w:t xml:space="preserve"> do ČR rostly opět rychleji než</w:t>
            </w:r>
            <w:r>
              <w:rPr>
                <w:color w:val="000000"/>
                <w:sz w:val="16"/>
                <w:szCs w:val="16"/>
              </w:rPr>
              <w:t xml:space="preserve"> vývozy z ČR; meziroční propad hodnoty dovozů ropy </w:t>
            </w:r>
            <w:r>
              <w:rPr>
                <w:color w:val="000000"/>
                <w:sz w:val="16"/>
                <w:szCs w:val="16"/>
              </w:rPr>
              <w:lastRenderedPageBreak/>
              <w:t>a</w:t>
            </w:r>
            <w:r w:rsidR="00257613">
              <w:rPr>
                <w:color w:val="000000"/>
                <w:sz w:val="16"/>
                <w:szCs w:val="16"/>
              </w:rPr>
              <w:t> </w:t>
            </w:r>
            <w:r>
              <w:rPr>
                <w:color w:val="000000"/>
                <w:sz w:val="16"/>
                <w:szCs w:val="16"/>
              </w:rPr>
              <w:t>zemního plynu se dále prohloubil</w:t>
            </w:r>
          </w:p>
        </w:tc>
        <w:tc>
          <w:tcPr>
            <w:tcW w:w="138" w:type="pct"/>
          </w:tcPr>
          <w:p w:rsidR="00485230" w:rsidRPr="00B45D1B" w:rsidRDefault="00485230" w:rsidP="003C3686">
            <w:pPr>
              <w:pStyle w:val="Textpoznpodarou"/>
              <w:jc w:val="both"/>
            </w:pPr>
          </w:p>
        </w:tc>
        <w:tc>
          <w:tcPr>
            <w:tcW w:w="3786" w:type="pct"/>
            <w:gridSpan w:val="3"/>
          </w:tcPr>
          <w:p w:rsidR="00485230" w:rsidRDefault="00485230" w:rsidP="003C3686">
            <w:pPr>
              <w:pStyle w:val="Textpoznpodarou"/>
              <w:jc w:val="both"/>
              <w:rPr>
                <w:color w:val="000000"/>
                <w:spacing w:val="-2"/>
              </w:rPr>
            </w:pPr>
            <w:r>
              <w:rPr>
                <w:color w:val="000000"/>
                <w:spacing w:val="-2"/>
              </w:rPr>
              <w:t>Přetrvávající značná poptávka po zboží z </w:t>
            </w:r>
            <w:r w:rsidR="009961BC">
              <w:rPr>
                <w:color w:val="000000"/>
                <w:spacing w:val="-2"/>
              </w:rPr>
              <w:t>dovozu se za tři čtvrtletí 2015</w:t>
            </w:r>
            <w:r w:rsidR="00DC350B">
              <w:rPr>
                <w:color w:val="000000"/>
                <w:spacing w:val="-2"/>
              </w:rPr>
              <w:t xml:space="preserve"> </w:t>
            </w:r>
            <w:r>
              <w:rPr>
                <w:color w:val="000000"/>
                <w:spacing w:val="-2"/>
              </w:rPr>
              <w:t xml:space="preserve">projevila jeho rychlejší meziroční dynamikou (+7,3 %) oproti tempu vývozů (+6,7 %). Proti meziročnímu přírůstku z pololetí (+7,6 %) byla jen nepatrně nižší. Dynamika by byla </w:t>
            </w:r>
            <w:r>
              <w:rPr>
                <w:color w:val="000000"/>
                <w:spacing w:val="-2"/>
              </w:rPr>
              <w:lastRenderedPageBreak/>
              <w:t xml:space="preserve">zřejmě ještě rychlejší, kdyby </w:t>
            </w:r>
            <w:r w:rsidR="00DC350B">
              <w:rPr>
                <w:color w:val="000000"/>
                <w:spacing w:val="-2"/>
              </w:rPr>
              <w:t xml:space="preserve">ji </w:t>
            </w:r>
            <w:r>
              <w:rPr>
                <w:color w:val="000000"/>
                <w:spacing w:val="-2"/>
              </w:rPr>
              <w:t xml:space="preserve">nesnižoval hodnotový </w:t>
            </w:r>
            <w:r w:rsidR="003D2C4E">
              <w:rPr>
                <w:color w:val="000000"/>
                <w:spacing w:val="-2"/>
              </w:rPr>
              <w:t>propad cen ropy a zemního plynu.</w:t>
            </w:r>
            <w:r>
              <w:rPr>
                <w:color w:val="000000"/>
                <w:spacing w:val="-2"/>
              </w:rPr>
              <w:t xml:space="preserve"> Dovozy těchto komodit do ČR byly meziročně nižší o 17,6 %, přičemž jejich dovoz klesal v hodnotě už třetí rok v ř</w:t>
            </w:r>
            <w:r w:rsidR="003D2C4E">
              <w:rPr>
                <w:color w:val="000000"/>
                <w:spacing w:val="-2"/>
              </w:rPr>
              <w:t>adě s čím dál hlubším propadem.</w:t>
            </w:r>
            <w:r>
              <w:rPr>
                <w:color w:val="000000"/>
                <w:spacing w:val="-2"/>
              </w:rPr>
              <w:t xml:space="preserve"> Import aut a</w:t>
            </w:r>
            <w:r w:rsidR="00257613">
              <w:rPr>
                <w:color w:val="000000"/>
                <w:spacing w:val="-2"/>
              </w:rPr>
              <w:t> </w:t>
            </w:r>
            <w:r>
              <w:rPr>
                <w:color w:val="000000"/>
                <w:spacing w:val="-2"/>
              </w:rPr>
              <w:t>jejich dílů (+15,8 %) však rostl rychleji než jejich export a totéž platí i v obchodech s PC a elektronikou (+16 %).</w:t>
            </w:r>
          </w:p>
          <w:p w:rsidR="00485230" w:rsidRPr="009F6D56" w:rsidRDefault="00485230" w:rsidP="003C3686">
            <w:pPr>
              <w:pStyle w:val="Textpoznpodarou"/>
              <w:jc w:val="both"/>
              <w:rPr>
                <w:color w:val="000000"/>
                <w:spacing w:val="-2"/>
              </w:rPr>
            </w:pPr>
          </w:p>
        </w:tc>
      </w:tr>
      <w:tr w:rsidR="00485230" w:rsidTr="003C3686">
        <w:trPr>
          <w:gridBefore w:val="1"/>
          <w:gridAfter w:val="1"/>
          <w:wBefore w:w="21" w:type="pct"/>
          <w:wAfter w:w="22" w:type="pct"/>
        </w:trPr>
        <w:tc>
          <w:tcPr>
            <w:tcW w:w="1033" w:type="pct"/>
            <w:gridSpan w:val="2"/>
          </w:tcPr>
          <w:p w:rsidR="00485230" w:rsidRDefault="00485230" w:rsidP="003C3686">
            <w:pPr>
              <w:spacing w:line="240" w:lineRule="auto"/>
              <w:rPr>
                <w:color w:val="000000"/>
                <w:sz w:val="16"/>
                <w:szCs w:val="16"/>
              </w:rPr>
            </w:pPr>
            <w:r>
              <w:rPr>
                <w:color w:val="000000"/>
                <w:sz w:val="16"/>
                <w:szCs w:val="16"/>
              </w:rPr>
              <w:lastRenderedPageBreak/>
              <w:t>Přebytek obchodní bilance v národním pojetí nepatrně nižší než ve třech čtvrtletích 2014</w:t>
            </w:r>
          </w:p>
        </w:tc>
        <w:tc>
          <w:tcPr>
            <w:tcW w:w="138" w:type="pct"/>
          </w:tcPr>
          <w:p w:rsidR="00485230" w:rsidRPr="00B45D1B" w:rsidRDefault="00485230" w:rsidP="003C3686">
            <w:pPr>
              <w:pStyle w:val="Textpoznpodarou"/>
              <w:jc w:val="both"/>
            </w:pPr>
          </w:p>
        </w:tc>
        <w:tc>
          <w:tcPr>
            <w:tcW w:w="3786" w:type="pct"/>
            <w:gridSpan w:val="3"/>
          </w:tcPr>
          <w:p w:rsidR="00485230" w:rsidRPr="00257613" w:rsidRDefault="00485230" w:rsidP="003C3686">
            <w:pPr>
              <w:pStyle w:val="Textpoznpodarou"/>
              <w:jc w:val="both"/>
              <w:rPr>
                <w:color w:val="000000"/>
              </w:rPr>
            </w:pPr>
            <w:r w:rsidRPr="00257613">
              <w:rPr>
                <w:color w:val="000000"/>
              </w:rPr>
              <w:t>Obchodní bilance jako převýšení vývozu nad dovozy v národním pojetí</w:t>
            </w:r>
            <w:r w:rsidRPr="00257613">
              <w:rPr>
                <w:color w:val="000000"/>
                <w:vertAlign w:val="superscript"/>
              </w:rPr>
              <w:footnoteReference w:id="16"/>
            </w:r>
            <w:r w:rsidRPr="00257613">
              <w:rPr>
                <w:color w:val="000000"/>
              </w:rPr>
              <w:t xml:space="preserve"> za první tři čtvrtletí dosáhl</w:t>
            </w:r>
            <w:r w:rsidR="00DC350B" w:rsidRPr="00257613">
              <w:rPr>
                <w:color w:val="000000"/>
              </w:rPr>
              <w:t>a</w:t>
            </w:r>
            <w:r w:rsidRPr="00257613">
              <w:rPr>
                <w:color w:val="000000"/>
              </w:rPr>
              <w:t xml:space="preserve"> 124,4 mld. korun, což však bylo o 4,</w:t>
            </w:r>
            <w:r w:rsidR="00EE495A">
              <w:rPr>
                <w:color w:val="000000"/>
              </w:rPr>
              <w:t>8</w:t>
            </w:r>
            <w:r w:rsidRPr="00257613">
              <w:rPr>
                <w:color w:val="000000"/>
              </w:rPr>
              <w:t xml:space="preserve"> mld. korun méně než ve</w:t>
            </w:r>
            <w:r w:rsidR="00257613">
              <w:rPr>
                <w:color w:val="000000"/>
              </w:rPr>
              <w:t> </w:t>
            </w:r>
            <w:r w:rsidRPr="00257613">
              <w:rPr>
                <w:color w:val="000000"/>
              </w:rPr>
              <w:t xml:space="preserve">stejném období 2014 (naopak letech 2013 i 2014 přebytek </w:t>
            </w:r>
            <w:r w:rsidR="00DC350B" w:rsidRPr="00257613">
              <w:rPr>
                <w:color w:val="000000"/>
              </w:rPr>
              <w:t xml:space="preserve">meziročně </w:t>
            </w:r>
            <w:r w:rsidRPr="00257613">
              <w:rPr>
                <w:color w:val="000000"/>
              </w:rPr>
              <w:t xml:space="preserve">výrazně rostl, o </w:t>
            </w:r>
            <w:r w:rsidR="00F57CD7">
              <w:rPr>
                <w:color w:val="000000"/>
              </w:rPr>
              <w:t>33,9</w:t>
            </w:r>
            <w:r w:rsidRPr="00257613">
              <w:rPr>
                <w:color w:val="000000"/>
              </w:rPr>
              <w:t xml:space="preserve"> mld. resp. </w:t>
            </w:r>
            <w:r w:rsidR="00A12BA8">
              <w:rPr>
                <w:color w:val="000000"/>
              </w:rPr>
              <w:t>32,4</w:t>
            </w:r>
            <w:r w:rsidRPr="00257613">
              <w:rPr>
                <w:color w:val="000000"/>
              </w:rPr>
              <w:t xml:space="preserve"> mld. korun meziročně). Úhrnné kladné saldo bylo určeno hlavně přebytkem v obchodu s auty a jejich díly (+28</w:t>
            </w:r>
            <w:r w:rsidR="00F57CD7">
              <w:rPr>
                <w:color w:val="000000"/>
              </w:rPr>
              <w:t>7,9</w:t>
            </w:r>
            <w:r w:rsidRPr="00257613">
              <w:rPr>
                <w:color w:val="000000"/>
              </w:rPr>
              <w:t xml:space="preserve"> mld. korun) a deficitem v obchodech s ropou a zemním plynem (-84,7 mld. korun). K významným přebytkům však vedly i obchody kovodělnými výrobky či el</w:t>
            </w:r>
            <w:r w:rsidR="00257613">
              <w:rPr>
                <w:color w:val="000000"/>
              </w:rPr>
              <w:t>ektrickými zařízeními (obojí 46</w:t>
            </w:r>
            <w:r w:rsidR="00257613" w:rsidRPr="008669A7">
              <w:rPr>
                <w:color w:val="000000"/>
              </w:rPr>
              <w:t>–</w:t>
            </w:r>
            <w:r w:rsidRPr="00257613">
              <w:rPr>
                <w:color w:val="000000"/>
              </w:rPr>
              <w:t>47 mld. korun)</w:t>
            </w:r>
            <w:r w:rsidR="00DC350B" w:rsidRPr="00257613">
              <w:rPr>
                <w:color w:val="000000"/>
              </w:rPr>
              <w:t>, ostatními stroji a zařízeními</w:t>
            </w:r>
            <w:r w:rsidRPr="00257613">
              <w:rPr>
                <w:color w:val="000000"/>
              </w:rPr>
              <w:t xml:space="preserve"> (+35 mld.), ale také produkty „malých“ odvětví jako je nábytek, odpady nebo dřevo a dřevěné výrobky (v každém 13-14 mld.). Naopak hluboké deficity zaznamenal obchod s chemickými látkami (vždy mezi -73 až -76 mld. korun). </w:t>
            </w:r>
          </w:p>
          <w:p w:rsidR="00485230" w:rsidRDefault="00485230" w:rsidP="003C3686">
            <w:pPr>
              <w:pStyle w:val="Textpoznpodarou"/>
              <w:jc w:val="both"/>
              <w:rPr>
                <w:color w:val="000000"/>
                <w:spacing w:val="-2"/>
              </w:rPr>
            </w:pPr>
          </w:p>
        </w:tc>
      </w:tr>
      <w:tr w:rsidR="00485230" w:rsidRPr="006B2EFD" w:rsidTr="003C3686">
        <w:trPr>
          <w:gridBefore w:val="1"/>
          <w:gridAfter w:val="1"/>
          <w:wBefore w:w="21" w:type="pct"/>
          <w:wAfter w:w="22" w:type="pct"/>
        </w:trPr>
        <w:tc>
          <w:tcPr>
            <w:tcW w:w="1033" w:type="pct"/>
            <w:gridSpan w:val="2"/>
          </w:tcPr>
          <w:p w:rsidR="00485230" w:rsidRPr="00602D1D" w:rsidRDefault="00485230" w:rsidP="003C3686">
            <w:pPr>
              <w:spacing w:line="240" w:lineRule="auto"/>
              <w:rPr>
                <w:color w:val="000000"/>
                <w:sz w:val="16"/>
                <w:szCs w:val="16"/>
              </w:rPr>
            </w:pPr>
            <w:r>
              <w:rPr>
                <w:color w:val="000000"/>
                <w:sz w:val="16"/>
                <w:szCs w:val="16"/>
              </w:rPr>
              <w:t xml:space="preserve">Obchodní bilance se meziročně mírně zhoršila vlivem prohloubených deficitů především s Čínou, přebytky s EU dále narostly </w:t>
            </w:r>
          </w:p>
        </w:tc>
        <w:tc>
          <w:tcPr>
            <w:tcW w:w="138" w:type="pct"/>
          </w:tcPr>
          <w:p w:rsidR="00485230" w:rsidRPr="00CA6508" w:rsidRDefault="00485230" w:rsidP="003C3686">
            <w:pPr>
              <w:pStyle w:val="Textpoznpodarou"/>
              <w:jc w:val="both"/>
              <w:rPr>
                <w:i/>
              </w:rPr>
            </w:pPr>
          </w:p>
        </w:tc>
        <w:tc>
          <w:tcPr>
            <w:tcW w:w="3786" w:type="pct"/>
            <w:gridSpan w:val="3"/>
          </w:tcPr>
          <w:p w:rsidR="00485230" w:rsidRPr="00A968F6" w:rsidRDefault="008669A7" w:rsidP="003C3686">
            <w:pPr>
              <w:pStyle w:val="Textpoznpodarou"/>
              <w:jc w:val="both"/>
              <w:rPr>
                <w:color w:val="000000"/>
              </w:rPr>
            </w:pPr>
            <w:r>
              <w:rPr>
                <w:color w:val="000000"/>
              </w:rPr>
              <w:t>Na nižší</w:t>
            </w:r>
            <w:r w:rsidR="00485230">
              <w:rPr>
                <w:color w:val="000000"/>
              </w:rPr>
              <w:t xml:space="preserve"> přebytek obchodní bilance ve srovnání s prvními třemi čtvrtletími 2014 mělo vliv především zhoršení deficitů se zeměmi mimo EU – nejvíce se propadl výsledek obchodu s Čínou, u něhož se předchozí deficit ve výši 176 mld. zvět</w:t>
            </w:r>
            <w:r w:rsidR="00DC350B">
              <w:rPr>
                <w:color w:val="000000"/>
              </w:rPr>
              <w:t xml:space="preserve">šil na 220 mld. korun. O téměř </w:t>
            </w:r>
            <w:r w:rsidR="00485230">
              <w:rPr>
                <w:color w:val="000000"/>
              </w:rPr>
              <w:t>sedm miliard (na -30 mld. korun) se prohloubil deficit s Ruskou federací. Ze sousedících zemí EU se zvětšilo převýšení dovozů nad</w:t>
            </w:r>
            <w:r>
              <w:rPr>
                <w:color w:val="000000"/>
              </w:rPr>
              <w:t> </w:t>
            </w:r>
            <w:r w:rsidR="00485230">
              <w:rPr>
                <w:color w:val="000000"/>
              </w:rPr>
              <w:t>vývozy z ČR v případě Polska a Rakouska, přebytek s Německem však stoupl o téměř 12 mld. na 169 mld. korun. Německo zůstává hlavním obchodním partnerem s podílem 32,6 % na celkových vývozech z ČR a s</w:t>
            </w:r>
            <w:r>
              <w:rPr>
                <w:color w:val="000000"/>
              </w:rPr>
              <w:t xml:space="preserve"> 27,2 % celkových dovozů do ČR.</w:t>
            </w:r>
            <w:r w:rsidR="00485230">
              <w:rPr>
                <w:color w:val="000000"/>
              </w:rPr>
              <w:t xml:space="preserve">   </w:t>
            </w:r>
          </w:p>
          <w:p w:rsidR="00485230" w:rsidRPr="006B2EFD" w:rsidRDefault="00485230" w:rsidP="003C3686">
            <w:pPr>
              <w:pStyle w:val="Textpoznpodarou"/>
              <w:jc w:val="both"/>
              <w:rPr>
                <w:color w:val="000000"/>
                <w:spacing w:val="-2"/>
                <w:sz w:val="10"/>
                <w:szCs w:val="10"/>
              </w:rPr>
            </w:pPr>
          </w:p>
        </w:tc>
      </w:tr>
      <w:tr w:rsidR="00485230" w:rsidRPr="00261749" w:rsidTr="003C3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496" w:type="pct"/>
            <w:gridSpan w:val="2"/>
            <w:tcBorders>
              <w:top w:val="nil"/>
              <w:left w:val="nil"/>
              <w:bottom w:val="nil"/>
              <w:right w:val="nil"/>
            </w:tcBorders>
          </w:tcPr>
          <w:p w:rsidR="00485230" w:rsidRPr="00666F4B" w:rsidRDefault="00485230" w:rsidP="003C3686">
            <w:pPr>
              <w:spacing w:line="240" w:lineRule="auto"/>
              <w:rPr>
                <w:color w:val="000000"/>
                <w:sz w:val="19"/>
                <w:szCs w:val="19"/>
              </w:rPr>
            </w:pPr>
            <w:r w:rsidRPr="00666F4B">
              <w:rPr>
                <w:color w:val="000000"/>
                <w:sz w:val="19"/>
                <w:szCs w:val="19"/>
              </w:rPr>
              <w:t>Graf č. 9</w:t>
            </w:r>
          </w:p>
        </w:tc>
        <w:tc>
          <w:tcPr>
            <w:tcW w:w="1940" w:type="pct"/>
            <w:gridSpan w:val="3"/>
            <w:tcBorders>
              <w:top w:val="nil"/>
              <w:left w:val="nil"/>
              <w:bottom w:val="nil"/>
              <w:right w:val="nil"/>
            </w:tcBorders>
          </w:tcPr>
          <w:p w:rsidR="00485230" w:rsidRDefault="00485230" w:rsidP="003C3686">
            <w:pPr>
              <w:spacing w:line="240" w:lineRule="auto"/>
              <w:rPr>
                <w:bCs/>
              </w:rPr>
            </w:pPr>
            <w:r>
              <w:rPr>
                <w:b/>
                <w:bCs/>
              </w:rPr>
              <w:t xml:space="preserve">Struktura přímých investic </w:t>
            </w:r>
            <w:r w:rsidRPr="008B1E41">
              <w:rPr>
                <w:bCs/>
              </w:rPr>
              <w:t>(v čistém</w:t>
            </w:r>
            <w:r>
              <w:rPr>
                <w:bCs/>
              </w:rPr>
              <w:t>;</w:t>
            </w:r>
          </w:p>
          <w:p w:rsidR="00485230" w:rsidRDefault="00485230" w:rsidP="003C3686">
            <w:pPr>
              <w:spacing w:line="240" w:lineRule="auto"/>
              <w:rPr>
                <w:bCs/>
              </w:rPr>
            </w:pPr>
            <w:r w:rsidRPr="008B1E41">
              <w:rPr>
                <w:bCs/>
              </w:rPr>
              <w:t xml:space="preserve"> - = pasiva</w:t>
            </w:r>
            <w:r w:rsidR="008669A7">
              <w:rPr>
                <w:bCs/>
              </w:rPr>
              <w:t>;</w:t>
            </w:r>
            <w:r w:rsidRPr="008B1E41">
              <w:rPr>
                <w:bCs/>
              </w:rPr>
              <w:t xml:space="preserve"> v mil. korun</w:t>
            </w:r>
            <w:r>
              <w:rPr>
                <w:bCs/>
              </w:rPr>
              <w:t>,</w:t>
            </w:r>
            <w:r w:rsidRPr="008B1E41">
              <w:rPr>
                <w:bCs/>
              </w:rPr>
              <w:t xml:space="preserve"> kumulativně</w:t>
            </w:r>
            <w:r>
              <w:rPr>
                <w:bCs/>
              </w:rPr>
              <w:t xml:space="preserve"> </w:t>
            </w:r>
          </w:p>
          <w:p w:rsidR="00485230" w:rsidRPr="00444268" w:rsidRDefault="00485230" w:rsidP="003C3686">
            <w:pPr>
              <w:spacing w:line="240" w:lineRule="auto"/>
              <w:rPr>
                <w:b/>
                <w:bCs/>
              </w:rPr>
            </w:pPr>
            <w:r>
              <w:rPr>
                <w:bCs/>
              </w:rPr>
              <w:t>za tři čtvrtletí)</w:t>
            </w:r>
            <w:r>
              <w:rPr>
                <w:b/>
                <w:bCs/>
              </w:rPr>
              <w:t xml:space="preserve"> </w:t>
            </w:r>
          </w:p>
        </w:tc>
        <w:tc>
          <w:tcPr>
            <w:tcW w:w="515" w:type="pct"/>
            <w:tcBorders>
              <w:top w:val="nil"/>
              <w:left w:val="nil"/>
              <w:bottom w:val="nil"/>
              <w:right w:val="nil"/>
            </w:tcBorders>
          </w:tcPr>
          <w:p w:rsidR="00485230" w:rsidRPr="00C3271C" w:rsidRDefault="00485230" w:rsidP="003C3686">
            <w:pPr>
              <w:spacing w:line="240" w:lineRule="auto"/>
              <w:rPr>
                <w:color w:val="000000"/>
                <w:sz w:val="19"/>
                <w:szCs w:val="19"/>
              </w:rPr>
            </w:pPr>
            <w:r w:rsidRPr="00C3271C">
              <w:rPr>
                <w:color w:val="000000"/>
                <w:sz w:val="19"/>
                <w:szCs w:val="19"/>
              </w:rPr>
              <w:t>Graf č. 10</w:t>
            </w:r>
          </w:p>
        </w:tc>
        <w:tc>
          <w:tcPr>
            <w:tcW w:w="2049" w:type="pct"/>
            <w:gridSpan w:val="2"/>
            <w:tcBorders>
              <w:top w:val="nil"/>
              <w:left w:val="nil"/>
              <w:bottom w:val="nil"/>
              <w:right w:val="nil"/>
            </w:tcBorders>
          </w:tcPr>
          <w:p w:rsidR="00485230" w:rsidRPr="00261749" w:rsidRDefault="00485230" w:rsidP="003C3686">
            <w:pPr>
              <w:spacing w:line="240" w:lineRule="auto"/>
              <w:rPr>
                <w:bCs/>
              </w:rPr>
            </w:pPr>
            <w:r>
              <w:rPr>
                <w:b/>
                <w:bCs/>
              </w:rPr>
              <w:t>Posilování/oslabování o</w:t>
            </w:r>
            <w:r w:rsidRPr="00261749">
              <w:rPr>
                <w:b/>
                <w:bCs/>
              </w:rPr>
              <w:t>bchodní bilance</w:t>
            </w:r>
            <w:r w:rsidRPr="00261749">
              <w:rPr>
                <w:bCs/>
              </w:rPr>
              <w:t xml:space="preserve"> </w:t>
            </w:r>
            <w:r>
              <w:rPr>
                <w:bCs/>
              </w:rPr>
              <w:t>(</w:t>
            </w:r>
            <w:r w:rsidRPr="00261749">
              <w:rPr>
                <w:bCs/>
              </w:rPr>
              <w:t>změna 1-3q</w:t>
            </w:r>
            <w:r>
              <w:rPr>
                <w:bCs/>
              </w:rPr>
              <w:t>1</w:t>
            </w:r>
            <w:r w:rsidRPr="00261749">
              <w:rPr>
                <w:bCs/>
              </w:rPr>
              <w:t>5/1-</w:t>
            </w:r>
            <w:r>
              <w:rPr>
                <w:bCs/>
              </w:rPr>
              <w:t>3</w:t>
            </w:r>
            <w:r w:rsidRPr="00261749">
              <w:rPr>
                <w:bCs/>
              </w:rPr>
              <w:t>q14</w:t>
            </w:r>
            <w:r>
              <w:rPr>
                <w:bCs/>
              </w:rPr>
              <w:t xml:space="preserve">; </w:t>
            </w:r>
            <w:r w:rsidRPr="00261749">
              <w:rPr>
                <w:bCs/>
              </w:rPr>
              <w:t>v mil. korun)</w:t>
            </w:r>
          </w:p>
        </w:tc>
      </w:tr>
      <w:tr w:rsidR="00485230" w:rsidRPr="00862A7A" w:rsidTr="003C3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256"/>
        </w:trPr>
        <w:tc>
          <w:tcPr>
            <w:tcW w:w="2436" w:type="pct"/>
            <w:gridSpan w:val="5"/>
            <w:tcBorders>
              <w:top w:val="nil"/>
              <w:left w:val="nil"/>
              <w:bottom w:val="nil"/>
              <w:right w:val="nil"/>
            </w:tcBorders>
          </w:tcPr>
          <w:p w:rsidR="00485230" w:rsidRPr="008B1E41" w:rsidRDefault="00485230" w:rsidP="003C3686">
            <w:pPr>
              <w:pStyle w:val="Zhlav"/>
              <w:tabs>
                <w:tab w:val="clear" w:pos="4536"/>
                <w:tab w:val="clear" w:pos="9072"/>
              </w:tabs>
              <w:ind w:right="-275"/>
              <w:rPr>
                <w:rFonts w:ascii="Arial" w:hAnsi="Arial" w:cs="Arial"/>
                <w:sz w:val="20"/>
              </w:rPr>
            </w:pPr>
            <w:r w:rsidRPr="008B1E41">
              <w:rPr>
                <w:rFonts w:ascii="Arial" w:hAnsi="Arial" w:cs="Arial"/>
                <w:sz w:val="20"/>
              </w:rPr>
              <w:object w:dxaOrig="4709" w:dyaOrig="3771">
                <v:shape id="_x0000_i1033" type="#_x0000_t75" style="width:235.5pt;height:188.25pt" o:ole="">
                  <v:imagedata r:id="rId20" o:title=""/>
                </v:shape>
                <o:OLEObject Type="Embed" ProgID="Excel.Sheet.8" ShapeID="_x0000_i1033" DrawAspect="Content" ObjectID="_1511951228" r:id="rId21">
                  <o:FieldCodes>\s</o:FieldCodes>
                </o:OLEObject>
              </w:object>
            </w:r>
          </w:p>
        </w:tc>
        <w:tc>
          <w:tcPr>
            <w:tcW w:w="2564" w:type="pct"/>
            <w:gridSpan w:val="3"/>
            <w:tcBorders>
              <w:top w:val="nil"/>
              <w:left w:val="nil"/>
              <w:bottom w:val="nil"/>
              <w:right w:val="nil"/>
            </w:tcBorders>
          </w:tcPr>
          <w:p w:rsidR="00485230" w:rsidRPr="00D86DAE" w:rsidRDefault="00485230" w:rsidP="003C3686">
            <w:pPr>
              <w:pStyle w:val="Zhlav"/>
              <w:tabs>
                <w:tab w:val="clear" w:pos="4536"/>
                <w:tab w:val="clear" w:pos="9072"/>
              </w:tabs>
              <w:spacing w:line="235" w:lineRule="auto"/>
              <w:jc w:val="both"/>
              <w:rPr>
                <w:rFonts w:ascii="Arial" w:hAnsi="Arial" w:cs="Arial"/>
                <w:noProof/>
                <w:sz w:val="20"/>
                <w:lang w:eastAsia="cs-CZ"/>
              </w:rPr>
            </w:pPr>
            <w:r w:rsidRPr="00E3686E">
              <w:rPr>
                <w:rFonts w:ascii="Arial" w:hAnsi="Arial" w:cs="Arial"/>
                <w:noProof/>
                <w:sz w:val="20"/>
                <w:lang w:eastAsia="cs-CZ"/>
              </w:rPr>
              <w:object w:dxaOrig="4885" w:dyaOrig="3750">
                <v:shape id="_x0000_i1034" type="#_x0000_t75" style="width:244.5pt;height:187.5pt" o:ole="">
                  <v:imagedata r:id="rId22" o:title=""/>
                </v:shape>
                <o:OLEObject Type="Embed" ProgID="Excel.Sheet.8" ShapeID="_x0000_i1034" DrawAspect="Content" ObjectID="_1511951229" r:id="rId23">
                  <o:FieldCodes>\s</o:FieldCodes>
                </o:OLEObject>
              </w:object>
            </w:r>
          </w:p>
          <w:p w:rsidR="00485230" w:rsidRPr="00862A7A" w:rsidRDefault="00485230" w:rsidP="003C3686">
            <w:pPr>
              <w:pStyle w:val="Zhlav"/>
              <w:tabs>
                <w:tab w:val="clear" w:pos="4536"/>
                <w:tab w:val="clear" w:pos="9072"/>
              </w:tabs>
              <w:spacing w:line="235" w:lineRule="auto"/>
              <w:jc w:val="right"/>
              <w:rPr>
                <w:rFonts w:ascii="Arial" w:hAnsi="Arial" w:cs="Arial"/>
                <w:noProof/>
                <w:sz w:val="18"/>
                <w:szCs w:val="18"/>
                <w:lang w:eastAsia="cs-CZ"/>
              </w:rPr>
            </w:pPr>
            <w:r>
              <w:rPr>
                <w:rFonts w:ascii="Arial" w:hAnsi="Arial" w:cs="Arial"/>
                <w:noProof/>
                <w:sz w:val="18"/>
                <w:szCs w:val="18"/>
                <w:lang w:eastAsia="cs-CZ"/>
              </w:rPr>
              <w:t>Zdroj</w:t>
            </w:r>
            <w:r w:rsidRPr="00862A7A">
              <w:rPr>
                <w:rFonts w:ascii="Arial" w:hAnsi="Arial" w:cs="Arial"/>
                <w:noProof/>
                <w:sz w:val="18"/>
                <w:szCs w:val="18"/>
                <w:lang w:eastAsia="cs-CZ"/>
              </w:rPr>
              <w:t>: ČSÚ,</w:t>
            </w:r>
            <w:r>
              <w:rPr>
                <w:rFonts w:ascii="Arial" w:hAnsi="Arial" w:cs="Arial"/>
                <w:noProof/>
                <w:sz w:val="18"/>
                <w:szCs w:val="18"/>
                <w:lang w:eastAsia="cs-CZ"/>
              </w:rPr>
              <w:t xml:space="preserve"> vlastní výpočty</w:t>
            </w:r>
          </w:p>
        </w:tc>
      </w:tr>
    </w:tbl>
    <w:p w:rsidR="002E0DB9" w:rsidRDefault="002E0DB9" w:rsidP="002E0DB9"/>
    <w:p w:rsidR="00886A8F" w:rsidRDefault="00886A8F" w:rsidP="002E0DB9"/>
    <w:p w:rsidR="00886A8F" w:rsidRDefault="00886A8F" w:rsidP="002E0DB9"/>
    <w:p w:rsidR="00886A8F" w:rsidRDefault="00886A8F" w:rsidP="002E0DB9"/>
    <w:p w:rsidR="00886A8F" w:rsidRDefault="00886A8F" w:rsidP="002E0DB9"/>
    <w:p w:rsidR="00886A8F" w:rsidRDefault="00886A8F" w:rsidP="002E0DB9"/>
    <w:p w:rsidR="00886A8F" w:rsidRDefault="00886A8F" w:rsidP="002E0DB9"/>
    <w:p w:rsidR="00886A8F" w:rsidRDefault="00886A8F" w:rsidP="002E0DB9"/>
    <w:p w:rsidR="00886A8F" w:rsidRDefault="00886A8F" w:rsidP="002E0DB9"/>
    <w:p w:rsidR="00886A8F" w:rsidRDefault="00886A8F" w:rsidP="002E0DB9"/>
    <w:p w:rsidR="007D4281" w:rsidRDefault="007D4281" w:rsidP="006D142E">
      <w:pPr>
        <w:pStyle w:val="Nadpis1"/>
        <w:numPr>
          <w:ilvl w:val="0"/>
          <w:numId w:val="3"/>
        </w:numPr>
        <w:jc w:val="both"/>
      </w:pPr>
      <w:bookmarkStart w:id="7" w:name="_Toc437874298"/>
      <w:r>
        <w:lastRenderedPageBreak/>
        <w:t>Ceny</w:t>
      </w:r>
      <w:bookmarkEnd w:id="7"/>
    </w:p>
    <w:tbl>
      <w:tblPr>
        <w:tblW w:w="5000" w:type="pct"/>
        <w:tblLayout w:type="fixed"/>
        <w:tblLook w:val="00A0"/>
      </w:tblPr>
      <w:tblGrid>
        <w:gridCol w:w="2077"/>
        <w:gridCol w:w="282"/>
        <w:gridCol w:w="7495"/>
      </w:tblGrid>
      <w:tr w:rsidR="00886A8F" w:rsidRPr="007D44C3" w:rsidTr="003C3686">
        <w:tc>
          <w:tcPr>
            <w:tcW w:w="1054" w:type="pct"/>
          </w:tcPr>
          <w:p w:rsidR="00886A8F" w:rsidRPr="00FC7F3F" w:rsidRDefault="00886A8F" w:rsidP="003C3686">
            <w:pPr>
              <w:spacing w:line="240" w:lineRule="auto"/>
              <w:rPr>
                <w:sz w:val="16"/>
                <w:szCs w:val="16"/>
                <w:vertAlign w:val="superscript"/>
              </w:rPr>
            </w:pPr>
            <w:r w:rsidRPr="00FC7F3F">
              <w:rPr>
                <w:sz w:val="16"/>
                <w:szCs w:val="16"/>
              </w:rPr>
              <w:t>Celková cenová hladina se zvýšila ve 3. čtvrtletí 2015 v meziročním srovnání jen o 0,4 %</w:t>
            </w:r>
          </w:p>
        </w:tc>
        <w:tc>
          <w:tcPr>
            <w:tcW w:w="143" w:type="pct"/>
          </w:tcPr>
          <w:p w:rsidR="00886A8F" w:rsidRPr="00A533CE" w:rsidRDefault="00886A8F" w:rsidP="003C3686">
            <w:pPr>
              <w:pStyle w:val="Textpoznpodarou"/>
              <w:jc w:val="both"/>
              <w:rPr>
                <w:color w:val="4F81BD" w:themeColor="accent1"/>
              </w:rPr>
            </w:pPr>
          </w:p>
        </w:tc>
        <w:tc>
          <w:tcPr>
            <w:tcW w:w="3803" w:type="pct"/>
          </w:tcPr>
          <w:p w:rsidR="00886A8F" w:rsidRPr="00FC7F3F" w:rsidRDefault="00886A8F" w:rsidP="003C3686">
            <w:pPr>
              <w:pStyle w:val="Textpoznpodarou"/>
              <w:jc w:val="both"/>
            </w:pPr>
            <w:r w:rsidRPr="00FC7F3F">
              <w:t>Podle implicitního deflátoru HDP</w:t>
            </w:r>
            <w:r w:rsidRPr="00FC7F3F">
              <w:rPr>
                <w:rStyle w:val="Znakapoznpodarou"/>
              </w:rPr>
              <w:footnoteReference w:id="17"/>
            </w:r>
            <w:r w:rsidRPr="00FC7F3F">
              <w:t xml:space="preserve"> zpomalil meziroční růst celkové cenové hladiny v ČR ve 3. čtvrtletí 2015 na +0,4 %. Ceny narostly nejpomaleji za poslední čtyři roky. Výdaje domácností podražily meziročně jen o 0,1 %, přírůstek cen investic (tvorby hrubého fixního kapitálu) se v kontextu velmi silné poptávky po investičních aktivech ukazoval </w:t>
            </w:r>
            <w:r w:rsidRPr="00FC7F3F">
              <w:rPr>
                <w:spacing w:val="-2"/>
              </w:rPr>
              <w:t>také jako</w:t>
            </w:r>
            <w:r>
              <w:rPr>
                <w:spacing w:val="-2"/>
              </w:rPr>
              <w:t xml:space="preserve"> poměrně</w:t>
            </w:r>
            <w:r w:rsidRPr="00FC7F3F">
              <w:rPr>
                <w:spacing w:val="-2"/>
              </w:rPr>
              <w:t xml:space="preserve"> střídmý (+1,0 %). Deflátor výdajů na konečnou spotřebu vládních</w:t>
            </w:r>
            <w:r w:rsidRPr="00FC7F3F">
              <w:t xml:space="preserve"> institucí činil +1,3 %. Vliv směnných relací </w:t>
            </w:r>
            <w:r w:rsidRPr="00FC7F3F">
              <w:rPr>
                <w:spacing w:val="-4"/>
              </w:rPr>
              <w:t>na meziroční vývoj celkové cenové hladiny zůstal minimální stejně jako ve</w:t>
            </w:r>
            <w:r w:rsidRPr="00FC7F3F">
              <w:t xml:space="preserve"> 2. čtvrtletí 2015, protože směnné relace setrvaly blízké hodnotě 100 % (ve 2. čtvrtletí 99,9 %, ve 3. čtvrtletí 100,1 %).</w:t>
            </w:r>
          </w:p>
          <w:p w:rsidR="00886A8F" w:rsidRPr="00FB0DF3" w:rsidRDefault="00886A8F" w:rsidP="003C3686">
            <w:pPr>
              <w:pStyle w:val="Textpoznpodarou"/>
              <w:jc w:val="both"/>
              <w:rPr>
                <w:spacing w:val="-2"/>
                <w:sz w:val="18"/>
                <w:szCs w:val="18"/>
              </w:rPr>
            </w:pPr>
          </w:p>
        </w:tc>
      </w:tr>
      <w:tr w:rsidR="00886A8F" w:rsidRPr="007D44C3" w:rsidTr="003C3686">
        <w:tc>
          <w:tcPr>
            <w:tcW w:w="1054" w:type="pct"/>
          </w:tcPr>
          <w:p w:rsidR="00886A8F" w:rsidRPr="00FC7F3F" w:rsidRDefault="00886A8F" w:rsidP="003C3686">
            <w:pPr>
              <w:spacing w:line="240" w:lineRule="auto"/>
              <w:rPr>
                <w:sz w:val="16"/>
                <w:szCs w:val="16"/>
              </w:rPr>
            </w:pPr>
            <w:r w:rsidRPr="00FC7F3F">
              <w:rPr>
                <w:sz w:val="16"/>
                <w:szCs w:val="16"/>
              </w:rPr>
              <w:t>Ceny pro spotřebitele vzrostly v prvních třech čtvrtletích roku 2015 v průměru pouze o 0,4 % meziročně, …</w:t>
            </w:r>
          </w:p>
        </w:tc>
        <w:tc>
          <w:tcPr>
            <w:tcW w:w="143" w:type="pct"/>
          </w:tcPr>
          <w:p w:rsidR="00886A8F" w:rsidRPr="00B45AF2" w:rsidRDefault="00886A8F" w:rsidP="003C3686">
            <w:pPr>
              <w:pStyle w:val="Textpoznpodarou"/>
              <w:jc w:val="both"/>
            </w:pPr>
          </w:p>
        </w:tc>
        <w:tc>
          <w:tcPr>
            <w:tcW w:w="3803" w:type="pct"/>
          </w:tcPr>
          <w:p w:rsidR="00886A8F" w:rsidRPr="00494925" w:rsidRDefault="00886A8F" w:rsidP="003C3686">
            <w:pPr>
              <w:pStyle w:val="Textpoznpodarou"/>
              <w:jc w:val="both"/>
              <w:rPr>
                <w:color w:val="1F497D" w:themeColor="text2"/>
              </w:rPr>
            </w:pPr>
            <w:r w:rsidRPr="00FC7F3F">
              <w:t xml:space="preserve">Meziroční růst spotřebitelských cen v prvních devíti měsících letošního roku činil v průměru +0,4 % a </w:t>
            </w:r>
            <w:r>
              <w:t>zůstával</w:t>
            </w:r>
            <w:r w:rsidRPr="00FC7F3F">
              <w:t xml:space="preserve"> tak</w:t>
            </w:r>
            <w:r>
              <w:t xml:space="preserve"> </w:t>
            </w:r>
            <w:r w:rsidRPr="00FC7F3F">
              <w:t xml:space="preserve">pod cílem České národní banky. Ceny rostly navzdory </w:t>
            </w:r>
            <w:r>
              <w:t xml:space="preserve">nadále </w:t>
            </w:r>
            <w:r w:rsidRPr="00FC7F3F">
              <w:t xml:space="preserve">uvolněným měnovým podmínkám pouze nepatrně rychleji než ve stejném období předchozího roku (+0,3 %). Jak bylo zřejmé z dynamiky v jednotlivých čtvrtletích roku 2015 (+0,1 %, +0,7 %, +0,4 %), nic nenasvědčovalo tomu, že by se měla inflace v blízké budoucnosti zvýšit. To ostatně potvrdily i poslední dostupné údaje za měsíce říjen a </w:t>
            </w:r>
            <w:r w:rsidRPr="003B3EEE">
              <w:t>listopad, ve kterých ceny pro spotřebitele stouply meziročně pouze o 0,2 % a 0,1 %.</w:t>
            </w:r>
          </w:p>
          <w:p w:rsidR="00886A8F" w:rsidRPr="00A020C5" w:rsidRDefault="00886A8F" w:rsidP="003C3686">
            <w:pPr>
              <w:pStyle w:val="Textpoznpodarou"/>
              <w:jc w:val="both"/>
              <w:rPr>
                <w:color w:val="1F497D" w:themeColor="text2"/>
                <w:sz w:val="16"/>
                <w:szCs w:val="16"/>
              </w:rPr>
            </w:pPr>
          </w:p>
        </w:tc>
      </w:tr>
      <w:tr w:rsidR="00886A8F" w:rsidRPr="007D44C3" w:rsidTr="003C3686">
        <w:tc>
          <w:tcPr>
            <w:tcW w:w="1054" w:type="pct"/>
          </w:tcPr>
          <w:p w:rsidR="00886A8F" w:rsidRPr="00FC7F3F" w:rsidRDefault="00886A8F" w:rsidP="003C3686">
            <w:pPr>
              <w:spacing w:line="240" w:lineRule="auto"/>
              <w:rPr>
                <w:sz w:val="16"/>
                <w:szCs w:val="16"/>
              </w:rPr>
            </w:pPr>
            <w:r w:rsidRPr="00FC7F3F">
              <w:rPr>
                <w:sz w:val="16"/>
                <w:szCs w:val="16"/>
              </w:rPr>
              <w:t>… z velké části se přitom jednalo o důsledek nízké ceny ropy na světovém komoditním trhu. Ta se propadla již ve druhé polovině roku 2014, …</w:t>
            </w:r>
          </w:p>
        </w:tc>
        <w:tc>
          <w:tcPr>
            <w:tcW w:w="143" w:type="pct"/>
          </w:tcPr>
          <w:p w:rsidR="00886A8F" w:rsidRPr="00B45AF2" w:rsidRDefault="00886A8F" w:rsidP="003C3686">
            <w:pPr>
              <w:pStyle w:val="Textpoznpodarou"/>
              <w:jc w:val="both"/>
            </w:pPr>
          </w:p>
        </w:tc>
        <w:tc>
          <w:tcPr>
            <w:tcW w:w="3803" w:type="pct"/>
          </w:tcPr>
          <w:p w:rsidR="00886A8F" w:rsidRPr="00FC7F3F" w:rsidRDefault="00886A8F" w:rsidP="003C3686">
            <w:pPr>
              <w:pStyle w:val="Textpoznpodarou"/>
              <w:jc w:val="both"/>
            </w:pPr>
            <w:r w:rsidRPr="00FC7F3F">
              <w:t>Poptávka spotřebitelů po zboží a službách v průběhu prvních třech čtvrtletí roku 2015 nabírala na síle</w:t>
            </w:r>
            <w:r>
              <w:t xml:space="preserve"> a působila tedy proinflačně.</w:t>
            </w:r>
            <w:r w:rsidRPr="00FC7F3F">
              <w:t xml:space="preserve"> </w:t>
            </w:r>
            <w:r>
              <w:t xml:space="preserve">Ukazoval na </w:t>
            </w:r>
            <w:r w:rsidRPr="00FC7F3F">
              <w:t xml:space="preserve">to vysoký růst výdajů na konečnou </w:t>
            </w:r>
            <w:r w:rsidRPr="00FC7F3F">
              <w:rPr>
                <w:spacing w:val="-2"/>
              </w:rPr>
              <w:t>spotřebu domácností v meziročním srovnání, který po jednotlivých čtvrtletích činil +2,8 %, +3,0 % a +3,0</w:t>
            </w:r>
            <w:r w:rsidRPr="00FC7F3F">
              <w:t xml:space="preserve"> % reálně. Taktéž kurzový vývoj koruny k americkému dolaru, kdy koruna ztrácela v každém čtvrtletí meziročně více než 15 %, působil ve směru růstu cen pro spotřebitele. Propad ceny ropy, ke</w:t>
            </w:r>
            <w:r>
              <w:t> </w:t>
            </w:r>
            <w:r w:rsidRPr="00FC7F3F">
              <w:t>kterému došlo ve druhé polovině roku 2014, byl však natolik silný, že tyto vlivy potlačil a způsobil, že míra inflace v České republice byla nízká.</w:t>
            </w:r>
          </w:p>
          <w:p w:rsidR="00886A8F" w:rsidRPr="00A020C5" w:rsidRDefault="00886A8F" w:rsidP="003C3686">
            <w:pPr>
              <w:pStyle w:val="Textpoznpodarou"/>
              <w:jc w:val="both"/>
              <w:rPr>
                <w:color w:val="1F497D" w:themeColor="text2"/>
                <w:sz w:val="18"/>
                <w:szCs w:val="18"/>
              </w:rPr>
            </w:pPr>
          </w:p>
        </w:tc>
      </w:tr>
      <w:tr w:rsidR="00886A8F" w:rsidRPr="007D44C3" w:rsidTr="003C3686">
        <w:tc>
          <w:tcPr>
            <w:tcW w:w="1054" w:type="pct"/>
          </w:tcPr>
          <w:p w:rsidR="00886A8F" w:rsidRPr="00FC7F3F" w:rsidRDefault="00886A8F" w:rsidP="003C3686">
            <w:pPr>
              <w:spacing w:line="240" w:lineRule="auto"/>
              <w:rPr>
                <w:sz w:val="16"/>
                <w:szCs w:val="16"/>
              </w:rPr>
            </w:pPr>
            <w:r w:rsidRPr="00FC7F3F">
              <w:rPr>
                <w:sz w:val="16"/>
                <w:szCs w:val="16"/>
              </w:rPr>
              <w:t xml:space="preserve">…v případě ropy Brent šlo o pokles ze 112 amerických dolarů za barel v červnu 2014 na 48 dolarů v lednu 2015 </w:t>
            </w:r>
          </w:p>
        </w:tc>
        <w:tc>
          <w:tcPr>
            <w:tcW w:w="143" w:type="pct"/>
          </w:tcPr>
          <w:p w:rsidR="00886A8F" w:rsidRPr="00B45AF2" w:rsidRDefault="00886A8F" w:rsidP="003C3686">
            <w:pPr>
              <w:pStyle w:val="Textpoznpodarou"/>
              <w:jc w:val="both"/>
            </w:pPr>
          </w:p>
        </w:tc>
        <w:tc>
          <w:tcPr>
            <w:tcW w:w="3803" w:type="pct"/>
          </w:tcPr>
          <w:p w:rsidR="00886A8F" w:rsidRPr="00FC7F3F" w:rsidRDefault="00886A8F" w:rsidP="003C3686">
            <w:pPr>
              <w:pStyle w:val="Textpoznpodarou"/>
              <w:jc w:val="both"/>
            </w:pPr>
            <w:r w:rsidRPr="00FC7F3F">
              <w:t>Cena ropy Brent se propadla ze 112 amerických dolarů za barel v červnu roku 2014 na pouhých 48 dolarů v lednu 2015. Během sedmi měsíců ztratila více než polovinu své hodnoty. Navzdory dočasné korekci mezi lednem a květnem 2015, kdy cena ropy Brent stoupla ze 48 dolarů za barel na 64 dolarů, byla tato komodita meziročně výrazně levnější v 1., ve 2. i ve 3. čtvrtletí. Spotřebitelé efekty levnější ropy zaznamenávali přímo při nákupech pohonných hmot,</w:t>
            </w:r>
            <w:r w:rsidRPr="00FC7F3F">
              <w:rPr>
                <w:rStyle w:val="Znakapoznpodarou"/>
              </w:rPr>
              <w:footnoteReference w:id="18"/>
            </w:r>
            <w:r w:rsidRPr="00FC7F3F">
              <w:t xml:space="preserve"> nízké ceny ropy se ale promítaly – skrze pokles výrobních nákladů firem – do cen širšího spektra výrobků a služeb.</w:t>
            </w:r>
          </w:p>
          <w:p w:rsidR="00886A8F" w:rsidRPr="00A020C5" w:rsidRDefault="00886A8F" w:rsidP="003C3686">
            <w:pPr>
              <w:pStyle w:val="Textpoznpodarou"/>
              <w:jc w:val="both"/>
              <w:rPr>
                <w:color w:val="1F497D" w:themeColor="text2"/>
                <w:sz w:val="16"/>
                <w:szCs w:val="16"/>
              </w:rPr>
            </w:pPr>
          </w:p>
        </w:tc>
      </w:tr>
      <w:tr w:rsidR="00886A8F" w:rsidRPr="007D44C3" w:rsidTr="003C3686">
        <w:tc>
          <w:tcPr>
            <w:tcW w:w="1054" w:type="pct"/>
          </w:tcPr>
          <w:p w:rsidR="00886A8F" w:rsidRPr="00FC7F3F" w:rsidRDefault="00886A8F" w:rsidP="003C3686">
            <w:pPr>
              <w:spacing w:line="240" w:lineRule="auto"/>
              <w:rPr>
                <w:sz w:val="16"/>
                <w:szCs w:val="16"/>
              </w:rPr>
            </w:pPr>
            <w:r w:rsidRPr="00FC7F3F">
              <w:rPr>
                <w:sz w:val="16"/>
                <w:szCs w:val="16"/>
              </w:rPr>
              <w:t>Ze tří váhově nejvýznamnějších oddílů spotřebního koše vzrostly ceny ve 3. čtvrtletí 2015 pouze u výdajů za bydlení, vodu, energie a paliva (meziročně +0,8 %)</w:t>
            </w:r>
          </w:p>
        </w:tc>
        <w:tc>
          <w:tcPr>
            <w:tcW w:w="143" w:type="pct"/>
          </w:tcPr>
          <w:p w:rsidR="00886A8F" w:rsidRPr="00B45AF2" w:rsidRDefault="00886A8F" w:rsidP="003C3686">
            <w:pPr>
              <w:pStyle w:val="Textpoznpodarou"/>
              <w:jc w:val="both"/>
            </w:pPr>
          </w:p>
        </w:tc>
        <w:tc>
          <w:tcPr>
            <w:tcW w:w="3803" w:type="pct"/>
          </w:tcPr>
          <w:p w:rsidR="00886A8F" w:rsidRPr="00FC7F3F" w:rsidRDefault="00886A8F" w:rsidP="003C3686">
            <w:pPr>
              <w:pStyle w:val="Textpoznpodarou"/>
              <w:jc w:val="both"/>
            </w:pPr>
            <w:r w:rsidRPr="00FC7F3F">
              <w:t xml:space="preserve">Co se týče třech váhově nejvýznamnějších oddílů spotřebního koše, ve 3. čtvrtletí 2015 vzrostly ceny v meziročním srovnání pouze v případě výdajů za bydlení, </w:t>
            </w:r>
            <w:r w:rsidRPr="00FC7F3F">
              <w:rPr>
                <w:spacing w:val="-2"/>
              </w:rPr>
              <w:t>vodu, energie a paliva (+0,8 %). Ceny potravin a nealkoholických nápojů se</w:t>
            </w:r>
            <w:r w:rsidRPr="00FC7F3F">
              <w:t xml:space="preserve"> snížily o 0,9 %, jednalo se</w:t>
            </w:r>
            <w:r>
              <w:t xml:space="preserve"> přitom</w:t>
            </w:r>
            <w:r w:rsidRPr="00FC7F3F">
              <w:t xml:space="preserve"> zejména o důsledek poklesu cen živočišné výroby, </w:t>
            </w:r>
            <w:r w:rsidRPr="00FC7F3F">
              <w:rPr>
                <w:spacing w:val="-2"/>
              </w:rPr>
              <w:t xml:space="preserve">který se skrze výrobní řetězec </w:t>
            </w:r>
            <w:r>
              <w:rPr>
                <w:spacing w:val="-2"/>
              </w:rPr>
              <w:t>přenesl</w:t>
            </w:r>
            <w:r w:rsidRPr="00FC7F3F">
              <w:rPr>
                <w:spacing w:val="-2"/>
              </w:rPr>
              <w:t xml:space="preserve"> do nižších cen mléka, sýrů a vajec (-7,</w:t>
            </w:r>
            <w:r w:rsidRPr="00FC7F3F">
              <w:t>2 %) a masa (-3,0 %). Výrazně nižší ceny pohonných hmot se promítly v nižších cenách výdajů za dopravu (-3,8 %).</w:t>
            </w:r>
          </w:p>
          <w:p w:rsidR="00886A8F" w:rsidRPr="00A020C5" w:rsidRDefault="00886A8F" w:rsidP="003C3686">
            <w:pPr>
              <w:pStyle w:val="Textpoznpodarou"/>
              <w:jc w:val="both"/>
              <w:rPr>
                <w:color w:val="1F497D" w:themeColor="text2"/>
                <w:sz w:val="18"/>
                <w:szCs w:val="18"/>
              </w:rPr>
            </w:pPr>
          </w:p>
        </w:tc>
      </w:tr>
      <w:tr w:rsidR="00886A8F" w:rsidRPr="007D44C3" w:rsidTr="003C3686">
        <w:tc>
          <w:tcPr>
            <w:tcW w:w="1054" w:type="pct"/>
          </w:tcPr>
          <w:p w:rsidR="00886A8F" w:rsidRPr="00FC7F3F" w:rsidRDefault="00886A8F" w:rsidP="003C3686">
            <w:pPr>
              <w:spacing w:line="240" w:lineRule="auto"/>
              <w:rPr>
                <w:sz w:val="16"/>
                <w:szCs w:val="16"/>
              </w:rPr>
            </w:pPr>
            <w:r w:rsidRPr="00FC7F3F">
              <w:rPr>
                <w:sz w:val="16"/>
                <w:szCs w:val="16"/>
              </w:rPr>
              <w:t>Meziroční dynamika cen pro spotřebitele i nadále mírně silnější než dynamika cen domácností důchodců</w:t>
            </w:r>
          </w:p>
        </w:tc>
        <w:tc>
          <w:tcPr>
            <w:tcW w:w="143" w:type="pct"/>
          </w:tcPr>
          <w:p w:rsidR="00886A8F" w:rsidRPr="002461DB" w:rsidRDefault="00886A8F" w:rsidP="003C3686">
            <w:pPr>
              <w:pStyle w:val="Textpoznpodarou"/>
              <w:jc w:val="both"/>
              <w:rPr>
                <w:color w:val="1F497D" w:themeColor="text2"/>
              </w:rPr>
            </w:pPr>
          </w:p>
        </w:tc>
        <w:tc>
          <w:tcPr>
            <w:tcW w:w="3803" w:type="pct"/>
          </w:tcPr>
          <w:p w:rsidR="00886A8F" w:rsidRPr="004F5C9B" w:rsidRDefault="00886A8F" w:rsidP="003C3686">
            <w:pPr>
              <w:pStyle w:val="Textpoznpodarou"/>
              <w:jc w:val="both"/>
              <w:rPr>
                <w:color w:val="1F497D" w:themeColor="text2"/>
              </w:rPr>
            </w:pPr>
            <w:r w:rsidRPr="00FC7F3F">
              <w:t>Meziroční dynamika cen pro spotřebitele byla ve 3. čtvrtletí 2015 (+0,4 %) mírně silnější než dynamika cen</w:t>
            </w:r>
            <w:r>
              <w:t>, tak jak ji vnímaly</w:t>
            </w:r>
            <w:r w:rsidRPr="00FC7F3F">
              <w:t xml:space="preserve"> domácnosti důchodců (+0,1 %).</w:t>
            </w:r>
            <w:r w:rsidRPr="004F5C9B">
              <w:rPr>
                <w:color w:val="1F497D" w:themeColor="text2"/>
              </w:rPr>
              <w:t xml:space="preserve"> </w:t>
            </w:r>
            <w:r w:rsidRPr="00FC7F3F">
              <w:t xml:space="preserve">Opakovala se situace z předchozích šesti čtvrtletí. Zatímco v roce 2014 šlo především o důsledek mimořádného poklesu cen energií (elektrická a tepelná energie, plyn a ostatní paliva), v roce 2015 byla </w:t>
            </w:r>
            <w:r>
              <w:t>slabší</w:t>
            </w:r>
            <w:r w:rsidRPr="00FC7F3F">
              <w:t xml:space="preserve"> dynamika cen domácností důchodců dána zejména poklesem cen potravin. Energie i potraviny tvoří velkou část výdajů domácností důchodců i domácností celkem, větší však v případě prvně jmenované skupiny. Je proto logické, že pokles jejich</w:t>
            </w:r>
            <w:r>
              <w:t xml:space="preserve"> cen</w:t>
            </w:r>
            <w:r w:rsidRPr="00FC7F3F">
              <w:t xml:space="preserve"> tlumil především cenový vývoj domácností důchodců. Po dlouhodobě rychlejším růstu cenové hladiny domácností důchodců oproti cenové hladině domácností celkem docházelo k jejich mírnému sbližování.</w:t>
            </w:r>
            <w:r w:rsidRPr="004F5C9B">
              <w:rPr>
                <w:color w:val="1F497D" w:themeColor="text2"/>
              </w:rPr>
              <w:t xml:space="preserve"> </w:t>
            </w:r>
          </w:p>
        </w:tc>
      </w:tr>
      <w:tr w:rsidR="00886A8F" w:rsidRPr="007D44C3" w:rsidTr="003C3686">
        <w:tc>
          <w:tcPr>
            <w:tcW w:w="1054" w:type="pct"/>
          </w:tcPr>
          <w:p w:rsidR="00886A8F" w:rsidRPr="00FC7F3F" w:rsidRDefault="00886A8F" w:rsidP="003C3686">
            <w:pPr>
              <w:spacing w:line="240" w:lineRule="auto"/>
              <w:rPr>
                <w:sz w:val="16"/>
                <w:szCs w:val="16"/>
              </w:rPr>
            </w:pPr>
            <w:r w:rsidRPr="00FC7F3F">
              <w:rPr>
                <w:sz w:val="16"/>
                <w:szCs w:val="16"/>
              </w:rPr>
              <w:lastRenderedPageBreak/>
              <w:t xml:space="preserve">V deflaci dvanáct zemí Unie </w:t>
            </w:r>
          </w:p>
        </w:tc>
        <w:tc>
          <w:tcPr>
            <w:tcW w:w="143" w:type="pct"/>
          </w:tcPr>
          <w:p w:rsidR="00886A8F" w:rsidRPr="00B87F0E" w:rsidRDefault="00886A8F" w:rsidP="003C3686">
            <w:pPr>
              <w:pStyle w:val="Textpoznpodarou"/>
              <w:jc w:val="both"/>
              <w:rPr>
                <w:color w:val="1F497D" w:themeColor="text2"/>
              </w:rPr>
            </w:pPr>
          </w:p>
        </w:tc>
        <w:tc>
          <w:tcPr>
            <w:tcW w:w="3803" w:type="pct"/>
          </w:tcPr>
          <w:p w:rsidR="00886A8F" w:rsidRPr="00C95104" w:rsidRDefault="00886A8F" w:rsidP="003C3686">
            <w:pPr>
              <w:pStyle w:val="Textpoznpodarou"/>
              <w:jc w:val="both"/>
              <w:rPr>
                <w:spacing w:val="-2"/>
              </w:rPr>
            </w:pPr>
            <w:r w:rsidRPr="00C95104">
              <w:rPr>
                <w:spacing w:val="-2"/>
              </w:rPr>
              <w:t>Nízká míra inflace nebyla problémem pouze České republiky, ale celé Evropské unie. Zatímco v ČR vzrostly ceny ve 3. čtvrtletí 2015 podle harmonizovaného indexu spotřebitelských cen (HICP) meziročně o 0,3 %, v eurozóně pouze o 0,1 % a</w:t>
            </w:r>
            <w:r>
              <w:rPr>
                <w:spacing w:val="-2"/>
              </w:rPr>
              <w:t> </w:t>
            </w:r>
            <w:r w:rsidRPr="00C95104">
              <w:rPr>
                <w:spacing w:val="-2"/>
              </w:rPr>
              <w:t>v EU jako celku stagnovaly. Dvanáct členů Unie bylo v deflaci, ve čtyřech zemích včetně Německa a Velké Británie se ceny v meziročním srovnání nezměnily. Přírůstek spotřebitelských cen překračující 1 % byl patrný pouze na Maltě (+1,4 %).</w:t>
            </w:r>
          </w:p>
          <w:p w:rsidR="00886A8F" w:rsidRPr="00B87F0E" w:rsidRDefault="00886A8F" w:rsidP="003C3686">
            <w:pPr>
              <w:pStyle w:val="Textpoznpodarou"/>
              <w:jc w:val="both"/>
              <w:rPr>
                <w:color w:val="1F497D" w:themeColor="text2"/>
              </w:rPr>
            </w:pPr>
          </w:p>
        </w:tc>
      </w:tr>
      <w:tr w:rsidR="00886A8F" w:rsidRPr="007D44C3" w:rsidTr="003C3686">
        <w:tc>
          <w:tcPr>
            <w:tcW w:w="1054" w:type="pct"/>
          </w:tcPr>
          <w:p w:rsidR="00886A8F" w:rsidRPr="00FC7F3F" w:rsidRDefault="00886A8F" w:rsidP="003C3686">
            <w:pPr>
              <w:spacing w:line="240" w:lineRule="auto"/>
              <w:rPr>
                <w:sz w:val="16"/>
                <w:szCs w:val="16"/>
              </w:rPr>
            </w:pPr>
            <w:r w:rsidRPr="00FC7F3F">
              <w:rPr>
                <w:sz w:val="16"/>
                <w:szCs w:val="16"/>
              </w:rPr>
              <w:t>V prvních třech čtvrtletích roku 2015 byly ceny průmyslových výrobců v meziročním srovnání nižší v průměru o 3,1 %, …</w:t>
            </w:r>
          </w:p>
        </w:tc>
        <w:tc>
          <w:tcPr>
            <w:tcW w:w="143" w:type="pct"/>
          </w:tcPr>
          <w:p w:rsidR="00886A8F" w:rsidRPr="001E6B40" w:rsidRDefault="00886A8F" w:rsidP="003C3686">
            <w:pPr>
              <w:pStyle w:val="Textpoznpodarou"/>
              <w:jc w:val="both"/>
              <w:rPr>
                <w:color w:val="1F497D" w:themeColor="text2"/>
              </w:rPr>
            </w:pPr>
          </w:p>
        </w:tc>
        <w:tc>
          <w:tcPr>
            <w:tcW w:w="3803" w:type="pct"/>
          </w:tcPr>
          <w:p w:rsidR="00886A8F" w:rsidRPr="00FC7F3F" w:rsidRDefault="00886A8F" w:rsidP="003C3686">
            <w:pPr>
              <w:pStyle w:val="Textpoznpodarou"/>
              <w:jc w:val="both"/>
            </w:pPr>
            <w:r w:rsidRPr="00FC7F3F">
              <w:t>Ceny průmyslových výrobců klesly ve 3. čtvrtletí letošního roku v meziročním srovnání o 3,6 % a snížily se tak více, než odpovídalo průměru za celé období od ledna do září (-3,1 %)</w:t>
            </w:r>
            <w:r>
              <w:t xml:space="preserve">. Deflace v průmyslu trvala </w:t>
            </w:r>
            <w:r w:rsidRPr="00FC7F3F">
              <w:t>rok a tři čtvrtě a byla dána dvěma klíčovými faktory. Šlo jednak o značný pokles ceny ropy, jednak o pokračující pokles cen zpracovatelů v</w:t>
            </w:r>
            <w:r>
              <w:t> zemích platících eurem</w:t>
            </w:r>
            <w:r w:rsidRPr="00FC7F3F">
              <w:t>. Ten byl</w:t>
            </w:r>
            <w:r>
              <w:t xml:space="preserve"> z eurozóny</w:t>
            </w:r>
            <w:r w:rsidRPr="00FC7F3F">
              <w:t xml:space="preserve"> do české ekonomiky, která je nadprůměrně otevřená, dovážen spolu</w:t>
            </w:r>
            <w:r>
              <w:t xml:space="preserve"> s produkty</w:t>
            </w:r>
            <w:r w:rsidRPr="00FC7F3F">
              <w:t xml:space="preserve"> určený</w:t>
            </w:r>
            <w:r>
              <w:t>mi</w:t>
            </w:r>
            <w:r w:rsidRPr="00FC7F3F">
              <w:t xml:space="preserve"> k</w:t>
            </w:r>
            <w:r>
              <w:t> </w:t>
            </w:r>
            <w:r w:rsidRPr="00FC7F3F">
              <w:t xml:space="preserve">dalšímu zpracování. </w:t>
            </w:r>
          </w:p>
          <w:p w:rsidR="00886A8F" w:rsidRPr="001E6B40" w:rsidRDefault="00886A8F" w:rsidP="003C3686">
            <w:pPr>
              <w:pStyle w:val="Textpoznpodarou"/>
              <w:jc w:val="both"/>
              <w:rPr>
                <w:color w:val="1F497D" w:themeColor="text2"/>
              </w:rPr>
            </w:pPr>
          </w:p>
        </w:tc>
      </w:tr>
      <w:tr w:rsidR="00886A8F" w:rsidRPr="007D44C3" w:rsidTr="003C3686">
        <w:tc>
          <w:tcPr>
            <w:tcW w:w="1054" w:type="pct"/>
          </w:tcPr>
          <w:p w:rsidR="00886A8F" w:rsidRPr="00FC7F3F" w:rsidRDefault="00886A8F" w:rsidP="003C3686">
            <w:pPr>
              <w:spacing w:line="240" w:lineRule="auto"/>
              <w:rPr>
                <w:sz w:val="16"/>
                <w:szCs w:val="16"/>
              </w:rPr>
            </w:pPr>
            <w:r w:rsidRPr="00FC7F3F">
              <w:rPr>
                <w:sz w:val="16"/>
                <w:szCs w:val="16"/>
              </w:rPr>
              <w:t>…v samotném zpracovatelském průmyslu dokonce o 3,8 %</w:t>
            </w:r>
          </w:p>
        </w:tc>
        <w:tc>
          <w:tcPr>
            <w:tcW w:w="143" w:type="pct"/>
          </w:tcPr>
          <w:p w:rsidR="00886A8F" w:rsidRPr="001E6B40" w:rsidRDefault="00886A8F" w:rsidP="003C3686">
            <w:pPr>
              <w:pStyle w:val="Textpoznpodarou"/>
              <w:jc w:val="both"/>
              <w:rPr>
                <w:color w:val="1F497D" w:themeColor="text2"/>
              </w:rPr>
            </w:pPr>
          </w:p>
        </w:tc>
        <w:tc>
          <w:tcPr>
            <w:tcW w:w="3803" w:type="pct"/>
          </w:tcPr>
          <w:p w:rsidR="00886A8F" w:rsidRPr="000074BA" w:rsidRDefault="00886A8F" w:rsidP="003C3686">
            <w:pPr>
              <w:pStyle w:val="Textpoznpodarou"/>
              <w:jc w:val="both"/>
              <w:rPr>
                <w:spacing w:val="-2"/>
              </w:rPr>
            </w:pPr>
            <w:r w:rsidRPr="000074BA">
              <w:rPr>
                <w:spacing w:val="-2"/>
              </w:rPr>
              <w:t>Pokles cen průmyslových výrobců se koncentroval především ve zpracovatelském průmyslu (v průměru za první tři kvartály -3,8 %). V energetice (-0,8 %) a v těžbě a</w:t>
            </w:r>
            <w:r>
              <w:rPr>
                <w:spacing w:val="-2"/>
              </w:rPr>
              <w:t> </w:t>
            </w:r>
            <w:r w:rsidRPr="000074BA">
              <w:rPr>
                <w:spacing w:val="-2"/>
              </w:rPr>
              <w:t xml:space="preserve">dobývání </w:t>
            </w:r>
            <w:r>
              <w:rPr>
                <w:spacing w:val="-2"/>
              </w:rPr>
              <w:t>(-0,5</w:t>
            </w:r>
            <w:r w:rsidRPr="000074BA">
              <w:rPr>
                <w:spacing w:val="-2"/>
              </w:rPr>
              <w:t xml:space="preserve"> %) se ceny v tomto období snížily jen mírně a v zásobování vodou a </w:t>
            </w:r>
            <w:r>
              <w:rPr>
                <w:spacing w:val="-2"/>
              </w:rPr>
              <w:t>službách</w:t>
            </w:r>
            <w:r w:rsidRPr="000074BA">
              <w:rPr>
                <w:spacing w:val="-2"/>
              </w:rPr>
              <w:t xml:space="preserve"> souvisejících s odpady ceny o 3,4 % vzrostly. Z jednotlivých zpracovatelů (dle klasifikace produkce) se ceny snížily především výrobcům koksu a rafinovaných ropných produktů a producentům chemických látek a výrobků, tedy těm průmyslovým výrobcům, kteří ropu a ropné produkty přímo zpracovávají.</w:t>
            </w:r>
          </w:p>
          <w:p w:rsidR="00886A8F" w:rsidRPr="001E6B40" w:rsidRDefault="00886A8F" w:rsidP="003C3686">
            <w:pPr>
              <w:pStyle w:val="Textpoznpodarou"/>
              <w:jc w:val="both"/>
              <w:rPr>
                <w:color w:val="1F497D" w:themeColor="text2"/>
              </w:rPr>
            </w:pPr>
          </w:p>
        </w:tc>
      </w:tr>
      <w:tr w:rsidR="00886A8F" w:rsidRPr="007D44C3" w:rsidTr="003C3686">
        <w:tc>
          <w:tcPr>
            <w:tcW w:w="1054" w:type="pct"/>
          </w:tcPr>
          <w:p w:rsidR="00886A8F" w:rsidRPr="00FC7F3F" w:rsidRDefault="00886A8F" w:rsidP="003C3686">
            <w:pPr>
              <w:spacing w:line="240" w:lineRule="auto"/>
              <w:rPr>
                <w:sz w:val="16"/>
                <w:szCs w:val="16"/>
              </w:rPr>
            </w:pPr>
            <w:r w:rsidRPr="00FC7F3F">
              <w:rPr>
                <w:sz w:val="16"/>
                <w:szCs w:val="16"/>
              </w:rPr>
              <w:t>Zatímco v dubnu 2014 stál litr mléka na začátku výrobního řetězce 9,81</w:t>
            </w:r>
            <w:r>
              <w:rPr>
                <w:sz w:val="16"/>
                <w:szCs w:val="16"/>
              </w:rPr>
              <w:t> </w:t>
            </w:r>
            <w:r w:rsidRPr="00FC7F3F">
              <w:rPr>
                <w:sz w:val="16"/>
                <w:szCs w:val="16"/>
              </w:rPr>
              <w:t>korun, v září 2015 se</w:t>
            </w:r>
            <w:r>
              <w:rPr>
                <w:sz w:val="16"/>
                <w:szCs w:val="16"/>
              </w:rPr>
              <w:t> </w:t>
            </w:r>
            <w:r w:rsidRPr="00FC7F3F">
              <w:rPr>
                <w:sz w:val="16"/>
                <w:szCs w:val="16"/>
              </w:rPr>
              <w:t>vykupoval už pouze za</w:t>
            </w:r>
            <w:r>
              <w:rPr>
                <w:sz w:val="16"/>
                <w:szCs w:val="16"/>
              </w:rPr>
              <w:t> </w:t>
            </w:r>
            <w:r w:rsidRPr="00FC7F3F">
              <w:rPr>
                <w:sz w:val="16"/>
                <w:szCs w:val="16"/>
              </w:rPr>
              <w:t>7,14 korun. Cena mléka propadla mezi těmito měsíci o 27,2 %</w:t>
            </w:r>
          </w:p>
        </w:tc>
        <w:tc>
          <w:tcPr>
            <w:tcW w:w="143" w:type="pct"/>
          </w:tcPr>
          <w:p w:rsidR="00886A8F" w:rsidRPr="00045489" w:rsidRDefault="00886A8F" w:rsidP="003C3686">
            <w:pPr>
              <w:pStyle w:val="Textpoznpodarou"/>
              <w:jc w:val="both"/>
              <w:rPr>
                <w:color w:val="1F497D" w:themeColor="text2"/>
              </w:rPr>
            </w:pPr>
          </w:p>
        </w:tc>
        <w:tc>
          <w:tcPr>
            <w:tcW w:w="3803" w:type="pct"/>
          </w:tcPr>
          <w:p w:rsidR="00886A8F" w:rsidRPr="00FC7F3F" w:rsidRDefault="00886A8F" w:rsidP="003C3686">
            <w:pPr>
              <w:pStyle w:val="Textpoznpodarou"/>
              <w:jc w:val="both"/>
              <w:rPr>
                <w:spacing w:val="-2"/>
              </w:rPr>
            </w:pPr>
            <w:r w:rsidRPr="00FC7F3F">
              <w:t>Deflační vývoj se v prvních třech čtvrtletích letošního roku nevyhnul ani zemědělství. Za nižší ceny než před rokem se v tomto období vykupovala jak rostlinná výroba (-7,4 %), tak živočišná výroba (-10,6 %). Zatímco v samotném 3. čtvrtletí ceny rostlinné výroby již mírně vzrostly (+0,7 %), ceny živočišné výroby klesly dokonce výrazněji (-13,9 %), než dopovídalo průměru za první tři kvartály roku 2015. Pokles cen se týkal především jatečných prasat a mléka, lze přitom soudit, že hlavním faktorem – který za tímto stál – byl</w:t>
            </w:r>
            <w:r>
              <w:t xml:space="preserve"> nadbytek produkce. Ten souvisel se</w:t>
            </w:r>
            <w:r w:rsidRPr="00FC7F3F">
              <w:t xml:space="preserve"> zákaz</w:t>
            </w:r>
            <w:r>
              <w:t>em</w:t>
            </w:r>
            <w:r w:rsidRPr="00FC7F3F">
              <w:t xml:space="preserve"> dovozu zemědělských produktů a potravin do Ruské federace. V případě mléka mohlo svoji roli sehrát i zrušení mléčných kvót platné od počátku dubna.</w:t>
            </w:r>
          </w:p>
          <w:p w:rsidR="00886A8F" w:rsidRPr="00045489" w:rsidRDefault="00886A8F" w:rsidP="003C3686">
            <w:pPr>
              <w:pStyle w:val="Textpoznpodarou"/>
              <w:jc w:val="both"/>
              <w:rPr>
                <w:color w:val="1F497D" w:themeColor="text2"/>
                <w:spacing w:val="-2"/>
              </w:rPr>
            </w:pPr>
          </w:p>
        </w:tc>
      </w:tr>
      <w:tr w:rsidR="00886A8F" w:rsidRPr="007D44C3" w:rsidTr="003C3686">
        <w:tc>
          <w:tcPr>
            <w:tcW w:w="1054" w:type="pct"/>
          </w:tcPr>
          <w:p w:rsidR="00886A8F" w:rsidRPr="005819C0" w:rsidRDefault="00886A8F" w:rsidP="003C3686">
            <w:pPr>
              <w:spacing w:line="240" w:lineRule="auto"/>
              <w:rPr>
                <w:sz w:val="16"/>
                <w:szCs w:val="16"/>
              </w:rPr>
            </w:pPr>
            <w:r w:rsidRPr="005819C0">
              <w:rPr>
                <w:sz w:val="16"/>
                <w:szCs w:val="16"/>
              </w:rPr>
              <w:t xml:space="preserve">Vyšší poptávka po stavebních činnostech se promítala do růstu cen stavebních prací i ve 3. čtvrtletí 2015 </w:t>
            </w:r>
          </w:p>
        </w:tc>
        <w:tc>
          <w:tcPr>
            <w:tcW w:w="143" w:type="pct"/>
          </w:tcPr>
          <w:p w:rsidR="00886A8F" w:rsidRPr="00176291" w:rsidRDefault="00886A8F" w:rsidP="003C3686">
            <w:pPr>
              <w:pStyle w:val="Textpoznpodarou"/>
              <w:jc w:val="both"/>
              <w:rPr>
                <w:color w:val="1F497D" w:themeColor="text2"/>
              </w:rPr>
            </w:pPr>
          </w:p>
        </w:tc>
        <w:tc>
          <w:tcPr>
            <w:tcW w:w="3803" w:type="pct"/>
          </w:tcPr>
          <w:p w:rsidR="00886A8F" w:rsidRPr="00FC7F3F" w:rsidRDefault="00886A8F" w:rsidP="003C3686">
            <w:pPr>
              <w:pStyle w:val="Textpoznpodarou"/>
              <w:jc w:val="both"/>
            </w:pPr>
            <w:r w:rsidRPr="00FC7F3F">
              <w:t xml:space="preserve">Produkce stavebních firem se zvýšila v meziročním srovnání i ve 3. čtvrtletí 2015 a šlo výlučně o </w:t>
            </w:r>
            <w:r>
              <w:t>objemnější výstavbu inženýrských děl, jejichž zadavatelem byl veřejný sektor. T</w:t>
            </w:r>
            <w:r w:rsidRPr="00FC7F3F">
              <w:t>en se snažil v průběhu roku 2015 dočerpat co nejvíce finančních prostředků, které byly Evropskou unií České republice přiděleny v rámci programového období 2007–2013. Stavební firmy</w:t>
            </w:r>
            <w:r>
              <w:t>, které byly schopné tyto specializované práce provádět, však neměly k</w:t>
            </w:r>
            <w:r w:rsidRPr="00FC7F3F">
              <w:t xml:space="preserve"> pokrytí </w:t>
            </w:r>
            <w:r>
              <w:t xml:space="preserve">vyšší poptávky </w:t>
            </w:r>
            <w:r w:rsidRPr="00FC7F3F">
              <w:t xml:space="preserve">dostatek kapacit. </w:t>
            </w:r>
            <w:r>
              <w:t>V</w:t>
            </w:r>
            <w:r w:rsidRPr="00FC7F3F">
              <w:t>ykrývaly</w:t>
            </w:r>
            <w:r>
              <w:t xml:space="preserve"> ji</w:t>
            </w:r>
            <w:r w:rsidRPr="00FC7F3F">
              <w:t xml:space="preserve"> přesčasy a rostoucí náklady si kompenzovaly cenami. Ceny stavebních prací se ve 3. čtvrtletí 2015 zvýšily meziročně o 1,4 %, rostly už</w:t>
            </w:r>
            <w:r>
              <w:t> </w:t>
            </w:r>
            <w:r w:rsidRPr="00FC7F3F">
              <w:t>šest čtvrtletí v řadě.</w:t>
            </w:r>
            <w:r>
              <w:t xml:space="preserve"> Nejrychleji narostly ceny kolejových drah (+2,2 %).</w:t>
            </w:r>
          </w:p>
          <w:p w:rsidR="00886A8F" w:rsidRPr="00176291" w:rsidRDefault="00886A8F" w:rsidP="003C3686">
            <w:pPr>
              <w:pStyle w:val="Textpoznpodarou"/>
              <w:jc w:val="both"/>
              <w:rPr>
                <w:color w:val="1F497D" w:themeColor="text2"/>
              </w:rPr>
            </w:pPr>
          </w:p>
        </w:tc>
      </w:tr>
      <w:tr w:rsidR="00886A8F" w:rsidRPr="007D44C3" w:rsidTr="003C3686">
        <w:tc>
          <w:tcPr>
            <w:tcW w:w="1054" w:type="pct"/>
          </w:tcPr>
          <w:p w:rsidR="00886A8F" w:rsidRPr="005819C0" w:rsidRDefault="00886A8F" w:rsidP="003C3686">
            <w:pPr>
              <w:spacing w:line="240" w:lineRule="auto"/>
              <w:rPr>
                <w:sz w:val="16"/>
                <w:szCs w:val="16"/>
              </w:rPr>
            </w:pPr>
            <w:r w:rsidRPr="005819C0">
              <w:rPr>
                <w:sz w:val="16"/>
                <w:szCs w:val="16"/>
              </w:rPr>
              <w:t>Do deflace „sklouzly“ už</w:t>
            </w:r>
            <w:r>
              <w:rPr>
                <w:sz w:val="16"/>
                <w:szCs w:val="16"/>
              </w:rPr>
              <w:t> </w:t>
            </w:r>
            <w:r w:rsidRPr="005819C0">
              <w:rPr>
                <w:sz w:val="16"/>
                <w:szCs w:val="16"/>
              </w:rPr>
              <w:t>i tržní služby</w:t>
            </w:r>
          </w:p>
        </w:tc>
        <w:tc>
          <w:tcPr>
            <w:tcW w:w="143" w:type="pct"/>
          </w:tcPr>
          <w:p w:rsidR="00886A8F" w:rsidRPr="00B45AF2" w:rsidRDefault="00886A8F" w:rsidP="003C3686">
            <w:pPr>
              <w:pStyle w:val="Textpoznpodarou"/>
              <w:jc w:val="both"/>
            </w:pPr>
          </w:p>
        </w:tc>
        <w:tc>
          <w:tcPr>
            <w:tcW w:w="3803" w:type="pct"/>
          </w:tcPr>
          <w:p w:rsidR="00886A8F" w:rsidRPr="005819C0" w:rsidRDefault="00886A8F" w:rsidP="003C3686">
            <w:pPr>
              <w:pStyle w:val="Textpoznpodarou"/>
              <w:jc w:val="both"/>
              <w:rPr>
                <w:spacing w:val="-2"/>
              </w:rPr>
            </w:pPr>
            <w:r w:rsidRPr="005819C0">
              <w:rPr>
                <w:spacing w:val="-2"/>
              </w:rPr>
              <w:t>Pokles meziročních přírůstků cen producentů tržních služeb se ve 3. čtvrtletí 2015 překlopil do deflace. Jestliže ještě v 1. čtvrtletí byly tyto ceny v meziročním srovnání vyšší o 0,3 % a ve 2. čtvrtletí o 0,2 %, ve 3. čtvrtletí se již o 0,2 % snížily.</w:t>
            </w:r>
            <w:r w:rsidRPr="009B6BCB">
              <w:rPr>
                <w:color w:val="1F497D" w:themeColor="text2"/>
                <w:spacing w:val="-2"/>
              </w:rPr>
              <w:t xml:space="preserve"> </w:t>
            </w:r>
            <w:r w:rsidRPr="005819C0">
              <w:rPr>
                <w:spacing w:val="-2"/>
              </w:rPr>
              <w:t xml:space="preserve">Z váhově významnějších </w:t>
            </w:r>
            <w:r>
              <w:rPr>
                <w:spacing w:val="-2"/>
              </w:rPr>
              <w:t>segmentů ceny ve 3. čtvrtletí klesly například v</w:t>
            </w:r>
            <w:r w:rsidRPr="005819C0">
              <w:rPr>
                <w:spacing w:val="-2"/>
              </w:rPr>
              <w:t> pozemní a</w:t>
            </w:r>
            <w:r>
              <w:rPr>
                <w:spacing w:val="-2"/>
              </w:rPr>
              <w:t> potrubní dopravě</w:t>
            </w:r>
            <w:r w:rsidRPr="005819C0">
              <w:rPr>
                <w:spacing w:val="-2"/>
              </w:rPr>
              <w:t xml:space="preserve"> (-1,8 %), kde se ceny snížily vlivem poklesu cen pohonných hmot, dále ceny klesly ve službách v oblasti nemovitostí (-1,2 %), v pojištění a penzijním financování (-0,7 %) nebo například v právních a účetnických službách (-0,9 %).</w:t>
            </w:r>
          </w:p>
          <w:p w:rsidR="00886A8F" w:rsidRPr="000A2CB3" w:rsidRDefault="00886A8F" w:rsidP="003C3686">
            <w:pPr>
              <w:pStyle w:val="Textpoznpodarou"/>
              <w:jc w:val="both"/>
            </w:pPr>
          </w:p>
        </w:tc>
      </w:tr>
      <w:tr w:rsidR="00886A8F" w:rsidRPr="007D44C3" w:rsidTr="003C3686">
        <w:tc>
          <w:tcPr>
            <w:tcW w:w="1054" w:type="pct"/>
          </w:tcPr>
          <w:p w:rsidR="00886A8F" w:rsidRPr="005819C0" w:rsidRDefault="00886A8F" w:rsidP="003C3686">
            <w:pPr>
              <w:spacing w:line="240" w:lineRule="auto"/>
              <w:rPr>
                <w:sz w:val="16"/>
                <w:szCs w:val="16"/>
              </w:rPr>
            </w:pPr>
            <w:r w:rsidRPr="005819C0">
              <w:rPr>
                <w:sz w:val="16"/>
                <w:szCs w:val="16"/>
              </w:rPr>
              <w:t>Ceny dovozu zboží v prvních třech čtvrtletích roku 2015 nižší než před rokem, …</w:t>
            </w:r>
          </w:p>
        </w:tc>
        <w:tc>
          <w:tcPr>
            <w:tcW w:w="143" w:type="pct"/>
          </w:tcPr>
          <w:p w:rsidR="00886A8F" w:rsidRPr="00B45AF2" w:rsidRDefault="00886A8F" w:rsidP="003C3686">
            <w:pPr>
              <w:pStyle w:val="Textpoznpodarou"/>
              <w:jc w:val="both"/>
            </w:pPr>
          </w:p>
        </w:tc>
        <w:tc>
          <w:tcPr>
            <w:tcW w:w="3803" w:type="pct"/>
          </w:tcPr>
          <w:p w:rsidR="00886A8F" w:rsidRPr="00203E05" w:rsidRDefault="00886A8F" w:rsidP="003C3686">
            <w:pPr>
              <w:pStyle w:val="Textpoznpodarou"/>
              <w:jc w:val="both"/>
            </w:pPr>
            <w:r w:rsidRPr="00203E05">
              <w:t>Ceny dovozu zboží byly v lednu až září 2015 v meziročním srovnání nižší v průměru o 1,3 % navzdory tomu, že kurzový vývoj koruny působil v tomto období silně proinflačně. K euru byla koruna sice mírně silnější než před rokem (posílila o 0,5 %), vůči americkému dolaru koruna však ztrácela více než pětinu své hodnoty (oslabila o 21,0 %). Snížily se především dovozní ceny minerálních paliv (-22,9 %), šlo přitom zejména o důsledek hlubokého poklesu ceny ropy ve druhé polovině roku 2014, za nižší ceny se však do ČR dovážely i ostatní suroviny (-9,2 %) a chemikálie (-2,2 %). Relativně vysoký přírůstek dovozních cen se dotýkal strojů a dopravních prostředků (+3,4 %) a průmyslového spotřebního zboží (+4,4 %).</w:t>
            </w:r>
          </w:p>
        </w:tc>
      </w:tr>
      <w:tr w:rsidR="00886A8F" w:rsidRPr="007D44C3" w:rsidTr="003C3686">
        <w:tc>
          <w:tcPr>
            <w:tcW w:w="1054" w:type="pct"/>
          </w:tcPr>
          <w:p w:rsidR="00886A8F" w:rsidRPr="008F1BCF" w:rsidRDefault="00886A8F" w:rsidP="003C3686">
            <w:pPr>
              <w:spacing w:line="240" w:lineRule="auto"/>
              <w:rPr>
                <w:color w:val="1F497D" w:themeColor="text2"/>
                <w:sz w:val="16"/>
                <w:szCs w:val="16"/>
              </w:rPr>
            </w:pPr>
            <w:r w:rsidRPr="005819C0">
              <w:rPr>
                <w:sz w:val="16"/>
                <w:szCs w:val="16"/>
              </w:rPr>
              <w:lastRenderedPageBreak/>
              <w:t>… totéž však platilo i pro ceny vývozu. Klesly v průměru o 1,2 % ….</w:t>
            </w:r>
          </w:p>
        </w:tc>
        <w:tc>
          <w:tcPr>
            <w:tcW w:w="143" w:type="pct"/>
          </w:tcPr>
          <w:p w:rsidR="00886A8F" w:rsidRPr="008F1BCF" w:rsidRDefault="00886A8F" w:rsidP="003C3686">
            <w:pPr>
              <w:pStyle w:val="Textpoznpodarou"/>
              <w:jc w:val="both"/>
              <w:rPr>
                <w:color w:val="1F497D" w:themeColor="text2"/>
              </w:rPr>
            </w:pPr>
          </w:p>
        </w:tc>
        <w:tc>
          <w:tcPr>
            <w:tcW w:w="3803" w:type="pct"/>
          </w:tcPr>
          <w:p w:rsidR="00886A8F" w:rsidRPr="005819C0" w:rsidRDefault="00886A8F" w:rsidP="003C3686">
            <w:pPr>
              <w:pStyle w:val="Textpoznpodarou"/>
              <w:jc w:val="both"/>
            </w:pPr>
            <w:r w:rsidRPr="005819C0">
              <w:t>Také ceny vývozu zboží byly v prvních třech čtvrtletích roku 2015 v meziročním srovnání nižší (</w:t>
            </w:r>
            <w:r>
              <w:t xml:space="preserve">v </w:t>
            </w:r>
            <w:r w:rsidRPr="005819C0">
              <w:t>průměru o 1,2 %), na rozdíl od dovozu se však pokles cen dotýkal širšího spektra výrobků. Za ceny pod úrovní roku 2014 se do zahraničí vyvážela minerální paliva, ostatní suroviny, potraviny a živá zvířata, chemikálie, živočišné a rostlinné oleje i polotovary. Ani vývoj vývoz</w:t>
            </w:r>
            <w:r>
              <w:t>ních</w:t>
            </w:r>
            <w:r w:rsidRPr="005819C0">
              <w:t xml:space="preserve"> cen strojů a dopravních prostředků a průmyslového spotřebního zboží nebyl z pohledu exportérů nikterak příznivý, neboť pouze stagnovaly. Za vyšší ceny než před rokem se do zahraničí vyvážely pouze nápoje a tabák (+3,3 %). Jde o výrobky, které se na celkovém vývozu zboží z ČR podílí</w:t>
            </w:r>
            <w:r>
              <w:t xml:space="preserve"> dlouhodobě</w:t>
            </w:r>
            <w:r w:rsidRPr="005819C0">
              <w:t xml:space="preserve"> pouze necelým jedním procentem.</w:t>
            </w:r>
          </w:p>
          <w:p w:rsidR="00886A8F" w:rsidRPr="008F1BCF" w:rsidRDefault="00886A8F" w:rsidP="003C3686">
            <w:pPr>
              <w:pStyle w:val="Textpoznpodarou"/>
              <w:jc w:val="both"/>
              <w:rPr>
                <w:color w:val="1F497D" w:themeColor="text2"/>
              </w:rPr>
            </w:pPr>
          </w:p>
        </w:tc>
      </w:tr>
      <w:tr w:rsidR="00886A8F" w:rsidRPr="007D44C3" w:rsidTr="003C3686">
        <w:tc>
          <w:tcPr>
            <w:tcW w:w="1054" w:type="pct"/>
          </w:tcPr>
          <w:p w:rsidR="00886A8F" w:rsidRPr="005819C0" w:rsidRDefault="00886A8F" w:rsidP="003C3686">
            <w:pPr>
              <w:spacing w:line="240" w:lineRule="auto"/>
              <w:rPr>
                <w:sz w:val="16"/>
                <w:szCs w:val="16"/>
              </w:rPr>
            </w:pPr>
            <w:r w:rsidRPr="005819C0">
              <w:rPr>
                <w:sz w:val="16"/>
                <w:szCs w:val="16"/>
              </w:rPr>
              <w:t>… a směnné relace dosáhly hodnoty 100,1 %</w:t>
            </w:r>
          </w:p>
        </w:tc>
        <w:tc>
          <w:tcPr>
            <w:tcW w:w="143" w:type="pct"/>
          </w:tcPr>
          <w:p w:rsidR="00886A8F" w:rsidRPr="005819C0" w:rsidRDefault="00886A8F" w:rsidP="003C3686">
            <w:pPr>
              <w:pStyle w:val="Textpoznpodarou"/>
              <w:jc w:val="both"/>
            </w:pPr>
          </w:p>
        </w:tc>
        <w:tc>
          <w:tcPr>
            <w:tcW w:w="3803" w:type="pct"/>
          </w:tcPr>
          <w:p w:rsidR="00886A8F" w:rsidRPr="008F1BCF" w:rsidRDefault="00886A8F" w:rsidP="003C3686">
            <w:pPr>
              <w:pStyle w:val="Textpoznpodarou"/>
              <w:jc w:val="both"/>
              <w:rPr>
                <w:color w:val="1F497D" w:themeColor="text2"/>
              </w:rPr>
            </w:pPr>
            <w:r>
              <w:t>Nepatrně</w:t>
            </w:r>
            <w:r w:rsidRPr="005819C0">
              <w:t xml:space="preserve"> hlubší pokles cen dovozu</w:t>
            </w:r>
            <w:r>
              <w:t xml:space="preserve"> zboží</w:t>
            </w:r>
            <w:r w:rsidRPr="005819C0">
              <w:t xml:space="preserve"> v porovnání se snížením cen vývozu </w:t>
            </w:r>
            <w:r w:rsidRPr="005819C0">
              <w:rPr>
                <w:spacing w:val="-4"/>
              </w:rPr>
              <w:t xml:space="preserve">znamenal, že směnné relace </w:t>
            </w:r>
            <w:r>
              <w:rPr>
                <w:spacing w:val="-4"/>
              </w:rPr>
              <w:t>byly</w:t>
            </w:r>
            <w:r w:rsidRPr="005819C0">
              <w:rPr>
                <w:spacing w:val="-4"/>
              </w:rPr>
              <w:t xml:space="preserve"> v lednu až září 2015</w:t>
            </w:r>
            <w:r>
              <w:rPr>
                <w:spacing w:val="-4"/>
              </w:rPr>
              <w:t xml:space="preserve"> mírně kladné</w:t>
            </w:r>
            <w:r w:rsidRPr="005819C0">
              <w:rPr>
                <w:spacing w:val="-4"/>
              </w:rPr>
              <w:t xml:space="preserve"> </w:t>
            </w:r>
            <w:r>
              <w:rPr>
                <w:spacing w:val="-4"/>
              </w:rPr>
              <w:t>(</w:t>
            </w:r>
            <w:r w:rsidRPr="005819C0">
              <w:rPr>
                <w:spacing w:val="-4"/>
              </w:rPr>
              <w:t>100,1 %</w:t>
            </w:r>
            <w:r>
              <w:rPr>
                <w:spacing w:val="-4"/>
              </w:rPr>
              <w:t>)</w:t>
            </w:r>
            <w:r w:rsidRPr="005819C0">
              <w:rPr>
                <w:spacing w:val="-4"/>
              </w:rPr>
              <w:t xml:space="preserve">. </w:t>
            </w:r>
            <w:r w:rsidRPr="005819C0">
              <w:t>Podílel se na tom cenový vývoj v 1. čtvrtletí (101,0 %), protože ve 2. i 3. čtvrtletí 2015 byly směnné relace záporné (99,5 %, 99,9 %).</w:t>
            </w:r>
          </w:p>
        </w:tc>
      </w:tr>
    </w:tbl>
    <w:p w:rsidR="00886A8F" w:rsidRDefault="00886A8F" w:rsidP="007C605B"/>
    <w:tbl>
      <w:tblPr>
        <w:tblW w:w="5000" w:type="pct"/>
        <w:tblLook w:val="04A0"/>
      </w:tblPr>
      <w:tblGrid>
        <w:gridCol w:w="1105"/>
        <w:gridCol w:w="3822"/>
        <w:gridCol w:w="1135"/>
        <w:gridCol w:w="3792"/>
      </w:tblGrid>
      <w:tr w:rsidR="00886A8F" w:rsidRPr="005819C0" w:rsidTr="003C3686">
        <w:tc>
          <w:tcPr>
            <w:tcW w:w="560" w:type="pct"/>
          </w:tcPr>
          <w:p w:rsidR="00886A8F" w:rsidRPr="005819C0" w:rsidRDefault="00886A8F" w:rsidP="003C3686">
            <w:pPr>
              <w:pStyle w:val="Textpoznpodarou"/>
            </w:pPr>
            <w:r w:rsidRPr="005819C0">
              <w:t>Graf č. 11</w:t>
            </w:r>
          </w:p>
        </w:tc>
        <w:tc>
          <w:tcPr>
            <w:tcW w:w="1940" w:type="pct"/>
          </w:tcPr>
          <w:p w:rsidR="00886A8F" w:rsidRPr="005819C0" w:rsidRDefault="00886A8F" w:rsidP="003C3686">
            <w:pPr>
              <w:pStyle w:val="Textpoznpodarou"/>
            </w:pPr>
            <w:r w:rsidRPr="005819C0">
              <w:rPr>
                <w:b/>
              </w:rPr>
              <w:t>Spotřebitelské ceny jednotlivých typů domácností</w:t>
            </w:r>
            <w:r w:rsidRPr="005819C0">
              <w:t xml:space="preserve"> (y/y v %)</w:t>
            </w:r>
          </w:p>
        </w:tc>
        <w:tc>
          <w:tcPr>
            <w:tcW w:w="576" w:type="pct"/>
          </w:tcPr>
          <w:p w:rsidR="00886A8F" w:rsidRPr="005819C0" w:rsidRDefault="00886A8F" w:rsidP="003C3686">
            <w:pPr>
              <w:pStyle w:val="Textpoznpodarou"/>
            </w:pPr>
            <w:r w:rsidRPr="005819C0">
              <w:t>Graf č. 12</w:t>
            </w:r>
          </w:p>
        </w:tc>
        <w:tc>
          <w:tcPr>
            <w:tcW w:w="1924" w:type="pct"/>
          </w:tcPr>
          <w:p w:rsidR="00886A8F" w:rsidRPr="005819C0" w:rsidRDefault="00886A8F" w:rsidP="003C3686">
            <w:pPr>
              <w:pStyle w:val="Textpoznpodarou"/>
            </w:pPr>
            <w:r w:rsidRPr="005819C0">
              <w:rPr>
                <w:b/>
              </w:rPr>
              <w:t>Ceny ve vybraných oddílech indexu spotřebitelských cen</w:t>
            </w:r>
            <w:r w:rsidRPr="005819C0">
              <w:t xml:space="preserve"> (y/y v %)</w:t>
            </w:r>
          </w:p>
        </w:tc>
      </w:tr>
      <w:tr w:rsidR="00886A8F" w:rsidRPr="005819C0" w:rsidTr="003C3686">
        <w:tc>
          <w:tcPr>
            <w:tcW w:w="2499" w:type="pct"/>
            <w:gridSpan w:val="2"/>
          </w:tcPr>
          <w:p w:rsidR="00886A8F" w:rsidRPr="005819C0" w:rsidRDefault="00E21CAB" w:rsidP="003C3686">
            <w:pPr>
              <w:pStyle w:val="Textpoznpodarou"/>
              <w:jc w:val="both"/>
            </w:pPr>
            <w:r>
              <w:rPr>
                <w:noProof/>
              </w:rPr>
              <w:pict>
                <v:shape id="_x0000_i1035" type="#_x0000_t75" style="width:237pt;height:187.5pt;visibility:visible;mso-wrap-style:square">
                  <v:imagedata r:id="rId24" o:title=""/>
                </v:shape>
              </w:pict>
            </w:r>
          </w:p>
        </w:tc>
        <w:tc>
          <w:tcPr>
            <w:tcW w:w="2501" w:type="pct"/>
            <w:gridSpan w:val="2"/>
          </w:tcPr>
          <w:p w:rsidR="00886A8F" w:rsidRPr="005819C0" w:rsidRDefault="00E21CAB" w:rsidP="003C3686">
            <w:pPr>
              <w:pStyle w:val="Textpoznpodarou"/>
              <w:jc w:val="both"/>
            </w:pPr>
            <w:r>
              <w:rPr>
                <w:noProof/>
              </w:rPr>
              <w:pict>
                <v:shape id="_x0000_i1036" type="#_x0000_t75" style="width:237pt;height:187.5pt;visibility:visible;mso-wrap-style:square">
                  <v:imagedata r:id="rId25" o:title=""/>
                </v:shape>
              </w:pict>
            </w:r>
          </w:p>
        </w:tc>
      </w:tr>
      <w:tr w:rsidR="00886A8F" w:rsidRPr="005819C0" w:rsidTr="003C3686">
        <w:tc>
          <w:tcPr>
            <w:tcW w:w="5000" w:type="pct"/>
            <w:gridSpan w:val="4"/>
          </w:tcPr>
          <w:p w:rsidR="00886A8F" w:rsidRPr="005819C0" w:rsidRDefault="00886A8F" w:rsidP="003C3686">
            <w:pPr>
              <w:pStyle w:val="Textpoznpodarou"/>
              <w:jc w:val="right"/>
              <w:rPr>
                <w:noProof/>
              </w:rPr>
            </w:pPr>
            <w:r w:rsidRPr="005819C0">
              <w:rPr>
                <w:sz w:val="18"/>
                <w:szCs w:val="18"/>
              </w:rPr>
              <w:t>Zdroj: ČSÚ</w:t>
            </w:r>
          </w:p>
        </w:tc>
      </w:tr>
    </w:tbl>
    <w:p w:rsidR="00886A8F" w:rsidRDefault="00886A8F" w:rsidP="007C605B"/>
    <w:tbl>
      <w:tblPr>
        <w:tblW w:w="5000" w:type="pct"/>
        <w:tblLook w:val="04A0"/>
      </w:tblPr>
      <w:tblGrid>
        <w:gridCol w:w="1105"/>
        <w:gridCol w:w="3822"/>
        <w:gridCol w:w="710"/>
        <w:gridCol w:w="4217"/>
      </w:tblGrid>
      <w:tr w:rsidR="00886A8F" w:rsidRPr="005819C0" w:rsidTr="00886A8F">
        <w:tc>
          <w:tcPr>
            <w:tcW w:w="560" w:type="pct"/>
          </w:tcPr>
          <w:p w:rsidR="00886A8F" w:rsidRPr="005819C0" w:rsidRDefault="00886A8F" w:rsidP="003C3686">
            <w:pPr>
              <w:pStyle w:val="Textpoznpodarou"/>
              <w:rPr>
                <w:lang w:eastAsia="en-US"/>
              </w:rPr>
            </w:pPr>
            <w:r w:rsidRPr="005819C0">
              <w:rPr>
                <w:lang w:eastAsia="en-US"/>
              </w:rPr>
              <w:t>Graf č. 13</w:t>
            </w:r>
          </w:p>
        </w:tc>
        <w:tc>
          <w:tcPr>
            <w:tcW w:w="1940" w:type="pct"/>
          </w:tcPr>
          <w:p w:rsidR="00886A8F" w:rsidRPr="005819C0" w:rsidRDefault="00886A8F" w:rsidP="003C3686">
            <w:pPr>
              <w:pStyle w:val="Textpoznpodarou"/>
              <w:rPr>
                <w:lang w:eastAsia="en-US"/>
              </w:rPr>
            </w:pPr>
            <w:r w:rsidRPr="00886A8F">
              <w:rPr>
                <w:b/>
                <w:lang w:eastAsia="en-US"/>
              </w:rPr>
              <w:t>Deflátory</w:t>
            </w:r>
            <w:r w:rsidRPr="005819C0">
              <w:rPr>
                <w:lang w:eastAsia="en-US"/>
              </w:rPr>
              <w:t xml:space="preserve"> (očištěno o sezónní a kalendářní vlivy, y/y v %)</w:t>
            </w:r>
          </w:p>
        </w:tc>
        <w:tc>
          <w:tcPr>
            <w:tcW w:w="360" w:type="pct"/>
          </w:tcPr>
          <w:p w:rsidR="00886A8F" w:rsidRPr="005819C0" w:rsidRDefault="00886A8F" w:rsidP="003C3686">
            <w:pPr>
              <w:pStyle w:val="Textpoznpodarou"/>
              <w:rPr>
                <w:lang w:eastAsia="en-US"/>
              </w:rPr>
            </w:pPr>
            <w:r w:rsidRPr="005819C0">
              <w:rPr>
                <w:lang w:eastAsia="en-US"/>
              </w:rPr>
              <w:t>Graf č. 14</w:t>
            </w:r>
          </w:p>
        </w:tc>
        <w:tc>
          <w:tcPr>
            <w:tcW w:w="2140" w:type="pct"/>
          </w:tcPr>
          <w:p w:rsidR="00886A8F" w:rsidRPr="005819C0" w:rsidRDefault="00886A8F" w:rsidP="003C3686">
            <w:pPr>
              <w:pStyle w:val="Textpoznpodarou"/>
              <w:rPr>
                <w:lang w:eastAsia="en-US"/>
              </w:rPr>
            </w:pPr>
            <w:r w:rsidRPr="00886A8F">
              <w:rPr>
                <w:b/>
                <w:lang w:eastAsia="en-US"/>
              </w:rPr>
              <w:t>Ceny výrobců</w:t>
            </w:r>
            <w:r w:rsidRPr="005819C0">
              <w:rPr>
                <w:lang w:eastAsia="en-US"/>
              </w:rPr>
              <w:t xml:space="preserve"> (y/y v %, ceny v zemědělství na pravé ose, ostatní na levé ose)</w:t>
            </w:r>
          </w:p>
        </w:tc>
      </w:tr>
      <w:tr w:rsidR="00886A8F" w:rsidRPr="005819C0" w:rsidTr="00886A8F">
        <w:tc>
          <w:tcPr>
            <w:tcW w:w="2500" w:type="pct"/>
            <w:gridSpan w:val="2"/>
          </w:tcPr>
          <w:p w:rsidR="00886A8F" w:rsidRPr="005819C0" w:rsidRDefault="00E21CAB" w:rsidP="00886A8F">
            <w:pPr>
              <w:pStyle w:val="Textpoznpodarou"/>
              <w:jc w:val="both"/>
              <w:rPr>
                <w:lang w:eastAsia="en-US"/>
              </w:rPr>
            </w:pPr>
            <w:r>
              <w:rPr>
                <w:noProof/>
              </w:rPr>
              <w:pict>
                <v:shape id="_x0000_i1037" type="#_x0000_t75" style="width:237pt;height:187.5pt;visibility:visible;mso-wrap-style:square">
                  <v:imagedata r:id="rId26" o:title=""/>
                </v:shape>
              </w:pict>
            </w:r>
          </w:p>
        </w:tc>
        <w:tc>
          <w:tcPr>
            <w:tcW w:w="2500" w:type="pct"/>
            <w:gridSpan w:val="2"/>
          </w:tcPr>
          <w:p w:rsidR="00886A8F" w:rsidRPr="005819C0" w:rsidRDefault="00E21CAB" w:rsidP="00886A8F">
            <w:pPr>
              <w:pStyle w:val="Textpoznpodarou"/>
              <w:jc w:val="both"/>
              <w:rPr>
                <w:lang w:eastAsia="en-US"/>
              </w:rPr>
            </w:pPr>
            <w:r>
              <w:rPr>
                <w:noProof/>
              </w:rPr>
              <w:pict>
                <v:shape id="_x0000_i1038" type="#_x0000_t75" style="width:237pt;height:186pt;visibility:visible;mso-wrap-style:square">
                  <v:imagedata r:id="rId27" o:title=""/>
                </v:shape>
              </w:pict>
            </w:r>
          </w:p>
        </w:tc>
      </w:tr>
      <w:tr w:rsidR="00886A8F" w:rsidRPr="005819C0" w:rsidTr="00886A8F">
        <w:tc>
          <w:tcPr>
            <w:tcW w:w="5000" w:type="pct"/>
            <w:gridSpan w:val="4"/>
          </w:tcPr>
          <w:p w:rsidR="00886A8F" w:rsidRPr="00886A8F" w:rsidRDefault="00886A8F" w:rsidP="00886A8F">
            <w:pPr>
              <w:pStyle w:val="Textpoznpodarou"/>
              <w:jc w:val="right"/>
              <w:rPr>
                <w:sz w:val="18"/>
                <w:szCs w:val="18"/>
                <w:lang w:eastAsia="en-US"/>
              </w:rPr>
            </w:pPr>
            <w:r w:rsidRPr="00886A8F">
              <w:rPr>
                <w:sz w:val="18"/>
                <w:szCs w:val="18"/>
                <w:lang w:eastAsia="en-US"/>
              </w:rPr>
              <w:t>Zdroj: ČSÚ</w:t>
            </w:r>
          </w:p>
        </w:tc>
      </w:tr>
    </w:tbl>
    <w:p w:rsidR="00886A8F" w:rsidRDefault="00886A8F" w:rsidP="007C605B"/>
    <w:p w:rsidR="00886A8F" w:rsidRDefault="00886A8F" w:rsidP="007C605B"/>
    <w:p w:rsidR="00886A8F" w:rsidRDefault="00886A8F" w:rsidP="007C605B"/>
    <w:p w:rsidR="00886A8F" w:rsidRDefault="00886A8F" w:rsidP="007C605B"/>
    <w:p w:rsidR="00886A8F" w:rsidRDefault="00886A8F" w:rsidP="007C605B"/>
    <w:p w:rsidR="007D4281" w:rsidRPr="000732DB" w:rsidRDefault="007D4281" w:rsidP="006D142E">
      <w:pPr>
        <w:pStyle w:val="Nadpis1"/>
        <w:numPr>
          <w:ilvl w:val="0"/>
          <w:numId w:val="3"/>
        </w:numPr>
        <w:jc w:val="both"/>
      </w:pPr>
      <w:bookmarkStart w:id="8" w:name="_Toc437874299"/>
      <w:r>
        <w:lastRenderedPageBreak/>
        <w:t>Trh práce</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7"/>
        <w:gridCol w:w="282"/>
        <w:gridCol w:w="7495"/>
      </w:tblGrid>
      <w:tr w:rsidR="00886A8F" w:rsidRPr="00C66323" w:rsidTr="003C3686">
        <w:tc>
          <w:tcPr>
            <w:tcW w:w="1054" w:type="pct"/>
            <w:tcBorders>
              <w:top w:val="nil"/>
              <w:left w:val="nil"/>
              <w:bottom w:val="nil"/>
              <w:right w:val="nil"/>
            </w:tcBorders>
          </w:tcPr>
          <w:p w:rsidR="00886A8F" w:rsidRPr="00C66323" w:rsidRDefault="00886A8F" w:rsidP="003C3686">
            <w:pPr>
              <w:spacing w:line="240" w:lineRule="auto"/>
              <w:rPr>
                <w:sz w:val="16"/>
                <w:szCs w:val="16"/>
              </w:rPr>
            </w:pPr>
            <w:r w:rsidRPr="00C66323">
              <w:rPr>
                <w:sz w:val="16"/>
                <w:szCs w:val="16"/>
              </w:rPr>
              <w:t>Silný růst ekonomiky ČR vylepšoval situaci na trhu práce</w:t>
            </w:r>
          </w:p>
        </w:tc>
        <w:tc>
          <w:tcPr>
            <w:tcW w:w="143" w:type="pct"/>
            <w:tcBorders>
              <w:top w:val="nil"/>
              <w:left w:val="nil"/>
              <w:bottom w:val="nil"/>
              <w:right w:val="nil"/>
            </w:tcBorders>
          </w:tcPr>
          <w:p w:rsidR="00886A8F" w:rsidRPr="00C66323" w:rsidRDefault="00886A8F" w:rsidP="003C3686">
            <w:pPr>
              <w:pStyle w:val="Textpoznpodarou"/>
              <w:jc w:val="both"/>
            </w:pPr>
          </w:p>
        </w:tc>
        <w:tc>
          <w:tcPr>
            <w:tcW w:w="3803" w:type="pct"/>
            <w:tcBorders>
              <w:top w:val="nil"/>
              <w:left w:val="nil"/>
              <w:bottom w:val="nil"/>
              <w:right w:val="nil"/>
            </w:tcBorders>
          </w:tcPr>
          <w:p w:rsidR="00886A8F" w:rsidRPr="00C66323" w:rsidRDefault="00886A8F" w:rsidP="003C3686">
            <w:pPr>
              <w:pStyle w:val="Textpoznpodarou"/>
              <w:jc w:val="both"/>
            </w:pPr>
            <w:r w:rsidRPr="00C66323">
              <w:t>Situace na trhu práce byla v prvních třech čtvrtletích roku 2015 velmi příznivá. Reflektovala silný růst ekonomiky ČR. Celková zaměstnanost</w:t>
            </w:r>
            <w:r>
              <w:t xml:space="preserve"> se</w:t>
            </w:r>
            <w:r w:rsidRPr="00C66323">
              <w:t xml:space="preserve"> meziročně </w:t>
            </w:r>
            <w:r>
              <w:t>zvyšovala</w:t>
            </w:r>
            <w:r w:rsidRPr="00C66323">
              <w:t xml:space="preserve">, její struktura se přitom měnila ve prospěch počtu zaměstnanců na úkor sebezaměstnaných. Počty volných pracovních míst překonaly ve 3. čtvrtletí již hranici 100 tisíc. V porovnání se stejným obdobím loňského roku ubylo osob, </w:t>
            </w:r>
            <w:r w:rsidRPr="00C66323">
              <w:rPr>
                <w:spacing w:val="-4"/>
              </w:rPr>
              <w:t>které hledaly práci, zmenšil se i jejich podíl na celkové pracovní síle. Nominální</w:t>
            </w:r>
            <w:r w:rsidRPr="00C66323">
              <w:t xml:space="preserve"> mzdy </w:t>
            </w:r>
            <w:r w:rsidRPr="00C66323">
              <w:rPr>
                <w:spacing w:val="-4"/>
              </w:rPr>
              <w:t xml:space="preserve">rostly téměř v celé ekonomice, přírůstek </w:t>
            </w:r>
            <w:r>
              <w:rPr>
                <w:spacing w:val="-4"/>
              </w:rPr>
              <w:t>průměrné mzdy</w:t>
            </w:r>
            <w:r w:rsidRPr="00C66323">
              <w:rPr>
                <w:spacing w:val="-4"/>
              </w:rPr>
              <w:t xml:space="preserve"> </w:t>
            </w:r>
            <w:r>
              <w:rPr>
                <w:spacing w:val="-4"/>
              </w:rPr>
              <w:t>ve</w:t>
            </w:r>
            <w:r w:rsidRPr="00C66323">
              <w:rPr>
                <w:spacing w:val="-4"/>
              </w:rPr>
              <w:t xml:space="preserve"> 3. čtvrtletí se přiblížil 4</w:t>
            </w:r>
            <w:r w:rsidRPr="00C66323">
              <w:t xml:space="preserve"> %.</w:t>
            </w:r>
          </w:p>
          <w:p w:rsidR="00886A8F" w:rsidRPr="00C66323" w:rsidRDefault="00886A8F" w:rsidP="003C3686">
            <w:pPr>
              <w:pStyle w:val="Textpoznpodarou"/>
              <w:jc w:val="both"/>
              <w:rPr>
                <w:sz w:val="18"/>
                <w:szCs w:val="18"/>
              </w:rPr>
            </w:pPr>
          </w:p>
        </w:tc>
      </w:tr>
      <w:tr w:rsidR="00886A8F" w:rsidRPr="0002540B" w:rsidTr="003C3686">
        <w:tc>
          <w:tcPr>
            <w:tcW w:w="1054" w:type="pct"/>
            <w:tcBorders>
              <w:top w:val="nil"/>
              <w:left w:val="nil"/>
              <w:bottom w:val="nil"/>
              <w:right w:val="nil"/>
            </w:tcBorders>
          </w:tcPr>
          <w:p w:rsidR="00886A8F" w:rsidRPr="00C66323" w:rsidRDefault="00886A8F" w:rsidP="003C3686">
            <w:pPr>
              <w:spacing w:line="240" w:lineRule="auto"/>
              <w:rPr>
                <w:sz w:val="16"/>
                <w:szCs w:val="16"/>
              </w:rPr>
            </w:pPr>
            <w:r w:rsidRPr="00C66323">
              <w:rPr>
                <w:sz w:val="16"/>
                <w:szCs w:val="16"/>
              </w:rPr>
              <w:t>Celková zaměstnanost stoupla v</w:t>
            </w:r>
            <w:r>
              <w:rPr>
                <w:sz w:val="16"/>
                <w:szCs w:val="16"/>
              </w:rPr>
              <w:t xml:space="preserve">e 3. čtvrtletí </w:t>
            </w:r>
            <w:r w:rsidRPr="00C66323">
              <w:rPr>
                <w:sz w:val="16"/>
                <w:szCs w:val="16"/>
              </w:rPr>
              <w:t xml:space="preserve">2015 meziročně o 1,2 %, … </w:t>
            </w:r>
          </w:p>
        </w:tc>
        <w:tc>
          <w:tcPr>
            <w:tcW w:w="143" w:type="pct"/>
            <w:tcBorders>
              <w:top w:val="nil"/>
              <w:left w:val="nil"/>
              <w:bottom w:val="nil"/>
              <w:right w:val="nil"/>
            </w:tcBorders>
          </w:tcPr>
          <w:p w:rsidR="00886A8F" w:rsidRPr="005C03D0" w:rsidRDefault="00886A8F" w:rsidP="003C3686">
            <w:pPr>
              <w:pStyle w:val="Textpoznpodarou"/>
              <w:jc w:val="both"/>
            </w:pPr>
          </w:p>
        </w:tc>
        <w:tc>
          <w:tcPr>
            <w:tcW w:w="3803" w:type="pct"/>
            <w:tcBorders>
              <w:top w:val="nil"/>
              <w:left w:val="nil"/>
              <w:bottom w:val="nil"/>
              <w:right w:val="nil"/>
            </w:tcBorders>
          </w:tcPr>
          <w:p w:rsidR="00886A8F" w:rsidRPr="00C66323" w:rsidRDefault="00886A8F" w:rsidP="003C3686">
            <w:pPr>
              <w:pStyle w:val="Textpoznpodarou"/>
              <w:jc w:val="both"/>
            </w:pPr>
            <w:r w:rsidRPr="00C66323">
              <w:t>Celková zaměstnanost</w:t>
            </w:r>
            <w:r w:rsidRPr="00C66323">
              <w:rPr>
                <w:rStyle w:val="Znakapoznpodarou"/>
              </w:rPr>
              <w:footnoteReference w:id="19"/>
            </w:r>
            <w:r w:rsidRPr="00C66323">
              <w:t xml:space="preserve"> byla v prvních třech čtvrtletích roku 2015 o 1,2 % vyšší než ve stejném období roku 2014. Stejný přírůstek zaměstnanosti přineslo i samotné 3. čtvrtletí. Práci mělo v lednu až září v průměru 5,168 mil. lidí, zaměstnanost byla nejvyšší od roku 2008.</w:t>
            </w:r>
          </w:p>
          <w:p w:rsidR="00886A8F" w:rsidRPr="00886A8F" w:rsidRDefault="00886A8F" w:rsidP="003C3686">
            <w:pPr>
              <w:pStyle w:val="Textpoznpodarou"/>
              <w:jc w:val="both"/>
              <w:rPr>
                <w:sz w:val="18"/>
                <w:szCs w:val="18"/>
              </w:rPr>
            </w:pPr>
          </w:p>
        </w:tc>
      </w:tr>
      <w:tr w:rsidR="00886A8F" w:rsidRPr="0002540B" w:rsidTr="003C3686">
        <w:tc>
          <w:tcPr>
            <w:tcW w:w="1054" w:type="pct"/>
            <w:tcBorders>
              <w:top w:val="nil"/>
              <w:left w:val="nil"/>
              <w:bottom w:val="nil"/>
              <w:right w:val="nil"/>
            </w:tcBorders>
          </w:tcPr>
          <w:p w:rsidR="00886A8F" w:rsidRPr="00C66323" w:rsidRDefault="00886A8F" w:rsidP="003C3686">
            <w:pPr>
              <w:spacing w:line="240" w:lineRule="auto"/>
              <w:rPr>
                <w:sz w:val="16"/>
                <w:szCs w:val="16"/>
              </w:rPr>
            </w:pPr>
            <w:r w:rsidRPr="00C66323">
              <w:rPr>
                <w:sz w:val="16"/>
                <w:szCs w:val="16"/>
              </w:rPr>
              <w:t>…což znamenalo, že trh práce absorboval 60,6 tis. osob</w:t>
            </w:r>
          </w:p>
        </w:tc>
        <w:tc>
          <w:tcPr>
            <w:tcW w:w="143" w:type="pct"/>
            <w:tcBorders>
              <w:top w:val="nil"/>
              <w:left w:val="nil"/>
              <w:bottom w:val="nil"/>
              <w:right w:val="nil"/>
            </w:tcBorders>
          </w:tcPr>
          <w:p w:rsidR="00886A8F" w:rsidRPr="005C03D0" w:rsidRDefault="00886A8F" w:rsidP="003C3686">
            <w:pPr>
              <w:pStyle w:val="Textpoznpodarou"/>
              <w:jc w:val="both"/>
            </w:pPr>
          </w:p>
        </w:tc>
        <w:tc>
          <w:tcPr>
            <w:tcW w:w="3803" w:type="pct"/>
            <w:tcBorders>
              <w:top w:val="nil"/>
              <w:left w:val="nil"/>
              <w:bottom w:val="nil"/>
              <w:right w:val="nil"/>
            </w:tcBorders>
          </w:tcPr>
          <w:p w:rsidR="00886A8F" w:rsidRPr="004008BC" w:rsidRDefault="00886A8F" w:rsidP="003C3686">
            <w:pPr>
              <w:pStyle w:val="Textpoznpodarou"/>
              <w:jc w:val="both"/>
            </w:pPr>
            <w:r w:rsidRPr="004008BC">
              <w:t>Mezi 3. čtvrtletím 2014 a 3. čtvrtletím 2015 trh práce absorboval 60,6 tis. osob. Nejvíce z nich nalezlo uplatnění v odvětví zahrnující obchod, dopravu, ubytování a pohostinství (+22,6 tis.). Počet pracujících ve zpracovatelském průmyslu narostl o 21,0 tis., samotných zaměstnanců přibylo v tomto odvětví dokonce 28,7 tis. V případě nárůstu počtu zaměstnanců je třeba ale dodat, že šlo pouze o</w:t>
            </w:r>
            <w:r>
              <w:t> </w:t>
            </w:r>
            <w:r w:rsidRPr="004008BC">
              <w:t xml:space="preserve">pracovníky, které firmy přijaly tzv. napřímo. Agenturní </w:t>
            </w:r>
            <w:r>
              <w:t>zaměstnanci</w:t>
            </w:r>
            <w:r w:rsidRPr="004008BC">
              <w:t xml:space="preserve"> totiž figurují v odvětví profesních, vědeckých, technických a administrativních činností.</w:t>
            </w:r>
          </w:p>
          <w:p w:rsidR="00886A8F" w:rsidRPr="00886A8F" w:rsidRDefault="00886A8F" w:rsidP="003C3686">
            <w:pPr>
              <w:pStyle w:val="Textpoznpodarou"/>
              <w:jc w:val="both"/>
              <w:rPr>
                <w:sz w:val="18"/>
                <w:szCs w:val="18"/>
              </w:rPr>
            </w:pPr>
          </w:p>
        </w:tc>
      </w:tr>
      <w:tr w:rsidR="00886A8F" w:rsidRPr="0002540B" w:rsidTr="003C3686">
        <w:tc>
          <w:tcPr>
            <w:tcW w:w="1054" w:type="pct"/>
            <w:tcBorders>
              <w:top w:val="nil"/>
              <w:left w:val="nil"/>
              <w:bottom w:val="nil"/>
              <w:right w:val="nil"/>
            </w:tcBorders>
          </w:tcPr>
          <w:p w:rsidR="00886A8F" w:rsidRPr="00886A8F" w:rsidRDefault="00886A8F" w:rsidP="003C3686">
            <w:pPr>
              <w:spacing w:line="240" w:lineRule="auto"/>
              <w:rPr>
                <w:sz w:val="16"/>
                <w:szCs w:val="16"/>
              </w:rPr>
            </w:pPr>
            <w:r w:rsidRPr="00886A8F">
              <w:rPr>
                <w:sz w:val="16"/>
                <w:szCs w:val="16"/>
              </w:rPr>
              <w:t>Navzdory aktuální dobré kondici stavebnictví, která byla dána intenzivní výstavbou infrastrukturních staveb, se počet zaměstnaných osob v tomto odvětví snížil i ve 3. čtvrtletí</w:t>
            </w:r>
          </w:p>
        </w:tc>
        <w:tc>
          <w:tcPr>
            <w:tcW w:w="143" w:type="pct"/>
            <w:tcBorders>
              <w:top w:val="nil"/>
              <w:left w:val="nil"/>
              <w:bottom w:val="nil"/>
              <w:right w:val="nil"/>
            </w:tcBorders>
          </w:tcPr>
          <w:p w:rsidR="00886A8F" w:rsidRPr="00886A8F" w:rsidRDefault="00886A8F" w:rsidP="003C3686">
            <w:pPr>
              <w:pStyle w:val="Textpoznpodarou"/>
              <w:jc w:val="both"/>
            </w:pPr>
          </w:p>
        </w:tc>
        <w:tc>
          <w:tcPr>
            <w:tcW w:w="3803" w:type="pct"/>
            <w:tcBorders>
              <w:top w:val="nil"/>
              <w:left w:val="nil"/>
              <w:bottom w:val="nil"/>
              <w:right w:val="nil"/>
            </w:tcBorders>
          </w:tcPr>
          <w:p w:rsidR="00886A8F" w:rsidRPr="00886A8F" w:rsidRDefault="00886A8F" w:rsidP="003C3686">
            <w:pPr>
              <w:pStyle w:val="Textpoznpodarou"/>
              <w:jc w:val="both"/>
              <w:rPr>
                <w:spacing w:val="-2"/>
              </w:rPr>
            </w:pPr>
            <w:r w:rsidRPr="00886A8F">
              <w:rPr>
                <w:spacing w:val="-2"/>
              </w:rPr>
              <w:t xml:space="preserve">I přes celkově velmi dobrý vývoj na trhu práce lze nalézt odvětví, která ve 3. čtvrtletí 2015 evidovala nižší počet pracovníků než před rokem. Šlo především o stavebnictví (-10,0 tis.), kde se počet zaměstnaných osob zmenšoval bez přestání už pátým rokem, více než dva roky se zaměstnanost snižovala ale i v peněžnictví a pojišťovnictví (-1,0 tis.). Zatímco stavebnictví bylo i přes aktuální dobrou kondici stále zatíženo dlouhodobým útlumem stavební činnosti v letech předchozích a ani výhled na rok 2016 nebyl příliš příznivý, příčinou trvajícího poklesu zaměstnanosti v peněžnictví a pojišťovnictví byla především snaha o zefektivnění procesů. </w:t>
            </w:r>
            <w:r w:rsidRPr="00886A8F">
              <w:rPr>
                <w:spacing w:val="-4"/>
              </w:rPr>
              <w:t>O 0,6 tis. osob klesla zaměstnanost i v nezpracovatelských průmyslových odvětvích.</w:t>
            </w:r>
          </w:p>
          <w:p w:rsidR="00886A8F" w:rsidRPr="00886A8F" w:rsidRDefault="00886A8F" w:rsidP="003C3686">
            <w:pPr>
              <w:pStyle w:val="Textpoznpodarou"/>
              <w:jc w:val="both"/>
              <w:rPr>
                <w:sz w:val="16"/>
                <w:szCs w:val="16"/>
              </w:rPr>
            </w:pPr>
          </w:p>
        </w:tc>
      </w:tr>
      <w:tr w:rsidR="00886A8F" w:rsidRPr="0002540B" w:rsidTr="003C3686">
        <w:tc>
          <w:tcPr>
            <w:tcW w:w="1054" w:type="pct"/>
            <w:tcBorders>
              <w:top w:val="nil"/>
              <w:left w:val="nil"/>
              <w:bottom w:val="nil"/>
              <w:right w:val="nil"/>
            </w:tcBorders>
          </w:tcPr>
          <w:p w:rsidR="00886A8F" w:rsidRPr="00886A8F" w:rsidRDefault="00886A8F" w:rsidP="003C3686">
            <w:pPr>
              <w:spacing w:line="240" w:lineRule="auto"/>
              <w:rPr>
                <w:sz w:val="16"/>
                <w:szCs w:val="16"/>
              </w:rPr>
            </w:pPr>
            <w:r w:rsidRPr="00886A8F">
              <w:rPr>
                <w:sz w:val="16"/>
                <w:szCs w:val="16"/>
              </w:rPr>
              <w:t>Struktura zaměstnanosti se mění ve prospěch zaměstnanců. Jejich počty rostou, sebezaměstnaných ubývá</w:t>
            </w:r>
          </w:p>
        </w:tc>
        <w:tc>
          <w:tcPr>
            <w:tcW w:w="143" w:type="pct"/>
            <w:tcBorders>
              <w:top w:val="nil"/>
              <w:left w:val="nil"/>
              <w:bottom w:val="nil"/>
              <w:right w:val="nil"/>
            </w:tcBorders>
          </w:tcPr>
          <w:p w:rsidR="00886A8F" w:rsidRPr="00886A8F" w:rsidRDefault="00886A8F" w:rsidP="003C3686">
            <w:pPr>
              <w:pStyle w:val="Textpoznpodarou"/>
              <w:jc w:val="both"/>
            </w:pPr>
          </w:p>
        </w:tc>
        <w:tc>
          <w:tcPr>
            <w:tcW w:w="3803" w:type="pct"/>
            <w:tcBorders>
              <w:top w:val="nil"/>
              <w:left w:val="nil"/>
              <w:bottom w:val="nil"/>
              <w:right w:val="nil"/>
            </w:tcBorders>
          </w:tcPr>
          <w:p w:rsidR="00886A8F" w:rsidRPr="00886A8F" w:rsidRDefault="00886A8F" w:rsidP="003C3686">
            <w:pPr>
              <w:pStyle w:val="Textpoznpodarou"/>
              <w:jc w:val="both"/>
              <w:rPr>
                <w:spacing w:val="-4"/>
              </w:rPr>
            </w:pPr>
            <w:r w:rsidRPr="00886A8F">
              <w:t>V nepříznivých obdobích firmy hledají úspory a přesouvají pracovníky z klasických zaměstnaneckých poměrů do tzv. švarc systému, kde tito lidé vykonávají stejnou činnost, avšak jako živnostníci a z pohledu firem tedy levněji. V obdobích příznivých si firmy tyto pracovníky chtějí pojistit a stahují je zpět. K této situaci dochází i nyní, ukazuje na to silnější meziroční růst počtu zaměstnanců než celkové zaměstnanosti. Trvá již pět čtvrtletí, v samotném 3. kvartále byl růst počtu zaměstnanců silnější o 0,6 pb. (+1,8 % vs. +1,2 %).</w:t>
            </w:r>
          </w:p>
          <w:p w:rsidR="00886A8F" w:rsidRPr="00886A8F" w:rsidRDefault="00886A8F" w:rsidP="003C3686">
            <w:pPr>
              <w:pStyle w:val="Textpoznpodarou"/>
              <w:jc w:val="both"/>
              <w:rPr>
                <w:spacing w:val="-4"/>
                <w:sz w:val="18"/>
                <w:szCs w:val="18"/>
              </w:rPr>
            </w:pPr>
          </w:p>
        </w:tc>
      </w:tr>
      <w:tr w:rsidR="00886A8F" w:rsidRPr="0002540B" w:rsidTr="003C3686">
        <w:tc>
          <w:tcPr>
            <w:tcW w:w="1054" w:type="pct"/>
            <w:tcBorders>
              <w:top w:val="nil"/>
              <w:left w:val="nil"/>
              <w:bottom w:val="nil"/>
              <w:right w:val="nil"/>
            </w:tcBorders>
          </w:tcPr>
          <w:p w:rsidR="00886A8F" w:rsidRPr="00886A8F" w:rsidRDefault="00886A8F" w:rsidP="003C3686">
            <w:pPr>
              <w:spacing w:line="240" w:lineRule="auto"/>
              <w:rPr>
                <w:sz w:val="16"/>
                <w:szCs w:val="16"/>
              </w:rPr>
            </w:pPr>
            <w:r w:rsidRPr="00886A8F">
              <w:rPr>
                <w:sz w:val="16"/>
                <w:szCs w:val="16"/>
              </w:rPr>
              <w:t>Produktivita práce stoupla v prvních třech čtvrtletích roku 2015 v meziročním srovnání o 2,4 %, nejrychleji za posledních osm let</w:t>
            </w:r>
          </w:p>
        </w:tc>
        <w:tc>
          <w:tcPr>
            <w:tcW w:w="143" w:type="pct"/>
            <w:tcBorders>
              <w:top w:val="nil"/>
              <w:left w:val="nil"/>
              <w:bottom w:val="nil"/>
              <w:right w:val="nil"/>
            </w:tcBorders>
          </w:tcPr>
          <w:p w:rsidR="00886A8F" w:rsidRPr="00886A8F" w:rsidRDefault="00886A8F" w:rsidP="003C3686">
            <w:pPr>
              <w:pStyle w:val="Textpoznpodarou"/>
              <w:jc w:val="both"/>
            </w:pPr>
          </w:p>
        </w:tc>
        <w:tc>
          <w:tcPr>
            <w:tcW w:w="3803" w:type="pct"/>
            <w:tcBorders>
              <w:top w:val="nil"/>
              <w:left w:val="nil"/>
              <w:bottom w:val="nil"/>
              <w:right w:val="nil"/>
            </w:tcBorders>
          </w:tcPr>
          <w:p w:rsidR="00886A8F" w:rsidRPr="00886A8F" w:rsidRDefault="00886A8F" w:rsidP="003C3686">
            <w:pPr>
              <w:pStyle w:val="Textpoznpodarou"/>
              <w:jc w:val="both"/>
              <w:rPr>
                <w:spacing w:val="-6"/>
              </w:rPr>
            </w:pPr>
            <w:r w:rsidRPr="00886A8F">
              <w:rPr>
                <w:spacing w:val="-6"/>
              </w:rPr>
              <w:t>Pro dlouhodobě udržitelný růst reálných mezd zaměstnanců je klíčové, aby byl podpořen růstem produktivity práce. A jak ukazují data za první tři kvartály roku 2015, tato podpora v tuzemské ekonomice byla více než zřetelná. Produktivita práce stoupla za celé období o 2,4 % meziročně, neboť hrubá přidaná hodnota se zvýšila reálně o 3,9 % a celkový počet odpracovaných hodin jen o 1,4 %. Produktivita práce narostla nejrychleji za posledních osm let. Jak ukazuje vývoj v jednotlivých odvětvích ekonomiky, její růst byl plošný. Produktivita práce klesla pouze v zemědělství, lesnictví a rybářství, v nezpracovatelských průmyslových odvětvích a v ostatních činnostech.</w:t>
            </w:r>
          </w:p>
          <w:p w:rsidR="00886A8F" w:rsidRPr="00886A8F" w:rsidRDefault="00886A8F" w:rsidP="003C3686">
            <w:pPr>
              <w:pStyle w:val="Textpoznpodarou"/>
              <w:jc w:val="both"/>
              <w:rPr>
                <w:sz w:val="18"/>
                <w:szCs w:val="18"/>
              </w:rPr>
            </w:pPr>
          </w:p>
        </w:tc>
      </w:tr>
      <w:tr w:rsidR="00886A8F" w:rsidRPr="0002540B" w:rsidTr="003C3686">
        <w:tc>
          <w:tcPr>
            <w:tcW w:w="1054" w:type="pct"/>
            <w:tcBorders>
              <w:top w:val="nil"/>
              <w:left w:val="nil"/>
              <w:bottom w:val="nil"/>
              <w:right w:val="nil"/>
            </w:tcBorders>
          </w:tcPr>
          <w:p w:rsidR="00886A8F" w:rsidRPr="00886A8F" w:rsidRDefault="00886A8F" w:rsidP="003C3686">
            <w:pPr>
              <w:spacing w:line="240" w:lineRule="auto"/>
              <w:rPr>
                <w:sz w:val="16"/>
                <w:szCs w:val="16"/>
              </w:rPr>
            </w:pPr>
            <w:r w:rsidRPr="00886A8F">
              <w:rPr>
                <w:sz w:val="16"/>
                <w:szCs w:val="16"/>
              </w:rPr>
              <w:t>Počet volných pracovních míst byl na konci 3. čtvrtletí nejvyšší od listopadu 2008</w:t>
            </w:r>
          </w:p>
        </w:tc>
        <w:tc>
          <w:tcPr>
            <w:tcW w:w="143" w:type="pct"/>
            <w:tcBorders>
              <w:top w:val="nil"/>
              <w:left w:val="nil"/>
              <w:bottom w:val="nil"/>
              <w:right w:val="nil"/>
            </w:tcBorders>
          </w:tcPr>
          <w:p w:rsidR="00886A8F" w:rsidRPr="00886A8F" w:rsidRDefault="00886A8F" w:rsidP="003C3686">
            <w:pPr>
              <w:pStyle w:val="Textpoznpodarou"/>
              <w:jc w:val="both"/>
            </w:pPr>
          </w:p>
        </w:tc>
        <w:tc>
          <w:tcPr>
            <w:tcW w:w="3803" w:type="pct"/>
            <w:tcBorders>
              <w:top w:val="nil"/>
              <w:left w:val="nil"/>
              <w:bottom w:val="nil"/>
              <w:right w:val="nil"/>
            </w:tcBorders>
          </w:tcPr>
          <w:p w:rsidR="00886A8F" w:rsidRPr="00886A8F" w:rsidRDefault="00886A8F" w:rsidP="003C3686">
            <w:pPr>
              <w:pStyle w:val="Textpoznpodarou"/>
              <w:jc w:val="both"/>
              <w:rPr>
                <w:spacing w:val="-2"/>
              </w:rPr>
            </w:pPr>
            <w:r w:rsidRPr="00886A8F">
              <w:rPr>
                <w:spacing w:val="-2"/>
              </w:rPr>
              <w:t>I přes poměrné silný růst zaměstnanosti stoupaly v průběhu roku 2015 také počty neobsazených pozic. Jestliže na konci 1. čtvrtletí evidovalo Ministerstvo práce a sociálních věcí celkově 76,1 tis. volných pracovních míst a v závěru 2. čtvrtletí 97,0 tis., na konci 3. čtvrtletí 2015 jich bylo k dispozici již 108,6 tis. Více než 100 tisíc volných pracovních míst nabízel trh práce naposledy v listopadu 2008.</w:t>
            </w:r>
          </w:p>
          <w:p w:rsidR="00886A8F" w:rsidRPr="00886A8F" w:rsidRDefault="00886A8F" w:rsidP="003C3686">
            <w:pPr>
              <w:pStyle w:val="Textpoznpodarou"/>
              <w:jc w:val="both"/>
              <w:rPr>
                <w:spacing w:val="-2"/>
                <w:sz w:val="16"/>
                <w:szCs w:val="16"/>
              </w:rPr>
            </w:pPr>
          </w:p>
        </w:tc>
      </w:tr>
      <w:tr w:rsidR="00886A8F" w:rsidRPr="0002540B" w:rsidTr="003C3686">
        <w:tc>
          <w:tcPr>
            <w:tcW w:w="1054" w:type="pct"/>
            <w:tcBorders>
              <w:top w:val="nil"/>
              <w:left w:val="nil"/>
              <w:bottom w:val="nil"/>
              <w:right w:val="nil"/>
            </w:tcBorders>
          </w:tcPr>
          <w:p w:rsidR="00886A8F" w:rsidRPr="00CA1AB7" w:rsidRDefault="00886A8F" w:rsidP="003C3686">
            <w:pPr>
              <w:spacing w:line="240" w:lineRule="auto"/>
              <w:rPr>
                <w:spacing w:val="-6"/>
                <w:sz w:val="16"/>
                <w:szCs w:val="16"/>
              </w:rPr>
            </w:pPr>
            <w:r w:rsidRPr="00CA1AB7">
              <w:rPr>
                <w:sz w:val="16"/>
                <w:szCs w:val="16"/>
              </w:rPr>
              <w:t>Nesoulad mezi poptávkou po zaměstnancích</w:t>
            </w:r>
            <w:r w:rsidRPr="00CA1AB7">
              <w:rPr>
                <w:spacing w:val="-6"/>
                <w:sz w:val="16"/>
                <w:szCs w:val="16"/>
              </w:rPr>
              <w:t xml:space="preserve"> </w:t>
            </w:r>
            <w:r w:rsidRPr="00CA1AB7">
              <w:rPr>
                <w:spacing w:val="-4"/>
                <w:sz w:val="16"/>
                <w:szCs w:val="16"/>
              </w:rPr>
              <w:t>a nabídkou práce ze strany</w:t>
            </w:r>
            <w:r w:rsidRPr="00CA1AB7">
              <w:rPr>
                <w:spacing w:val="-6"/>
                <w:sz w:val="16"/>
                <w:szCs w:val="16"/>
              </w:rPr>
              <w:t xml:space="preserve"> </w:t>
            </w:r>
            <w:r w:rsidRPr="00CA1AB7">
              <w:rPr>
                <w:spacing w:val="-2"/>
                <w:sz w:val="16"/>
                <w:szCs w:val="16"/>
              </w:rPr>
              <w:t>uchazečů je dán odlišnými</w:t>
            </w:r>
            <w:r w:rsidRPr="00CA1AB7">
              <w:rPr>
                <w:spacing w:val="-6"/>
                <w:sz w:val="16"/>
                <w:szCs w:val="16"/>
              </w:rPr>
              <w:t xml:space="preserve"> </w:t>
            </w:r>
            <w:r w:rsidRPr="00CA1AB7">
              <w:rPr>
                <w:sz w:val="16"/>
                <w:szCs w:val="16"/>
              </w:rPr>
              <w:t>nároky na posty, …</w:t>
            </w:r>
          </w:p>
        </w:tc>
        <w:tc>
          <w:tcPr>
            <w:tcW w:w="143" w:type="pct"/>
            <w:tcBorders>
              <w:top w:val="nil"/>
              <w:left w:val="nil"/>
              <w:bottom w:val="nil"/>
              <w:right w:val="nil"/>
            </w:tcBorders>
          </w:tcPr>
          <w:p w:rsidR="00886A8F" w:rsidRPr="005C03D0" w:rsidRDefault="00886A8F" w:rsidP="003C3686">
            <w:pPr>
              <w:pStyle w:val="Textpoznpodarou"/>
              <w:jc w:val="both"/>
            </w:pPr>
          </w:p>
        </w:tc>
        <w:tc>
          <w:tcPr>
            <w:tcW w:w="3803" w:type="pct"/>
            <w:tcBorders>
              <w:top w:val="nil"/>
              <w:left w:val="nil"/>
              <w:bottom w:val="nil"/>
              <w:right w:val="nil"/>
            </w:tcBorders>
          </w:tcPr>
          <w:p w:rsidR="00886A8F" w:rsidRPr="00886A8F" w:rsidRDefault="00886A8F" w:rsidP="003C3686">
            <w:pPr>
              <w:pStyle w:val="Textpoznpodarou"/>
              <w:jc w:val="both"/>
              <w:rPr>
                <w:spacing w:val="-2"/>
              </w:rPr>
            </w:pPr>
            <w:r w:rsidRPr="00886A8F">
              <w:rPr>
                <w:spacing w:val="-2"/>
              </w:rPr>
              <w:t xml:space="preserve">Volná pracovní místa se budou naplňovat jen s obtížemi, protože poptávka po zaměstnancích neodpovídá profilu uchazečů. Největší nesoulad mezi poptávkou a nabídkou byl na konci září 2015 patrný v případě kategorie „obsluha strojů a zařízení, montéři“, kde na jedno volné místo připadalo pouze 1,6 uchazeče. </w:t>
            </w:r>
            <w:r w:rsidRPr="00886A8F">
              <w:rPr>
                <w:spacing w:val="-2"/>
              </w:rPr>
              <w:lastRenderedPageBreak/>
              <w:t>S komplikacemi firmy hledaly i řemeslníky a opraváře, protože počet uchazečů o tyto pozice byl v porovnání s počtem volných pracovních míst jen zhruba dvojnásobný. Bez problémů se naopak obsazovaly úřednické posty, kde se na jedno volné pracovní místo hlásilo téměř 11 uchazečů.</w:t>
            </w:r>
          </w:p>
          <w:p w:rsidR="00886A8F" w:rsidRPr="00886A8F" w:rsidRDefault="00886A8F" w:rsidP="003C3686">
            <w:pPr>
              <w:pStyle w:val="Textpoznpodarou"/>
              <w:jc w:val="both"/>
              <w:rPr>
                <w:sz w:val="16"/>
                <w:szCs w:val="16"/>
              </w:rPr>
            </w:pPr>
          </w:p>
        </w:tc>
      </w:tr>
      <w:tr w:rsidR="00886A8F" w:rsidRPr="0002540B" w:rsidTr="003C3686">
        <w:tc>
          <w:tcPr>
            <w:tcW w:w="1054" w:type="pct"/>
            <w:tcBorders>
              <w:top w:val="nil"/>
              <w:left w:val="nil"/>
              <w:bottom w:val="nil"/>
              <w:right w:val="nil"/>
            </w:tcBorders>
          </w:tcPr>
          <w:p w:rsidR="00886A8F" w:rsidRPr="00CA1AB7" w:rsidRDefault="00886A8F" w:rsidP="003C3686">
            <w:pPr>
              <w:spacing w:line="240" w:lineRule="auto"/>
              <w:rPr>
                <w:sz w:val="16"/>
                <w:szCs w:val="16"/>
              </w:rPr>
            </w:pPr>
            <w:r w:rsidRPr="00CA1AB7">
              <w:rPr>
                <w:sz w:val="16"/>
                <w:szCs w:val="16"/>
              </w:rPr>
              <w:lastRenderedPageBreak/>
              <w:t>…ovlivňují ho ale i regionální disparity</w:t>
            </w:r>
          </w:p>
        </w:tc>
        <w:tc>
          <w:tcPr>
            <w:tcW w:w="143" w:type="pct"/>
            <w:tcBorders>
              <w:top w:val="nil"/>
              <w:left w:val="nil"/>
              <w:bottom w:val="nil"/>
              <w:right w:val="nil"/>
            </w:tcBorders>
          </w:tcPr>
          <w:p w:rsidR="00886A8F" w:rsidRPr="005C03D0" w:rsidRDefault="00886A8F" w:rsidP="003C3686">
            <w:pPr>
              <w:pStyle w:val="Textpoznpodarou"/>
              <w:jc w:val="both"/>
            </w:pPr>
          </w:p>
        </w:tc>
        <w:tc>
          <w:tcPr>
            <w:tcW w:w="3803" w:type="pct"/>
            <w:tcBorders>
              <w:top w:val="nil"/>
              <w:left w:val="nil"/>
              <w:bottom w:val="nil"/>
              <w:right w:val="nil"/>
            </w:tcBorders>
          </w:tcPr>
          <w:p w:rsidR="00886A8F" w:rsidRPr="00886A8F" w:rsidRDefault="00886A8F" w:rsidP="003C3686">
            <w:pPr>
              <w:pStyle w:val="Textpoznpodarou"/>
              <w:jc w:val="both"/>
              <w:rPr>
                <w:spacing w:val="-4"/>
              </w:rPr>
            </w:pPr>
            <w:r w:rsidRPr="00886A8F">
              <w:rPr>
                <w:spacing w:val="-4"/>
              </w:rPr>
              <w:t>Rozdíl v poptávce a nabídce má i regionální rozměr. Zatímco v Plzeňském, Pardubickém a Jihočeském kraji, a také v Praze, se volná pracovní místa obsazují obtížně (na konci září na jedno volné pracovní místo připadalo v těchto krajích mezi 2 a 3 uchazeči), v Moravskoslezském a v Ústeckém kraji je problém opačný. Na jedno volné pracovní místo se v těchto krajích hlásilo téměř 6, resp. více než 8 uchazečů.</w:t>
            </w:r>
          </w:p>
          <w:p w:rsidR="00886A8F" w:rsidRPr="00886A8F" w:rsidRDefault="00886A8F" w:rsidP="003C3686">
            <w:pPr>
              <w:pStyle w:val="Textpoznpodarou"/>
              <w:jc w:val="both"/>
              <w:rPr>
                <w:spacing w:val="-2"/>
                <w:sz w:val="16"/>
                <w:szCs w:val="16"/>
              </w:rPr>
            </w:pPr>
          </w:p>
        </w:tc>
      </w:tr>
      <w:tr w:rsidR="00886A8F" w:rsidRPr="0002540B" w:rsidTr="003C3686">
        <w:tc>
          <w:tcPr>
            <w:tcW w:w="1054" w:type="pct"/>
            <w:tcBorders>
              <w:top w:val="nil"/>
              <w:left w:val="nil"/>
              <w:bottom w:val="nil"/>
              <w:right w:val="nil"/>
            </w:tcBorders>
          </w:tcPr>
          <w:p w:rsidR="00886A8F" w:rsidRPr="00CA1AB7" w:rsidRDefault="00886A8F" w:rsidP="003C3686">
            <w:pPr>
              <w:spacing w:line="240" w:lineRule="auto"/>
              <w:rPr>
                <w:sz w:val="16"/>
                <w:szCs w:val="16"/>
              </w:rPr>
            </w:pPr>
            <w:r>
              <w:rPr>
                <w:sz w:val="16"/>
                <w:szCs w:val="16"/>
              </w:rPr>
              <w:t>Obecná míra nezaměstnanosti klesla v srpnu 2015 pod 5 %, …</w:t>
            </w:r>
          </w:p>
        </w:tc>
        <w:tc>
          <w:tcPr>
            <w:tcW w:w="143" w:type="pct"/>
            <w:tcBorders>
              <w:top w:val="nil"/>
              <w:left w:val="nil"/>
              <w:bottom w:val="nil"/>
              <w:right w:val="nil"/>
            </w:tcBorders>
          </w:tcPr>
          <w:p w:rsidR="00886A8F" w:rsidRPr="005C03D0" w:rsidRDefault="00886A8F" w:rsidP="003C3686">
            <w:pPr>
              <w:pStyle w:val="Textpoznpodarou"/>
              <w:jc w:val="both"/>
            </w:pPr>
          </w:p>
        </w:tc>
        <w:tc>
          <w:tcPr>
            <w:tcW w:w="3803" w:type="pct"/>
            <w:tcBorders>
              <w:top w:val="nil"/>
              <w:left w:val="nil"/>
              <w:bottom w:val="nil"/>
              <w:right w:val="nil"/>
            </w:tcBorders>
          </w:tcPr>
          <w:p w:rsidR="00886A8F" w:rsidRPr="00886A8F" w:rsidRDefault="00886A8F" w:rsidP="003C3686">
            <w:pPr>
              <w:pStyle w:val="Textpoznpodarou"/>
              <w:jc w:val="both"/>
              <w:rPr>
                <w:spacing w:val="-2"/>
              </w:rPr>
            </w:pPr>
            <w:r w:rsidRPr="00886A8F">
              <w:rPr>
                <w:spacing w:val="-2"/>
              </w:rPr>
              <w:t>Obecná míra nezaměstnanosti ve věkové kategorii 15-64 let se během léta 2015 snížila pod úroveň 5 %. V srpnu i září činila 4,9 % a byla nejnižší od prosince 2008. Přestože míra nezaměstnanosti žen setrvávala stále podstatně vyšší než míra nezaměstnanosti mužů, byly to především ženy, v jejichž případě se tento ukazatel zlepšil výrazněji. Zatímco u mužů činila v září letošního roku 4,0 % a byla meziročně nižší o 0,9 pb., míra nezaměstnanosti žen dosahovala 5,9 % a snížila se o 1,2 pb.</w:t>
            </w:r>
          </w:p>
          <w:p w:rsidR="00886A8F" w:rsidRPr="00886A8F" w:rsidRDefault="00886A8F" w:rsidP="003C3686">
            <w:pPr>
              <w:pStyle w:val="Textpoznpodarou"/>
              <w:jc w:val="both"/>
              <w:rPr>
                <w:spacing w:val="-2"/>
                <w:sz w:val="16"/>
                <w:szCs w:val="16"/>
              </w:rPr>
            </w:pPr>
          </w:p>
        </w:tc>
      </w:tr>
      <w:tr w:rsidR="00886A8F" w:rsidRPr="0002540B" w:rsidTr="003C3686">
        <w:tc>
          <w:tcPr>
            <w:tcW w:w="1054" w:type="pct"/>
            <w:tcBorders>
              <w:top w:val="nil"/>
              <w:left w:val="nil"/>
              <w:bottom w:val="nil"/>
              <w:right w:val="nil"/>
            </w:tcBorders>
          </w:tcPr>
          <w:p w:rsidR="00886A8F" w:rsidRPr="00CA1AB7" w:rsidRDefault="00886A8F" w:rsidP="003C3686">
            <w:pPr>
              <w:spacing w:line="240" w:lineRule="auto"/>
              <w:rPr>
                <w:sz w:val="16"/>
                <w:szCs w:val="16"/>
              </w:rPr>
            </w:pPr>
            <w:r>
              <w:rPr>
                <w:sz w:val="16"/>
                <w:szCs w:val="16"/>
              </w:rPr>
              <w:t>…což je úroveň, která nemá v EU s výjimkou Německa obdoby</w:t>
            </w:r>
          </w:p>
        </w:tc>
        <w:tc>
          <w:tcPr>
            <w:tcW w:w="143" w:type="pct"/>
            <w:tcBorders>
              <w:top w:val="nil"/>
              <w:left w:val="nil"/>
              <w:bottom w:val="nil"/>
              <w:right w:val="nil"/>
            </w:tcBorders>
          </w:tcPr>
          <w:p w:rsidR="00886A8F" w:rsidRPr="005C03D0" w:rsidRDefault="00886A8F" w:rsidP="003C3686">
            <w:pPr>
              <w:pStyle w:val="Textpoznpodarou"/>
              <w:jc w:val="both"/>
            </w:pPr>
          </w:p>
        </w:tc>
        <w:tc>
          <w:tcPr>
            <w:tcW w:w="3803" w:type="pct"/>
            <w:tcBorders>
              <w:top w:val="nil"/>
              <w:left w:val="nil"/>
              <w:bottom w:val="nil"/>
              <w:right w:val="nil"/>
            </w:tcBorders>
          </w:tcPr>
          <w:p w:rsidR="00886A8F" w:rsidRDefault="00886A8F" w:rsidP="003C3686">
            <w:pPr>
              <w:pStyle w:val="Textpoznpodarou"/>
              <w:jc w:val="both"/>
              <w:rPr>
                <w:spacing w:val="-2"/>
              </w:rPr>
            </w:pPr>
            <w:r>
              <w:rPr>
                <w:spacing w:val="-2"/>
              </w:rPr>
              <w:t>Podíl nezaměstnaných osob na celkové pracovní síle se postupně snižuje i v EU, stále však zůstává vysoký. V porovnání s ČR je zhruba dvojnásobný, přitom variabilita tohoto ukazatele napříč jednotlivými zeměmi je obrovská. Zatímco v Německu a v Česku hledalo na konci 3. čtvrtletí 2015 práci méně než 5 % ekonomicky aktivního obyvatelstva, v Řecku a ve Španělsku to byla více než pětina.</w:t>
            </w:r>
          </w:p>
          <w:p w:rsidR="00886A8F" w:rsidRPr="00860990" w:rsidRDefault="00886A8F" w:rsidP="003C3686">
            <w:pPr>
              <w:pStyle w:val="Textpoznpodarou"/>
              <w:jc w:val="both"/>
              <w:rPr>
                <w:spacing w:val="-2"/>
                <w:sz w:val="16"/>
                <w:szCs w:val="16"/>
              </w:rPr>
            </w:pPr>
          </w:p>
        </w:tc>
      </w:tr>
      <w:tr w:rsidR="00886A8F" w:rsidRPr="00B6444F" w:rsidTr="003C3686">
        <w:tc>
          <w:tcPr>
            <w:tcW w:w="1054" w:type="pct"/>
            <w:tcBorders>
              <w:top w:val="nil"/>
              <w:left w:val="nil"/>
              <w:bottom w:val="nil"/>
              <w:right w:val="nil"/>
            </w:tcBorders>
          </w:tcPr>
          <w:p w:rsidR="00886A8F" w:rsidRPr="000A12D1" w:rsidRDefault="00886A8F" w:rsidP="003C3686">
            <w:pPr>
              <w:spacing w:line="240" w:lineRule="auto"/>
              <w:rPr>
                <w:sz w:val="16"/>
                <w:szCs w:val="16"/>
              </w:rPr>
            </w:pPr>
            <w:r>
              <w:rPr>
                <w:sz w:val="16"/>
                <w:szCs w:val="16"/>
              </w:rPr>
              <w:t xml:space="preserve">Mzdový vývoj ve 3. čtvrtletí pod taktovkou soukromých firem. Nedostává se jim kvalifikované pracovní síly a začínají se o pracovníky přetahovat </w:t>
            </w:r>
          </w:p>
        </w:tc>
        <w:tc>
          <w:tcPr>
            <w:tcW w:w="143" w:type="pct"/>
            <w:tcBorders>
              <w:top w:val="nil"/>
              <w:left w:val="nil"/>
              <w:bottom w:val="nil"/>
              <w:right w:val="nil"/>
            </w:tcBorders>
          </w:tcPr>
          <w:p w:rsidR="00886A8F" w:rsidRPr="000A12D1" w:rsidRDefault="00886A8F" w:rsidP="003C3686">
            <w:pPr>
              <w:pStyle w:val="Textpoznpodarou"/>
              <w:jc w:val="both"/>
            </w:pPr>
          </w:p>
        </w:tc>
        <w:tc>
          <w:tcPr>
            <w:tcW w:w="3803" w:type="pct"/>
            <w:tcBorders>
              <w:top w:val="nil"/>
              <w:left w:val="nil"/>
              <w:bottom w:val="nil"/>
              <w:right w:val="nil"/>
            </w:tcBorders>
          </w:tcPr>
          <w:p w:rsidR="00886A8F" w:rsidRPr="0081656C" w:rsidRDefault="00886A8F" w:rsidP="003C3686">
            <w:pPr>
              <w:pStyle w:val="Textpoznpodarou"/>
              <w:jc w:val="both"/>
              <w:rPr>
                <w:spacing w:val="-2"/>
              </w:rPr>
            </w:pPr>
            <w:r w:rsidRPr="0081656C">
              <w:rPr>
                <w:spacing w:val="-2"/>
              </w:rPr>
              <w:t>Průměrná hrubá měsíční mzda na přepočtené počty zaměstnanců stoupla za 1. až 3. čtvrtletí 2015 o 3,2 % meziročně, v samotném 3. čtvrtletí na tom byli zaměstnanci dokonce o 3,8 % lépe než před rokem. Poprvé po čtyřech čtvrtletích „táhly“ mzdový</w:t>
            </w:r>
            <w:r>
              <w:rPr>
                <w:spacing w:val="-2"/>
              </w:rPr>
              <w:t> </w:t>
            </w:r>
            <w:r w:rsidRPr="0081656C">
              <w:rPr>
                <w:spacing w:val="-2"/>
              </w:rPr>
              <w:t>vývoj soukromé firmy a nikoliv stát – v podnikatelské sféře byly výdělky ve</w:t>
            </w:r>
            <w:r>
              <w:rPr>
                <w:spacing w:val="-2"/>
              </w:rPr>
              <w:t> </w:t>
            </w:r>
            <w:r w:rsidRPr="0081656C">
              <w:rPr>
                <w:spacing w:val="-2"/>
              </w:rPr>
              <w:t>3.</w:t>
            </w:r>
            <w:r>
              <w:rPr>
                <w:spacing w:val="-2"/>
              </w:rPr>
              <w:t> </w:t>
            </w:r>
            <w:r w:rsidRPr="0081656C">
              <w:rPr>
                <w:spacing w:val="-2"/>
              </w:rPr>
              <w:t>čtvrtletí vyšší o 3,8 %, v nepodnikatelské sféře o 3,5 %. V relativním vyjádření si</w:t>
            </w:r>
            <w:r>
              <w:rPr>
                <w:spacing w:val="-2"/>
              </w:rPr>
              <w:t> </w:t>
            </w:r>
            <w:r w:rsidRPr="0081656C">
              <w:rPr>
                <w:spacing w:val="-2"/>
              </w:rPr>
              <w:t xml:space="preserve">nejvíce polepšili zaměstnanci v ubytování, stravování a pohostinství (+7,4 %), jelikož se ale jedná o odvětví s velmi nízkou úrovní mezd, v absolutním vyjádření stouply mzdy těmto pracovníkům pouze průměrně (+1 033 korun). K nejvyššímu absolutnímu přírůstku </w:t>
            </w:r>
            <w:r>
              <w:rPr>
                <w:spacing w:val="-2"/>
              </w:rPr>
              <w:t>mezd</w:t>
            </w:r>
            <w:r w:rsidRPr="0081656C">
              <w:rPr>
                <w:spacing w:val="-2"/>
              </w:rPr>
              <w:t xml:space="preserve"> došlo v informačních a komunikačních činnostech</w:t>
            </w:r>
            <w:r>
              <w:rPr>
                <w:spacing w:val="-2"/>
              </w:rPr>
              <w:t>,</w:t>
            </w:r>
            <w:r w:rsidRPr="0081656C">
              <w:rPr>
                <w:spacing w:val="-2"/>
              </w:rPr>
              <w:t xml:space="preserve"> v odvětví charakteristickém vysokými </w:t>
            </w:r>
            <w:r>
              <w:rPr>
                <w:spacing w:val="-2"/>
              </w:rPr>
              <w:t>výdělky</w:t>
            </w:r>
            <w:r w:rsidRPr="0081656C">
              <w:rPr>
                <w:spacing w:val="-2"/>
              </w:rPr>
              <w:t xml:space="preserve"> (+1 722 korun).</w:t>
            </w:r>
          </w:p>
          <w:p w:rsidR="00886A8F" w:rsidRPr="00860990" w:rsidRDefault="00886A8F" w:rsidP="003C3686">
            <w:pPr>
              <w:pStyle w:val="Textpoznpodarou"/>
              <w:jc w:val="both"/>
              <w:rPr>
                <w:spacing w:val="-2"/>
                <w:sz w:val="16"/>
                <w:szCs w:val="16"/>
              </w:rPr>
            </w:pPr>
          </w:p>
        </w:tc>
      </w:tr>
      <w:tr w:rsidR="00886A8F" w:rsidRPr="00B6444F" w:rsidTr="003C3686">
        <w:tc>
          <w:tcPr>
            <w:tcW w:w="1054" w:type="pct"/>
            <w:tcBorders>
              <w:top w:val="nil"/>
              <w:left w:val="nil"/>
              <w:bottom w:val="nil"/>
              <w:right w:val="nil"/>
            </w:tcBorders>
          </w:tcPr>
          <w:p w:rsidR="00886A8F" w:rsidRPr="000A12D1" w:rsidRDefault="00886A8F" w:rsidP="003C3686">
            <w:pPr>
              <w:spacing w:line="240" w:lineRule="auto"/>
              <w:rPr>
                <w:sz w:val="16"/>
                <w:szCs w:val="16"/>
              </w:rPr>
            </w:pPr>
            <w:r>
              <w:rPr>
                <w:sz w:val="16"/>
                <w:szCs w:val="16"/>
              </w:rPr>
              <w:t xml:space="preserve">Nízkoinflační prostředí přispívá k růstu kupní síly zaměstnanců </w:t>
            </w:r>
          </w:p>
        </w:tc>
        <w:tc>
          <w:tcPr>
            <w:tcW w:w="143" w:type="pct"/>
            <w:tcBorders>
              <w:top w:val="nil"/>
              <w:left w:val="nil"/>
              <w:bottom w:val="nil"/>
              <w:right w:val="nil"/>
            </w:tcBorders>
          </w:tcPr>
          <w:p w:rsidR="00886A8F" w:rsidRPr="000A12D1" w:rsidRDefault="00886A8F" w:rsidP="003C3686">
            <w:pPr>
              <w:pStyle w:val="Textpoznpodarou"/>
              <w:jc w:val="both"/>
            </w:pPr>
          </w:p>
        </w:tc>
        <w:tc>
          <w:tcPr>
            <w:tcW w:w="3803" w:type="pct"/>
            <w:tcBorders>
              <w:top w:val="nil"/>
              <w:left w:val="nil"/>
              <w:bottom w:val="nil"/>
              <w:right w:val="nil"/>
            </w:tcBorders>
          </w:tcPr>
          <w:p w:rsidR="00886A8F" w:rsidRPr="008621F3" w:rsidRDefault="00886A8F" w:rsidP="003C3686">
            <w:pPr>
              <w:pStyle w:val="Textpoznpodarou"/>
              <w:jc w:val="both"/>
            </w:pPr>
            <w:r w:rsidRPr="003B43AD">
              <w:rPr>
                <w:spacing w:val="-2"/>
              </w:rPr>
              <w:t>Nízká míra inflace a zrychlující růst průměrné mzdy se příznivě promítal</w:t>
            </w:r>
            <w:r>
              <w:rPr>
                <w:spacing w:val="-2"/>
              </w:rPr>
              <w:t xml:space="preserve">y do vývoje </w:t>
            </w:r>
            <w:r w:rsidRPr="008621F3">
              <w:t xml:space="preserve">kupní síly zaměstnanců. Zatímco v 1. čtvrtletí </w:t>
            </w:r>
            <w:r>
              <w:t xml:space="preserve">2015 </w:t>
            </w:r>
            <w:r w:rsidRPr="008621F3">
              <w:t xml:space="preserve">stoupla průměrná mzda v reálném vyjádření o 2,2 % meziročně, ve 2. již o 2,8 % a ve 3. čtvrtletí dokonce o 3,4 %. </w:t>
            </w:r>
            <w:r>
              <w:t>Narostla</w:t>
            </w:r>
            <w:r w:rsidRPr="008621F3">
              <w:t xml:space="preserve"> nejrychleji od posledních třech měsíců roku 2009, </w:t>
            </w:r>
            <w:r>
              <w:t>ve kterých</w:t>
            </w:r>
            <w:r w:rsidRPr="008621F3">
              <w:t xml:space="preserve"> vlivem hlubokého propadu</w:t>
            </w:r>
            <w:r>
              <w:t xml:space="preserve"> zahraniční poptávky </w:t>
            </w:r>
            <w:r w:rsidRPr="008621F3">
              <w:t>docházelo k propouštění méně kvalifikovaných a</w:t>
            </w:r>
            <w:r>
              <w:t> </w:t>
            </w:r>
            <w:r w:rsidRPr="008621F3">
              <w:t>tedy i nízkopříjmových zaměstnanců.</w:t>
            </w:r>
          </w:p>
        </w:tc>
      </w:tr>
    </w:tbl>
    <w:p w:rsidR="00886A8F" w:rsidRPr="00886A8F" w:rsidRDefault="00886A8F" w:rsidP="004762D8">
      <w:pPr>
        <w:rPr>
          <w:sz w:val="16"/>
          <w:szCs w:val="16"/>
          <w:lang w:eastAsia="ar-SA"/>
        </w:rPr>
      </w:pPr>
    </w:p>
    <w:tbl>
      <w:tblPr>
        <w:tblW w:w="5000" w:type="pct"/>
        <w:tblLook w:val="04A0"/>
      </w:tblPr>
      <w:tblGrid>
        <w:gridCol w:w="692"/>
        <w:gridCol w:w="4226"/>
        <w:gridCol w:w="716"/>
        <w:gridCol w:w="4220"/>
      </w:tblGrid>
      <w:tr w:rsidR="00886A8F" w:rsidRPr="007E77FB" w:rsidTr="00886A8F">
        <w:tc>
          <w:tcPr>
            <w:tcW w:w="351" w:type="pct"/>
          </w:tcPr>
          <w:p w:rsidR="00886A8F" w:rsidRPr="007E77FB" w:rsidRDefault="00886A8F" w:rsidP="003C3686">
            <w:pPr>
              <w:pStyle w:val="Textpoznpodarou"/>
              <w:rPr>
                <w:lang w:eastAsia="en-US"/>
              </w:rPr>
            </w:pPr>
            <w:r w:rsidRPr="007E77FB">
              <w:rPr>
                <w:lang w:eastAsia="en-US"/>
              </w:rPr>
              <w:t>Graf č. 15</w:t>
            </w:r>
          </w:p>
        </w:tc>
        <w:tc>
          <w:tcPr>
            <w:tcW w:w="2147" w:type="pct"/>
          </w:tcPr>
          <w:p w:rsidR="00886A8F" w:rsidRPr="007E77FB" w:rsidRDefault="00886A8F" w:rsidP="003C3686">
            <w:pPr>
              <w:pStyle w:val="Textpoznpodarou"/>
              <w:rPr>
                <w:lang w:eastAsia="en-US"/>
              </w:rPr>
            </w:pPr>
            <w:r w:rsidRPr="00886A8F">
              <w:rPr>
                <w:b/>
                <w:lang w:eastAsia="en-US"/>
              </w:rPr>
              <w:t xml:space="preserve">Počty zaměstnaných osob a zaměstnanců </w:t>
            </w:r>
            <w:r w:rsidRPr="007E77FB">
              <w:rPr>
                <w:lang w:eastAsia="en-US"/>
              </w:rPr>
              <w:t>(údaje národních účtů, očištěno o sezónní vlivy, y/y v %)</w:t>
            </w:r>
          </w:p>
        </w:tc>
        <w:tc>
          <w:tcPr>
            <w:tcW w:w="362" w:type="pct"/>
          </w:tcPr>
          <w:p w:rsidR="00886A8F" w:rsidRPr="007E77FB" w:rsidRDefault="00886A8F" w:rsidP="003C3686">
            <w:pPr>
              <w:pStyle w:val="Textpoznpodarou"/>
              <w:rPr>
                <w:lang w:eastAsia="en-US"/>
              </w:rPr>
            </w:pPr>
            <w:r w:rsidRPr="007E77FB">
              <w:rPr>
                <w:lang w:eastAsia="en-US"/>
              </w:rPr>
              <w:t>Graf č. 16</w:t>
            </w:r>
          </w:p>
        </w:tc>
        <w:tc>
          <w:tcPr>
            <w:tcW w:w="2140" w:type="pct"/>
          </w:tcPr>
          <w:p w:rsidR="00886A8F" w:rsidRPr="00886A8F" w:rsidRDefault="00886A8F" w:rsidP="003C3686">
            <w:pPr>
              <w:pStyle w:val="Textpoznpodarou"/>
              <w:rPr>
                <w:spacing w:val="-2"/>
                <w:lang w:eastAsia="en-US"/>
              </w:rPr>
            </w:pPr>
            <w:r w:rsidRPr="00886A8F">
              <w:rPr>
                <w:b/>
                <w:spacing w:val="-2"/>
                <w:lang w:eastAsia="en-US"/>
              </w:rPr>
              <w:t xml:space="preserve">Průměrná hrubá měsíční mzda nominálně a reálně </w:t>
            </w:r>
            <w:r w:rsidRPr="00886A8F">
              <w:rPr>
                <w:spacing w:val="-2"/>
                <w:lang w:eastAsia="en-US"/>
              </w:rPr>
              <w:t>(na přepočtené počty zaměstnanců, y/y v %)</w:t>
            </w:r>
          </w:p>
        </w:tc>
      </w:tr>
      <w:tr w:rsidR="00886A8F" w:rsidRPr="007E77FB" w:rsidTr="00886A8F">
        <w:tc>
          <w:tcPr>
            <w:tcW w:w="2498" w:type="pct"/>
            <w:gridSpan w:val="2"/>
          </w:tcPr>
          <w:p w:rsidR="00886A8F" w:rsidRPr="007E77FB" w:rsidRDefault="00E21CAB" w:rsidP="00886A8F">
            <w:pPr>
              <w:pStyle w:val="Textpoznpodarou"/>
              <w:jc w:val="both"/>
              <w:rPr>
                <w:lang w:eastAsia="en-US"/>
              </w:rPr>
            </w:pPr>
            <w:r>
              <w:rPr>
                <w:noProof/>
              </w:rPr>
              <w:pict>
                <v:shape id="_x0000_i1039" type="#_x0000_t75" style="width:237pt;height:187.5pt;visibility:visible;mso-wrap-style:square">
                  <v:imagedata r:id="rId28" o:title=""/>
                </v:shape>
              </w:pict>
            </w:r>
          </w:p>
        </w:tc>
        <w:tc>
          <w:tcPr>
            <w:tcW w:w="2502" w:type="pct"/>
            <w:gridSpan w:val="2"/>
          </w:tcPr>
          <w:p w:rsidR="00886A8F" w:rsidRPr="007E77FB" w:rsidRDefault="00E21CAB" w:rsidP="00886A8F">
            <w:pPr>
              <w:pStyle w:val="Textpoznpodarou"/>
              <w:jc w:val="both"/>
              <w:rPr>
                <w:lang w:eastAsia="en-US"/>
              </w:rPr>
            </w:pPr>
            <w:r>
              <w:rPr>
                <w:noProof/>
              </w:rPr>
              <w:pict>
                <v:shape id="_x0000_i1040" type="#_x0000_t75" style="width:237.75pt;height:187.5pt;visibility:visible;mso-wrap-style:square">
                  <v:imagedata r:id="rId29" o:title=""/>
                </v:shape>
              </w:pict>
            </w:r>
          </w:p>
        </w:tc>
      </w:tr>
      <w:tr w:rsidR="00886A8F" w:rsidRPr="007E77FB" w:rsidTr="00886A8F">
        <w:tc>
          <w:tcPr>
            <w:tcW w:w="5000" w:type="pct"/>
            <w:gridSpan w:val="4"/>
          </w:tcPr>
          <w:p w:rsidR="00886A8F" w:rsidRPr="00886A8F" w:rsidRDefault="00886A8F" w:rsidP="00886A8F">
            <w:pPr>
              <w:pStyle w:val="Textpoznpodarou"/>
              <w:jc w:val="right"/>
              <w:rPr>
                <w:sz w:val="18"/>
                <w:szCs w:val="18"/>
                <w:lang w:eastAsia="en-US"/>
              </w:rPr>
            </w:pPr>
            <w:r w:rsidRPr="00886A8F">
              <w:rPr>
                <w:sz w:val="18"/>
                <w:szCs w:val="18"/>
                <w:lang w:eastAsia="en-US"/>
              </w:rPr>
              <w:t>Zdroj: ČSÚ</w:t>
            </w:r>
          </w:p>
        </w:tc>
      </w:tr>
    </w:tbl>
    <w:p w:rsidR="00886A8F" w:rsidRPr="00886A8F" w:rsidRDefault="00886A8F" w:rsidP="004762D8">
      <w:pPr>
        <w:rPr>
          <w:sz w:val="18"/>
          <w:szCs w:val="18"/>
          <w:lang w:eastAsia="ar-SA"/>
        </w:rPr>
      </w:pPr>
    </w:p>
    <w:p w:rsidR="00576A3E" w:rsidRPr="0075057A" w:rsidRDefault="00576A3E" w:rsidP="006D142E">
      <w:pPr>
        <w:pStyle w:val="Nadpis1"/>
        <w:numPr>
          <w:ilvl w:val="0"/>
          <w:numId w:val="3"/>
        </w:numPr>
        <w:jc w:val="both"/>
      </w:pPr>
      <w:bookmarkStart w:id="9" w:name="_Toc437874300"/>
      <w:r>
        <w:lastRenderedPageBreak/>
        <w:t>Měnové podmínky</w:t>
      </w:r>
      <w:bookmarkEnd w:id="9"/>
    </w:p>
    <w:tbl>
      <w:tblPr>
        <w:tblW w:w="5000" w:type="pct"/>
        <w:tblLayout w:type="fixed"/>
        <w:tblLook w:val="00A0"/>
      </w:tblPr>
      <w:tblGrid>
        <w:gridCol w:w="37"/>
        <w:gridCol w:w="790"/>
        <w:gridCol w:w="280"/>
        <w:gridCol w:w="976"/>
        <w:gridCol w:w="282"/>
        <w:gridCol w:w="2599"/>
        <w:gridCol w:w="788"/>
        <w:gridCol w:w="154"/>
        <w:gridCol w:w="3914"/>
        <w:gridCol w:w="34"/>
      </w:tblGrid>
      <w:tr w:rsidR="00485230" w:rsidRPr="00C75C7E" w:rsidTr="003C3686">
        <w:tc>
          <w:tcPr>
            <w:tcW w:w="1057" w:type="pct"/>
            <w:gridSpan w:val="4"/>
          </w:tcPr>
          <w:p w:rsidR="00485230" w:rsidRPr="00160CF3" w:rsidRDefault="00485230" w:rsidP="00125326">
            <w:pPr>
              <w:spacing w:line="240" w:lineRule="auto"/>
              <w:rPr>
                <w:sz w:val="16"/>
                <w:szCs w:val="16"/>
              </w:rPr>
            </w:pPr>
            <w:r>
              <w:rPr>
                <w:color w:val="000000"/>
                <w:spacing w:val="-2"/>
                <w:sz w:val="16"/>
                <w:szCs w:val="16"/>
              </w:rPr>
              <w:t>Peně</w:t>
            </w:r>
            <w:r w:rsidR="00125326">
              <w:rPr>
                <w:color w:val="000000"/>
                <w:spacing w:val="-2"/>
                <w:sz w:val="16"/>
                <w:szCs w:val="16"/>
              </w:rPr>
              <w:t>z v ekonomice přibylo meziročně</w:t>
            </w:r>
            <w:r>
              <w:rPr>
                <w:color w:val="000000"/>
                <w:spacing w:val="-2"/>
                <w:sz w:val="16"/>
                <w:szCs w:val="16"/>
              </w:rPr>
              <w:t xml:space="preserve"> nejvíce od</w:t>
            </w:r>
            <w:r w:rsidR="00125326">
              <w:rPr>
                <w:color w:val="000000"/>
                <w:spacing w:val="-2"/>
                <w:sz w:val="16"/>
                <w:szCs w:val="16"/>
              </w:rPr>
              <w:t> </w:t>
            </w:r>
            <w:r>
              <w:rPr>
                <w:color w:val="000000"/>
                <w:spacing w:val="-2"/>
                <w:sz w:val="16"/>
                <w:szCs w:val="16"/>
              </w:rPr>
              <w:t>konce konjunktury české ekonomiky z předchozí dekády</w:t>
            </w:r>
            <w:r w:rsidRPr="00160CF3">
              <w:rPr>
                <w:color w:val="000000"/>
                <w:spacing w:val="-2"/>
                <w:sz w:val="16"/>
                <w:szCs w:val="16"/>
              </w:rPr>
              <w:t xml:space="preserve"> </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Měnové podmínky charakterizoval bě</w:t>
            </w:r>
            <w:r w:rsidR="004005C1">
              <w:rPr>
                <w:rFonts w:ascii="Arial" w:hAnsi="Arial" w:cs="Arial"/>
                <w:sz w:val="20"/>
                <w:szCs w:val="20"/>
              </w:rPr>
              <w:t>hem prvních devíti měsíců 2015 – zejména však ve 3. čtvrtletí –</w:t>
            </w:r>
            <w:r>
              <w:rPr>
                <w:rFonts w:ascii="Arial" w:hAnsi="Arial" w:cs="Arial"/>
                <w:sz w:val="20"/>
                <w:szCs w:val="20"/>
              </w:rPr>
              <w:t xml:space="preserve"> velmi rychlý růst zásoby peněz, další prudké posílení všech typů firemních depozit a zrychlení jim poskytovaných úvěrů (především dlouhodobých). Směnný kurz koruny držený ČNB nad 27 CZK/EUR, základní úrokové sazby na technické nule a rychlejší růst peněžního agregátu M2 (+7,7 % y/y) oproti růstu nominálního H</w:t>
            </w:r>
            <w:r w:rsidR="003C3686">
              <w:rPr>
                <w:rFonts w:ascii="Arial" w:hAnsi="Arial" w:cs="Arial"/>
                <w:sz w:val="20"/>
                <w:szCs w:val="20"/>
              </w:rPr>
              <w:t xml:space="preserve">DP (+4,4 %) v úhrnu dokreslují </w:t>
            </w:r>
            <w:r>
              <w:rPr>
                <w:rFonts w:ascii="Arial" w:hAnsi="Arial" w:cs="Arial"/>
                <w:sz w:val="20"/>
                <w:szCs w:val="20"/>
              </w:rPr>
              <w:t xml:space="preserve">přetrvávající expanzivitu měnových podmínek v ČR a rámují robustní růst české ekonomiky.  </w:t>
            </w:r>
          </w:p>
          <w:p w:rsidR="00485230" w:rsidRPr="00860706"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 xml:space="preserve">Peněžní zásoba agregátu M2 stoupla koncem září na 3 546,8 mld. korun. Rychleji stoupla naposled před šesti a půl roky v závěru silné konjunktury. </w:t>
            </w:r>
          </w:p>
          <w:p w:rsidR="00485230" w:rsidRPr="00860706" w:rsidRDefault="00485230" w:rsidP="003C3686">
            <w:pPr>
              <w:pStyle w:val="Zhlav"/>
              <w:spacing w:line="240" w:lineRule="auto"/>
              <w:jc w:val="both"/>
              <w:rPr>
                <w:rFonts w:ascii="Arial" w:hAnsi="Arial" w:cs="Arial"/>
                <w:sz w:val="14"/>
                <w:szCs w:val="14"/>
              </w:rPr>
            </w:pPr>
          </w:p>
        </w:tc>
      </w:tr>
      <w:tr w:rsidR="00485230" w:rsidRPr="00C75C7E" w:rsidTr="003C3686">
        <w:tc>
          <w:tcPr>
            <w:tcW w:w="1057" w:type="pct"/>
            <w:gridSpan w:val="4"/>
          </w:tcPr>
          <w:p w:rsidR="00485230" w:rsidRDefault="00485230" w:rsidP="003C3686">
            <w:pPr>
              <w:spacing w:line="240" w:lineRule="auto"/>
              <w:rPr>
                <w:color w:val="000000"/>
                <w:spacing w:val="-2"/>
                <w:sz w:val="16"/>
                <w:szCs w:val="16"/>
              </w:rPr>
            </w:pPr>
            <w:r>
              <w:rPr>
                <w:color w:val="000000"/>
                <w:spacing w:val="-2"/>
                <w:sz w:val="16"/>
                <w:szCs w:val="16"/>
              </w:rPr>
              <w:t>Úvěry firmám významně rostou ve srovnání se sla</w:t>
            </w:r>
            <w:r w:rsidR="00125326">
              <w:rPr>
                <w:color w:val="000000"/>
                <w:spacing w:val="-2"/>
                <w:sz w:val="16"/>
                <w:szCs w:val="16"/>
              </w:rPr>
              <w:t>bými meziročními tempy ve třech</w:t>
            </w:r>
            <w:r w:rsidR="004005C1">
              <w:rPr>
                <w:color w:val="000000"/>
                <w:spacing w:val="-2"/>
                <w:sz w:val="16"/>
                <w:szCs w:val="16"/>
              </w:rPr>
              <w:t xml:space="preserve"> čtvrtletích let 2012</w:t>
            </w:r>
            <w:r w:rsidR="004005C1" w:rsidRPr="004005C1">
              <w:rPr>
                <w:color w:val="000000"/>
                <w:spacing w:val="-2"/>
                <w:sz w:val="16"/>
                <w:szCs w:val="16"/>
              </w:rPr>
              <w:t>–</w:t>
            </w:r>
            <w:r>
              <w:rPr>
                <w:color w:val="000000"/>
                <w:spacing w:val="-2"/>
                <w:sz w:val="16"/>
                <w:szCs w:val="16"/>
              </w:rPr>
              <w:t>2014…</w:t>
            </w:r>
          </w:p>
        </w:tc>
        <w:tc>
          <w:tcPr>
            <w:tcW w:w="143" w:type="pct"/>
          </w:tcPr>
          <w:p w:rsidR="00485230" w:rsidRDefault="00485230" w:rsidP="003C3686">
            <w:pPr>
              <w:pStyle w:val="Textpoznpodarou"/>
              <w:jc w:val="both"/>
            </w:pPr>
          </w:p>
        </w:tc>
        <w:tc>
          <w:tcPr>
            <w:tcW w:w="3800" w:type="pct"/>
            <w:gridSpan w:val="5"/>
          </w:tcPr>
          <w:p w:rsidR="00485230" w:rsidRDefault="004005C1" w:rsidP="003C3686">
            <w:pPr>
              <w:pStyle w:val="Zhlav"/>
              <w:spacing w:line="240" w:lineRule="auto"/>
              <w:jc w:val="both"/>
              <w:rPr>
                <w:rFonts w:ascii="Arial" w:hAnsi="Arial" w:cs="Arial"/>
                <w:sz w:val="20"/>
                <w:szCs w:val="20"/>
              </w:rPr>
            </w:pPr>
            <w:r>
              <w:rPr>
                <w:rFonts w:ascii="Arial" w:hAnsi="Arial" w:cs="Arial"/>
                <w:sz w:val="20"/>
                <w:szCs w:val="20"/>
              </w:rPr>
              <w:t>Úvěrová expanze let 2005–</w:t>
            </w:r>
            <w:r w:rsidR="00485230">
              <w:rPr>
                <w:rFonts w:ascii="Arial" w:hAnsi="Arial" w:cs="Arial"/>
                <w:sz w:val="20"/>
                <w:szCs w:val="20"/>
              </w:rPr>
              <w:t>2008 táhla růst zásoby peněz v ČR při více</w:t>
            </w:r>
            <w:r w:rsidR="00125326">
              <w:rPr>
                <w:rFonts w:ascii="Arial" w:hAnsi="Arial" w:cs="Arial"/>
                <w:sz w:val="20"/>
                <w:szCs w:val="20"/>
              </w:rPr>
              <w:t xml:space="preserve"> </w:t>
            </w:r>
            <w:r w:rsidR="00485230">
              <w:rPr>
                <w:rFonts w:ascii="Arial" w:hAnsi="Arial" w:cs="Arial"/>
                <w:sz w:val="20"/>
                <w:szCs w:val="20"/>
              </w:rPr>
              <w:t>než pětinových ročních přírůstkům půjček domácnostem a firmám. Nynější tempo úvěrů se této dynamice zatím neblíží (+8,4 % y/y koncem září 2015) přesto, že v</w:t>
            </w:r>
            <w:r w:rsidR="00125326">
              <w:rPr>
                <w:rFonts w:ascii="Arial" w:hAnsi="Arial" w:cs="Arial"/>
                <w:sz w:val="20"/>
                <w:szCs w:val="20"/>
              </w:rPr>
              <w:t> </w:t>
            </w:r>
            <w:r w:rsidR="00485230">
              <w:rPr>
                <w:rFonts w:ascii="Arial" w:hAnsi="Arial" w:cs="Arial"/>
                <w:sz w:val="20"/>
                <w:szCs w:val="20"/>
              </w:rPr>
              <w:t xml:space="preserve">samotném 3. čtvrtletí 2015 zejména úvěry firmám znatelně zrychlily (na +11,8 % meziročně oproti +2,4 % ve stejném období 2014). Velmi rychle, o více než pětinu (+22,3 %), narostly dlouhodobé půjčky firmám poskytované v cizí měně.  </w:t>
            </w:r>
          </w:p>
          <w:p w:rsidR="00485230" w:rsidRPr="00860706" w:rsidRDefault="00485230" w:rsidP="003C3686">
            <w:pPr>
              <w:pStyle w:val="Zhlav"/>
              <w:spacing w:line="240" w:lineRule="auto"/>
              <w:jc w:val="both"/>
              <w:rPr>
                <w:rFonts w:ascii="Arial" w:hAnsi="Arial" w:cs="Arial"/>
                <w:sz w:val="16"/>
                <w:szCs w:val="16"/>
              </w:rPr>
            </w:pPr>
          </w:p>
        </w:tc>
      </w:tr>
      <w:tr w:rsidR="00485230" w:rsidRPr="00C75C7E" w:rsidTr="003C3686">
        <w:tc>
          <w:tcPr>
            <w:tcW w:w="1057" w:type="pct"/>
            <w:gridSpan w:val="4"/>
          </w:tcPr>
          <w:p w:rsidR="00485230" w:rsidRDefault="00485230" w:rsidP="003C3686">
            <w:pPr>
              <w:spacing w:line="240" w:lineRule="auto"/>
              <w:rPr>
                <w:color w:val="000000"/>
                <w:spacing w:val="-2"/>
                <w:sz w:val="16"/>
                <w:szCs w:val="16"/>
              </w:rPr>
            </w:pPr>
            <w:r>
              <w:rPr>
                <w:color w:val="000000"/>
                <w:spacing w:val="-2"/>
                <w:sz w:val="16"/>
                <w:szCs w:val="16"/>
              </w:rPr>
              <w:t xml:space="preserve">… při současném mohutném růstu firemních depozit jak na běžných, tak </w:t>
            </w:r>
            <w:r w:rsidR="004005C1">
              <w:rPr>
                <w:color w:val="000000"/>
                <w:spacing w:val="-2"/>
                <w:sz w:val="16"/>
                <w:szCs w:val="16"/>
              </w:rPr>
              <w:t xml:space="preserve">nově i na účtech termínovaných </w:t>
            </w:r>
            <w:r w:rsidR="004005C1" w:rsidRPr="004005C1">
              <w:rPr>
                <w:color w:val="000000"/>
                <w:spacing w:val="-2"/>
                <w:sz w:val="16"/>
                <w:szCs w:val="16"/>
              </w:rPr>
              <w:t>–</w:t>
            </w:r>
            <w:r>
              <w:rPr>
                <w:color w:val="000000"/>
                <w:spacing w:val="-2"/>
                <w:sz w:val="16"/>
                <w:szCs w:val="16"/>
              </w:rPr>
              <w:t xml:space="preserve"> roční přírůstek jen na běžných účtech činil koncem září +123,9 mld. proti +101,9 mld. koncem pololetí 2015 </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 xml:space="preserve">Nejde však o jedinou výraznou změnu v nakládání firem s finančními prostředky. Pokračují i rekordní přírůstky firemních depozit. Na běžných účtech měly firmy koncem září 2015 přes 879 mld. korun, tj. o 123,9 mld. korun (+16,4 %) více než před rokem. Koncem pololetí 2015 šlo přitom o meziroční růst +101,9 mld. korun. </w:t>
            </w:r>
          </w:p>
          <w:p w:rsidR="00485230" w:rsidRPr="003D5D7A"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 xml:space="preserve">Dosud nikdy nebyl tak vysoký roční přírůstek vkladů firem na jejich běžných účtech zaznamenán. Potvrzuje to, že firmy začaly více využívat i cizí zdroje (úvěrové podmínky začaly zřejmě pokládat za výhodné). </w:t>
            </w:r>
          </w:p>
          <w:p w:rsidR="00485230" w:rsidRPr="003D5D7A"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Firmy však hromadí nejen peníze s vysokou likviditou, ale zvyšují také své úložky na depozitech v podobě „faktických úspor“, tj. na vkladech termínovaných (se splatností a s výpovědní lhůtou). Jde o jev za poslední tř</w:t>
            </w:r>
            <w:r w:rsidR="00DA28B7">
              <w:rPr>
                <w:rFonts w:ascii="Arial" w:hAnsi="Arial" w:cs="Arial"/>
                <w:sz w:val="20"/>
                <w:szCs w:val="20"/>
              </w:rPr>
              <w:t>i</w:t>
            </w:r>
            <w:r>
              <w:rPr>
                <w:rFonts w:ascii="Arial" w:hAnsi="Arial" w:cs="Arial"/>
                <w:sz w:val="20"/>
                <w:szCs w:val="20"/>
              </w:rPr>
              <w:t xml:space="preserve"> roky nezvyklý – firemní vklady se splatností totiž každé čtvrtletí od posledního kvartálu 2012 meziročně klesaly (tvoří přitom 90 % objemu te</w:t>
            </w:r>
            <w:r w:rsidR="004005C1">
              <w:rPr>
                <w:rFonts w:ascii="Arial" w:hAnsi="Arial" w:cs="Arial"/>
                <w:sz w:val="20"/>
                <w:szCs w:val="20"/>
              </w:rPr>
              <w:t>rmínovaných firemních depozit).</w:t>
            </w:r>
          </w:p>
          <w:p w:rsidR="00485230" w:rsidRPr="00860706" w:rsidRDefault="00485230" w:rsidP="003C3686">
            <w:pPr>
              <w:pStyle w:val="Zhlav"/>
              <w:spacing w:line="240" w:lineRule="auto"/>
              <w:jc w:val="both"/>
              <w:rPr>
                <w:rFonts w:ascii="Arial" w:hAnsi="Arial" w:cs="Arial"/>
                <w:sz w:val="14"/>
                <w:szCs w:val="14"/>
              </w:rPr>
            </w:pPr>
          </w:p>
        </w:tc>
      </w:tr>
      <w:tr w:rsidR="00485230" w:rsidRPr="00C75C7E" w:rsidTr="003C3686">
        <w:tc>
          <w:tcPr>
            <w:tcW w:w="1057" w:type="pct"/>
            <w:gridSpan w:val="4"/>
          </w:tcPr>
          <w:p w:rsidR="00485230" w:rsidRDefault="00485230" w:rsidP="003D5D7A">
            <w:pPr>
              <w:spacing w:line="240" w:lineRule="auto"/>
              <w:rPr>
                <w:color w:val="000000"/>
                <w:spacing w:val="-2"/>
                <w:sz w:val="16"/>
                <w:szCs w:val="16"/>
              </w:rPr>
            </w:pPr>
            <w:r>
              <w:rPr>
                <w:color w:val="000000"/>
                <w:spacing w:val="-2"/>
                <w:sz w:val="16"/>
                <w:szCs w:val="16"/>
              </w:rPr>
              <w:t>Výrazně zvětšený prostor pro nárůst mezd a</w:t>
            </w:r>
            <w:r w:rsidR="003D5D7A">
              <w:rPr>
                <w:color w:val="000000"/>
                <w:spacing w:val="-2"/>
                <w:sz w:val="16"/>
                <w:szCs w:val="16"/>
              </w:rPr>
              <w:t> </w:t>
            </w:r>
            <w:r>
              <w:rPr>
                <w:color w:val="000000"/>
                <w:spacing w:val="-2"/>
                <w:sz w:val="16"/>
                <w:szCs w:val="16"/>
              </w:rPr>
              <w:t>pokraču</w:t>
            </w:r>
            <w:r w:rsidR="004005C1">
              <w:rPr>
                <w:color w:val="000000"/>
                <w:spacing w:val="-2"/>
                <w:sz w:val="16"/>
                <w:szCs w:val="16"/>
              </w:rPr>
              <w:t xml:space="preserve">jící investiční aktivitu firem </w:t>
            </w:r>
            <w:r w:rsidR="004005C1" w:rsidRPr="004005C1">
              <w:rPr>
                <w:color w:val="000000"/>
                <w:spacing w:val="-2"/>
                <w:sz w:val="16"/>
                <w:szCs w:val="16"/>
              </w:rPr>
              <w:t>–</w:t>
            </w:r>
            <w:r>
              <w:rPr>
                <w:color w:val="000000"/>
                <w:spacing w:val="-2"/>
                <w:sz w:val="16"/>
                <w:szCs w:val="16"/>
              </w:rPr>
              <w:t xml:space="preserve"> jen v samotném 3. čtvrtletí přibylo na běžných účtech firem 52,4 mld. korun proti +3,5 mld. ve 2. čtvrtletí</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Mohutné</w:t>
            </w:r>
            <w:r w:rsidR="004005C1">
              <w:rPr>
                <w:rFonts w:ascii="Arial" w:hAnsi="Arial" w:cs="Arial"/>
                <w:sz w:val="20"/>
                <w:szCs w:val="20"/>
              </w:rPr>
              <w:t xml:space="preserve"> soustřeďování vlastních peněz –</w:t>
            </w:r>
            <w:r>
              <w:rPr>
                <w:rFonts w:ascii="Arial" w:hAnsi="Arial" w:cs="Arial"/>
                <w:sz w:val="20"/>
                <w:szCs w:val="20"/>
              </w:rPr>
              <w:t xml:space="preserve"> už nikoli hlavně na běžných účtech, a</w:t>
            </w:r>
            <w:r w:rsidR="004005C1">
              <w:rPr>
                <w:rFonts w:ascii="Arial" w:hAnsi="Arial" w:cs="Arial"/>
                <w:sz w:val="20"/>
                <w:szCs w:val="20"/>
              </w:rPr>
              <w:t>le i na termínovaných vkladech –</w:t>
            </w:r>
            <w:r>
              <w:rPr>
                <w:rFonts w:ascii="Arial" w:hAnsi="Arial" w:cs="Arial"/>
                <w:sz w:val="20"/>
                <w:szCs w:val="20"/>
              </w:rPr>
              <w:t xml:space="preserve"> spolu s rostoucím vyžíváním úvěrů ukazuje, že i</w:t>
            </w:r>
            <w:r w:rsidR="003D5D7A">
              <w:rPr>
                <w:rFonts w:ascii="Arial" w:hAnsi="Arial" w:cs="Arial"/>
                <w:sz w:val="20"/>
                <w:szCs w:val="20"/>
              </w:rPr>
              <w:t> </w:t>
            </w:r>
            <w:r>
              <w:rPr>
                <w:rFonts w:ascii="Arial" w:hAnsi="Arial" w:cs="Arial"/>
                <w:sz w:val="20"/>
                <w:szCs w:val="20"/>
              </w:rPr>
              <w:t xml:space="preserve">přes relativně vysokou investiční aktivitu a pozvolný nárůst mezd zaměstnancům disponují firmy stále </w:t>
            </w:r>
            <w:r w:rsidR="004541F1">
              <w:rPr>
                <w:rFonts w:ascii="Arial" w:hAnsi="Arial" w:cs="Arial"/>
                <w:sz w:val="20"/>
                <w:szCs w:val="20"/>
              </w:rPr>
              <w:t>enormními</w:t>
            </w:r>
            <w:r>
              <w:rPr>
                <w:rFonts w:ascii="Arial" w:hAnsi="Arial" w:cs="Arial"/>
                <w:sz w:val="20"/>
                <w:szCs w:val="20"/>
              </w:rPr>
              <w:t xml:space="preserve"> zisky docilovanými ze svých tržeb. Zisky používají nejen na investice a rostoucí „vybavenost“ firem penězi naznačuje, že potenciál pro nadcházej</w:t>
            </w:r>
            <w:r w:rsidR="004005C1">
              <w:rPr>
                <w:rFonts w:ascii="Arial" w:hAnsi="Arial" w:cs="Arial"/>
                <w:sz w:val="20"/>
                <w:szCs w:val="20"/>
              </w:rPr>
              <w:t>ící růst mezd se ještě zvětšil –</w:t>
            </w:r>
            <w:r>
              <w:rPr>
                <w:rFonts w:ascii="Arial" w:hAnsi="Arial" w:cs="Arial"/>
                <w:sz w:val="20"/>
                <w:szCs w:val="20"/>
              </w:rPr>
              <w:t xml:space="preserve"> jen za samotné 3. čtvrtletí přibylo na běžných účtech firem 52,4 mld. korun proti +3,5 mld. ve 2. čtvrtletí.   </w:t>
            </w:r>
          </w:p>
          <w:p w:rsidR="00485230" w:rsidRPr="00860706" w:rsidRDefault="00485230" w:rsidP="003C3686">
            <w:pPr>
              <w:pStyle w:val="Zhlav"/>
              <w:spacing w:line="240" w:lineRule="auto"/>
              <w:jc w:val="both"/>
              <w:rPr>
                <w:rFonts w:ascii="Arial" w:hAnsi="Arial" w:cs="Arial"/>
                <w:sz w:val="14"/>
                <w:szCs w:val="14"/>
              </w:rPr>
            </w:pPr>
          </w:p>
        </w:tc>
      </w:tr>
      <w:tr w:rsidR="00485230" w:rsidRPr="00C75C7E" w:rsidTr="003C3686">
        <w:tc>
          <w:tcPr>
            <w:tcW w:w="1057" w:type="pct"/>
            <w:gridSpan w:val="4"/>
          </w:tcPr>
          <w:p w:rsidR="00485230" w:rsidRDefault="00485230" w:rsidP="003C3686">
            <w:pPr>
              <w:spacing w:line="240" w:lineRule="auto"/>
              <w:rPr>
                <w:color w:val="000000"/>
                <w:spacing w:val="-2"/>
                <w:sz w:val="16"/>
                <w:szCs w:val="16"/>
              </w:rPr>
            </w:pPr>
            <w:r>
              <w:rPr>
                <w:color w:val="000000"/>
                <w:spacing w:val="-2"/>
                <w:sz w:val="16"/>
                <w:szCs w:val="16"/>
              </w:rPr>
              <w:t>Vládní sektor s nižší potřebou úvěrů</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Vládní sektor poprvé po roce a půl vykázal meziročně snížení čistého úvěru (vč.</w:t>
            </w:r>
            <w:r w:rsidR="003D5D7A">
              <w:rPr>
                <w:rFonts w:ascii="Arial" w:hAnsi="Arial" w:cs="Arial"/>
                <w:sz w:val="20"/>
                <w:szCs w:val="20"/>
              </w:rPr>
              <w:t> </w:t>
            </w:r>
            <w:r>
              <w:rPr>
                <w:rFonts w:ascii="Arial" w:hAnsi="Arial" w:cs="Arial"/>
                <w:sz w:val="20"/>
                <w:szCs w:val="20"/>
              </w:rPr>
              <w:t>cenných papírů) a to významně, o 10,4 % (v říj</w:t>
            </w:r>
            <w:r w:rsidR="00125326">
              <w:rPr>
                <w:rFonts w:ascii="Arial" w:hAnsi="Arial" w:cs="Arial"/>
                <w:sz w:val="20"/>
                <w:szCs w:val="20"/>
              </w:rPr>
              <w:t>nu pak dále o 14,7 %). Příčinou</w:t>
            </w:r>
            <w:r>
              <w:rPr>
                <w:rFonts w:ascii="Arial" w:hAnsi="Arial" w:cs="Arial"/>
                <w:sz w:val="20"/>
                <w:szCs w:val="20"/>
              </w:rPr>
              <w:t xml:space="preserve"> je zřejmě lepší výběr daní. V prvních měsících roku 2015 byl slabý a vyvolal vyšší potřebu úvěru, která byla v únoru, březnu i dubnu meziročně každý měsíc vyšší o</w:t>
            </w:r>
            <w:r w:rsidR="004005C1">
              <w:rPr>
                <w:rFonts w:ascii="Arial" w:hAnsi="Arial" w:cs="Arial"/>
                <w:sz w:val="20"/>
                <w:szCs w:val="20"/>
              </w:rPr>
              <w:t> </w:t>
            </w:r>
            <w:r w:rsidR="00713EEB">
              <w:rPr>
                <w:rFonts w:ascii="Arial" w:hAnsi="Arial" w:cs="Arial"/>
                <w:sz w:val="20"/>
                <w:szCs w:val="20"/>
              </w:rPr>
              <w:t>více než 60 %</w:t>
            </w:r>
            <w:r>
              <w:rPr>
                <w:rFonts w:ascii="Arial" w:hAnsi="Arial" w:cs="Arial"/>
                <w:sz w:val="20"/>
                <w:szCs w:val="20"/>
              </w:rPr>
              <w:t xml:space="preserve">. </w:t>
            </w:r>
            <w:r w:rsidR="00860706">
              <w:rPr>
                <w:rFonts w:ascii="Arial" w:hAnsi="Arial" w:cs="Arial"/>
                <w:sz w:val="20"/>
                <w:szCs w:val="20"/>
              </w:rPr>
              <w:t>Je však také možné, že svoji roli sehrálo např. řízení likvidity nebo čerpání peněz z fondů EU.</w:t>
            </w:r>
            <w:r>
              <w:rPr>
                <w:rFonts w:ascii="Arial" w:hAnsi="Arial" w:cs="Arial"/>
                <w:sz w:val="20"/>
                <w:szCs w:val="20"/>
              </w:rPr>
              <w:t xml:space="preserve"> </w:t>
            </w:r>
          </w:p>
          <w:p w:rsidR="00485230" w:rsidRPr="00860706" w:rsidRDefault="00485230" w:rsidP="003C3686">
            <w:pPr>
              <w:pStyle w:val="Zhlav"/>
              <w:spacing w:line="240" w:lineRule="auto"/>
              <w:jc w:val="both"/>
              <w:rPr>
                <w:rFonts w:ascii="Arial" w:hAnsi="Arial" w:cs="Arial"/>
                <w:sz w:val="14"/>
                <w:szCs w:val="14"/>
              </w:rPr>
            </w:pPr>
          </w:p>
        </w:tc>
      </w:tr>
      <w:tr w:rsidR="00485230" w:rsidRPr="00C75C7E" w:rsidTr="003C3686">
        <w:tc>
          <w:tcPr>
            <w:tcW w:w="1057" w:type="pct"/>
            <w:gridSpan w:val="4"/>
          </w:tcPr>
          <w:p w:rsidR="00485230" w:rsidRDefault="00DA28B7" w:rsidP="00DA28B7">
            <w:pPr>
              <w:spacing w:line="240" w:lineRule="auto"/>
              <w:rPr>
                <w:color w:val="000000"/>
                <w:spacing w:val="-2"/>
                <w:sz w:val="16"/>
                <w:szCs w:val="16"/>
              </w:rPr>
            </w:pPr>
            <w:r>
              <w:rPr>
                <w:color w:val="000000"/>
                <w:spacing w:val="-2"/>
                <w:sz w:val="16"/>
                <w:szCs w:val="16"/>
              </w:rPr>
              <w:t>Tempo úložek</w:t>
            </w:r>
            <w:r w:rsidR="00485230">
              <w:rPr>
                <w:color w:val="000000"/>
                <w:spacing w:val="-2"/>
                <w:sz w:val="16"/>
                <w:szCs w:val="16"/>
              </w:rPr>
              <w:t xml:space="preserve"> na netermínovaných vkladech domácností zůstává stejné…, </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Půjčky domácnostem rostly mírně (+5,7 % meziročně koncem 3. čtvrtletí proti +3,7 % ve stejném období 2014). Spolu s úvěry firmám šlo však o tempo v úhrnu významně rychlejší (+8,4 %) než před rokem (+3,1 %). Stejně jako u firem zrychlily úvěry domácnostem hlavně ve 3. čtvrtletí. Přírůstek jejich peněz na netermínovaných vkladech byl meziročně vyšší o 11,4 %, tj. zhruba průměrný růst předchozích dvanácti měsíců. Ovšem termínované vklady domácností pokračují v poklesech (vklady se splatností -6,1 %, vklady s výpovědní lhůtou -12,5 %</w:t>
            </w:r>
            <w:r w:rsidR="00DA28B7">
              <w:rPr>
                <w:rFonts w:ascii="Arial" w:hAnsi="Arial" w:cs="Arial"/>
                <w:sz w:val="20"/>
                <w:szCs w:val="20"/>
              </w:rPr>
              <w:t>)</w:t>
            </w:r>
            <w:r>
              <w:rPr>
                <w:rFonts w:ascii="Arial" w:hAnsi="Arial" w:cs="Arial"/>
                <w:sz w:val="20"/>
                <w:szCs w:val="20"/>
              </w:rPr>
              <w:t xml:space="preserve">. </w:t>
            </w:r>
          </w:p>
          <w:p w:rsidR="00485230" w:rsidRPr="00860706" w:rsidRDefault="00485230" w:rsidP="003C3686">
            <w:pPr>
              <w:pStyle w:val="Zhlav"/>
              <w:spacing w:line="240" w:lineRule="auto"/>
              <w:jc w:val="both"/>
              <w:rPr>
                <w:rFonts w:ascii="Arial" w:hAnsi="Arial" w:cs="Arial"/>
                <w:sz w:val="12"/>
                <w:szCs w:val="12"/>
              </w:rPr>
            </w:pPr>
          </w:p>
        </w:tc>
      </w:tr>
      <w:tr w:rsidR="00485230" w:rsidRPr="0032214F" w:rsidTr="003C3686">
        <w:tc>
          <w:tcPr>
            <w:tcW w:w="1057" w:type="pct"/>
            <w:gridSpan w:val="4"/>
          </w:tcPr>
          <w:p w:rsidR="00485230" w:rsidRDefault="00485230" w:rsidP="003D5D7A">
            <w:pPr>
              <w:spacing w:line="240" w:lineRule="auto"/>
              <w:rPr>
                <w:sz w:val="16"/>
                <w:szCs w:val="16"/>
              </w:rPr>
            </w:pPr>
            <w:r>
              <w:rPr>
                <w:sz w:val="16"/>
                <w:szCs w:val="16"/>
              </w:rPr>
              <w:t>… pokračuje však příklon domácnosti k úsporám jiným, než jsou bankovní vklady, tj. k investicím do podílových fondů a</w:t>
            </w:r>
            <w:r w:rsidR="003D5D7A">
              <w:rPr>
                <w:sz w:val="16"/>
                <w:szCs w:val="16"/>
              </w:rPr>
              <w:t> </w:t>
            </w:r>
            <w:r>
              <w:rPr>
                <w:sz w:val="16"/>
                <w:szCs w:val="16"/>
              </w:rPr>
              <w:t>úložkám na penzijní připojištění</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Projevuje se příklon domácností k investicím prostřednictvím podílových fondů, především smíšených. Podle správců těchto fondů se již české domácnosti začínají přibližovat standardu zemí západní Evropy, co se týče snahy po uchování hodnoty majetku. Koncem září připadala z hodnoty majetku obyvatelstva a</w:t>
            </w:r>
            <w:r w:rsidR="003D5D7A">
              <w:rPr>
                <w:rFonts w:ascii="Arial" w:hAnsi="Arial" w:cs="Arial"/>
                <w:sz w:val="20"/>
                <w:szCs w:val="20"/>
              </w:rPr>
              <w:t> </w:t>
            </w:r>
            <w:r>
              <w:rPr>
                <w:rFonts w:ascii="Arial" w:hAnsi="Arial" w:cs="Arial"/>
                <w:sz w:val="20"/>
                <w:szCs w:val="20"/>
              </w:rPr>
              <w:t xml:space="preserve">institucí v domácích </w:t>
            </w:r>
            <w:r w:rsidR="00DA28B7">
              <w:rPr>
                <w:rFonts w:ascii="Arial" w:hAnsi="Arial" w:cs="Arial"/>
                <w:sz w:val="20"/>
                <w:szCs w:val="20"/>
              </w:rPr>
              <w:t xml:space="preserve">i </w:t>
            </w:r>
            <w:r>
              <w:rPr>
                <w:rFonts w:ascii="Arial" w:hAnsi="Arial" w:cs="Arial"/>
                <w:sz w:val="20"/>
                <w:szCs w:val="20"/>
              </w:rPr>
              <w:t>zahraničních podílových fondech na fyzické osoby poměrná</w:t>
            </w:r>
            <w:r w:rsidR="004005C1">
              <w:rPr>
                <w:rFonts w:ascii="Arial" w:hAnsi="Arial" w:cs="Arial"/>
                <w:sz w:val="20"/>
                <w:szCs w:val="20"/>
              </w:rPr>
              <w:t xml:space="preserve"> část ve výši 290,7 mld. korun –</w:t>
            </w:r>
            <w:r>
              <w:rPr>
                <w:rFonts w:ascii="Arial" w:hAnsi="Arial" w:cs="Arial"/>
                <w:sz w:val="20"/>
                <w:szCs w:val="20"/>
              </w:rPr>
              <w:t xml:space="preserve"> tedy již více, než výše jejich bankovních </w:t>
            </w:r>
            <w:r>
              <w:rPr>
                <w:rFonts w:ascii="Arial" w:hAnsi="Arial" w:cs="Arial"/>
                <w:sz w:val="20"/>
                <w:szCs w:val="20"/>
              </w:rPr>
              <w:lastRenderedPageBreak/>
              <w:t xml:space="preserve">vkladů se splatností (286 mld. korun). Další z alternativ spoření k bankovním vkladům, úložky na penzijním připojištění, vykázaly prostředky evidované ve prospěch účastníků koncem 3. čtvrtletí ve výši 333,3 mld. korun.  </w:t>
            </w:r>
          </w:p>
          <w:p w:rsidR="00485230" w:rsidRPr="00923651" w:rsidRDefault="00485230" w:rsidP="003C3686">
            <w:pPr>
              <w:pStyle w:val="Zhlav"/>
              <w:spacing w:line="240" w:lineRule="auto"/>
              <w:jc w:val="both"/>
              <w:rPr>
                <w:rFonts w:ascii="Arial" w:hAnsi="Arial" w:cs="Arial"/>
                <w:sz w:val="16"/>
                <w:szCs w:val="16"/>
              </w:rPr>
            </w:pPr>
          </w:p>
        </w:tc>
      </w:tr>
      <w:tr w:rsidR="00485230" w:rsidRPr="0032214F" w:rsidTr="003C3686">
        <w:tc>
          <w:tcPr>
            <w:tcW w:w="1057" w:type="pct"/>
            <w:gridSpan w:val="4"/>
          </w:tcPr>
          <w:p w:rsidR="00485230" w:rsidRDefault="00485230" w:rsidP="003D5D7A">
            <w:pPr>
              <w:spacing w:line="240" w:lineRule="auto"/>
              <w:rPr>
                <w:sz w:val="16"/>
                <w:szCs w:val="16"/>
              </w:rPr>
            </w:pPr>
            <w:r>
              <w:rPr>
                <w:color w:val="000000"/>
                <w:spacing w:val="-2"/>
                <w:sz w:val="16"/>
                <w:szCs w:val="16"/>
              </w:rPr>
              <w:lastRenderedPageBreak/>
              <w:t>Lidé se půjčují na bydlení více</w:t>
            </w:r>
            <w:r>
              <w:rPr>
                <w:sz w:val="16"/>
                <w:szCs w:val="16"/>
              </w:rPr>
              <w:t xml:space="preserve"> především od</w:t>
            </w:r>
            <w:r w:rsidR="003D5D7A">
              <w:rPr>
                <w:sz w:val="16"/>
                <w:szCs w:val="16"/>
              </w:rPr>
              <w:t> </w:t>
            </w:r>
            <w:r>
              <w:rPr>
                <w:sz w:val="16"/>
                <w:szCs w:val="16"/>
              </w:rPr>
              <w:t>hypotečních bank, stavební spořitelny díky horšímu úročení „netáhnou“</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Textpoznpodarou"/>
              <w:jc w:val="both"/>
            </w:pPr>
            <w:r>
              <w:rPr>
                <w:rFonts w:cs="Arial"/>
              </w:rPr>
              <w:t>Zájem o vlastní bydlení financované úvěrem opět mírně vzrostl. Lidé si podle dat z konce září půjčili na bydlení o 7,3 % více než před rokem (tehdy roční přírůstek +5,9 %). Nízké úrokové sazby hypotečních úvěrů byly i přes rostoucí ceny nemovitostí dost atraktivní, aby objem těchto úvěrů stoupl meziročně o 8,1 %. Stavy řádných úvěrů od stavebních spořitelen však stále klesají (-9,1 %) při slabém růstu překlenovacích úvěrů (+2,5 %).</w:t>
            </w:r>
          </w:p>
          <w:p w:rsidR="00485230" w:rsidRPr="00923651" w:rsidRDefault="00485230" w:rsidP="003C3686">
            <w:pPr>
              <w:pStyle w:val="Textpoznpodarou"/>
              <w:jc w:val="both"/>
              <w:rPr>
                <w:sz w:val="16"/>
                <w:szCs w:val="16"/>
              </w:rPr>
            </w:pPr>
          </w:p>
        </w:tc>
      </w:tr>
      <w:tr w:rsidR="00485230" w:rsidRPr="0032214F" w:rsidTr="003C3686">
        <w:tc>
          <w:tcPr>
            <w:tcW w:w="1057" w:type="pct"/>
            <w:gridSpan w:val="4"/>
          </w:tcPr>
          <w:p w:rsidR="00485230" w:rsidRDefault="00485230" w:rsidP="003C3686">
            <w:pPr>
              <w:spacing w:line="240" w:lineRule="auto"/>
              <w:rPr>
                <w:color w:val="000000"/>
                <w:sz w:val="16"/>
                <w:szCs w:val="16"/>
              </w:rPr>
            </w:pPr>
            <w:r>
              <w:rPr>
                <w:color w:val="000000"/>
                <w:sz w:val="16"/>
                <w:szCs w:val="16"/>
              </w:rPr>
              <w:t xml:space="preserve">Úrokové </w:t>
            </w:r>
            <w:r w:rsidR="00125326">
              <w:rPr>
                <w:color w:val="000000"/>
                <w:sz w:val="16"/>
                <w:szCs w:val="16"/>
              </w:rPr>
              <w:t>sazby bank už začaly podněcovat</w:t>
            </w:r>
            <w:r>
              <w:rPr>
                <w:color w:val="000000"/>
                <w:sz w:val="16"/>
                <w:szCs w:val="16"/>
              </w:rPr>
              <w:t xml:space="preserve"> zájem firem o úvěry; peníze  na jejich běžných účtech jsou „zaparkovány“ s úročením necelého promile p.a.</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V polovině roku 2008 sazby úvěrů firmám z nových obchodů činily 5,24 % p.a. a jejich úroveň stále klesala až na 1,92 % v půli roku 2015. Byla zřejmě už dost nízko, aby podnítila poptávku firem po úvěrech, neboť právě ve 3. čtvrtletí objem poskytn</w:t>
            </w:r>
            <w:r w:rsidR="00DA28B7">
              <w:rPr>
                <w:rFonts w:ascii="Arial" w:hAnsi="Arial" w:cs="Arial"/>
                <w:sz w:val="20"/>
                <w:szCs w:val="20"/>
              </w:rPr>
              <w:t xml:space="preserve">utých úvěrů významně zrychlil. </w:t>
            </w:r>
            <w:r>
              <w:rPr>
                <w:rFonts w:ascii="Arial" w:hAnsi="Arial" w:cs="Arial"/>
                <w:sz w:val="20"/>
                <w:szCs w:val="20"/>
              </w:rPr>
              <w:t>V září 2015 ale sazby pro firmy stouply vlivem jejich růstu u velkých úvěrů (+0,5 pb., ovšem v říjnu již opět poklesly).</w:t>
            </w:r>
          </w:p>
          <w:p w:rsidR="00485230" w:rsidRPr="003D5D7A"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 xml:space="preserve">Níže byly i sazby z firemních depozit (0,17 % resp. 0,70 % u vkladů se splatností a výpovědní lhůtou). Peníze na běžných účtech byly koncem září úročeny jen 0,09 %, ale i přes takto nevýhodné úročení je podniky na běžných účtech hromadí (v ročním přepočtu jim zde přibylo na úrocích 818 mil. korun). Jde o prostředky určené pohotově na běžné provozní financování a investice, ale také potenciálně na další růst mezd.  </w:t>
            </w:r>
          </w:p>
          <w:p w:rsidR="00485230" w:rsidRPr="00923651" w:rsidRDefault="00485230" w:rsidP="003C3686">
            <w:pPr>
              <w:pStyle w:val="Textpoznpodarou"/>
              <w:jc w:val="both"/>
              <w:rPr>
                <w:color w:val="000000"/>
                <w:sz w:val="16"/>
                <w:szCs w:val="16"/>
              </w:rPr>
            </w:pPr>
          </w:p>
        </w:tc>
      </w:tr>
      <w:tr w:rsidR="00485230" w:rsidRPr="0032214F" w:rsidTr="003C3686">
        <w:tc>
          <w:tcPr>
            <w:tcW w:w="1057" w:type="pct"/>
            <w:gridSpan w:val="4"/>
          </w:tcPr>
          <w:p w:rsidR="00485230" w:rsidRDefault="00485230" w:rsidP="003D5D7A">
            <w:pPr>
              <w:spacing w:line="240" w:lineRule="auto"/>
              <w:rPr>
                <w:color w:val="000000"/>
                <w:sz w:val="16"/>
                <w:szCs w:val="16"/>
              </w:rPr>
            </w:pPr>
            <w:r>
              <w:rPr>
                <w:color w:val="000000"/>
                <w:sz w:val="16"/>
                <w:szCs w:val="16"/>
              </w:rPr>
              <w:t>I přes mírný pokles sazeb u úvěrů na spotřebu lidé těchto půjček od bank ještě nezačali využívat v intenzitě z let před poslední recesí – ta zřejmě ovlivnila jejich postoj k dluhům na</w:t>
            </w:r>
            <w:r w:rsidR="003D5D7A">
              <w:rPr>
                <w:color w:val="000000"/>
                <w:sz w:val="16"/>
                <w:szCs w:val="16"/>
              </w:rPr>
              <w:t> </w:t>
            </w:r>
            <w:r>
              <w:rPr>
                <w:color w:val="000000"/>
                <w:sz w:val="16"/>
                <w:szCs w:val="16"/>
              </w:rPr>
              <w:t>spotřebu</w:t>
            </w:r>
          </w:p>
        </w:tc>
        <w:tc>
          <w:tcPr>
            <w:tcW w:w="143" w:type="pct"/>
          </w:tcPr>
          <w:p w:rsidR="00485230" w:rsidRDefault="00485230" w:rsidP="003C3686">
            <w:pPr>
              <w:pStyle w:val="Textpoznpodarou"/>
              <w:jc w:val="both"/>
            </w:pPr>
          </w:p>
        </w:tc>
        <w:tc>
          <w:tcPr>
            <w:tcW w:w="3800" w:type="pct"/>
            <w:gridSpan w:val="5"/>
          </w:tcPr>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Úrokové podmínky v úvěrově-depozitních obchodech</w:t>
            </w:r>
            <w:r w:rsidR="00DA28B7">
              <w:rPr>
                <w:rFonts w:ascii="Arial" w:hAnsi="Arial" w:cs="Arial"/>
                <w:sz w:val="20"/>
                <w:szCs w:val="20"/>
              </w:rPr>
              <w:t xml:space="preserve"> bank s domácnostmi se vyvíjely</w:t>
            </w:r>
            <w:r w:rsidR="00125326">
              <w:rPr>
                <w:rFonts w:ascii="Arial" w:hAnsi="Arial" w:cs="Arial"/>
                <w:sz w:val="20"/>
                <w:szCs w:val="20"/>
              </w:rPr>
              <w:t xml:space="preserve"> </w:t>
            </w:r>
            <w:r>
              <w:rPr>
                <w:rFonts w:ascii="Arial" w:hAnsi="Arial" w:cs="Arial"/>
                <w:sz w:val="20"/>
                <w:szCs w:val="20"/>
              </w:rPr>
              <w:t>podobně jako u firem</w:t>
            </w:r>
            <w:r w:rsidR="00713EEB">
              <w:rPr>
                <w:rFonts w:ascii="Arial" w:hAnsi="Arial" w:cs="Arial"/>
                <w:sz w:val="20"/>
                <w:szCs w:val="20"/>
              </w:rPr>
              <w:t>,</w:t>
            </w:r>
            <w:r>
              <w:rPr>
                <w:rFonts w:ascii="Arial" w:hAnsi="Arial" w:cs="Arial"/>
                <w:sz w:val="20"/>
                <w:szCs w:val="20"/>
              </w:rPr>
              <w:t xml:space="preserve"> jen co se týká jednodenních vkladů a vkladů s výpovědní lhůtou – jejich sazby meziročně poklesly (na 0,24 %, resp. 1,31 %). Na netermínovaných vkladech domácnost</w:t>
            </w:r>
            <w:r w:rsidR="00DA28B7">
              <w:rPr>
                <w:rFonts w:ascii="Arial" w:hAnsi="Arial" w:cs="Arial"/>
                <w:sz w:val="20"/>
                <w:szCs w:val="20"/>
              </w:rPr>
              <w:t>í</w:t>
            </w:r>
            <w:r>
              <w:rPr>
                <w:rFonts w:ascii="Arial" w:hAnsi="Arial" w:cs="Arial"/>
                <w:sz w:val="20"/>
                <w:szCs w:val="20"/>
              </w:rPr>
              <w:t xml:space="preserve"> přibylo meziročně 34,1 mld. na 1,482 bil. korun (jsou však</w:t>
            </w:r>
            <w:r w:rsidR="003C3686">
              <w:rPr>
                <w:rFonts w:ascii="Arial" w:hAnsi="Arial" w:cs="Arial"/>
                <w:sz w:val="20"/>
                <w:szCs w:val="20"/>
              </w:rPr>
              <w:t>,</w:t>
            </w:r>
            <w:r>
              <w:rPr>
                <w:rFonts w:ascii="Arial" w:hAnsi="Arial" w:cs="Arial"/>
                <w:sz w:val="20"/>
                <w:szCs w:val="20"/>
              </w:rPr>
              <w:t xml:space="preserve"> co se týká úrokových podmínek</w:t>
            </w:r>
            <w:r w:rsidR="003C3686">
              <w:rPr>
                <w:rFonts w:ascii="Arial" w:hAnsi="Arial" w:cs="Arial"/>
                <w:sz w:val="20"/>
                <w:szCs w:val="20"/>
              </w:rPr>
              <w:t>,</w:t>
            </w:r>
            <w:r>
              <w:rPr>
                <w:rFonts w:ascii="Arial" w:hAnsi="Arial" w:cs="Arial"/>
                <w:sz w:val="20"/>
                <w:szCs w:val="20"/>
              </w:rPr>
              <w:t xml:space="preserve"> méně přehledné, neboť některé banky k nim nabízejí i o něco lépe úročené účty spořící). Úrokové míry na účtech domácností se splatností se mírně zlepšily (na 1,45 % p.a.).   </w:t>
            </w:r>
          </w:p>
          <w:p w:rsidR="00485230" w:rsidRPr="003D5D7A" w:rsidRDefault="00485230" w:rsidP="003C3686">
            <w:pPr>
              <w:pStyle w:val="Zhlav"/>
              <w:spacing w:line="240" w:lineRule="auto"/>
              <w:jc w:val="both"/>
              <w:rPr>
                <w:rFonts w:ascii="Arial" w:hAnsi="Arial" w:cs="Arial"/>
                <w:sz w:val="14"/>
                <w:szCs w:val="14"/>
              </w:rPr>
            </w:pPr>
          </w:p>
          <w:p w:rsidR="00485230" w:rsidRDefault="00485230" w:rsidP="003C3686">
            <w:pPr>
              <w:pStyle w:val="Zhlav"/>
              <w:spacing w:line="240" w:lineRule="auto"/>
              <w:jc w:val="both"/>
              <w:rPr>
                <w:rFonts w:ascii="Arial" w:hAnsi="Arial" w:cs="Arial"/>
                <w:sz w:val="20"/>
                <w:szCs w:val="20"/>
              </w:rPr>
            </w:pPr>
            <w:r>
              <w:rPr>
                <w:rFonts w:ascii="Arial" w:hAnsi="Arial" w:cs="Arial"/>
                <w:sz w:val="20"/>
                <w:szCs w:val="20"/>
              </w:rPr>
              <w:t>Ve snaze podpořit poskytování úvěrů domácnostem na spotřebu</w:t>
            </w:r>
            <w:r w:rsidRPr="00D245BA">
              <w:rPr>
                <w:rStyle w:val="Znakapoznpodarou"/>
                <w:color w:val="000000"/>
              </w:rPr>
              <w:footnoteReference w:id="20"/>
            </w:r>
            <w:r>
              <w:rPr>
                <w:rFonts w:ascii="Arial" w:hAnsi="Arial" w:cs="Arial"/>
                <w:sz w:val="20"/>
                <w:szCs w:val="20"/>
              </w:rPr>
              <w:t xml:space="preserve"> snížily banky úrokové sazby z těchto půjček na 11,82 % z 13,79 %, ovšem u půjček na rok, kterých bývá většina, sazby naopak stouply (z 9,76 % na 12,59 %). Úvěry na bydlení dále zlevnily (2,58 %), půjčky s fixací sazby do pěti let ještě více (2,41 %). </w:t>
            </w:r>
          </w:p>
          <w:p w:rsidR="00485230" w:rsidRPr="00923651" w:rsidRDefault="00485230" w:rsidP="003C3686">
            <w:pPr>
              <w:pStyle w:val="Zhlav"/>
              <w:spacing w:line="240" w:lineRule="auto"/>
              <w:jc w:val="both"/>
              <w:rPr>
                <w:sz w:val="16"/>
                <w:szCs w:val="16"/>
              </w:rPr>
            </w:pPr>
          </w:p>
        </w:tc>
      </w:tr>
      <w:tr w:rsidR="00485230" w:rsidRPr="00EB4FA4" w:rsidTr="003C3686">
        <w:tblPrEx>
          <w:tblCellMar>
            <w:left w:w="70" w:type="dxa"/>
            <w:right w:w="70" w:type="dxa"/>
          </w:tblCellMar>
          <w:tblLook w:val="0000"/>
        </w:tblPrEx>
        <w:trPr>
          <w:gridBefore w:val="1"/>
          <w:gridAfter w:val="1"/>
          <w:wBefore w:w="19" w:type="pct"/>
          <w:wAfter w:w="17" w:type="pct"/>
        </w:trPr>
        <w:tc>
          <w:tcPr>
            <w:tcW w:w="543" w:type="pct"/>
            <w:gridSpan w:val="2"/>
          </w:tcPr>
          <w:p w:rsidR="00485230" w:rsidRPr="00CD4B29" w:rsidRDefault="00485230" w:rsidP="003C3686">
            <w:r w:rsidRPr="00CD4B29">
              <w:t xml:space="preserve">Graf č. 17 </w:t>
            </w:r>
          </w:p>
        </w:tc>
        <w:tc>
          <w:tcPr>
            <w:tcW w:w="1957" w:type="pct"/>
            <w:gridSpan w:val="3"/>
          </w:tcPr>
          <w:p w:rsidR="00485230" w:rsidRPr="009E3710" w:rsidRDefault="00485230" w:rsidP="003C3686">
            <w:pPr>
              <w:rPr>
                <w:b/>
              </w:rPr>
            </w:pPr>
            <w:r>
              <w:rPr>
                <w:b/>
                <w:bCs/>
              </w:rPr>
              <w:t>Dynamika peněžní zásoby M2 a nominálního HDP (</w:t>
            </w:r>
            <w:r w:rsidRPr="00591DBD">
              <w:rPr>
                <w:bCs/>
              </w:rPr>
              <w:t>y/y v %</w:t>
            </w:r>
            <w:r>
              <w:rPr>
                <w:bCs/>
              </w:rPr>
              <w:t>, sez. neoč.</w:t>
            </w:r>
            <w:r w:rsidRPr="00591DBD">
              <w:rPr>
                <w:bCs/>
              </w:rPr>
              <w:t>)</w:t>
            </w:r>
            <w:r>
              <w:rPr>
                <w:b/>
                <w:bCs/>
              </w:rPr>
              <w:t xml:space="preserve"> </w:t>
            </w:r>
            <w:r w:rsidRPr="009E3710">
              <w:rPr>
                <w:b/>
                <w:bCs/>
              </w:rPr>
              <w:t xml:space="preserve"> </w:t>
            </w:r>
          </w:p>
        </w:tc>
        <w:tc>
          <w:tcPr>
            <w:tcW w:w="478" w:type="pct"/>
            <w:gridSpan w:val="2"/>
          </w:tcPr>
          <w:p w:rsidR="00485230" w:rsidRPr="005A7069" w:rsidRDefault="00485230" w:rsidP="003C3686">
            <w:pPr>
              <w:rPr>
                <w:sz w:val="18"/>
                <w:szCs w:val="18"/>
              </w:rPr>
            </w:pPr>
            <w:r w:rsidRPr="005A7069">
              <w:rPr>
                <w:sz w:val="18"/>
                <w:szCs w:val="18"/>
              </w:rPr>
              <w:t>Graf č. 18</w:t>
            </w:r>
          </w:p>
        </w:tc>
        <w:tc>
          <w:tcPr>
            <w:tcW w:w="1986" w:type="pct"/>
          </w:tcPr>
          <w:p w:rsidR="00485230" w:rsidRPr="00EB4FA4" w:rsidRDefault="00485230" w:rsidP="003C3686">
            <w:pPr>
              <w:spacing w:line="240" w:lineRule="auto"/>
              <w:rPr>
                <w:b/>
                <w:szCs w:val="20"/>
              </w:rPr>
            </w:pPr>
            <w:r w:rsidRPr="005A7069">
              <w:rPr>
                <w:b/>
                <w:bCs/>
              </w:rPr>
              <w:t>Úvěry nefinančním podnikům (</w:t>
            </w:r>
            <w:r w:rsidRPr="005A7069">
              <w:rPr>
                <w:bCs/>
                <w:sz w:val="18"/>
                <w:szCs w:val="18"/>
              </w:rPr>
              <w:t>v CZK a cizí měně)</w:t>
            </w:r>
            <w:r>
              <w:rPr>
                <w:b/>
                <w:bCs/>
              </w:rPr>
              <w:t>, z toho dlouhodobé</w:t>
            </w:r>
            <w:r w:rsidRPr="005A7069">
              <w:rPr>
                <w:b/>
                <w:bCs/>
              </w:rPr>
              <w:t xml:space="preserve"> </w:t>
            </w:r>
            <w:r w:rsidRPr="00D143B5">
              <w:rPr>
                <w:bCs/>
                <w:sz w:val="18"/>
                <w:szCs w:val="18"/>
              </w:rPr>
              <w:t>(y/y v %)</w:t>
            </w:r>
          </w:p>
        </w:tc>
      </w:tr>
      <w:tr w:rsidR="00485230" w:rsidRPr="00E70510" w:rsidTr="003C3686">
        <w:tblPrEx>
          <w:tblCellMar>
            <w:left w:w="70" w:type="dxa"/>
            <w:right w:w="70" w:type="dxa"/>
          </w:tblCellMar>
          <w:tblLook w:val="0000"/>
        </w:tblPrEx>
        <w:trPr>
          <w:gridBefore w:val="1"/>
          <w:gridAfter w:val="1"/>
          <w:wBefore w:w="19" w:type="pct"/>
          <w:wAfter w:w="17" w:type="pct"/>
          <w:trHeight w:val="3256"/>
        </w:trPr>
        <w:tc>
          <w:tcPr>
            <w:tcW w:w="2500" w:type="pct"/>
            <w:gridSpan w:val="5"/>
          </w:tcPr>
          <w:p w:rsidR="00485230" w:rsidRPr="00215AF6" w:rsidRDefault="00E21CAB" w:rsidP="003C3686">
            <w:pPr>
              <w:pStyle w:val="Zhlav"/>
              <w:tabs>
                <w:tab w:val="clear" w:pos="4536"/>
                <w:tab w:val="clear" w:pos="9072"/>
              </w:tabs>
              <w:rPr>
                <w:rFonts w:ascii="Arial" w:hAnsi="Arial" w:cs="Arial"/>
                <w:sz w:val="20"/>
              </w:rPr>
            </w:pPr>
            <w:r w:rsidRPr="000A66C2">
              <w:rPr>
                <w:rFonts w:ascii="Arial" w:hAnsi="Arial" w:cs="Arial"/>
                <w:sz w:val="20"/>
              </w:rPr>
              <w:pict>
                <v:shape id="_x0000_i1041" type="#_x0000_t75" style="width:235.5pt;height:202.5pt">
                  <v:imagedata r:id="rId30" o:title=""/>
                </v:shape>
              </w:pict>
            </w:r>
          </w:p>
        </w:tc>
        <w:tc>
          <w:tcPr>
            <w:tcW w:w="2464" w:type="pct"/>
            <w:gridSpan w:val="3"/>
          </w:tcPr>
          <w:p w:rsidR="00485230" w:rsidRPr="005A7069" w:rsidRDefault="00E21CAB" w:rsidP="003C3686">
            <w:pPr>
              <w:pStyle w:val="Zhlav"/>
              <w:tabs>
                <w:tab w:val="clear" w:pos="4536"/>
                <w:tab w:val="clear" w:pos="9072"/>
              </w:tabs>
              <w:spacing w:line="235" w:lineRule="auto"/>
              <w:jc w:val="both"/>
              <w:rPr>
                <w:rFonts w:ascii="Arial" w:hAnsi="Arial" w:cs="Arial"/>
                <w:sz w:val="20"/>
              </w:rPr>
            </w:pPr>
            <w:r w:rsidRPr="000A66C2">
              <w:rPr>
                <w:rFonts w:ascii="Arial" w:hAnsi="Arial" w:cs="Arial"/>
                <w:sz w:val="20"/>
              </w:rPr>
              <w:pict>
                <v:shape id="_x0000_i1042" type="#_x0000_t75" style="width:228pt;height:201.75pt">
                  <v:imagedata r:id="rId31" o:title=""/>
                </v:shape>
              </w:pict>
            </w:r>
          </w:p>
        </w:tc>
      </w:tr>
      <w:tr w:rsidR="00485230" w:rsidRPr="00801FDD" w:rsidTr="003C3686">
        <w:tblPrEx>
          <w:tblCellMar>
            <w:left w:w="70" w:type="dxa"/>
            <w:right w:w="70" w:type="dxa"/>
          </w:tblCellMar>
          <w:tblLook w:val="0000"/>
        </w:tblPrEx>
        <w:trPr>
          <w:gridBefore w:val="1"/>
          <w:gridAfter w:val="1"/>
          <w:wBefore w:w="19" w:type="pct"/>
          <w:wAfter w:w="17" w:type="pct"/>
        </w:trPr>
        <w:tc>
          <w:tcPr>
            <w:tcW w:w="401" w:type="pct"/>
          </w:tcPr>
          <w:p w:rsidR="00485230" w:rsidRPr="00953AEF" w:rsidRDefault="00485230" w:rsidP="003C3686">
            <w:pPr>
              <w:rPr>
                <w:color w:val="FF0000"/>
              </w:rPr>
            </w:pPr>
          </w:p>
        </w:tc>
        <w:tc>
          <w:tcPr>
            <w:tcW w:w="2099" w:type="pct"/>
            <w:gridSpan w:val="4"/>
          </w:tcPr>
          <w:p w:rsidR="00485230" w:rsidRPr="00913041" w:rsidRDefault="00485230" w:rsidP="003C3686">
            <w:pPr>
              <w:rPr>
                <w:sz w:val="18"/>
                <w:szCs w:val="18"/>
              </w:rPr>
            </w:pPr>
            <w:r w:rsidRPr="00913041">
              <w:rPr>
                <w:b/>
                <w:sz w:val="18"/>
                <w:szCs w:val="18"/>
              </w:rPr>
              <w:t xml:space="preserve">                                           </w:t>
            </w:r>
            <w:r>
              <w:rPr>
                <w:b/>
                <w:sz w:val="18"/>
                <w:szCs w:val="18"/>
              </w:rPr>
              <w:t xml:space="preserve">      </w:t>
            </w:r>
            <w:r w:rsidRPr="00913041">
              <w:rPr>
                <w:sz w:val="18"/>
                <w:szCs w:val="18"/>
              </w:rPr>
              <w:t>Zdroj: ČSÚ, CNB</w:t>
            </w:r>
          </w:p>
        </w:tc>
        <w:tc>
          <w:tcPr>
            <w:tcW w:w="400" w:type="pct"/>
          </w:tcPr>
          <w:p w:rsidR="00485230" w:rsidRPr="00913041" w:rsidRDefault="00485230" w:rsidP="003C3686">
            <w:pPr>
              <w:rPr>
                <w:color w:val="FF0000"/>
                <w:sz w:val="18"/>
                <w:szCs w:val="18"/>
              </w:rPr>
            </w:pPr>
          </w:p>
        </w:tc>
        <w:tc>
          <w:tcPr>
            <w:tcW w:w="2064" w:type="pct"/>
            <w:gridSpan w:val="2"/>
          </w:tcPr>
          <w:p w:rsidR="00485230" w:rsidRPr="00913041" w:rsidRDefault="00485230" w:rsidP="003C3686">
            <w:pPr>
              <w:rPr>
                <w:sz w:val="18"/>
                <w:szCs w:val="18"/>
              </w:rPr>
            </w:pPr>
            <w:r w:rsidRPr="00913041">
              <w:rPr>
                <w:b/>
                <w:sz w:val="18"/>
                <w:szCs w:val="18"/>
              </w:rPr>
              <w:t xml:space="preserve">                                                       </w:t>
            </w:r>
            <w:r w:rsidRPr="00913041">
              <w:rPr>
                <w:sz w:val="18"/>
                <w:szCs w:val="18"/>
              </w:rPr>
              <w:t>Zdroj: ČNB</w:t>
            </w:r>
          </w:p>
        </w:tc>
      </w:tr>
    </w:tbl>
    <w:p w:rsidR="00576A3E" w:rsidRDefault="00576A3E" w:rsidP="006D142E">
      <w:pPr>
        <w:pStyle w:val="Nadpis1"/>
        <w:numPr>
          <w:ilvl w:val="0"/>
          <w:numId w:val="3"/>
        </w:numPr>
        <w:jc w:val="both"/>
      </w:pPr>
      <w:bookmarkStart w:id="10" w:name="_Toc437874301"/>
      <w:r>
        <w:lastRenderedPageBreak/>
        <w:t>Státní rozpočet</w:t>
      </w:r>
      <w:bookmarkEnd w:id="10"/>
    </w:p>
    <w:tbl>
      <w:tblPr>
        <w:tblW w:w="5063" w:type="pct"/>
        <w:tblCellMar>
          <w:left w:w="28" w:type="dxa"/>
          <w:right w:w="28" w:type="dxa"/>
        </w:tblCellMar>
        <w:tblLook w:val="04A0"/>
      </w:tblPr>
      <w:tblGrid>
        <w:gridCol w:w="594"/>
        <w:gridCol w:w="1449"/>
        <w:gridCol w:w="275"/>
        <w:gridCol w:w="2633"/>
        <w:gridCol w:w="705"/>
        <w:gridCol w:w="4038"/>
        <w:gridCol w:w="122"/>
      </w:tblGrid>
      <w:tr w:rsidR="000F5673" w:rsidRPr="003A21DC" w:rsidTr="000F5673">
        <w:trPr>
          <w:gridAfter w:val="1"/>
          <w:wAfter w:w="62" w:type="pct"/>
        </w:trPr>
        <w:tc>
          <w:tcPr>
            <w:tcW w:w="1041" w:type="pct"/>
            <w:gridSpan w:val="2"/>
          </w:tcPr>
          <w:p w:rsidR="000F5673" w:rsidRPr="00750404" w:rsidRDefault="000F5673" w:rsidP="000311C5">
            <w:pPr>
              <w:spacing w:line="240" w:lineRule="auto"/>
              <w:rPr>
                <w:color w:val="0D0D0D" w:themeColor="text1" w:themeTint="F2"/>
                <w:spacing w:val="-2"/>
                <w:szCs w:val="20"/>
              </w:rPr>
            </w:pPr>
            <w:r w:rsidRPr="00750404">
              <w:rPr>
                <w:rFonts w:cs="Arial"/>
                <w:bCs/>
                <w:iCs/>
                <w:color w:val="0D0D0D" w:themeColor="text1" w:themeTint="F2"/>
                <w:spacing w:val="-2"/>
                <w:sz w:val="16"/>
                <w:szCs w:val="16"/>
              </w:rPr>
              <w:t>Redukce deficitu státního rozpočtu pokračovala již čtvrtý rok v řadě</w:t>
            </w:r>
          </w:p>
        </w:tc>
        <w:tc>
          <w:tcPr>
            <w:tcW w:w="140" w:type="pct"/>
          </w:tcPr>
          <w:p w:rsidR="000F5673" w:rsidRPr="009720D9" w:rsidRDefault="000F5673" w:rsidP="000311C5">
            <w:pPr>
              <w:pStyle w:val="Textpoznpodarou"/>
              <w:jc w:val="both"/>
              <w:rPr>
                <w:color w:val="0D0D0D" w:themeColor="text1" w:themeTint="F2"/>
              </w:rPr>
            </w:pPr>
          </w:p>
        </w:tc>
        <w:tc>
          <w:tcPr>
            <w:tcW w:w="3757" w:type="pct"/>
            <w:gridSpan w:val="3"/>
          </w:tcPr>
          <w:p w:rsidR="000F5673" w:rsidRPr="00E43BFF" w:rsidRDefault="000F5673" w:rsidP="000311C5">
            <w:pPr>
              <w:pStyle w:val="Textpoznpodarou"/>
              <w:jc w:val="both"/>
              <w:rPr>
                <w:rFonts w:cs="Arial"/>
                <w:color w:val="0D0D0D" w:themeColor="text1" w:themeTint="F2"/>
                <w:spacing w:val="-4"/>
              </w:rPr>
            </w:pPr>
            <w:r w:rsidRPr="00E43BFF">
              <w:rPr>
                <w:rFonts w:cs="Arial"/>
                <w:color w:val="0D0D0D" w:themeColor="text1" w:themeTint="F2"/>
                <w:spacing w:val="-4"/>
              </w:rPr>
              <w:t>Státní rozpočet (SR) docílil (dle pokladního plnění) za prvních devět měsíců roku 2015 deficitu</w:t>
            </w:r>
            <w:r>
              <w:rPr>
                <w:rFonts w:cs="Arial"/>
                <w:color w:val="0D0D0D" w:themeColor="text1" w:themeTint="F2"/>
                <w:spacing w:val="-4"/>
              </w:rPr>
              <w:t xml:space="preserve"> 2,8 mld. korun.</w:t>
            </w:r>
            <w:r w:rsidRPr="00E43BFF">
              <w:rPr>
                <w:rFonts w:cs="Arial"/>
                <w:color w:val="0D0D0D" w:themeColor="text1" w:themeTint="F2"/>
                <w:spacing w:val="-4"/>
              </w:rPr>
              <w:t xml:space="preserve"> </w:t>
            </w:r>
            <w:r>
              <w:rPr>
                <w:rFonts w:cs="Arial"/>
                <w:color w:val="0D0D0D" w:themeColor="text1" w:themeTint="F2"/>
                <w:spacing w:val="-4"/>
              </w:rPr>
              <w:t>L</w:t>
            </w:r>
            <w:r w:rsidRPr="00E43BFF">
              <w:rPr>
                <w:rFonts w:cs="Arial"/>
                <w:color w:val="0D0D0D" w:themeColor="text1" w:themeTint="F2"/>
                <w:spacing w:val="-4"/>
              </w:rPr>
              <w:t>epších výsledků dosáhl jen v konjunkturním období 2005-2008. Příznivější výsledky byly ovlivněny sílícím hospodářským růstem, postupným odklonem od dřívějších restriktivních opatření, jakož i nebývalé intenzivním čerpáním prostředků z rozpočtu EU. Saldo v poměru k</w:t>
            </w:r>
            <w:r w:rsidRPr="00E43BFF">
              <w:rPr>
                <w:spacing w:val="-4"/>
              </w:rPr>
              <w:t> </w:t>
            </w:r>
            <w:r>
              <w:rPr>
                <w:rFonts w:cs="Arial"/>
                <w:color w:val="0D0D0D" w:themeColor="text1" w:themeTint="F2"/>
                <w:spacing w:val="-4"/>
              </w:rPr>
              <w:t>HDP</w:t>
            </w:r>
            <w:r w:rsidRPr="00E43BFF">
              <w:rPr>
                <w:rFonts w:cs="Arial"/>
                <w:color w:val="0D0D0D" w:themeColor="text1" w:themeTint="F2"/>
                <w:spacing w:val="-4"/>
              </w:rPr>
              <w:t xml:space="preserve"> činilo</w:t>
            </w:r>
            <w:r>
              <w:rPr>
                <w:rFonts w:cs="Arial"/>
                <w:color w:val="0D0D0D" w:themeColor="text1" w:themeTint="F2"/>
                <w:spacing w:val="-4"/>
              </w:rPr>
              <w:t xml:space="preserve"> -0,1 % (o rok dříve </w:t>
            </w:r>
            <w:r w:rsidRPr="00E43BFF">
              <w:rPr>
                <w:rFonts w:cs="Arial"/>
                <w:color w:val="0D0D0D" w:themeColor="text1" w:themeTint="F2"/>
                <w:spacing w:val="-4"/>
              </w:rPr>
              <w:t>-1,1 %).</w:t>
            </w:r>
          </w:p>
          <w:p w:rsidR="000F5673" w:rsidRPr="008361F6" w:rsidRDefault="000F5673" w:rsidP="000311C5">
            <w:pPr>
              <w:pStyle w:val="Textpoznpodarou"/>
              <w:jc w:val="both"/>
              <w:rPr>
                <w:rFonts w:cs="Arial"/>
                <w:color w:val="0D0D0D" w:themeColor="text1" w:themeTint="F2"/>
                <w:spacing w:val="-2"/>
                <w:sz w:val="12"/>
                <w:szCs w:val="12"/>
              </w:rPr>
            </w:pPr>
          </w:p>
        </w:tc>
      </w:tr>
      <w:tr w:rsidR="000F5673" w:rsidTr="000F5673">
        <w:trPr>
          <w:gridAfter w:val="1"/>
          <w:wAfter w:w="62" w:type="pct"/>
        </w:trPr>
        <w:tc>
          <w:tcPr>
            <w:tcW w:w="1041" w:type="pct"/>
            <w:gridSpan w:val="2"/>
          </w:tcPr>
          <w:p w:rsidR="000F5673" w:rsidRPr="00750404" w:rsidRDefault="000F5673" w:rsidP="000311C5">
            <w:pPr>
              <w:spacing w:line="240" w:lineRule="auto"/>
              <w:rPr>
                <w:rFonts w:cs="Arial"/>
                <w:bCs/>
                <w:iCs/>
                <w:color w:val="0D0D0D" w:themeColor="text1" w:themeTint="F2"/>
                <w:spacing w:val="-4"/>
                <w:sz w:val="16"/>
                <w:szCs w:val="16"/>
              </w:rPr>
            </w:pPr>
            <w:r w:rsidRPr="00750404">
              <w:rPr>
                <w:rFonts w:cs="Arial"/>
                <w:bCs/>
                <w:iCs/>
                <w:color w:val="0D0D0D" w:themeColor="text1" w:themeTint="F2"/>
                <w:spacing w:val="-4"/>
                <w:sz w:val="16"/>
                <w:szCs w:val="16"/>
              </w:rPr>
              <w:t>Celkové příjmy SR vzrostly meziročně o desetinu - nejvíce po roce 2007, především díky akceleraci čerpání prostředků z fondů EU na konci programovacího období</w:t>
            </w:r>
          </w:p>
          <w:p w:rsidR="000F5673" w:rsidRPr="009720D9" w:rsidRDefault="000F5673" w:rsidP="000311C5">
            <w:pPr>
              <w:spacing w:line="240" w:lineRule="auto"/>
              <w:rPr>
                <w:color w:val="0D0D0D" w:themeColor="text1" w:themeTint="F2"/>
                <w:spacing w:val="-2"/>
                <w:szCs w:val="20"/>
              </w:rPr>
            </w:pPr>
            <w:r>
              <w:rPr>
                <w:color w:val="0D0D0D" w:themeColor="text1" w:themeTint="F2"/>
                <w:spacing w:val="-2"/>
                <w:szCs w:val="20"/>
              </w:rPr>
              <w:t xml:space="preserve"> </w:t>
            </w:r>
          </w:p>
        </w:tc>
        <w:tc>
          <w:tcPr>
            <w:tcW w:w="140" w:type="pct"/>
          </w:tcPr>
          <w:p w:rsidR="000F5673" w:rsidRPr="009720D9" w:rsidRDefault="000F5673" w:rsidP="000311C5">
            <w:pPr>
              <w:pStyle w:val="Textpoznpodarou"/>
              <w:jc w:val="both"/>
              <w:rPr>
                <w:color w:val="0D0D0D" w:themeColor="text1" w:themeTint="F2"/>
              </w:rPr>
            </w:pPr>
          </w:p>
        </w:tc>
        <w:tc>
          <w:tcPr>
            <w:tcW w:w="3757" w:type="pct"/>
            <w:gridSpan w:val="3"/>
          </w:tcPr>
          <w:p w:rsidR="000F5673" w:rsidRDefault="000F5673" w:rsidP="000311C5">
            <w:pPr>
              <w:pStyle w:val="Textpoznpodarou"/>
              <w:jc w:val="both"/>
              <w:rPr>
                <w:rFonts w:cs="Arial"/>
                <w:color w:val="0D0D0D" w:themeColor="text1" w:themeTint="F2"/>
                <w:spacing w:val="-2"/>
              </w:rPr>
            </w:pPr>
            <w:r>
              <w:rPr>
                <w:rFonts w:cs="Arial"/>
                <w:color w:val="0D0D0D" w:themeColor="text1" w:themeTint="F2"/>
                <w:spacing w:val="-2"/>
              </w:rPr>
              <w:t>O vyšší celkové příjmy (meziročně +9,9 %) se ze dvou třetin zasloužily transfery z EU, zbytek téměř rovným dílem připadal na daňové příjmy (+3,6 %) i dynamicky rostoucí výběr pojistného na sociální zabezpečení (+5,6 %). Výše příjmů od EU překonala již během června úroveň očekávanou za celý rok 2015, za tři čtvrtletí pak získal SR téměř 140 mld</w:t>
            </w:r>
            <w:r w:rsidR="000311C5">
              <w:rPr>
                <w:rFonts w:cs="Arial"/>
                <w:color w:val="0D0D0D" w:themeColor="text1" w:themeTint="F2"/>
                <w:spacing w:val="-2"/>
              </w:rPr>
              <w:t>.</w:t>
            </w:r>
            <w:r>
              <w:rPr>
                <w:rFonts w:cs="Arial"/>
                <w:color w:val="0D0D0D" w:themeColor="text1" w:themeTint="F2"/>
                <w:spacing w:val="-2"/>
              </w:rPr>
              <w:t xml:space="preserve"> korun, meziročně o 62,5 % více (při výrazné akceleraci příjmů zejména ze strukturálních fondů). </w:t>
            </w:r>
          </w:p>
          <w:p w:rsidR="000F5673" w:rsidRPr="008361F6" w:rsidRDefault="000F5673" w:rsidP="000311C5">
            <w:pPr>
              <w:pStyle w:val="Textpoznpodarou"/>
              <w:jc w:val="both"/>
              <w:rPr>
                <w:rFonts w:cs="Arial"/>
                <w:color w:val="0D0D0D" w:themeColor="text1" w:themeTint="F2"/>
                <w:spacing w:val="-2"/>
                <w:sz w:val="12"/>
                <w:szCs w:val="12"/>
              </w:rPr>
            </w:pPr>
          </w:p>
        </w:tc>
      </w:tr>
      <w:tr w:rsidR="000F5673" w:rsidTr="000F5673">
        <w:trPr>
          <w:gridAfter w:val="1"/>
          <w:wAfter w:w="62" w:type="pct"/>
        </w:trPr>
        <w:tc>
          <w:tcPr>
            <w:tcW w:w="1041" w:type="pct"/>
            <w:gridSpan w:val="2"/>
          </w:tcPr>
          <w:p w:rsidR="000F5673" w:rsidRPr="009720D9" w:rsidRDefault="000F5673" w:rsidP="000311C5">
            <w:pPr>
              <w:spacing w:line="240" w:lineRule="auto"/>
              <w:rPr>
                <w:rFonts w:cs="Arial"/>
                <w:bCs/>
                <w:iCs/>
                <w:color w:val="0D0D0D" w:themeColor="text1" w:themeTint="F2"/>
                <w:szCs w:val="20"/>
              </w:rPr>
            </w:pPr>
            <w:r w:rsidRPr="005B72BD">
              <w:rPr>
                <w:rFonts w:cs="Arial"/>
                <w:bCs/>
                <w:iCs/>
                <w:color w:val="0D0D0D" w:themeColor="text1" w:themeTint="F2"/>
                <w:spacing w:val="-4"/>
                <w:sz w:val="16"/>
                <w:szCs w:val="16"/>
              </w:rPr>
              <w:t>Do dynamiky DPH se vedle růstu soukromé spotřeby stále silně promítají legislativně administrativní vlivy</w:t>
            </w:r>
          </w:p>
        </w:tc>
        <w:tc>
          <w:tcPr>
            <w:tcW w:w="140" w:type="pct"/>
          </w:tcPr>
          <w:p w:rsidR="000F5673" w:rsidRPr="009720D9" w:rsidRDefault="000F5673" w:rsidP="000311C5">
            <w:pPr>
              <w:pStyle w:val="Textpoznpodarou"/>
              <w:jc w:val="both"/>
              <w:rPr>
                <w:color w:val="0D0D0D" w:themeColor="text1" w:themeTint="F2"/>
              </w:rPr>
            </w:pPr>
          </w:p>
        </w:tc>
        <w:tc>
          <w:tcPr>
            <w:tcW w:w="3757" w:type="pct"/>
            <w:gridSpan w:val="3"/>
          </w:tcPr>
          <w:p w:rsidR="000F5673" w:rsidRDefault="000F5673" w:rsidP="000311C5">
            <w:pPr>
              <w:pStyle w:val="Textpoznpodarou"/>
              <w:jc w:val="both"/>
              <w:rPr>
                <w:rFonts w:cs="Arial"/>
                <w:color w:val="0D0D0D" w:themeColor="text1" w:themeTint="F2"/>
                <w:spacing w:val="-2"/>
              </w:rPr>
            </w:pPr>
            <w:r>
              <w:rPr>
                <w:rFonts w:cs="Arial"/>
                <w:color w:val="0D0D0D" w:themeColor="text1" w:themeTint="F2"/>
                <w:spacing w:val="-2"/>
              </w:rPr>
              <w:t xml:space="preserve">Na inkasu daňových příjmů se v průběhu roku stále zřetelněji projevoval svižný růst ekonomiky, a to i u nepřímých daní, jejichž meziroční dynamika byla v počátku roku rozostřena nestandardně vysokou </w:t>
            </w:r>
            <w:r w:rsidRPr="004F5AC1">
              <w:rPr>
                <w:rFonts w:cs="Arial"/>
                <w:color w:val="0D0D0D" w:themeColor="text1" w:themeTint="F2"/>
                <w:spacing w:val="-2"/>
              </w:rPr>
              <w:t>loňskou základnou</w:t>
            </w:r>
            <w:r w:rsidRPr="004F5AC1">
              <w:rPr>
                <w:rStyle w:val="Znakapoznpodarou"/>
                <w:rFonts w:cs="Arial"/>
                <w:color w:val="0D0D0D" w:themeColor="text1" w:themeTint="F2"/>
                <w:spacing w:val="-2"/>
              </w:rPr>
              <w:footnoteReference w:id="21"/>
            </w:r>
            <w:r>
              <w:rPr>
                <w:rFonts w:cs="Arial"/>
                <w:color w:val="0D0D0D" w:themeColor="text1" w:themeTint="F2"/>
                <w:spacing w:val="-2"/>
              </w:rPr>
              <w:t xml:space="preserve">. Výběr váhově </w:t>
            </w:r>
            <w:r w:rsidRPr="00E54ABF">
              <w:rPr>
                <w:rFonts w:cs="Arial"/>
                <w:color w:val="0D0D0D" w:themeColor="text1" w:themeTint="F2"/>
                <w:spacing w:val="-2"/>
              </w:rPr>
              <w:t>dominantní DPH za</w:t>
            </w:r>
            <w:r>
              <w:rPr>
                <w:rFonts w:cs="Arial"/>
                <w:color w:val="0D0D0D" w:themeColor="text1" w:themeTint="F2"/>
                <w:spacing w:val="-2"/>
              </w:rPr>
              <w:t xml:space="preserve"> tři čtvrtletí meziročně stagnoval (na konci listopadu 2015 již rostl o 1,7 %). Efekt silného růstu </w:t>
            </w:r>
            <w:r w:rsidRPr="00B2666C">
              <w:rPr>
                <w:rFonts w:cs="Arial"/>
                <w:color w:val="0D0D0D" w:themeColor="text1" w:themeTint="F2"/>
                <w:spacing w:val="-2"/>
              </w:rPr>
              <w:t>výdajů na konečnou spotřebu v ekonomice (3,4 % nominálně)</w:t>
            </w:r>
            <w:r>
              <w:rPr>
                <w:rFonts w:cs="Arial"/>
                <w:color w:val="0D0D0D" w:themeColor="text1" w:themeTint="F2"/>
                <w:spacing w:val="-2"/>
              </w:rPr>
              <w:t xml:space="preserve"> byl významně tlumen </w:t>
            </w:r>
            <w:r w:rsidRPr="0027242E">
              <w:rPr>
                <w:rFonts w:cs="Arial"/>
                <w:color w:val="0D0D0D" w:themeColor="text1" w:themeTint="F2"/>
                <w:spacing w:val="-2"/>
              </w:rPr>
              <w:t>zavedení</w:t>
            </w:r>
            <w:r>
              <w:rPr>
                <w:rFonts w:cs="Arial"/>
                <w:color w:val="0D0D0D" w:themeColor="text1" w:themeTint="F2"/>
                <w:spacing w:val="-2"/>
              </w:rPr>
              <w:t>m</w:t>
            </w:r>
            <w:r w:rsidRPr="0027242E">
              <w:rPr>
                <w:rFonts w:cs="Arial"/>
                <w:color w:val="0D0D0D" w:themeColor="text1" w:themeTint="F2"/>
                <w:spacing w:val="-2"/>
              </w:rPr>
              <w:t xml:space="preserve"> druhé snížené sazby DPH</w:t>
            </w:r>
            <w:r>
              <w:rPr>
                <w:rFonts w:cs="Arial"/>
                <w:color w:val="0D0D0D" w:themeColor="text1" w:themeTint="F2"/>
                <w:spacing w:val="-2"/>
              </w:rPr>
              <w:t xml:space="preserve">, </w:t>
            </w:r>
            <w:r w:rsidRPr="0027242E">
              <w:rPr>
                <w:rFonts w:cs="Arial"/>
                <w:color w:val="0D0D0D" w:themeColor="text1" w:themeTint="F2"/>
                <w:spacing w:val="-2"/>
              </w:rPr>
              <w:t>k</w:t>
            </w:r>
            <w:r>
              <w:rPr>
                <w:rFonts w:cs="Arial"/>
                <w:color w:val="0D0D0D" w:themeColor="text1" w:themeTint="F2"/>
                <w:spacing w:val="-2"/>
              </w:rPr>
              <w:t xml:space="preserve">lesajícími cenami PHM a také </w:t>
            </w:r>
            <w:r w:rsidR="00C30828">
              <w:rPr>
                <w:rFonts w:cs="Arial"/>
                <w:color w:val="0D0D0D" w:themeColor="text1" w:themeTint="F2"/>
                <w:spacing w:val="-2"/>
              </w:rPr>
              <w:t xml:space="preserve">postupným </w:t>
            </w:r>
            <w:r>
              <w:rPr>
                <w:rFonts w:cs="Arial"/>
                <w:color w:val="0D0D0D" w:themeColor="text1" w:themeTint="F2"/>
                <w:spacing w:val="-2"/>
              </w:rPr>
              <w:t>vyplacením dočasně zadržených nadměrných odpočtů DPH.</w:t>
            </w:r>
          </w:p>
          <w:p w:rsidR="000F5673" w:rsidRPr="008361F6" w:rsidRDefault="000F5673" w:rsidP="000311C5">
            <w:pPr>
              <w:pStyle w:val="Textpoznpodarou"/>
              <w:jc w:val="both"/>
              <w:rPr>
                <w:rFonts w:cs="Arial"/>
                <w:color w:val="0D0D0D" w:themeColor="text1" w:themeTint="F2"/>
                <w:spacing w:val="-2"/>
                <w:sz w:val="12"/>
                <w:szCs w:val="12"/>
              </w:rPr>
            </w:pPr>
          </w:p>
        </w:tc>
      </w:tr>
      <w:tr w:rsidR="000F5673" w:rsidTr="000F5673">
        <w:trPr>
          <w:gridAfter w:val="1"/>
          <w:wAfter w:w="62" w:type="pct"/>
        </w:trPr>
        <w:tc>
          <w:tcPr>
            <w:tcW w:w="1041" w:type="pct"/>
            <w:gridSpan w:val="2"/>
          </w:tcPr>
          <w:p w:rsidR="000F5673" w:rsidRDefault="000F5673" w:rsidP="000311C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Za tři čtvrtletí roku 2015: n</w:t>
            </w:r>
            <w:r w:rsidRPr="002145FE">
              <w:rPr>
                <w:rFonts w:cs="Arial"/>
                <w:bCs/>
                <w:iCs/>
                <w:color w:val="0D0D0D" w:themeColor="text1" w:themeTint="F2"/>
                <w:spacing w:val="-4"/>
                <w:sz w:val="16"/>
                <w:szCs w:val="16"/>
              </w:rPr>
              <w:t>ejvyšší dynamika růstu inkasa spotřebních daní za posledních čtyři roky</w:t>
            </w:r>
            <w:r>
              <w:rPr>
                <w:rFonts w:cs="Arial"/>
                <w:bCs/>
                <w:iCs/>
                <w:color w:val="0D0D0D" w:themeColor="text1" w:themeTint="F2"/>
                <w:spacing w:val="-4"/>
                <w:sz w:val="16"/>
                <w:szCs w:val="16"/>
              </w:rPr>
              <w:t>…</w:t>
            </w:r>
          </w:p>
          <w:p w:rsidR="000F5673" w:rsidRDefault="000F5673" w:rsidP="000311C5">
            <w:pPr>
              <w:spacing w:line="240" w:lineRule="auto"/>
              <w:rPr>
                <w:rFonts w:cs="Arial"/>
                <w:bCs/>
                <w:iCs/>
                <w:color w:val="0D0D0D" w:themeColor="text1" w:themeTint="F2"/>
                <w:spacing w:val="-4"/>
                <w:sz w:val="16"/>
                <w:szCs w:val="16"/>
              </w:rPr>
            </w:pPr>
          </w:p>
          <w:p w:rsidR="000F5673" w:rsidRDefault="000F5673" w:rsidP="000311C5">
            <w:pPr>
              <w:spacing w:line="240" w:lineRule="auto"/>
              <w:rPr>
                <w:rFonts w:cs="Arial"/>
                <w:bCs/>
                <w:iCs/>
                <w:color w:val="0D0D0D" w:themeColor="text1" w:themeTint="F2"/>
                <w:spacing w:val="-4"/>
                <w:sz w:val="16"/>
                <w:szCs w:val="16"/>
              </w:rPr>
            </w:pPr>
          </w:p>
          <w:p w:rsidR="000F5673" w:rsidRDefault="000F5673" w:rsidP="000311C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 xml:space="preserve">…především vlivem rostoucích sazeb daně </w:t>
            </w:r>
          </w:p>
          <w:p w:rsidR="000F5673" w:rsidRPr="009720D9" w:rsidRDefault="000F5673" w:rsidP="000311C5">
            <w:pPr>
              <w:spacing w:line="240" w:lineRule="auto"/>
              <w:rPr>
                <w:rFonts w:cs="Arial"/>
                <w:bCs/>
                <w:iCs/>
                <w:color w:val="0D0D0D" w:themeColor="text1" w:themeTint="F2"/>
                <w:szCs w:val="20"/>
              </w:rPr>
            </w:pPr>
            <w:r>
              <w:rPr>
                <w:rFonts w:cs="Arial"/>
                <w:bCs/>
                <w:iCs/>
                <w:color w:val="0D0D0D" w:themeColor="text1" w:themeTint="F2"/>
                <w:spacing w:val="-4"/>
                <w:sz w:val="16"/>
                <w:szCs w:val="16"/>
              </w:rPr>
              <w:t>u tabákových výrobků</w:t>
            </w:r>
          </w:p>
        </w:tc>
        <w:tc>
          <w:tcPr>
            <w:tcW w:w="140" w:type="pct"/>
          </w:tcPr>
          <w:p w:rsidR="000F5673" w:rsidRPr="009720D9" w:rsidRDefault="000F5673" w:rsidP="000311C5">
            <w:pPr>
              <w:pStyle w:val="Textpoznpodarou"/>
              <w:jc w:val="both"/>
              <w:rPr>
                <w:color w:val="0D0D0D" w:themeColor="text1" w:themeTint="F2"/>
              </w:rPr>
            </w:pPr>
          </w:p>
        </w:tc>
        <w:tc>
          <w:tcPr>
            <w:tcW w:w="3757" w:type="pct"/>
            <w:gridSpan w:val="3"/>
          </w:tcPr>
          <w:p w:rsidR="000F5673" w:rsidRPr="008361F6" w:rsidRDefault="000F5673" w:rsidP="000311C5">
            <w:pPr>
              <w:pStyle w:val="Textpoznpodarou"/>
              <w:jc w:val="both"/>
              <w:rPr>
                <w:rFonts w:cs="Arial"/>
                <w:color w:val="0D0D0D" w:themeColor="text1" w:themeTint="F2"/>
                <w:spacing w:val="-4"/>
              </w:rPr>
            </w:pPr>
            <w:r w:rsidRPr="008361F6">
              <w:rPr>
                <w:rFonts w:cs="Arial"/>
                <w:color w:val="0D0D0D" w:themeColor="text1" w:themeTint="F2"/>
                <w:spacing w:val="-4"/>
              </w:rPr>
              <w:t>Na všech spotřebních daních získal SR za tři čtvrtletí meziročně o 4,5 % více, šlo o nejvyšší dynamiku v tomto období za posledních čtyři roky. Nejvíce k tomu přispěly daně z tabákových výrobků, ve kterých se plně projevoval efekt vyšších sazeb (inkaso za tři čtvrtletí vzrostlo o 7,2 %, za 11 měsíců 2015 o 14,2 %). Výběr váhově dominantní daně z minerálních olejů za tři čtvrtletí posílil o 3,6 %, rostla spotřeba zejména motorové nafty. Příznivé ceny PHM stimulovaly poptávku (vč. tranzitní dopravy), k rozvoji osobní i nákladní dopravy přispěla i sílící e</w:t>
            </w:r>
            <w:r>
              <w:rPr>
                <w:rFonts w:cs="Arial"/>
                <w:color w:val="0D0D0D" w:themeColor="text1" w:themeTint="F2"/>
                <w:spacing w:val="-4"/>
              </w:rPr>
              <w:t>konomika, mírně negativně</w:t>
            </w:r>
            <w:r w:rsidRPr="008361F6">
              <w:rPr>
                <w:rFonts w:cs="Arial"/>
                <w:color w:val="0D0D0D" w:themeColor="text1" w:themeTint="F2"/>
                <w:spacing w:val="-4"/>
              </w:rPr>
              <w:t xml:space="preserve"> působilo opětovné zavedení daňových úlev (</w:t>
            </w:r>
            <w:r w:rsidRPr="008361F6">
              <w:rPr>
                <w:spacing w:val="-4"/>
              </w:rPr>
              <w:t>tzv. zelené nafty)</w:t>
            </w:r>
            <w:r w:rsidRPr="008361F6">
              <w:rPr>
                <w:rFonts w:cs="Arial"/>
                <w:color w:val="0D0D0D" w:themeColor="text1" w:themeTint="F2"/>
                <w:spacing w:val="-4"/>
              </w:rPr>
              <w:t>. Z ostatních produktů rostlo inkaso spotřebních daní významněji jen u lihu (o 4 %), u piva podobně jako u všech energetických (zejména solárních) daní meziročně stagnovalo.</w:t>
            </w:r>
          </w:p>
          <w:p w:rsidR="000F5673" w:rsidRPr="008361F6" w:rsidRDefault="000F5673" w:rsidP="000311C5">
            <w:pPr>
              <w:pStyle w:val="Textpoznpodarou"/>
              <w:jc w:val="both"/>
              <w:rPr>
                <w:rFonts w:cs="Arial"/>
                <w:color w:val="0D0D0D" w:themeColor="text1" w:themeTint="F2"/>
                <w:spacing w:val="-2"/>
                <w:sz w:val="12"/>
                <w:szCs w:val="12"/>
              </w:rPr>
            </w:pPr>
          </w:p>
        </w:tc>
      </w:tr>
      <w:tr w:rsidR="000F5673" w:rsidTr="000F5673">
        <w:trPr>
          <w:gridAfter w:val="1"/>
          <w:wAfter w:w="62" w:type="pct"/>
        </w:trPr>
        <w:tc>
          <w:tcPr>
            <w:tcW w:w="1041" w:type="pct"/>
            <w:gridSpan w:val="2"/>
          </w:tcPr>
          <w:p w:rsidR="000F5673" w:rsidRDefault="000F5673" w:rsidP="000311C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Korporátní daně rostly v úhrnu za tři čtvrtletí (meziročně 11 %) nejvíce od konjunkturního roku 2008</w:t>
            </w:r>
          </w:p>
          <w:p w:rsidR="000F5673" w:rsidRDefault="000F5673" w:rsidP="000311C5">
            <w:pPr>
              <w:spacing w:line="240" w:lineRule="auto"/>
              <w:rPr>
                <w:rFonts w:cs="Arial"/>
                <w:bCs/>
                <w:iCs/>
                <w:color w:val="0D0D0D" w:themeColor="text1" w:themeTint="F2"/>
                <w:spacing w:val="-4"/>
                <w:sz w:val="16"/>
                <w:szCs w:val="16"/>
              </w:rPr>
            </w:pPr>
          </w:p>
          <w:p w:rsidR="000F5673" w:rsidRDefault="000F5673" w:rsidP="000311C5">
            <w:pPr>
              <w:spacing w:line="240" w:lineRule="auto"/>
              <w:rPr>
                <w:rFonts w:cs="Arial"/>
                <w:bCs/>
                <w:iCs/>
                <w:color w:val="0D0D0D" w:themeColor="text1" w:themeTint="F2"/>
                <w:spacing w:val="-4"/>
                <w:sz w:val="16"/>
                <w:szCs w:val="16"/>
              </w:rPr>
            </w:pPr>
          </w:p>
          <w:p w:rsidR="000F5673" w:rsidRPr="006C2AED" w:rsidRDefault="000F5673" w:rsidP="000311C5">
            <w:pPr>
              <w:spacing w:line="240" w:lineRule="auto"/>
              <w:rPr>
                <w:rFonts w:cs="Arial"/>
                <w:bCs/>
                <w:iCs/>
                <w:color w:val="0D0D0D" w:themeColor="text1" w:themeTint="F2"/>
                <w:sz w:val="16"/>
                <w:szCs w:val="16"/>
              </w:rPr>
            </w:pPr>
            <w:r>
              <w:rPr>
                <w:rFonts w:cs="Arial"/>
                <w:bCs/>
                <w:iCs/>
                <w:color w:val="0D0D0D" w:themeColor="text1" w:themeTint="F2"/>
                <w:sz w:val="16"/>
                <w:szCs w:val="16"/>
              </w:rPr>
              <w:t>Vyššímu výběru daní z příjmů od zaměstnanců bránilo rozšíření daňových slev</w:t>
            </w:r>
          </w:p>
        </w:tc>
        <w:tc>
          <w:tcPr>
            <w:tcW w:w="140" w:type="pct"/>
          </w:tcPr>
          <w:p w:rsidR="000F5673" w:rsidRPr="009720D9" w:rsidRDefault="000F5673" w:rsidP="000311C5">
            <w:pPr>
              <w:pStyle w:val="Textpoznpodarou"/>
              <w:jc w:val="both"/>
              <w:rPr>
                <w:color w:val="0D0D0D" w:themeColor="text1" w:themeTint="F2"/>
              </w:rPr>
            </w:pPr>
          </w:p>
        </w:tc>
        <w:tc>
          <w:tcPr>
            <w:tcW w:w="3757" w:type="pct"/>
            <w:gridSpan w:val="3"/>
          </w:tcPr>
          <w:p w:rsidR="000F5673" w:rsidRPr="008361F6" w:rsidRDefault="000F5673" w:rsidP="000311C5">
            <w:pPr>
              <w:pStyle w:val="Textpoznpodarou"/>
              <w:jc w:val="both"/>
              <w:rPr>
                <w:spacing w:val="-4"/>
              </w:rPr>
            </w:pPr>
            <w:r w:rsidRPr="008361F6">
              <w:rPr>
                <w:rFonts w:cs="Arial"/>
                <w:color w:val="0D0D0D" w:themeColor="text1" w:themeTint="F2"/>
                <w:spacing w:val="-4"/>
              </w:rPr>
              <w:t xml:space="preserve">Příznivá finanční situace podniků se stále více odráží i v </w:t>
            </w:r>
            <w:r w:rsidRPr="008361F6">
              <w:rPr>
                <w:spacing w:val="-4"/>
              </w:rPr>
              <w:t>celostátním výběru korporátních daní, jehož silná meziroční růstová dynamika pokračovala již šest čtvrtletí v řadě. Naopak pod úrovní rozpočtových očekávání probíhal výběr daně z příjmů fyzických osob (DPFO) ze závislé činnosti, když za tři čtvrtletí vzrostl o mírných 2,6 % (za 11 měsíců o 3,4 %). Dopad vyšší zaměstnanosti i postupného zrychlování růstu mezd zčásti tlumila legislativní opatření (zvýšení slevy na druhé a další dítě, „školkovné“, uplatnění základní slevy u pracujících důchodců). Celostátní výběr korporátních daní byl letos proti svému vrcholu (1.</w:t>
            </w:r>
            <w:r w:rsidR="00713EEB">
              <w:rPr>
                <w:spacing w:val="-4"/>
              </w:rPr>
              <w:t xml:space="preserve"> – </w:t>
            </w:r>
            <w:r w:rsidRPr="008361F6">
              <w:rPr>
                <w:spacing w:val="-4"/>
              </w:rPr>
              <w:t>3.</w:t>
            </w:r>
            <w:r w:rsidR="00713EEB">
              <w:rPr>
                <w:spacing w:val="-4"/>
              </w:rPr>
              <w:t xml:space="preserve"> </w:t>
            </w:r>
            <w:r w:rsidRPr="008361F6">
              <w:rPr>
                <w:spacing w:val="-4"/>
              </w:rPr>
              <w:t xml:space="preserve">q 2008) stále o pětinu nižší, inkaso daní od zaměstnanců ale proti stejnému období narostlo o 17 %. </w:t>
            </w:r>
          </w:p>
          <w:p w:rsidR="000F5673" w:rsidRPr="008361F6" w:rsidRDefault="000F5673" w:rsidP="000311C5">
            <w:pPr>
              <w:pStyle w:val="Textpoznpodarou"/>
              <w:jc w:val="both"/>
              <w:rPr>
                <w:rFonts w:cs="Arial"/>
                <w:color w:val="0D0D0D" w:themeColor="text1" w:themeTint="F2"/>
                <w:spacing w:val="-2"/>
                <w:sz w:val="12"/>
                <w:szCs w:val="12"/>
              </w:rPr>
            </w:pPr>
          </w:p>
        </w:tc>
      </w:tr>
      <w:tr w:rsidR="000F5673" w:rsidTr="000F5673">
        <w:trPr>
          <w:gridAfter w:val="1"/>
          <w:wAfter w:w="62" w:type="pct"/>
        </w:trPr>
        <w:tc>
          <w:tcPr>
            <w:tcW w:w="1041" w:type="pct"/>
            <w:gridSpan w:val="2"/>
          </w:tcPr>
          <w:p w:rsidR="000F5673" w:rsidRDefault="000F5673" w:rsidP="000311C5">
            <w:pPr>
              <w:spacing w:line="240" w:lineRule="auto"/>
              <w:rPr>
                <w:rFonts w:cs="Arial"/>
                <w:bCs/>
                <w:iCs/>
                <w:color w:val="0D0D0D" w:themeColor="text1" w:themeTint="F2"/>
                <w:sz w:val="16"/>
                <w:szCs w:val="16"/>
              </w:rPr>
            </w:pPr>
            <w:r w:rsidRPr="0076251D">
              <w:rPr>
                <w:rFonts w:cs="Arial"/>
                <w:bCs/>
                <w:iCs/>
                <w:color w:val="0D0D0D" w:themeColor="text1" w:themeTint="F2"/>
                <w:sz w:val="16"/>
                <w:szCs w:val="16"/>
              </w:rPr>
              <w:t>Dyna</w:t>
            </w:r>
            <w:r>
              <w:rPr>
                <w:rFonts w:cs="Arial"/>
                <w:bCs/>
                <w:iCs/>
                <w:color w:val="0D0D0D" w:themeColor="text1" w:themeTint="F2"/>
                <w:sz w:val="16"/>
                <w:szCs w:val="16"/>
              </w:rPr>
              <w:t>mika růstu výdajů SR zrychlila na nejvyšší tempo po roce 2008</w:t>
            </w:r>
          </w:p>
          <w:p w:rsidR="000F5673" w:rsidRDefault="000F5673" w:rsidP="000311C5">
            <w:pPr>
              <w:spacing w:line="240" w:lineRule="auto"/>
              <w:rPr>
                <w:rFonts w:cs="Arial"/>
                <w:bCs/>
                <w:iCs/>
                <w:color w:val="0D0D0D" w:themeColor="text1" w:themeTint="F2"/>
                <w:sz w:val="16"/>
                <w:szCs w:val="16"/>
              </w:rPr>
            </w:pPr>
          </w:p>
          <w:p w:rsidR="000F5673" w:rsidRDefault="000F5673" w:rsidP="000311C5">
            <w:pPr>
              <w:spacing w:line="240" w:lineRule="auto"/>
              <w:rPr>
                <w:rFonts w:cs="Arial"/>
                <w:bCs/>
                <w:iCs/>
                <w:color w:val="0D0D0D" w:themeColor="text1" w:themeTint="F2"/>
                <w:sz w:val="16"/>
                <w:szCs w:val="16"/>
              </w:rPr>
            </w:pPr>
          </w:p>
          <w:p w:rsidR="000F5673" w:rsidRDefault="000F5673" w:rsidP="000311C5">
            <w:pPr>
              <w:spacing w:line="240" w:lineRule="auto"/>
              <w:rPr>
                <w:rFonts w:cs="Arial"/>
                <w:bCs/>
                <w:iCs/>
                <w:color w:val="0D0D0D" w:themeColor="text1" w:themeTint="F2"/>
                <w:sz w:val="16"/>
                <w:szCs w:val="16"/>
              </w:rPr>
            </w:pPr>
            <w:r>
              <w:rPr>
                <w:rFonts w:cs="Arial"/>
                <w:bCs/>
                <w:iCs/>
                <w:color w:val="0D0D0D" w:themeColor="text1" w:themeTint="F2"/>
                <w:sz w:val="16"/>
                <w:szCs w:val="16"/>
              </w:rPr>
              <w:t>Na investice směřovala Více než desetina výdajů státního rozpočtu</w:t>
            </w:r>
          </w:p>
          <w:p w:rsidR="000F5673" w:rsidRPr="009720D9" w:rsidRDefault="000F5673" w:rsidP="000311C5">
            <w:pPr>
              <w:spacing w:line="240" w:lineRule="auto"/>
              <w:rPr>
                <w:rFonts w:cs="Arial"/>
                <w:bCs/>
                <w:iCs/>
                <w:color w:val="0D0D0D" w:themeColor="text1" w:themeTint="F2"/>
                <w:szCs w:val="20"/>
              </w:rPr>
            </w:pPr>
          </w:p>
        </w:tc>
        <w:tc>
          <w:tcPr>
            <w:tcW w:w="140" w:type="pct"/>
          </w:tcPr>
          <w:p w:rsidR="000F5673" w:rsidRPr="009720D9" w:rsidRDefault="000F5673" w:rsidP="000311C5">
            <w:pPr>
              <w:pStyle w:val="Textpoznpodarou"/>
              <w:jc w:val="both"/>
              <w:rPr>
                <w:color w:val="0D0D0D" w:themeColor="text1" w:themeTint="F2"/>
              </w:rPr>
            </w:pPr>
          </w:p>
        </w:tc>
        <w:tc>
          <w:tcPr>
            <w:tcW w:w="3757" w:type="pct"/>
            <w:gridSpan w:val="3"/>
          </w:tcPr>
          <w:p w:rsidR="000F5673" w:rsidRDefault="000F5673" w:rsidP="000311C5">
            <w:pPr>
              <w:pStyle w:val="Textpoznpodarou"/>
              <w:jc w:val="both"/>
              <w:rPr>
                <w:rFonts w:cs="Arial"/>
                <w:color w:val="0D0D0D" w:themeColor="text1" w:themeTint="F2"/>
                <w:spacing w:val="-2"/>
              </w:rPr>
            </w:pPr>
            <w:r w:rsidRPr="004935A4">
              <w:rPr>
                <w:rFonts w:cs="Arial"/>
                <w:color w:val="0D0D0D" w:themeColor="text1" w:themeTint="F2"/>
                <w:spacing w:val="-4"/>
              </w:rPr>
              <w:t>Celkové výdaje SR</w:t>
            </w:r>
            <w:r w:rsidRPr="000F57D3">
              <w:rPr>
                <w:rFonts w:cs="Arial"/>
                <w:color w:val="0D0D0D" w:themeColor="text1" w:themeTint="F2"/>
                <w:spacing w:val="-4"/>
              </w:rPr>
              <w:t xml:space="preserve">, po </w:t>
            </w:r>
            <w:r>
              <w:rPr>
                <w:rFonts w:cs="Arial"/>
                <w:color w:val="0D0D0D" w:themeColor="text1" w:themeTint="F2"/>
                <w:spacing w:val="-4"/>
              </w:rPr>
              <w:t>mírných růstech</w:t>
            </w:r>
            <w:r w:rsidRPr="000F57D3">
              <w:rPr>
                <w:rFonts w:cs="Arial"/>
                <w:color w:val="0D0D0D" w:themeColor="text1" w:themeTint="F2"/>
                <w:spacing w:val="-4"/>
              </w:rPr>
              <w:t xml:space="preserve"> v předchozích </w:t>
            </w:r>
            <w:r>
              <w:rPr>
                <w:rFonts w:cs="Arial"/>
                <w:color w:val="0D0D0D" w:themeColor="text1" w:themeTint="F2"/>
                <w:spacing w:val="-4"/>
              </w:rPr>
              <w:t>dvou letech (shodně o 1,9 %), vzrostly v úhrnu za tři čtvrt</w:t>
            </w:r>
            <w:r w:rsidRPr="000F57D3">
              <w:rPr>
                <w:rFonts w:cs="Arial"/>
                <w:color w:val="0D0D0D" w:themeColor="text1" w:themeTint="F2"/>
                <w:spacing w:val="-4"/>
              </w:rPr>
              <w:t>letí o</w:t>
            </w:r>
            <w:r w:rsidRPr="000F57D3">
              <w:rPr>
                <w:rFonts w:cs="Arial"/>
                <w:color w:val="0D0D0D" w:themeColor="text1" w:themeTint="F2"/>
                <w:spacing w:val="-2"/>
              </w:rPr>
              <w:t> </w:t>
            </w:r>
            <w:r w:rsidRPr="000F57D3">
              <w:rPr>
                <w:rFonts w:cs="Arial"/>
                <w:color w:val="0D0D0D" w:themeColor="text1" w:themeTint="F2"/>
                <w:spacing w:val="-4"/>
              </w:rPr>
              <w:t>5</w:t>
            </w:r>
            <w:r>
              <w:rPr>
                <w:rFonts w:cs="Arial"/>
                <w:color w:val="0D0D0D" w:themeColor="text1" w:themeTint="F2"/>
                <w:spacing w:val="-4"/>
              </w:rPr>
              <w:t>,9 %</w:t>
            </w:r>
            <w:r w:rsidRPr="000F57D3">
              <w:rPr>
                <w:rFonts w:cs="Arial"/>
                <w:color w:val="0D0D0D" w:themeColor="text1" w:themeTint="F2"/>
                <w:spacing w:val="-4"/>
              </w:rPr>
              <w:t>.</w:t>
            </w:r>
            <w:r>
              <w:rPr>
                <w:rFonts w:cs="Arial"/>
                <w:color w:val="0D0D0D" w:themeColor="text1" w:themeTint="F2"/>
                <w:spacing w:val="-4"/>
              </w:rPr>
              <w:t xml:space="preserve"> Přispěly k tomu hlavně investiční výdaje, které meziročně posílily o polovinu. Na spolufinancování společných programů ČR a EU směřovalo 86 % kapitálových výdajů SR </w:t>
            </w:r>
            <w:r w:rsidRPr="00BA1E35">
              <w:rPr>
                <w:rFonts w:cs="Arial"/>
                <w:color w:val="0D0D0D" w:themeColor="text1" w:themeTint="F2"/>
                <w:spacing w:val="-2"/>
              </w:rPr>
              <w:t>(především do podnikání a inovací</w:t>
            </w:r>
            <w:r>
              <w:rPr>
                <w:rFonts w:cs="Arial"/>
                <w:color w:val="0D0D0D" w:themeColor="text1" w:themeTint="F2"/>
                <w:spacing w:val="-2"/>
              </w:rPr>
              <w:t>,</w:t>
            </w:r>
            <w:r w:rsidRPr="00BA1E35">
              <w:rPr>
                <w:rFonts w:cs="Arial"/>
                <w:color w:val="0D0D0D" w:themeColor="text1" w:themeTint="F2"/>
                <w:spacing w:val="-2"/>
              </w:rPr>
              <w:t xml:space="preserve"> </w:t>
            </w:r>
            <w:r>
              <w:rPr>
                <w:rFonts w:cs="Arial"/>
                <w:color w:val="0D0D0D" w:themeColor="text1" w:themeTint="F2"/>
                <w:spacing w:val="-2"/>
              </w:rPr>
              <w:t>dopravní infrastruktury, ŽP</w:t>
            </w:r>
            <w:r w:rsidRPr="00BA1E35">
              <w:rPr>
                <w:rFonts w:cs="Arial"/>
                <w:color w:val="0D0D0D" w:themeColor="text1" w:themeTint="F2"/>
                <w:spacing w:val="-2"/>
              </w:rPr>
              <w:t xml:space="preserve"> a také v rámci ROP).</w:t>
            </w:r>
            <w:r>
              <w:rPr>
                <w:rFonts w:cs="Arial"/>
                <w:color w:val="0D0D0D" w:themeColor="text1" w:themeTint="F2"/>
                <w:spacing w:val="-2"/>
              </w:rPr>
              <w:t xml:space="preserve"> V 1. až 3. čtvrtletí 2015 tvořily celkové investice téměř 11 % všech výdajů SR a přiblížily v tomto období dosud rekordní výši i podílu z roku 2010.</w:t>
            </w:r>
          </w:p>
          <w:p w:rsidR="000F5673" w:rsidRPr="008361F6" w:rsidRDefault="000F5673" w:rsidP="000311C5">
            <w:pPr>
              <w:pStyle w:val="Textpoznpodarou"/>
              <w:jc w:val="both"/>
              <w:rPr>
                <w:rFonts w:cs="Arial"/>
                <w:color w:val="0D0D0D" w:themeColor="text1" w:themeTint="F2"/>
                <w:spacing w:val="-2"/>
                <w:sz w:val="12"/>
                <w:szCs w:val="12"/>
              </w:rPr>
            </w:pPr>
          </w:p>
        </w:tc>
      </w:tr>
      <w:tr w:rsidR="000F5673" w:rsidTr="000F5673">
        <w:trPr>
          <w:gridAfter w:val="1"/>
          <w:wAfter w:w="62" w:type="pct"/>
        </w:trPr>
        <w:tc>
          <w:tcPr>
            <w:tcW w:w="1041" w:type="pct"/>
            <w:gridSpan w:val="2"/>
          </w:tcPr>
          <w:p w:rsidR="000F5673" w:rsidRPr="00845909" w:rsidRDefault="000F5673" w:rsidP="000311C5">
            <w:pPr>
              <w:spacing w:line="240" w:lineRule="auto"/>
              <w:rPr>
                <w:rFonts w:cs="Arial"/>
                <w:bCs/>
                <w:iCs/>
                <w:color w:val="0D0D0D" w:themeColor="text1" w:themeTint="F2"/>
                <w:spacing w:val="-2"/>
                <w:sz w:val="16"/>
                <w:szCs w:val="16"/>
              </w:rPr>
            </w:pPr>
            <w:r w:rsidRPr="00845909">
              <w:rPr>
                <w:rFonts w:cs="Arial"/>
                <w:bCs/>
                <w:iCs/>
                <w:color w:val="0D0D0D" w:themeColor="text1" w:themeTint="F2"/>
                <w:spacing w:val="-2"/>
                <w:sz w:val="16"/>
                <w:szCs w:val="16"/>
              </w:rPr>
              <w:t>Deficit důchodového účtu klesl zásluhou dynamického výběru pojistného na nejnižší úroveň za posledních šest let</w:t>
            </w:r>
          </w:p>
          <w:p w:rsidR="000F5673" w:rsidRDefault="000F5673" w:rsidP="000311C5">
            <w:pPr>
              <w:spacing w:line="240" w:lineRule="auto"/>
              <w:rPr>
                <w:rFonts w:cs="Arial"/>
                <w:bCs/>
                <w:iCs/>
                <w:color w:val="0D0D0D" w:themeColor="text1" w:themeTint="F2"/>
                <w:sz w:val="16"/>
                <w:szCs w:val="16"/>
              </w:rPr>
            </w:pPr>
          </w:p>
          <w:p w:rsidR="000F5673" w:rsidRDefault="000F5673" w:rsidP="000311C5">
            <w:pPr>
              <w:spacing w:line="240" w:lineRule="auto"/>
              <w:rPr>
                <w:rFonts w:cs="Arial"/>
                <w:bCs/>
                <w:iCs/>
                <w:color w:val="0D0D0D" w:themeColor="text1" w:themeTint="F2"/>
                <w:sz w:val="16"/>
                <w:szCs w:val="16"/>
              </w:rPr>
            </w:pPr>
          </w:p>
          <w:p w:rsidR="000F5673" w:rsidRDefault="000F5673" w:rsidP="000311C5">
            <w:pPr>
              <w:spacing w:line="240" w:lineRule="auto"/>
              <w:rPr>
                <w:rFonts w:cs="Arial"/>
                <w:bCs/>
                <w:iCs/>
                <w:color w:val="0D0D0D" w:themeColor="text1" w:themeTint="F2"/>
                <w:sz w:val="16"/>
                <w:szCs w:val="16"/>
              </w:rPr>
            </w:pPr>
          </w:p>
          <w:p w:rsidR="000F5673" w:rsidRDefault="000F5673" w:rsidP="000311C5">
            <w:pPr>
              <w:spacing w:line="240" w:lineRule="auto"/>
              <w:rPr>
                <w:rFonts w:cs="Arial"/>
                <w:bCs/>
                <w:iCs/>
                <w:color w:val="0D0D0D" w:themeColor="text1" w:themeTint="F2"/>
                <w:sz w:val="16"/>
                <w:szCs w:val="16"/>
              </w:rPr>
            </w:pPr>
          </w:p>
          <w:p w:rsidR="000F5673" w:rsidRDefault="000F5673" w:rsidP="000311C5">
            <w:pPr>
              <w:spacing w:line="240" w:lineRule="auto"/>
              <w:rPr>
                <w:rFonts w:cs="Arial"/>
                <w:bCs/>
                <w:iCs/>
                <w:color w:val="0D0D0D" w:themeColor="text1" w:themeTint="F2"/>
                <w:spacing w:val="-2"/>
                <w:sz w:val="16"/>
                <w:szCs w:val="16"/>
              </w:rPr>
            </w:pPr>
            <w:r w:rsidRPr="007329F3">
              <w:rPr>
                <w:rFonts w:cs="Arial"/>
                <w:bCs/>
                <w:iCs/>
                <w:color w:val="0D0D0D" w:themeColor="text1" w:themeTint="F2"/>
                <w:spacing w:val="-2"/>
                <w:sz w:val="16"/>
                <w:szCs w:val="16"/>
              </w:rPr>
              <w:t>Dávky státní sociální podpory a pěstounské péče v úhrnu meziročně stagnovaly, podobně jako dávky sociální péče</w:t>
            </w:r>
          </w:p>
          <w:p w:rsidR="000F5673" w:rsidRDefault="000F5673" w:rsidP="000311C5">
            <w:pPr>
              <w:spacing w:line="240" w:lineRule="auto"/>
              <w:rPr>
                <w:rFonts w:cs="Arial"/>
                <w:bCs/>
                <w:iCs/>
                <w:color w:val="0D0D0D" w:themeColor="text1" w:themeTint="F2"/>
                <w:spacing w:val="-2"/>
                <w:sz w:val="16"/>
                <w:szCs w:val="16"/>
              </w:rPr>
            </w:pPr>
          </w:p>
          <w:p w:rsidR="000F5673" w:rsidRDefault="000F5673" w:rsidP="000311C5">
            <w:pPr>
              <w:spacing w:line="240" w:lineRule="auto"/>
              <w:rPr>
                <w:rFonts w:cs="Arial"/>
                <w:bCs/>
                <w:iCs/>
                <w:color w:val="0D0D0D" w:themeColor="text1" w:themeTint="F2"/>
                <w:spacing w:val="-2"/>
                <w:sz w:val="16"/>
                <w:szCs w:val="16"/>
              </w:rPr>
            </w:pPr>
          </w:p>
          <w:p w:rsidR="000F5673" w:rsidRDefault="000F5673" w:rsidP="000311C5">
            <w:pPr>
              <w:spacing w:line="240" w:lineRule="auto"/>
              <w:rPr>
                <w:rFonts w:cs="Arial"/>
                <w:bCs/>
                <w:iCs/>
                <w:color w:val="0D0D0D" w:themeColor="text1" w:themeTint="F2"/>
                <w:spacing w:val="-2"/>
                <w:sz w:val="16"/>
                <w:szCs w:val="16"/>
              </w:rPr>
            </w:pPr>
          </w:p>
          <w:p w:rsidR="000F5673" w:rsidRDefault="000F5673" w:rsidP="000311C5">
            <w:pPr>
              <w:spacing w:line="240" w:lineRule="auto"/>
              <w:rPr>
                <w:rFonts w:cs="Arial"/>
                <w:bCs/>
                <w:iCs/>
                <w:color w:val="0D0D0D" w:themeColor="text1" w:themeTint="F2"/>
                <w:spacing w:val="-2"/>
                <w:sz w:val="16"/>
                <w:szCs w:val="16"/>
              </w:rPr>
            </w:pPr>
          </w:p>
          <w:p w:rsidR="000F5673" w:rsidRPr="004C3C2C" w:rsidRDefault="000F5673" w:rsidP="000311C5">
            <w:pPr>
              <w:spacing w:line="240" w:lineRule="auto"/>
              <w:rPr>
                <w:rFonts w:cs="Arial"/>
                <w:bCs/>
                <w:iCs/>
                <w:color w:val="0D0D0D" w:themeColor="text1" w:themeTint="F2"/>
                <w:sz w:val="16"/>
                <w:szCs w:val="16"/>
              </w:rPr>
            </w:pPr>
            <w:r w:rsidRPr="000F2FB9">
              <w:rPr>
                <w:rFonts w:cs="Arial"/>
                <w:bCs/>
                <w:iCs/>
                <w:color w:val="0D0D0D" w:themeColor="text1" w:themeTint="F2"/>
                <w:spacing w:val="-4"/>
                <w:sz w:val="16"/>
                <w:szCs w:val="16"/>
              </w:rPr>
              <w:t>Dynamicky rostoucí výdaje na aktivní politiku zaměstna</w:t>
            </w:r>
            <w:r>
              <w:rPr>
                <w:rFonts w:cs="Arial"/>
                <w:bCs/>
                <w:iCs/>
                <w:color w:val="0D0D0D" w:themeColor="text1" w:themeTint="F2"/>
                <w:spacing w:val="-4"/>
                <w:sz w:val="16"/>
                <w:szCs w:val="16"/>
              </w:rPr>
              <w:t>nosti</w:t>
            </w:r>
            <w:r w:rsidRPr="000F2FB9">
              <w:rPr>
                <w:rFonts w:cs="Arial"/>
                <w:bCs/>
                <w:iCs/>
                <w:color w:val="0D0D0D" w:themeColor="text1" w:themeTint="F2"/>
                <w:spacing w:val="-4"/>
                <w:sz w:val="16"/>
                <w:szCs w:val="16"/>
              </w:rPr>
              <w:t xml:space="preserve"> převýšily</w:t>
            </w:r>
            <w:r>
              <w:rPr>
                <w:rFonts w:cs="Arial"/>
                <w:bCs/>
                <w:iCs/>
                <w:color w:val="0D0D0D" w:themeColor="text1" w:themeTint="F2"/>
                <w:spacing w:val="-4"/>
                <w:sz w:val="16"/>
                <w:szCs w:val="16"/>
              </w:rPr>
              <w:t xml:space="preserve"> výdaje na podpory v</w:t>
            </w:r>
            <w:r w:rsidR="00294238">
              <w:rPr>
                <w:rFonts w:cs="Arial"/>
                <w:bCs/>
                <w:iCs/>
                <w:color w:val="0D0D0D" w:themeColor="text1" w:themeTint="F2"/>
                <w:spacing w:val="-4"/>
                <w:sz w:val="16"/>
                <w:szCs w:val="16"/>
              </w:rPr>
              <w:t> </w:t>
            </w:r>
            <w:r>
              <w:rPr>
                <w:rFonts w:cs="Arial"/>
                <w:bCs/>
                <w:iCs/>
                <w:color w:val="0D0D0D" w:themeColor="text1" w:themeTint="F2"/>
                <w:spacing w:val="-4"/>
                <w:sz w:val="16"/>
                <w:szCs w:val="16"/>
              </w:rPr>
              <w:t>nezaměstnanosti</w:t>
            </w:r>
          </w:p>
          <w:p w:rsidR="000F5673" w:rsidRDefault="000F5673" w:rsidP="000311C5">
            <w:pPr>
              <w:spacing w:line="240" w:lineRule="auto"/>
              <w:rPr>
                <w:rFonts w:cs="Arial"/>
                <w:bCs/>
                <w:iCs/>
                <w:color w:val="0D0D0D" w:themeColor="text1" w:themeTint="F2"/>
                <w:spacing w:val="-4"/>
                <w:sz w:val="14"/>
                <w:szCs w:val="14"/>
              </w:rPr>
            </w:pPr>
          </w:p>
          <w:p w:rsidR="000F5673" w:rsidRDefault="000F5673" w:rsidP="000311C5">
            <w:pPr>
              <w:spacing w:line="240" w:lineRule="auto"/>
              <w:rPr>
                <w:rFonts w:cs="Arial"/>
                <w:bCs/>
                <w:iCs/>
                <w:color w:val="0D0D0D" w:themeColor="text1" w:themeTint="F2"/>
                <w:spacing w:val="-4"/>
                <w:sz w:val="14"/>
                <w:szCs w:val="14"/>
              </w:rPr>
            </w:pPr>
          </w:p>
          <w:p w:rsidR="000F5673" w:rsidRDefault="000F5673" w:rsidP="000311C5">
            <w:pPr>
              <w:spacing w:line="240" w:lineRule="auto"/>
              <w:rPr>
                <w:rFonts w:cs="Arial"/>
                <w:bCs/>
                <w:iCs/>
                <w:color w:val="0D0D0D" w:themeColor="text1" w:themeTint="F2"/>
                <w:spacing w:val="-4"/>
                <w:sz w:val="14"/>
                <w:szCs w:val="14"/>
              </w:rPr>
            </w:pPr>
          </w:p>
          <w:p w:rsidR="000F5673" w:rsidRDefault="000F5673" w:rsidP="000311C5">
            <w:pPr>
              <w:spacing w:line="240" w:lineRule="auto"/>
              <w:rPr>
                <w:rFonts w:cs="Arial"/>
                <w:bCs/>
                <w:iCs/>
                <w:color w:val="0D0D0D" w:themeColor="text1" w:themeTint="F2"/>
                <w:spacing w:val="-4"/>
                <w:sz w:val="14"/>
                <w:szCs w:val="14"/>
              </w:rPr>
            </w:pPr>
          </w:p>
          <w:p w:rsidR="000F5673" w:rsidRPr="00E43BFF" w:rsidRDefault="000F5673" w:rsidP="000311C5">
            <w:pPr>
              <w:spacing w:line="240" w:lineRule="auto"/>
              <w:rPr>
                <w:rFonts w:cs="Arial"/>
                <w:bCs/>
                <w:iCs/>
                <w:color w:val="0D0D0D" w:themeColor="text1" w:themeTint="F2"/>
                <w:spacing w:val="-4"/>
                <w:sz w:val="14"/>
                <w:szCs w:val="14"/>
              </w:rPr>
            </w:pPr>
          </w:p>
          <w:p w:rsidR="000F5673" w:rsidRDefault="000F5673" w:rsidP="000311C5">
            <w:pPr>
              <w:spacing w:line="240" w:lineRule="auto"/>
              <w:rPr>
                <w:rFonts w:cs="Arial"/>
                <w:bCs/>
                <w:iCs/>
                <w:color w:val="0D0D0D" w:themeColor="text1" w:themeTint="F2"/>
                <w:spacing w:val="-4"/>
                <w:szCs w:val="20"/>
              </w:rPr>
            </w:pPr>
            <w:r>
              <w:rPr>
                <w:rFonts w:cs="Arial"/>
                <w:bCs/>
                <w:iCs/>
                <w:color w:val="0D0D0D" w:themeColor="text1" w:themeTint="F2"/>
                <w:spacing w:val="-4"/>
                <w:sz w:val="16"/>
                <w:szCs w:val="16"/>
              </w:rPr>
              <w:t>Pokračoval</w:t>
            </w:r>
            <w:r w:rsidRPr="002D0D06">
              <w:rPr>
                <w:rFonts w:cs="Arial"/>
                <w:bCs/>
                <w:iCs/>
                <w:color w:val="0D0D0D" w:themeColor="text1" w:themeTint="F2"/>
                <w:spacing w:val="-4"/>
                <w:sz w:val="16"/>
                <w:szCs w:val="16"/>
              </w:rPr>
              <w:t xml:space="preserve"> trend klesajících výdajů na státní dluh, jehož výše je již dva roky stabilizovaná</w:t>
            </w:r>
          </w:p>
          <w:p w:rsidR="000F5673" w:rsidRPr="000F2FB9" w:rsidRDefault="000F5673" w:rsidP="000311C5">
            <w:pPr>
              <w:spacing w:line="240" w:lineRule="auto"/>
              <w:rPr>
                <w:rFonts w:cs="Arial"/>
                <w:bCs/>
                <w:iCs/>
                <w:color w:val="0D0D0D" w:themeColor="text1" w:themeTint="F2"/>
                <w:spacing w:val="-4"/>
                <w:szCs w:val="20"/>
              </w:rPr>
            </w:pPr>
          </w:p>
        </w:tc>
        <w:tc>
          <w:tcPr>
            <w:tcW w:w="140" w:type="pct"/>
          </w:tcPr>
          <w:p w:rsidR="000F5673" w:rsidRPr="009720D9" w:rsidRDefault="000F5673" w:rsidP="000311C5">
            <w:pPr>
              <w:pStyle w:val="Textpoznpodarou"/>
              <w:jc w:val="both"/>
              <w:rPr>
                <w:color w:val="0D0D0D" w:themeColor="text1" w:themeTint="F2"/>
              </w:rPr>
            </w:pPr>
          </w:p>
        </w:tc>
        <w:tc>
          <w:tcPr>
            <w:tcW w:w="3757" w:type="pct"/>
            <w:gridSpan w:val="3"/>
          </w:tcPr>
          <w:p w:rsidR="000F5673" w:rsidRPr="00E43BFF" w:rsidRDefault="000F5673" w:rsidP="000311C5">
            <w:pPr>
              <w:pStyle w:val="Textpoznpodarou"/>
              <w:jc w:val="both"/>
              <w:rPr>
                <w:rFonts w:cs="Arial"/>
                <w:color w:val="0D0D0D" w:themeColor="text1" w:themeTint="F2"/>
                <w:spacing w:val="-4"/>
              </w:rPr>
            </w:pPr>
            <w:r w:rsidRPr="00E43BFF">
              <w:rPr>
                <w:rFonts w:cs="Arial"/>
                <w:color w:val="0D0D0D" w:themeColor="text1" w:themeTint="F2"/>
                <w:spacing w:val="-4"/>
              </w:rPr>
              <w:t xml:space="preserve">Na vyšších běžných výdajích (o 2,7 %) se téměř z poloviny podílely rostoucí sociální dávky (o 9,1 mld. korun). Většina sociální výdajů směřuje tradičně na důchody, jejichž výše byla ovlivněná ovlivněné opětovným přechodem na dřívější valorizační schéma, zčásti i mezigenerační obměnou důchodců (jejich počty poslední tři roky stagnují). Ačkoliv růst výdajů na důchody (meziročně o 2,7 %) byl letos nejvyšší za poslední čtyři roky, deficit salda důchodového účtu (rozdíl mezi příjmy a výdaji na důchody ze SR) </w:t>
            </w:r>
            <w:r w:rsidRPr="00E43BFF">
              <w:rPr>
                <w:rFonts w:cs="Arial"/>
                <w:color w:val="0D0D0D" w:themeColor="text1" w:themeTint="F2"/>
                <w:spacing w:val="-4"/>
              </w:rPr>
              <w:lastRenderedPageBreak/>
              <w:t>se díky dynamickému růstu výběru pojistného (v rámci 1. až 3. pololetí nejvyššího po roce 2008) nadále snižoval (na necelých 21 mld. korun).  Z ostatních sociálních dávek se zvyšovaly především výdaje na nemocenské pojištění (+9,5 %), a to vlivem legislativních opatření (opětovného vyplácení nemocenské již od 15. dne) a také růstu pracovní neschopnosti. Dávky sociální péče stagnovaly, když vyšší výdaje na péči dle zákona o sociálních službách byly kompenzovány poklesem výdajů na dávky v hmotné nouzi. Z dávek státní sociální podpory rostly jen dávky pěstounům, porodné a příspěvek na bydlení. Na podporu nezaměstnaným vydal stát o osminu méně, tuto částku (6,5 mld. korun) tak po dlouhé době převýšily výdaje na aktivní politiku zaměstnanosti, které byly meziročně o polovinu vyšší (zá</w:t>
            </w:r>
            <w:r w:rsidR="00C05715">
              <w:rPr>
                <w:rFonts w:cs="Arial"/>
                <w:color w:val="0D0D0D" w:themeColor="text1" w:themeTint="F2"/>
                <w:spacing w:val="-4"/>
              </w:rPr>
              <w:t>sluhou prostředků z EU). Za nárů</w:t>
            </w:r>
            <w:r w:rsidRPr="00E43BFF">
              <w:rPr>
                <w:rFonts w:cs="Arial"/>
                <w:color w:val="0D0D0D" w:themeColor="text1" w:themeTint="F2"/>
                <w:spacing w:val="-4"/>
              </w:rPr>
              <w:t xml:space="preserve">stem běžných výdajů SR stál také ústup od dřívějších restriktivních opatření. Ten se projevil také vyššími neinvestičními transfery územním rozpočtům (např. na platy učitelů či příspěvek na výkon státní správy v obcích), růstem výdajů na platy státních zaměstnanců (o 9,3 %, zčásti i vlivem přípravy na nový služební zákon) či vyššími neinvestičními nákupy (+2,8 %). Podobně jako loni SR ušetřil na odvodech do rozpočtu EU i na výdajích na státní dluh (-1,7 mld. korun), když se státu koncem léta podařilo poprvé v historii prodat své střednědobé dluhopisy na primárním trhu se zápornými úrokovými sazbami. Pokračovala stabilizace státního dluhu, jehož výše již </w:t>
            </w:r>
            <w:r>
              <w:rPr>
                <w:rFonts w:cs="Arial"/>
                <w:color w:val="0D0D0D" w:themeColor="text1" w:themeTint="F2"/>
                <w:spacing w:val="-4"/>
              </w:rPr>
              <w:t>dva roky</w:t>
            </w:r>
            <w:r w:rsidRPr="00E43BFF">
              <w:rPr>
                <w:rFonts w:cs="Arial"/>
                <w:color w:val="0D0D0D" w:themeColor="text1" w:themeTint="F2"/>
                <w:spacing w:val="-4"/>
              </w:rPr>
              <w:t xml:space="preserve"> stagnuje. </w:t>
            </w:r>
            <w:r w:rsidRPr="00E43BFF">
              <w:rPr>
                <w:rFonts w:cs="Arial"/>
                <w:color w:val="000000" w:themeColor="text1"/>
                <w:spacing w:val="-4"/>
              </w:rPr>
              <w:t>Na konci 3. čtvrtletí 2015 dosahoval 1 663 mld. korun. Meziročně se celkový dluh snížil</w:t>
            </w:r>
            <w:r w:rsidR="000B4F41">
              <w:rPr>
                <w:rFonts w:cs="Arial"/>
                <w:color w:val="000000" w:themeColor="text1"/>
                <w:spacing w:val="-4"/>
              </w:rPr>
              <w:t xml:space="preserve"> o 20 mld. korun, p</w:t>
            </w:r>
            <w:r w:rsidRPr="00E43BFF">
              <w:rPr>
                <w:rFonts w:cs="Arial"/>
                <w:color w:val="000000" w:themeColor="text1"/>
                <w:spacing w:val="-4"/>
              </w:rPr>
              <w:t>řispěla k tomu významná redukc</w:t>
            </w:r>
            <w:r w:rsidR="000B4F41">
              <w:rPr>
                <w:rFonts w:cs="Arial"/>
                <w:color w:val="000000" w:themeColor="text1"/>
                <w:spacing w:val="-4"/>
              </w:rPr>
              <w:t>e vnějšího dluhu (-13,8 %). S</w:t>
            </w:r>
            <w:r w:rsidRPr="00E43BFF">
              <w:rPr>
                <w:rFonts w:cs="Arial"/>
                <w:color w:val="000000" w:themeColor="text1"/>
                <w:spacing w:val="-4"/>
              </w:rPr>
              <w:t>tát svoje nové výpůjčky realizoval prioritně na domácím trhu.</w:t>
            </w:r>
          </w:p>
          <w:p w:rsidR="000F5673" w:rsidRPr="008361F6" w:rsidRDefault="000F5673" w:rsidP="000311C5">
            <w:pPr>
              <w:pStyle w:val="Textpoznpodarou"/>
              <w:jc w:val="both"/>
              <w:rPr>
                <w:rFonts w:cs="Arial"/>
                <w:color w:val="0D0D0D" w:themeColor="text1" w:themeTint="F2"/>
                <w:spacing w:val="-2"/>
                <w:sz w:val="12"/>
                <w:szCs w:val="12"/>
              </w:rPr>
            </w:pPr>
          </w:p>
        </w:tc>
      </w:tr>
      <w:tr w:rsidR="000F5673" w:rsidTr="000F5673">
        <w:tc>
          <w:tcPr>
            <w:tcW w:w="303" w:type="pct"/>
          </w:tcPr>
          <w:p w:rsidR="000F5673" w:rsidRDefault="000F5673" w:rsidP="000311C5">
            <w:pPr>
              <w:spacing w:line="240" w:lineRule="auto"/>
            </w:pPr>
            <w:r>
              <w:lastRenderedPageBreak/>
              <w:t>Graf č. 19</w:t>
            </w:r>
          </w:p>
        </w:tc>
        <w:tc>
          <w:tcPr>
            <w:tcW w:w="2219" w:type="pct"/>
            <w:gridSpan w:val="3"/>
          </w:tcPr>
          <w:p w:rsidR="000F5673" w:rsidRPr="00E43BFF" w:rsidRDefault="000F5673" w:rsidP="000311C5">
            <w:pPr>
              <w:spacing w:line="240" w:lineRule="auto"/>
              <w:rPr>
                <w:rFonts w:cs="Arial"/>
                <w:b/>
                <w:bCs/>
              </w:rPr>
            </w:pPr>
            <w:r>
              <w:rPr>
                <w:rFonts w:cs="Arial"/>
                <w:b/>
                <w:bCs/>
              </w:rPr>
              <w:t xml:space="preserve">Celostátní inkasa daňových příjmů </w:t>
            </w:r>
            <w:r w:rsidRPr="008A3A85">
              <w:rPr>
                <w:rFonts w:cs="Arial"/>
                <w:bCs/>
              </w:rPr>
              <w:t>(y/y, v %)</w:t>
            </w:r>
            <w:r>
              <w:rPr>
                <w:rFonts w:cs="Arial"/>
                <w:bCs/>
              </w:rPr>
              <w:t xml:space="preserve"> </w:t>
            </w:r>
            <w:r>
              <w:rPr>
                <w:rFonts w:cs="Arial"/>
                <w:b/>
                <w:bCs/>
              </w:rPr>
              <w:t>a saldo státního rozpočtu</w:t>
            </w:r>
            <w:r>
              <w:t xml:space="preserve"> </w:t>
            </w:r>
            <w:r>
              <w:rPr>
                <w:rFonts w:cs="Arial"/>
                <w:bCs/>
              </w:rPr>
              <w:t>(v mld. korun)</w:t>
            </w:r>
          </w:p>
        </w:tc>
        <w:tc>
          <w:tcPr>
            <w:tcW w:w="359" w:type="pct"/>
          </w:tcPr>
          <w:p w:rsidR="000F5673" w:rsidRDefault="000F5673" w:rsidP="000311C5">
            <w:pPr>
              <w:spacing w:line="240" w:lineRule="auto"/>
            </w:pPr>
            <w:r>
              <w:t>Graf č. 20</w:t>
            </w:r>
          </w:p>
        </w:tc>
        <w:tc>
          <w:tcPr>
            <w:tcW w:w="2119" w:type="pct"/>
            <w:gridSpan w:val="2"/>
          </w:tcPr>
          <w:p w:rsidR="000F5673" w:rsidRDefault="000F5673" w:rsidP="000311C5">
            <w:pPr>
              <w:spacing w:line="240" w:lineRule="auto"/>
              <w:rPr>
                <w:rFonts w:cs="Arial"/>
                <w:b/>
                <w:bCs/>
              </w:rPr>
            </w:pPr>
            <w:r>
              <w:rPr>
                <w:rFonts w:cs="Arial"/>
                <w:b/>
                <w:bCs/>
              </w:rPr>
              <w:t>Vybrané výdaje státního rozpočtu</w:t>
            </w:r>
          </w:p>
          <w:p w:rsidR="000F5673" w:rsidRPr="006F2BEE" w:rsidRDefault="000F5673" w:rsidP="000311C5">
            <w:pPr>
              <w:spacing w:line="240" w:lineRule="auto"/>
              <w:rPr>
                <w:rFonts w:cs="Arial"/>
                <w:b/>
                <w:bCs/>
                <w:spacing w:val="-2"/>
              </w:rPr>
            </w:pPr>
            <w:r>
              <w:rPr>
                <w:rFonts w:cs="Arial"/>
                <w:bCs/>
              </w:rPr>
              <w:t>(</w:t>
            </w:r>
            <w:r w:rsidRPr="00DB06E9">
              <w:rPr>
                <w:rFonts w:cs="Arial"/>
                <w:bCs/>
              </w:rPr>
              <w:t>v mld. korun</w:t>
            </w:r>
            <w:r>
              <w:rPr>
                <w:rFonts w:cs="Arial"/>
                <w:bCs/>
              </w:rPr>
              <w:t>, kumulace za 1.</w:t>
            </w:r>
            <w:r w:rsidR="00294238">
              <w:rPr>
                <w:rFonts w:cs="Arial"/>
                <w:bCs/>
              </w:rPr>
              <w:t xml:space="preserve"> </w:t>
            </w:r>
            <w:r w:rsidR="006716A5">
              <w:rPr>
                <w:spacing w:val="-4"/>
              </w:rPr>
              <w:t>–</w:t>
            </w:r>
            <w:r w:rsidR="00294238">
              <w:rPr>
                <w:rFonts w:cs="Arial"/>
                <w:bCs/>
              </w:rPr>
              <w:t xml:space="preserve"> </w:t>
            </w:r>
            <w:r>
              <w:rPr>
                <w:rFonts w:cs="Arial"/>
                <w:bCs/>
              </w:rPr>
              <w:t>3.</w:t>
            </w:r>
            <w:r w:rsidR="00294238">
              <w:rPr>
                <w:rFonts w:cs="Arial"/>
                <w:bCs/>
              </w:rPr>
              <w:t xml:space="preserve"> </w:t>
            </w:r>
            <w:r>
              <w:rPr>
                <w:rFonts w:cs="Arial"/>
                <w:bCs/>
              </w:rPr>
              <w:t>čtvrtletí</w:t>
            </w:r>
            <w:r w:rsidRPr="00DB06E9">
              <w:rPr>
                <w:rFonts w:cs="Arial"/>
                <w:bCs/>
              </w:rPr>
              <w:t>)</w:t>
            </w:r>
          </w:p>
        </w:tc>
      </w:tr>
      <w:tr w:rsidR="000F5673" w:rsidTr="000F5673">
        <w:tc>
          <w:tcPr>
            <w:tcW w:w="2522" w:type="pct"/>
            <w:gridSpan w:val="4"/>
          </w:tcPr>
          <w:p w:rsidR="000F5673" w:rsidRDefault="000A66C2" w:rsidP="000311C5">
            <w:pPr>
              <w:pStyle w:val="Textpoznpodarou"/>
              <w:jc w:val="both"/>
            </w:pPr>
            <w:r>
              <w:pict>
                <v:shape id="_x0000_i1043" type="#_x0000_t75" style="width:244.5pt;height:174.75pt">
                  <v:imagedata r:id="rId32" o:title=""/>
                </v:shape>
              </w:pict>
            </w:r>
          </w:p>
        </w:tc>
        <w:tc>
          <w:tcPr>
            <w:tcW w:w="2478" w:type="pct"/>
            <w:gridSpan w:val="3"/>
          </w:tcPr>
          <w:p w:rsidR="000F5673" w:rsidRDefault="000A66C2" w:rsidP="000311C5">
            <w:pPr>
              <w:pStyle w:val="Textpoznpodarou"/>
              <w:jc w:val="both"/>
            </w:pPr>
            <w:r>
              <w:pict>
                <v:shape id="_x0000_i1044" type="#_x0000_t75" style="width:239.25pt;height:175.5pt">
                  <v:imagedata r:id="rId33" o:title=""/>
                </v:shape>
              </w:pict>
            </w:r>
          </w:p>
        </w:tc>
      </w:tr>
      <w:tr w:rsidR="000F5673" w:rsidTr="000F5673">
        <w:tc>
          <w:tcPr>
            <w:tcW w:w="5000" w:type="pct"/>
            <w:gridSpan w:val="7"/>
          </w:tcPr>
          <w:p w:rsidR="000F5673" w:rsidRPr="009E6613" w:rsidRDefault="000F5673" w:rsidP="000311C5">
            <w:pPr>
              <w:pStyle w:val="Textpoznpodarou"/>
              <w:rPr>
                <w:sz w:val="18"/>
                <w:szCs w:val="18"/>
              </w:rPr>
            </w:pPr>
            <w:r w:rsidRPr="004C5813">
              <w:rPr>
                <w:sz w:val="18"/>
                <w:szCs w:val="18"/>
              </w:rPr>
              <w:t>*vč. dávek pěstounské péče</w:t>
            </w:r>
            <w:r>
              <w:rPr>
                <w:sz w:val="18"/>
                <w:szCs w:val="18"/>
              </w:rPr>
              <w:t xml:space="preserve">         </w:t>
            </w:r>
            <w:r w:rsidRPr="004C5813">
              <w:rPr>
                <w:sz w:val="18"/>
                <w:szCs w:val="18"/>
              </w:rPr>
              <w:t>**dávky pomoci</w:t>
            </w:r>
            <w:r>
              <w:rPr>
                <w:sz w:val="18"/>
                <w:szCs w:val="18"/>
              </w:rPr>
              <w:t xml:space="preserve"> v hmot.</w:t>
            </w:r>
            <w:r w:rsidRPr="004C5813">
              <w:rPr>
                <w:sz w:val="18"/>
                <w:szCs w:val="18"/>
              </w:rPr>
              <w:t xml:space="preserve"> n</w:t>
            </w:r>
            <w:r>
              <w:rPr>
                <w:sz w:val="18"/>
                <w:szCs w:val="18"/>
              </w:rPr>
              <w:t>ouzi, dávky osobám se zdravot.</w:t>
            </w:r>
            <w:r w:rsidRPr="004C5813">
              <w:rPr>
                <w:sz w:val="18"/>
                <w:szCs w:val="18"/>
              </w:rPr>
              <w:t xml:space="preserve"> </w:t>
            </w:r>
            <w:r>
              <w:rPr>
                <w:sz w:val="18"/>
                <w:szCs w:val="18"/>
              </w:rPr>
              <w:t xml:space="preserve">postižením, příspěvek na péči </w:t>
            </w:r>
            <w:r w:rsidRPr="004C5813">
              <w:rPr>
                <w:sz w:val="18"/>
                <w:szCs w:val="18"/>
              </w:rPr>
              <w:t>dle zákona o sociálních službách</w:t>
            </w:r>
            <w:r>
              <w:rPr>
                <w:sz w:val="18"/>
                <w:szCs w:val="18"/>
              </w:rPr>
              <w:t xml:space="preserve">                                                                                                                        </w:t>
            </w:r>
            <w:r>
              <w:rPr>
                <w:rFonts w:cs="Arial"/>
                <w:sz w:val="18"/>
                <w:szCs w:val="18"/>
              </w:rPr>
              <w:t>Zdroj: MF ČR</w:t>
            </w:r>
          </w:p>
        </w:tc>
      </w:tr>
    </w:tbl>
    <w:p w:rsidR="00886A8F" w:rsidRPr="00E21CAB" w:rsidRDefault="00886A8F" w:rsidP="00B55BA8">
      <w:pPr>
        <w:pStyle w:val="Bezmezer"/>
        <w:rPr>
          <w:sz w:val="16"/>
          <w:szCs w:val="16"/>
          <w:lang w:eastAsia="ar-SA"/>
        </w:rPr>
      </w:pPr>
    </w:p>
    <w:tbl>
      <w:tblPr>
        <w:tblW w:w="5079" w:type="pct"/>
        <w:tblCellMar>
          <w:left w:w="28" w:type="dxa"/>
          <w:right w:w="28" w:type="dxa"/>
        </w:tblCellMar>
        <w:tblLook w:val="04A0"/>
      </w:tblPr>
      <w:tblGrid>
        <w:gridCol w:w="755"/>
        <w:gridCol w:w="4192"/>
        <w:gridCol w:w="713"/>
        <w:gridCol w:w="4191"/>
      </w:tblGrid>
      <w:tr w:rsidR="000F5673" w:rsidTr="000311C5">
        <w:tc>
          <w:tcPr>
            <w:tcW w:w="383" w:type="pct"/>
          </w:tcPr>
          <w:p w:rsidR="000F5673" w:rsidRDefault="000F5673" w:rsidP="000311C5">
            <w:pPr>
              <w:spacing w:line="240" w:lineRule="auto"/>
            </w:pPr>
            <w:r>
              <w:t>Graf č. 19</w:t>
            </w:r>
          </w:p>
        </w:tc>
        <w:tc>
          <w:tcPr>
            <w:tcW w:w="2128" w:type="pct"/>
          </w:tcPr>
          <w:p w:rsidR="000F5673" w:rsidRDefault="000F5673" w:rsidP="000311C5">
            <w:pPr>
              <w:spacing w:line="240" w:lineRule="auto"/>
              <w:rPr>
                <w:rFonts w:cs="Arial"/>
                <w:b/>
                <w:bCs/>
              </w:rPr>
            </w:pPr>
            <w:r>
              <w:rPr>
                <w:rFonts w:cs="Arial"/>
                <w:b/>
                <w:bCs/>
              </w:rPr>
              <w:t xml:space="preserve">Příjmy a výdaje státního rozpočtu ČR </w:t>
            </w:r>
          </w:p>
          <w:p w:rsidR="000F5673" w:rsidRPr="00267A09" w:rsidRDefault="000F5673" w:rsidP="000311C5">
            <w:pPr>
              <w:spacing w:line="240" w:lineRule="auto"/>
              <w:rPr>
                <w:rFonts w:cs="Arial"/>
                <w:bCs/>
              </w:rPr>
            </w:pPr>
            <w:r>
              <w:rPr>
                <w:rFonts w:cs="Arial"/>
                <w:b/>
                <w:bCs/>
              </w:rPr>
              <w:t xml:space="preserve">ve vztahu k EU </w:t>
            </w:r>
            <w:r>
              <w:rPr>
                <w:rFonts w:cs="Arial"/>
                <w:bCs/>
              </w:rPr>
              <w:t>(</w:t>
            </w:r>
            <w:r w:rsidRPr="00DB06E9">
              <w:rPr>
                <w:rFonts w:cs="Arial"/>
                <w:bCs/>
              </w:rPr>
              <w:t>v mld. korun</w:t>
            </w:r>
            <w:r w:rsidR="00294238">
              <w:rPr>
                <w:rFonts w:cs="Arial"/>
                <w:bCs/>
              </w:rPr>
              <w:t xml:space="preserve">, </w:t>
            </w:r>
            <w:r>
              <w:rPr>
                <w:rFonts w:cs="Arial"/>
                <w:bCs/>
              </w:rPr>
              <w:t>1.</w:t>
            </w:r>
            <w:r w:rsidR="00294238">
              <w:rPr>
                <w:rFonts w:cs="Arial"/>
                <w:bCs/>
              </w:rPr>
              <w:t xml:space="preserve"> </w:t>
            </w:r>
            <w:r w:rsidR="006716A5">
              <w:rPr>
                <w:spacing w:val="-4"/>
              </w:rPr>
              <w:t>–</w:t>
            </w:r>
            <w:r w:rsidR="00294238">
              <w:rPr>
                <w:rFonts w:cs="Arial"/>
                <w:bCs/>
              </w:rPr>
              <w:t xml:space="preserve"> </w:t>
            </w:r>
            <w:r>
              <w:rPr>
                <w:rFonts w:cs="Arial"/>
                <w:bCs/>
              </w:rPr>
              <w:t>3.</w:t>
            </w:r>
            <w:r w:rsidR="00294238">
              <w:rPr>
                <w:rFonts w:cs="Arial"/>
                <w:bCs/>
              </w:rPr>
              <w:t xml:space="preserve"> </w:t>
            </w:r>
            <w:r>
              <w:rPr>
                <w:rFonts w:cs="Arial"/>
                <w:bCs/>
              </w:rPr>
              <w:t>čtvrtletí</w:t>
            </w:r>
            <w:r w:rsidRPr="00DB06E9">
              <w:rPr>
                <w:rFonts w:cs="Arial"/>
                <w:bCs/>
              </w:rPr>
              <w:t>)</w:t>
            </w:r>
          </w:p>
        </w:tc>
        <w:tc>
          <w:tcPr>
            <w:tcW w:w="362" w:type="pct"/>
          </w:tcPr>
          <w:p w:rsidR="000F5673" w:rsidRDefault="000F5673" w:rsidP="000311C5">
            <w:pPr>
              <w:spacing w:line="240" w:lineRule="auto"/>
            </w:pPr>
            <w:r>
              <w:t>Graf č. 20</w:t>
            </w:r>
          </w:p>
        </w:tc>
        <w:tc>
          <w:tcPr>
            <w:tcW w:w="2127" w:type="pct"/>
          </w:tcPr>
          <w:p w:rsidR="000F5673" w:rsidRDefault="000F5673" w:rsidP="000311C5">
            <w:pPr>
              <w:spacing w:line="240" w:lineRule="auto"/>
              <w:rPr>
                <w:rFonts w:cs="Arial"/>
                <w:bCs/>
                <w:spacing w:val="-2"/>
              </w:rPr>
            </w:pPr>
            <w:r>
              <w:rPr>
                <w:rFonts w:cs="Arial"/>
                <w:b/>
                <w:bCs/>
                <w:spacing w:val="-2"/>
              </w:rPr>
              <w:t xml:space="preserve">Příjmy </w:t>
            </w:r>
            <w:r w:rsidRPr="006F2BEE">
              <w:rPr>
                <w:rFonts w:cs="Arial"/>
                <w:b/>
                <w:bCs/>
                <w:spacing w:val="-2"/>
              </w:rPr>
              <w:t>a výdaje</w:t>
            </w:r>
            <w:r>
              <w:rPr>
                <w:rFonts w:cs="Arial"/>
                <w:b/>
                <w:bCs/>
                <w:spacing w:val="-2"/>
              </w:rPr>
              <w:t xml:space="preserve"> na důchody ze SR</w:t>
            </w:r>
            <w:r w:rsidRPr="006F2BEE">
              <w:rPr>
                <w:rFonts w:cs="Arial"/>
                <w:b/>
                <w:bCs/>
                <w:spacing w:val="-2"/>
              </w:rPr>
              <w:t xml:space="preserve"> </w:t>
            </w:r>
            <w:r w:rsidRPr="006F2BEE">
              <w:rPr>
                <w:rFonts w:cs="Arial"/>
                <w:bCs/>
                <w:spacing w:val="-2"/>
              </w:rPr>
              <w:t xml:space="preserve">(y/y, v %) </w:t>
            </w:r>
          </w:p>
          <w:p w:rsidR="000F5673" w:rsidRPr="006F2BEE" w:rsidRDefault="000F5673" w:rsidP="000311C5">
            <w:pPr>
              <w:spacing w:line="240" w:lineRule="auto"/>
              <w:rPr>
                <w:rFonts w:cs="Arial"/>
                <w:b/>
                <w:bCs/>
                <w:spacing w:val="-2"/>
              </w:rPr>
            </w:pPr>
            <w:r w:rsidRPr="006F2BEE">
              <w:rPr>
                <w:rFonts w:cs="Arial"/>
                <w:b/>
                <w:bCs/>
                <w:spacing w:val="-2"/>
              </w:rPr>
              <w:t xml:space="preserve">a bilance </w:t>
            </w:r>
            <w:r>
              <w:rPr>
                <w:rFonts w:cs="Arial"/>
                <w:b/>
                <w:bCs/>
                <w:spacing w:val="-2"/>
              </w:rPr>
              <w:t>důchodového</w:t>
            </w:r>
            <w:r w:rsidRPr="006F2BEE">
              <w:rPr>
                <w:rFonts w:cs="Arial"/>
                <w:b/>
                <w:bCs/>
                <w:spacing w:val="-2"/>
              </w:rPr>
              <w:t xml:space="preserve"> účtu </w:t>
            </w:r>
            <w:r w:rsidRPr="006F2BEE">
              <w:rPr>
                <w:rFonts w:cs="Arial"/>
                <w:bCs/>
                <w:spacing w:val="-2"/>
              </w:rPr>
              <w:t>(v mld. korun)</w:t>
            </w:r>
            <w:r>
              <w:rPr>
                <w:rFonts w:cs="Arial"/>
                <w:bCs/>
              </w:rPr>
              <w:t xml:space="preserve"> </w:t>
            </w:r>
          </w:p>
        </w:tc>
      </w:tr>
      <w:tr w:rsidR="000F5673" w:rsidTr="000311C5">
        <w:tc>
          <w:tcPr>
            <w:tcW w:w="2511" w:type="pct"/>
            <w:gridSpan w:val="2"/>
          </w:tcPr>
          <w:p w:rsidR="000F5673" w:rsidRDefault="000A66C2" w:rsidP="000311C5">
            <w:pPr>
              <w:pStyle w:val="Textpoznpodarou"/>
              <w:jc w:val="both"/>
            </w:pPr>
            <w:r>
              <w:pict>
                <v:shape id="_x0000_i1045" type="#_x0000_t75" style="width:244.5pt;height:162pt">
                  <v:imagedata r:id="rId34" o:title=""/>
                </v:shape>
              </w:pict>
            </w:r>
          </w:p>
        </w:tc>
        <w:tc>
          <w:tcPr>
            <w:tcW w:w="2489" w:type="pct"/>
            <w:gridSpan w:val="2"/>
          </w:tcPr>
          <w:p w:rsidR="000F5673" w:rsidRDefault="000A66C2" w:rsidP="000311C5">
            <w:pPr>
              <w:pStyle w:val="Textpoznpodarou"/>
              <w:jc w:val="both"/>
            </w:pPr>
            <w:r>
              <w:pict>
                <v:shape id="_x0000_i1046" type="#_x0000_t75" style="width:242.25pt;height:162pt">
                  <v:imagedata r:id="rId35" o:title=""/>
                </v:shape>
              </w:pict>
            </w:r>
          </w:p>
        </w:tc>
      </w:tr>
      <w:tr w:rsidR="000F5673" w:rsidTr="000311C5">
        <w:tc>
          <w:tcPr>
            <w:tcW w:w="5000" w:type="pct"/>
            <w:gridSpan w:val="4"/>
          </w:tcPr>
          <w:p w:rsidR="000F5673" w:rsidRPr="004C5813" w:rsidRDefault="000F5673" w:rsidP="000311C5">
            <w:pPr>
              <w:autoSpaceDE w:val="0"/>
              <w:autoSpaceDN w:val="0"/>
              <w:adjustRightInd w:val="0"/>
              <w:spacing w:line="240" w:lineRule="auto"/>
              <w:rPr>
                <w:rFonts w:cs="Arial"/>
                <w:color w:val="000000" w:themeColor="text1"/>
                <w:spacing w:val="-2"/>
                <w:sz w:val="18"/>
                <w:szCs w:val="18"/>
              </w:rPr>
            </w:pPr>
            <w:r w:rsidRPr="004C5813">
              <w:rPr>
                <w:sz w:val="18"/>
                <w:szCs w:val="18"/>
                <w:lang w:eastAsia="ar-SA"/>
              </w:rPr>
              <w:t>*</w:t>
            </w:r>
            <w:r w:rsidRPr="004C5813">
              <w:rPr>
                <w:rFonts w:ascii="TimesNewRoman,Italic" w:hAnsi="TimesNewRoman,Italic" w:cs="TimesNewRoman,Italic"/>
                <w:i/>
                <w:iCs/>
                <w:sz w:val="18"/>
                <w:szCs w:val="18"/>
              </w:rPr>
              <w:t xml:space="preserve"> </w:t>
            </w:r>
            <w:r w:rsidRPr="004C5813">
              <w:rPr>
                <w:rFonts w:cs="Arial"/>
                <w:color w:val="000000" w:themeColor="text1"/>
                <w:spacing w:val="-2"/>
                <w:sz w:val="18"/>
                <w:szCs w:val="18"/>
              </w:rPr>
              <w:t>Příjmy finančních prostředků z rozpočtu EU na společné programy ČR a EU, včetně prostředků určených na</w:t>
            </w:r>
            <w:r>
              <w:rPr>
                <w:rFonts w:cs="Arial"/>
                <w:color w:val="000000" w:themeColor="text1"/>
                <w:spacing w:val="-2"/>
                <w:sz w:val="18"/>
                <w:szCs w:val="18"/>
              </w:rPr>
              <w:t xml:space="preserve"> </w:t>
            </w:r>
            <w:r w:rsidRPr="004C5813">
              <w:rPr>
                <w:rFonts w:cs="Arial"/>
                <w:color w:val="000000" w:themeColor="text1"/>
                <w:spacing w:val="-2"/>
                <w:sz w:val="18"/>
                <w:szCs w:val="18"/>
              </w:rPr>
              <w:t>krytí výdajů Společné zemědělské politiky a Finančních mechanismů.</w:t>
            </w:r>
            <w:r>
              <w:rPr>
                <w:rFonts w:cs="Arial"/>
                <w:color w:val="000000" w:themeColor="text1"/>
                <w:spacing w:val="-2"/>
                <w:sz w:val="18"/>
                <w:szCs w:val="18"/>
              </w:rPr>
              <w:t xml:space="preserve">                                                                            </w:t>
            </w:r>
            <w:r>
              <w:rPr>
                <w:rFonts w:cs="Arial"/>
                <w:sz w:val="18"/>
                <w:szCs w:val="18"/>
              </w:rPr>
              <w:t>Zdroj: MF ČR, ČSSZ</w:t>
            </w:r>
          </w:p>
        </w:tc>
      </w:tr>
    </w:tbl>
    <w:p w:rsidR="000F5673" w:rsidRPr="000F5673" w:rsidRDefault="000F5673" w:rsidP="00C2463B">
      <w:pPr>
        <w:pStyle w:val="Textpoznpodarou"/>
        <w:jc w:val="both"/>
        <w:rPr>
          <w:rFonts w:cs="Arial"/>
          <w:color w:val="000000" w:themeColor="text1"/>
          <w:spacing w:val="-2"/>
          <w:sz w:val="12"/>
          <w:szCs w:val="12"/>
        </w:rPr>
      </w:pPr>
    </w:p>
    <w:p w:rsidR="00B55BA8" w:rsidRPr="00C2463B" w:rsidRDefault="00B55BA8" w:rsidP="00C2463B">
      <w:pPr>
        <w:pStyle w:val="Textpoznpodarou"/>
        <w:jc w:val="both"/>
        <w:rPr>
          <w:rFonts w:cs="Arial"/>
          <w:color w:val="000000" w:themeColor="text1"/>
          <w:spacing w:val="-2"/>
        </w:rPr>
      </w:pPr>
      <w:r w:rsidRPr="00C2463B">
        <w:rPr>
          <w:rFonts w:cs="Arial"/>
          <w:color w:val="000000" w:themeColor="text1"/>
          <w:spacing w:val="-2"/>
        </w:rPr>
        <w:t>Zdroje dat v celé analýze: ČSÚ, MF ČR, ČNB,</w:t>
      </w:r>
      <w:r w:rsidR="00886A8F">
        <w:rPr>
          <w:rFonts w:cs="Arial"/>
          <w:color w:val="000000" w:themeColor="text1"/>
          <w:spacing w:val="-2"/>
        </w:rPr>
        <w:t xml:space="preserve"> MPSV</w:t>
      </w:r>
      <w:r w:rsidR="00FD1BBD">
        <w:rPr>
          <w:rFonts w:cs="Arial"/>
          <w:color w:val="000000" w:themeColor="text1"/>
          <w:spacing w:val="-2"/>
        </w:rPr>
        <w:t>,</w:t>
      </w:r>
      <w:r w:rsidRPr="00C2463B">
        <w:rPr>
          <w:rFonts w:cs="Arial"/>
          <w:color w:val="000000" w:themeColor="text1"/>
          <w:spacing w:val="-2"/>
        </w:rPr>
        <w:t xml:space="preserve"> ČSSZ, Eurostat, propočty ČSÚ.</w:t>
      </w:r>
    </w:p>
    <w:p w:rsidR="00B55BA8" w:rsidRPr="00C2463B" w:rsidRDefault="00B55BA8" w:rsidP="00C2463B">
      <w:pPr>
        <w:pStyle w:val="Textpoznpodarou"/>
        <w:jc w:val="both"/>
        <w:rPr>
          <w:rFonts w:cs="Arial"/>
          <w:color w:val="000000" w:themeColor="text1"/>
          <w:spacing w:val="-2"/>
        </w:rPr>
      </w:pPr>
      <w:r w:rsidRPr="00C2463B">
        <w:rPr>
          <w:rFonts w:cs="Arial"/>
          <w:color w:val="000000" w:themeColor="text1"/>
          <w:spacing w:val="-2"/>
        </w:rPr>
        <w:t>Poslední informace uváděné v té</w:t>
      </w:r>
      <w:r w:rsidR="00886A8F">
        <w:rPr>
          <w:rFonts w:cs="Arial"/>
          <w:color w:val="000000" w:themeColor="text1"/>
          <w:spacing w:val="-2"/>
        </w:rPr>
        <w:t>to zprávě pocházejí z 11. prosince</w:t>
      </w:r>
      <w:r w:rsidRPr="00C2463B">
        <w:rPr>
          <w:rFonts w:cs="Arial"/>
          <w:color w:val="000000" w:themeColor="text1"/>
          <w:spacing w:val="-2"/>
        </w:rPr>
        <w:t xml:space="preserve"> 2015.</w:t>
      </w:r>
    </w:p>
    <w:sectPr w:rsidR="00B55BA8" w:rsidRPr="00C2463B" w:rsidSect="00D43998">
      <w:headerReference w:type="even" r:id="rId36"/>
      <w:headerReference w:type="default" r:id="rId37"/>
      <w:footerReference w:type="even" r:id="rId38"/>
      <w:footerReference w:type="default" r:id="rId39"/>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B4B" w:rsidRDefault="00463B4B" w:rsidP="00E71A58">
      <w:r>
        <w:separator/>
      </w:r>
    </w:p>
  </w:endnote>
  <w:endnote w:type="continuationSeparator" w:id="0">
    <w:p w:rsidR="00463B4B" w:rsidRDefault="00463B4B"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imesNewRoman,Italic">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Default="000A66C2"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42" o:spid="_x0000_s2049" type="#_x0000_t75" alt="Description: 3" style="position:absolute;margin-left:.3pt;margin-top:7.1pt;width:39pt;height:21pt;z-index:251656704;visibility:visible">
          <v:imagedata r:id="rId1" o:title=""/>
        </v:shape>
      </w:pict>
    </w:r>
    <w:r w:rsidR="00463B4B">
      <w:tab/>
    </w:r>
    <w:r w:rsidR="00463B4B">
      <w:tab/>
    </w:r>
    <w:r w:rsidR="00463B4B" w:rsidRPr="00DC5B3B">
      <w:t xml:space="preserve">                              </w:t>
    </w:r>
  </w:p>
  <w:p w:rsidR="00463B4B" w:rsidRPr="00223E00" w:rsidRDefault="00463B4B"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0A66C2"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0A66C2" w:rsidRPr="00223E00">
      <w:rPr>
        <w:rFonts w:ascii="Arial" w:hAnsi="Arial" w:cs="Arial"/>
        <w:sz w:val="16"/>
        <w:szCs w:val="16"/>
      </w:rPr>
      <w:fldChar w:fldCharType="separate"/>
    </w:r>
    <w:r w:rsidR="00E21CAB">
      <w:rPr>
        <w:rFonts w:ascii="Arial" w:hAnsi="Arial" w:cs="Arial"/>
        <w:noProof/>
        <w:sz w:val="16"/>
        <w:szCs w:val="16"/>
      </w:rPr>
      <w:t>3</w:t>
    </w:r>
    <w:r w:rsidR="000A66C2"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Default="000A66C2" w:rsidP="00357449">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Description: 3" style="position:absolute;margin-left:445.7pt;margin-top:-4.1pt;width:36.75pt;height:17.25pt;z-index:251657728;visibility:visible">
          <v:imagedata r:id="rId1" o:title=""/>
        </v:shape>
      </w:pict>
    </w:r>
    <w:r w:rsidRPr="005A21E0">
      <w:rPr>
        <w:rFonts w:ascii="Arial" w:hAnsi="Arial" w:cs="Arial"/>
        <w:sz w:val="16"/>
        <w:szCs w:val="16"/>
      </w:rPr>
      <w:fldChar w:fldCharType="begin"/>
    </w:r>
    <w:r w:rsidR="00463B4B" w:rsidRPr="005A21E0">
      <w:rPr>
        <w:rFonts w:ascii="Arial" w:hAnsi="Arial" w:cs="Arial"/>
        <w:sz w:val="16"/>
        <w:szCs w:val="16"/>
      </w:rPr>
      <w:instrText>PAGE   \* MERGEFORMAT</w:instrText>
    </w:r>
    <w:r w:rsidRPr="005A21E0">
      <w:rPr>
        <w:rFonts w:ascii="Arial" w:hAnsi="Arial" w:cs="Arial"/>
        <w:sz w:val="16"/>
        <w:szCs w:val="16"/>
      </w:rPr>
      <w:fldChar w:fldCharType="separate"/>
    </w:r>
    <w:r w:rsidR="00E21CAB">
      <w:rPr>
        <w:rFonts w:ascii="Arial" w:hAnsi="Arial" w:cs="Arial"/>
        <w:noProof/>
        <w:sz w:val="16"/>
        <w:szCs w:val="16"/>
      </w:rPr>
      <w:t>22</w:t>
    </w:r>
    <w:r w:rsidRPr="005A21E0">
      <w:rPr>
        <w:rFonts w:ascii="Arial" w:hAnsi="Arial" w:cs="Arial"/>
        <w:sz w:val="16"/>
        <w:szCs w:val="16"/>
      </w:rPr>
      <w:fldChar w:fldCharType="end"/>
    </w:r>
    <w:r w:rsidR="00463B4B">
      <w:rPr>
        <w:rFonts w:ascii="Arial" w:hAnsi="Arial" w:cs="Arial"/>
        <w:sz w:val="16"/>
        <w:szCs w:val="16"/>
      </w:rPr>
      <w:tab/>
      <w:t>2015</w:t>
    </w:r>
    <w:r w:rsidR="00463B4B">
      <w:tab/>
    </w:r>
    <w:r w:rsidR="00463B4B">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Default="000A66C2"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3" style="position:absolute;margin-left:.3pt;margin-top:7.1pt;width:39pt;height:21pt;z-index:251658752;visibility:visible">
          <v:imagedata r:id="rId1" o:title=""/>
        </v:shape>
      </w:pict>
    </w:r>
    <w:r w:rsidR="00463B4B">
      <w:tab/>
    </w:r>
    <w:r w:rsidR="00463B4B">
      <w:tab/>
    </w:r>
    <w:r w:rsidR="00463B4B" w:rsidRPr="00DC5B3B">
      <w:t xml:space="preserve">                              </w:t>
    </w:r>
  </w:p>
  <w:p w:rsidR="00463B4B" w:rsidRPr="00223E00" w:rsidRDefault="00463B4B"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0A66C2"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0A66C2" w:rsidRPr="00223E00">
      <w:rPr>
        <w:rFonts w:ascii="Arial" w:hAnsi="Arial" w:cs="Arial"/>
        <w:sz w:val="16"/>
        <w:szCs w:val="16"/>
      </w:rPr>
      <w:fldChar w:fldCharType="separate"/>
    </w:r>
    <w:r w:rsidR="00E21CAB">
      <w:rPr>
        <w:rFonts w:ascii="Arial" w:hAnsi="Arial" w:cs="Arial"/>
        <w:noProof/>
        <w:sz w:val="16"/>
        <w:szCs w:val="16"/>
      </w:rPr>
      <w:t>23</w:t>
    </w:r>
    <w:r w:rsidR="000A66C2"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B4B" w:rsidRDefault="00463B4B" w:rsidP="00E71A58">
      <w:r>
        <w:separator/>
      </w:r>
    </w:p>
  </w:footnote>
  <w:footnote w:type="continuationSeparator" w:id="0">
    <w:p w:rsidR="00463B4B" w:rsidRDefault="00463B4B" w:rsidP="00E71A58">
      <w:r>
        <w:continuationSeparator/>
      </w:r>
    </w:p>
  </w:footnote>
  <w:footnote w:id="1">
    <w:p w:rsidR="00463B4B" w:rsidRPr="00100FC2" w:rsidRDefault="00463B4B" w:rsidP="00394D49">
      <w:pPr>
        <w:pStyle w:val="Textpoznpodarou"/>
        <w:jc w:val="both"/>
      </w:pPr>
      <w:r w:rsidRPr="00100FC2">
        <w:rPr>
          <w:rStyle w:val="Znakapoznpodarou"/>
        </w:rPr>
        <w:footnoteRef/>
      </w:r>
      <w:r w:rsidRPr="00100FC2">
        <w:t xml:space="preserve"> </w:t>
      </w:r>
      <w:r w:rsidRPr="00100FC2">
        <w:rPr>
          <w:sz w:val="16"/>
          <w:szCs w:val="16"/>
        </w:rPr>
        <w:t>Pokud není uvedeno jinak, jsou data o HDP a jeho složkách vyjádřena reálně a v očištění o sezónní a kalendářní vlivy. Totéž platí i pro hrubou přidanou hodnotu.</w:t>
      </w:r>
    </w:p>
  </w:footnote>
  <w:footnote w:id="2">
    <w:p w:rsidR="00463B4B" w:rsidRDefault="00463B4B" w:rsidP="00394D49">
      <w:pPr>
        <w:pStyle w:val="Textpoznpodarou"/>
      </w:pPr>
      <w:r w:rsidRPr="00100FC2">
        <w:rPr>
          <w:rStyle w:val="Znakapoznpodarou"/>
        </w:rPr>
        <w:footnoteRef/>
      </w:r>
      <w:r w:rsidRPr="00100FC2">
        <w:t xml:space="preserve"> </w:t>
      </w:r>
      <w:r w:rsidRPr="00100FC2">
        <w:rPr>
          <w:sz w:val="16"/>
          <w:szCs w:val="16"/>
        </w:rPr>
        <w:t>Příspěvky ke změně HDP bez vyloučení dovozu pro konečné užití.</w:t>
      </w:r>
    </w:p>
  </w:footnote>
  <w:footnote w:id="3">
    <w:p w:rsidR="00463B4B" w:rsidRPr="002A7D6D" w:rsidRDefault="00463B4B" w:rsidP="009A3A87">
      <w:pPr>
        <w:pStyle w:val="Textpoznpodarou"/>
        <w:jc w:val="both"/>
      </w:pPr>
      <w:r w:rsidRPr="002A7D6D">
        <w:rPr>
          <w:rStyle w:val="Znakapoznpodarou"/>
        </w:rPr>
        <w:footnoteRef/>
      </w:r>
      <w:r w:rsidRPr="002A7D6D">
        <w:t xml:space="preserve"> </w:t>
      </w:r>
      <w:r w:rsidRPr="002A7D6D">
        <w:rPr>
          <w:sz w:val="16"/>
          <w:szCs w:val="16"/>
        </w:rPr>
        <w:t>Pokud není uvedeno jinak, jsou data o HDP a jeho složkách vyjádřena reálně a v očištění o sezónní a kalendářní vlivy. Stejné platí i pro hrubou přidanou hodnotu.</w:t>
      </w:r>
    </w:p>
  </w:footnote>
  <w:footnote w:id="4">
    <w:p w:rsidR="00463B4B" w:rsidRPr="00B13681" w:rsidRDefault="00463B4B" w:rsidP="009A3A87">
      <w:pPr>
        <w:pStyle w:val="Textpoznpodarou"/>
        <w:jc w:val="both"/>
      </w:pPr>
      <w:r w:rsidRPr="00B13681">
        <w:rPr>
          <w:rStyle w:val="Znakapoznpodarou"/>
        </w:rPr>
        <w:footnoteRef/>
      </w:r>
      <w:r w:rsidRPr="00B13681">
        <w:t xml:space="preserve"> </w:t>
      </w:r>
      <w:r w:rsidRPr="00B13681">
        <w:rPr>
          <w:sz w:val="16"/>
          <w:szCs w:val="16"/>
        </w:rPr>
        <w:t xml:space="preserve">Výrazně silnější </w:t>
      </w:r>
      <w:proofErr w:type="spellStart"/>
      <w:r w:rsidRPr="00B13681">
        <w:rPr>
          <w:sz w:val="16"/>
          <w:szCs w:val="16"/>
        </w:rPr>
        <w:t>mezičtvrtletní</w:t>
      </w:r>
      <w:proofErr w:type="spellEnd"/>
      <w:r w:rsidRPr="00B13681">
        <w:rPr>
          <w:sz w:val="16"/>
          <w:szCs w:val="16"/>
        </w:rPr>
        <w:t xml:space="preserve"> růst HDP v 1. čtvrtletí 2015 (+2,5 %) v porovnání s růstem hrubé přidané hodnoty (+1,2 %) byl dán nízkou srovnávací základnou salda daní</w:t>
      </w:r>
      <w:r>
        <w:rPr>
          <w:sz w:val="16"/>
          <w:szCs w:val="16"/>
        </w:rPr>
        <w:t xml:space="preserve"> z produktů a dotací na produkty</w:t>
      </w:r>
      <w:r w:rsidRPr="00B13681">
        <w:rPr>
          <w:sz w:val="16"/>
          <w:szCs w:val="16"/>
        </w:rPr>
        <w:t>. Ta souvisela s</w:t>
      </w:r>
      <w:r>
        <w:rPr>
          <w:sz w:val="16"/>
          <w:szCs w:val="16"/>
        </w:rPr>
        <w:t>e slabším výběrem spotřebních daní, ke kterému došlo vlivem předzásobení</w:t>
      </w:r>
      <w:r w:rsidRPr="00B13681">
        <w:rPr>
          <w:sz w:val="16"/>
          <w:szCs w:val="16"/>
        </w:rPr>
        <w:t xml:space="preserve"> tabáko</w:t>
      </w:r>
      <w:r>
        <w:rPr>
          <w:sz w:val="16"/>
          <w:szCs w:val="16"/>
        </w:rPr>
        <w:t>vými výrobky na konci roku 2013.</w:t>
      </w:r>
    </w:p>
  </w:footnote>
  <w:footnote w:id="5">
    <w:p w:rsidR="00463B4B" w:rsidRPr="00B13681" w:rsidRDefault="00463B4B" w:rsidP="00B13681">
      <w:pPr>
        <w:pStyle w:val="Textpoznpodarou"/>
        <w:jc w:val="both"/>
        <w:rPr>
          <w:spacing w:val="-4"/>
          <w:sz w:val="16"/>
          <w:szCs w:val="16"/>
        </w:rPr>
      </w:pPr>
      <w:r w:rsidRPr="00B13681">
        <w:rPr>
          <w:rStyle w:val="Znakapoznpodarou"/>
          <w:spacing w:val="-4"/>
        </w:rPr>
        <w:footnoteRef/>
      </w:r>
      <w:r w:rsidRPr="00B13681">
        <w:rPr>
          <w:spacing w:val="-4"/>
        </w:rPr>
        <w:t xml:space="preserve"> </w:t>
      </w:r>
      <w:r>
        <w:rPr>
          <w:spacing w:val="-4"/>
          <w:sz w:val="16"/>
          <w:szCs w:val="16"/>
        </w:rPr>
        <w:t>Údaje v očištění</w:t>
      </w:r>
      <w:r w:rsidRPr="00B13681">
        <w:rPr>
          <w:spacing w:val="-4"/>
          <w:sz w:val="16"/>
          <w:szCs w:val="16"/>
        </w:rPr>
        <w:t xml:space="preserve"> o sezónní a kalendářní vlivy jsou standardně nedostupné za Irsko a Slovensko. Za 3. </w:t>
      </w:r>
      <w:r>
        <w:rPr>
          <w:spacing w:val="-4"/>
          <w:sz w:val="16"/>
          <w:szCs w:val="16"/>
        </w:rPr>
        <w:t>č</w:t>
      </w:r>
      <w:r w:rsidRPr="00B13681">
        <w:rPr>
          <w:spacing w:val="-4"/>
          <w:sz w:val="16"/>
          <w:szCs w:val="16"/>
        </w:rPr>
        <w:t>tvrtletí nedostupný údaj i za LUX.</w:t>
      </w:r>
    </w:p>
  </w:footnote>
  <w:footnote w:id="6">
    <w:p w:rsidR="00463B4B" w:rsidRPr="00B52BAF" w:rsidRDefault="00463B4B" w:rsidP="009A3A87">
      <w:pPr>
        <w:pStyle w:val="Textpoznpodarou"/>
        <w:rPr>
          <w:color w:val="FF0000"/>
          <w:sz w:val="16"/>
          <w:szCs w:val="16"/>
        </w:rPr>
      </w:pPr>
      <w:r w:rsidRPr="002A7D6D">
        <w:rPr>
          <w:rStyle w:val="Znakapoznpodarou"/>
        </w:rPr>
        <w:footnoteRef/>
      </w:r>
      <w:r w:rsidRPr="002A7D6D">
        <w:rPr>
          <w:sz w:val="16"/>
          <w:szCs w:val="16"/>
        </w:rPr>
        <w:t xml:space="preserve"> Příspěvky ke změně HDP bez vyloučení dovozu pro konečné užití.</w:t>
      </w:r>
    </w:p>
  </w:footnote>
  <w:footnote w:id="7">
    <w:p w:rsidR="00463B4B" w:rsidRPr="002A7D6D" w:rsidRDefault="00463B4B" w:rsidP="009A3A87">
      <w:pPr>
        <w:pStyle w:val="Textpoznpodarou"/>
      </w:pPr>
      <w:r w:rsidRPr="002A7D6D">
        <w:rPr>
          <w:rStyle w:val="Znakapoznpodarou"/>
        </w:rPr>
        <w:footnoteRef/>
      </w:r>
      <w:r w:rsidRPr="002A7D6D">
        <w:t xml:space="preserve"> </w:t>
      </w:r>
      <w:r w:rsidRPr="002A7D6D">
        <w:rPr>
          <w:sz w:val="16"/>
          <w:szCs w:val="16"/>
        </w:rPr>
        <w:t>Bez očištění o sezónní a kalendářní vlivy.</w:t>
      </w:r>
    </w:p>
  </w:footnote>
  <w:footnote w:id="8">
    <w:p w:rsidR="00463B4B" w:rsidRPr="002A7D6D" w:rsidRDefault="00463B4B" w:rsidP="009A3A87">
      <w:pPr>
        <w:pStyle w:val="Textpoznpodarou"/>
      </w:pPr>
      <w:r w:rsidRPr="002A7D6D">
        <w:rPr>
          <w:rStyle w:val="Znakapoznpodarou"/>
        </w:rPr>
        <w:footnoteRef/>
      </w:r>
      <w:r w:rsidRPr="002A7D6D">
        <w:t xml:space="preserve"> </w:t>
      </w:r>
      <w:r w:rsidRPr="002A7D6D">
        <w:rPr>
          <w:sz w:val="16"/>
          <w:szCs w:val="16"/>
        </w:rPr>
        <w:t>Těžba a dobývání</w:t>
      </w:r>
      <w:r w:rsidRPr="002A7D6D">
        <w:rPr>
          <w:sz w:val="16"/>
          <w:szCs w:val="16"/>
          <w:lang w:val="en-US"/>
        </w:rPr>
        <w:t>;</w:t>
      </w:r>
      <w:r w:rsidRPr="002A7D6D">
        <w:rPr>
          <w:sz w:val="16"/>
          <w:szCs w:val="16"/>
        </w:rPr>
        <w:t xml:space="preserve"> energetika; zásobování vodou a činnosti související s odpady.</w:t>
      </w:r>
    </w:p>
  </w:footnote>
  <w:footnote w:id="9">
    <w:p w:rsidR="00463B4B" w:rsidRDefault="00463B4B" w:rsidP="00652CBB">
      <w:pPr>
        <w:pStyle w:val="Textpoznpodarou"/>
      </w:pPr>
      <w:r>
        <w:rPr>
          <w:rStyle w:val="Znakapoznpodarou"/>
        </w:rPr>
        <w:footnoteRef/>
      </w:r>
      <w:r>
        <w:t xml:space="preserve"> </w:t>
      </w:r>
      <w:r w:rsidRPr="00CA1AB7">
        <w:rPr>
          <w:sz w:val="16"/>
          <w:szCs w:val="16"/>
        </w:rPr>
        <w:t xml:space="preserve">Pokud není uvedeno jinak, jedná se o údaje </w:t>
      </w:r>
      <w:r>
        <w:rPr>
          <w:sz w:val="16"/>
          <w:szCs w:val="16"/>
        </w:rPr>
        <w:t>v reálném vyjádření a očištěné</w:t>
      </w:r>
      <w:r w:rsidRPr="00CA1AB7">
        <w:rPr>
          <w:sz w:val="16"/>
          <w:szCs w:val="16"/>
        </w:rPr>
        <w:t xml:space="preserve"> o sezónní vlivy.</w:t>
      </w:r>
    </w:p>
  </w:footnote>
  <w:footnote w:id="10">
    <w:p w:rsidR="00463B4B" w:rsidRDefault="00463B4B" w:rsidP="00652CBB">
      <w:pPr>
        <w:pStyle w:val="Textpoznpodarou"/>
      </w:pPr>
      <w:r>
        <w:rPr>
          <w:rStyle w:val="Znakapoznpodarou"/>
        </w:rPr>
        <w:footnoteRef/>
      </w:r>
      <w:r>
        <w:t xml:space="preserve"> </w:t>
      </w:r>
      <w:r>
        <w:rPr>
          <w:sz w:val="16"/>
          <w:szCs w:val="16"/>
        </w:rPr>
        <w:t>Zahrnují</w:t>
      </w:r>
      <w:r w:rsidRPr="00F42762">
        <w:rPr>
          <w:sz w:val="16"/>
          <w:szCs w:val="16"/>
        </w:rPr>
        <w:t xml:space="preserve"> kulturní, zábavní a rekreační činnosti a také poskytování ostatních osobních služeb (např. kadeřnické, kosmetické činnosti)</w:t>
      </w:r>
      <w:r>
        <w:rPr>
          <w:sz w:val="16"/>
          <w:szCs w:val="16"/>
        </w:rPr>
        <w:t>.</w:t>
      </w:r>
    </w:p>
  </w:footnote>
  <w:footnote w:id="11">
    <w:p w:rsidR="00463B4B" w:rsidRDefault="00463B4B" w:rsidP="00652CBB">
      <w:pPr>
        <w:pStyle w:val="Textpoznpodarou"/>
      </w:pPr>
      <w:r>
        <w:rPr>
          <w:rStyle w:val="Znakapoznpodarou"/>
        </w:rPr>
        <w:footnoteRef/>
      </w:r>
      <w:r>
        <w:t xml:space="preserve"> </w:t>
      </w:r>
      <w:r>
        <w:rPr>
          <w:sz w:val="16"/>
          <w:szCs w:val="16"/>
        </w:rPr>
        <w:t xml:space="preserve">Sestávají se z dílčích odvětví: </w:t>
      </w:r>
      <w:r w:rsidRPr="000141B0">
        <w:rPr>
          <w:sz w:val="16"/>
          <w:szCs w:val="16"/>
        </w:rPr>
        <w:t>Veřejná správa a obrana, vzdělávání, zdravotní a sociální péče</w:t>
      </w:r>
      <w:r>
        <w:rPr>
          <w:sz w:val="16"/>
          <w:szCs w:val="16"/>
        </w:rPr>
        <w:t>.</w:t>
      </w:r>
    </w:p>
  </w:footnote>
  <w:footnote w:id="12">
    <w:p w:rsidR="00463B4B" w:rsidRPr="00EF6BE3" w:rsidRDefault="00463B4B" w:rsidP="00652CBB">
      <w:pPr>
        <w:pStyle w:val="Textpoznpodarou"/>
        <w:rPr>
          <w:sz w:val="16"/>
          <w:szCs w:val="16"/>
        </w:rPr>
      </w:pPr>
      <w:r>
        <w:rPr>
          <w:rStyle w:val="Znakapoznpodarou"/>
        </w:rPr>
        <w:footnoteRef/>
      </w:r>
      <w:r>
        <w:t xml:space="preserve"> </w:t>
      </w:r>
      <w:r w:rsidRPr="00EF6BE3">
        <w:rPr>
          <w:sz w:val="16"/>
          <w:szCs w:val="16"/>
        </w:rPr>
        <w:t>Zahrnující odvětví dle CZ-NACE: B (Těžba a dobývání), C (Zpracovatelský průmysl), D (Energetika)</w:t>
      </w:r>
      <w:r>
        <w:rPr>
          <w:sz w:val="16"/>
          <w:szCs w:val="16"/>
        </w:rPr>
        <w:t>.</w:t>
      </w:r>
    </w:p>
  </w:footnote>
  <w:footnote w:id="13">
    <w:p w:rsidR="00463B4B" w:rsidRDefault="00463B4B" w:rsidP="00652CBB">
      <w:pPr>
        <w:pStyle w:val="Textpoznpodarou"/>
        <w:rPr>
          <w:sz w:val="18"/>
        </w:rPr>
      </w:pPr>
      <w:r w:rsidRPr="00BF7CB8">
        <w:rPr>
          <w:rStyle w:val="Znakapoznpodarou"/>
        </w:rPr>
        <w:footnoteRef/>
      </w:r>
      <w:r w:rsidRPr="006D142E">
        <w:rPr>
          <w:sz w:val="16"/>
          <w:szCs w:val="16"/>
        </w:rPr>
        <w:t xml:space="preserve"> Nezahrnují odvětví obchodu, peněžnictví a pojišťovnictví, vědy a výzkumu a také veřejných služeb</w:t>
      </w:r>
      <w:r>
        <w:rPr>
          <w:sz w:val="16"/>
          <w:szCs w:val="16"/>
        </w:rPr>
        <w:t>.</w:t>
      </w:r>
    </w:p>
  </w:footnote>
  <w:footnote w:id="14">
    <w:p w:rsidR="00463B4B" w:rsidRPr="00E65E26" w:rsidRDefault="00463B4B" w:rsidP="00652CBB">
      <w:pPr>
        <w:pStyle w:val="Textpoznpodarou"/>
        <w:rPr>
          <w:sz w:val="16"/>
          <w:szCs w:val="16"/>
        </w:rPr>
      </w:pPr>
      <w:r>
        <w:rPr>
          <w:rStyle w:val="Znakapoznpodarou"/>
        </w:rPr>
        <w:footnoteRef/>
      </w:r>
      <w:r>
        <w:t xml:space="preserve"> </w:t>
      </w:r>
      <w:r w:rsidRPr="00E65E26">
        <w:rPr>
          <w:sz w:val="16"/>
          <w:szCs w:val="16"/>
        </w:rPr>
        <w:t>Maloobchod bez motoristického segment</w:t>
      </w:r>
      <w:r w:rsidR="001F56A9">
        <w:rPr>
          <w:sz w:val="16"/>
          <w:szCs w:val="16"/>
        </w:rPr>
        <w:t>u</w:t>
      </w:r>
      <w:r w:rsidRPr="00E65E26">
        <w:rPr>
          <w:sz w:val="16"/>
          <w:szCs w:val="16"/>
        </w:rPr>
        <w:t xml:space="preserve">, </w:t>
      </w:r>
      <w:r>
        <w:rPr>
          <w:sz w:val="16"/>
          <w:szCs w:val="16"/>
        </w:rPr>
        <w:t>údaj očištěný</w:t>
      </w:r>
      <w:r w:rsidRPr="003F1A48">
        <w:rPr>
          <w:sz w:val="16"/>
          <w:szCs w:val="16"/>
        </w:rPr>
        <w:t xml:space="preserve"> o počet pracovních dní</w:t>
      </w:r>
      <w:r>
        <w:rPr>
          <w:sz w:val="16"/>
          <w:szCs w:val="16"/>
        </w:rPr>
        <w:t>.</w:t>
      </w:r>
    </w:p>
  </w:footnote>
  <w:footnote w:id="15">
    <w:p w:rsidR="00463B4B" w:rsidRDefault="00463B4B" w:rsidP="00485230">
      <w:pPr>
        <w:pStyle w:val="Textpoznpodarou"/>
      </w:pPr>
      <w:r>
        <w:rPr>
          <w:rStyle w:val="Znakapoznpodarou"/>
        </w:rPr>
        <w:footnoteRef/>
      </w:r>
      <w:r>
        <w:t xml:space="preserve"> </w:t>
      </w:r>
      <w:r w:rsidRPr="000E34FF">
        <w:rPr>
          <w:color w:val="000000"/>
          <w:spacing w:val="-4"/>
          <w:sz w:val="16"/>
          <w:szCs w:val="16"/>
        </w:rPr>
        <w:t>Devizové rezervy jsou do finančního účtu zahrnovány nově podle 6. Manuálu platební bilance</w:t>
      </w:r>
      <w:r>
        <w:rPr>
          <w:color w:val="000000"/>
          <w:spacing w:val="-4"/>
          <w:sz w:val="16"/>
          <w:szCs w:val="16"/>
        </w:rPr>
        <w:t xml:space="preserve"> (</w:t>
      </w:r>
      <w:r w:rsidRPr="000E34FF">
        <w:rPr>
          <w:color w:val="000000"/>
          <w:spacing w:val="-4"/>
          <w:sz w:val="16"/>
          <w:szCs w:val="16"/>
        </w:rPr>
        <w:t xml:space="preserve"> BPM6</w:t>
      </w:r>
      <w:r>
        <w:rPr>
          <w:color w:val="000000"/>
          <w:spacing w:val="-4"/>
          <w:sz w:val="16"/>
          <w:szCs w:val="16"/>
        </w:rPr>
        <w:t>),</w:t>
      </w:r>
      <w:r w:rsidRPr="000E34FF">
        <w:rPr>
          <w:color w:val="000000"/>
          <w:spacing w:val="-4"/>
          <w:sz w:val="16"/>
          <w:szCs w:val="16"/>
        </w:rPr>
        <w:t xml:space="preserve"> v předchozí verzi stály samostatně</w:t>
      </w:r>
      <w:r>
        <w:rPr>
          <w:color w:val="000000"/>
          <w:spacing w:val="-4"/>
          <w:sz w:val="16"/>
          <w:szCs w:val="16"/>
        </w:rPr>
        <w:t>.</w:t>
      </w:r>
    </w:p>
  </w:footnote>
  <w:footnote w:id="16">
    <w:p w:rsidR="00463B4B" w:rsidRDefault="00463B4B" w:rsidP="00485230">
      <w:pPr>
        <w:pStyle w:val="Textpoznpodarou"/>
      </w:pPr>
      <w:r>
        <w:rPr>
          <w:rStyle w:val="Znakapoznpodarou"/>
        </w:rPr>
        <w:footnoteRef/>
      </w:r>
      <w:r>
        <w:t xml:space="preserve"> </w:t>
      </w:r>
      <w:r w:rsidRPr="005D6CFC">
        <w:rPr>
          <w:sz w:val="16"/>
          <w:szCs w:val="16"/>
        </w:rPr>
        <w:t>Bilance zboží podle CZ-CPA v národním pojetí.</w:t>
      </w:r>
      <w:r>
        <w:rPr>
          <w:sz w:val="16"/>
          <w:szCs w:val="16"/>
        </w:rPr>
        <w:t xml:space="preserve"> Vývoz v cenách FOB, dovoz v cenách CIF.</w:t>
      </w:r>
    </w:p>
  </w:footnote>
  <w:footnote w:id="17">
    <w:p w:rsidR="00463B4B" w:rsidRPr="00FC7F3F" w:rsidRDefault="00463B4B" w:rsidP="00886A8F">
      <w:pPr>
        <w:pStyle w:val="Textpoznpodarou"/>
        <w:jc w:val="both"/>
        <w:rPr>
          <w:sz w:val="16"/>
          <w:szCs w:val="16"/>
        </w:rPr>
      </w:pPr>
      <w:r w:rsidRPr="00FC7F3F">
        <w:rPr>
          <w:rStyle w:val="Znakapoznpodarou"/>
        </w:rPr>
        <w:footnoteRef/>
      </w:r>
      <w:r w:rsidRPr="00FC7F3F">
        <w:t xml:space="preserve"> </w:t>
      </w:r>
      <w:r w:rsidRPr="00FC7F3F">
        <w:rPr>
          <w:sz w:val="16"/>
          <w:szCs w:val="16"/>
        </w:rPr>
        <w:t>Očištěno o sezónní a kalendářní vlivy.</w:t>
      </w:r>
    </w:p>
  </w:footnote>
  <w:footnote w:id="18">
    <w:p w:rsidR="00463B4B" w:rsidRPr="00FC7F3F" w:rsidRDefault="00463B4B" w:rsidP="00886A8F">
      <w:pPr>
        <w:pStyle w:val="Textpoznpodarou"/>
        <w:jc w:val="both"/>
      </w:pPr>
      <w:r w:rsidRPr="00FC7F3F">
        <w:rPr>
          <w:rStyle w:val="Znakapoznpodarou"/>
        </w:rPr>
        <w:footnoteRef/>
      </w:r>
      <w:r w:rsidRPr="00FC7F3F">
        <w:t xml:space="preserve"> </w:t>
      </w:r>
      <w:r w:rsidRPr="00FC7F3F">
        <w:rPr>
          <w:sz w:val="16"/>
          <w:szCs w:val="16"/>
        </w:rPr>
        <w:t xml:space="preserve">Benzin </w:t>
      </w:r>
      <w:proofErr w:type="spellStart"/>
      <w:r w:rsidRPr="00FC7F3F">
        <w:rPr>
          <w:sz w:val="16"/>
          <w:szCs w:val="16"/>
        </w:rPr>
        <w:t>Natural</w:t>
      </w:r>
      <w:proofErr w:type="spellEnd"/>
      <w:r w:rsidRPr="00FC7F3F">
        <w:rPr>
          <w:sz w:val="16"/>
          <w:szCs w:val="16"/>
        </w:rPr>
        <w:t xml:space="preserve"> 95 se ve 39. kalendářním týdnu 2015, to je na konci měsíce září, prodával v průměru za 31,43 korun. Ve stejném týdnu roku 2014 jeho cena činila 36,88 korun. Motorová nafta se prodávala</w:t>
      </w:r>
      <w:r>
        <w:rPr>
          <w:sz w:val="16"/>
          <w:szCs w:val="16"/>
        </w:rPr>
        <w:t xml:space="preserve"> za</w:t>
      </w:r>
      <w:r w:rsidRPr="00FC7F3F">
        <w:rPr>
          <w:sz w:val="16"/>
          <w:szCs w:val="16"/>
        </w:rPr>
        <w:t xml:space="preserve"> 30,19 korun, v roce 2014 stála 36,73 korun.</w:t>
      </w:r>
    </w:p>
  </w:footnote>
  <w:footnote w:id="19">
    <w:p w:rsidR="00463B4B" w:rsidRPr="00CA1AB7" w:rsidRDefault="00463B4B" w:rsidP="00886A8F">
      <w:pPr>
        <w:pStyle w:val="Textpoznpodarou"/>
        <w:rPr>
          <w:sz w:val="16"/>
          <w:szCs w:val="16"/>
        </w:rPr>
      </w:pPr>
      <w:r w:rsidRPr="00CA1AB7">
        <w:rPr>
          <w:rStyle w:val="Znakapoznpodarou"/>
        </w:rPr>
        <w:footnoteRef/>
      </w:r>
      <w:r w:rsidRPr="00CA1AB7">
        <w:t xml:space="preserve"> </w:t>
      </w:r>
      <w:r w:rsidRPr="00CA1AB7">
        <w:rPr>
          <w:sz w:val="16"/>
          <w:szCs w:val="16"/>
        </w:rPr>
        <w:t>Pokud není uvedeno jinak, jedná se o údaje národních účtů v očištění o sezónní vlivy.</w:t>
      </w:r>
    </w:p>
  </w:footnote>
  <w:footnote w:id="20">
    <w:p w:rsidR="00463B4B" w:rsidRDefault="00463B4B" w:rsidP="00485230">
      <w:pPr>
        <w:pStyle w:val="Textpoznpodarou"/>
        <w:jc w:val="both"/>
      </w:pPr>
      <w:r>
        <w:rPr>
          <w:rStyle w:val="Znakapoznpodarou"/>
        </w:rPr>
        <w:footnoteRef/>
      </w:r>
      <w:r>
        <w:t xml:space="preserve"> </w:t>
      </w:r>
      <w:r w:rsidRPr="00ED66C8">
        <w:rPr>
          <w:sz w:val="16"/>
          <w:szCs w:val="16"/>
        </w:rPr>
        <w:t xml:space="preserve">Fúze pobočky zahraniční banky s nebankovním subjektem (spadajícím do kategorie Zprostředkovatelé financování aktiv - ostatní úvěrování) ovlivnila data v bankovní a měnové statistice </w:t>
      </w:r>
      <w:r>
        <w:rPr>
          <w:sz w:val="16"/>
          <w:szCs w:val="16"/>
        </w:rPr>
        <w:t>už k</w:t>
      </w:r>
      <w:r w:rsidRPr="00ED66C8">
        <w:rPr>
          <w:sz w:val="16"/>
          <w:szCs w:val="16"/>
        </w:rPr>
        <w:t xml:space="preserve"> 30.</w:t>
      </w:r>
      <w:r>
        <w:rPr>
          <w:sz w:val="16"/>
          <w:szCs w:val="16"/>
        </w:rPr>
        <w:t xml:space="preserve"> </w:t>
      </w:r>
      <w:r w:rsidRPr="00ED66C8">
        <w:rPr>
          <w:sz w:val="16"/>
          <w:szCs w:val="16"/>
        </w:rPr>
        <w:t>6.</w:t>
      </w:r>
      <w:r>
        <w:rPr>
          <w:sz w:val="16"/>
          <w:szCs w:val="16"/>
        </w:rPr>
        <w:t xml:space="preserve"> </w:t>
      </w:r>
      <w:r w:rsidRPr="00ED66C8">
        <w:rPr>
          <w:sz w:val="16"/>
          <w:szCs w:val="16"/>
        </w:rPr>
        <w:t xml:space="preserve">2015. Bilanční suma bank jednorázově vzrostla o 20 mld. </w:t>
      </w:r>
      <w:r>
        <w:rPr>
          <w:sz w:val="16"/>
          <w:szCs w:val="16"/>
        </w:rPr>
        <w:t>korun</w:t>
      </w:r>
      <w:r w:rsidRPr="00ED66C8">
        <w:rPr>
          <w:sz w:val="16"/>
          <w:szCs w:val="16"/>
        </w:rPr>
        <w:t xml:space="preserve">, spotřebitelské úvěry obyvatelstvu včetně debetních zůstatků na běžných účtech se navýšily o 18 mld. </w:t>
      </w:r>
      <w:r>
        <w:rPr>
          <w:sz w:val="16"/>
          <w:szCs w:val="16"/>
        </w:rPr>
        <w:t>korun</w:t>
      </w:r>
      <w:r w:rsidRPr="00ED66C8">
        <w:rPr>
          <w:sz w:val="16"/>
          <w:szCs w:val="16"/>
        </w:rPr>
        <w:t>, z toho pohledávky z</w:t>
      </w:r>
      <w:r>
        <w:rPr>
          <w:sz w:val="16"/>
          <w:szCs w:val="16"/>
        </w:rPr>
        <w:t> </w:t>
      </w:r>
      <w:r w:rsidRPr="00ED66C8">
        <w:rPr>
          <w:sz w:val="16"/>
          <w:szCs w:val="16"/>
        </w:rPr>
        <w:t xml:space="preserve">kreditních karet o 8 mld. </w:t>
      </w:r>
      <w:r>
        <w:rPr>
          <w:sz w:val="16"/>
          <w:szCs w:val="16"/>
        </w:rPr>
        <w:t>korun</w:t>
      </w:r>
      <w:r w:rsidRPr="00ED66C8">
        <w:rPr>
          <w:sz w:val="16"/>
          <w:szCs w:val="16"/>
        </w:rPr>
        <w:t xml:space="preserve">. Zároveň poklesly úvěry poskytnuté ostatním finančním zprostředkovatelům o 8,5 mld. </w:t>
      </w:r>
      <w:r>
        <w:rPr>
          <w:sz w:val="16"/>
          <w:szCs w:val="16"/>
        </w:rPr>
        <w:t>korun</w:t>
      </w:r>
      <w:r w:rsidRPr="00ED66C8">
        <w:rPr>
          <w:sz w:val="16"/>
          <w:szCs w:val="16"/>
        </w:rPr>
        <w:t>.</w:t>
      </w:r>
    </w:p>
  </w:footnote>
  <w:footnote w:id="21">
    <w:p w:rsidR="00463B4B" w:rsidRPr="00053274" w:rsidRDefault="00463B4B" w:rsidP="000F5673">
      <w:pPr>
        <w:autoSpaceDE w:val="0"/>
        <w:autoSpaceDN w:val="0"/>
        <w:adjustRightInd w:val="0"/>
        <w:spacing w:line="240" w:lineRule="auto"/>
        <w:jc w:val="both"/>
        <w:rPr>
          <w:spacing w:val="-2"/>
          <w:sz w:val="16"/>
        </w:rPr>
      </w:pPr>
      <w:r>
        <w:rPr>
          <w:rStyle w:val="Znakapoznpodarou"/>
        </w:rPr>
        <w:footnoteRef/>
      </w:r>
      <w:r>
        <w:t xml:space="preserve"> </w:t>
      </w:r>
      <w:r>
        <w:rPr>
          <w:spacing w:val="-2"/>
          <w:sz w:val="16"/>
        </w:rPr>
        <w:t>U</w:t>
      </w:r>
      <w:r w:rsidRPr="00007498">
        <w:rPr>
          <w:spacing w:val="-2"/>
          <w:sz w:val="16"/>
        </w:rPr>
        <w:t xml:space="preserve"> </w:t>
      </w:r>
      <w:r>
        <w:rPr>
          <w:iCs/>
          <w:spacing w:val="-2"/>
          <w:sz w:val="16"/>
        </w:rPr>
        <w:t>spotřební daně</w:t>
      </w:r>
      <w:r w:rsidRPr="00007498">
        <w:rPr>
          <w:iCs/>
          <w:spacing w:val="-2"/>
          <w:sz w:val="16"/>
        </w:rPr>
        <w:t xml:space="preserve"> z tabákových výrobků</w:t>
      </w:r>
      <w:r>
        <w:rPr>
          <w:iCs/>
          <w:spacing w:val="-2"/>
          <w:sz w:val="16"/>
        </w:rPr>
        <w:t xml:space="preserve"> souviselo vyšší loňské inkaso s intenzivním </w:t>
      </w:r>
      <w:r w:rsidRPr="0032109A">
        <w:rPr>
          <w:spacing w:val="-2"/>
          <w:sz w:val="16"/>
        </w:rPr>
        <w:t>předzásobením obchodníků na konci roku</w:t>
      </w:r>
      <w:r>
        <w:rPr>
          <w:spacing w:val="-2"/>
          <w:sz w:val="16"/>
        </w:rPr>
        <w:t xml:space="preserve"> 2013 z</w:t>
      </w:r>
      <w:r w:rsidRPr="00092208">
        <w:rPr>
          <w:spacing w:val="-2"/>
          <w:sz w:val="16"/>
        </w:rPr>
        <w:t> </w:t>
      </w:r>
      <w:r>
        <w:rPr>
          <w:spacing w:val="-2"/>
          <w:sz w:val="16"/>
        </w:rPr>
        <w:t>důvodu následného zvýšení sazeb. K 1. 12. 2014 došlo k dalšímu navýšení sazeb spotřební daně u tabákových výrobků, doplněné ale navíc i regulací předzásobení. Vyšší základna u DPH souvisela s dočasným zadržením výplaty části nadměrných odpočtů na počátku roku 2014 (ve výši 8,7</w:t>
      </w:r>
      <w:r w:rsidRPr="00092208">
        <w:rPr>
          <w:spacing w:val="-2"/>
          <w:sz w:val="16"/>
        </w:rPr>
        <w:t> </w:t>
      </w:r>
      <w:r>
        <w:rPr>
          <w:spacing w:val="-2"/>
          <w:sz w:val="16"/>
        </w:rPr>
        <w:t xml:space="preserve">mld. korun) u neusazených plátců DPH, Na konci září 2014 byla zadržována ještě částka ve výši </w:t>
      </w:r>
      <w:r w:rsidRPr="00053274">
        <w:rPr>
          <w:spacing w:val="-2"/>
          <w:sz w:val="16"/>
        </w:rPr>
        <w:t>3,7 mld. Kč</w:t>
      </w:r>
      <w:r>
        <w:rPr>
          <w:spacing w:val="-2"/>
          <w:sz w:val="16"/>
        </w:rPr>
        <w:t>, což stále zvyšovalo</w:t>
      </w:r>
      <w:r w:rsidRPr="00053274">
        <w:rPr>
          <w:spacing w:val="-2"/>
          <w:sz w:val="16"/>
        </w:rPr>
        <w:t xml:space="preserve"> srovnávací základnu za prvních devět měsíců roku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Pr="00173642" w:rsidRDefault="00463B4B"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Pr="00DC5B3B" w:rsidRDefault="00463B4B"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1. až 3. čtvrtletí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Pr="00D766EF" w:rsidRDefault="00463B4B"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až 3. čtvrtletí 2015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B" w:rsidRPr="00D766EF" w:rsidRDefault="00463B4B"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až 3. čtvrtletí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oNotTrackMoves/>
  <w:defaultTabStop w:val="708"/>
  <w:hyphenationZone w:val="425"/>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BD"/>
    <w:rsid w:val="00000FA7"/>
    <w:rsid w:val="00003687"/>
    <w:rsid w:val="00003C43"/>
    <w:rsid w:val="00007498"/>
    <w:rsid w:val="0000767A"/>
    <w:rsid w:val="000101F5"/>
    <w:rsid w:val="000104B9"/>
    <w:rsid w:val="00010702"/>
    <w:rsid w:val="00011191"/>
    <w:rsid w:val="0001159B"/>
    <w:rsid w:val="00012986"/>
    <w:rsid w:val="00015195"/>
    <w:rsid w:val="0001572B"/>
    <w:rsid w:val="0001573E"/>
    <w:rsid w:val="000162DB"/>
    <w:rsid w:val="00017F05"/>
    <w:rsid w:val="000202C6"/>
    <w:rsid w:val="00020946"/>
    <w:rsid w:val="00024887"/>
    <w:rsid w:val="00024CBA"/>
    <w:rsid w:val="00025501"/>
    <w:rsid w:val="00026998"/>
    <w:rsid w:val="000304C4"/>
    <w:rsid w:val="0003066A"/>
    <w:rsid w:val="00030F14"/>
    <w:rsid w:val="000311C5"/>
    <w:rsid w:val="00032838"/>
    <w:rsid w:val="00032C12"/>
    <w:rsid w:val="00035CCF"/>
    <w:rsid w:val="00035FC6"/>
    <w:rsid w:val="00037667"/>
    <w:rsid w:val="000411E1"/>
    <w:rsid w:val="00043E05"/>
    <w:rsid w:val="0004694F"/>
    <w:rsid w:val="000500DC"/>
    <w:rsid w:val="00052172"/>
    <w:rsid w:val="00055059"/>
    <w:rsid w:val="000553E4"/>
    <w:rsid w:val="00060F26"/>
    <w:rsid w:val="00062D43"/>
    <w:rsid w:val="00062EC5"/>
    <w:rsid w:val="00064256"/>
    <w:rsid w:val="000706A4"/>
    <w:rsid w:val="00072118"/>
    <w:rsid w:val="00073173"/>
    <w:rsid w:val="000779AC"/>
    <w:rsid w:val="00083803"/>
    <w:rsid w:val="0008716A"/>
    <w:rsid w:val="00087634"/>
    <w:rsid w:val="00091237"/>
    <w:rsid w:val="0009191B"/>
    <w:rsid w:val="000920EC"/>
    <w:rsid w:val="00092208"/>
    <w:rsid w:val="00092505"/>
    <w:rsid w:val="00097D02"/>
    <w:rsid w:val="000A1183"/>
    <w:rsid w:val="000A2121"/>
    <w:rsid w:val="000A2484"/>
    <w:rsid w:val="000A66C2"/>
    <w:rsid w:val="000B1CFE"/>
    <w:rsid w:val="000B210A"/>
    <w:rsid w:val="000B249B"/>
    <w:rsid w:val="000B3DB9"/>
    <w:rsid w:val="000B3F02"/>
    <w:rsid w:val="000B48E7"/>
    <w:rsid w:val="000B4F41"/>
    <w:rsid w:val="000B7663"/>
    <w:rsid w:val="000C11D3"/>
    <w:rsid w:val="000C12F5"/>
    <w:rsid w:val="000C3408"/>
    <w:rsid w:val="000C6498"/>
    <w:rsid w:val="000D0D51"/>
    <w:rsid w:val="000D14B3"/>
    <w:rsid w:val="000D208B"/>
    <w:rsid w:val="000D2B8D"/>
    <w:rsid w:val="000D2E41"/>
    <w:rsid w:val="000D342A"/>
    <w:rsid w:val="000D5E7A"/>
    <w:rsid w:val="000D5FAA"/>
    <w:rsid w:val="000D65A4"/>
    <w:rsid w:val="000D6AEF"/>
    <w:rsid w:val="000E025B"/>
    <w:rsid w:val="000E153A"/>
    <w:rsid w:val="000E19A8"/>
    <w:rsid w:val="000E4A42"/>
    <w:rsid w:val="000E6476"/>
    <w:rsid w:val="000E78D2"/>
    <w:rsid w:val="000F3332"/>
    <w:rsid w:val="000F33EE"/>
    <w:rsid w:val="000F401E"/>
    <w:rsid w:val="000F5445"/>
    <w:rsid w:val="000F5673"/>
    <w:rsid w:val="000F67B2"/>
    <w:rsid w:val="000F790F"/>
    <w:rsid w:val="000F7E1B"/>
    <w:rsid w:val="00100014"/>
    <w:rsid w:val="0010039A"/>
    <w:rsid w:val="00101FB2"/>
    <w:rsid w:val="00102F02"/>
    <w:rsid w:val="0010385D"/>
    <w:rsid w:val="001041B6"/>
    <w:rsid w:val="001070EA"/>
    <w:rsid w:val="0011002A"/>
    <w:rsid w:val="001107CE"/>
    <w:rsid w:val="0011110A"/>
    <w:rsid w:val="001118AF"/>
    <w:rsid w:val="0011256E"/>
    <w:rsid w:val="0011352E"/>
    <w:rsid w:val="00116DB9"/>
    <w:rsid w:val="00116F28"/>
    <w:rsid w:val="00121C39"/>
    <w:rsid w:val="00123255"/>
    <w:rsid w:val="00124D2D"/>
    <w:rsid w:val="00125326"/>
    <w:rsid w:val="001307BE"/>
    <w:rsid w:val="00130C8F"/>
    <w:rsid w:val="001314F2"/>
    <w:rsid w:val="001317DA"/>
    <w:rsid w:val="001323BA"/>
    <w:rsid w:val="0013254D"/>
    <w:rsid w:val="00133AAC"/>
    <w:rsid w:val="00136561"/>
    <w:rsid w:val="001400E1"/>
    <w:rsid w:val="001405FA"/>
    <w:rsid w:val="001413B3"/>
    <w:rsid w:val="001425C3"/>
    <w:rsid w:val="00142F16"/>
    <w:rsid w:val="00143E03"/>
    <w:rsid w:val="00143E93"/>
    <w:rsid w:val="00151AC0"/>
    <w:rsid w:val="00151B27"/>
    <w:rsid w:val="00152046"/>
    <w:rsid w:val="00154147"/>
    <w:rsid w:val="00155746"/>
    <w:rsid w:val="00156318"/>
    <w:rsid w:val="0015639A"/>
    <w:rsid w:val="0016081D"/>
    <w:rsid w:val="00160CF3"/>
    <w:rsid w:val="001620FA"/>
    <w:rsid w:val="00162853"/>
    <w:rsid w:val="00163793"/>
    <w:rsid w:val="001707DE"/>
    <w:rsid w:val="00170B04"/>
    <w:rsid w:val="00170F47"/>
    <w:rsid w:val="001714F2"/>
    <w:rsid w:val="00173642"/>
    <w:rsid w:val="00173CB0"/>
    <w:rsid w:val="00174CE8"/>
    <w:rsid w:val="00175351"/>
    <w:rsid w:val="00176050"/>
    <w:rsid w:val="001764D8"/>
    <w:rsid w:val="00176A8F"/>
    <w:rsid w:val="00180D58"/>
    <w:rsid w:val="00182981"/>
    <w:rsid w:val="00184CF9"/>
    <w:rsid w:val="00185010"/>
    <w:rsid w:val="001852EC"/>
    <w:rsid w:val="00186447"/>
    <w:rsid w:val="001874CF"/>
    <w:rsid w:val="00190D9B"/>
    <w:rsid w:val="00191BAE"/>
    <w:rsid w:val="00193432"/>
    <w:rsid w:val="0019346C"/>
    <w:rsid w:val="00195444"/>
    <w:rsid w:val="001A2BDB"/>
    <w:rsid w:val="001A30F4"/>
    <w:rsid w:val="001A552F"/>
    <w:rsid w:val="001A56F3"/>
    <w:rsid w:val="001A750C"/>
    <w:rsid w:val="001B1D89"/>
    <w:rsid w:val="001B3110"/>
    <w:rsid w:val="001B4198"/>
    <w:rsid w:val="001B44BC"/>
    <w:rsid w:val="001B6545"/>
    <w:rsid w:val="001B681B"/>
    <w:rsid w:val="001B6A49"/>
    <w:rsid w:val="001B74FB"/>
    <w:rsid w:val="001B77A1"/>
    <w:rsid w:val="001C0422"/>
    <w:rsid w:val="001C0E0E"/>
    <w:rsid w:val="001C1219"/>
    <w:rsid w:val="001C357A"/>
    <w:rsid w:val="001C3A37"/>
    <w:rsid w:val="001C4384"/>
    <w:rsid w:val="001C65FF"/>
    <w:rsid w:val="001D47E5"/>
    <w:rsid w:val="001D584C"/>
    <w:rsid w:val="001D66C1"/>
    <w:rsid w:val="001E0024"/>
    <w:rsid w:val="001E0C65"/>
    <w:rsid w:val="001E23E3"/>
    <w:rsid w:val="001E387A"/>
    <w:rsid w:val="001E3DA4"/>
    <w:rsid w:val="001E5830"/>
    <w:rsid w:val="001E684C"/>
    <w:rsid w:val="001E701C"/>
    <w:rsid w:val="001E7C03"/>
    <w:rsid w:val="001F02AF"/>
    <w:rsid w:val="001F0649"/>
    <w:rsid w:val="001F28F4"/>
    <w:rsid w:val="001F378E"/>
    <w:rsid w:val="001F3C79"/>
    <w:rsid w:val="001F3E68"/>
    <w:rsid w:val="001F4597"/>
    <w:rsid w:val="001F56A9"/>
    <w:rsid w:val="00200D15"/>
    <w:rsid w:val="00203074"/>
    <w:rsid w:val="00203B46"/>
    <w:rsid w:val="002048E1"/>
    <w:rsid w:val="00207DB6"/>
    <w:rsid w:val="00210278"/>
    <w:rsid w:val="00210CC2"/>
    <w:rsid w:val="00210F5B"/>
    <w:rsid w:val="00211262"/>
    <w:rsid w:val="00211AC9"/>
    <w:rsid w:val="0021355B"/>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229C"/>
    <w:rsid w:val="00234280"/>
    <w:rsid w:val="00235000"/>
    <w:rsid w:val="002350E3"/>
    <w:rsid w:val="00235330"/>
    <w:rsid w:val="00236443"/>
    <w:rsid w:val="00240773"/>
    <w:rsid w:val="00240A5B"/>
    <w:rsid w:val="002436BA"/>
    <w:rsid w:val="002444ED"/>
    <w:rsid w:val="00244A15"/>
    <w:rsid w:val="00244D40"/>
    <w:rsid w:val="00246AE9"/>
    <w:rsid w:val="0024799E"/>
    <w:rsid w:val="00250C59"/>
    <w:rsid w:val="00251D59"/>
    <w:rsid w:val="00252602"/>
    <w:rsid w:val="00252FDC"/>
    <w:rsid w:val="00257613"/>
    <w:rsid w:val="00261E5B"/>
    <w:rsid w:val="00263470"/>
    <w:rsid w:val="00263733"/>
    <w:rsid w:val="00264676"/>
    <w:rsid w:val="00265536"/>
    <w:rsid w:val="00265E54"/>
    <w:rsid w:val="00266F3E"/>
    <w:rsid w:val="00272464"/>
    <w:rsid w:val="00273DCD"/>
    <w:rsid w:val="00274291"/>
    <w:rsid w:val="00276CFE"/>
    <w:rsid w:val="00277071"/>
    <w:rsid w:val="0027786C"/>
    <w:rsid w:val="00277BF7"/>
    <w:rsid w:val="00281416"/>
    <w:rsid w:val="00285CD3"/>
    <w:rsid w:val="0028686A"/>
    <w:rsid w:val="00286E66"/>
    <w:rsid w:val="002919B5"/>
    <w:rsid w:val="00293441"/>
    <w:rsid w:val="00294238"/>
    <w:rsid w:val="0029493E"/>
    <w:rsid w:val="00296C2E"/>
    <w:rsid w:val="002A1B05"/>
    <w:rsid w:val="002A3354"/>
    <w:rsid w:val="002A35EA"/>
    <w:rsid w:val="002A37B6"/>
    <w:rsid w:val="002A3BD5"/>
    <w:rsid w:val="002A43A2"/>
    <w:rsid w:val="002A4612"/>
    <w:rsid w:val="002A5263"/>
    <w:rsid w:val="002A6821"/>
    <w:rsid w:val="002A74D2"/>
    <w:rsid w:val="002A7CDA"/>
    <w:rsid w:val="002B1544"/>
    <w:rsid w:val="002B36C8"/>
    <w:rsid w:val="002B7240"/>
    <w:rsid w:val="002C2668"/>
    <w:rsid w:val="002C43BD"/>
    <w:rsid w:val="002C5261"/>
    <w:rsid w:val="002C6091"/>
    <w:rsid w:val="002D0562"/>
    <w:rsid w:val="002D1B5A"/>
    <w:rsid w:val="002D3F00"/>
    <w:rsid w:val="002D4D59"/>
    <w:rsid w:val="002D54BF"/>
    <w:rsid w:val="002D5E94"/>
    <w:rsid w:val="002D632D"/>
    <w:rsid w:val="002E02A1"/>
    <w:rsid w:val="002E0982"/>
    <w:rsid w:val="002E0DB9"/>
    <w:rsid w:val="002E2CE4"/>
    <w:rsid w:val="002E73F2"/>
    <w:rsid w:val="002F33FB"/>
    <w:rsid w:val="002F7594"/>
    <w:rsid w:val="00301357"/>
    <w:rsid w:val="00301D04"/>
    <w:rsid w:val="00303DCB"/>
    <w:rsid w:val="00304771"/>
    <w:rsid w:val="00305736"/>
    <w:rsid w:val="00306C5B"/>
    <w:rsid w:val="00306E3B"/>
    <w:rsid w:val="003119B6"/>
    <w:rsid w:val="00312C3D"/>
    <w:rsid w:val="00314331"/>
    <w:rsid w:val="00317E31"/>
    <w:rsid w:val="00320214"/>
    <w:rsid w:val="003209D6"/>
    <w:rsid w:val="0032109A"/>
    <w:rsid w:val="0032214F"/>
    <w:rsid w:val="00322164"/>
    <w:rsid w:val="0032513D"/>
    <w:rsid w:val="00326251"/>
    <w:rsid w:val="0032739C"/>
    <w:rsid w:val="00327DEE"/>
    <w:rsid w:val="003329F3"/>
    <w:rsid w:val="0033352E"/>
    <w:rsid w:val="00333690"/>
    <w:rsid w:val="00333D20"/>
    <w:rsid w:val="003340EF"/>
    <w:rsid w:val="00334A49"/>
    <w:rsid w:val="0033536F"/>
    <w:rsid w:val="00335BB0"/>
    <w:rsid w:val="0033627B"/>
    <w:rsid w:val="003406BD"/>
    <w:rsid w:val="00343F84"/>
    <w:rsid w:val="00344135"/>
    <w:rsid w:val="00351B63"/>
    <w:rsid w:val="00352E57"/>
    <w:rsid w:val="003541B0"/>
    <w:rsid w:val="00355885"/>
    <w:rsid w:val="0035605E"/>
    <w:rsid w:val="00357449"/>
    <w:rsid w:val="0036238B"/>
    <w:rsid w:val="00365680"/>
    <w:rsid w:val="003657F3"/>
    <w:rsid w:val="00367038"/>
    <w:rsid w:val="0037144E"/>
    <w:rsid w:val="003736B5"/>
    <w:rsid w:val="00374F1E"/>
    <w:rsid w:val="00376DEC"/>
    <w:rsid w:val="00380E04"/>
    <w:rsid w:val="00383227"/>
    <w:rsid w:val="00384D8F"/>
    <w:rsid w:val="00385D98"/>
    <w:rsid w:val="00385EC5"/>
    <w:rsid w:val="0039066E"/>
    <w:rsid w:val="00391C95"/>
    <w:rsid w:val="00394D49"/>
    <w:rsid w:val="00396DAC"/>
    <w:rsid w:val="003A0214"/>
    <w:rsid w:val="003A027D"/>
    <w:rsid w:val="003A1D74"/>
    <w:rsid w:val="003A2B4D"/>
    <w:rsid w:val="003A2D2B"/>
    <w:rsid w:val="003A2DD4"/>
    <w:rsid w:val="003A3B1C"/>
    <w:rsid w:val="003A4088"/>
    <w:rsid w:val="003A478C"/>
    <w:rsid w:val="003A4F82"/>
    <w:rsid w:val="003A5525"/>
    <w:rsid w:val="003A6B38"/>
    <w:rsid w:val="003B2E63"/>
    <w:rsid w:val="003B3189"/>
    <w:rsid w:val="003B3A9D"/>
    <w:rsid w:val="003B5031"/>
    <w:rsid w:val="003B5A32"/>
    <w:rsid w:val="003B6105"/>
    <w:rsid w:val="003C04C4"/>
    <w:rsid w:val="003C26F4"/>
    <w:rsid w:val="003C3686"/>
    <w:rsid w:val="003C4852"/>
    <w:rsid w:val="003C601E"/>
    <w:rsid w:val="003D2C4E"/>
    <w:rsid w:val="003D3600"/>
    <w:rsid w:val="003D3825"/>
    <w:rsid w:val="003D3EC4"/>
    <w:rsid w:val="003D4760"/>
    <w:rsid w:val="003D49DC"/>
    <w:rsid w:val="003D5D7A"/>
    <w:rsid w:val="003E0663"/>
    <w:rsid w:val="003E133F"/>
    <w:rsid w:val="003E699C"/>
    <w:rsid w:val="003E69F3"/>
    <w:rsid w:val="003E782E"/>
    <w:rsid w:val="003E7A0B"/>
    <w:rsid w:val="003E7B2B"/>
    <w:rsid w:val="003F1A48"/>
    <w:rsid w:val="003F2B0A"/>
    <w:rsid w:val="003F313C"/>
    <w:rsid w:val="003F37FC"/>
    <w:rsid w:val="003F49A6"/>
    <w:rsid w:val="003F5098"/>
    <w:rsid w:val="003F5568"/>
    <w:rsid w:val="003F5A95"/>
    <w:rsid w:val="003F6D19"/>
    <w:rsid w:val="004000D5"/>
    <w:rsid w:val="004005C1"/>
    <w:rsid w:val="00401716"/>
    <w:rsid w:val="0040273A"/>
    <w:rsid w:val="00402C25"/>
    <w:rsid w:val="004050D7"/>
    <w:rsid w:val="004078BD"/>
    <w:rsid w:val="00410132"/>
    <w:rsid w:val="00410BCD"/>
    <w:rsid w:val="0041175D"/>
    <w:rsid w:val="004123BE"/>
    <w:rsid w:val="00414CE5"/>
    <w:rsid w:val="00416673"/>
    <w:rsid w:val="0042160D"/>
    <w:rsid w:val="00423A3C"/>
    <w:rsid w:val="0042681B"/>
    <w:rsid w:val="0043068A"/>
    <w:rsid w:val="004306E0"/>
    <w:rsid w:val="00431D54"/>
    <w:rsid w:val="004329BE"/>
    <w:rsid w:val="00432C38"/>
    <w:rsid w:val="00437C76"/>
    <w:rsid w:val="0044105C"/>
    <w:rsid w:val="004441A0"/>
    <w:rsid w:val="00444268"/>
    <w:rsid w:val="004443BF"/>
    <w:rsid w:val="00444C19"/>
    <w:rsid w:val="00446892"/>
    <w:rsid w:val="00450C30"/>
    <w:rsid w:val="004540FF"/>
    <w:rsid w:val="004541F1"/>
    <w:rsid w:val="00455ECA"/>
    <w:rsid w:val="00460164"/>
    <w:rsid w:val="0046039A"/>
    <w:rsid w:val="00460A6B"/>
    <w:rsid w:val="00461977"/>
    <w:rsid w:val="004629FD"/>
    <w:rsid w:val="00463B4B"/>
    <w:rsid w:val="00463F4D"/>
    <w:rsid w:val="0046471F"/>
    <w:rsid w:val="00464BE8"/>
    <w:rsid w:val="00465019"/>
    <w:rsid w:val="0046613F"/>
    <w:rsid w:val="0046655D"/>
    <w:rsid w:val="0046765E"/>
    <w:rsid w:val="004676E2"/>
    <w:rsid w:val="00471EDD"/>
    <w:rsid w:val="00473E94"/>
    <w:rsid w:val="0047400C"/>
    <w:rsid w:val="004745D9"/>
    <w:rsid w:val="004762D8"/>
    <w:rsid w:val="004765B3"/>
    <w:rsid w:val="00476D29"/>
    <w:rsid w:val="00477241"/>
    <w:rsid w:val="00477EAF"/>
    <w:rsid w:val="00477EE0"/>
    <w:rsid w:val="0048139F"/>
    <w:rsid w:val="00483053"/>
    <w:rsid w:val="00485230"/>
    <w:rsid w:val="004879E9"/>
    <w:rsid w:val="00487F81"/>
    <w:rsid w:val="00490247"/>
    <w:rsid w:val="0049104F"/>
    <w:rsid w:val="00491218"/>
    <w:rsid w:val="00491CFD"/>
    <w:rsid w:val="00493362"/>
    <w:rsid w:val="00496C2F"/>
    <w:rsid w:val="0049740D"/>
    <w:rsid w:val="004978D3"/>
    <w:rsid w:val="004A11F8"/>
    <w:rsid w:val="004A22FA"/>
    <w:rsid w:val="004A269A"/>
    <w:rsid w:val="004A30FB"/>
    <w:rsid w:val="004A35DD"/>
    <w:rsid w:val="004A37D3"/>
    <w:rsid w:val="004A3AD6"/>
    <w:rsid w:val="004A5865"/>
    <w:rsid w:val="004A77DF"/>
    <w:rsid w:val="004B0295"/>
    <w:rsid w:val="004B10A8"/>
    <w:rsid w:val="004B22DA"/>
    <w:rsid w:val="004B3CB7"/>
    <w:rsid w:val="004B3D55"/>
    <w:rsid w:val="004B55B7"/>
    <w:rsid w:val="004C00A6"/>
    <w:rsid w:val="004C0BBB"/>
    <w:rsid w:val="004C1AD6"/>
    <w:rsid w:val="004C1B86"/>
    <w:rsid w:val="004C3382"/>
    <w:rsid w:val="004C3867"/>
    <w:rsid w:val="004C4AB7"/>
    <w:rsid w:val="004C4CD0"/>
    <w:rsid w:val="004C57B5"/>
    <w:rsid w:val="004C5C25"/>
    <w:rsid w:val="004C6717"/>
    <w:rsid w:val="004C6CFF"/>
    <w:rsid w:val="004C70DC"/>
    <w:rsid w:val="004C7268"/>
    <w:rsid w:val="004D0211"/>
    <w:rsid w:val="004D1C9C"/>
    <w:rsid w:val="004D504B"/>
    <w:rsid w:val="004D536E"/>
    <w:rsid w:val="004E1839"/>
    <w:rsid w:val="004E4A75"/>
    <w:rsid w:val="004E541A"/>
    <w:rsid w:val="004E5A5C"/>
    <w:rsid w:val="004E76D6"/>
    <w:rsid w:val="004F06F5"/>
    <w:rsid w:val="004F191F"/>
    <w:rsid w:val="004F2A73"/>
    <w:rsid w:val="004F33A0"/>
    <w:rsid w:val="004F4353"/>
    <w:rsid w:val="004F447D"/>
    <w:rsid w:val="004F4C28"/>
    <w:rsid w:val="004F5CC5"/>
    <w:rsid w:val="0050692E"/>
    <w:rsid w:val="00507040"/>
    <w:rsid w:val="005079F8"/>
    <w:rsid w:val="00510189"/>
    <w:rsid w:val="005108C0"/>
    <w:rsid w:val="00511873"/>
    <w:rsid w:val="00513B7E"/>
    <w:rsid w:val="00514474"/>
    <w:rsid w:val="005215EF"/>
    <w:rsid w:val="00524637"/>
    <w:rsid w:val="00525137"/>
    <w:rsid w:val="005251DD"/>
    <w:rsid w:val="0053017A"/>
    <w:rsid w:val="00530492"/>
    <w:rsid w:val="00532854"/>
    <w:rsid w:val="005350F2"/>
    <w:rsid w:val="00535152"/>
    <w:rsid w:val="00535359"/>
    <w:rsid w:val="005357A2"/>
    <w:rsid w:val="00535D87"/>
    <w:rsid w:val="00535EF0"/>
    <w:rsid w:val="0053734B"/>
    <w:rsid w:val="005375B1"/>
    <w:rsid w:val="00537AFD"/>
    <w:rsid w:val="00537CB4"/>
    <w:rsid w:val="0054516B"/>
    <w:rsid w:val="0054559E"/>
    <w:rsid w:val="005513D5"/>
    <w:rsid w:val="005523B9"/>
    <w:rsid w:val="005545E0"/>
    <w:rsid w:val="00554865"/>
    <w:rsid w:val="00554E57"/>
    <w:rsid w:val="00562749"/>
    <w:rsid w:val="00562DE9"/>
    <w:rsid w:val="005638A5"/>
    <w:rsid w:val="00566381"/>
    <w:rsid w:val="00566A03"/>
    <w:rsid w:val="00571932"/>
    <w:rsid w:val="00573C97"/>
    <w:rsid w:val="00574240"/>
    <w:rsid w:val="00575CDC"/>
    <w:rsid w:val="005765D5"/>
    <w:rsid w:val="00576A3E"/>
    <w:rsid w:val="0057703D"/>
    <w:rsid w:val="00583D5B"/>
    <w:rsid w:val="00583FFD"/>
    <w:rsid w:val="00587CCD"/>
    <w:rsid w:val="005908AE"/>
    <w:rsid w:val="0059176E"/>
    <w:rsid w:val="00593152"/>
    <w:rsid w:val="00593CA3"/>
    <w:rsid w:val="00594161"/>
    <w:rsid w:val="00594969"/>
    <w:rsid w:val="00596C5E"/>
    <w:rsid w:val="005A2194"/>
    <w:rsid w:val="005A21E0"/>
    <w:rsid w:val="005A33A1"/>
    <w:rsid w:val="005A54EE"/>
    <w:rsid w:val="005A7500"/>
    <w:rsid w:val="005B1BDB"/>
    <w:rsid w:val="005B2BAA"/>
    <w:rsid w:val="005B2D53"/>
    <w:rsid w:val="005B3247"/>
    <w:rsid w:val="005B3409"/>
    <w:rsid w:val="005B7B12"/>
    <w:rsid w:val="005C16CB"/>
    <w:rsid w:val="005C21D6"/>
    <w:rsid w:val="005C3F9F"/>
    <w:rsid w:val="005C4A23"/>
    <w:rsid w:val="005C562C"/>
    <w:rsid w:val="005C5812"/>
    <w:rsid w:val="005C6400"/>
    <w:rsid w:val="005C7F1E"/>
    <w:rsid w:val="005D374F"/>
    <w:rsid w:val="005D5802"/>
    <w:rsid w:val="005D6CFC"/>
    <w:rsid w:val="005D73E2"/>
    <w:rsid w:val="005D757A"/>
    <w:rsid w:val="005E1E4B"/>
    <w:rsid w:val="005E362D"/>
    <w:rsid w:val="005E492C"/>
    <w:rsid w:val="005E4BAA"/>
    <w:rsid w:val="005E52EF"/>
    <w:rsid w:val="005E5B56"/>
    <w:rsid w:val="005E6088"/>
    <w:rsid w:val="005E61DF"/>
    <w:rsid w:val="005E6B78"/>
    <w:rsid w:val="005F4057"/>
    <w:rsid w:val="005F4088"/>
    <w:rsid w:val="005F601D"/>
    <w:rsid w:val="005F6119"/>
    <w:rsid w:val="0060107A"/>
    <w:rsid w:val="00601AFF"/>
    <w:rsid w:val="00602D1D"/>
    <w:rsid w:val="00604307"/>
    <w:rsid w:val="0060487F"/>
    <w:rsid w:val="00605814"/>
    <w:rsid w:val="00606B93"/>
    <w:rsid w:val="00607727"/>
    <w:rsid w:val="006118AA"/>
    <w:rsid w:val="006139C7"/>
    <w:rsid w:val="006153E3"/>
    <w:rsid w:val="006167AB"/>
    <w:rsid w:val="00617D2D"/>
    <w:rsid w:val="00617D83"/>
    <w:rsid w:val="00620AC5"/>
    <w:rsid w:val="00621575"/>
    <w:rsid w:val="006215FC"/>
    <w:rsid w:val="00624093"/>
    <w:rsid w:val="00630F66"/>
    <w:rsid w:val="00631FC2"/>
    <w:rsid w:val="00632171"/>
    <w:rsid w:val="0063332A"/>
    <w:rsid w:val="006347F9"/>
    <w:rsid w:val="0063494E"/>
    <w:rsid w:val="00634C90"/>
    <w:rsid w:val="00635E79"/>
    <w:rsid w:val="00636E5E"/>
    <w:rsid w:val="006404A7"/>
    <w:rsid w:val="006407F3"/>
    <w:rsid w:val="00644DFC"/>
    <w:rsid w:val="006451E4"/>
    <w:rsid w:val="006460B8"/>
    <w:rsid w:val="006504A0"/>
    <w:rsid w:val="006520C7"/>
    <w:rsid w:val="00652CBB"/>
    <w:rsid w:val="006530B8"/>
    <w:rsid w:val="006535D6"/>
    <w:rsid w:val="006572ED"/>
    <w:rsid w:val="00657E87"/>
    <w:rsid w:val="00660457"/>
    <w:rsid w:val="00660E1E"/>
    <w:rsid w:val="006637B1"/>
    <w:rsid w:val="00664B64"/>
    <w:rsid w:val="00665D67"/>
    <w:rsid w:val="00665D77"/>
    <w:rsid w:val="006660CD"/>
    <w:rsid w:val="00666EC8"/>
    <w:rsid w:val="00666F4B"/>
    <w:rsid w:val="006676D0"/>
    <w:rsid w:val="00670FAC"/>
    <w:rsid w:val="006710C9"/>
    <w:rsid w:val="006716A5"/>
    <w:rsid w:val="00675E37"/>
    <w:rsid w:val="00676F11"/>
    <w:rsid w:val="00680079"/>
    <w:rsid w:val="00680F68"/>
    <w:rsid w:val="0068260E"/>
    <w:rsid w:val="0068373D"/>
    <w:rsid w:val="00683BFE"/>
    <w:rsid w:val="006857DF"/>
    <w:rsid w:val="00685E66"/>
    <w:rsid w:val="00686B72"/>
    <w:rsid w:val="00686BF1"/>
    <w:rsid w:val="00690A09"/>
    <w:rsid w:val="00693EA1"/>
    <w:rsid w:val="00693FEA"/>
    <w:rsid w:val="00694930"/>
    <w:rsid w:val="00695170"/>
    <w:rsid w:val="00695BEF"/>
    <w:rsid w:val="006960D6"/>
    <w:rsid w:val="00696AA5"/>
    <w:rsid w:val="006977F6"/>
    <w:rsid w:val="00697A13"/>
    <w:rsid w:val="006A109C"/>
    <w:rsid w:val="006A2EE8"/>
    <w:rsid w:val="006A3CF3"/>
    <w:rsid w:val="006A568F"/>
    <w:rsid w:val="006A672B"/>
    <w:rsid w:val="006B3F8A"/>
    <w:rsid w:val="006B5CA3"/>
    <w:rsid w:val="006B6B3B"/>
    <w:rsid w:val="006B7714"/>
    <w:rsid w:val="006B78D8"/>
    <w:rsid w:val="006C090F"/>
    <w:rsid w:val="006C113F"/>
    <w:rsid w:val="006C2AED"/>
    <w:rsid w:val="006C38DD"/>
    <w:rsid w:val="006C5577"/>
    <w:rsid w:val="006C559A"/>
    <w:rsid w:val="006C58FA"/>
    <w:rsid w:val="006D042D"/>
    <w:rsid w:val="006D06EF"/>
    <w:rsid w:val="006D142E"/>
    <w:rsid w:val="006D4497"/>
    <w:rsid w:val="006D4E6F"/>
    <w:rsid w:val="006D61F6"/>
    <w:rsid w:val="006E1F4C"/>
    <w:rsid w:val="006E279A"/>
    <w:rsid w:val="006E2F3F"/>
    <w:rsid w:val="006E313B"/>
    <w:rsid w:val="006E442A"/>
    <w:rsid w:val="006E4434"/>
    <w:rsid w:val="006E5CFD"/>
    <w:rsid w:val="006F1326"/>
    <w:rsid w:val="006F2BEE"/>
    <w:rsid w:val="006F3708"/>
    <w:rsid w:val="006F3E6B"/>
    <w:rsid w:val="006F4619"/>
    <w:rsid w:val="006F4A59"/>
    <w:rsid w:val="007014C7"/>
    <w:rsid w:val="00702D6F"/>
    <w:rsid w:val="00703B6C"/>
    <w:rsid w:val="007047D5"/>
    <w:rsid w:val="00705D98"/>
    <w:rsid w:val="00707891"/>
    <w:rsid w:val="00707D43"/>
    <w:rsid w:val="00711EF1"/>
    <w:rsid w:val="0071229A"/>
    <w:rsid w:val="00712572"/>
    <w:rsid w:val="00713495"/>
    <w:rsid w:val="00713EEB"/>
    <w:rsid w:val="00720FA2"/>
    <w:rsid w:val="007211F5"/>
    <w:rsid w:val="00724666"/>
    <w:rsid w:val="00726043"/>
    <w:rsid w:val="0072704A"/>
    <w:rsid w:val="00730AE8"/>
    <w:rsid w:val="00731963"/>
    <w:rsid w:val="00734321"/>
    <w:rsid w:val="00740310"/>
    <w:rsid w:val="00740652"/>
    <w:rsid w:val="00740F02"/>
    <w:rsid w:val="00740FEC"/>
    <w:rsid w:val="0074132E"/>
    <w:rsid w:val="00741493"/>
    <w:rsid w:val="007426B3"/>
    <w:rsid w:val="007426FD"/>
    <w:rsid w:val="0074329D"/>
    <w:rsid w:val="00744376"/>
    <w:rsid w:val="007449EA"/>
    <w:rsid w:val="00746DD9"/>
    <w:rsid w:val="0075057A"/>
    <w:rsid w:val="00751771"/>
    <w:rsid w:val="00751C1C"/>
    <w:rsid w:val="00752180"/>
    <w:rsid w:val="007521A1"/>
    <w:rsid w:val="0075315D"/>
    <w:rsid w:val="007538F9"/>
    <w:rsid w:val="00754253"/>
    <w:rsid w:val="007552BB"/>
    <w:rsid w:val="007558D3"/>
    <w:rsid w:val="007559D7"/>
    <w:rsid w:val="00755D3A"/>
    <w:rsid w:val="00760141"/>
    <w:rsid w:val="007609C6"/>
    <w:rsid w:val="007610A0"/>
    <w:rsid w:val="007620F2"/>
    <w:rsid w:val="00762EBA"/>
    <w:rsid w:val="0076359D"/>
    <w:rsid w:val="0077058D"/>
    <w:rsid w:val="00772536"/>
    <w:rsid w:val="00773613"/>
    <w:rsid w:val="00774782"/>
    <w:rsid w:val="00776476"/>
    <w:rsid w:val="00776527"/>
    <w:rsid w:val="007805E1"/>
    <w:rsid w:val="0078113E"/>
    <w:rsid w:val="00781834"/>
    <w:rsid w:val="007821DB"/>
    <w:rsid w:val="00782818"/>
    <w:rsid w:val="007838F1"/>
    <w:rsid w:val="00784C4A"/>
    <w:rsid w:val="00787432"/>
    <w:rsid w:val="00787507"/>
    <w:rsid w:val="007879F2"/>
    <w:rsid w:val="00791CF8"/>
    <w:rsid w:val="00792262"/>
    <w:rsid w:val="00793387"/>
    <w:rsid w:val="00793BAE"/>
    <w:rsid w:val="00794E0A"/>
    <w:rsid w:val="00796642"/>
    <w:rsid w:val="007A11D9"/>
    <w:rsid w:val="007A327B"/>
    <w:rsid w:val="007A4606"/>
    <w:rsid w:val="007B1966"/>
    <w:rsid w:val="007B3DCC"/>
    <w:rsid w:val="007B4518"/>
    <w:rsid w:val="007B5031"/>
    <w:rsid w:val="007B573F"/>
    <w:rsid w:val="007C605B"/>
    <w:rsid w:val="007D2A5A"/>
    <w:rsid w:val="007D2AD8"/>
    <w:rsid w:val="007D2C47"/>
    <w:rsid w:val="007D3167"/>
    <w:rsid w:val="007D4281"/>
    <w:rsid w:val="007D42F5"/>
    <w:rsid w:val="007D44C3"/>
    <w:rsid w:val="007D5947"/>
    <w:rsid w:val="007D65C1"/>
    <w:rsid w:val="007E030F"/>
    <w:rsid w:val="007E0E59"/>
    <w:rsid w:val="007E0F4B"/>
    <w:rsid w:val="007E7E61"/>
    <w:rsid w:val="007F0845"/>
    <w:rsid w:val="007F16F9"/>
    <w:rsid w:val="007F3E3E"/>
    <w:rsid w:val="007F500D"/>
    <w:rsid w:val="007F5F14"/>
    <w:rsid w:val="007F7B54"/>
    <w:rsid w:val="008005D7"/>
    <w:rsid w:val="00801FDD"/>
    <w:rsid w:val="008020C2"/>
    <w:rsid w:val="0080255C"/>
    <w:rsid w:val="0081187C"/>
    <w:rsid w:val="00811E24"/>
    <w:rsid w:val="00812E2B"/>
    <w:rsid w:val="00813A70"/>
    <w:rsid w:val="00813FE6"/>
    <w:rsid w:val="00815C6E"/>
    <w:rsid w:val="0081645F"/>
    <w:rsid w:val="008178C2"/>
    <w:rsid w:val="008178CF"/>
    <w:rsid w:val="00817C98"/>
    <w:rsid w:val="00820C9F"/>
    <w:rsid w:val="00821FF6"/>
    <w:rsid w:val="00823AAF"/>
    <w:rsid w:val="00824081"/>
    <w:rsid w:val="0082409A"/>
    <w:rsid w:val="008252D7"/>
    <w:rsid w:val="00827181"/>
    <w:rsid w:val="0082733C"/>
    <w:rsid w:val="00827746"/>
    <w:rsid w:val="0083143E"/>
    <w:rsid w:val="0083159D"/>
    <w:rsid w:val="008318FF"/>
    <w:rsid w:val="00832187"/>
    <w:rsid w:val="00832493"/>
    <w:rsid w:val="008336D8"/>
    <w:rsid w:val="008339C4"/>
    <w:rsid w:val="00834F0A"/>
    <w:rsid w:val="00834FAA"/>
    <w:rsid w:val="00835181"/>
    <w:rsid w:val="00836086"/>
    <w:rsid w:val="00841D9F"/>
    <w:rsid w:val="00842604"/>
    <w:rsid w:val="00843ECF"/>
    <w:rsid w:val="00846673"/>
    <w:rsid w:val="0085281A"/>
    <w:rsid w:val="008559FE"/>
    <w:rsid w:val="00857339"/>
    <w:rsid w:val="00860706"/>
    <w:rsid w:val="00862A7A"/>
    <w:rsid w:val="00863104"/>
    <w:rsid w:val="00863D9E"/>
    <w:rsid w:val="008642AF"/>
    <w:rsid w:val="00865ED4"/>
    <w:rsid w:val="008669A7"/>
    <w:rsid w:val="00867E29"/>
    <w:rsid w:val="00870F2B"/>
    <w:rsid w:val="008746E6"/>
    <w:rsid w:val="0087594C"/>
    <w:rsid w:val="00876086"/>
    <w:rsid w:val="008768D6"/>
    <w:rsid w:val="008775D1"/>
    <w:rsid w:val="008777BB"/>
    <w:rsid w:val="00877D68"/>
    <w:rsid w:val="00877E5D"/>
    <w:rsid w:val="00880150"/>
    <w:rsid w:val="00884D69"/>
    <w:rsid w:val="00886A8F"/>
    <w:rsid w:val="0088733A"/>
    <w:rsid w:val="00891BE0"/>
    <w:rsid w:val="00893302"/>
    <w:rsid w:val="00893F3C"/>
    <w:rsid w:val="008945A1"/>
    <w:rsid w:val="00894A63"/>
    <w:rsid w:val="00895A54"/>
    <w:rsid w:val="00896916"/>
    <w:rsid w:val="00896BDE"/>
    <w:rsid w:val="008A0861"/>
    <w:rsid w:val="008A0BB2"/>
    <w:rsid w:val="008A1AB3"/>
    <w:rsid w:val="008A1D5C"/>
    <w:rsid w:val="008A3292"/>
    <w:rsid w:val="008A3A85"/>
    <w:rsid w:val="008A43E9"/>
    <w:rsid w:val="008A4CB1"/>
    <w:rsid w:val="008A615E"/>
    <w:rsid w:val="008A632B"/>
    <w:rsid w:val="008A6BFE"/>
    <w:rsid w:val="008B190E"/>
    <w:rsid w:val="008B1A8A"/>
    <w:rsid w:val="008B7306"/>
    <w:rsid w:val="008B775F"/>
    <w:rsid w:val="008B7C02"/>
    <w:rsid w:val="008B7D13"/>
    <w:rsid w:val="008B7F9E"/>
    <w:rsid w:val="008C0E88"/>
    <w:rsid w:val="008C1AA8"/>
    <w:rsid w:val="008C22A8"/>
    <w:rsid w:val="008C63FD"/>
    <w:rsid w:val="008C6CB8"/>
    <w:rsid w:val="008C7815"/>
    <w:rsid w:val="008C7A07"/>
    <w:rsid w:val="008D0171"/>
    <w:rsid w:val="008D13EA"/>
    <w:rsid w:val="008D2A16"/>
    <w:rsid w:val="008D2ECF"/>
    <w:rsid w:val="008D3F3D"/>
    <w:rsid w:val="008E308D"/>
    <w:rsid w:val="008E31FF"/>
    <w:rsid w:val="008E5DE6"/>
    <w:rsid w:val="008E6113"/>
    <w:rsid w:val="008E6AB3"/>
    <w:rsid w:val="008E6AD3"/>
    <w:rsid w:val="008E71A6"/>
    <w:rsid w:val="008E77B6"/>
    <w:rsid w:val="008E7C55"/>
    <w:rsid w:val="008F032E"/>
    <w:rsid w:val="008F0F14"/>
    <w:rsid w:val="008F4FCE"/>
    <w:rsid w:val="008F5301"/>
    <w:rsid w:val="008F6A0C"/>
    <w:rsid w:val="008F7D28"/>
    <w:rsid w:val="009003A8"/>
    <w:rsid w:val="00902CBE"/>
    <w:rsid w:val="00902D74"/>
    <w:rsid w:val="00902EFF"/>
    <w:rsid w:val="00903E06"/>
    <w:rsid w:val="00904B9D"/>
    <w:rsid w:val="009066E1"/>
    <w:rsid w:val="00907A41"/>
    <w:rsid w:val="009102BD"/>
    <w:rsid w:val="00910F93"/>
    <w:rsid w:val="0091255A"/>
    <w:rsid w:val="00914426"/>
    <w:rsid w:val="0091675F"/>
    <w:rsid w:val="00917709"/>
    <w:rsid w:val="00917918"/>
    <w:rsid w:val="00920874"/>
    <w:rsid w:val="00921F14"/>
    <w:rsid w:val="00923750"/>
    <w:rsid w:val="009243A5"/>
    <w:rsid w:val="009250D2"/>
    <w:rsid w:val="00926283"/>
    <w:rsid w:val="00937B11"/>
    <w:rsid w:val="00940F1F"/>
    <w:rsid w:val="00941250"/>
    <w:rsid w:val="0094427A"/>
    <w:rsid w:val="009459C5"/>
    <w:rsid w:val="0094626C"/>
    <w:rsid w:val="0095013A"/>
    <w:rsid w:val="00953AEF"/>
    <w:rsid w:val="009551E2"/>
    <w:rsid w:val="00955783"/>
    <w:rsid w:val="00955E5F"/>
    <w:rsid w:val="009560B0"/>
    <w:rsid w:val="00957871"/>
    <w:rsid w:val="00960077"/>
    <w:rsid w:val="00962D2E"/>
    <w:rsid w:val="00964498"/>
    <w:rsid w:val="0096504D"/>
    <w:rsid w:val="00965A2D"/>
    <w:rsid w:val="009663EB"/>
    <w:rsid w:val="0096650F"/>
    <w:rsid w:val="009700DB"/>
    <w:rsid w:val="00972263"/>
    <w:rsid w:val="00972D8D"/>
    <w:rsid w:val="00973AAE"/>
    <w:rsid w:val="0097476C"/>
    <w:rsid w:val="00974923"/>
    <w:rsid w:val="00974D48"/>
    <w:rsid w:val="00974D5F"/>
    <w:rsid w:val="00975017"/>
    <w:rsid w:val="009759DF"/>
    <w:rsid w:val="00980621"/>
    <w:rsid w:val="00982072"/>
    <w:rsid w:val="00983DBB"/>
    <w:rsid w:val="00983ECF"/>
    <w:rsid w:val="00986745"/>
    <w:rsid w:val="00987109"/>
    <w:rsid w:val="00987309"/>
    <w:rsid w:val="0099012D"/>
    <w:rsid w:val="00990363"/>
    <w:rsid w:val="009954FF"/>
    <w:rsid w:val="009961BC"/>
    <w:rsid w:val="00996355"/>
    <w:rsid w:val="009A2014"/>
    <w:rsid w:val="009A3A87"/>
    <w:rsid w:val="009A4E12"/>
    <w:rsid w:val="009A5C68"/>
    <w:rsid w:val="009B04D0"/>
    <w:rsid w:val="009B052C"/>
    <w:rsid w:val="009B0EF2"/>
    <w:rsid w:val="009B23A3"/>
    <w:rsid w:val="009B4925"/>
    <w:rsid w:val="009B4B4B"/>
    <w:rsid w:val="009B6FD3"/>
    <w:rsid w:val="009B70BD"/>
    <w:rsid w:val="009C07A5"/>
    <w:rsid w:val="009C7388"/>
    <w:rsid w:val="009D1551"/>
    <w:rsid w:val="009D2859"/>
    <w:rsid w:val="009D4173"/>
    <w:rsid w:val="009D6095"/>
    <w:rsid w:val="009D6306"/>
    <w:rsid w:val="009E048A"/>
    <w:rsid w:val="009E1FBA"/>
    <w:rsid w:val="009E2C54"/>
    <w:rsid w:val="009E3710"/>
    <w:rsid w:val="009E7B1F"/>
    <w:rsid w:val="009F41C4"/>
    <w:rsid w:val="009F5846"/>
    <w:rsid w:val="009F7D77"/>
    <w:rsid w:val="00A10D66"/>
    <w:rsid w:val="00A12BA8"/>
    <w:rsid w:val="00A1420C"/>
    <w:rsid w:val="00A14821"/>
    <w:rsid w:val="00A17754"/>
    <w:rsid w:val="00A2055B"/>
    <w:rsid w:val="00A2253C"/>
    <w:rsid w:val="00A23545"/>
    <w:rsid w:val="00A23A55"/>
    <w:rsid w:val="00A23E43"/>
    <w:rsid w:val="00A24F8C"/>
    <w:rsid w:val="00A262BF"/>
    <w:rsid w:val="00A271AD"/>
    <w:rsid w:val="00A276D5"/>
    <w:rsid w:val="00A30336"/>
    <w:rsid w:val="00A30BB5"/>
    <w:rsid w:val="00A3128F"/>
    <w:rsid w:val="00A326D0"/>
    <w:rsid w:val="00A35287"/>
    <w:rsid w:val="00A378F8"/>
    <w:rsid w:val="00A40B19"/>
    <w:rsid w:val="00A424F8"/>
    <w:rsid w:val="00A437B7"/>
    <w:rsid w:val="00A46DE0"/>
    <w:rsid w:val="00A4778A"/>
    <w:rsid w:val="00A5067F"/>
    <w:rsid w:val="00A55301"/>
    <w:rsid w:val="00A57B3C"/>
    <w:rsid w:val="00A57F1B"/>
    <w:rsid w:val="00A6128E"/>
    <w:rsid w:val="00A62CE1"/>
    <w:rsid w:val="00A631FA"/>
    <w:rsid w:val="00A64203"/>
    <w:rsid w:val="00A64348"/>
    <w:rsid w:val="00A721FB"/>
    <w:rsid w:val="00A727BA"/>
    <w:rsid w:val="00A72D4B"/>
    <w:rsid w:val="00A732AE"/>
    <w:rsid w:val="00A75E40"/>
    <w:rsid w:val="00A77EB2"/>
    <w:rsid w:val="00A82B66"/>
    <w:rsid w:val="00A83B58"/>
    <w:rsid w:val="00A851B6"/>
    <w:rsid w:val="00A85729"/>
    <w:rsid w:val="00A8574B"/>
    <w:rsid w:val="00A857C0"/>
    <w:rsid w:val="00A94628"/>
    <w:rsid w:val="00A96463"/>
    <w:rsid w:val="00A97E3F"/>
    <w:rsid w:val="00AA09D3"/>
    <w:rsid w:val="00AA23FB"/>
    <w:rsid w:val="00AA42AB"/>
    <w:rsid w:val="00AA559A"/>
    <w:rsid w:val="00AB104D"/>
    <w:rsid w:val="00AB2AF1"/>
    <w:rsid w:val="00AB440B"/>
    <w:rsid w:val="00AB47E3"/>
    <w:rsid w:val="00AB74C5"/>
    <w:rsid w:val="00AB7DF2"/>
    <w:rsid w:val="00AC1E3F"/>
    <w:rsid w:val="00AC4F18"/>
    <w:rsid w:val="00AD0B46"/>
    <w:rsid w:val="00AD1094"/>
    <w:rsid w:val="00AD2565"/>
    <w:rsid w:val="00AD306C"/>
    <w:rsid w:val="00AD3424"/>
    <w:rsid w:val="00AD50D1"/>
    <w:rsid w:val="00AD59BB"/>
    <w:rsid w:val="00AD5D68"/>
    <w:rsid w:val="00AD6C73"/>
    <w:rsid w:val="00AE06D0"/>
    <w:rsid w:val="00AE1B8A"/>
    <w:rsid w:val="00AE39DC"/>
    <w:rsid w:val="00AE3CDA"/>
    <w:rsid w:val="00AE7968"/>
    <w:rsid w:val="00AF128B"/>
    <w:rsid w:val="00AF1AEA"/>
    <w:rsid w:val="00AF2852"/>
    <w:rsid w:val="00AF3225"/>
    <w:rsid w:val="00AF518B"/>
    <w:rsid w:val="00AF5275"/>
    <w:rsid w:val="00AF6367"/>
    <w:rsid w:val="00AF6A79"/>
    <w:rsid w:val="00AF724E"/>
    <w:rsid w:val="00AF73A9"/>
    <w:rsid w:val="00B01C2C"/>
    <w:rsid w:val="00B0231C"/>
    <w:rsid w:val="00B13681"/>
    <w:rsid w:val="00B15DCD"/>
    <w:rsid w:val="00B17E71"/>
    <w:rsid w:val="00B17FDE"/>
    <w:rsid w:val="00B208FC"/>
    <w:rsid w:val="00B20C65"/>
    <w:rsid w:val="00B22E17"/>
    <w:rsid w:val="00B266C5"/>
    <w:rsid w:val="00B27293"/>
    <w:rsid w:val="00B3229E"/>
    <w:rsid w:val="00B32DDB"/>
    <w:rsid w:val="00B35174"/>
    <w:rsid w:val="00B35BEA"/>
    <w:rsid w:val="00B3793D"/>
    <w:rsid w:val="00B41BE6"/>
    <w:rsid w:val="00B457E7"/>
    <w:rsid w:val="00B45D1B"/>
    <w:rsid w:val="00B46D25"/>
    <w:rsid w:val="00B47430"/>
    <w:rsid w:val="00B52D2D"/>
    <w:rsid w:val="00B55BA8"/>
    <w:rsid w:val="00B55F15"/>
    <w:rsid w:val="00B561A6"/>
    <w:rsid w:val="00B60062"/>
    <w:rsid w:val="00B62960"/>
    <w:rsid w:val="00B63A11"/>
    <w:rsid w:val="00B63FD0"/>
    <w:rsid w:val="00B65C84"/>
    <w:rsid w:val="00B6608F"/>
    <w:rsid w:val="00B74317"/>
    <w:rsid w:val="00B76D1E"/>
    <w:rsid w:val="00B800EB"/>
    <w:rsid w:val="00B822D2"/>
    <w:rsid w:val="00B848B8"/>
    <w:rsid w:val="00B84A41"/>
    <w:rsid w:val="00B84D57"/>
    <w:rsid w:val="00B85689"/>
    <w:rsid w:val="00B86748"/>
    <w:rsid w:val="00B907EA"/>
    <w:rsid w:val="00B91EC9"/>
    <w:rsid w:val="00B924CA"/>
    <w:rsid w:val="00B93384"/>
    <w:rsid w:val="00B94417"/>
    <w:rsid w:val="00B95940"/>
    <w:rsid w:val="00B95EF8"/>
    <w:rsid w:val="00B95F50"/>
    <w:rsid w:val="00B96BD9"/>
    <w:rsid w:val="00BB0274"/>
    <w:rsid w:val="00BB1CFD"/>
    <w:rsid w:val="00BB2C53"/>
    <w:rsid w:val="00BB32DA"/>
    <w:rsid w:val="00BB3A54"/>
    <w:rsid w:val="00BB4E21"/>
    <w:rsid w:val="00BB7746"/>
    <w:rsid w:val="00BC22EB"/>
    <w:rsid w:val="00BC682B"/>
    <w:rsid w:val="00BC6B04"/>
    <w:rsid w:val="00BD186B"/>
    <w:rsid w:val="00BD1EAC"/>
    <w:rsid w:val="00BD3428"/>
    <w:rsid w:val="00BD366B"/>
    <w:rsid w:val="00BD534C"/>
    <w:rsid w:val="00BD56BC"/>
    <w:rsid w:val="00BD5D91"/>
    <w:rsid w:val="00BD6615"/>
    <w:rsid w:val="00BD6D50"/>
    <w:rsid w:val="00BE0D79"/>
    <w:rsid w:val="00BE0DB0"/>
    <w:rsid w:val="00BE3381"/>
    <w:rsid w:val="00BE3F09"/>
    <w:rsid w:val="00BE670A"/>
    <w:rsid w:val="00BE6906"/>
    <w:rsid w:val="00BF18F4"/>
    <w:rsid w:val="00BF1A69"/>
    <w:rsid w:val="00BF3BC8"/>
    <w:rsid w:val="00BF3DF1"/>
    <w:rsid w:val="00BF4C31"/>
    <w:rsid w:val="00BF4E57"/>
    <w:rsid w:val="00BF7CB8"/>
    <w:rsid w:val="00C00F20"/>
    <w:rsid w:val="00C01700"/>
    <w:rsid w:val="00C034E6"/>
    <w:rsid w:val="00C05715"/>
    <w:rsid w:val="00C05926"/>
    <w:rsid w:val="00C0784A"/>
    <w:rsid w:val="00C10B28"/>
    <w:rsid w:val="00C10FAE"/>
    <w:rsid w:val="00C12A69"/>
    <w:rsid w:val="00C150BE"/>
    <w:rsid w:val="00C15A0C"/>
    <w:rsid w:val="00C15DCB"/>
    <w:rsid w:val="00C1711F"/>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76C5"/>
    <w:rsid w:val="00C503B0"/>
    <w:rsid w:val="00C511C2"/>
    <w:rsid w:val="00C53D82"/>
    <w:rsid w:val="00C60696"/>
    <w:rsid w:val="00C60EEF"/>
    <w:rsid w:val="00C615F1"/>
    <w:rsid w:val="00C61627"/>
    <w:rsid w:val="00C64E60"/>
    <w:rsid w:val="00C657A4"/>
    <w:rsid w:val="00C6736C"/>
    <w:rsid w:val="00C71A1D"/>
    <w:rsid w:val="00C71EC4"/>
    <w:rsid w:val="00C7591E"/>
    <w:rsid w:val="00C75C7E"/>
    <w:rsid w:val="00C75C9B"/>
    <w:rsid w:val="00C76D8E"/>
    <w:rsid w:val="00C77833"/>
    <w:rsid w:val="00C80C9B"/>
    <w:rsid w:val="00C8335E"/>
    <w:rsid w:val="00C83F9C"/>
    <w:rsid w:val="00C84CE3"/>
    <w:rsid w:val="00C85614"/>
    <w:rsid w:val="00C90CF4"/>
    <w:rsid w:val="00C91C19"/>
    <w:rsid w:val="00C929A0"/>
    <w:rsid w:val="00C93389"/>
    <w:rsid w:val="00C937DB"/>
    <w:rsid w:val="00C94519"/>
    <w:rsid w:val="00C94E83"/>
    <w:rsid w:val="00CA140F"/>
    <w:rsid w:val="00CA25C2"/>
    <w:rsid w:val="00CA37BB"/>
    <w:rsid w:val="00CA37CA"/>
    <w:rsid w:val="00CA5724"/>
    <w:rsid w:val="00CA6508"/>
    <w:rsid w:val="00CA6BA1"/>
    <w:rsid w:val="00CA6CD5"/>
    <w:rsid w:val="00CB1910"/>
    <w:rsid w:val="00CB2150"/>
    <w:rsid w:val="00CB28EE"/>
    <w:rsid w:val="00CB43A7"/>
    <w:rsid w:val="00CB5996"/>
    <w:rsid w:val="00CB7452"/>
    <w:rsid w:val="00CC0E10"/>
    <w:rsid w:val="00CC1DAF"/>
    <w:rsid w:val="00CC2642"/>
    <w:rsid w:val="00CC2A36"/>
    <w:rsid w:val="00CC2E15"/>
    <w:rsid w:val="00CC3908"/>
    <w:rsid w:val="00CC62AD"/>
    <w:rsid w:val="00CC7B80"/>
    <w:rsid w:val="00CD2B3C"/>
    <w:rsid w:val="00CD30F6"/>
    <w:rsid w:val="00CD4B29"/>
    <w:rsid w:val="00CD6954"/>
    <w:rsid w:val="00CD6EF1"/>
    <w:rsid w:val="00CE21C7"/>
    <w:rsid w:val="00CE57D8"/>
    <w:rsid w:val="00CE617A"/>
    <w:rsid w:val="00CF25D2"/>
    <w:rsid w:val="00CF28C2"/>
    <w:rsid w:val="00CF42BD"/>
    <w:rsid w:val="00CF51EC"/>
    <w:rsid w:val="00CF6CD7"/>
    <w:rsid w:val="00D0037A"/>
    <w:rsid w:val="00D00DAF"/>
    <w:rsid w:val="00D017EC"/>
    <w:rsid w:val="00D01CDA"/>
    <w:rsid w:val="00D040DD"/>
    <w:rsid w:val="00D04E1B"/>
    <w:rsid w:val="00D076DB"/>
    <w:rsid w:val="00D1067C"/>
    <w:rsid w:val="00D136D4"/>
    <w:rsid w:val="00D13830"/>
    <w:rsid w:val="00D13ECF"/>
    <w:rsid w:val="00D142E5"/>
    <w:rsid w:val="00D148CD"/>
    <w:rsid w:val="00D1611E"/>
    <w:rsid w:val="00D16E69"/>
    <w:rsid w:val="00D205A9"/>
    <w:rsid w:val="00D217EE"/>
    <w:rsid w:val="00D245BA"/>
    <w:rsid w:val="00D26923"/>
    <w:rsid w:val="00D27856"/>
    <w:rsid w:val="00D301CA"/>
    <w:rsid w:val="00D30740"/>
    <w:rsid w:val="00D31075"/>
    <w:rsid w:val="00D31445"/>
    <w:rsid w:val="00D31932"/>
    <w:rsid w:val="00D378CC"/>
    <w:rsid w:val="00D4042C"/>
    <w:rsid w:val="00D42312"/>
    <w:rsid w:val="00D43998"/>
    <w:rsid w:val="00D4615E"/>
    <w:rsid w:val="00D478E2"/>
    <w:rsid w:val="00D5264C"/>
    <w:rsid w:val="00D547BA"/>
    <w:rsid w:val="00D55626"/>
    <w:rsid w:val="00D556BC"/>
    <w:rsid w:val="00D5626D"/>
    <w:rsid w:val="00D60277"/>
    <w:rsid w:val="00D60336"/>
    <w:rsid w:val="00D61F88"/>
    <w:rsid w:val="00D62901"/>
    <w:rsid w:val="00D6470C"/>
    <w:rsid w:val="00D64853"/>
    <w:rsid w:val="00D64CB5"/>
    <w:rsid w:val="00D66D48"/>
    <w:rsid w:val="00D73256"/>
    <w:rsid w:val="00D73A30"/>
    <w:rsid w:val="00D74C65"/>
    <w:rsid w:val="00D75DC2"/>
    <w:rsid w:val="00D766EF"/>
    <w:rsid w:val="00D76C03"/>
    <w:rsid w:val="00D82462"/>
    <w:rsid w:val="00D868CE"/>
    <w:rsid w:val="00D86DAE"/>
    <w:rsid w:val="00D90C1E"/>
    <w:rsid w:val="00D91BDF"/>
    <w:rsid w:val="00D93F09"/>
    <w:rsid w:val="00D954C2"/>
    <w:rsid w:val="00D97BB8"/>
    <w:rsid w:val="00DA1318"/>
    <w:rsid w:val="00DA1382"/>
    <w:rsid w:val="00DA28B7"/>
    <w:rsid w:val="00DA2FE8"/>
    <w:rsid w:val="00DA4AF6"/>
    <w:rsid w:val="00DB016E"/>
    <w:rsid w:val="00DB06E9"/>
    <w:rsid w:val="00DB378E"/>
    <w:rsid w:val="00DB3E9D"/>
    <w:rsid w:val="00DB47B9"/>
    <w:rsid w:val="00DB4FB8"/>
    <w:rsid w:val="00DB53CE"/>
    <w:rsid w:val="00DB549D"/>
    <w:rsid w:val="00DC226A"/>
    <w:rsid w:val="00DC257F"/>
    <w:rsid w:val="00DC350B"/>
    <w:rsid w:val="00DC3790"/>
    <w:rsid w:val="00DC408A"/>
    <w:rsid w:val="00DC5B3B"/>
    <w:rsid w:val="00DC6796"/>
    <w:rsid w:val="00DC78DF"/>
    <w:rsid w:val="00DD0821"/>
    <w:rsid w:val="00DD0E32"/>
    <w:rsid w:val="00DD2BFE"/>
    <w:rsid w:val="00DD373E"/>
    <w:rsid w:val="00DD57AD"/>
    <w:rsid w:val="00DE009B"/>
    <w:rsid w:val="00DE0C31"/>
    <w:rsid w:val="00DE2ED9"/>
    <w:rsid w:val="00DE319A"/>
    <w:rsid w:val="00DF0DC3"/>
    <w:rsid w:val="00DF21FD"/>
    <w:rsid w:val="00DF2873"/>
    <w:rsid w:val="00DF5578"/>
    <w:rsid w:val="00DF78DD"/>
    <w:rsid w:val="00DF7FEC"/>
    <w:rsid w:val="00E01C0E"/>
    <w:rsid w:val="00E03B27"/>
    <w:rsid w:val="00E04694"/>
    <w:rsid w:val="00E049F6"/>
    <w:rsid w:val="00E05B2B"/>
    <w:rsid w:val="00E06A2A"/>
    <w:rsid w:val="00E07F05"/>
    <w:rsid w:val="00E127E1"/>
    <w:rsid w:val="00E144D2"/>
    <w:rsid w:val="00E15346"/>
    <w:rsid w:val="00E15B7D"/>
    <w:rsid w:val="00E2097E"/>
    <w:rsid w:val="00E215EA"/>
    <w:rsid w:val="00E21CAB"/>
    <w:rsid w:val="00E24619"/>
    <w:rsid w:val="00E25223"/>
    <w:rsid w:val="00E30BEA"/>
    <w:rsid w:val="00E31764"/>
    <w:rsid w:val="00E34985"/>
    <w:rsid w:val="00E34E4A"/>
    <w:rsid w:val="00E365B3"/>
    <w:rsid w:val="00E366BB"/>
    <w:rsid w:val="00E37C45"/>
    <w:rsid w:val="00E40AAA"/>
    <w:rsid w:val="00E42444"/>
    <w:rsid w:val="00E438CF"/>
    <w:rsid w:val="00E43C41"/>
    <w:rsid w:val="00E4500E"/>
    <w:rsid w:val="00E450CE"/>
    <w:rsid w:val="00E45A00"/>
    <w:rsid w:val="00E45CE7"/>
    <w:rsid w:val="00E4631F"/>
    <w:rsid w:val="00E522BB"/>
    <w:rsid w:val="00E539E4"/>
    <w:rsid w:val="00E569C7"/>
    <w:rsid w:val="00E571F2"/>
    <w:rsid w:val="00E57429"/>
    <w:rsid w:val="00E61EA8"/>
    <w:rsid w:val="00E70510"/>
    <w:rsid w:val="00E71262"/>
    <w:rsid w:val="00E71A58"/>
    <w:rsid w:val="00E737F6"/>
    <w:rsid w:val="00E7568F"/>
    <w:rsid w:val="00E7724B"/>
    <w:rsid w:val="00E84F21"/>
    <w:rsid w:val="00E90F73"/>
    <w:rsid w:val="00E910A7"/>
    <w:rsid w:val="00E91607"/>
    <w:rsid w:val="00E921C7"/>
    <w:rsid w:val="00E92995"/>
    <w:rsid w:val="00E94612"/>
    <w:rsid w:val="00E95797"/>
    <w:rsid w:val="00E9682F"/>
    <w:rsid w:val="00E96A8D"/>
    <w:rsid w:val="00E972BA"/>
    <w:rsid w:val="00E97FA2"/>
    <w:rsid w:val="00EA06CB"/>
    <w:rsid w:val="00EA0C68"/>
    <w:rsid w:val="00EA3EBE"/>
    <w:rsid w:val="00EA3FAC"/>
    <w:rsid w:val="00EA4153"/>
    <w:rsid w:val="00EA5CD6"/>
    <w:rsid w:val="00EA76FD"/>
    <w:rsid w:val="00EB0555"/>
    <w:rsid w:val="00EB20A0"/>
    <w:rsid w:val="00EB30B6"/>
    <w:rsid w:val="00EB4FA4"/>
    <w:rsid w:val="00EB5146"/>
    <w:rsid w:val="00EB55E9"/>
    <w:rsid w:val="00EB5641"/>
    <w:rsid w:val="00EB5CA9"/>
    <w:rsid w:val="00EB5ED4"/>
    <w:rsid w:val="00EB6537"/>
    <w:rsid w:val="00EB70E1"/>
    <w:rsid w:val="00EB7EB5"/>
    <w:rsid w:val="00EC454B"/>
    <w:rsid w:val="00EC6153"/>
    <w:rsid w:val="00EC7F92"/>
    <w:rsid w:val="00ED00A8"/>
    <w:rsid w:val="00ED0A79"/>
    <w:rsid w:val="00ED2989"/>
    <w:rsid w:val="00ED2CA5"/>
    <w:rsid w:val="00ED336F"/>
    <w:rsid w:val="00ED54D6"/>
    <w:rsid w:val="00ED5726"/>
    <w:rsid w:val="00EE0298"/>
    <w:rsid w:val="00EE0384"/>
    <w:rsid w:val="00EE10AA"/>
    <w:rsid w:val="00EE1637"/>
    <w:rsid w:val="00EE3B7A"/>
    <w:rsid w:val="00EE3E78"/>
    <w:rsid w:val="00EE495A"/>
    <w:rsid w:val="00EE5E02"/>
    <w:rsid w:val="00EE617D"/>
    <w:rsid w:val="00EE61BF"/>
    <w:rsid w:val="00EE6748"/>
    <w:rsid w:val="00EE6C6B"/>
    <w:rsid w:val="00EF0E75"/>
    <w:rsid w:val="00EF1F5A"/>
    <w:rsid w:val="00EF4685"/>
    <w:rsid w:val="00EF5397"/>
    <w:rsid w:val="00EF6BE3"/>
    <w:rsid w:val="00F00D0E"/>
    <w:rsid w:val="00F00D3C"/>
    <w:rsid w:val="00F04811"/>
    <w:rsid w:val="00F0488C"/>
    <w:rsid w:val="00F0496E"/>
    <w:rsid w:val="00F04D10"/>
    <w:rsid w:val="00F0625B"/>
    <w:rsid w:val="00F101FF"/>
    <w:rsid w:val="00F10A33"/>
    <w:rsid w:val="00F15BEF"/>
    <w:rsid w:val="00F172BE"/>
    <w:rsid w:val="00F1776C"/>
    <w:rsid w:val="00F2037E"/>
    <w:rsid w:val="00F20D17"/>
    <w:rsid w:val="00F2103E"/>
    <w:rsid w:val="00F214FC"/>
    <w:rsid w:val="00F21C31"/>
    <w:rsid w:val="00F23825"/>
    <w:rsid w:val="00F23FFF"/>
    <w:rsid w:val="00F2441D"/>
    <w:rsid w:val="00F24FAA"/>
    <w:rsid w:val="00F26197"/>
    <w:rsid w:val="00F307DD"/>
    <w:rsid w:val="00F318FC"/>
    <w:rsid w:val="00F31F76"/>
    <w:rsid w:val="00F3364D"/>
    <w:rsid w:val="00F35ACD"/>
    <w:rsid w:val="00F365BF"/>
    <w:rsid w:val="00F36BF8"/>
    <w:rsid w:val="00F375BA"/>
    <w:rsid w:val="00F37760"/>
    <w:rsid w:val="00F403D1"/>
    <w:rsid w:val="00F43921"/>
    <w:rsid w:val="00F4591F"/>
    <w:rsid w:val="00F4736B"/>
    <w:rsid w:val="00F47D05"/>
    <w:rsid w:val="00F50030"/>
    <w:rsid w:val="00F50B9D"/>
    <w:rsid w:val="00F51FC9"/>
    <w:rsid w:val="00F541ED"/>
    <w:rsid w:val="00F54B31"/>
    <w:rsid w:val="00F54FD3"/>
    <w:rsid w:val="00F55605"/>
    <w:rsid w:val="00F57CD7"/>
    <w:rsid w:val="00F62F02"/>
    <w:rsid w:val="00F63DDE"/>
    <w:rsid w:val="00F63FB7"/>
    <w:rsid w:val="00F64726"/>
    <w:rsid w:val="00F6561A"/>
    <w:rsid w:val="00F70309"/>
    <w:rsid w:val="00F727D5"/>
    <w:rsid w:val="00F72F44"/>
    <w:rsid w:val="00F73A0C"/>
    <w:rsid w:val="00F759DC"/>
    <w:rsid w:val="00F771A5"/>
    <w:rsid w:val="00F817A4"/>
    <w:rsid w:val="00F81C3A"/>
    <w:rsid w:val="00F835FC"/>
    <w:rsid w:val="00F8373A"/>
    <w:rsid w:val="00F83E21"/>
    <w:rsid w:val="00F83FA4"/>
    <w:rsid w:val="00F84E18"/>
    <w:rsid w:val="00F852E5"/>
    <w:rsid w:val="00F95117"/>
    <w:rsid w:val="00FA05D7"/>
    <w:rsid w:val="00FA1C6C"/>
    <w:rsid w:val="00FA2447"/>
    <w:rsid w:val="00FA2C2A"/>
    <w:rsid w:val="00FA309A"/>
    <w:rsid w:val="00FA7644"/>
    <w:rsid w:val="00FB0A9A"/>
    <w:rsid w:val="00FB483B"/>
    <w:rsid w:val="00FB56F1"/>
    <w:rsid w:val="00FB5FD4"/>
    <w:rsid w:val="00FB67F3"/>
    <w:rsid w:val="00FC0D8A"/>
    <w:rsid w:val="00FC0E5F"/>
    <w:rsid w:val="00FC135D"/>
    <w:rsid w:val="00FC3C84"/>
    <w:rsid w:val="00FC4660"/>
    <w:rsid w:val="00FC56DE"/>
    <w:rsid w:val="00FC5E01"/>
    <w:rsid w:val="00FD1261"/>
    <w:rsid w:val="00FD1627"/>
    <w:rsid w:val="00FD1BBD"/>
    <w:rsid w:val="00FD473D"/>
    <w:rsid w:val="00FD61C8"/>
    <w:rsid w:val="00FD63CE"/>
    <w:rsid w:val="00FD7D49"/>
    <w:rsid w:val="00FE1251"/>
    <w:rsid w:val="00FE2F78"/>
    <w:rsid w:val="00FE3510"/>
    <w:rsid w:val="00FE371D"/>
    <w:rsid w:val="00FE375F"/>
    <w:rsid w:val="00FE4FCB"/>
    <w:rsid w:val="00FE705E"/>
    <w:rsid w:val="00FF28E0"/>
    <w:rsid w:val="00FF2FB4"/>
    <w:rsid w:val="00FF30B3"/>
    <w:rsid w:val="00FF3DF3"/>
    <w:rsid w:val="00FF4027"/>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homira.dubska@czso.cz"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4.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List_aplikace_Microsoft_Office_Excel_97-20031.xls"/><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3.png"/><Relationship Id="rId33" Type="http://schemas.openxmlformats.org/officeDocument/2006/relationships/image" Target="media/image21.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List_aplikace_Microsoft_Office_Excel_97-20032.xls"/><Relationship Id="rId28" Type="http://schemas.openxmlformats.org/officeDocument/2006/relationships/image" Target="media/image16.png"/><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1.emf"/><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image" Target="media/image23.e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1813F-714D-4725-A2AD-00E19F03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198</TotalTime>
  <Pages>22</Pages>
  <Words>11930</Words>
  <Characters>66063</Characters>
  <Application>Microsoft Office Word</Application>
  <DocSecurity>0</DocSecurity>
  <Lines>550</Lines>
  <Paragraphs>155</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67</cp:revision>
  <cp:lastPrinted>2015-06-19T06:21:00Z</cp:lastPrinted>
  <dcterms:created xsi:type="dcterms:W3CDTF">2015-12-16T13:30:00Z</dcterms:created>
  <dcterms:modified xsi:type="dcterms:W3CDTF">2015-12-18T12:41:00Z</dcterms:modified>
</cp:coreProperties>
</file>