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FB" w:rsidRPr="00F80714" w:rsidRDefault="003E7666" w:rsidP="00335A22">
      <w:pPr>
        <w:pStyle w:val="datum"/>
        <w:spacing w:line="276" w:lineRule="auto"/>
      </w:pPr>
      <w:r>
        <w:t>29</w:t>
      </w:r>
      <w:r w:rsidR="00BC5812" w:rsidRPr="00F80714">
        <w:t>.</w:t>
      </w:r>
      <w:r w:rsidR="00187ED2">
        <w:t xml:space="preserve"> </w:t>
      </w:r>
      <w:r>
        <w:t>7</w:t>
      </w:r>
      <w:r w:rsidR="00BC5812" w:rsidRPr="00F80714">
        <w:t>. 201</w:t>
      </w:r>
      <w:r w:rsidR="00855438">
        <w:t>4</w:t>
      </w:r>
    </w:p>
    <w:p w:rsidR="002070FB" w:rsidRPr="00335A22" w:rsidRDefault="00BC5812" w:rsidP="00335A22">
      <w:pPr>
        <w:pStyle w:val="Nadpis1"/>
        <w:spacing w:before="280" w:after="280" w:line="360" w:lineRule="exact"/>
        <w:rPr>
          <w:color w:val="BD1B16"/>
        </w:rPr>
      </w:pPr>
      <w:r w:rsidRPr="00335A22">
        <w:rPr>
          <w:caps w:val="0"/>
          <w:color w:val="BD1B16"/>
        </w:rPr>
        <w:t>P</w:t>
      </w:r>
      <w:r w:rsidR="00335A22">
        <w:rPr>
          <w:caps w:val="0"/>
          <w:color w:val="BD1B16"/>
        </w:rPr>
        <w:t>ostavení českého trhu práce v rámci EU</w:t>
      </w:r>
    </w:p>
    <w:p w:rsidR="00BC5812" w:rsidRPr="00F80714" w:rsidRDefault="00261CC4" w:rsidP="004B06FC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F80714">
        <w:rPr>
          <w:rFonts w:cs="Arial"/>
          <w:b/>
          <w:szCs w:val="18"/>
        </w:rPr>
        <w:t xml:space="preserve">Pravidelná analýza trhu práce se zaměřuje na mezinárodní srovnání indikátorů strategie zaměstnanosti - </w:t>
      </w:r>
      <w:r w:rsidR="00BC5812" w:rsidRPr="00F80714">
        <w:rPr>
          <w:rFonts w:cs="Arial"/>
          <w:b/>
          <w:szCs w:val="18"/>
        </w:rPr>
        <w:t>Evropa 2020</w:t>
      </w:r>
      <w:r w:rsidRPr="00F80714">
        <w:rPr>
          <w:rFonts w:cs="Arial"/>
          <w:b/>
          <w:szCs w:val="18"/>
        </w:rPr>
        <w:t>.</w:t>
      </w:r>
      <w:r w:rsidR="00BC5812" w:rsidRPr="00F80714">
        <w:rPr>
          <w:rFonts w:cs="Arial"/>
          <w:b/>
          <w:szCs w:val="18"/>
        </w:rPr>
        <w:t xml:space="preserve"> </w:t>
      </w:r>
      <w:r w:rsidRPr="00F80714">
        <w:rPr>
          <w:rFonts w:cs="Arial"/>
          <w:b/>
          <w:szCs w:val="18"/>
        </w:rPr>
        <w:t xml:space="preserve">Ta </w:t>
      </w:r>
      <w:r w:rsidR="00BC5812" w:rsidRPr="00F80714">
        <w:rPr>
          <w:rFonts w:cs="Arial"/>
          <w:b/>
          <w:szCs w:val="18"/>
        </w:rPr>
        <w:t xml:space="preserve">má v horizontu </w:t>
      </w:r>
      <w:r w:rsidR="00A42073" w:rsidRPr="00F80714">
        <w:rPr>
          <w:rFonts w:cs="Arial"/>
          <w:b/>
          <w:szCs w:val="18"/>
        </w:rPr>
        <w:t>této</w:t>
      </w:r>
      <w:r w:rsidR="00BC5812" w:rsidRPr="00F80714">
        <w:rPr>
          <w:rFonts w:cs="Arial"/>
          <w:b/>
          <w:szCs w:val="18"/>
        </w:rPr>
        <w:t xml:space="preserve"> dekády za cíl zvýšení míry zaměstnanosti </w:t>
      </w:r>
      <w:r w:rsidR="007C7F6F" w:rsidRPr="00F80714">
        <w:rPr>
          <w:rFonts w:cs="Arial"/>
          <w:b/>
          <w:szCs w:val="18"/>
        </w:rPr>
        <w:t xml:space="preserve">osob </w:t>
      </w:r>
      <w:r w:rsidR="00BC5812" w:rsidRPr="00F80714">
        <w:rPr>
          <w:rFonts w:cs="Arial"/>
          <w:b/>
          <w:szCs w:val="18"/>
        </w:rPr>
        <w:t>v</w:t>
      </w:r>
      <w:r w:rsidR="007C7F6F" w:rsidRPr="00F80714">
        <w:rPr>
          <w:rFonts w:cs="Arial"/>
          <w:b/>
          <w:szCs w:val="18"/>
        </w:rPr>
        <w:t>e</w:t>
      </w:r>
      <w:r w:rsidR="00BC5812" w:rsidRPr="00F80714">
        <w:rPr>
          <w:rFonts w:cs="Arial"/>
          <w:b/>
          <w:szCs w:val="18"/>
        </w:rPr>
        <w:t xml:space="preserve"> </w:t>
      </w:r>
      <w:r w:rsidR="007C7F6F" w:rsidRPr="00F80714">
        <w:rPr>
          <w:rFonts w:cs="Arial"/>
          <w:b/>
          <w:szCs w:val="18"/>
        </w:rPr>
        <w:t>věku</w:t>
      </w:r>
      <w:r w:rsidR="00BC5812" w:rsidRPr="00F80714">
        <w:rPr>
          <w:rFonts w:cs="Arial"/>
          <w:b/>
          <w:szCs w:val="18"/>
        </w:rPr>
        <w:t xml:space="preserve"> 20-64 let na 75 %</w:t>
      </w:r>
      <w:r w:rsidR="000E54E3" w:rsidRPr="00F80714">
        <w:rPr>
          <w:rFonts w:cs="Arial"/>
          <w:b/>
          <w:szCs w:val="18"/>
        </w:rPr>
        <w:t xml:space="preserve"> a zvýšení počtu vysokoškolsky vzdělaných lidí ve věku 30-34 let nejméně na 40 %</w:t>
      </w:r>
      <w:r w:rsidR="00F77AAC" w:rsidRPr="00F80714">
        <w:rPr>
          <w:rFonts w:cs="Arial"/>
          <w:b/>
          <w:szCs w:val="18"/>
        </w:rPr>
        <w:t xml:space="preserve">. </w:t>
      </w:r>
      <w:r w:rsidRPr="00F80714">
        <w:rPr>
          <w:rFonts w:cs="Arial"/>
          <w:b/>
          <w:szCs w:val="18"/>
        </w:rPr>
        <w:t>Druhá část analýzy je věnována nezaměstnanosti</w:t>
      </w:r>
      <w:r w:rsidR="00FD605D">
        <w:rPr>
          <w:rFonts w:cs="Arial"/>
          <w:b/>
          <w:szCs w:val="18"/>
        </w:rPr>
        <w:t>.</w:t>
      </w:r>
    </w:p>
    <w:p w:rsidR="002070FB" w:rsidRDefault="00F77AAC" w:rsidP="00335A22">
      <w:pPr>
        <w:pStyle w:val="Nadpis3"/>
        <w:spacing w:before="0"/>
      </w:pPr>
      <w:r w:rsidRPr="00B15FB9">
        <w:t xml:space="preserve">Plnění kritérií </w:t>
      </w:r>
      <w:r w:rsidRPr="00335A22">
        <w:t>zaměstnanosti</w:t>
      </w:r>
      <w:r w:rsidRPr="00B15FB9">
        <w:t xml:space="preserve"> podle strategie Evropa 2020</w:t>
      </w:r>
    </w:p>
    <w:p w:rsidR="009F1958" w:rsidRDefault="009F1958" w:rsidP="00EB50BC">
      <w:r w:rsidRPr="00B15FB9">
        <w:t xml:space="preserve">Míra zaměstnanosti ve věkové skupině 20-64 let dosahovala v </w:t>
      </w:r>
      <w:r w:rsidR="002E5B39">
        <w:t>1</w:t>
      </w:r>
      <w:r w:rsidRPr="00B15FB9">
        <w:t>. č</w:t>
      </w:r>
      <w:r w:rsidR="00625F8B" w:rsidRPr="00B15FB9">
        <w:t>tvrtletí 201</w:t>
      </w:r>
      <w:r w:rsidR="002E5B39">
        <w:t>4</w:t>
      </w:r>
      <w:r w:rsidR="00625F8B" w:rsidRPr="00B15FB9">
        <w:t> v zemích EU2</w:t>
      </w:r>
      <w:r w:rsidR="006602F9">
        <w:t>8</w:t>
      </w:r>
      <w:r w:rsidR="00625F8B" w:rsidRPr="00B15FB9">
        <w:t xml:space="preserve"> 6</w:t>
      </w:r>
      <w:r w:rsidR="002F50E1">
        <w:t>8</w:t>
      </w:r>
      <w:r w:rsidR="00625F8B" w:rsidRPr="00B15FB9">
        <w:t>,</w:t>
      </w:r>
      <w:r w:rsidR="002E5B39">
        <w:t>4</w:t>
      </w:r>
      <w:r w:rsidRPr="00B15FB9">
        <w:t xml:space="preserve"> %</w:t>
      </w:r>
      <w:r w:rsidR="00F11B08" w:rsidRPr="00B15FB9">
        <w:t xml:space="preserve">. </w:t>
      </w:r>
      <w:r w:rsidR="00B15FB9" w:rsidRPr="00B15FB9">
        <w:t xml:space="preserve">Míra zaměstnanosti </w:t>
      </w:r>
      <w:r w:rsidR="002E5B39">
        <w:t>žen</w:t>
      </w:r>
      <w:r w:rsidR="00B15FB9" w:rsidRPr="00B15FB9">
        <w:t xml:space="preserve"> </w:t>
      </w:r>
      <w:r w:rsidR="002E5B39">
        <w:t>byla přitom nižší než</w:t>
      </w:r>
      <w:r w:rsidR="006602F9">
        <w:t xml:space="preserve"> mír</w:t>
      </w:r>
      <w:r w:rsidR="002E5B39">
        <w:t>a</w:t>
      </w:r>
      <w:r w:rsidR="006602F9">
        <w:t xml:space="preserve"> zaměstnanosti </w:t>
      </w:r>
      <w:r w:rsidR="002E5B39">
        <w:t>mužů</w:t>
      </w:r>
      <w:r w:rsidR="006602F9">
        <w:t xml:space="preserve"> </w:t>
      </w:r>
      <w:r w:rsidR="00B15FB9" w:rsidRPr="006602F9">
        <w:t>o</w:t>
      </w:r>
      <w:r w:rsidR="006602F9">
        <w:t xml:space="preserve"> </w:t>
      </w:r>
      <w:r w:rsidR="002E5B39">
        <w:t>více než</w:t>
      </w:r>
      <w:r w:rsidR="00FD605D">
        <w:br/>
      </w:r>
      <w:r w:rsidR="00484959">
        <w:t>1</w:t>
      </w:r>
      <w:r w:rsidR="002E5B39">
        <w:t>1</w:t>
      </w:r>
      <w:r w:rsidR="00B15FB9" w:rsidRPr="00B15FB9">
        <w:t xml:space="preserve"> p</w:t>
      </w:r>
      <w:r w:rsidR="00484959">
        <w:t>rocentních</w:t>
      </w:r>
      <w:r w:rsidR="00BC6C63">
        <w:t xml:space="preserve"> </w:t>
      </w:r>
      <w:r w:rsidR="00B15FB9" w:rsidRPr="00B15FB9">
        <w:t>b</w:t>
      </w:r>
      <w:r w:rsidR="00484959">
        <w:t>odů.</w:t>
      </w:r>
      <w:r w:rsidR="00B15FB9" w:rsidRPr="00B15FB9">
        <w:t xml:space="preserve"> V průběhu roku </w:t>
      </w:r>
      <w:r w:rsidR="00B15FB9">
        <w:t xml:space="preserve">celková </w:t>
      </w:r>
      <w:r w:rsidR="00B15FB9" w:rsidRPr="00B15FB9">
        <w:t xml:space="preserve">míra zaměstnanosti </w:t>
      </w:r>
      <w:r w:rsidR="008100CE">
        <w:t xml:space="preserve">členských zemí EU </w:t>
      </w:r>
      <w:r w:rsidR="00484959">
        <w:t>vzrostla o 0,</w:t>
      </w:r>
      <w:r w:rsidR="008100CE">
        <w:t>8</w:t>
      </w:r>
      <w:r w:rsidR="00484959">
        <w:t xml:space="preserve"> p. b.</w:t>
      </w:r>
      <w:r w:rsidR="00B15FB9" w:rsidRPr="00B15FB9">
        <w:t xml:space="preserve"> </w:t>
      </w:r>
      <w:r w:rsidR="00484959">
        <w:t xml:space="preserve">Při </w:t>
      </w:r>
      <w:r w:rsidR="008100CE">
        <w:t xml:space="preserve">stejném </w:t>
      </w:r>
      <w:r w:rsidR="00484959">
        <w:t>n</w:t>
      </w:r>
      <w:r w:rsidR="002F50E1">
        <w:t>árůst</w:t>
      </w:r>
      <w:r w:rsidR="00484959">
        <w:t>u</w:t>
      </w:r>
      <w:r w:rsidR="006602F9">
        <w:t xml:space="preserve"> </w:t>
      </w:r>
      <w:r w:rsidR="00B15FB9" w:rsidRPr="00B15FB9">
        <w:t>zaměstnanost</w:t>
      </w:r>
      <w:r w:rsidR="002F50E1">
        <w:t>i</w:t>
      </w:r>
      <w:r w:rsidR="00B15FB9" w:rsidRPr="00B15FB9">
        <w:t xml:space="preserve"> žen</w:t>
      </w:r>
      <w:r w:rsidR="00B15FB9">
        <w:t xml:space="preserve"> </w:t>
      </w:r>
      <w:r w:rsidR="00484959">
        <w:t xml:space="preserve">se </w:t>
      </w:r>
      <w:r w:rsidR="00B15FB9" w:rsidRPr="00B15FB9">
        <w:t>zaměstnanost mužů</w:t>
      </w:r>
      <w:r w:rsidR="00B15FB9">
        <w:t xml:space="preserve"> </w:t>
      </w:r>
      <w:r w:rsidR="008100CE">
        <w:t>zvýšila o něco méně (0,7 p. b.).</w:t>
      </w:r>
    </w:p>
    <w:p w:rsidR="00335A22" w:rsidRPr="00B15FB9" w:rsidRDefault="00335A22" w:rsidP="00EB50BC"/>
    <w:p w:rsidR="00F51006" w:rsidRDefault="0009799C" w:rsidP="00335A22">
      <w:r w:rsidRPr="00D51215">
        <w:t xml:space="preserve">Při pohledu na tabulku seřazenou od nejvyšších hodnot k nejnižším je </w:t>
      </w:r>
      <w:r w:rsidR="00484959">
        <w:t>patrné</w:t>
      </w:r>
      <w:r w:rsidRPr="00D51215">
        <w:t xml:space="preserve">, že </w:t>
      </w:r>
      <w:r w:rsidR="005B0729" w:rsidRPr="00D51215">
        <w:t xml:space="preserve">míra zaměstnanosti </w:t>
      </w:r>
      <w:r w:rsidR="00484959">
        <w:t>se</w:t>
      </w:r>
      <w:r w:rsidR="008100CE">
        <w:t xml:space="preserve"> dlouhodobě </w:t>
      </w:r>
      <w:r w:rsidR="00484959">
        <w:t>udrž</w:t>
      </w:r>
      <w:r w:rsidR="008100CE">
        <w:t>uje</w:t>
      </w:r>
      <w:r w:rsidR="00484959">
        <w:t xml:space="preserve"> na vysokých hodnotách </w:t>
      </w:r>
      <w:r w:rsidR="005B0729" w:rsidRPr="00D51215">
        <w:t xml:space="preserve">v severských státech a v zemích západní Evropy. </w:t>
      </w:r>
      <w:r w:rsidR="006602F9">
        <w:t>N</w:t>
      </w:r>
      <w:r w:rsidR="005B0729" w:rsidRPr="00D51215">
        <w:t>ejvyšší úroveň zaměstnanosti</w:t>
      </w:r>
      <w:r w:rsidR="006602F9">
        <w:t>, která se meziročně ještě zvýšila</w:t>
      </w:r>
      <w:r w:rsidR="00E41F21">
        <w:t>,</w:t>
      </w:r>
      <w:r w:rsidR="006602F9">
        <w:t xml:space="preserve"> se</w:t>
      </w:r>
      <w:r w:rsidR="005B0729" w:rsidRPr="00D51215">
        <w:t xml:space="preserve"> </w:t>
      </w:r>
      <w:r w:rsidR="003120A3" w:rsidRPr="00D51215">
        <w:t>udržela</w:t>
      </w:r>
      <w:r w:rsidR="005B0729" w:rsidRPr="00D51215">
        <w:t xml:space="preserve"> </w:t>
      </w:r>
      <w:r w:rsidR="003120A3" w:rsidRPr="00D51215">
        <w:t xml:space="preserve">ve </w:t>
      </w:r>
      <w:r w:rsidR="005B0729" w:rsidRPr="00D51215">
        <w:t xml:space="preserve">Švédsku (v </w:t>
      </w:r>
      <w:r w:rsidR="008100CE">
        <w:t>1</w:t>
      </w:r>
      <w:r w:rsidR="005B0729" w:rsidRPr="00D51215">
        <w:t>. čtvrtletí 201</w:t>
      </w:r>
      <w:r w:rsidR="008100CE">
        <w:t>4</w:t>
      </w:r>
      <w:r w:rsidR="005B0729" w:rsidRPr="00D51215">
        <w:t xml:space="preserve"> to bylo</w:t>
      </w:r>
      <w:r w:rsidR="009F0E27">
        <w:t xml:space="preserve"> </w:t>
      </w:r>
      <w:r w:rsidR="00493A49">
        <w:t>7</w:t>
      </w:r>
      <w:r w:rsidR="008100CE">
        <w:t>8</w:t>
      </w:r>
      <w:r w:rsidR="00D3232B" w:rsidRPr="00D51215">
        <w:t>,</w:t>
      </w:r>
      <w:r w:rsidR="008100CE">
        <w:t>8</w:t>
      </w:r>
      <w:r w:rsidR="005B0729" w:rsidRPr="00D51215">
        <w:t xml:space="preserve"> %</w:t>
      </w:r>
      <w:r w:rsidR="00D3232B" w:rsidRPr="00D51215">
        <w:t>)</w:t>
      </w:r>
      <w:r w:rsidR="00422EBE" w:rsidRPr="00D51215">
        <w:t xml:space="preserve">. </w:t>
      </w:r>
      <w:r w:rsidR="008100CE">
        <w:t>Nejvyšší míra zaměstnanosti</w:t>
      </w:r>
      <w:r w:rsidR="008100CE" w:rsidRPr="009F0E27">
        <w:t xml:space="preserve"> mužů</w:t>
      </w:r>
      <w:r w:rsidR="008100CE">
        <w:t xml:space="preserve"> byla v prvním čtvrtletí 2014 v Německu a ve Spojeném království </w:t>
      </w:r>
      <w:r w:rsidR="008100CE" w:rsidRPr="009F0E27">
        <w:t>(8</w:t>
      </w:r>
      <w:r w:rsidR="008100CE">
        <w:t>1</w:t>
      </w:r>
      <w:r w:rsidR="008100CE" w:rsidRPr="009F0E27">
        <w:t>,</w:t>
      </w:r>
      <w:r w:rsidR="008100CE">
        <w:t>3</w:t>
      </w:r>
      <w:r w:rsidR="008100CE" w:rsidRPr="009F0E27">
        <w:t xml:space="preserve"> %).</w:t>
      </w:r>
      <w:r w:rsidR="008100CE">
        <w:t xml:space="preserve"> Německo se dlouhodobě udržuje na prvních příčkách i v zaměstnanosti žen (2. místo se 72,3 %)</w:t>
      </w:r>
      <w:r w:rsidR="005E6747">
        <w:t>.</w:t>
      </w:r>
      <w:r w:rsidR="008100CE">
        <w:t xml:space="preserve"> </w:t>
      </w:r>
      <w:r w:rsidR="005E6747">
        <w:t>Nejvyšší úrovně zaměstnanosti žen však už několik čtvrtletí po sobě dosahuje</w:t>
      </w:r>
      <w:r w:rsidR="008100CE">
        <w:t xml:space="preserve"> </w:t>
      </w:r>
      <w:r w:rsidR="005E6747">
        <w:t xml:space="preserve">s vysokým náskokem (4,3 p. b.) </w:t>
      </w:r>
      <w:r w:rsidR="003E43AB">
        <w:t>Švédsko</w:t>
      </w:r>
      <w:r w:rsidR="005E6747">
        <w:t xml:space="preserve">. </w:t>
      </w:r>
      <w:r w:rsidR="00700551" w:rsidRPr="009F0E27">
        <w:t>Ro</w:t>
      </w:r>
      <w:r w:rsidR="003120A3" w:rsidRPr="009F0E27">
        <w:t xml:space="preserve">zdíly </w:t>
      </w:r>
      <w:r w:rsidR="00700551" w:rsidRPr="009F0E27">
        <w:t xml:space="preserve">v zaměstnanosti mužů nejsou mezi zeměmi EU </w:t>
      </w:r>
      <w:r w:rsidR="003120A3" w:rsidRPr="009F0E27">
        <w:t>tak výrazné</w:t>
      </w:r>
      <w:r w:rsidR="005E6747">
        <w:t>.</w:t>
      </w:r>
      <w:r w:rsidR="0005042A" w:rsidRPr="009F0E27">
        <w:t xml:space="preserve"> </w:t>
      </w:r>
    </w:p>
    <w:p w:rsidR="00335A22" w:rsidRPr="009F0E27" w:rsidRDefault="00335A22" w:rsidP="00335A22"/>
    <w:p w:rsidR="00335A22" w:rsidRDefault="005E6747" w:rsidP="00EB50BC">
      <w:r>
        <w:t xml:space="preserve">V 1. čtvrtletí 2014 cílovou </w:t>
      </w:r>
      <w:r w:rsidR="009F0E27" w:rsidRPr="002F0D22">
        <w:t>úroveň</w:t>
      </w:r>
      <w:r w:rsidR="00790CFC" w:rsidRPr="002F0D22">
        <w:t xml:space="preserve"> 75 %</w:t>
      </w:r>
      <w:r w:rsidR="003E43AB">
        <w:t xml:space="preserve"> </w:t>
      </w:r>
      <w:r>
        <w:t xml:space="preserve">překonaly celkem čtyři státy </w:t>
      </w:r>
      <w:r w:rsidR="003E43AB">
        <w:t>(Švédsko, Německo,</w:t>
      </w:r>
      <w:r>
        <w:t xml:space="preserve"> </w:t>
      </w:r>
      <w:r w:rsidR="001528A8">
        <w:t>Spojené království</w:t>
      </w:r>
      <w:r w:rsidR="003E43AB">
        <w:t xml:space="preserve"> a </w:t>
      </w:r>
      <w:r>
        <w:t>Nizozemsko</w:t>
      </w:r>
      <w:r w:rsidR="003E43AB">
        <w:t>)</w:t>
      </w:r>
      <w:r w:rsidR="002F0D22" w:rsidRPr="002F0D22">
        <w:t xml:space="preserve">. </w:t>
      </w:r>
      <w:r w:rsidR="005B0729" w:rsidRPr="002F0D22">
        <w:t xml:space="preserve">Největší </w:t>
      </w:r>
      <w:r w:rsidR="00D51215" w:rsidRPr="002F0D22">
        <w:t xml:space="preserve">meziroční </w:t>
      </w:r>
      <w:r w:rsidR="005B0729" w:rsidRPr="002F0D22">
        <w:t xml:space="preserve">propad míry zaměstnanosti o </w:t>
      </w:r>
      <w:r>
        <w:t>1</w:t>
      </w:r>
      <w:r w:rsidR="00D51215" w:rsidRPr="002F0D22">
        <w:t>,</w:t>
      </w:r>
      <w:r>
        <w:t>2</w:t>
      </w:r>
      <w:r w:rsidR="005B0729" w:rsidRPr="002F0D22">
        <w:t xml:space="preserve"> p. b. lze pozorovat </w:t>
      </w:r>
      <w:r w:rsidR="003F247A">
        <w:t>na Kypru.</w:t>
      </w:r>
      <w:r w:rsidR="00174F35" w:rsidRPr="002F0D22">
        <w:t xml:space="preserve"> </w:t>
      </w:r>
      <w:r>
        <w:t>Až ve 21 zemích EU28 se celková míra zaměstnanosti během roku zlepšila.</w:t>
      </w:r>
      <w:r w:rsidR="00AC18BD">
        <w:t xml:space="preserve"> </w:t>
      </w:r>
      <w:r w:rsidR="00064FBD">
        <w:t>Výrazný meziroční nárůst přesahující 4 procentní body lze sledovat v Maďarsku a v Chorvatsku. Chorvatsko ale zároveň spolu s Řeckem, Španělskem a Itálii patří mezi země s nejnižší úrovní zaměstnanosti. Všechny tyto</w:t>
      </w:r>
      <w:r w:rsidR="00076327">
        <w:t xml:space="preserve"> země</w:t>
      </w:r>
      <w:r w:rsidR="00064FBD">
        <w:t xml:space="preserve"> jižní a jihovýchodní Evropy se v 1. čtvrtletí 2014 nedostaly přes hranici 60 %. Nejhorší situace byla v</w:t>
      </w:r>
      <w:r w:rsidR="00AC18BD">
        <w:t xml:space="preserve"> Řecku, </w:t>
      </w:r>
      <w:r w:rsidR="00174F35" w:rsidRPr="002F0D22">
        <w:t xml:space="preserve">kde pracovala o </w:t>
      </w:r>
      <w:r w:rsidR="00700551" w:rsidRPr="002F0D22">
        <w:t>něco</w:t>
      </w:r>
      <w:r w:rsidR="00174F35" w:rsidRPr="002F0D22">
        <w:t xml:space="preserve"> více než pol</w:t>
      </w:r>
      <w:r w:rsidR="00AC18BD">
        <w:t>ovina populace ve věku 20-64 let</w:t>
      </w:r>
      <w:r w:rsidR="00174F35" w:rsidRPr="002F0D22">
        <w:t xml:space="preserve">. </w:t>
      </w:r>
    </w:p>
    <w:p w:rsidR="00064FBD" w:rsidRDefault="00064FBD" w:rsidP="00EB50BC"/>
    <w:p w:rsidR="001D770C" w:rsidRDefault="009F48F3" w:rsidP="00EB50BC">
      <w:r w:rsidRPr="009F48F3">
        <w:t>Mezi země, kde došlo k</w:t>
      </w:r>
      <w:r w:rsidR="00064FBD">
        <w:t xml:space="preserve"> nadprůměrnému </w:t>
      </w:r>
      <w:r w:rsidRPr="009F48F3">
        <w:t>meziročnímu nárůstu míry zaměstnanosti</w:t>
      </w:r>
      <w:r w:rsidR="00076327">
        <w:br/>
      </w:r>
      <w:r w:rsidR="001123EF">
        <w:t>(v sledovaném období nárůst o 1,1 p. b.)</w:t>
      </w:r>
      <w:r w:rsidR="00F05785">
        <w:t>,</w:t>
      </w:r>
      <w:r w:rsidRPr="009F48F3">
        <w:t xml:space="preserve"> patřila i </w:t>
      </w:r>
      <w:r w:rsidR="005B0729" w:rsidRPr="009F48F3">
        <w:t>Česk</w:t>
      </w:r>
      <w:r w:rsidRPr="009F48F3">
        <w:t>á</w:t>
      </w:r>
      <w:r w:rsidR="005B0729" w:rsidRPr="009F48F3">
        <w:t xml:space="preserve"> republi</w:t>
      </w:r>
      <w:r w:rsidRPr="009F48F3">
        <w:t>ka</w:t>
      </w:r>
      <w:r w:rsidR="00A97530">
        <w:t>.</w:t>
      </w:r>
      <w:r w:rsidR="005B0729" w:rsidRPr="009F48F3">
        <w:t xml:space="preserve"> </w:t>
      </w:r>
      <w:r w:rsidR="001123EF">
        <w:t xml:space="preserve">V </w:t>
      </w:r>
      <w:r w:rsidR="00064FBD">
        <w:t>1</w:t>
      </w:r>
      <w:r w:rsidR="007D77C6">
        <w:t>.</w:t>
      </w:r>
      <w:r w:rsidR="00C6507B">
        <w:t xml:space="preserve"> čtvrtletí </w:t>
      </w:r>
      <w:r w:rsidR="001123EF">
        <w:t>201</w:t>
      </w:r>
      <w:r w:rsidR="00064FBD">
        <w:t>4</w:t>
      </w:r>
      <w:r w:rsidR="001123EF">
        <w:t xml:space="preserve"> </w:t>
      </w:r>
      <w:r w:rsidRPr="009F48F3">
        <w:t>s</w:t>
      </w:r>
      <w:r w:rsidR="001123EF">
        <w:t>e</w:t>
      </w:r>
      <w:r w:rsidRPr="009F48F3">
        <w:t xml:space="preserve"> Česká republika </w:t>
      </w:r>
      <w:r w:rsidR="001123EF">
        <w:t>zařadila na</w:t>
      </w:r>
      <w:r w:rsidR="002F0D22">
        <w:t xml:space="preserve"> </w:t>
      </w:r>
      <w:r w:rsidR="00064FBD">
        <w:t>sedmé</w:t>
      </w:r>
      <w:r w:rsidR="002F0D22">
        <w:t xml:space="preserve"> místo mezi zeměmi EU28</w:t>
      </w:r>
      <w:r w:rsidRPr="009F48F3">
        <w:t>, a tak k</w:t>
      </w:r>
      <w:r w:rsidR="005B0729" w:rsidRPr="009F48F3">
        <w:t xml:space="preserve">romě zmiňovaných zemí s nejvyšší mírou zaměstnanosti, byla vyšší míra zaměstnanosti </w:t>
      </w:r>
      <w:r w:rsidR="001123EF">
        <w:t>pouze</w:t>
      </w:r>
      <w:r w:rsidR="005B0729" w:rsidRPr="009F48F3">
        <w:t xml:space="preserve"> </w:t>
      </w:r>
      <w:r w:rsidR="002F0D22">
        <w:t>v</w:t>
      </w:r>
      <w:r w:rsidR="00064FBD">
        <w:t> Rakousku a Dánsku</w:t>
      </w:r>
      <w:r w:rsidR="009D2F07" w:rsidRPr="001172C5">
        <w:t>. M</w:t>
      </w:r>
      <w:r w:rsidR="005B0729" w:rsidRPr="001172C5">
        <w:t xml:space="preserve">íra zaměstnanosti </w:t>
      </w:r>
      <w:r w:rsidR="009D2F07" w:rsidRPr="001172C5">
        <w:t>v</w:t>
      </w:r>
      <w:r w:rsidR="00C6507B">
        <w:t> </w:t>
      </w:r>
      <w:r w:rsidR="009D2F07" w:rsidRPr="001172C5">
        <w:t>ČR</w:t>
      </w:r>
      <w:r w:rsidR="00C6507B">
        <w:t xml:space="preserve"> (7</w:t>
      </w:r>
      <w:r w:rsidR="00064FBD">
        <w:t>2</w:t>
      </w:r>
      <w:r w:rsidR="00C6507B">
        <w:t>,</w:t>
      </w:r>
      <w:r w:rsidR="00064FBD">
        <w:t>7</w:t>
      </w:r>
      <w:r w:rsidR="00C6507B">
        <w:t xml:space="preserve"> %)</w:t>
      </w:r>
      <w:r w:rsidR="009D2F07" w:rsidRPr="001172C5">
        <w:t xml:space="preserve"> </w:t>
      </w:r>
      <w:r w:rsidR="005B0729" w:rsidRPr="001172C5">
        <w:t>převyšovala průměr EU2</w:t>
      </w:r>
      <w:r w:rsidR="008D4A8F">
        <w:t>8</w:t>
      </w:r>
      <w:r w:rsidR="005B0729" w:rsidRPr="001172C5">
        <w:t xml:space="preserve"> o </w:t>
      </w:r>
      <w:r w:rsidR="001123EF">
        <w:t>4,</w:t>
      </w:r>
      <w:r w:rsidR="00064FBD">
        <w:t>3</w:t>
      </w:r>
      <w:r w:rsidR="00C6507B">
        <w:t xml:space="preserve"> procentní body</w:t>
      </w:r>
      <w:r w:rsidR="005B0729" w:rsidRPr="001172C5">
        <w:t>. Ze sousedních států byla nejvyšší míra zaměstnanosti v Německu (7</w:t>
      </w:r>
      <w:r w:rsidR="00064FBD">
        <w:t>6</w:t>
      </w:r>
      <w:r w:rsidR="005B0729" w:rsidRPr="001172C5">
        <w:t>,</w:t>
      </w:r>
      <w:r w:rsidR="00064FBD">
        <w:t>9</w:t>
      </w:r>
      <w:r w:rsidR="005B0729" w:rsidRPr="001172C5">
        <w:t xml:space="preserve"> %), </w:t>
      </w:r>
      <w:r w:rsidR="008752CD">
        <w:t>vyšší byla</w:t>
      </w:r>
      <w:r w:rsidR="001123EF">
        <w:t xml:space="preserve"> </w:t>
      </w:r>
      <w:r w:rsidR="00C6507B">
        <w:t>i v Rakousku (7</w:t>
      </w:r>
      <w:r w:rsidR="00304728">
        <w:t>4</w:t>
      </w:r>
      <w:r w:rsidR="00C6507B">
        <w:t>,</w:t>
      </w:r>
      <w:r w:rsidR="001123EF">
        <w:t>6</w:t>
      </w:r>
      <w:r w:rsidR="00C6507B">
        <w:t xml:space="preserve"> %). </w:t>
      </w:r>
      <w:r w:rsidR="00304728">
        <w:t xml:space="preserve">U  dvou zbylých sousedů byla celková zaměstnanost nižší a dosahovala stejné úrovně 65,1 %. Česká republika se vyznačuje jednou z nejvyšších měr zaměstnanosti </w:t>
      </w:r>
      <w:r w:rsidR="00304728">
        <w:lastRenderedPageBreak/>
        <w:t xml:space="preserve">mužů. V 1. čtvrtletí 2014 zaostala pouze o jednu desetinu procentního bodu za zmiňovanou dvojicí v čele, Německem a Spojeným královstvím, a dosahovala tak úrovně 81,2 %. </w:t>
      </w:r>
    </w:p>
    <w:p w:rsidR="000F726C" w:rsidRDefault="000F726C" w:rsidP="00EB50BC">
      <w:pPr>
        <w:rPr>
          <w:rFonts w:eastAsia="Times New Roman" w:cs="Arial"/>
          <w:b/>
          <w:bCs/>
          <w:szCs w:val="20"/>
          <w:lang w:eastAsia="cs-CZ"/>
        </w:rPr>
      </w:pPr>
    </w:p>
    <w:p w:rsidR="00335A22" w:rsidRDefault="00335A22" w:rsidP="00EB50BC">
      <w:pPr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 xml:space="preserve">Tabulka 1 </w:t>
      </w:r>
      <w:r w:rsidRPr="007F0EF8">
        <w:rPr>
          <w:rFonts w:eastAsia="Times New Roman" w:cs="Arial"/>
          <w:b/>
          <w:bCs/>
          <w:szCs w:val="20"/>
          <w:lang w:eastAsia="cs-CZ"/>
        </w:rPr>
        <w:t>Míra zaměstnanosti 20-64letých v členských zemích EU (v %)</w:t>
      </w:r>
    </w:p>
    <w:p w:rsidR="00F36477" w:rsidRDefault="00F36477" w:rsidP="00EB50BC">
      <w:pPr>
        <w:rPr>
          <w:rFonts w:eastAsia="Times New Roman" w:cs="Arial"/>
          <w:b/>
          <w:bCs/>
          <w:szCs w:val="20"/>
          <w:lang w:eastAsia="cs-CZ"/>
        </w:rPr>
      </w:pPr>
    </w:p>
    <w:tbl>
      <w:tblPr>
        <w:tblW w:w="7560" w:type="dxa"/>
        <w:jc w:val="center"/>
        <w:tblInd w:w="-110" w:type="dxa"/>
        <w:tblCellMar>
          <w:left w:w="70" w:type="dxa"/>
          <w:right w:w="70" w:type="dxa"/>
        </w:tblCellMar>
        <w:tblLook w:val="04A0"/>
      </w:tblPr>
      <w:tblGrid>
        <w:gridCol w:w="1800"/>
        <w:gridCol w:w="995"/>
        <w:gridCol w:w="947"/>
        <w:gridCol w:w="947"/>
        <w:gridCol w:w="1039"/>
        <w:gridCol w:w="916"/>
        <w:gridCol w:w="916"/>
      </w:tblGrid>
      <w:tr w:rsidR="006D2459" w:rsidRPr="006D2459" w:rsidTr="006D2459">
        <w:trPr>
          <w:trHeight w:val="27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288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1. čtvrtletí 2014</w:t>
            </w:r>
          </w:p>
        </w:tc>
        <w:tc>
          <w:tcPr>
            <w:tcW w:w="287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Rozdíl v p.b.</w:t>
            </w: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1.Q 2014-1.Q 2013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7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6D2459" w:rsidRPr="006D2459" w:rsidTr="006D2459">
        <w:trPr>
          <w:trHeight w:val="270"/>
          <w:jc w:val="center"/>
        </w:trPr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81,0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76,6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76,9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81,3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72,3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81,3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70,2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1,1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75,5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80,8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70,2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-1,0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-1,5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74,6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70,5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70,7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-0,9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72,7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81,2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64,0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1,0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72,4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68,7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-0,7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72,8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71,2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-0,1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66,5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-1,0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2,6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70,4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69,1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1,9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69,2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73,1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66,0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1,1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68,4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74,0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62,8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0,8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67,0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71,7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62,2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69,8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63,4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2,1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63,0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62,0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-0,3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71,7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60,5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1,0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72,5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59,3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3,3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65,2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50,1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1,6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58,5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2,0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58,3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0,9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72,2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56,1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66,1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59,9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0,8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59,2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49,8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0,0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58,5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63,1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53,9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62,6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51,8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52,5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61,9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43,4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0,1</w:t>
            </w:r>
          </w:p>
        </w:tc>
      </w:tr>
    </w:tbl>
    <w:p w:rsidR="00B15E8A" w:rsidRPr="00BA49E2" w:rsidRDefault="007D77C6" w:rsidP="00EB50BC">
      <w:pPr>
        <w:jc w:val="left"/>
        <w:rPr>
          <w:rFonts w:eastAsia="Times New Roman" w:cs="Arial"/>
          <w:i/>
          <w:iCs/>
          <w:sz w:val="18"/>
          <w:szCs w:val="18"/>
          <w:lang w:eastAsia="cs-CZ"/>
        </w:rPr>
      </w:pPr>
      <w:r>
        <w:rPr>
          <w:rFonts w:eastAsia="Times New Roman" w:cs="Arial"/>
          <w:i/>
          <w:iCs/>
          <w:sz w:val="18"/>
          <w:szCs w:val="18"/>
          <w:lang w:eastAsia="cs-CZ"/>
        </w:rPr>
        <w:t>Zdroj: Eurostat</w:t>
      </w:r>
      <w:r w:rsidR="00B15E8A" w:rsidRPr="00BA49E2">
        <w:rPr>
          <w:rFonts w:eastAsia="Times New Roman" w:cs="Arial"/>
          <w:i/>
          <w:iCs/>
          <w:sz w:val="18"/>
          <w:szCs w:val="18"/>
          <w:lang w:eastAsia="cs-CZ"/>
        </w:rPr>
        <w:t xml:space="preserve"> </w:t>
      </w:r>
    </w:p>
    <w:p w:rsidR="00CC1C57" w:rsidRPr="00BA49E2" w:rsidRDefault="00CC1C57" w:rsidP="00EB50BC"/>
    <w:p w:rsidR="004D5FFB" w:rsidRDefault="009301FE" w:rsidP="00EB50BC">
      <w:r w:rsidRPr="001A1589">
        <w:t>Důležitým indikátorem z pohledu trhu práce je p</w:t>
      </w:r>
      <w:r w:rsidR="00013212" w:rsidRPr="001A1589">
        <w:t xml:space="preserve">odíl vysokoškolsky vzdělaných </w:t>
      </w:r>
      <w:r w:rsidR="0001572F" w:rsidRPr="001A1589">
        <w:t>osob</w:t>
      </w:r>
      <w:r w:rsidR="00013212" w:rsidRPr="001A1589">
        <w:t>. Vyšší vzdělání</w:t>
      </w:r>
      <w:r w:rsidR="004B06FC" w:rsidRPr="001A1589">
        <w:t xml:space="preserve"> obecně</w:t>
      </w:r>
      <w:r w:rsidR="00013212" w:rsidRPr="001A1589">
        <w:t xml:space="preserve"> zabezpečuje lepší uplatnění na pracovním trhu. </w:t>
      </w:r>
      <w:r w:rsidR="000917AA" w:rsidRPr="001A1589">
        <w:t>Ačkoliv došlo mezi lety 200</w:t>
      </w:r>
      <w:r w:rsidR="00930869">
        <w:t>3</w:t>
      </w:r>
      <w:r w:rsidR="000917AA" w:rsidRPr="001A1589">
        <w:t xml:space="preserve"> a</w:t>
      </w:r>
      <w:r w:rsidR="006C1771" w:rsidRPr="001A1589">
        <w:t>ž</w:t>
      </w:r>
      <w:r w:rsidR="000917AA" w:rsidRPr="001A1589">
        <w:t xml:space="preserve"> 201</w:t>
      </w:r>
      <w:r w:rsidR="00930869">
        <w:t>3</w:t>
      </w:r>
      <w:r w:rsidR="000917AA" w:rsidRPr="001A1589">
        <w:t xml:space="preserve"> ke  zvýšení podílu vysokoškolsky vzdělaných osob </w:t>
      </w:r>
      <w:r w:rsidR="004B06FC" w:rsidRPr="001A1589">
        <w:t xml:space="preserve">ve věku 30-34 let </w:t>
      </w:r>
      <w:r w:rsidR="000917AA" w:rsidRPr="001A1589">
        <w:t>v EU v</w:t>
      </w:r>
      <w:r w:rsidR="000F726C" w:rsidRPr="001A1589">
        <w:t> </w:t>
      </w:r>
      <w:r w:rsidR="000917AA" w:rsidRPr="001A1589">
        <w:t>průměru</w:t>
      </w:r>
      <w:r w:rsidR="000F726C" w:rsidRPr="001A1589">
        <w:br/>
      </w:r>
      <w:r w:rsidR="000917AA" w:rsidRPr="001A1589">
        <w:t>o 12,</w:t>
      </w:r>
      <w:r w:rsidR="00930869">
        <w:t>2</w:t>
      </w:r>
      <w:r w:rsidR="000917AA" w:rsidRPr="001A1589">
        <w:t xml:space="preserve"> p. b., požadovanou hranici se zemím EU prozatím nepodařilo naplnit (za rok 201</w:t>
      </w:r>
      <w:r w:rsidR="00930869">
        <w:t>3</w:t>
      </w:r>
      <w:r w:rsidR="000917AA" w:rsidRPr="001A1589">
        <w:t xml:space="preserve"> podíl dosahoval 3</w:t>
      </w:r>
      <w:r w:rsidR="00930869">
        <w:t>6</w:t>
      </w:r>
      <w:r w:rsidR="000917AA" w:rsidRPr="001A1589">
        <w:t>,</w:t>
      </w:r>
      <w:r w:rsidR="00930869">
        <w:t>8</w:t>
      </w:r>
      <w:r w:rsidR="000917AA" w:rsidRPr="001A1589">
        <w:t xml:space="preserve"> %</w:t>
      </w:r>
      <w:r w:rsidR="00930869">
        <w:t>).</w:t>
      </w:r>
      <w:r w:rsidR="004314A9" w:rsidRPr="001A1589">
        <w:t xml:space="preserve"> </w:t>
      </w:r>
      <w:r w:rsidR="00930869">
        <w:t>V</w:t>
      </w:r>
      <w:r w:rsidR="004314A9" w:rsidRPr="001A1589">
        <w:t xml:space="preserve"> </w:t>
      </w:r>
      <w:r w:rsidR="00930869">
        <w:t>1</w:t>
      </w:r>
      <w:r w:rsidR="004314A9" w:rsidRPr="001A1589">
        <w:t xml:space="preserve">. čtvrtletí </w:t>
      </w:r>
      <w:r w:rsidR="00930869">
        <w:t xml:space="preserve">2014 </w:t>
      </w:r>
      <w:r w:rsidR="004314A9" w:rsidRPr="001A1589">
        <w:t>byl podíl vysokoškolsky vzdělaných osob za průměr</w:t>
      </w:r>
      <w:r w:rsidR="00BC712C" w:rsidRPr="001A1589">
        <w:t xml:space="preserve"> EU28</w:t>
      </w:r>
      <w:r w:rsidR="00930869">
        <w:t xml:space="preserve"> </w:t>
      </w:r>
      <w:r w:rsidR="004314A9" w:rsidRPr="001A1589">
        <w:t>3</w:t>
      </w:r>
      <w:r w:rsidR="00930869">
        <w:t>7</w:t>
      </w:r>
      <w:r w:rsidR="004314A9" w:rsidRPr="001A1589">
        <w:t>,</w:t>
      </w:r>
      <w:r w:rsidR="00930869">
        <w:t>4</w:t>
      </w:r>
      <w:r w:rsidR="004314A9" w:rsidRPr="001A1589">
        <w:t xml:space="preserve"> %</w:t>
      </w:r>
      <w:r w:rsidR="00930869">
        <w:t>, čím se hranice 40 % zase o něco přiblížila</w:t>
      </w:r>
      <w:r w:rsidR="004314A9" w:rsidRPr="001A1589">
        <w:t xml:space="preserve">. </w:t>
      </w:r>
      <w:r w:rsidR="00303535" w:rsidRPr="001A1589">
        <w:t>C</w:t>
      </w:r>
      <w:r w:rsidR="0001572F" w:rsidRPr="001A1589">
        <w:t>elkově</w:t>
      </w:r>
      <w:r w:rsidR="00BA49E2" w:rsidRPr="001A1589">
        <w:t xml:space="preserve"> se ženy v dané věkové </w:t>
      </w:r>
      <w:r w:rsidR="00BA49E2" w:rsidRPr="001A1589">
        <w:lastRenderedPageBreak/>
        <w:t>kategorii vyznačují vyšší úrovní vzdělání než muži</w:t>
      </w:r>
      <w:r w:rsidR="000917AA" w:rsidRPr="001A1589">
        <w:t>.</w:t>
      </w:r>
      <w:r w:rsidR="001A1589">
        <w:t xml:space="preserve"> </w:t>
      </w:r>
      <w:r w:rsidR="00930869">
        <w:t>V</w:t>
      </w:r>
      <w:r w:rsidR="006D7F3F">
        <w:t>e</w:t>
      </w:r>
      <w:r w:rsidR="00930869">
        <w:t> sledovaném čtvrtletí tvořilo výjimku pouze Německo, kde byl podíl vysokoškolsky vzdělaných 30-34letých žen o 2,4 p. b. nižší než mužů.</w:t>
      </w:r>
    </w:p>
    <w:p w:rsidR="00335A22" w:rsidRDefault="00335A22" w:rsidP="00EB50BC"/>
    <w:p w:rsidR="00335A22" w:rsidRDefault="00335A22" w:rsidP="00335A22">
      <w:pPr>
        <w:jc w:val="left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 xml:space="preserve">Tabulka 2 </w:t>
      </w:r>
      <w:r w:rsidRPr="007F0EF8">
        <w:rPr>
          <w:rFonts w:eastAsia="Times New Roman" w:cs="Arial"/>
          <w:b/>
          <w:bCs/>
          <w:szCs w:val="20"/>
          <w:lang w:eastAsia="cs-CZ"/>
        </w:rPr>
        <w:t>Podíl vysokoškolsky vzdělaných lidí ve věku 30-34 let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7F0EF8">
        <w:rPr>
          <w:rFonts w:eastAsia="Times New Roman" w:cs="Arial"/>
          <w:b/>
          <w:bCs/>
          <w:szCs w:val="20"/>
          <w:lang w:eastAsia="cs-CZ"/>
        </w:rPr>
        <w:t>(v %)</w:t>
      </w:r>
    </w:p>
    <w:p w:rsidR="006D2459" w:rsidRPr="00BA49E2" w:rsidRDefault="006D2459" w:rsidP="00335A22">
      <w:pPr>
        <w:jc w:val="left"/>
      </w:pPr>
    </w:p>
    <w:tbl>
      <w:tblPr>
        <w:tblW w:w="5400" w:type="dxa"/>
        <w:jc w:val="center"/>
        <w:tblInd w:w="-110" w:type="dxa"/>
        <w:tblCellMar>
          <w:left w:w="70" w:type="dxa"/>
          <w:right w:w="70" w:type="dxa"/>
        </w:tblCellMar>
        <w:tblLook w:val="04A0"/>
      </w:tblPr>
      <w:tblGrid>
        <w:gridCol w:w="1800"/>
        <w:gridCol w:w="1200"/>
        <w:gridCol w:w="1200"/>
        <w:gridCol w:w="1200"/>
      </w:tblGrid>
      <w:tr w:rsidR="006D2459" w:rsidRPr="006D2459" w:rsidTr="006D2459">
        <w:trPr>
          <w:trHeight w:val="255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2459" w:rsidRPr="006D2459" w:rsidRDefault="006D2459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 (ISCED 5</w:t>
            </w:r>
            <w:r w:rsidR="002F1644">
              <w:rPr>
                <w:rFonts w:eastAsia="Times New Roman" w:cs="Arial"/>
                <w:sz w:val="16"/>
                <w:szCs w:val="16"/>
                <w:lang w:eastAsia="cs-CZ"/>
              </w:rPr>
              <w:t>-8</w:t>
            </w:r>
            <w:r w:rsidR="00F36477">
              <w:rPr>
                <w:rFonts w:eastAsia="Times New Roman" w:cs="Arial"/>
                <w:sz w:val="16"/>
                <w:szCs w:val="16"/>
                <w:lang w:eastAsia="cs-CZ"/>
              </w:rPr>
              <w:t>)</w:t>
            </w:r>
            <w:r w:rsidR="00F36477">
              <w:rPr>
                <w:rStyle w:val="Znakapoznpodarou"/>
                <w:rFonts w:eastAsia="Times New Roman" w:cs="Arial"/>
                <w:sz w:val="16"/>
                <w:szCs w:val="16"/>
                <w:lang w:eastAsia="cs-CZ"/>
              </w:rPr>
              <w:footnoteReference w:id="1"/>
            </w: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br/>
              <w:t>1.Q 2014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6D2459" w:rsidRPr="006D2459" w:rsidTr="006D2459">
        <w:trPr>
          <w:trHeight w:val="270"/>
          <w:jc w:val="center"/>
        </w:trPr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50,9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42,7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59,1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50,9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56,6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50,7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50,8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51,0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42,7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57,7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48,8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43,3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54,0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47,0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50,1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45,3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38,1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52,5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45,1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56,8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44,4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36,8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52,2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43,0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38,7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47,2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42,6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37,1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48,2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42,2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38,6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45,9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40,8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33,4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48,5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38,1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42,0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39,8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32,8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46,7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39,1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48,4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39,0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28,1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51,2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2"/>
              <w:jc w:val="lef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37,4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2"/>
              <w:jc w:val="lef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33,3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2"/>
              <w:jc w:val="lef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41,4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36,4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32,6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40,3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32,2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26,5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38,0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31,6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32,8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30,4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31,4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25,6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37,4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30,6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22,6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39,1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22,2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37,3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2"/>
              <w:jc w:val="lef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27,4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2"/>
              <w:jc w:val="lef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24,3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2"/>
              <w:jc w:val="lef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30,7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27,1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30,7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25,6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27,6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21,8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28,7</w:t>
            </w:r>
          </w:p>
        </w:tc>
      </w:tr>
      <w:tr w:rsidR="006D2459" w:rsidRPr="006D2459" w:rsidTr="006D2459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459" w:rsidRPr="006D2459" w:rsidRDefault="006D2459" w:rsidP="006D245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23,9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19,0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59" w:rsidRPr="006D2459" w:rsidRDefault="006D2459" w:rsidP="006D2459">
            <w:pPr>
              <w:spacing w:line="240" w:lineRule="auto"/>
              <w:ind w:firstLineChars="300" w:firstLine="480"/>
              <w:jc w:val="left"/>
              <w:rPr>
                <w:rFonts w:eastAsia="Times New Roman"/>
                <w:sz w:val="16"/>
                <w:szCs w:val="16"/>
                <w:lang w:eastAsia="cs-CZ"/>
              </w:rPr>
            </w:pPr>
            <w:r w:rsidRPr="006D2459">
              <w:rPr>
                <w:rFonts w:eastAsia="Times New Roman"/>
                <w:sz w:val="16"/>
                <w:szCs w:val="16"/>
                <w:lang w:eastAsia="cs-CZ"/>
              </w:rPr>
              <w:t>28,7</w:t>
            </w:r>
          </w:p>
        </w:tc>
      </w:tr>
    </w:tbl>
    <w:p w:rsidR="006D2459" w:rsidRDefault="006D2459" w:rsidP="00E1085F">
      <w:pPr>
        <w:jc w:val="left"/>
        <w:rPr>
          <w:rFonts w:eastAsia="Times New Roman" w:cs="Arial"/>
          <w:i/>
          <w:iCs/>
          <w:sz w:val="18"/>
          <w:szCs w:val="18"/>
          <w:lang w:eastAsia="cs-CZ"/>
        </w:rPr>
      </w:pPr>
    </w:p>
    <w:p w:rsidR="004D5FFB" w:rsidRPr="004D5FFB" w:rsidRDefault="007D77C6" w:rsidP="00E1085F">
      <w:pPr>
        <w:jc w:val="left"/>
        <w:rPr>
          <w:rFonts w:eastAsia="Times New Roman" w:cs="Arial"/>
          <w:i/>
          <w:iCs/>
          <w:sz w:val="18"/>
          <w:szCs w:val="18"/>
          <w:lang w:eastAsia="cs-CZ"/>
        </w:rPr>
      </w:pPr>
      <w:r>
        <w:rPr>
          <w:rFonts w:eastAsia="Times New Roman" w:cs="Arial"/>
          <w:i/>
          <w:iCs/>
          <w:sz w:val="18"/>
          <w:szCs w:val="18"/>
          <w:lang w:eastAsia="cs-CZ"/>
        </w:rPr>
        <w:t>Zdroj: Eurostat</w:t>
      </w:r>
    </w:p>
    <w:p w:rsidR="004D5FFB" w:rsidRDefault="004D5FFB" w:rsidP="00EB50BC"/>
    <w:p w:rsidR="005C363E" w:rsidRDefault="00BA49E2" w:rsidP="00EB50BC">
      <w:r w:rsidRPr="00C520EF">
        <w:t>P</w:t>
      </w:r>
      <w:r w:rsidR="00D057F7" w:rsidRPr="00C520EF">
        <w:t>odle výsledků</w:t>
      </w:r>
      <w:r w:rsidR="00D057F7" w:rsidRPr="004D5FFB">
        <w:t xml:space="preserve"> </w:t>
      </w:r>
      <w:r w:rsidR="009301FE">
        <w:t xml:space="preserve">VŠPS </w:t>
      </w:r>
      <w:r w:rsidR="00D057F7" w:rsidRPr="004D5FFB">
        <w:t>za</w:t>
      </w:r>
      <w:r w:rsidR="000917AA" w:rsidRPr="004D5FFB">
        <w:t xml:space="preserve"> </w:t>
      </w:r>
      <w:r w:rsidR="00930869">
        <w:t>1</w:t>
      </w:r>
      <w:r w:rsidR="00D057F7" w:rsidRPr="004D5FFB">
        <w:t>. čtvrtletí 201</w:t>
      </w:r>
      <w:r w:rsidR="00930869">
        <w:t>4</w:t>
      </w:r>
      <w:r w:rsidR="00D057F7" w:rsidRPr="004D5FFB">
        <w:t xml:space="preserve"> se </w:t>
      </w:r>
      <w:r w:rsidR="008D4A8F">
        <w:t>Česká republika s</w:t>
      </w:r>
      <w:r w:rsidR="000E54E3" w:rsidRPr="004D5FFB">
        <w:t xml:space="preserve"> dosaženým podílem 2</w:t>
      </w:r>
      <w:r w:rsidR="00C520EF">
        <w:t>7</w:t>
      </w:r>
      <w:r w:rsidR="000E54E3" w:rsidRPr="004D5FFB">
        <w:t>,</w:t>
      </w:r>
      <w:r w:rsidR="00930869">
        <w:t>4</w:t>
      </w:r>
      <w:r w:rsidR="000E54E3" w:rsidRPr="004D5FFB">
        <w:t xml:space="preserve"> % </w:t>
      </w:r>
      <w:r w:rsidR="005B0729" w:rsidRPr="004D5FFB">
        <w:t>zařazuje mezi země s </w:t>
      </w:r>
      <w:r w:rsidR="00303535">
        <w:t>nejnižším</w:t>
      </w:r>
      <w:r w:rsidR="005B0729" w:rsidRPr="004D5FFB">
        <w:t xml:space="preserve"> </w:t>
      </w:r>
      <w:r w:rsidR="00B57CF9" w:rsidRPr="004D5FFB">
        <w:t>podíl</w:t>
      </w:r>
      <w:r w:rsidR="00303535">
        <w:t>em</w:t>
      </w:r>
      <w:r w:rsidR="00B57CF9" w:rsidRPr="004D5FFB">
        <w:t xml:space="preserve"> vysokoškolsky vzdělaných </w:t>
      </w:r>
      <w:r w:rsidR="0001572F">
        <w:t>osob</w:t>
      </w:r>
      <w:r w:rsidR="00B57CF9" w:rsidRPr="004D5FFB">
        <w:t xml:space="preserve"> ve věku</w:t>
      </w:r>
      <w:r w:rsidRPr="004D5FFB">
        <w:br/>
      </w:r>
      <w:r w:rsidR="00B57CF9" w:rsidRPr="004D5FFB">
        <w:lastRenderedPageBreak/>
        <w:t>30–34 let</w:t>
      </w:r>
      <w:r w:rsidR="005B0729" w:rsidRPr="004D5FFB">
        <w:t>.</w:t>
      </w:r>
      <w:r w:rsidR="0057666D">
        <w:t xml:space="preserve"> Za poslední roky ale tento podíl v naší zemi výrazně </w:t>
      </w:r>
      <w:r w:rsidR="004B06FC">
        <w:t>vzrostl</w:t>
      </w:r>
      <w:r w:rsidR="001A1589">
        <w:t xml:space="preserve"> (mezi lety 200</w:t>
      </w:r>
      <w:r w:rsidR="00132376">
        <w:t>3</w:t>
      </w:r>
      <w:r w:rsidR="001A1589">
        <w:t xml:space="preserve"> a 201</w:t>
      </w:r>
      <w:r w:rsidR="00132376">
        <w:t>3</w:t>
      </w:r>
      <w:r w:rsidR="001A1589">
        <w:t xml:space="preserve"> až o 1</w:t>
      </w:r>
      <w:r w:rsidR="00132376">
        <w:t>4</w:t>
      </w:r>
      <w:r w:rsidR="001A1589">
        <w:t>,2 p. b.)</w:t>
      </w:r>
      <w:r w:rsidR="0057666D">
        <w:t xml:space="preserve">. </w:t>
      </w:r>
    </w:p>
    <w:p w:rsidR="00335A22" w:rsidRDefault="00335A22" w:rsidP="00EB50BC"/>
    <w:p w:rsidR="000E54E3" w:rsidRPr="004D5FFB" w:rsidRDefault="001A1589" w:rsidP="00EB50BC">
      <w:r>
        <w:t>Nižší</w:t>
      </w:r>
      <w:r w:rsidR="009301FE">
        <w:t xml:space="preserve"> podíl vysokoškolsky vzdělaných osob než </w:t>
      </w:r>
      <w:r>
        <w:t xml:space="preserve">v </w:t>
      </w:r>
      <w:r w:rsidR="009301FE">
        <w:t>Česk</w:t>
      </w:r>
      <w:r>
        <w:t>é</w:t>
      </w:r>
      <w:r w:rsidR="009301FE">
        <w:t xml:space="preserve"> republi</w:t>
      </w:r>
      <w:r>
        <w:t xml:space="preserve">ce byl </w:t>
      </w:r>
      <w:r w:rsidR="00132376">
        <w:t>na Slovensku (27,1 %)</w:t>
      </w:r>
      <w:r w:rsidR="006D7F3F">
        <w:t>,</w:t>
      </w:r>
      <w:r>
        <w:t xml:space="preserve"> v</w:t>
      </w:r>
      <w:r w:rsidR="00132376">
        <w:t> </w:t>
      </w:r>
      <w:r w:rsidR="00BD65C7">
        <w:t>Rumunsku</w:t>
      </w:r>
      <w:r w:rsidR="00132376">
        <w:t xml:space="preserve"> (25,6 %), na Maltě (25,2 %) </w:t>
      </w:r>
      <w:r>
        <w:t xml:space="preserve">a </w:t>
      </w:r>
      <w:r w:rsidR="00132376">
        <w:t>v </w:t>
      </w:r>
      <w:r>
        <w:t>Itálii</w:t>
      </w:r>
      <w:r w:rsidR="00132376">
        <w:t xml:space="preserve"> (23,9 %)</w:t>
      </w:r>
      <w:r w:rsidR="009301FE">
        <w:t>.</w:t>
      </w:r>
      <w:r w:rsidR="009301FE" w:rsidRPr="004D5FFB">
        <w:t xml:space="preserve"> </w:t>
      </w:r>
      <w:r w:rsidR="008D4A8F">
        <w:t>V</w:t>
      </w:r>
      <w:r w:rsidR="00C520EF">
        <w:t xml:space="preserve"> </w:t>
      </w:r>
      <w:r w:rsidR="00132376">
        <w:t>1</w:t>
      </w:r>
      <w:r w:rsidR="008D4A8F">
        <w:t>. čtvrtletí 201</w:t>
      </w:r>
      <w:r w:rsidR="00132376">
        <w:t>4</w:t>
      </w:r>
      <w:r w:rsidR="008D4A8F">
        <w:t xml:space="preserve"> splňovalo p</w:t>
      </w:r>
      <w:r w:rsidR="000E54E3" w:rsidRPr="004D5FFB">
        <w:t xml:space="preserve">ožadovanou hranici 40 % </w:t>
      </w:r>
      <w:r w:rsidR="005B0729" w:rsidRPr="004D5FFB">
        <w:t>celkem</w:t>
      </w:r>
      <w:r w:rsidR="000E54E3" w:rsidRPr="004D5FFB">
        <w:t xml:space="preserve"> </w:t>
      </w:r>
      <w:r w:rsidR="005B0729" w:rsidRPr="004D5FFB">
        <w:t>1</w:t>
      </w:r>
      <w:r w:rsidR="00843DD5">
        <w:t>4</w:t>
      </w:r>
      <w:r w:rsidR="000E54E3" w:rsidRPr="004D5FFB">
        <w:t xml:space="preserve"> zemí. </w:t>
      </w:r>
      <w:r w:rsidR="00B21E2E">
        <w:t>Těsně pod touto úrovní, s rozdílem 0,</w:t>
      </w:r>
      <w:r w:rsidR="00132376">
        <w:t>2</w:t>
      </w:r>
      <w:r w:rsidR="00B21E2E">
        <w:t xml:space="preserve"> p. b., z</w:t>
      </w:r>
      <w:r w:rsidR="00826170">
        <w:t>ao</w:t>
      </w:r>
      <w:r w:rsidR="00B21E2E">
        <w:t xml:space="preserve">stalo </w:t>
      </w:r>
      <w:r w:rsidR="00132376">
        <w:t>Dánsko</w:t>
      </w:r>
      <w:r w:rsidR="00B21E2E">
        <w:t xml:space="preserve">. </w:t>
      </w:r>
      <w:r w:rsidR="000E54E3" w:rsidRPr="004D5FFB">
        <w:t>Ze soused</w:t>
      </w:r>
      <w:r w:rsidR="00547BCD" w:rsidRPr="004D5FFB">
        <w:t>ních států</w:t>
      </w:r>
      <w:r w:rsidR="000E54E3" w:rsidRPr="004D5FFB">
        <w:t xml:space="preserve"> </w:t>
      </w:r>
      <w:r w:rsidR="00C3414C" w:rsidRPr="004D5FFB">
        <w:t>se nad úrovní EU2</w:t>
      </w:r>
      <w:r w:rsidR="008D4A8F">
        <w:t>8</w:t>
      </w:r>
      <w:r w:rsidR="00132376">
        <w:t xml:space="preserve"> </w:t>
      </w:r>
      <w:r w:rsidR="00C3414C" w:rsidRPr="004D5FFB">
        <w:t>(3</w:t>
      </w:r>
      <w:r w:rsidR="00132376">
        <w:t>7</w:t>
      </w:r>
      <w:r w:rsidR="008D4A8F">
        <w:t>,</w:t>
      </w:r>
      <w:r w:rsidR="00132376">
        <w:t>4</w:t>
      </w:r>
      <w:r w:rsidR="00C3414C" w:rsidRPr="004D5FFB">
        <w:t xml:space="preserve"> </w:t>
      </w:r>
      <w:r w:rsidR="00C3414C" w:rsidRPr="004D5FFB">
        <w:rPr>
          <w:lang w:val="en-US"/>
        </w:rPr>
        <w:t xml:space="preserve">%) </w:t>
      </w:r>
      <w:r w:rsidR="00C3414C" w:rsidRPr="004D5FFB">
        <w:t>pohyb</w:t>
      </w:r>
      <w:r w:rsidR="008D4A8F">
        <w:t>ovalo</w:t>
      </w:r>
      <w:r w:rsidR="00C3414C" w:rsidRPr="004D5FFB">
        <w:t xml:space="preserve"> </w:t>
      </w:r>
      <w:r w:rsidR="000E54E3" w:rsidRPr="004D5FFB">
        <w:t>Polsko</w:t>
      </w:r>
      <w:r w:rsidR="00132376">
        <w:t xml:space="preserve"> a Rakousko</w:t>
      </w:r>
      <w:r w:rsidR="00465D63" w:rsidRPr="004D5FFB">
        <w:t xml:space="preserve">, které </w:t>
      </w:r>
      <w:r w:rsidR="00B21E2E">
        <w:t>zároveň pat</w:t>
      </w:r>
      <w:r w:rsidR="00132376">
        <w:t>řily</w:t>
      </w:r>
      <w:r w:rsidR="00B21E2E">
        <w:t xml:space="preserve"> mezi státy, které</w:t>
      </w:r>
      <w:r w:rsidR="00465D63" w:rsidRPr="004D5FFB">
        <w:t xml:space="preserve"> hranic</w:t>
      </w:r>
      <w:r w:rsidR="00E05ADE">
        <w:t>i</w:t>
      </w:r>
      <w:r w:rsidR="00132376">
        <w:t xml:space="preserve"> </w:t>
      </w:r>
      <w:r w:rsidR="00465D63" w:rsidRPr="004D5FFB">
        <w:t>40 %</w:t>
      </w:r>
      <w:r w:rsidR="00132376">
        <w:t xml:space="preserve"> překonaly</w:t>
      </w:r>
      <w:r w:rsidR="00B21E2E">
        <w:t xml:space="preserve">. </w:t>
      </w:r>
      <w:r w:rsidR="00C3414C" w:rsidRPr="004D5FFB">
        <w:t>Pod úrovní EU2</w:t>
      </w:r>
      <w:r w:rsidR="008D4A8F">
        <w:t>8</w:t>
      </w:r>
      <w:r w:rsidR="00C3414C" w:rsidRPr="004D5FFB">
        <w:t xml:space="preserve"> </w:t>
      </w:r>
      <w:r w:rsidR="000E54E3" w:rsidRPr="004D5FFB">
        <w:t>pak</w:t>
      </w:r>
      <w:r w:rsidR="008D4A8F">
        <w:t xml:space="preserve"> bylo</w:t>
      </w:r>
      <w:r w:rsidR="000E54E3" w:rsidRPr="004D5FFB">
        <w:t xml:space="preserve"> Německo</w:t>
      </w:r>
      <w:r w:rsidR="00C3414C" w:rsidRPr="004D5FFB">
        <w:t xml:space="preserve"> (3</w:t>
      </w:r>
      <w:r w:rsidR="00132376">
        <w:t>1</w:t>
      </w:r>
      <w:r w:rsidR="0033547E" w:rsidRPr="004D5FFB">
        <w:t>,</w:t>
      </w:r>
      <w:r w:rsidR="00132376">
        <w:t>6</w:t>
      </w:r>
      <w:r w:rsidR="00C3414C" w:rsidRPr="004D5FFB">
        <w:t xml:space="preserve"> %)</w:t>
      </w:r>
      <w:r w:rsidR="00132376">
        <w:t xml:space="preserve"> a</w:t>
      </w:r>
      <w:r w:rsidR="00B21E2E">
        <w:t xml:space="preserve"> </w:t>
      </w:r>
      <w:r w:rsidR="00132376">
        <w:t xml:space="preserve">zmíněné </w:t>
      </w:r>
      <w:r w:rsidR="00B21E2E" w:rsidRPr="004D5FFB">
        <w:t>Slovensko</w:t>
      </w:r>
      <w:r w:rsidR="00B21E2E">
        <w:t>.</w:t>
      </w:r>
    </w:p>
    <w:p w:rsidR="009A0536" w:rsidRPr="004F59AC" w:rsidRDefault="009A0536" w:rsidP="00EB50BC">
      <w:pPr>
        <w:rPr>
          <w:highlight w:val="yellow"/>
        </w:rPr>
      </w:pPr>
    </w:p>
    <w:p w:rsidR="008F6143" w:rsidRPr="00335A22" w:rsidRDefault="008F6143" w:rsidP="00335A22">
      <w:pPr>
        <w:pStyle w:val="Nadpis3"/>
        <w:spacing w:before="0"/>
      </w:pPr>
      <w:r w:rsidRPr="00D41DCA">
        <w:t>Nezaměstnanost</w:t>
      </w:r>
    </w:p>
    <w:p w:rsidR="00335A22" w:rsidRDefault="00A04964" w:rsidP="00EB50BC">
      <w:r w:rsidRPr="00E52D09">
        <w:t>Česká republika se vyznačuje relativně nízkou úrovní nezaměstnanost</w:t>
      </w:r>
      <w:r w:rsidR="00303535">
        <w:t>i</w:t>
      </w:r>
      <w:r w:rsidRPr="00E52D09">
        <w:t xml:space="preserve">. </w:t>
      </w:r>
      <w:r w:rsidR="008C2026">
        <w:t>V</w:t>
      </w:r>
      <w:r w:rsidR="00A62B48" w:rsidRPr="00E52D09">
        <w:t xml:space="preserve"> </w:t>
      </w:r>
      <w:r w:rsidR="00132376">
        <w:t>1</w:t>
      </w:r>
      <w:r w:rsidR="00A62B48" w:rsidRPr="00E52D09">
        <w:t>. čtvrtletí 201</w:t>
      </w:r>
      <w:r w:rsidR="00132376">
        <w:t>4</w:t>
      </w:r>
      <w:r w:rsidR="00A62B48" w:rsidRPr="00E52D09">
        <w:t xml:space="preserve"> byl</w:t>
      </w:r>
      <w:r w:rsidR="0022636B" w:rsidRPr="00E52D09">
        <w:t>a obecná míra nezaměstnanost</w:t>
      </w:r>
      <w:r w:rsidR="00303535">
        <w:t>i</w:t>
      </w:r>
      <w:r w:rsidR="0022636B" w:rsidRPr="00E52D09">
        <w:t xml:space="preserve"> v</w:t>
      </w:r>
      <w:r w:rsidR="003156B5">
        <w:t> </w:t>
      </w:r>
      <w:r w:rsidR="00A62B48" w:rsidRPr="00E52D09">
        <w:t>ČR</w:t>
      </w:r>
      <w:r w:rsidR="003156B5">
        <w:t xml:space="preserve"> (</w:t>
      </w:r>
      <w:r w:rsidR="00843DD5">
        <w:t>6</w:t>
      </w:r>
      <w:r w:rsidR="003156B5">
        <w:t>,</w:t>
      </w:r>
      <w:r w:rsidR="00132376">
        <w:t>9</w:t>
      </w:r>
      <w:r w:rsidR="003156B5">
        <w:t xml:space="preserve"> %)</w:t>
      </w:r>
      <w:r w:rsidR="00A62B48" w:rsidRPr="00E52D09">
        <w:t xml:space="preserve"> </w:t>
      </w:r>
      <w:r w:rsidR="0022636B" w:rsidRPr="00E52D09">
        <w:t xml:space="preserve">o </w:t>
      </w:r>
      <w:r w:rsidR="00132376">
        <w:t>4</w:t>
      </w:r>
      <w:r w:rsidR="00A62B48" w:rsidRPr="00E52D09">
        <w:t>,</w:t>
      </w:r>
      <w:r w:rsidR="00132376">
        <w:t>2</w:t>
      </w:r>
      <w:r w:rsidR="00A62B48" w:rsidRPr="00E52D09">
        <w:t xml:space="preserve"> p. b.</w:t>
      </w:r>
      <w:r w:rsidR="0022636B" w:rsidRPr="00E52D09">
        <w:t xml:space="preserve"> nižší než průměr EU.</w:t>
      </w:r>
      <w:r w:rsidR="00A62B48" w:rsidRPr="00E52D09">
        <w:t xml:space="preserve"> </w:t>
      </w:r>
      <w:r w:rsidR="0022636B" w:rsidRPr="00E52D09">
        <w:t>Pod úrovní EU byla míra nezaměstnanosti žen i mužů.</w:t>
      </w:r>
      <w:r w:rsidR="008F6143" w:rsidRPr="00E52D09">
        <w:t xml:space="preserve"> </w:t>
      </w:r>
      <w:r w:rsidR="00F004FC" w:rsidRPr="00E52D09">
        <w:t>Mezi státy EU2</w:t>
      </w:r>
      <w:r w:rsidR="003156B5">
        <w:t>8</w:t>
      </w:r>
      <w:r w:rsidR="00F004FC" w:rsidRPr="00E52D09">
        <w:t xml:space="preserve"> s nejnižší mírou nezaměstnanosti se </w:t>
      </w:r>
      <w:r w:rsidR="00B04ED5">
        <w:t>řadí Malta</w:t>
      </w:r>
      <w:r w:rsidR="00D33FD7">
        <w:t>,</w:t>
      </w:r>
      <w:r w:rsidR="00D33FD7" w:rsidRPr="00E52D09">
        <w:t xml:space="preserve"> </w:t>
      </w:r>
      <w:r w:rsidR="0022636B" w:rsidRPr="00E52D09">
        <w:t>Německo a Rakousko.</w:t>
      </w:r>
      <w:r w:rsidR="00A83D4B" w:rsidRPr="00E52D09">
        <w:t xml:space="preserve"> </w:t>
      </w:r>
      <w:r w:rsidR="00D41DCA">
        <w:t>V Rakousku</w:t>
      </w:r>
      <w:r w:rsidR="0022636B" w:rsidRPr="00E52D09">
        <w:t xml:space="preserve"> </w:t>
      </w:r>
      <w:r w:rsidR="008066B3" w:rsidRPr="00E52D09">
        <w:t xml:space="preserve">byla </w:t>
      </w:r>
      <w:r w:rsidR="00A83D4B" w:rsidRPr="00E52D09">
        <w:t>míra nezaměstnanosti</w:t>
      </w:r>
      <w:r w:rsidR="0022636B" w:rsidRPr="00E52D09">
        <w:t xml:space="preserve"> v daném období vůbec nejnižší</w:t>
      </w:r>
      <w:r w:rsidR="00A83D4B" w:rsidRPr="00E52D09">
        <w:t xml:space="preserve"> </w:t>
      </w:r>
      <w:r w:rsidR="008066B3" w:rsidRPr="00E52D09">
        <w:t xml:space="preserve">a </w:t>
      </w:r>
      <w:r w:rsidR="00C67D47" w:rsidRPr="00E52D09">
        <w:t>dosahoval</w:t>
      </w:r>
      <w:r w:rsidR="00F460A6" w:rsidRPr="00E52D09">
        <w:t>a</w:t>
      </w:r>
      <w:r w:rsidR="0022636B" w:rsidRPr="00E52D09">
        <w:t xml:space="preserve"> </w:t>
      </w:r>
      <w:r w:rsidR="00D33FD7">
        <w:t xml:space="preserve">pouze </w:t>
      </w:r>
      <w:r w:rsidR="00843DD5">
        <w:t>5,</w:t>
      </w:r>
      <w:r w:rsidR="00B04ED5">
        <w:t>4</w:t>
      </w:r>
      <w:r w:rsidR="008F6143" w:rsidRPr="00E52D09">
        <w:t xml:space="preserve"> </w:t>
      </w:r>
      <w:r w:rsidR="00E73AF7" w:rsidRPr="00E52D09">
        <w:t>%</w:t>
      </w:r>
      <w:r w:rsidR="008F6143" w:rsidRPr="00E52D09">
        <w:t>. V</w:t>
      </w:r>
      <w:r w:rsidR="00843DD5">
        <w:t> </w:t>
      </w:r>
      <w:r w:rsidR="008F6143" w:rsidRPr="00E52D09">
        <w:t>porovnání</w:t>
      </w:r>
      <w:r w:rsidR="00843DD5">
        <w:t xml:space="preserve"> </w:t>
      </w:r>
      <w:r w:rsidR="008F6143" w:rsidRPr="00E52D09">
        <w:t>s dalšími sousedními státy byla míra nezaměstnanosti výrazně vyšší na Slovensku</w:t>
      </w:r>
      <w:r w:rsidR="00C916CE" w:rsidRPr="00E52D09">
        <w:t xml:space="preserve"> (1</w:t>
      </w:r>
      <w:r w:rsidR="0022636B" w:rsidRPr="00E52D09">
        <w:t>4</w:t>
      </w:r>
      <w:r w:rsidR="00C916CE" w:rsidRPr="00E52D09">
        <w:t>,</w:t>
      </w:r>
      <w:r w:rsidR="00B04ED5">
        <w:t>1</w:t>
      </w:r>
      <w:r w:rsidR="008066B3" w:rsidRPr="00E52D09">
        <w:t xml:space="preserve"> %)</w:t>
      </w:r>
      <w:r w:rsidR="00843DD5">
        <w:t>,</w:t>
      </w:r>
      <w:r w:rsidR="008F6143" w:rsidRPr="00E52D09">
        <w:t xml:space="preserve"> </w:t>
      </w:r>
      <w:r w:rsidR="00843DD5">
        <w:t>v</w:t>
      </w:r>
      <w:r w:rsidR="008F6143" w:rsidRPr="00E52D09">
        <w:t>yšší byla</w:t>
      </w:r>
      <w:r w:rsidR="00303535">
        <w:t xml:space="preserve"> </w:t>
      </w:r>
      <w:r w:rsidR="008F6143" w:rsidRPr="00E52D09">
        <w:t>i</w:t>
      </w:r>
      <w:r w:rsidR="00303535">
        <w:t> </w:t>
      </w:r>
      <w:r w:rsidR="008F6143" w:rsidRPr="00E52D09">
        <w:t>v</w:t>
      </w:r>
      <w:r w:rsidR="00843DD5">
        <w:t> </w:t>
      </w:r>
      <w:r w:rsidR="008F6143" w:rsidRPr="00E52D09">
        <w:t>Polsku</w:t>
      </w:r>
      <w:r w:rsidR="00843DD5">
        <w:t xml:space="preserve"> (</w:t>
      </w:r>
      <w:r w:rsidR="00B04ED5">
        <w:t>10</w:t>
      </w:r>
      <w:r w:rsidR="00843DD5">
        <w:t>,</w:t>
      </w:r>
      <w:r w:rsidR="00B04ED5">
        <w:t>7</w:t>
      </w:r>
      <w:r w:rsidR="00843DD5">
        <w:t xml:space="preserve"> %).</w:t>
      </w:r>
      <w:r w:rsidR="00B04ED5">
        <w:t xml:space="preserve"> Pouze</w:t>
      </w:r>
      <w:r w:rsidR="00B04ED5">
        <w:br/>
        <w:t>v</w:t>
      </w:r>
      <w:r w:rsidR="00F14747">
        <w:t>e</w:t>
      </w:r>
      <w:r w:rsidR="00B04ED5">
        <w:t xml:space="preserve"> dvou zemích byla v 1. čtvrtletí 2014 míra nezaměstnanosti mužů pod hranicí 6 %. Nejnižší míra nezaměstnanosti 15-64letých mužů byla v Rakousku (5,4 %), </w:t>
      </w:r>
      <w:r w:rsidR="00826170">
        <w:t xml:space="preserve">a </w:t>
      </w:r>
      <w:r w:rsidR="00B04ED5">
        <w:t>druhá nejnižší byla</w:t>
      </w:r>
      <w:r w:rsidR="00826170">
        <w:t xml:space="preserve"> právě</w:t>
      </w:r>
      <w:r w:rsidR="006D7F3F">
        <w:br/>
      </w:r>
      <w:r w:rsidR="00B04ED5">
        <w:t>u nás, v České republice (5,9 %).</w:t>
      </w:r>
    </w:p>
    <w:p w:rsidR="00843DD5" w:rsidRPr="00E52D09" w:rsidRDefault="00843DD5" w:rsidP="00EB50BC"/>
    <w:p w:rsidR="0022636B" w:rsidRDefault="0022636B" w:rsidP="00EB50BC">
      <w:r w:rsidRPr="00E52D09">
        <w:t>Míra nezaměstnanosti se nadále udržuje na vysokých hodnotách zejména v jižních státech Evropy.</w:t>
      </w:r>
      <w:r w:rsidR="00767DF3" w:rsidRPr="00E52D09">
        <w:t xml:space="preserve"> </w:t>
      </w:r>
      <w:r w:rsidR="003156B5">
        <w:t>V </w:t>
      </w:r>
      <w:r w:rsidR="00F14747">
        <w:t>1</w:t>
      </w:r>
      <w:r w:rsidR="003156B5">
        <w:t>. čtvrtletí 201</w:t>
      </w:r>
      <w:r w:rsidR="00F14747">
        <w:t>4</w:t>
      </w:r>
      <w:r w:rsidR="003156B5">
        <w:t xml:space="preserve"> patřily p</w:t>
      </w:r>
      <w:r w:rsidR="00767DF3" w:rsidRPr="00E52D09">
        <w:t xml:space="preserve">oslední </w:t>
      </w:r>
      <w:r w:rsidR="003156B5">
        <w:t>příčky</w:t>
      </w:r>
      <w:r w:rsidR="00767DF3" w:rsidRPr="00E52D09">
        <w:t xml:space="preserve"> Řeck</w:t>
      </w:r>
      <w:r w:rsidR="003156B5">
        <w:t>u a Španělsku</w:t>
      </w:r>
      <w:r w:rsidR="00C466A1">
        <w:t>.</w:t>
      </w:r>
      <w:r w:rsidR="003156B5">
        <w:t xml:space="preserve"> </w:t>
      </w:r>
      <w:r w:rsidR="00C466A1">
        <w:t xml:space="preserve">U obou zemí </w:t>
      </w:r>
      <w:r w:rsidR="00D41DCA">
        <w:t>se míra nezaměstnanosti pro sledovanou věkovou skupinu pohyb</w:t>
      </w:r>
      <w:r w:rsidR="00843DD5">
        <w:t xml:space="preserve">uje od 3. čtvrtletí 2012 </w:t>
      </w:r>
      <w:r w:rsidR="00D41DCA">
        <w:t>nad úrovní</w:t>
      </w:r>
      <w:r w:rsidR="00C466A1">
        <w:br/>
      </w:r>
      <w:r w:rsidR="00D41DCA">
        <w:t>25 %</w:t>
      </w:r>
      <w:r w:rsidR="00767DF3" w:rsidRPr="00E52D09">
        <w:t xml:space="preserve">. </w:t>
      </w:r>
      <w:r w:rsidRPr="00E52D09">
        <w:t xml:space="preserve"> </w:t>
      </w:r>
    </w:p>
    <w:p w:rsidR="00DB5A7A" w:rsidRDefault="00DB5A7A" w:rsidP="00EB50BC"/>
    <w:p w:rsidR="00DB5A7A" w:rsidRDefault="00DB5A7A" w:rsidP="00DB5A7A">
      <w:pPr>
        <w:jc w:val="left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 xml:space="preserve">Tabulka 3 </w:t>
      </w:r>
      <w:r w:rsidRPr="00ED7A6A">
        <w:rPr>
          <w:rFonts w:eastAsia="Times New Roman" w:cs="Arial"/>
          <w:b/>
          <w:bCs/>
          <w:szCs w:val="20"/>
          <w:lang w:eastAsia="cs-CZ"/>
        </w:rPr>
        <w:t>Míra nezaměstnanosti 15-64letých v členských zemích EU</w:t>
      </w:r>
      <w:r w:rsidR="00F05785">
        <w:rPr>
          <w:rFonts w:eastAsia="Times New Roman" w:cs="Arial"/>
          <w:b/>
          <w:bCs/>
          <w:szCs w:val="20"/>
          <w:lang w:eastAsia="cs-CZ"/>
        </w:rPr>
        <w:t xml:space="preserve"> (v %)</w:t>
      </w:r>
    </w:p>
    <w:p w:rsidR="00F36477" w:rsidRPr="00E52D09" w:rsidRDefault="00F36477" w:rsidP="00DB5A7A">
      <w:pPr>
        <w:jc w:val="left"/>
      </w:pPr>
    </w:p>
    <w:tbl>
      <w:tblPr>
        <w:tblW w:w="8260" w:type="dxa"/>
        <w:jc w:val="center"/>
        <w:tblInd w:w="-110" w:type="dxa"/>
        <w:tblCellMar>
          <w:left w:w="70" w:type="dxa"/>
          <w:right w:w="70" w:type="dxa"/>
        </w:tblCellMar>
        <w:tblLook w:val="04A0"/>
      </w:tblPr>
      <w:tblGrid>
        <w:gridCol w:w="1900"/>
        <w:gridCol w:w="1102"/>
        <w:gridCol w:w="1039"/>
        <w:gridCol w:w="1039"/>
        <w:gridCol w:w="1060"/>
        <w:gridCol w:w="1060"/>
        <w:gridCol w:w="1060"/>
      </w:tblGrid>
      <w:tr w:rsidR="002F1644" w:rsidRPr="002F1644" w:rsidTr="002F1644">
        <w:trPr>
          <w:trHeight w:val="495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1. čtvrtletí 2014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644" w:rsidRPr="002F1644" w:rsidRDefault="002F1644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Rozdíl v p.b.</w:t>
            </w: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1.Q 2014 - 1.Q 2013</w:t>
            </w:r>
          </w:p>
        </w:tc>
      </w:tr>
      <w:tr w:rsidR="002F1644" w:rsidRPr="002F1644" w:rsidTr="002F1644">
        <w:trPr>
          <w:trHeight w:val="270"/>
          <w:jc w:val="center"/>
        </w:trPr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44" w:rsidRPr="002F1644" w:rsidRDefault="002F1644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44" w:rsidRPr="002F1644" w:rsidRDefault="002F1644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1644" w:rsidRPr="002F1644" w:rsidRDefault="002F1644" w:rsidP="002F1644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0,3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-0,2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-0,3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-1,1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-0,9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8,1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-0,5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7,7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1,2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-0,5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7,6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0,2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-3,4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-4,3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-2,5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-1,6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9,3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0,0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9,2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-0,1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9,2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0,4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Francie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-0,3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10,4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-0,9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11,8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0,0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-0,4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12,1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14,0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-1,4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12,3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14,2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-1,1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12,6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14,3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-0,6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13,1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14,1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12,1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-0,2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13,8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13,2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14,6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14,1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14,3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-1,1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15,7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15,8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15,6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-2,8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-3,1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-2,6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17,2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18,0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16,2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19,0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17,4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20,7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2,6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26,0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25,5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26,7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-1,3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-0,7</w:t>
            </w:r>
          </w:p>
        </w:tc>
      </w:tr>
      <w:tr w:rsidR="002F1644" w:rsidRPr="002F1644" w:rsidTr="002F1644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28,0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25,2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31,6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44" w:rsidRPr="002F1644" w:rsidRDefault="002F1644" w:rsidP="002F1644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2F1644">
              <w:rPr>
                <w:rFonts w:eastAsia="Times New Roman"/>
                <w:sz w:val="16"/>
                <w:szCs w:val="16"/>
                <w:lang w:eastAsia="cs-CZ"/>
              </w:rPr>
              <w:t>0,4</w:t>
            </w:r>
          </w:p>
        </w:tc>
      </w:tr>
    </w:tbl>
    <w:p w:rsidR="002F1644" w:rsidRDefault="002F1644" w:rsidP="00EB50BC">
      <w:pPr>
        <w:jc w:val="left"/>
        <w:rPr>
          <w:rFonts w:eastAsia="Times New Roman" w:cs="Arial"/>
          <w:i/>
          <w:iCs/>
          <w:sz w:val="18"/>
          <w:szCs w:val="18"/>
          <w:lang w:eastAsia="cs-CZ"/>
        </w:rPr>
      </w:pPr>
    </w:p>
    <w:p w:rsidR="00B15E8A" w:rsidRDefault="007D77C6" w:rsidP="00EB50BC">
      <w:pPr>
        <w:jc w:val="left"/>
        <w:rPr>
          <w:rFonts w:eastAsia="Times New Roman" w:cs="Arial"/>
          <w:i/>
          <w:iCs/>
          <w:sz w:val="18"/>
          <w:szCs w:val="18"/>
          <w:lang w:eastAsia="cs-CZ"/>
        </w:rPr>
      </w:pPr>
      <w:r>
        <w:rPr>
          <w:rFonts w:eastAsia="Times New Roman" w:cs="Arial"/>
          <w:i/>
          <w:iCs/>
          <w:sz w:val="18"/>
          <w:szCs w:val="18"/>
          <w:lang w:eastAsia="cs-CZ"/>
        </w:rPr>
        <w:t>Zdroj: Eurostat</w:t>
      </w:r>
    </w:p>
    <w:p w:rsidR="00ED7A6A" w:rsidRDefault="00ED7A6A" w:rsidP="00EB50BC">
      <w:pPr>
        <w:jc w:val="left"/>
        <w:rPr>
          <w:rFonts w:eastAsia="Times New Roman" w:cs="Arial"/>
          <w:i/>
          <w:iCs/>
          <w:sz w:val="18"/>
          <w:szCs w:val="18"/>
          <w:lang w:eastAsia="cs-CZ"/>
        </w:rPr>
      </w:pPr>
    </w:p>
    <w:p w:rsidR="007C451F" w:rsidRDefault="0018547A" w:rsidP="003463B8">
      <w:r>
        <w:t xml:space="preserve">Pokud se podíváme na míru nezaměstnanosti dle regionálního členění </w:t>
      </w:r>
      <w:r w:rsidRPr="0018547A">
        <w:t>NUTS 2</w:t>
      </w:r>
      <w:r w:rsidRPr="0018547A">
        <w:rPr>
          <w:rStyle w:val="Znakapoznpodarou"/>
          <w:rFonts w:eastAsia="Times New Roman" w:cs="Arial"/>
          <w:bCs/>
          <w:szCs w:val="20"/>
          <w:lang w:eastAsia="cs-CZ"/>
        </w:rPr>
        <w:footnoteReference w:id="2"/>
      </w:r>
      <w:r>
        <w:t xml:space="preserve"> v evropském měřítku, mezi jednotlivými regiony najdeme ještě větší diference. V roce 2013 byla nejnižší míra nezaměstnanosti 15letých a starších osob v německém Oberbayernu a dosahovala pouze</w:t>
      </w:r>
      <w:r>
        <w:br/>
        <w:t xml:space="preserve">2,6 %. </w:t>
      </w:r>
      <w:r w:rsidR="008C5FBF">
        <w:t xml:space="preserve">Mezi oblasti s nejnižší mírou nezaměstnanosti </w:t>
      </w:r>
      <w:r w:rsidR="00826170">
        <w:t>patří</w:t>
      </w:r>
      <w:r w:rsidR="008C5FBF">
        <w:t xml:space="preserve"> i Praha, která s mírou nezaměstnanosti 3,1 % se zařadila na 6. místo z celkového počtu 272 regionů EU. Na druhém konci pomyslného žebříčku jsou převážně regiony Španělska. V španělském regionu </w:t>
      </w:r>
      <w:r w:rsidR="008C5FBF" w:rsidRPr="008C5FBF">
        <w:t>Andalucía</w:t>
      </w:r>
      <w:r w:rsidR="008C5FBF">
        <w:t xml:space="preserve"> dosahovala míra nezaměstnanosti až 36,2 %. Rozdíl mezi </w:t>
      </w:r>
      <w:r w:rsidR="00B445F8">
        <w:t xml:space="preserve">regionem s nejnižší a nejvyšší mírou nezaměstnanosti </w:t>
      </w:r>
      <w:r w:rsidR="00826170">
        <w:t xml:space="preserve">tak </w:t>
      </w:r>
      <w:r w:rsidR="00B445F8">
        <w:t xml:space="preserve">byl propastných 33,6 p. b. </w:t>
      </w:r>
      <w:r w:rsidR="008C5FBF">
        <w:t xml:space="preserve"> </w:t>
      </w:r>
    </w:p>
    <w:p w:rsidR="007C451F" w:rsidRDefault="007C451F" w:rsidP="003463B8"/>
    <w:p w:rsidR="003463B8" w:rsidRDefault="003463B8" w:rsidP="003463B8">
      <w:pPr>
        <w:jc w:val="left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 xml:space="preserve">Tabulka 4 </w:t>
      </w:r>
      <w:r w:rsidR="009D53FB">
        <w:rPr>
          <w:rFonts w:eastAsia="Times New Roman" w:cs="Arial"/>
          <w:b/>
          <w:bCs/>
          <w:szCs w:val="20"/>
          <w:lang w:eastAsia="cs-CZ"/>
        </w:rPr>
        <w:t>Míra nezaměstnanosti 15</w:t>
      </w:r>
      <w:r w:rsidR="006B50BC">
        <w:rPr>
          <w:rFonts w:eastAsia="Times New Roman" w:cs="Arial"/>
          <w:b/>
          <w:bCs/>
          <w:szCs w:val="20"/>
          <w:lang w:eastAsia="cs-CZ"/>
        </w:rPr>
        <w:t>letých</w:t>
      </w:r>
      <w:r w:rsidR="009D53FB">
        <w:rPr>
          <w:rFonts w:eastAsia="Times New Roman" w:cs="Arial"/>
          <w:b/>
          <w:bCs/>
          <w:szCs w:val="20"/>
          <w:lang w:eastAsia="cs-CZ"/>
        </w:rPr>
        <w:t xml:space="preserve"> a starších</w:t>
      </w:r>
      <w:r w:rsidR="006B50BC">
        <w:rPr>
          <w:rFonts w:eastAsia="Times New Roman" w:cs="Arial"/>
          <w:b/>
          <w:bCs/>
          <w:szCs w:val="20"/>
          <w:lang w:eastAsia="cs-CZ"/>
        </w:rPr>
        <w:t xml:space="preserve"> ve vybr</w:t>
      </w:r>
      <w:r w:rsidR="009D53FB">
        <w:rPr>
          <w:rFonts w:eastAsia="Times New Roman" w:cs="Arial"/>
          <w:b/>
          <w:bCs/>
          <w:szCs w:val="20"/>
          <w:lang w:eastAsia="cs-CZ"/>
        </w:rPr>
        <w:t>aných regionech</w:t>
      </w:r>
      <w:r w:rsidR="00F36477">
        <w:rPr>
          <w:rFonts w:eastAsia="Times New Roman" w:cs="Arial"/>
          <w:b/>
          <w:bCs/>
          <w:szCs w:val="20"/>
          <w:lang w:eastAsia="cs-CZ"/>
        </w:rPr>
        <w:t xml:space="preserve"> NUTS 2</w:t>
      </w:r>
      <w:r w:rsidR="009D53FB">
        <w:rPr>
          <w:rFonts w:eastAsia="Times New Roman" w:cs="Arial"/>
          <w:b/>
          <w:bCs/>
          <w:szCs w:val="20"/>
          <w:lang w:eastAsia="cs-CZ"/>
        </w:rPr>
        <w:t xml:space="preserve"> členských zemí</w:t>
      </w:r>
      <w:r w:rsidR="006B50BC">
        <w:rPr>
          <w:rFonts w:eastAsia="Times New Roman" w:cs="Arial"/>
          <w:b/>
          <w:bCs/>
          <w:szCs w:val="20"/>
          <w:lang w:eastAsia="cs-CZ"/>
        </w:rPr>
        <w:t xml:space="preserve"> EU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0E736E">
        <w:rPr>
          <w:rFonts w:eastAsia="Times New Roman" w:cs="Arial"/>
          <w:b/>
          <w:bCs/>
          <w:szCs w:val="20"/>
          <w:lang w:eastAsia="cs-CZ"/>
        </w:rPr>
        <w:t>(v %)</w:t>
      </w:r>
    </w:p>
    <w:p w:rsidR="004A127B" w:rsidRDefault="004A127B" w:rsidP="003463B8">
      <w:pPr>
        <w:jc w:val="left"/>
        <w:rPr>
          <w:rFonts w:eastAsia="Times New Roman" w:cs="Arial"/>
          <w:b/>
          <w:bCs/>
          <w:szCs w:val="20"/>
          <w:lang w:eastAsia="cs-CZ"/>
        </w:rPr>
      </w:pPr>
    </w:p>
    <w:tbl>
      <w:tblPr>
        <w:tblW w:w="4366" w:type="dxa"/>
        <w:jc w:val="center"/>
        <w:tblInd w:w="-784" w:type="dxa"/>
        <w:tblCellMar>
          <w:left w:w="70" w:type="dxa"/>
          <w:right w:w="70" w:type="dxa"/>
        </w:tblCellMar>
        <w:tblLook w:val="04A0"/>
      </w:tblPr>
      <w:tblGrid>
        <w:gridCol w:w="3398"/>
        <w:gridCol w:w="968"/>
      </w:tblGrid>
      <w:tr w:rsidR="004A127B" w:rsidRPr="004A127B" w:rsidTr="004A127B">
        <w:trPr>
          <w:trHeight w:val="270"/>
          <w:jc w:val="center"/>
        </w:trPr>
        <w:tc>
          <w:tcPr>
            <w:tcW w:w="33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Region</w:t>
            </w: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br/>
              <w:t>NUTS2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2013</w:t>
            </w:r>
          </w:p>
        </w:tc>
      </w:tr>
      <w:tr w:rsidR="004A127B" w:rsidRPr="004A127B" w:rsidTr="004A127B">
        <w:trPr>
          <w:trHeight w:val="270"/>
          <w:jc w:val="center"/>
        </w:trPr>
        <w:tc>
          <w:tcPr>
            <w:tcW w:w="33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 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Nejnižší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 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Oberbayern (Něm.)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2,6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Freiburg (Něm.)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2,9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Salzburg (Rak.)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2,9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Tübingen (Něm.)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3,0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Tirol (Rak.)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3,0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Praha (ČR)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3,1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Mittelfranken (Něm.)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3,1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Trier (Něm.)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3,1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Vorarlberg (Rak.)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3,2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Niederbayern (Něm.)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3,3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 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Nejvyšší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1"/>
              <w:jc w:val="right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Andalucía (Špan.)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36,2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Ciudad Autónoma de Ceuta (Špan.)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34,8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Extremadura (Špan.)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33,9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Canarias (Špan.)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33,7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Ciudad Autónoma de Melilla (Špan.)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32,5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Dytiki Makedonia (Řecko)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31,8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Kentriki Makedonia (Řecko)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30,0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Castilla-la Mancha (Špan.)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30,0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Región de Murcia (Špan.)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29,0</w:t>
            </w:r>
          </w:p>
        </w:tc>
      </w:tr>
      <w:tr w:rsidR="004A127B" w:rsidRPr="004A127B" w:rsidTr="004A127B">
        <w:trPr>
          <w:trHeight w:val="255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27B" w:rsidRPr="004A127B" w:rsidRDefault="004A127B" w:rsidP="004A127B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 w:cs="Arial"/>
                <w:sz w:val="16"/>
                <w:szCs w:val="16"/>
                <w:lang w:eastAsia="cs-CZ"/>
              </w:rPr>
              <w:t>Réunion (Francie)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7B" w:rsidRPr="004A127B" w:rsidRDefault="004A127B" w:rsidP="004A127B">
            <w:pPr>
              <w:spacing w:line="240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 w:rsidRPr="004A127B">
              <w:rPr>
                <w:rFonts w:eastAsia="Times New Roman"/>
                <w:sz w:val="16"/>
                <w:szCs w:val="16"/>
                <w:lang w:eastAsia="cs-CZ"/>
              </w:rPr>
              <w:t>28,9</w:t>
            </w:r>
          </w:p>
        </w:tc>
      </w:tr>
    </w:tbl>
    <w:p w:rsidR="006B50BC" w:rsidRDefault="006B50BC" w:rsidP="003463B8">
      <w:pPr>
        <w:rPr>
          <w:rFonts w:eastAsia="Times New Roman" w:cs="Arial"/>
          <w:i/>
          <w:iCs/>
          <w:sz w:val="18"/>
          <w:szCs w:val="18"/>
          <w:lang w:eastAsia="cs-CZ"/>
        </w:rPr>
      </w:pPr>
    </w:p>
    <w:p w:rsidR="003463B8" w:rsidRDefault="003463B8" w:rsidP="003463B8">
      <w:pPr>
        <w:rPr>
          <w:rFonts w:eastAsia="Times New Roman" w:cs="Arial"/>
          <w:i/>
          <w:iCs/>
          <w:sz w:val="18"/>
          <w:szCs w:val="18"/>
          <w:lang w:eastAsia="cs-CZ"/>
        </w:rPr>
      </w:pPr>
      <w:r w:rsidRPr="005C363E">
        <w:rPr>
          <w:rFonts w:eastAsia="Times New Roman" w:cs="Arial"/>
          <w:i/>
          <w:iCs/>
          <w:sz w:val="18"/>
          <w:szCs w:val="18"/>
          <w:lang w:eastAsia="cs-CZ"/>
        </w:rPr>
        <w:t>Zdroj: Eurostat</w:t>
      </w:r>
    </w:p>
    <w:p w:rsidR="003463B8" w:rsidRDefault="003463B8" w:rsidP="003463B8"/>
    <w:p w:rsidR="00924006" w:rsidRDefault="00924006" w:rsidP="005C734A">
      <w:pPr>
        <w:rPr>
          <w:b/>
        </w:rPr>
      </w:pPr>
    </w:p>
    <w:p w:rsidR="005C734A" w:rsidRDefault="005C734A" w:rsidP="005C734A">
      <w:pPr>
        <w:rPr>
          <w:b/>
        </w:rPr>
      </w:pPr>
      <w:r>
        <w:rPr>
          <w:b/>
        </w:rPr>
        <w:t>Kontakt</w:t>
      </w:r>
    </w:p>
    <w:p w:rsidR="005C734A" w:rsidRDefault="005C734A" w:rsidP="005C734A">
      <w:r w:rsidRPr="005C363E">
        <w:rPr>
          <w:rFonts w:cs="Arial"/>
        </w:rPr>
        <w:t>Lukáš Savko</w:t>
      </w:r>
    </w:p>
    <w:p w:rsidR="005C734A" w:rsidRDefault="005C734A" w:rsidP="005C734A">
      <w:r w:rsidRPr="005C363E">
        <w:rPr>
          <w:rFonts w:cs="Arial"/>
        </w:rPr>
        <w:t>Oddělení pracovních sil, migrace a rovných příležitostí</w:t>
      </w:r>
    </w:p>
    <w:p w:rsidR="005C734A" w:rsidRDefault="005C734A" w:rsidP="005C734A">
      <w:r>
        <w:t xml:space="preserve">Tel.: </w:t>
      </w:r>
      <w:r w:rsidRPr="005C363E">
        <w:rPr>
          <w:rFonts w:cs="Arial"/>
        </w:rPr>
        <w:t>274 052 183</w:t>
      </w:r>
    </w:p>
    <w:p w:rsidR="008F73B4" w:rsidRPr="000E736E" w:rsidRDefault="005C734A" w:rsidP="005C734A">
      <w:pPr>
        <w:rPr>
          <w:rFonts w:cs="Arial"/>
          <w:lang w:val="en-US"/>
        </w:rPr>
      </w:pPr>
      <w:r>
        <w:t xml:space="preserve">E-mail: </w:t>
      </w:r>
      <w:r w:rsidRPr="005C363E">
        <w:rPr>
          <w:rFonts w:cs="Arial"/>
        </w:rPr>
        <w:t>lukas.savko</w:t>
      </w:r>
      <w:r w:rsidRPr="005C363E">
        <w:rPr>
          <w:rFonts w:cs="Arial"/>
          <w:lang w:val="en-US"/>
        </w:rPr>
        <w:t>@czso.cz</w:t>
      </w:r>
    </w:p>
    <w:sectPr w:rsidR="008F73B4" w:rsidRPr="000E736E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C0" w:rsidRDefault="00192DC0" w:rsidP="00BA6370">
      <w:r>
        <w:separator/>
      </w:r>
    </w:p>
  </w:endnote>
  <w:endnote w:type="continuationSeparator" w:id="0">
    <w:p w:rsidR="00192DC0" w:rsidRDefault="00192DC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44" w:rsidRDefault="00F5114D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2F1644" w:rsidRPr="001404AB" w:rsidRDefault="002F1644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2F1644" w:rsidRPr="00A81EB3" w:rsidRDefault="002F1644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5114D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5114D" w:rsidRPr="004E479E">
                  <w:rPr>
                    <w:rFonts w:cs="Arial"/>
                    <w:szCs w:val="15"/>
                  </w:rPr>
                  <w:fldChar w:fldCharType="separate"/>
                </w:r>
                <w:r w:rsidR="006D7F3F">
                  <w:rPr>
                    <w:rFonts w:cs="Arial"/>
                    <w:noProof/>
                    <w:szCs w:val="15"/>
                  </w:rPr>
                  <w:t>3</w:t>
                </w:r>
                <w:r w:rsidR="00F5114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C0" w:rsidRDefault="00192DC0" w:rsidP="00BA6370">
      <w:r>
        <w:separator/>
      </w:r>
    </w:p>
  </w:footnote>
  <w:footnote w:type="continuationSeparator" w:id="0">
    <w:p w:rsidR="00192DC0" w:rsidRDefault="00192DC0" w:rsidP="00BA6370">
      <w:r>
        <w:continuationSeparator/>
      </w:r>
    </w:p>
  </w:footnote>
  <w:footnote w:id="1">
    <w:p w:rsidR="00F36477" w:rsidRDefault="00F36477">
      <w:pPr>
        <w:pStyle w:val="Textpoznpodarou"/>
      </w:pPr>
      <w:r>
        <w:rPr>
          <w:rStyle w:val="Znakapoznpodarou"/>
        </w:rPr>
        <w:footnoteRef/>
      </w:r>
      <w:r>
        <w:t xml:space="preserve"> od 1. ledna 2014 byla zavedena nová klasifikace vzdělání ISCED 2011 (nahrazuje klasifikaci ISCED 97)</w:t>
      </w:r>
    </w:p>
  </w:footnote>
  <w:footnote w:id="2">
    <w:p w:rsidR="0018547A" w:rsidRDefault="0018547A" w:rsidP="0018547A">
      <w:pPr>
        <w:pStyle w:val="Textpoznpodarou"/>
      </w:pPr>
      <w:r>
        <w:rPr>
          <w:rStyle w:val="Znakapoznpodarou"/>
        </w:rPr>
        <w:footnoteRef/>
      </w:r>
      <w:r>
        <w:t xml:space="preserve"> označením NUTS 2 se v České republice vymezuje územní jednotka na úrovni oblasti, tj. Praha, Střední Čechy, Jihozápad, Severozápad, Severovýchod, Jihovýchod, Střední Morava, Moravskoslezsko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44" w:rsidRDefault="00F5114D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2417"/>
    <w:rsid w:val="00013212"/>
    <w:rsid w:val="0001572F"/>
    <w:rsid w:val="0004482A"/>
    <w:rsid w:val="0005042A"/>
    <w:rsid w:val="000521B6"/>
    <w:rsid w:val="00063179"/>
    <w:rsid w:val="00064FBD"/>
    <w:rsid w:val="00076327"/>
    <w:rsid w:val="00091139"/>
    <w:rsid w:val="000917AA"/>
    <w:rsid w:val="0009799C"/>
    <w:rsid w:val="000B1699"/>
    <w:rsid w:val="000E54E3"/>
    <w:rsid w:val="000E736E"/>
    <w:rsid w:val="000F726C"/>
    <w:rsid w:val="001123EF"/>
    <w:rsid w:val="001172C5"/>
    <w:rsid w:val="00117A68"/>
    <w:rsid w:val="00125FC3"/>
    <w:rsid w:val="00132376"/>
    <w:rsid w:val="001416A6"/>
    <w:rsid w:val="001528A8"/>
    <w:rsid w:val="0015316B"/>
    <w:rsid w:val="0017231D"/>
    <w:rsid w:val="00174F35"/>
    <w:rsid w:val="00180AB9"/>
    <w:rsid w:val="001810DC"/>
    <w:rsid w:val="001835FB"/>
    <w:rsid w:val="0018547A"/>
    <w:rsid w:val="00187ED2"/>
    <w:rsid w:val="00192DC0"/>
    <w:rsid w:val="001965EC"/>
    <w:rsid w:val="001A1589"/>
    <w:rsid w:val="001B607F"/>
    <w:rsid w:val="001B79FC"/>
    <w:rsid w:val="001C1249"/>
    <w:rsid w:val="001D70AD"/>
    <w:rsid w:val="001D770C"/>
    <w:rsid w:val="001E1EEB"/>
    <w:rsid w:val="001E3DCB"/>
    <w:rsid w:val="001E453B"/>
    <w:rsid w:val="002036A8"/>
    <w:rsid w:val="002070FB"/>
    <w:rsid w:val="0021022B"/>
    <w:rsid w:val="00210589"/>
    <w:rsid w:val="00225483"/>
    <w:rsid w:val="0022636B"/>
    <w:rsid w:val="00232FC2"/>
    <w:rsid w:val="00233E9A"/>
    <w:rsid w:val="002406FA"/>
    <w:rsid w:val="00261CC4"/>
    <w:rsid w:val="002639BA"/>
    <w:rsid w:val="00272702"/>
    <w:rsid w:val="002746BA"/>
    <w:rsid w:val="00274EF5"/>
    <w:rsid w:val="00282A25"/>
    <w:rsid w:val="00290290"/>
    <w:rsid w:val="00295FE5"/>
    <w:rsid w:val="002A11A1"/>
    <w:rsid w:val="002B10EC"/>
    <w:rsid w:val="002B2E47"/>
    <w:rsid w:val="002B69ED"/>
    <w:rsid w:val="002C5BC2"/>
    <w:rsid w:val="002E2381"/>
    <w:rsid w:val="002E5B39"/>
    <w:rsid w:val="002F0D22"/>
    <w:rsid w:val="002F1644"/>
    <w:rsid w:val="002F413C"/>
    <w:rsid w:val="002F50E1"/>
    <w:rsid w:val="00303535"/>
    <w:rsid w:val="00304728"/>
    <w:rsid w:val="00307C33"/>
    <w:rsid w:val="003120A3"/>
    <w:rsid w:val="003156B5"/>
    <w:rsid w:val="00316FF5"/>
    <w:rsid w:val="0033547E"/>
    <w:rsid w:val="00335A22"/>
    <w:rsid w:val="003463B8"/>
    <w:rsid w:val="003768CE"/>
    <w:rsid w:val="0038282A"/>
    <w:rsid w:val="0038473F"/>
    <w:rsid w:val="00393363"/>
    <w:rsid w:val="00393847"/>
    <w:rsid w:val="00397580"/>
    <w:rsid w:val="003C67B2"/>
    <w:rsid w:val="003D0499"/>
    <w:rsid w:val="003D5A98"/>
    <w:rsid w:val="003E0953"/>
    <w:rsid w:val="003E43AB"/>
    <w:rsid w:val="003E7666"/>
    <w:rsid w:val="003F247A"/>
    <w:rsid w:val="003F526A"/>
    <w:rsid w:val="003F758F"/>
    <w:rsid w:val="00405244"/>
    <w:rsid w:val="00405DFB"/>
    <w:rsid w:val="00422EBE"/>
    <w:rsid w:val="00427C16"/>
    <w:rsid w:val="004314A9"/>
    <w:rsid w:val="00435973"/>
    <w:rsid w:val="004369C7"/>
    <w:rsid w:val="00443548"/>
    <w:rsid w:val="00454545"/>
    <w:rsid w:val="0045547F"/>
    <w:rsid w:val="00465D63"/>
    <w:rsid w:val="00483566"/>
    <w:rsid w:val="004837A4"/>
    <w:rsid w:val="00484959"/>
    <w:rsid w:val="00493A49"/>
    <w:rsid w:val="004966AC"/>
    <w:rsid w:val="004A127B"/>
    <w:rsid w:val="004A3A92"/>
    <w:rsid w:val="004B06FC"/>
    <w:rsid w:val="004C634B"/>
    <w:rsid w:val="004D5FFB"/>
    <w:rsid w:val="004D656F"/>
    <w:rsid w:val="004E41E3"/>
    <w:rsid w:val="004E479E"/>
    <w:rsid w:val="004F59AC"/>
    <w:rsid w:val="004F78E6"/>
    <w:rsid w:val="00501A1F"/>
    <w:rsid w:val="005107D5"/>
    <w:rsid w:val="00512D99"/>
    <w:rsid w:val="005179CB"/>
    <w:rsid w:val="00527724"/>
    <w:rsid w:val="00534B46"/>
    <w:rsid w:val="00546C25"/>
    <w:rsid w:val="00546CA0"/>
    <w:rsid w:val="00547BCD"/>
    <w:rsid w:val="00553960"/>
    <w:rsid w:val="005552EA"/>
    <w:rsid w:val="005641DA"/>
    <w:rsid w:val="00564476"/>
    <w:rsid w:val="0057666D"/>
    <w:rsid w:val="005846FE"/>
    <w:rsid w:val="00587155"/>
    <w:rsid w:val="0058773B"/>
    <w:rsid w:val="005B0729"/>
    <w:rsid w:val="005B21C1"/>
    <w:rsid w:val="005C071F"/>
    <w:rsid w:val="005C363E"/>
    <w:rsid w:val="005C445E"/>
    <w:rsid w:val="005C734A"/>
    <w:rsid w:val="005E6747"/>
    <w:rsid w:val="005F0E29"/>
    <w:rsid w:val="005F79FB"/>
    <w:rsid w:val="00625F8B"/>
    <w:rsid w:val="00627AAB"/>
    <w:rsid w:val="0063589C"/>
    <w:rsid w:val="00637E67"/>
    <w:rsid w:val="006533BD"/>
    <w:rsid w:val="00657620"/>
    <w:rsid w:val="006602F9"/>
    <w:rsid w:val="00664658"/>
    <w:rsid w:val="00674991"/>
    <w:rsid w:val="00681080"/>
    <w:rsid w:val="006B18B9"/>
    <w:rsid w:val="006B50BC"/>
    <w:rsid w:val="006C1771"/>
    <w:rsid w:val="006C4D80"/>
    <w:rsid w:val="006D2459"/>
    <w:rsid w:val="006D7F3F"/>
    <w:rsid w:val="006E0007"/>
    <w:rsid w:val="006E024F"/>
    <w:rsid w:val="006E3FBE"/>
    <w:rsid w:val="006E4E81"/>
    <w:rsid w:val="00700551"/>
    <w:rsid w:val="00702D54"/>
    <w:rsid w:val="00704A72"/>
    <w:rsid w:val="00705F43"/>
    <w:rsid w:val="00706132"/>
    <w:rsid w:val="00707F7D"/>
    <w:rsid w:val="00713969"/>
    <w:rsid w:val="00717EC5"/>
    <w:rsid w:val="0075396A"/>
    <w:rsid w:val="0076380E"/>
    <w:rsid w:val="00763AA8"/>
    <w:rsid w:val="00767DF3"/>
    <w:rsid w:val="00790CFC"/>
    <w:rsid w:val="007C451F"/>
    <w:rsid w:val="007C7F6F"/>
    <w:rsid w:val="007D0327"/>
    <w:rsid w:val="007D0C51"/>
    <w:rsid w:val="007D77C6"/>
    <w:rsid w:val="007D7A62"/>
    <w:rsid w:val="007E08ED"/>
    <w:rsid w:val="007F0EF8"/>
    <w:rsid w:val="007F6804"/>
    <w:rsid w:val="008066B3"/>
    <w:rsid w:val="008100CE"/>
    <w:rsid w:val="0081283C"/>
    <w:rsid w:val="00812E5E"/>
    <w:rsid w:val="008210F6"/>
    <w:rsid w:val="00822E27"/>
    <w:rsid w:val="00826170"/>
    <w:rsid w:val="00843DD5"/>
    <w:rsid w:val="00847A7C"/>
    <w:rsid w:val="0085224A"/>
    <w:rsid w:val="00854B30"/>
    <w:rsid w:val="00855438"/>
    <w:rsid w:val="008602EF"/>
    <w:rsid w:val="00861D0E"/>
    <w:rsid w:val="00870B9F"/>
    <w:rsid w:val="00871B04"/>
    <w:rsid w:val="00871F1D"/>
    <w:rsid w:val="008752CD"/>
    <w:rsid w:val="008940E6"/>
    <w:rsid w:val="00896A8B"/>
    <w:rsid w:val="008A7FA9"/>
    <w:rsid w:val="008C2026"/>
    <w:rsid w:val="008C31CD"/>
    <w:rsid w:val="008C384C"/>
    <w:rsid w:val="008C5FBF"/>
    <w:rsid w:val="008D4A8F"/>
    <w:rsid w:val="008F6143"/>
    <w:rsid w:val="008F73B4"/>
    <w:rsid w:val="00904A54"/>
    <w:rsid w:val="009068E3"/>
    <w:rsid w:val="00921F8C"/>
    <w:rsid w:val="00924006"/>
    <w:rsid w:val="009301FE"/>
    <w:rsid w:val="00930869"/>
    <w:rsid w:val="00940628"/>
    <w:rsid w:val="009423B5"/>
    <w:rsid w:val="009440FA"/>
    <w:rsid w:val="009676DD"/>
    <w:rsid w:val="00981F64"/>
    <w:rsid w:val="009A0536"/>
    <w:rsid w:val="009B2363"/>
    <w:rsid w:val="009B55B1"/>
    <w:rsid w:val="009C2A2D"/>
    <w:rsid w:val="009D2F07"/>
    <w:rsid w:val="009D53FB"/>
    <w:rsid w:val="009E147F"/>
    <w:rsid w:val="009F0E27"/>
    <w:rsid w:val="009F1958"/>
    <w:rsid w:val="009F421B"/>
    <w:rsid w:val="009F48F3"/>
    <w:rsid w:val="009F6477"/>
    <w:rsid w:val="009F799A"/>
    <w:rsid w:val="00A04964"/>
    <w:rsid w:val="00A42073"/>
    <w:rsid w:val="00A4343D"/>
    <w:rsid w:val="00A473A6"/>
    <w:rsid w:val="00A55BE4"/>
    <w:rsid w:val="00A604C3"/>
    <w:rsid w:val="00A62B48"/>
    <w:rsid w:val="00A64010"/>
    <w:rsid w:val="00A66F4A"/>
    <w:rsid w:val="00A81EB3"/>
    <w:rsid w:val="00A83D4B"/>
    <w:rsid w:val="00A97530"/>
    <w:rsid w:val="00AB0281"/>
    <w:rsid w:val="00AC18BD"/>
    <w:rsid w:val="00AC4D38"/>
    <w:rsid w:val="00AD344F"/>
    <w:rsid w:val="00AF18E7"/>
    <w:rsid w:val="00B00C1D"/>
    <w:rsid w:val="00B04ED5"/>
    <w:rsid w:val="00B15E8A"/>
    <w:rsid w:val="00B15FB9"/>
    <w:rsid w:val="00B21E2E"/>
    <w:rsid w:val="00B37AAD"/>
    <w:rsid w:val="00B37BD2"/>
    <w:rsid w:val="00B445F8"/>
    <w:rsid w:val="00B57CF9"/>
    <w:rsid w:val="00B73FE6"/>
    <w:rsid w:val="00B75587"/>
    <w:rsid w:val="00B80050"/>
    <w:rsid w:val="00B804E6"/>
    <w:rsid w:val="00B87E8A"/>
    <w:rsid w:val="00B91B9F"/>
    <w:rsid w:val="00B97043"/>
    <w:rsid w:val="00BA49E2"/>
    <w:rsid w:val="00BA6370"/>
    <w:rsid w:val="00BC5812"/>
    <w:rsid w:val="00BC6C63"/>
    <w:rsid w:val="00BC712C"/>
    <w:rsid w:val="00BD65C7"/>
    <w:rsid w:val="00C024C5"/>
    <w:rsid w:val="00C26567"/>
    <w:rsid w:val="00C3414C"/>
    <w:rsid w:val="00C4160D"/>
    <w:rsid w:val="00C466A1"/>
    <w:rsid w:val="00C520EF"/>
    <w:rsid w:val="00C56334"/>
    <w:rsid w:val="00C6507B"/>
    <w:rsid w:val="00C67D47"/>
    <w:rsid w:val="00C8406E"/>
    <w:rsid w:val="00C916CE"/>
    <w:rsid w:val="00CB1E01"/>
    <w:rsid w:val="00CB2709"/>
    <w:rsid w:val="00CB6F89"/>
    <w:rsid w:val="00CC0046"/>
    <w:rsid w:val="00CC1C57"/>
    <w:rsid w:val="00CC2A6E"/>
    <w:rsid w:val="00CD59C6"/>
    <w:rsid w:val="00CE740C"/>
    <w:rsid w:val="00CF545B"/>
    <w:rsid w:val="00D057F7"/>
    <w:rsid w:val="00D14316"/>
    <w:rsid w:val="00D31417"/>
    <w:rsid w:val="00D3232B"/>
    <w:rsid w:val="00D33FD7"/>
    <w:rsid w:val="00D41DCA"/>
    <w:rsid w:val="00D51215"/>
    <w:rsid w:val="00D523E4"/>
    <w:rsid w:val="00D74BC1"/>
    <w:rsid w:val="00DB46EE"/>
    <w:rsid w:val="00DB5A7A"/>
    <w:rsid w:val="00DC78CD"/>
    <w:rsid w:val="00DF28D3"/>
    <w:rsid w:val="00DF47FE"/>
    <w:rsid w:val="00DF5C8B"/>
    <w:rsid w:val="00DF73A1"/>
    <w:rsid w:val="00E05ADE"/>
    <w:rsid w:val="00E076F2"/>
    <w:rsid w:val="00E106ED"/>
    <w:rsid w:val="00E1085F"/>
    <w:rsid w:val="00E13D88"/>
    <w:rsid w:val="00E321EC"/>
    <w:rsid w:val="00E332B3"/>
    <w:rsid w:val="00E3794B"/>
    <w:rsid w:val="00E41F21"/>
    <w:rsid w:val="00E52D09"/>
    <w:rsid w:val="00E54770"/>
    <w:rsid w:val="00E565D3"/>
    <w:rsid w:val="00E73AF7"/>
    <w:rsid w:val="00E80F06"/>
    <w:rsid w:val="00E92176"/>
    <w:rsid w:val="00EA5E1A"/>
    <w:rsid w:val="00EB50BC"/>
    <w:rsid w:val="00ED070A"/>
    <w:rsid w:val="00ED7A6A"/>
    <w:rsid w:val="00ED7CFA"/>
    <w:rsid w:val="00EE596B"/>
    <w:rsid w:val="00EE5A4D"/>
    <w:rsid w:val="00EF22FF"/>
    <w:rsid w:val="00EF67EC"/>
    <w:rsid w:val="00F004FC"/>
    <w:rsid w:val="00F034C1"/>
    <w:rsid w:val="00F05785"/>
    <w:rsid w:val="00F11B08"/>
    <w:rsid w:val="00F14747"/>
    <w:rsid w:val="00F15C86"/>
    <w:rsid w:val="00F36477"/>
    <w:rsid w:val="00F44D4E"/>
    <w:rsid w:val="00F460A6"/>
    <w:rsid w:val="00F51006"/>
    <w:rsid w:val="00F5114D"/>
    <w:rsid w:val="00F5477A"/>
    <w:rsid w:val="00F77AAC"/>
    <w:rsid w:val="00F80714"/>
    <w:rsid w:val="00F86919"/>
    <w:rsid w:val="00F95D3F"/>
    <w:rsid w:val="00FA083C"/>
    <w:rsid w:val="00FA6142"/>
    <w:rsid w:val="00FB687C"/>
    <w:rsid w:val="00FD1F2F"/>
    <w:rsid w:val="00FD605D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364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AA6E-C6EA-47CF-B102-BD55AC96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</Template>
  <TotalTime>1</TotalTime>
  <Pages>6</Pages>
  <Words>1525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10507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savko7307</cp:lastModifiedBy>
  <cp:revision>3</cp:revision>
  <cp:lastPrinted>2014-01-24T11:13:00Z</cp:lastPrinted>
  <dcterms:created xsi:type="dcterms:W3CDTF">2014-07-29T06:28:00Z</dcterms:created>
  <dcterms:modified xsi:type="dcterms:W3CDTF">2014-07-29T07:48:00Z</dcterms:modified>
</cp:coreProperties>
</file>